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62785821"/>
        <w:docPartObj>
          <w:docPartGallery w:val="Cover Pages"/>
          <w:docPartUnique/>
        </w:docPartObj>
      </w:sdtPr>
      <w:sdtEndPr>
        <w:rPr>
          <w:rFonts w:eastAsia="Calibri"/>
          <w:bCs/>
          <w:color w:val="2F5496" w:themeColor="accent1" w:themeShade="BF"/>
          <w:spacing w:val="-1"/>
          <w:sz w:val="44"/>
          <w:szCs w:val="44"/>
        </w:rPr>
      </w:sdtEndPr>
      <w:sdtContent>
        <w:p w:rsidR="00E07D14" w:rsidRPr="00E07D14" w:rsidRDefault="00E07D14" w:rsidP="006C35EC">
          <w:pPr>
            <w:tabs>
              <w:tab w:val="decimal" w:pos="10490"/>
            </w:tabs>
            <w:spacing w:before="1200" w:after="600"/>
            <w:ind w:left="709" w:right="851"/>
            <w:jc w:val="center"/>
            <w:rPr>
              <w:rStyle w:val="TitleChar"/>
            </w:rPr>
          </w:pPr>
          <w:r w:rsidRPr="00E07D14">
            <w:rPr>
              <w:rStyle w:val="TitleChar"/>
            </w:rPr>
            <w:t>REVIEW OF THE</w:t>
          </w:r>
          <w:r w:rsidR="00617254">
            <w:rPr>
              <w:rStyle w:val="TitleChar"/>
            </w:rPr>
            <w:br/>
          </w:r>
          <w:r w:rsidRPr="00E07D14">
            <w:rPr>
              <w:rStyle w:val="TitleChar"/>
            </w:rPr>
            <w:t>AGED CARE FUNDING INSTRUMENT REPORT</w:t>
          </w:r>
        </w:p>
        <w:p w:rsidR="00E07D14" w:rsidRPr="00DF7337" w:rsidRDefault="00E07D14" w:rsidP="00E07D14">
          <w:pPr>
            <w:pStyle w:val="Title"/>
            <w:spacing w:before="1200"/>
          </w:pPr>
          <w:r>
            <w:t>PART 2</w:t>
          </w:r>
          <w:r w:rsidRPr="00DF7337">
            <w:t xml:space="preserve">: </w:t>
          </w:r>
          <w:r>
            <w:t>MAIN REPORT</w:t>
          </w:r>
        </w:p>
        <w:p w:rsidR="00E07D14" w:rsidRPr="006C35EC" w:rsidRDefault="00E07D14" w:rsidP="006C35EC">
          <w:pPr>
            <w:pStyle w:val="Subtitle"/>
          </w:pPr>
          <w:r w:rsidRPr="006C35EC">
            <w:t>June 2017</w:t>
          </w:r>
        </w:p>
        <w:p w:rsidR="00E07D14" w:rsidRPr="00664FCB" w:rsidRDefault="00E07D14" w:rsidP="006C35EC">
          <w:pPr>
            <w:pStyle w:val="Subtitle"/>
            <w:rPr>
              <w:rFonts w:eastAsia="Cambria" w:cs="Cambria"/>
              <w:b/>
              <w:position w:val="-2"/>
              <w:sz w:val="40"/>
              <w:szCs w:val="40"/>
            </w:rPr>
          </w:pPr>
          <w:r w:rsidRPr="00664FCB">
            <w:rPr>
              <w:rFonts w:eastAsia="Cambria" w:cs="Cambria"/>
              <w:b/>
              <w:spacing w:val="4"/>
              <w:position w:val="-2"/>
              <w:sz w:val="40"/>
              <w:szCs w:val="40"/>
            </w:rPr>
            <w:t>A</w:t>
          </w:r>
          <w:r w:rsidRPr="00664FCB">
            <w:rPr>
              <w:rFonts w:eastAsia="Cambria" w:cs="Cambria"/>
              <w:b/>
              <w:spacing w:val="5"/>
              <w:position w:val="-2"/>
              <w:sz w:val="40"/>
              <w:szCs w:val="40"/>
            </w:rPr>
            <w:t>pp</w:t>
          </w:r>
          <w:r w:rsidRPr="00664FCB">
            <w:rPr>
              <w:rFonts w:eastAsia="Cambria" w:cs="Cambria"/>
              <w:b/>
              <w:spacing w:val="4"/>
              <w:position w:val="-2"/>
              <w:sz w:val="40"/>
              <w:szCs w:val="40"/>
            </w:rPr>
            <w:t>li</w:t>
          </w:r>
          <w:r w:rsidRPr="00664FCB">
            <w:rPr>
              <w:rFonts w:eastAsia="Cambria" w:cs="Cambria"/>
              <w:b/>
              <w:spacing w:val="5"/>
              <w:position w:val="-2"/>
              <w:sz w:val="40"/>
              <w:szCs w:val="40"/>
            </w:rPr>
            <w:t>e</w:t>
          </w:r>
          <w:r w:rsidRPr="00664FCB">
            <w:rPr>
              <w:rFonts w:eastAsia="Cambria" w:cs="Cambria"/>
              <w:b/>
              <w:position w:val="-2"/>
              <w:sz w:val="40"/>
              <w:szCs w:val="40"/>
            </w:rPr>
            <w:t>d</w:t>
          </w:r>
          <w:r w:rsidRPr="00664FCB">
            <w:rPr>
              <w:rFonts w:eastAsia="Cambria" w:cs="Cambria"/>
              <w:b/>
              <w:spacing w:val="8"/>
              <w:position w:val="-2"/>
              <w:sz w:val="40"/>
              <w:szCs w:val="40"/>
            </w:rPr>
            <w:t xml:space="preserve"> </w:t>
          </w:r>
          <w:r w:rsidRPr="00664FCB">
            <w:rPr>
              <w:rFonts w:eastAsia="Cambria" w:cs="Cambria"/>
              <w:b/>
              <w:spacing w:val="2"/>
              <w:position w:val="-2"/>
              <w:sz w:val="40"/>
              <w:szCs w:val="40"/>
            </w:rPr>
            <w:t>A</w:t>
          </w:r>
          <w:r w:rsidRPr="00664FCB">
            <w:rPr>
              <w:rFonts w:eastAsia="Cambria" w:cs="Cambria"/>
              <w:b/>
              <w:spacing w:val="4"/>
              <w:position w:val="-2"/>
              <w:sz w:val="40"/>
              <w:szCs w:val="40"/>
            </w:rPr>
            <w:t>g</w:t>
          </w:r>
          <w:r w:rsidRPr="00664FCB">
            <w:rPr>
              <w:rFonts w:eastAsia="Cambria" w:cs="Cambria"/>
              <w:b/>
              <w:spacing w:val="5"/>
              <w:position w:val="-2"/>
              <w:sz w:val="40"/>
              <w:szCs w:val="40"/>
            </w:rPr>
            <w:t>e</w:t>
          </w:r>
          <w:r w:rsidRPr="00664FCB">
            <w:rPr>
              <w:rFonts w:eastAsia="Cambria" w:cs="Cambria"/>
              <w:b/>
              <w:position w:val="-2"/>
              <w:sz w:val="40"/>
              <w:szCs w:val="40"/>
            </w:rPr>
            <w:t>d</w:t>
          </w:r>
          <w:r w:rsidRPr="00664FCB">
            <w:rPr>
              <w:rFonts w:eastAsia="Cambria" w:cs="Cambria"/>
              <w:b/>
              <w:spacing w:val="8"/>
              <w:position w:val="-2"/>
              <w:sz w:val="40"/>
              <w:szCs w:val="40"/>
            </w:rPr>
            <w:t xml:space="preserve"> </w:t>
          </w:r>
          <w:r w:rsidRPr="00664FCB">
            <w:rPr>
              <w:rFonts w:eastAsia="Cambria" w:cs="Cambria"/>
              <w:b/>
              <w:spacing w:val="4"/>
              <w:position w:val="-2"/>
              <w:sz w:val="40"/>
              <w:szCs w:val="40"/>
            </w:rPr>
            <w:t>C</w:t>
          </w:r>
          <w:r w:rsidRPr="00664FCB">
            <w:rPr>
              <w:rFonts w:eastAsia="Cambria" w:cs="Cambria"/>
              <w:b/>
              <w:spacing w:val="5"/>
              <w:position w:val="-2"/>
              <w:sz w:val="40"/>
              <w:szCs w:val="40"/>
            </w:rPr>
            <w:t>a</w:t>
          </w:r>
          <w:r w:rsidRPr="00664FCB">
            <w:rPr>
              <w:rFonts w:eastAsia="Cambria" w:cs="Cambria"/>
              <w:b/>
              <w:spacing w:val="-2"/>
              <w:position w:val="-2"/>
              <w:sz w:val="40"/>
              <w:szCs w:val="40"/>
            </w:rPr>
            <w:t>r</w:t>
          </w:r>
          <w:r w:rsidRPr="00664FCB">
            <w:rPr>
              <w:rFonts w:eastAsia="Cambria" w:cs="Cambria"/>
              <w:b/>
              <w:position w:val="-2"/>
              <w:sz w:val="40"/>
              <w:szCs w:val="40"/>
            </w:rPr>
            <w:t>e</w:t>
          </w:r>
          <w:r w:rsidRPr="00664FCB">
            <w:rPr>
              <w:rFonts w:eastAsia="Cambria" w:cs="Cambria"/>
              <w:b/>
              <w:spacing w:val="10"/>
              <w:position w:val="-2"/>
              <w:sz w:val="40"/>
              <w:szCs w:val="40"/>
            </w:rPr>
            <w:t xml:space="preserve"> </w:t>
          </w:r>
          <w:r w:rsidRPr="00664FCB">
            <w:rPr>
              <w:rFonts w:eastAsia="Cambria" w:cs="Cambria"/>
              <w:b/>
              <w:spacing w:val="3"/>
              <w:position w:val="-2"/>
              <w:sz w:val="40"/>
              <w:szCs w:val="40"/>
            </w:rPr>
            <w:t>S</w:t>
          </w:r>
          <w:r w:rsidRPr="00664FCB">
            <w:rPr>
              <w:rFonts w:eastAsia="Cambria" w:cs="Cambria"/>
              <w:b/>
              <w:spacing w:val="4"/>
              <w:position w:val="-2"/>
              <w:sz w:val="40"/>
              <w:szCs w:val="40"/>
            </w:rPr>
            <w:t>ol</w:t>
          </w:r>
          <w:r w:rsidRPr="00664FCB">
            <w:rPr>
              <w:rFonts w:eastAsia="Cambria" w:cs="Cambria"/>
              <w:b/>
              <w:spacing w:val="5"/>
              <w:position w:val="-2"/>
              <w:sz w:val="40"/>
              <w:szCs w:val="40"/>
            </w:rPr>
            <w:t>u</w:t>
          </w:r>
          <w:r w:rsidRPr="00664FCB">
            <w:rPr>
              <w:rFonts w:eastAsia="Cambria" w:cs="Cambria"/>
              <w:b/>
              <w:spacing w:val="3"/>
              <w:position w:val="-2"/>
              <w:sz w:val="40"/>
              <w:szCs w:val="40"/>
            </w:rPr>
            <w:t>t</w:t>
          </w:r>
          <w:r w:rsidRPr="00664FCB">
            <w:rPr>
              <w:rFonts w:eastAsia="Cambria" w:cs="Cambria"/>
              <w:b/>
              <w:spacing w:val="4"/>
              <w:position w:val="-2"/>
              <w:sz w:val="40"/>
              <w:szCs w:val="40"/>
            </w:rPr>
            <w:t>ion</w:t>
          </w:r>
          <w:r w:rsidRPr="00664FCB">
            <w:rPr>
              <w:rFonts w:eastAsia="Cambria" w:cs="Cambria"/>
              <w:b/>
              <w:position w:val="-2"/>
              <w:sz w:val="40"/>
              <w:szCs w:val="40"/>
            </w:rPr>
            <w:t>s</w:t>
          </w:r>
          <w:r w:rsidRPr="00664FCB">
            <w:rPr>
              <w:rFonts w:eastAsia="Cambria" w:cs="Cambria"/>
              <w:b/>
              <w:spacing w:val="9"/>
              <w:position w:val="-2"/>
              <w:sz w:val="40"/>
              <w:szCs w:val="40"/>
            </w:rPr>
            <w:t xml:space="preserve"> </w:t>
          </w:r>
          <w:r w:rsidRPr="00664FCB">
            <w:rPr>
              <w:rFonts w:eastAsia="Cambria" w:cs="Cambria"/>
              <w:b/>
              <w:spacing w:val="4"/>
              <w:position w:val="-2"/>
              <w:sz w:val="40"/>
              <w:szCs w:val="40"/>
            </w:rPr>
            <w:t>P</w:t>
          </w:r>
          <w:r w:rsidRPr="00664FCB">
            <w:rPr>
              <w:rFonts w:eastAsia="Cambria" w:cs="Cambria"/>
              <w:b/>
              <w:spacing w:val="6"/>
              <w:position w:val="-2"/>
              <w:sz w:val="40"/>
              <w:szCs w:val="40"/>
            </w:rPr>
            <w:t>t</w:t>
          </w:r>
          <w:r w:rsidRPr="00664FCB">
            <w:rPr>
              <w:rFonts w:eastAsia="Cambria" w:cs="Cambria"/>
              <w:b/>
              <w:position w:val="-2"/>
              <w:sz w:val="40"/>
              <w:szCs w:val="40"/>
            </w:rPr>
            <w:t>y</w:t>
          </w:r>
          <w:r w:rsidRPr="00664FCB">
            <w:rPr>
              <w:rFonts w:eastAsia="Cambria" w:cs="Cambria"/>
              <w:b/>
              <w:spacing w:val="9"/>
              <w:position w:val="-2"/>
              <w:sz w:val="40"/>
              <w:szCs w:val="40"/>
            </w:rPr>
            <w:t xml:space="preserve"> </w:t>
          </w:r>
          <w:r w:rsidRPr="00664FCB">
            <w:rPr>
              <w:rFonts w:eastAsia="Cambria" w:cs="Cambria"/>
              <w:b/>
              <w:spacing w:val="3"/>
              <w:position w:val="-2"/>
              <w:sz w:val="40"/>
              <w:szCs w:val="40"/>
            </w:rPr>
            <w:t>L</w:t>
          </w:r>
          <w:r w:rsidRPr="00664FCB">
            <w:rPr>
              <w:rFonts w:eastAsia="Cambria" w:cs="Cambria"/>
              <w:b/>
              <w:position w:val="-2"/>
              <w:sz w:val="40"/>
              <w:szCs w:val="40"/>
            </w:rPr>
            <w:t>td</w:t>
          </w:r>
        </w:p>
        <w:p w:rsidR="00F64B69" w:rsidRPr="007146A9" w:rsidRDefault="00E07D14" w:rsidP="00E07D14">
          <w:pPr>
            <w:tabs>
              <w:tab w:val="decimal" w:pos="10490"/>
            </w:tabs>
            <w:spacing w:before="3480"/>
            <w:ind w:left="709" w:right="851"/>
            <w:jc w:val="right"/>
            <w:rPr>
              <w:sz w:val="22"/>
            </w:rPr>
          </w:pPr>
          <w:r>
            <w:rPr>
              <w:noProof/>
              <w:lang w:eastAsia="en-AU"/>
            </w:rPr>
            <w:drawing>
              <wp:inline distT="0" distB="0" distL="0" distR="0" wp14:anchorId="0FA85747" wp14:editId="4828EDB3">
                <wp:extent cx="790575" cy="952500"/>
                <wp:effectExtent l="0" t="0" r="9525" b="0"/>
                <wp:docPr id="234" name="Picture 234" descr="Applied Aged Care Solutions (AA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otype_AACS_trademark_v2b_0001"/>
                        <pic:cNvPicPr>
                          <a:picLocks noChangeAspect="1" noChangeArrowheads="1"/>
                        </pic:cNvPicPr>
                      </pic:nvPicPr>
                      <pic:blipFill>
                        <a:blip r:embed="rId8" cstate="print"/>
                        <a:srcRect/>
                        <a:stretch>
                          <a:fillRect/>
                        </a:stretch>
                      </pic:blipFill>
                      <pic:spPr bwMode="auto">
                        <a:xfrm>
                          <a:off x="0" y="0"/>
                          <a:ext cx="790575" cy="952500"/>
                        </a:xfrm>
                        <a:prstGeom prst="rect">
                          <a:avLst/>
                        </a:prstGeom>
                        <a:noFill/>
                        <a:ln w="9525">
                          <a:noFill/>
                          <a:miter lim="800000"/>
                          <a:headEnd/>
                          <a:tailEnd/>
                        </a:ln>
                      </pic:spPr>
                    </pic:pic>
                  </a:graphicData>
                </a:graphic>
              </wp:inline>
            </w:drawing>
          </w:r>
        </w:p>
        <w:p w:rsidR="00862E26" w:rsidRPr="00C357C7" w:rsidRDefault="00473246" w:rsidP="00C357C7">
          <w:pPr>
            <w:spacing w:after="200"/>
            <w:rPr>
              <w:rFonts w:eastAsia="Calibri"/>
              <w:bCs/>
              <w:color w:val="2F5496" w:themeColor="accent1" w:themeShade="BF"/>
              <w:spacing w:val="-1"/>
              <w:sz w:val="44"/>
              <w:szCs w:val="44"/>
            </w:rPr>
            <w:sectPr w:rsidR="00862E26" w:rsidRPr="00C357C7" w:rsidSect="00E07D14">
              <w:footerReference w:type="default" r:id="rId9"/>
              <w:headerReference w:type="first" r:id="rId10"/>
              <w:footerReference w:type="first" r:id="rId11"/>
              <w:pgSz w:w="11906" w:h="16838" w:code="9"/>
              <w:pgMar w:top="425" w:right="284" w:bottom="284" w:left="284" w:header="425" w:footer="709" w:gutter="0"/>
              <w:pgNumType w:start="0"/>
              <w:cols w:space="708"/>
              <w:titlePg/>
              <w:docGrid w:linePitch="360"/>
            </w:sectPr>
          </w:pPr>
        </w:p>
      </w:sdtContent>
    </w:sdt>
    <w:p w:rsidR="001D7EA2" w:rsidRDefault="001D7EA2" w:rsidP="00E07D14">
      <w:pPr>
        <w:sectPr w:rsidR="001D7EA2" w:rsidSect="00DD1FC6">
          <w:headerReference w:type="default" r:id="rId12"/>
          <w:type w:val="continuous"/>
          <w:pgSz w:w="11906" w:h="16838"/>
          <w:pgMar w:top="1440" w:right="1440" w:bottom="1440" w:left="1440" w:header="708" w:footer="708" w:gutter="0"/>
          <w:cols w:space="708"/>
          <w:docGrid w:linePitch="360"/>
        </w:sectPr>
      </w:pPr>
      <w:bookmarkStart w:id="0" w:name="_Toc162845488"/>
      <w:bookmarkStart w:id="1" w:name="_Toc478568225"/>
    </w:p>
    <w:p w:rsidR="005B15C0" w:rsidRPr="00ED6DFA" w:rsidRDefault="005B15C0" w:rsidP="003A66EA">
      <w:pPr>
        <w:pStyle w:val="ChapterHeading"/>
        <w:rPr>
          <w:rFonts w:asciiTheme="minorHAnsi" w:hAnsiTheme="minorHAnsi" w:cstheme="minorHAnsi"/>
          <w:color w:val="2F5496" w:themeColor="accent1" w:themeShade="BF"/>
        </w:rPr>
      </w:pPr>
      <w:r w:rsidRPr="00ED6DFA">
        <w:rPr>
          <w:rFonts w:asciiTheme="minorHAnsi" w:hAnsiTheme="minorHAnsi" w:cstheme="minorHAnsi"/>
          <w:color w:val="2F5496" w:themeColor="accent1" w:themeShade="BF"/>
        </w:rPr>
        <w:lastRenderedPageBreak/>
        <w:t>AUTHORS</w:t>
      </w:r>
    </w:p>
    <w:p w:rsidR="005B15C0" w:rsidRPr="005B15C0" w:rsidRDefault="005B15C0" w:rsidP="003A66EA">
      <w:pPr>
        <w:pStyle w:val="ChapterHeading"/>
        <w:rPr>
          <w:rFonts w:asciiTheme="minorHAnsi" w:hAnsiTheme="minorHAnsi" w:cstheme="minorHAnsi"/>
          <w:b w:val="0"/>
          <w:sz w:val="24"/>
          <w:szCs w:val="24"/>
        </w:rPr>
      </w:pPr>
      <w:r>
        <w:rPr>
          <w:rFonts w:asciiTheme="minorHAnsi" w:hAnsiTheme="minorHAnsi" w:cstheme="minorHAnsi"/>
          <w:b w:val="0"/>
          <w:sz w:val="24"/>
          <w:szCs w:val="24"/>
        </w:rPr>
        <w:t xml:space="preserve">This report was written by AACS team members Dr Richard Rosewarne, Janet Opie, </w:t>
      </w:r>
      <w:r w:rsidR="00BB2689">
        <w:rPr>
          <w:rFonts w:asciiTheme="minorHAnsi" w:hAnsiTheme="minorHAnsi" w:cstheme="minorHAnsi"/>
          <w:b w:val="0"/>
          <w:sz w:val="24"/>
          <w:szCs w:val="24"/>
        </w:rPr>
        <w:t>Dr</w:t>
      </w:r>
      <w:r w:rsidR="00E75728">
        <w:rPr>
          <w:rFonts w:asciiTheme="minorHAnsi" w:hAnsiTheme="minorHAnsi" w:cstheme="minorHAnsi"/>
          <w:b w:val="0"/>
          <w:sz w:val="24"/>
          <w:szCs w:val="24"/>
        </w:rPr>
        <w:t> </w:t>
      </w:r>
      <w:r w:rsidR="00BB2689">
        <w:rPr>
          <w:rFonts w:asciiTheme="minorHAnsi" w:hAnsiTheme="minorHAnsi" w:cstheme="minorHAnsi"/>
          <w:b w:val="0"/>
          <w:sz w:val="24"/>
          <w:szCs w:val="24"/>
        </w:rPr>
        <w:t xml:space="preserve">Richard Cumpston, Victoria Boyd and </w:t>
      </w:r>
      <w:r w:rsidR="00ED6DFA">
        <w:rPr>
          <w:rFonts w:asciiTheme="minorHAnsi" w:hAnsiTheme="minorHAnsi" w:cstheme="minorHAnsi"/>
          <w:b w:val="0"/>
          <w:sz w:val="24"/>
          <w:szCs w:val="24"/>
        </w:rPr>
        <w:t>Akira Kikkawa.</w:t>
      </w:r>
    </w:p>
    <w:p w:rsidR="003A66EA" w:rsidRPr="00CA7E84" w:rsidRDefault="003A66EA" w:rsidP="00CA7E84">
      <w:pPr>
        <w:pStyle w:val="TOCHeading"/>
      </w:pPr>
      <w:bookmarkStart w:id="2" w:name="_Hlk488500097"/>
      <w:r w:rsidRPr="00CA7E84">
        <w:t>ACKNOWLEDGEMENTS</w:t>
      </w:r>
      <w:bookmarkEnd w:id="0"/>
    </w:p>
    <w:p w:rsidR="003A66EA" w:rsidRDefault="00C14CEB" w:rsidP="003A66EA">
      <w:pPr>
        <w:rPr>
          <w:rFonts w:cstheme="minorHAnsi"/>
          <w:szCs w:val="24"/>
        </w:rPr>
      </w:pPr>
      <w:r>
        <w:rPr>
          <w:rFonts w:cstheme="minorHAnsi"/>
          <w:szCs w:val="24"/>
        </w:rPr>
        <w:t xml:space="preserve">We wish to thank </w:t>
      </w:r>
      <w:r w:rsidR="009A218F">
        <w:rPr>
          <w:rFonts w:cstheme="minorHAnsi"/>
          <w:szCs w:val="24"/>
        </w:rPr>
        <w:t xml:space="preserve">the </w:t>
      </w:r>
      <w:r w:rsidR="00A46A86">
        <w:rPr>
          <w:rFonts w:cstheme="minorHAnsi"/>
          <w:szCs w:val="24"/>
        </w:rPr>
        <w:t xml:space="preserve">people and organisations who </w:t>
      </w:r>
      <w:r w:rsidR="00867BB2">
        <w:rPr>
          <w:rFonts w:cstheme="minorHAnsi"/>
          <w:szCs w:val="24"/>
        </w:rPr>
        <w:t xml:space="preserve">gave </w:t>
      </w:r>
      <w:r w:rsidR="00A46A86">
        <w:rPr>
          <w:rFonts w:cstheme="minorHAnsi"/>
          <w:szCs w:val="24"/>
        </w:rPr>
        <w:t xml:space="preserve">generously </w:t>
      </w:r>
      <w:r w:rsidR="00867BB2">
        <w:rPr>
          <w:rFonts w:cstheme="minorHAnsi"/>
          <w:szCs w:val="24"/>
        </w:rPr>
        <w:t xml:space="preserve">of their time to </w:t>
      </w:r>
      <w:r w:rsidR="00A46A86">
        <w:rPr>
          <w:rFonts w:cstheme="minorHAnsi"/>
          <w:szCs w:val="24"/>
        </w:rPr>
        <w:t>p</w:t>
      </w:r>
      <w:r w:rsidR="009A218F">
        <w:rPr>
          <w:rFonts w:cstheme="minorHAnsi"/>
          <w:szCs w:val="24"/>
        </w:rPr>
        <w:t>articip</w:t>
      </w:r>
      <w:r w:rsidR="00867BB2">
        <w:rPr>
          <w:rFonts w:cstheme="minorHAnsi"/>
          <w:szCs w:val="24"/>
        </w:rPr>
        <w:t>ate</w:t>
      </w:r>
      <w:r w:rsidR="009A218F">
        <w:rPr>
          <w:rFonts w:cstheme="minorHAnsi"/>
          <w:szCs w:val="24"/>
        </w:rPr>
        <w:t xml:space="preserve"> in the consultation phase</w:t>
      </w:r>
      <w:r>
        <w:rPr>
          <w:rFonts w:cstheme="minorHAnsi"/>
          <w:szCs w:val="24"/>
        </w:rPr>
        <w:t xml:space="preserve"> and provide comment throughout the project period</w:t>
      </w:r>
      <w:r w:rsidR="00ED6DFA">
        <w:rPr>
          <w:rFonts w:cstheme="minorHAnsi"/>
          <w:szCs w:val="24"/>
        </w:rPr>
        <w:t>:</w:t>
      </w:r>
    </w:p>
    <w:p w:rsidR="00A46A86" w:rsidRDefault="006C5EDD" w:rsidP="00536EB7">
      <w:pPr>
        <w:numPr>
          <w:ilvl w:val="0"/>
          <w:numId w:val="2"/>
        </w:numPr>
        <w:spacing w:after="0"/>
        <w:ind w:left="289" w:hanging="289"/>
        <w:rPr>
          <w:rFonts w:cstheme="minorHAnsi"/>
          <w:szCs w:val="24"/>
        </w:rPr>
      </w:pPr>
      <w:r>
        <w:rPr>
          <w:rFonts w:cstheme="minorHAnsi"/>
          <w:szCs w:val="24"/>
        </w:rPr>
        <w:t>Funding Policy Branch from the Aged Care Policy and Regulation D</w:t>
      </w:r>
      <w:r w:rsidR="00A46A86">
        <w:rPr>
          <w:rFonts w:cstheme="minorHAnsi"/>
          <w:szCs w:val="24"/>
        </w:rPr>
        <w:t xml:space="preserve">ivision of the </w:t>
      </w:r>
      <w:r w:rsidR="00DD0D76">
        <w:rPr>
          <w:rFonts w:cstheme="minorHAnsi"/>
          <w:szCs w:val="24"/>
        </w:rPr>
        <w:t xml:space="preserve">Australian Government </w:t>
      </w:r>
      <w:r w:rsidR="00A46A86">
        <w:rPr>
          <w:rFonts w:cstheme="minorHAnsi"/>
          <w:szCs w:val="24"/>
        </w:rPr>
        <w:t>Department of Health</w:t>
      </w:r>
      <w:r>
        <w:rPr>
          <w:rFonts w:cstheme="minorHAnsi"/>
          <w:szCs w:val="24"/>
        </w:rPr>
        <w:t xml:space="preserve"> (DoH)</w:t>
      </w:r>
    </w:p>
    <w:p w:rsidR="003A66EA" w:rsidRDefault="009A218F" w:rsidP="00536EB7">
      <w:pPr>
        <w:numPr>
          <w:ilvl w:val="0"/>
          <w:numId w:val="2"/>
        </w:numPr>
        <w:spacing w:after="0"/>
        <w:ind w:left="289" w:hanging="289"/>
        <w:rPr>
          <w:rFonts w:cstheme="minorHAnsi"/>
          <w:szCs w:val="24"/>
        </w:rPr>
      </w:pPr>
      <w:r w:rsidRPr="009A218F">
        <w:rPr>
          <w:rFonts w:cstheme="minorHAnsi"/>
          <w:szCs w:val="24"/>
        </w:rPr>
        <w:t>ACFI Technical</w:t>
      </w:r>
      <w:r w:rsidR="003A66EA" w:rsidRPr="009A218F">
        <w:rPr>
          <w:rFonts w:cstheme="minorHAnsi"/>
          <w:szCs w:val="24"/>
        </w:rPr>
        <w:t xml:space="preserve"> Reference Group</w:t>
      </w:r>
      <w:r w:rsidRPr="009A218F">
        <w:rPr>
          <w:rFonts w:cstheme="minorHAnsi"/>
          <w:szCs w:val="24"/>
        </w:rPr>
        <w:t xml:space="preserve"> (TRG)</w:t>
      </w:r>
      <w:r w:rsidR="00C14CEB">
        <w:rPr>
          <w:rFonts w:cstheme="minorHAnsi"/>
          <w:szCs w:val="24"/>
        </w:rPr>
        <w:t xml:space="preserve"> with representatives from</w:t>
      </w:r>
    </w:p>
    <w:p w:rsidR="0012280B" w:rsidRPr="0012280B" w:rsidRDefault="0012280B" w:rsidP="0012280B">
      <w:pPr>
        <w:spacing w:after="0" w:line="240" w:lineRule="auto"/>
        <w:ind w:left="289"/>
        <w:rPr>
          <w:sz w:val="22"/>
        </w:rPr>
      </w:pPr>
      <w:r w:rsidRPr="0012280B">
        <w:t>Australian Physiotherapists Association -APA (Rik Dawson)</w:t>
      </w:r>
    </w:p>
    <w:p w:rsidR="0012280B" w:rsidRPr="0012280B" w:rsidRDefault="0012280B" w:rsidP="0012280B">
      <w:pPr>
        <w:spacing w:after="0" w:line="240" w:lineRule="auto"/>
        <w:ind w:left="289"/>
      </w:pPr>
      <w:r w:rsidRPr="0012280B">
        <w:t>Alzheimer’s Australia (Kaele Stokes)</w:t>
      </w:r>
    </w:p>
    <w:p w:rsidR="0012280B" w:rsidRPr="0012280B" w:rsidRDefault="0012280B" w:rsidP="0012280B">
      <w:pPr>
        <w:spacing w:after="0" w:line="240" w:lineRule="auto"/>
        <w:ind w:left="289"/>
      </w:pPr>
      <w:r w:rsidRPr="0012280B">
        <w:t>Australian &amp; New Zealand Society for Geriatric Medicine (Jeff Rowland)</w:t>
      </w:r>
    </w:p>
    <w:p w:rsidR="0012280B" w:rsidRPr="0012280B" w:rsidRDefault="0012280B" w:rsidP="0012280B">
      <w:pPr>
        <w:spacing w:after="0" w:line="240" w:lineRule="auto"/>
        <w:ind w:left="289"/>
      </w:pPr>
      <w:r w:rsidRPr="0012280B">
        <w:t>The Australian Pain Society (Fiona Hodson)</w:t>
      </w:r>
    </w:p>
    <w:p w:rsidR="0012280B" w:rsidRPr="0012280B" w:rsidRDefault="0012280B" w:rsidP="0012280B">
      <w:pPr>
        <w:spacing w:after="0" w:line="240" w:lineRule="auto"/>
        <w:ind w:left="289"/>
      </w:pPr>
      <w:r w:rsidRPr="0012280B">
        <w:t>Bethanie Aged Care (David Harrison)</w:t>
      </w:r>
    </w:p>
    <w:p w:rsidR="0012280B" w:rsidRPr="0012280B" w:rsidRDefault="0012280B" w:rsidP="0012280B">
      <w:pPr>
        <w:spacing w:after="0" w:line="240" w:lineRule="auto"/>
        <w:ind w:left="289"/>
      </w:pPr>
      <w:r w:rsidRPr="0012280B">
        <w:t>Aged and Community Services SA &amp; NT (ACSA) Derek Dittrich</w:t>
      </w:r>
    </w:p>
    <w:p w:rsidR="0012280B" w:rsidRPr="0012280B" w:rsidRDefault="0012280B" w:rsidP="0012280B">
      <w:pPr>
        <w:spacing w:after="0" w:line="240" w:lineRule="auto"/>
        <w:ind w:left="289"/>
      </w:pPr>
      <w:r w:rsidRPr="0012280B">
        <w:t>BUPA (Maureen Berry)</w:t>
      </w:r>
    </w:p>
    <w:p w:rsidR="0012280B" w:rsidRPr="0012280B" w:rsidRDefault="0012280B" w:rsidP="0012280B">
      <w:pPr>
        <w:spacing w:after="0" w:line="240" w:lineRule="auto"/>
        <w:ind w:left="289"/>
      </w:pPr>
      <w:r w:rsidRPr="0012280B">
        <w:t>Allied Health Professionals Australia (Michelle Bennett)</w:t>
      </w:r>
    </w:p>
    <w:p w:rsidR="0012280B" w:rsidRPr="0012280B" w:rsidRDefault="0012280B" w:rsidP="0012280B">
      <w:pPr>
        <w:spacing w:after="0" w:line="240" w:lineRule="auto"/>
        <w:ind w:left="289"/>
      </w:pPr>
      <w:r w:rsidRPr="0012280B">
        <w:t>Southern Cross Care (Katie Nott)</w:t>
      </w:r>
    </w:p>
    <w:p w:rsidR="0012280B" w:rsidRPr="0012280B" w:rsidRDefault="0012280B" w:rsidP="0012280B">
      <w:pPr>
        <w:spacing w:after="0" w:line="240" w:lineRule="auto"/>
        <w:ind w:left="289"/>
      </w:pPr>
      <w:r w:rsidRPr="0012280B">
        <w:t>Australian Nursing and Midwifery Federation (Janice McKenzie)</w:t>
      </w:r>
    </w:p>
    <w:p w:rsidR="003A66EA" w:rsidRPr="009A218F" w:rsidRDefault="009A218F" w:rsidP="00536EB7">
      <w:pPr>
        <w:numPr>
          <w:ilvl w:val="0"/>
          <w:numId w:val="2"/>
        </w:numPr>
        <w:spacing w:after="0"/>
        <w:ind w:left="289" w:hanging="289"/>
        <w:rPr>
          <w:rFonts w:cstheme="minorHAnsi"/>
          <w:szCs w:val="24"/>
        </w:rPr>
      </w:pPr>
      <w:r w:rsidRPr="009A218F">
        <w:rPr>
          <w:rFonts w:cstheme="minorHAnsi"/>
          <w:szCs w:val="24"/>
        </w:rPr>
        <w:t>Aged &amp; Community Services Australia (ACSA) executive and expert panel</w:t>
      </w:r>
    </w:p>
    <w:p w:rsidR="003A66EA" w:rsidRPr="009A218F" w:rsidRDefault="003A66EA" w:rsidP="00536EB7">
      <w:pPr>
        <w:numPr>
          <w:ilvl w:val="0"/>
          <w:numId w:val="2"/>
        </w:numPr>
        <w:spacing w:after="0"/>
        <w:ind w:left="289" w:hanging="289"/>
        <w:rPr>
          <w:rFonts w:cstheme="minorHAnsi"/>
          <w:szCs w:val="24"/>
        </w:rPr>
      </w:pPr>
      <w:r w:rsidRPr="009A218F">
        <w:rPr>
          <w:rFonts w:cstheme="minorHAnsi"/>
          <w:szCs w:val="24"/>
        </w:rPr>
        <w:t xml:space="preserve">Aged Care </w:t>
      </w:r>
      <w:r w:rsidR="009A218F" w:rsidRPr="009A218F">
        <w:rPr>
          <w:rFonts w:cstheme="minorHAnsi"/>
          <w:szCs w:val="24"/>
        </w:rPr>
        <w:t>Guild (ACG)</w:t>
      </w:r>
    </w:p>
    <w:p w:rsidR="003A66EA" w:rsidRPr="009A218F" w:rsidRDefault="009A218F" w:rsidP="00536EB7">
      <w:pPr>
        <w:numPr>
          <w:ilvl w:val="0"/>
          <w:numId w:val="2"/>
        </w:numPr>
        <w:spacing w:after="0"/>
        <w:ind w:left="289" w:hanging="289"/>
        <w:rPr>
          <w:rFonts w:cstheme="minorHAnsi"/>
          <w:szCs w:val="24"/>
        </w:rPr>
      </w:pPr>
      <w:r w:rsidRPr="009A218F">
        <w:rPr>
          <w:rFonts w:cstheme="minorHAnsi"/>
          <w:szCs w:val="24"/>
        </w:rPr>
        <w:t>Australian Continence Foundation (ACF)</w:t>
      </w:r>
    </w:p>
    <w:p w:rsidR="003A66EA" w:rsidRPr="00A46A86" w:rsidRDefault="009A218F" w:rsidP="00536EB7">
      <w:pPr>
        <w:pStyle w:val="ListParagraph"/>
        <w:numPr>
          <w:ilvl w:val="0"/>
          <w:numId w:val="2"/>
        </w:numPr>
        <w:spacing w:after="0"/>
        <w:ind w:left="289" w:hanging="289"/>
        <w:rPr>
          <w:rFonts w:cstheme="minorHAnsi"/>
          <w:szCs w:val="24"/>
        </w:rPr>
      </w:pPr>
      <w:r w:rsidRPr="009A218F">
        <w:rPr>
          <w:szCs w:val="24"/>
          <w:lang w:eastAsia="en-AU"/>
        </w:rPr>
        <w:t>Catholic Health Australia (CHA)</w:t>
      </w:r>
    </w:p>
    <w:p w:rsidR="00A46A86" w:rsidRPr="009A218F" w:rsidRDefault="00A46A86" w:rsidP="00536EB7">
      <w:pPr>
        <w:numPr>
          <w:ilvl w:val="0"/>
          <w:numId w:val="2"/>
        </w:numPr>
        <w:spacing w:after="0"/>
        <w:ind w:left="289" w:hanging="289"/>
        <w:rPr>
          <w:rFonts w:cstheme="minorHAnsi"/>
          <w:szCs w:val="24"/>
        </w:rPr>
      </w:pPr>
      <w:r>
        <w:rPr>
          <w:rFonts w:cstheme="minorHAnsi"/>
          <w:szCs w:val="24"/>
        </w:rPr>
        <w:t>Commonwealth</w:t>
      </w:r>
      <w:r w:rsidRPr="009A218F">
        <w:rPr>
          <w:rFonts w:cstheme="minorHAnsi"/>
          <w:szCs w:val="24"/>
        </w:rPr>
        <w:t xml:space="preserve"> Review Officers</w:t>
      </w:r>
      <w:r w:rsidR="00C14CEB">
        <w:rPr>
          <w:rFonts w:cstheme="minorHAnsi"/>
          <w:szCs w:val="24"/>
        </w:rPr>
        <w:t xml:space="preserve"> (CRO)</w:t>
      </w:r>
    </w:p>
    <w:p w:rsidR="009A218F" w:rsidRPr="009A218F" w:rsidRDefault="009A218F" w:rsidP="00536EB7">
      <w:pPr>
        <w:pStyle w:val="ListParagraph"/>
        <w:numPr>
          <w:ilvl w:val="0"/>
          <w:numId w:val="2"/>
        </w:numPr>
        <w:spacing w:after="0"/>
        <w:ind w:left="289" w:hanging="289"/>
        <w:rPr>
          <w:rFonts w:cstheme="minorHAnsi"/>
          <w:szCs w:val="24"/>
        </w:rPr>
      </w:pPr>
      <w:r w:rsidRPr="009A218F">
        <w:rPr>
          <w:szCs w:val="24"/>
          <w:lang w:eastAsia="en-AU"/>
        </w:rPr>
        <w:t>Council on the Ageing (COTA) Ian Yates</w:t>
      </w:r>
    </w:p>
    <w:p w:rsidR="009A218F" w:rsidRPr="009A218F" w:rsidRDefault="009A218F" w:rsidP="00536EB7">
      <w:pPr>
        <w:pStyle w:val="ListParagraph"/>
        <w:numPr>
          <w:ilvl w:val="0"/>
          <w:numId w:val="2"/>
        </w:numPr>
        <w:spacing w:after="0"/>
        <w:ind w:left="289" w:hanging="289"/>
        <w:rPr>
          <w:rFonts w:cstheme="minorHAnsi"/>
          <w:szCs w:val="24"/>
        </w:rPr>
      </w:pPr>
      <w:r w:rsidRPr="009A218F">
        <w:rPr>
          <w:szCs w:val="24"/>
          <w:lang w:eastAsia="en-AU"/>
        </w:rPr>
        <w:t xml:space="preserve">Exercise </w:t>
      </w:r>
      <w:r w:rsidR="00C14CEB">
        <w:rPr>
          <w:szCs w:val="24"/>
          <w:lang w:eastAsia="en-AU"/>
        </w:rPr>
        <w:t xml:space="preserve">and Sports Science Australia </w:t>
      </w:r>
      <w:r w:rsidRPr="009A218F">
        <w:rPr>
          <w:szCs w:val="24"/>
          <w:lang w:eastAsia="en-AU"/>
        </w:rPr>
        <w:t>(ESSA)</w:t>
      </w:r>
    </w:p>
    <w:p w:rsidR="009A218F" w:rsidRPr="009A218F" w:rsidRDefault="009A218F" w:rsidP="00536EB7">
      <w:pPr>
        <w:pStyle w:val="ListParagraph"/>
        <w:numPr>
          <w:ilvl w:val="0"/>
          <w:numId w:val="2"/>
        </w:numPr>
        <w:spacing w:after="0"/>
        <w:ind w:left="289" w:hanging="289"/>
        <w:rPr>
          <w:rFonts w:cstheme="minorHAnsi"/>
          <w:szCs w:val="24"/>
        </w:rPr>
      </w:pPr>
      <w:r w:rsidRPr="009A218F">
        <w:rPr>
          <w:szCs w:val="24"/>
          <w:lang w:eastAsia="en-AU"/>
        </w:rPr>
        <w:t xml:space="preserve">Leading Age Services Australia (LASA) </w:t>
      </w:r>
      <w:r w:rsidRPr="009A218F">
        <w:rPr>
          <w:rFonts w:cstheme="minorHAnsi"/>
          <w:szCs w:val="24"/>
        </w:rPr>
        <w:t>executive and expert panel</w:t>
      </w:r>
    </w:p>
    <w:p w:rsidR="009A218F" w:rsidRPr="00CE3379" w:rsidRDefault="009A218F" w:rsidP="00536EB7">
      <w:pPr>
        <w:pStyle w:val="ListParagraph"/>
        <w:numPr>
          <w:ilvl w:val="0"/>
          <w:numId w:val="2"/>
        </w:numPr>
        <w:spacing w:after="0"/>
        <w:ind w:left="289" w:hanging="289"/>
        <w:rPr>
          <w:rFonts w:cstheme="minorHAnsi"/>
          <w:szCs w:val="24"/>
        </w:rPr>
      </w:pPr>
      <w:r w:rsidRPr="009A218F">
        <w:rPr>
          <w:szCs w:val="24"/>
          <w:lang w:eastAsia="en-AU"/>
        </w:rPr>
        <w:t>Victorian Aged Care Assessment Team</w:t>
      </w:r>
      <w:r>
        <w:rPr>
          <w:szCs w:val="24"/>
          <w:lang w:eastAsia="en-AU"/>
        </w:rPr>
        <w:t xml:space="preserve"> </w:t>
      </w:r>
      <w:r w:rsidR="00C14CEB">
        <w:rPr>
          <w:szCs w:val="24"/>
          <w:lang w:eastAsia="en-AU"/>
        </w:rPr>
        <w:t xml:space="preserve">Program Departmental </w:t>
      </w:r>
      <w:r>
        <w:rPr>
          <w:szCs w:val="24"/>
          <w:lang w:eastAsia="en-AU"/>
        </w:rPr>
        <w:t>representative</w:t>
      </w:r>
      <w:r w:rsidR="00A46A86">
        <w:rPr>
          <w:szCs w:val="24"/>
          <w:lang w:eastAsia="en-AU"/>
        </w:rPr>
        <w:t>s</w:t>
      </w:r>
    </w:p>
    <w:p w:rsidR="00980F62" w:rsidRDefault="00AB758A" w:rsidP="00536EB7">
      <w:pPr>
        <w:pStyle w:val="ListParagraph"/>
        <w:numPr>
          <w:ilvl w:val="0"/>
          <w:numId w:val="2"/>
        </w:numPr>
        <w:spacing w:after="0"/>
        <w:ind w:left="289" w:hanging="289"/>
        <w:rPr>
          <w:rFonts w:cstheme="minorHAnsi"/>
          <w:szCs w:val="24"/>
        </w:rPr>
      </w:pPr>
      <w:r>
        <w:rPr>
          <w:rFonts w:cstheme="minorHAnsi"/>
          <w:szCs w:val="24"/>
        </w:rPr>
        <w:t>Wounds Australia</w:t>
      </w:r>
    </w:p>
    <w:p w:rsidR="00340E3A" w:rsidRPr="006B0ECF" w:rsidRDefault="00340E3A" w:rsidP="00536EB7">
      <w:pPr>
        <w:pStyle w:val="ListParagraph"/>
        <w:numPr>
          <w:ilvl w:val="0"/>
          <w:numId w:val="2"/>
        </w:numPr>
        <w:spacing w:before="100" w:beforeAutospacing="1" w:after="100" w:afterAutospacing="1"/>
        <w:rPr>
          <w:sz w:val="22"/>
        </w:rPr>
      </w:pPr>
      <w:r>
        <w:t>Sue Templeton, Nurse Practitioner Wound Management, Credentialed Wound Clinician</w:t>
      </w:r>
    </w:p>
    <w:p w:rsidR="006B0ECF" w:rsidRDefault="006B0ECF" w:rsidP="00536EB7">
      <w:pPr>
        <w:pStyle w:val="ListParagraph"/>
        <w:numPr>
          <w:ilvl w:val="0"/>
          <w:numId w:val="2"/>
        </w:numPr>
        <w:spacing w:before="100" w:beforeAutospacing="1" w:after="100" w:afterAutospacing="1"/>
        <w:rPr>
          <w:szCs w:val="24"/>
        </w:rPr>
      </w:pPr>
      <w:r w:rsidRPr="008851B1">
        <w:rPr>
          <w:szCs w:val="24"/>
        </w:rPr>
        <w:t xml:space="preserve">Jan Rice, </w:t>
      </w:r>
      <w:r w:rsidR="00755082" w:rsidRPr="008851B1">
        <w:rPr>
          <w:szCs w:val="24"/>
        </w:rPr>
        <w:t xml:space="preserve">RN, </w:t>
      </w:r>
      <w:r w:rsidRPr="008851B1">
        <w:rPr>
          <w:szCs w:val="24"/>
        </w:rPr>
        <w:t>Director Wound Care Services</w:t>
      </w:r>
    </w:p>
    <w:p w:rsidR="00C357C7" w:rsidRPr="00C357C7" w:rsidRDefault="00C357C7" w:rsidP="00536EB7">
      <w:pPr>
        <w:pStyle w:val="ListParagraph"/>
        <w:numPr>
          <w:ilvl w:val="0"/>
          <w:numId w:val="2"/>
        </w:numPr>
        <w:spacing w:before="100" w:beforeAutospacing="1" w:after="100" w:afterAutospacing="1"/>
        <w:rPr>
          <w:szCs w:val="24"/>
        </w:rPr>
      </w:pPr>
      <w:r w:rsidRPr="00C357C7">
        <w:t>Associate Professor Michael Woodward AM, Consultant Geriatrician, Director, Aged Care Research, Head, Memory and Wound Clinics, Austin Health</w:t>
      </w:r>
    </w:p>
    <w:p w:rsidR="009A218F" w:rsidRDefault="009A218F" w:rsidP="00536EB7">
      <w:pPr>
        <w:pStyle w:val="ListParagraph"/>
        <w:numPr>
          <w:ilvl w:val="0"/>
          <w:numId w:val="2"/>
        </w:numPr>
        <w:spacing w:after="0"/>
        <w:ind w:left="289" w:hanging="289"/>
        <w:rPr>
          <w:rFonts w:cstheme="minorHAnsi"/>
          <w:szCs w:val="24"/>
        </w:rPr>
      </w:pPr>
      <w:r>
        <w:rPr>
          <w:rFonts w:cstheme="minorHAnsi"/>
          <w:szCs w:val="24"/>
        </w:rPr>
        <w:t>Mr John Kennedy, Independent Social Care Consultant UK</w:t>
      </w:r>
    </w:p>
    <w:p w:rsidR="009A218F" w:rsidRDefault="009A218F" w:rsidP="00536EB7">
      <w:pPr>
        <w:pStyle w:val="ListParagraph"/>
        <w:numPr>
          <w:ilvl w:val="0"/>
          <w:numId w:val="2"/>
        </w:numPr>
        <w:spacing w:after="0"/>
        <w:ind w:left="289" w:hanging="289"/>
        <w:rPr>
          <w:rFonts w:cstheme="minorHAnsi"/>
          <w:szCs w:val="24"/>
        </w:rPr>
      </w:pPr>
      <w:r>
        <w:rPr>
          <w:rFonts w:cstheme="minorHAnsi"/>
          <w:szCs w:val="24"/>
        </w:rPr>
        <w:t>Mr Andrew Downs and Mr Ross Judge, Ministry of Health New Zealand</w:t>
      </w:r>
    </w:p>
    <w:p w:rsidR="00A46A86" w:rsidRPr="009A218F" w:rsidRDefault="00A46A86" w:rsidP="00536EB7">
      <w:pPr>
        <w:pStyle w:val="ListParagraph"/>
        <w:numPr>
          <w:ilvl w:val="0"/>
          <w:numId w:val="2"/>
        </w:numPr>
        <w:spacing w:after="0"/>
        <w:ind w:left="289" w:hanging="289"/>
        <w:rPr>
          <w:rFonts w:cstheme="minorHAnsi"/>
          <w:szCs w:val="24"/>
        </w:rPr>
      </w:pPr>
      <w:r>
        <w:rPr>
          <w:rFonts w:cstheme="minorHAnsi"/>
          <w:szCs w:val="24"/>
        </w:rPr>
        <w:t>Mr Jeff Hatcher, Canadian Institute for Health</w:t>
      </w:r>
    </w:p>
    <w:p w:rsidR="003A66EA" w:rsidRDefault="003A66EA" w:rsidP="006C765C">
      <w:pPr>
        <w:spacing w:before="360"/>
        <w:rPr>
          <w:rFonts w:cstheme="minorHAnsi"/>
          <w:szCs w:val="24"/>
        </w:rPr>
      </w:pPr>
      <w:r w:rsidRPr="003A66EA">
        <w:rPr>
          <w:rFonts w:cstheme="minorHAnsi"/>
          <w:szCs w:val="24"/>
        </w:rPr>
        <w:t>Dr Richard Rosewarne</w:t>
      </w:r>
      <w:r w:rsidR="00C357C7">
        <w:rPr>
          <w:rFonts w:cstheme="minorHAnsi"/>
          <w:szCs w:val="24"/>
        </w:rPr>
        <w:t xml:space="preserve">, </w:t>
      </w:r>
      <w:r w:rsidRPr="003A66EA">
        <w:rPr>
          <w:rFonts w:cstheme="minorHAnsi"/>
          <w:szCs w:val="24"/>
        </w:rPr>
        <w:t>Project Director</w:t>
      </w:r>
    </w:p>
    <w:p w:rsidR="00727EF2" w:rsidRDefault="00727EF2">
      <w:pPr>
        <w:spacing w:after="200"/>
        <w:jc w:val="left"/>
        <w:rPr>
          <w:rFonts w:cstheme="minorHAnsi"/>
          <w:szCs w:val="24"/>
        </w:rPr>
      </w:pPr>
      <w:r>
        <w:rPr>
          <w:rFonts w:cstheme="minorHAnsi"/>
          <w:szCs w:val="24"/>
        </w:rPr>
        <w:br w:type="page"/>
      </w:r>
    </w:p>
    <w:bookmarkEnd w:id="1" w:displacedByCustomXml="next"/>
    <w:bookmarkEnd w:id="2" w:displacedByCustomXml="next"/>
    <w:bookmarkStart w:id="3" w:name="_Toc478568227" w:displacedByCustomXml="next"/>
    <w:bookmarkStart w:id="4" w:name="_Toc477446403" w:displacedByCustomXml="next"/>
    <w:bookmarkStart w:id="5" w:name="_Toc477446326" w:displacedByCustomXml="next"/>
    <w:bookmarkStart w:id="6" w:name="_Toc477446171" w:displacedByCustomXml="next"/>
    <w:sdt>
      <w:sdtPr>
        <w:rPr>
          <w:rFonts w:eastAsiaTheme="minorHAnsi" w:cstheme="minorBidi"/>
          <w:b w:val="0"/>
          <w:color w:val="auto"/>
          <w:sz w:val="24"/>
          <w:szCs w:val="22"/>
          <w:lang w:eastAsia="en-US"/>
        </w:rPr>
        <w:id w:val="101541496"/>
        <w:docPartObj>
          <w:docPartGallery w:val="Table of Contents"/>
          <w:docPartUnique/>
        </w:docPartObj>
      </w:sdtPr>
      <w:sdtEndPr>
        <w:rPr>
          <w:bCs/>
          <w:noProof/>
        </w:rPr>
      </w:sdtEndPr>
      <w:sdtContent>
        <w:p w:rsidR="005D20F6" w:rsidRDefault="005D20F6" w:rsidP="00D030BF">
          <w:pPr>
            <w:pStyle w:val="TOCHeading"/>
          </w:pPr>
          <w:r>
            <w:t>Contents</w:t>
          </w:r>
        </w:p>
        <w:p w:rsidR="0057352F" w:rsidRDefault="00224E0B" w:rsidP="009F643E">
          <w:pPr>
            <w:pStyle w:val="TOC1"/>
            <w:tabs>
              <w:tab w:val="right" w:leader="dot" w:pos="9016"/>
            </w:tabs>
            <w:spacing w:after="60"/>
            <w:rPr>
              <w:rFonts w:eastAsiaTheme="minorEastAsia"/>
              <w:noProof/>
              <w:sz w:val="22"/>
              <w:lang w:eastAsia="en-AU"/>
            </w:rPr>
          </w:pPr>
          <w:r>
            <w:fldChar w:fldCharType="begin"/>
          </w:r>
          <w:r>
            <w:instrText xml:space="preserve"> TOC \o "1-2" \h \z \u </w:instrText>
          </w:r>
          <w:r>
            <w:fldChar w:fldCharType="separate"/>
          </w:r>
          <w:hyperlink w:anchor="_Toc491426009" w:history="1">
            <w:r w:rsidR="0057352F" w:rsidRPr="00002F56">
              <w:rPr>
                <w:rStyle w:val="Hyperlink"/>
                <w:rFonts w:eastAsia="Times New Roman"/>
                <w:noProof/>
                <w:lang w:eastAsia="en-AU"/>
              </w:rPr>
              <w:t xml:space="preserve">Main ACFI Review Report </w:t>
            </w:r>
            <w:r w:rsidR="0057352F" w:rsidRPr="00002F56">
              <w:rPr>
                <w:rStyle w:val="Hyperlink"/>
                <w:noProof/>
              </w:rPr>
              <w:t>Summary</w:t>
            </w:r>
            <w:r w:rsidR="0057352F">
              <w:rPr>
                <w:noProof/>
                <w:webHidden/>
              </w:rPr>
              <w:tab/>
            </w:r>
            <w:r w:rsidR="0057352F">
              <w:rPr>
                <w:noProof/>
                <w:webHidden/>
              </w:rPr>
              <w:fldChar w:fldCharType="begin"/>
            </w:r>
            <w:r w:rsidR="0057352F">
              <w:rPr>
                <w:noProof/>
                <w:webHidden/>
              </w:rPr>
              <w:instrText xml:space="preserve"> PAGEREF _Toc491426009 \h </w:instrText>
            </w:r>
            <w:r w:rsidR="0057352F">
              <w:rPr>
                <w:noProof/>
                <w:webHidden/>
              </w:rPr>
            </w:r>
            <w:r w:rsidR="0057352F">
              <w:rPr>
                <w:noProof/>
                <w:webHidden/>
              </w:rPr>
              <w:fldChar w:fldCharType="separate"/>
            </w:r>
            <w:r w:rsidR="00856E49">
              <w:rPr>
                <w:noProof/>
                <w:webHidden/>
              </w:rPr>
              <w:t>15</w:t>
            </w:r>
            <w:r w:rsidR="0057352F">
              <w:rPr>
                <w:noProof/>
                <w:webHidden/>
              </w:rPr>
              <w:fldChar w:fldCharType="end"/>
            </w:r>
          </w:hyperlink>
        </w:p>
        <w:p w:rsidR="0057352F" w:rsidRDefault="00473246">
          <w:pPr>
            <w:pStyle w:val="TOC2"/>
            <w:rPr>
              <w:rFonts w:eastAsiaTheme="minorEastAsia"/>
              <w:noProof/>
              <w:sz w:val="22"/>
              <w:lang w:eastAsia="en-AU"/>
            </w:rPr>
          </w:pPr>
          <w:hyperlink w:anchor="_Toc491426010" w:history="1">
            <w:r w:rsidR="0057352F" w:rsidRPr="00002F56">
              <w:rPr>
                <w:rStyle w:val="Hyperlink"/>
                <w:noProof/>
                <w:lang w:eastAsia="en-AU"/>
              </w:rPr>
              <w:t>Introduction</w:t>
            </w:r>
            <w:r w:rsidR="0057352F">
              <w:rPr>
                <w:noProof/>
                <w:webHidden/>
              </w:rPr>
              <w:tab/>
            </w:r>
            <w:r w:rsidR="0057352F">
              <w:rPr>
                <w:noProof/>
                <w:webHidden/>
              </w:rPr>
              <w:fldChar w:fldCharType="begin"/>
            </w:r>
            <w:r w:rsidR="0057352F">
              <w:rPr>
                <w:noProof/>
                <w:webHidden/>
              </w:rPr>
              <w:instrText xml:space="preserve"> PAGEREF _Toc491426010 \h </w:instrText>
            </w:r>
            <w:r w:rsidR="0057352F">
              <w:rPr>
                <w:noProof/>
                <w:webHidden/>
              </w:rPr>
            </w:r>
            <w:r w:rsidR="0057352F">
              <w:rPr>
                <w:noProof/>
                <w:webHidden/>
              </w:rPr>
              <w:fldChar w:fldCharType="separate"/>
            </w:r>
            <w:r w:rsidR="00856E49">
              <w:rPr>
                <w:noProof/>
                <w:webHidden/>
              </w:rPr>
              <w:t>15</w:t>
            </w:r>
            <w:r w:rsidR="0057352F">
              <w:rPr>
                <w:noProof/>
                <w:webHidden/>
              </w:rPr>
              <w:fldChar w:fldCharType="end"/>
            </w:r>
          </w:hyperlink>
        </w:p>
        <w:p w:rsidR="0057352F" w:rsidRDefault="00473246">
          <w:pPr>
            <w:pStyle w:val="TOC2"/>
            <w:rPr>
              <w:rFonts w:eastAsiaTheme="minorEastAsia"/>
              <w:noProof/>
              <w:sz w:val="22"/>
              <w:lang w:eastAsia="en-AU"/>
            </w:rPr>
          </w:pPr>
          <w:hyperlink w:anchor="_Toc491426011" w:history="1">
            <w:r w:rsidR="0057352F" w:rsidRPr="00002F56">
              <w:rPr>
                <w:rStyle w:val="Hyperlink"/>
                <w:noProof/>
                <w:lang w:eastAsia="en-AU"/>
              </w:rPr>
              <w:t>R-ACFI Overview</w:t>
            </w:r>
            <w:r w:rsidR="0057352F">
              <w:rPr>
                <w:noProof/>
                <w:webHidden/>
              </w:rPr>
              <w:tab/>
            </w:r>
            <w:r w:rsidR="0057352F">
              <w:rPr>
                <w:noProof/>
                <w:webHidden/>
              </w:rPr>
              <w:fldChar w:fldCharType="begin"/>
            </w:r>
            <w:r w:rsidR="0057352F">
              <w:rPr>
                <w:noProof/>
                <w:webHidden/>
              </w:rPr>
              <w:instrText xml:space="preserve"> PAGEREF _Toc491426011 \h </w:instrText>
            </w:r>
            <w:r w:rsidR="0057352F">
              <w:rPr>
                <w:noProof/>
                <w:webHidden/>
              </w:rPr>
            </w:r>
            <w:r w:rsidR="0057352F">
              <w:rPr>
                <w:noProof/>
                <w:webHidden/>
              </w:rPr>
              <w:fldChar w:fldCharType="separate"/>
            </w:r>
            <w:r w:rsidR="00856E49">
              <w:rPr>
                <w:noProof/>
                <w:webHidden/>
              </w:rPr>
              <w:t>15</w:t>
            </w:r>
            <w:r w:rsidR="0057352F">
              <w:rPr>
                <w:noProof/>
                <w:webHidden/>
              </w:rPr>
              <w:fldChar w:fldCharType="end"/>
            </w:r>
          </w:hyperlink>
        </w:p>
        <w:p w:rsidR="0057352F" w:rsidRDefault="00473246">
          <w:pPr>
            <w:pStyle w:val="TOC2"/>
            <w:rPr>
              <w:rFonts w:eastAsiaTheme="minorEastAsia"/>
              <w:noProof/>
              <w:sz w:val="22"/>
              <w:lang w:eastAsia="en-AU"/>
            </w:rPr>
          </w:pPr>
          <w:hyperlink w:anchor="_Toc491426012" w:history="1">
            <w:r w:rsidR="0057352F" w:rsidRPr="00002F56">
              <w:rPr>
                <w:rStyle w:val="Hyperlink"/>
                <w:noProof/>
                <w:lang w:eastAsia="en-AU"/>
              </w:rPr>
              <w:t>In developing R-ACFI, AACS has listened carefully to stakeholders</w:t>
            </w:r>
            <w:r w:rsidR="0057352F">
              <w:rPr>
                <w:noProof/>
                <w:webHidden/>
              </w:rPr>
              <w:tab/>
            </w:r>
            <w:r w:rsidR="0057352F">
              <w:rPr>
                <w:noProof/>
                <w:webHidden/>
              </w:rPr>
              <w:fldChar w:fldCharType="begin"/>
            </w:r>
            <w:r w:rsidR="0057352F">
              <w:rPr>
                <w:noProof/>
                <w:webHidden/>
              </w:rPr>
              <w:instrText xml:space="preserve"> PAGEREF _Toc491426012 \h </w:instrText>
            </w:r>
            <w:r w:rsidR="0057352F">
              <w:rPr>
                <w:noProof/>
                <w:webHidden/>
              </w:rPr>
            </w:r>
            <w:r w:rsidR="0057352F">
              <w:rPr>
                <w:noProof/>
                <w:webHidden/>
              </w:rPr>
              <w:fldChar w:fldCharType="separate"/>
            </w:r>
            <w:r w:rsidR="00856E49">
              <w:rPr>
                <w:noProof/>
                <w:webHidden/>
              </w:rPr>
              <w:t>16</w:t>
            </w:r>
            <w:r w:rsidR="0057352F">
              <w:rPr>
                <w:noProof/>
                <w:webHidden/>
              </w:rPr>
              <w:fldChar w:fldCharType="end"/>
            </w:r>
          </w:hyperlink>
        </w:p>
        <w:p w:rsidR="0057352F" w:rsidRDefault="00473246">
          <w:pPr>
            <w:pStyle w:val="TOC2"/>
            <w:rPr>
              <w:rFonts w:eastAsiaTheme="minorEastAsia"/>
              <w:noProof/>
              <w:sz w:val="22"/>
              <w:lang w:eastAsia="en-AU"/>
            </w:rPr>
          </w:pPr>
          <w:hyperlink w:anchor="_Toc491426013" w:history="1">
            <w:r w:rsidR="0057352F" w:rsidRPr="00002F56">
              <w:rPr>
                <w:rStyle w:val="Hyperlink"/>
                <w:noProof/>
              </w:rPr>
              <w:t>R-ACFI R-ADL domain</w:t>
            </w:r>
            <w:r w:rsidR="0057352F">
              <w:rPr>
                <w:noProof/>
                <w:webHidden/>
              </w:rPr>
              <w:tab/>
            </w:r>
            <w:r w:rsidR="0057352F">
              <w:rPr>
                <w:noProof/>
                <w:webHidden/>
              </w:rPr>
              <w:fldChar w:fldCharType="begin"/>
            </w:r>
            <w:r w:rsidR="0057352F">
              <w:rPr>
                <w:noProof/>
                <w:webHidden/>
              </w:rPr>
              <w:instrText xml:space="preserve"> PAGEREF _Toc491426013 \h </w:instrText>
            </w:r>
            <w:r w:rsidR="0057352F">
              <w:rPr>
                <w:noProof/>
                <w:webHidden/>
              </w:rPr>
            </w:r>
            <w:r w:rsidR="0057352F">
              <w:rPr>
                <w:noProof/>
                <w:webHidden/>
              </w:rPr>
              <w:fldChar w:fldCharType="separate"/>
            </w:r>
            <w:r w:rsidR="00856E49">
              <w:rPr>
                <w:noProof/>
                <w:webHidden/>
              </w:rPr>
              <w:t>16</w:t>
            </w:r>
            <w:r w:rsidR="0057352F">
              <w:rPr>
                <w:noProof/>
                <w:webHidden/>
              </w:rPr>
              <w:fldChar w:fldCharType="end"/>
            </w:r>
          </w:hyperlink>
        </w:p>
        <w:p w:rsidR="0057352F" w:rsidRDefault="00473246">
          <w:pPr>
            <w:pStyle w:val="TOC2"/>
            <w:rPr>
              <w:rFonts w:eastAsiaTheme="minorEastAsia"/>
              <w:noProof/>
              <w:sz w:val="22"/>
              <w:lang w:eastAsia="en-AU"/>
            </w:rPr>
          </w:pPr>
          <w:hyperlink w:anchor="_Toc491426014" w:history="1">
            <w:r w:rsidR="0057352F" w:rsidRPr="00002F56">
              <w:rPr>
                <w:rStyle w:val="Hyperlink"/>
                <w:noProof/>
              </w:rPr>
              <w:t>R-ACFI R-BEH domain</w:t>
            </w:r>
            <w:r w:rsidR="0057352F">
              <w:rPr>
                <w:noProof/>
                <w:webHidden/>
              </w:rPr>
              <w:tab/>
            </w:r>
            <w:r w:rsidR="0057352F">
              <w:rPr>
                <w:noProof/>
                <w:webHidden/>
              </w:rPr>
              <w:fldChar w:fldCharType="begin"/>
            </w:r>
            <w:r w:rsidR="0057352F">
              <w:rPr>
                <w:noProof/>
                <w:webHidden/>
              </w:rPr>
              <w:instrText xml:space="preserve"> PAGEREF _Toc491426014 \h </w:instrText>
            </w:r>
            <w:r w:rsidR="0057352F">
              <w:rPr>
                <w:noProof/>
                <w:webHidden/>
              </w:rPr>
            </w:r>
            <w:r w:rsidR="0057352F">
              <w:rPr>
                <w:noProof/>
                <w:webHidden/>
              </w:rPr>
              <w:fldChar w:fldCharType="separate"/>
            </w:r>
            <w:r w:rsidR="00856E49">
              <w:rPr>
                <w:noProof/>
                <w:webHidden/>
              </w:rPr>
              <w:t>17</w:t>
            </w:r>
            <w:r w:rsidR="0057352F">
              <w:rPr>
                <w:noProof/>
                <w:webHidden/>
              </w:rPr>
              <w:fldChar w:fldCharType="end"/>
            </w:r>
          </w:hyperlink>
        </w:p>
        <w:p w:rsidR="0057352F" w:rsidRDefault="00473246">
          <w:pPr>
            <w:pStyle w:val="TOC2"/>
            <w:rPr>
              <w:rFonts w:eastAsiaTheme="minorEastAsia"/>
              <w:noProof/>
              <w:sz w:val="22"/>
              <w:lang w:eastAsia="en-AU"/>
            </w:rPr>
          </w:pPr>
          <w:hyperlink w:anchor="_Toc491426015" w:history="1">
            <w:r w:rsidR="0057352F" w:rsidRPr="00002F56">
              <w:rPr>
                <w:rStyle w:val="Hyperlink"/>
                <w:noProof/>
              </w:rPr>
              <w:t>R-ACFI R-CHC domain</w:t>
            </w:r>
            <w:r w:rsidR="0057352F">
              <w:rPr>
                <w:noProof/>
                <w:webHidden/>
              </w:rPr>
              <w:tab/>
            </w:r>
            <w:r w:rsidR="0057352F">
              <w:rPr>
                <w:noProof/>
                <w:webHidden/>
              </w:rPr>
              <w:fldChar w:fldCharType="begin"/>
            </w:r>
            <w:r w:rsidR="0057352F">
              <w:rPr>
                <w:noProof/>
                <w:webHidden/>
              </w:rPr>
              <w:instrText xml:space="preserve"> PAGEREF _Toc491426015 \h </w:instrText>
            </w:r>
            <w:r w:rsidR="0057352F">
              <w:rPr>
                <w:noProof/>
                <w:webHidden/>
              </w:rPr>
            </w:r>
            <w:r w:rsidR="0057352F">
              <w:rPr>
                <w:noProof/>
                <w:webHidden/>
              </w:rPr>
              <w:fldChar w:fldCharType="separate"/>
            </w:r>
            <w:r w:rsidR="00856E49">
              <w:rPr>
                <w:noProof/>
                <w:webHidden/>
              </w:rPr>
              <w:t>18</w:t>
            </w:r>
            <w:r w:rsidR="0057352F">
              <w:rPr>
                <w:noProof/>
                <w:webHidden/>
              </w:rPr>
              <w:fldChar w:fldCharType="end"/>
            </w:r>
          </w:hyperlink>
        </w:p>
        <w:p w:rsidR="0057352F" w:rsidRDefault="00473246">
          <w:pPr>
            <w:pStyle w:val="TOC2"/>
            <w:rPr>
              <w:rFonts w:eastAsiaTheme="minorEastAsia"/>
              <w:noProof/>
              <w:sz w:val="22"/>
              <w:lang w:eastAsia="en-AU"/>
            </w:rPr>
          </w:pPr>
          <w:hyperlink w:anchor="_Toc491426016" w:history="1">
            <w:r w:rsidR="0057352F" w:rsidRPr="00002F56">
              <w:rPr>
                <w:rStyle w:val="Hyperlink"/>
                <w:noProof/>
              </w:rPr>
              <w:t>Therapy Program</w:t>
            </w:r>
            <w:r w:rsidR="0057352F">
              <w:rPr>
                <w:noProof/>
                <w:webHidden/>
              </w:rPr>
              <w:tab/>
            </w:r>
            <w:r w:rsidR="0057352F">
              <w:rPr>
                <w:noProof/>
                <w:webHidden/>
              </w:rPr>
              <w:fldChar w:fldCharType="begin"/>
            </w:r>
            <w:r w:rsidR="0057352F">
              <w:rPr>
                <w:noProof/>
                <w:webHidden/>
              </w:rPr>
              <w:instrText xml:space="preserve"> PAGEREF _Toc491426016 \h </w:instrText>
            </w:r>
            <w:r w:rsidR="0057352F">
              <w:rPr>
                <w:noProof/>
                <w:webHidden/>
              </w:rPr>
            </w:r>
            <w:r w:rsidR="0057352F">
              <w:rPr>
                <w:noProof/>
                <w:webHidden/>
              </w:rPr>
              <w:fldChar w:fldCharType="separate"/>
            </w:r>
            <w:r w:rsidR="00856E49">
              <w:rPr>
                <w:noProof/>
                <w:webHidden/>
              </w:rPr>
              <w:t>19</w:t>
            </w:r>
            <w:r w:rsidR="0057352F">
              <w:rPr>
                <w:noProof/>
                <w:webHidden/>
              </w:rPr>
              <w:fldChar w:fldCharType="end"/>
            </w:r>
          </w:hyperlink>
        </w:p>
        <w:p w:rsidR="0057352F" w:rsidRDefault="00473246">
          <w:pPr>
            <w:pStyle w:val="TOC2"/>
            <w:rPr>
              <w:rFonts w:eastAsiaTheme="minorEastAsia"/>
              <w:noProof/>
              <w:sz w:val="22"/>
              <w:lang w:eastAsia="en-AU"/>
            </w:rPr>
          </w:pPr>
          <w:hyperlink w:anchor="_Toc491426017" w:history="1">
            <w:r w:rsidR="0057352F" w:rsidRPr="00002F56">
              <w:rPr>
                <w:rStyle w:val="Hyperlink"/>
                <w:noProof/>
              </w:rPr>
              <w:t>R-ACFI Funding Distribution Analysis</w:t>
            </w:r>
            <w:r w:rsidR="0057352F">
              <w:rPr>
                <w:noProof/>
                <w:webHidden/>
              </w:rPr>
              <w:tab/>
            </w:r>
            <w:r w:rsidR="0057352F">
              <w:rPr>
                <w:noProof/>
                <w:webHidden/>
              </w:rPr>
              <w:fldChar w:fldCharType="begin"/>
            </w:r>
            <w:r w:rsidR="0057352F">
              <w:rPr>
                <w:noProof/>
                <w:webHidden/>
              </w:rPr>
              <w:instrText xml:space="preserve"> PAGEREF _Toc491426017 \h </w:instrText>
            </w:r>
            <w:r w:rsidR="0057352F">
              <w:rPr>
                <w:noProof/>
                <w:webHidden/>
              </w:rPr>
            </w:r>
            <w:r w:rsidR="0057352F">
              <w:rPr>
                <w:noProof/>
                <w:webHidden/>
              </w:rPr>
              <w:fldChar w:fldCharType="separate"/>
            </w:r>
            <w:r w:rsidR="00856E49">
              <w:rPr>
                <w:noProof/>
                <w:webHidden/>
              </w:rPr>
              <w:t>22</w:t>
            </w:r>
            <w:r w:rsidR="0057352F">
              <w:rPr>
                <w:noProof/>
                <w:webHidden/>
              </w:rPr>
              <w:fldChar w:fldCharType="end"/>
            </w:r>
          </w:hyperlink>
        </w:p>
        <w:p w:rsidR="0057352F" w:rsidRDefault="00473246">
          <w:pPr>
            <w:pStyle w:val="TOC2"/>
            <w:rPr>
              <w:rFonts w:eastAsiaTheme="minorEastAsia"/>
              <w:noProof/>
              <w:sz w:val="22"/>
              <w:lang w:eastAsia="en-AU"/>
            </w:rPr>
          </w:pPr>
          <w:hyperlink w:anchor="_Toc491426018" w:history="1">
            <w:r w:rsidR="0057352F" w:rsidRPr="00002F56">
              <w:rPr>
                <w:rStyle w:val="Hyperlink"/>
                <w:noProof/>
              </w:rPr>
              <w:t>External Assessment</w:t>
            </w:r>
            <w:r w:rsidR="0057352F">
              <w:rPr>
                <w:noProof/>
                <w:webHidden/>
              </w:rPr>
              <w:tab/>
            </w:r>
            <w:r w:rsidR="0057352F">
              <w:rPr>
                <w:noProof/>
                <w:webHidden/>
              </w:rPr>
              <w:fldChar w:fldCharType="begin"/>
            </w:r>
            <w:r w:rsidR="0057352F">
              <w:rPr>
                <w:noProof/>
                <w:webHidden/>
              </w:rPr>
              <w:instrText xml:space="preserve"> PAGEREF _Toc491426018 \h </w:instrText>
            </w:r>
            <w:r w:rsidR="0057352F">
              <w:rPr>
                <w:noProof/>
                <w:webHidden/>
              </w:rPr>
            </w:r>
            <w:r w:rsidR="0057352F">
              <w:rPr>
                <w:noProof/>
                <w:webHidden/>
              </w:rPr>
              <w:fldChar w:fldCharType="separate"/>
            </w:r>
            <w:r w:rsidR="00856E49">
              <w:rPr>
                <w:noProof/>
                <w:webHidden/>
              </w:rPr>
              <w:t>24</w:t>
            </w:r>
            <w:r w:rsidR="0057352F">
              <w:rPr>
                <w:noProof/>
                <w:webHidden/>
              </w:rPr>
              <w:fldChar w:fldCharType="end"/>
            </w:r>
          </w:hyperlink>
        </w:p>
        <w:p w:rsidR="0057352F" w:rsidRDefault="00473246">
          <w:pPr>
            <w:pStyle w:val="TOC2"/>
            <w:rPr>
              <w:rFonts w:eastAsiaTheme="minorEastAsia"/>
              <w:noProof/>
              <w:sz w:val="22"/>
              <w:lang w:eastAsia="en-AU"/>
            </w:rPr>
          </w:pPr>
          <w:hyperlink w:anchor="_Toc491426019" w:history="1">
            <w:r w:rsidR="0057352F" w:rsidRPr="00002F56">
              <w:rPr>
                <w:rStyle w:val="Hyperlink"/>
                <w:noProof/>
              </w:rPr>
              <w:t>Model Comparisons – Recommendations</w:t>
            </w:r>
            <w:r w:rsidR="0057352F">
              <w:rPr>
                <w:noProof/>
                <w:webHidden/>
              </w:rPr>
              <w:tab/>
            </w:r>
            <w:r w:rsidR="0057352F">
              <w:rPr>
                <w:noProof/>
                <w:webHidden/>
              </w:rPr>
              <w:fldChar w:fldCharType="begin"/>
            </w:r>
            <w:r w:rsidR="0057352F">
              <w:rPr>
                <w:noProof/>
                <w:webHidden/>
              </w:rPr>
              <w:instrText xml:space="preserve"> PAGEREF _Toc491426019 \h </w:instrText>
            </w:r>
            <w:r w:rsidR="0057352F">
              <w:rPr>
                <w:noProof/>
                <w:webHidden/>
              </w:rPr>
            </w:r>
            <w:r w:rsidR="0057352F">
              <w:rPr>
                <w:noProof/>
                <w:webHidden/>
              </w:rPr>
              <w:fldChar w:fldCharType="separate"/>
            </w:r>
            <w:r w:rsidR="00856E49">
              <w:rPr>
                <w:noProof/>
                <w:webHidden/>
              </w:rPr>
              <w:t>26</w:t>
            </w:r>
            <w:r w:rsidR="0057352F">
              <w:rPr>
                <w:noProof/>
                <w:webHidden/>
              </w:rPr>
              <w:fldChar w:fldCharType="end"/>
            </w:r>
          </w:hyperlink>
        </w:p>
        <w:p w:rsidR="0057352F" w:rsidRDefault="00473246">
          <w:pPr>
            <w:pStyle w:val="TOC1"/>
            <w:tabs>
              <w:tab w:val="left" w:pos="1320"/>
              <w:tab w:val="right" w:leader="dot" w:pos="9016"/>
            </w:tabs>
            <w:rPr>
              <w:rFonts w:eastAsiaTheme="minorEastAsia"/>
              <w:noProof/>
              <w:sz w:val="22"/>
              <w:lang w:eastAsia="en-AU"/>
            </w:rPr>
          </w:pPr>
          <w:hyperlink w:anchor="_Toc491426020" w:history="1">
            <w:r w:rsidR="0057352F" w:rsidRPr="00002F56">
              <w:rPr>
                <w:rStyle w:val="Hyperlink"/>
                <w:rFonts w:cstheme="minorHAnsi"/>
                <w:noProof/>
              </w:rPr>
              <w:t>Chapter 1:</w:t>
            </w:r>
            <w:r w:rsidR="0057352F">
              <w:rPr>
                <w:rFonts w:eastAsiaTheme="minorEastAsia"/>
                <w:noProof/>
                <w:sz w:val="22"/>
                <w:lang w:eastAsia="en-AU"/>
              </w:rPr>
              <w:tab/>
            </w:r>
            <w:r w:rsidR="0057352F" w:rsidRPr="00002F56">
              <w:rPr>
                <w:rStyle w:val="Hyperlink"/>
                <w:rFonts w:cstheme="minorHAnsi"/>
                <w:noProof/>
              </w:rPr>
              <w:t>ACFI Review Report Introduction</w:t>
            </w:r>
            <w:r w:rsidR="0057352F">
              <w:rPr>
                <w:noProof/>
                <w:webHidden/>
              </w:rPr>
              <w:tab/>
            </w:r>
            <w:r w:rsidR="0057352F">
              <w:rPr>
                <w:noProof/>
                <w:webHidden/>
              </w:rPr>
              <w:fldChar w:fldCharType="begin"/>
            </w:r>
            <w:r w:rsidR="0057352F">
              <w:rPr>
                <w:noProof/>
                <w:webHidden/>
              </w:rPr>
              <w:instrText xml:space="preserve"> PAGEREF _Toc491426020 \h </w:instrText>
            </w:r>
            <w:r w:rsidR="0057352F">
              <w:rPr>
                <w:noProof/>
                <w:webHidden/>
              </w:rPr>
            </w:r>
            <w:r w:rsidR="0057352F">
              <w:rPr>
                <w:noProof/>
                <w:webHidden/>
              </w:rPr>
              <w:fldChar w:fldCharType="separate"/>
            </w:r>
            <w:r w:rsidR="00856E49">
              <w:rPr>
                <w:noProof/>
                <w:webHidden/>
              </w:rPr>
              <w:t>29</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21" w:history="1">
            <w:r w:rsidR="0057352F" w:rsidRPr="00002F56">
              <w:rPr>
                <w:rStyle w:val="Hyperlink"/>
                <w:noProof/>
              </w:rPr>
              <w:t>1.1.</w:t>
            </w:r>
            <w:r w:rsidR="0057352F">
              <w:rPr>
                <w:rFonts w:eastAsiaTheme="minorEastAsia"/>
                <w:noProof/>
                <w:sz w:val="22"/>
                <w:lang w:eastAsia="en-AU"/>
              </w:rPr>
              <w:tab/>
            </w:r>
            <w:r w:rsidR="0057352F" w:rsidRPr="00002F56">
              <w:rPr>
                <w:rStyle w:val="Hyperlink"/>
                <w:noProof/>
              </w:rPr>
              <w:t>Aged care funding tools used in Australia</w:t>
            </w:r>
            <w:r w:rsidR="0057352F">
              <w:rPr>
                <w:noProof/>
                <w:webHidden/>
              </w:rPr>
              <w:tab/>
            </w:r>
            <w:r w:rsidR="0057352F">
              <w:rPr>
                <w:noProof/>
                <w:webHidden/>
              </w:rPr>
              <w:fldChar w:fldCharType="begin"/>
            </w:r>
            <w:r w:rsidR="0057352F">
              <w:rPr>
                <w:noProof/>
                <w:webHidden/>
              </w:rPr>
              <w:instrText xml:space="preserve"> PAGEREF _Toc491426021 \h </w:instrText>
            </w:r>
            <w:r w:rsidR="0057352F">
              <w:rPr>
                <w:noProof/>
                <w:webHidden/>
              </w:rPr>
            </w:r>
            <w:r w:rsidR="0057352F">
              <w:rPr>
                <w:noProof/>
                <w:webHidden/>
              </w:rPr>
              <w:fldChar w:fldCharType="separate"/>
            </w:r>
            <w:r w:rsidR="00856E49">
              <w:rPr>
                <w:noProof/>
                <w:webHidden/>
              </w:rPr>
              <w:t>29</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22" w:history="1">
            <w:r w:rsidR="0057352F" w:rsidRPr="00002F56">
              <w:rPr>
                <w:rStyle w:val="Hyperlink"/>
                <w:noProof/>
              </w:rPr>
              <w:t>1.2.</w:t>
            </w:r>
            <w:r w:rsidR="0057352F">
              <w:rPr>
                <w:rFonts w:eastAsiaTheme="minorEastAsia"/>
                <w:noProof/>
                <w:sz w:val="22"/>
                <w:lang w:eastAsia="en-AU"/>
              </w:rPr>
              <w:tab/>
            </w:r>
            <w:r w:rsidR="0057352F" w:rsidRPr="00002F56">
              <w:rPr>
                <w:rStyle w:val="Hyperlink"/>
                <w:noProof/>
              </w:rPr>
              <w:t>Development of the ACFI</w:t>
            </w:r>
            <w:r w:rsidR="0057352F">
              <w:rPr>
                <w:noProof/>
                <w:webHidden/>
              </w:rPr>
              <w:tab/>
            </w:r>
            <w:r w:rsidR="0057352F">
              <w:rPr>
                <w:noProof/>
                <w:webHidden/>
              </w:rPr>
              <w:fldChar w:fldCharType="begin"/>
            </w:r>
            <w:r w:rsidR="0057352F">
              <w:rPr>
                <w:noProof/>
                <w:webHidden/>
              </w:rPr>
              <w:instrText xml:space="preserve"> PAGEREF _Toc491426022 \h </w:instrText>
            </w:r>
            <w:r w:rsidR="0057352F">
              <w:rPr>
                <w:noProof/>
                <w:webHidden/>
              </w:rPr>
            </w:r>
            <w:r w:rsidR="0057352F">
              <w:rPr>
                <w:noProof/>
                <w:webHidden/>
              </w:rPr>
              <w:fldChar w:fldCharType="separate"/>
            </w:r>
            <w:r w:rsidR="00856E49">
              <w:rPr>
                <w:noProof/>
                <w:webHidden/>
              </w:rPr>
              <w:t>33</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23" w:history="1">
            <w:r w:rsidR="0057352F" w:rsidRPr="00002F56">
              <w:rPr>
                <w:rStyle w:val="Hyperlink"/>
                <w:noProof/>
              </w:rPr>
              <w:t>1.3.</w:t>
            </w:r>
            <w:r w:rsidR="0057352F">
              <w:rPr>
                <w:rFonts w:eastAsiaTheme="minorEastAsia"/>
                <w:noProof/>
                <w:sz w:val="22"/>
                <w:lang w:eastAsia="en-AU"/>
              </w:rPr>
              <w:tab/>
            </w:r>
            <w:r w:rsidR="0057352F" w:rsidRPr="00002F56">
              <w:rPr>
                <w:rStyle w:val="Hyperlink"/>
                <w:noProof/>
              </w:rPr>
              <w:t>Next Steps</w:t>
            </w:r>
            <w:r w:rsidR="0057352F">
              <w:rPr>
                <w:noProof/>
                <w:webHidden/>
              </w:rPr>
              <w:tab/>
            </w:r>
            <w:r w:rsidR="0057352F">
              <w:rPr>
                <w:noProof/>
                <w:webHidden/>
              </w:rPr>
              <w:fldChar w:fldCharType="begin"/>
            </w:r>
            <w:r w:rsidR="0057352F">
              <w:rPr>
                <w:noProof/>
                <w:webHidden/>
              </w:rPr>
              <w:instrText xml:space="preserve"> PAGEREF _Toc491426023 \h </w:instrText>
            </w:r>
            <w:r w:rsidR="0057352F">
              <w:rPr>
                <w:noProof/>
                <w:webHidden/>
              </w:rPr>
            </w:r>
            <w:r w:rsidR="0057352F">
              <w:rPr>
                <w:noProof/>
                <w:webHidden/>
              </w:rPr>
              <w:fldChar w:fldCharType="separate"/>
            </w:r>
            <w:r w:rsidR="00856E49">
              <w:rPr>
                <w:noProof/>
                <w:webHidden/>
              </w:rPr>
              <w:t>37</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24" w:history="1">
            <w:r w:rsidR="0057352F" w:rsidRPr="00002F56">
              <w:rPr>
                <w:rStyle w:val="Hyperlink"/>
                <w:noProof/>
              </w:rPr>
              <w:t>1.4.</w:t>
            </w:r>
            <w:r w:rsidR="0057352F">
              <w:rPr>
                <w:rFonts w:eastAsiaTheme="minorEastAsia"/>
                <w:noProof/>
                <w:sz w:val="22"/>
                <w:lang w:eastAsia="en-AU"/>
              </w:rPr>
              <w:tab/>
            </w:r>
            <w:r w:rsidR="0057352F" w:rsidRPr="00002F56">
              <w:rPr>
                <w:rStyle w:val="Hyperlink"/>
                <w:noProof/>
              </w:rPr>
              <w:t>ACFI Review Project - Terms of Reference</w:t>
            </w:r>
            <w:r w:rsidR="0057352F">
              <w:rPr>
                <w:noProof/>
                <w:webHidden/>
              </w:rPr>
              <w:tab/>
            </w:r>
            <w:r w:rsidR="0057352F">
              <w:rPr>
                <w:noProof/>
                <w:webHidden/>
              </w:rPr>
              <w:fldChar w:fldCharType="begin"/>
            </w:r>
            <w:r w:rsidR="0057352F">
              <w:rPr>
                <w:noProof/>
                <w:webHidden/>
              </w:rPr>
              <w:instrText xml:space="preserve"> PAGEREF _Toc491426024 \h </w:instrText>
            </w:r>
            <w:r w:rsidR="0057352F">
              <w:rPr>
                <w:noProof/>
                <w:webHidden/>
              </w:rPr>
            </w:r>
            <w:r w:rsidR="0057352F">
              <w:rPr>
                <w:noProof/>
                <w:webHidden/>
              </w:rPr>
              <w:fldChar w:fldCharType="separate"/>
            </w:r>
            <w:r w:rsidR="00856E49">
              <w:rPr>
                <w:noProof/>
                <w:webHidden/>
              </w:rPr>
              <w:t>38</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25" w:history="1">
            <w:r w:rsidR="0057352F" w:rsidRPr="00002F56">
              <w:rPr>
                <w:rStyle w:val="Hyperlink"/>
                <w:noProof/>
              </w:rPr>
              <w:t>1.5.</w:t>
            </w:r>
            <w:r w:rsidR="0057352F">
              <w:rPr>
                <w:rFonts w:eastAsiaTheme="minorEastAsia"/>
                <w:noProof/>
                <w:sz w:val="22"/>
                <w:lang w:eastAsia="en-AU"/>
              </w:rPr>
              <w:tab/>
            </w:r>
            <w:r w:rsidR="0057352F" w:rsidRPr="00002F56">
              <w:rPr>
                <w:rStyle w:val="Hyperlink"/>
                <w:noProof/>
              </w:rPr>
              <w:t>Organisation of the Report</w:t>
            </w:r>
            <w:r w:rsidR="0057352F">
              <w:rPr>
                <w:noProof/>
                <w:webHidden/>
              </w:rPr>
              <w:tab/>
            </w:r>
            <w:r w:rsidR="0057352F">
              <w:rPr>
                <w:noProof/>
                <w:webHidden/>
              </w:rPr>
              <w:fldChar w:fldCharType="begin"/>
            </w:r>
            <w:r w:rsidR="0057352F">
              <w:rPr>
                <w:noProof/>
                <w:webHidden/>
              </w:rPr>
              <w:instrText xml:space="preserve"> PAGEREF _Toc491426025 \h </w:instrText>
            </w:r>
            <w:r w:rsidR="0057352F">
              <w:rPr>
                <w:noProof/>
                <w:webHidden/>
              </w:rPr>
            </w:r>
            <w:r w:rsidR="0057352F">
              <w:rPr>
                <w:noProof/>
                <w:webHidden/>
              </w:rPr>
              <w:fldChar w:fldCharType="separate"/>
            </w:r>
            <w:r w:rsidR="00856E49">
              <w:rPr>
                <w:noProof/>
                <w:webHidden/>
              </w:rPr>
              <w:t>39</w:t>
            </w:r>
            <w:r w:rsidR="0057352F">
              <w:rPr>
                <w:noProof/>
                <w:webHidden/>
              </w:rPr>
              <w:fldChar w:fldCharType="end"/>
            </w:r>
          </w:hyperlink>
        </w:p>
        <w:p w:rsidR="0057352F" w:rsidRDefault="00473246">
          <w:pPr>
            <w:pStyle w:val="TOC1"/>
            <w:tabs>
              <w:tab w:val="left" w:pos="1320"/>
              <w:tab w:val="right" w:leader="dot" w:pos="9016"/>
            </w:tabs>
            <w:rPr>
              <w:rFonts w:eastAsiaTheme="minorEastAsia"/>
              <w:noProof/>
              <w:sz w:val="22"/>
              <w:lang w:eastAsia="en-AU"/>
            </w:rPr>
          </w:pPr>
          <w:hyperlink w:anchor="_Toc491426026" w:history="1">
            <w:r w:rsidR="0057352F" w:rsidRPr="00002F56">
              <w:rPr>
                <w:rStyle w:val="Hyperlink"/>
                <w:rFonts w:cstheme="minorHAnsi"/>
                <w:noProof/>
              </w:rPr>
              <w:t>Chapter 2:</w:t>
            </w:r>
            <w:r w:rsidR="0057352F">
              <w:rPr>
                <w:rFonts w:eastAsiaTheme="minorEastAsia"/>
                <w:noProof/>
                <w:sz w:val="22"/>
                <w:lang w:eastAsia="en-AU"/>
              </w:rPr>
              <w:tab/>
            </w:r>
            <w:r w:rsidR="0057352F" w:rsidRPr="00002F56">
              <w:rPr>
                <w:rStyle w:val="Hyperlink"/>
                <w:rFonts w:cstheme="minorHAnsi"/>
                <w:noProof/>
              </w:rPr>
              <w:t>Methods</w:t>
            </w:r>
            <w:r w:rsidR="0057352F">
              <w:rPr>
                <w:noProof/>
                <w:webHidden/>
              </w:rPr>
              <w:tab/>
            </w:r>
            <w:r w:rsidR="0057352F">
              <w:rPr>
                <w:noProof/>
                <w:webHidden/>
              </w:rPr>
              <w:fldChar w:fldCharType="begin"/>
            </w:r>
            <w:r w:rsidR="0057352F">
              <w:rPr>
                <w:noProof/>
                <w:webHidden/>
              </w:rPr>
              <w:instrText xml:space="preserve"> PAGEREF _Toc491426026 \h </w:instrText>
            </w:r>
            <w:r w:rsidR="0057352F">
              <w:rPr>
                <w:noProof/>
                <w:webHidden/>
              </w:rPr>
            </w:r>
            <w:r w:rsidR="0057352F">
              <w:rPr>
                <w:noProof/>
                <w:webHidden/>
              </w:rPr>
              <w:fldChar w:fldCharType="separate"/>
            </w:r>
            <w:r w:rsidR="00856E49">
              <w:rPr>
                <w:noProof/>
                <w:webHidden/>
              </w:rPr>
              <w:t>40</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27" w:history="1">
            <w:r w:rsidR="0057352F" w:rsidRPr="00002F56">
              <w:rPr>
                <w:rStyle w:val="Hyperlink"/>
                <w:noProof/>
                <w:lang w:eastAsia="en-AU"/>
              </w:rPr>
              <w:t>2.1.</w:t>
            </w:r>
            <w:r w:rsidR="0057352F">
              <w:rPr>
                <w:rFonts w:eastAsiaTheme="minorEastAsia"/>
                <w:noProof/>
                <w:sz w:val="22"/>
                <w:lang w:eastAsia="en-AU"/>
              </w:rPr>
              <w:tab/>
            </w:r>
            <w:r w:rsidR="0057352F" w:rsidRPr="00002F56">
              <w:rPr>
                <w:rStyle w:val="Hyperlink"/>
                <w:noProof/>
                <w:lang w:eastAsia="en-AU"/>
              </w:rPr>
              <w:t>Introduction</w:t>
            </w:r>
            <w:r w:rsidR="0057352F">
              <w:rPr>
                <w:noProof/>
                <w:webHidden/>
              </w:rPr>
              <w:tab/>
            </w:r>
            <w:r w:rsidR="0057352F">
              <w:rPr>
                <w:noProof/>
                <w:webHidden/>
              </w:rPr>
              <w:fldChar w:fldCharType="begin"/>
            </w:r>
            <w:r w:rsidR="0057352F">
              <w:rPr>
                <w:noProof/>
                <w:webHidden/>
              </w:rPr>
              <w:instrText xml:space="preserve"> PAGEREF _Toc491426027 \h </w:instrText>
            </w:r>
            <w:r w:rsidR="0057352F">
              <w:rPr>
                <w:noProof/>
                <w:webHidden/>
              </w:rPr>
            </w:r>
            <w:r w:rsidR="0057352F">
              <w:rPr>
                <w:noProof/>
                <w:webHidden/>
              </w:rPr>
              <w:fldChar w:fldCharType="separate"/>
            </w:r>
            <w:r w:rsidR="00856E49">
              <w:rPr>
                <w:noProof/>
                <w:webHidden/>
              </w:rPr>
              <w:t>40</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28" w:history="1">
            <w:r w:rsidR="0057352F" w:rsidRPr="00002F56">
              <w:rPr>
                <w:rStyle w:val="Hyperlink"/>
                <w:noProof/>
                <w:lang w:eastAsia="en-AU"/>
              </w:rPr>
              <w:t>2.2.</w:t>
            </w:r>
            <w:r w:rsidR="0057352F">
              <w:rPr>
                <w:rFonts w:eastAsiaTheme="minorEastAsia"/>
                <w:noProof/>
                <w:sz w:val="22"/>
                <w:lang w:eastAsia="en-AU"/>
              </w:rPr>
              <w:tab/>
            </w:r>
            <w:r w:rsidR="0057352F" w:rsidRPr="00002F56">
              <w:rPr>
                <w:rStyle w:val="Hyperlink"/>
                <w:noProof/>
                <w:lang w:eastAsia="en-AU"/>
              </w:rPr>
              <w:t>Project Activities</w:t>
            </w:r>
            <w:r w:rsidR="0057352F">
              <w:rPr>
                <w:noProof/>
                <w:webHidden/>
              </w:rPr>
              <w:tab/>
            </w:r>
            <w:r w:rsidR="0057352F">
              <w:rPr>
                <w:noProof/>
                <w:webHidden/>
              </w:rPr>
              <w:fldChar w:fldCharType="begin"/>
            </w:r>
            <w:r w:rsidR="0057352F">
              <w:rPr>
                <w:noProof/>
                <w:webHidden/>
              </w:rPr>
              <w:instrText xml:space="preserve"> PAGEREF _Toc491426028 \h </w:instrText>
            </w:r>
            <w:r w:rsidR="0057352F">
              <w:rPr>
                <w:noProof/>
                <w:webHidden/>
              </w:rPr>
            </w:r>
            <w:r w:rsidR="0057352F">
              <w:rPr>
                <w:noProof/>
                <w:webHidden/>
              </w:rPr>
              <w:fldChar w:fldCharType="separate"/>
            </w:r>
            <w:r w:rsidR="00856E49">
              <w:rPr>
                <w:noProof/>
                <w:webHidden/>
              </w:rPr>
              <w:t>41</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29" w:history="1">
            <w:r w:rsidR="0057352F" w:rsidRPr="00002F56">
              <w:rPr>
                <w:rStyle w:val="Hyperlink"/>
                <w:noProof/>
                <w:lang w:eastAsia="en-AU"/>
              </w:rPr>
              <w:t>2.3.</w:t>
            </w:r>
            <w:r w:rsidR="0057352F">
              <w:rPr>
                <w:rFonts w:eastAsiaTheme="minorEastAsia"/>
                <w:noProof/>
                <w:sz w:val="22"/>
                <w:lang w:eastAsia="en-AU"/>
              </w:rPr>
              <w:tab/>
            </w:r>
            <w:r w:rsidR="0057352F" w:rsidRPr="00002F56">
              <w:rPr>
                <w:rStyle w:val="Hyperlink"/>
                <w:noProof/>
                <w:lang w:eastAsia="en-AU"/>
              </w:rPr>
              <w:t>Data Analysis</w:t>
            </w:r>
            <w:r w:rsidR="0057352F">
              <w:rPr>
                <w:noProof/>
                <w:webHidden/>
              </w:rPr>
              <w:tab/>
            </w:r>
            <w:r w:rsidR="0057352F">
              <w:rPr>
                <w:noProof/>
                <w:webHidden/>
              </w:rPr>
              <w:fldChar w:fldCharType="begin"/>
            </w:r>
            <w:r w:rsidR="0057352F">
              <w:rPr>
                <w:noProof/>
                <w:webHidden/>
              </w:rPr>
              <w:instrText xml:space="preserve"> PAGEREF _Toc491426029 \h </w:instrText>
            </w:r>
            <w:r w:rsidR="0057352F">
              <w:rPr>
                <w:noProof/>
                <w:webHidden/>
              </w:rPr>
            </w:r>
            <w:r w:rsidR="0057352F">
              <w:rPr>
                <w:noProof/>
                <w:webHidden/>
              </w:rPr>
              <w:fldChar w:fldCharType="separate"/>
            </w:r>
            <w:r w:rsidR="00856E49">
              <w:rPr>
                <w:noProof/>
                <w:webHidden/>
              </w:rPr>
              <w:t>43</w:t>
            </w:r>
            <w:r w:rsidR="0057352F">
              <w:rPr>
                <w:noProof/>
                <w:webHidden/>
              </w:rPr>
              <w:fldChar w:fldCharType="end"/>
            </w:r>
          </w:hyperlink>
        </w:p>
        <w:p w:rsidR="0057352F" w:rsidRDefault="00473246">
          <w:pPr>
            <w:pStyle w:val="TOC1"/>
            <w:tabs>
              <w:tab w:val="left" w:pos="1320"/>
              <w:tab w:val="right" w:leader="dot" w:pos="9016"/>
            </w:tabs>
            <w:rPr>
              <w:rFonts w:eastAsiaTheme="minorEastAsia"/>
              <w:noProof/>
              <w:sz w:val="22"/>
              <w:lang w:eastAsia="en-AU"/>
            </w:rPr>
          </w:pPr>
          <w:hyperlink w:anchor="_Toc491426030" w:history="1">
            <w:r w:rsidR="0057352F" w:rsidRPr="00002F56">
              <w:rPr>
                <w:rStyle w:val="Hyperlink"/>
                <w:rFonts w:cstheme="minorHAnsi"/>
                <w:noProof/>
              </w:rPr>
              <w:t>Chapter 3:</w:t>
            </w:r>
            <w:r w:rsidR="0057352F">
              <w:rPr>
                <w:rFonts w:eastAsiaTheme="minorEastAsia"/>
                <w:noProof/>
                <w:sz w:val="22"/>
                <w:lang w:eastAsia="en-AU"/>
              </w:rPr>
              <w:tab/>
            </w:r>
            <w:r w:rsidR="0057352F" w:rsidRPr="00002F56">
              <w:rPr>
                <w:rStyle w:val="Hyperlink"/>
                <w:rFonts w:cstheme="minorHAnsi"/>
                <w:noProof/>
              </w:rPr>
              <w:t>Setting the Scene - the R-ACFI Model</w:t>
            </w:r>
            <w:r w:rsidR="0057352F">
              <w:rPr>
                <w:noProof/>
                <w:webHidden/>
              </w:rPr>
              <w:tab/>
            </w:r>
            <w:r w:rsidR="0057352F">
              <w:rPr>
                <w:noProof/>
                <w:webHidden/>
              </w:rPr>
              <w:fldChar w:fldCharType="begin"/>
            </w:r>
            <w:r w:rsidR="0057352F">
              <w:rPr>
                <w:noProof/>
                <w:webHidden/>
              </w:rPr>
              <w:instrText xml:space="preserve"> PAGEREF _Toc491426030 \h </w:instrText>
            </w:r>
            <w:r w:rsidR="0057352F">
              <w:rPr>
                <w:noProof/>
                <w:webHidden/>
              </w:rPr>
            </w:r>
            <w:r w:rsidR="0057352F">
              <w:rPr>
                <w:noProof/>
                <w:webHidden/>
              </w:rPr>
              <w:fldChar w:fldCharType="separate"/>
            </w:r>
            <w:r w:rsidR="00856E49">
              <w:rPr>
                <w:noProof/>
                <w:webHidden/>
              </w:rPr>
              <w:t>50</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31" w:history="1">
            <w:r w:rsidR="0057352F" w:rsidRPr="00002F56">
              <w:rPr>
                <w:rStyle w:val="Hyperlink"/>
                <w:noProof/>
              </w:rPr>
              <w:t>3.1.</w:t>
            </w:r>
            <w:r w:rsidR="0057352F">
              <w:rPr>
                <w:rFonts w:eastAsiaTheme="minorEastAsia"/>
                <w:noProof/>
                <w:sz w:val="22"/>
                <w:lang w:eastAsia="en-AU"/>
              </w:rPr>
              <w:tab/>
            </w:r>
            <w:r w:rsidR="0057352F" w:rsidRPr="00002F56">
              <w:rPr>
                <w:rStyle w:val="Hyperlink"/>
                <w:noProof/>
              </w:rPr>
              <w:t>The ACFI Review Project</w:t>
            </w:r>
            <w:r w:rsidR="0057352F">
              <w:rPr>
                <w:noProof/>
                <w:webHidden/>
              </w:rPr>
              <w:tab/>
            </w:r>
            <w:r w:rsidR="0057352F">
              <w:rPr>
                <w:noProof/>
                <w:webHidden/>
              </w:rPr>
              <w:fldChar w:fldCharType="begin"/>
            </w:r>
            <w:r w:rsidR="0057352F">
              <w:rPr>
                <w:noProof/>
                <w:webHidden/>
              </w:rPr>
              <w:instrText xml:space="preserve"> PAGEREF _Toc491426031 \h </w:instrText>
            </w:r>
            <w:r w:rsidR="0057352F">
              <w:rPr>
                <w:noProof/>
                <w:webHidden/>
              </w:rPr>
            </w:r>
            <w:r w:rsidR="0057352F">
              <w:rPr>
                <w:noProof/>
                <w:webHidden/>
              </w:rPr>
              <w:fldChar w:fldCharType="separate"/>
            </w:r>
            <w:r w:rsidR="00856E49">
              <w:rPr>
                <w:noProof/>
                <w:webHidden/>
              </w:rPr>
              <w:t>50</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32" w:history="1">
            <w:r w:rsidR="0057352F" w:rsidRPr="00002F56">
              <w:rPr>
                <w:rStyle w:val="Hyperlink"/>
                <w:noProof/>
              </w:rPr>
              <w:t>3.2.</w:t>
            </w:r>
            <w:r w:rsidR="0057352F">
              <w:rPr>
                <w:rFonts w:eastAsiaTheme="minorEastAsia"/>
                <w:noProof/>
                <w:sz w:val="22"/>
                <w:lang w:eastAsia="en-AU"/>
              </w:rPr>
              <w:tab/>
            </w:r>
            <w:r w:rsidR="0057352F" w:rsidRPr="00002F56">
              <w:rPr>
                <w:rStyle w:val="Hyperlink"/>
                <w:noProof/>
              </w:rPr>
              <w:t>Funding Model</w:t>
            </w:r>
            <w:r w:rsidR="0057352F">
              <w:rPr>
                <w:noProof/>
                <w:webHidden/>
              </w:rPr>
              <w:tab/>
            </w:r>
            <w:r w:rsidR="0057352F">
              <w:rPr>
                <w:noProof/>
                <w:webHidden/>
              </w:rPr>
              <w:fldChar w:fldCharType="begin"/>
            </w:r>
            <w:r w:rsidR="0057352F">
              <w:rPr>
                <w:noProof/>
                <w:webHidden/>
              </w:rPr>
              <w:instrText xml:space="preserve"> PAGEREF _Toc491426032 \h </w:instrText>
            </w:r>
            <w:r w:rsidR="0057352F">
              <w:rPr>
                <w:noProof/>
                <w:webHidden/>
              </w:rPr>
            </w:r>
            <w:r w:rsidR="0057352F">
              <w:rPr>
                <w:noProof/>
                <w:webHidden/>
              </w:rPr>
              <w:fldChar w:fldCharType="separate"/>
            </w:r>
            <w:r w:rsidR="00856E49">
              <w:rPr>
                <w:noProof/>
                <w:webHidden/>
              </w:rPr>
              <w:t>51</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33" w:history="1">
            <w:r w:rsidR="0057352F" w:rsidRPr="00002F56">
              <w:rPr>
                <w:rStyle w:val="Hyperlink"/>
                <w:noProof/>
              </w:rPr>
              <w:t>3.3.</w:t>
            </w:r>
            <w:r w:rsidR="0057352F">
              <w:rPr>
                <w:rFonts w:eastAsiaTheme="minorEastAsia"/>
                <w:noProof/>
                <w:sz w:val="22"/>
                <w:lang w:eastAsia="en-AU"/>
              </w:rPr>
              <w:tab/>
            </w:r>
            <w:r w:rsidR="0057352F" w:rsidRPr="00002F56">
              <w:rPr>
                <w:rStyle w:val="Hyperlink"/>
                <w:noProof/>
              </w:rPr>
              <w:t>R-ACFI Principles</w:t>
            </w:r>
            <w:r w:rsidR="0057352F">
              <w:rPr>
                <w:noProof/>
                <w:webHidden/>
              </w:rPr>
              <w:tab/>
            </w:r>
            <w:r w:rsidR="0057352F">
              <w:rPr>
                <w:noProof/>
                <w:webHidden/>
              </w:rPr>
              <w:fldChar w:fldCharType="begin"/>
            </w:r>
            <w:r w:rsidR="0057352F">
              <w:rPr>
                <w:noProof/>
                <w:webHidden/>
              </w:rPr>
              <w:instrText xml:space="preserve"> PAGEREF _Toc491426033 \h </w:instrText>
            </w:r>
            <w:r w:rsidR="0057352F">
              <w:rPr>
                <w:noProof/>
                <w:webHidden/>
              </w:rPr>
            </w:r>
            <w:r w:rsidR="0057352F">
              <w:rPr>
                <w:noProof/>
                <w:webHidden/>
              </w:rPr>
              <w:fldChar w:fldCharType="separate"/>
            </w:r>
            <w:r w:rsidR="00856E49">
              <w:rPr>
                <w:noProof/>
                <w:webHidden/>
              </w:rPr>
              <w:t>58</w:t>
            </w:r>
            <w:r w:rsidR="0057352F">
              <w:rPr>
                <w:noProof/>
                <w:webHidden/>
              </w:rPr>
              <w:fldChar w:fldCharType="end"/>
            </w:r>
          </w:hyperlink>
        </w:p>
        <w:p w:rsidR="0057352F" w:rsidRDefault="00473246">
          <w:pPr>
            <w:pStyle w:val="TOC1"/>
            <w:tabs>
              <w:tab w:val="left" w:pos="1320"/>
              <w:tab w:val="right" w:leader="dot" w:pos="9016"/>
            </w:tabs>
            <w:rPr>
              <w:rFonts w:eastAsiaTheme="minorEastAsia"/>
              <w:noProof/>
              <w:sz w:val="22"/>
              <w:lang w:eastAsia="en-AU"/>
            </w:rPr>
          </w:pPr>
          <w:hyperlink w:anchor="_Toc491426034" w:history="1">
            <w:r w:rsidR="0057352F" w:rsidRPr="00002F56">
              <w:rPr>
                <w:rStyle w:val="Hyperlink"/>
                <w:rFonts w:cstheme="minorHAnsi"/>
                <w:noProof/>
              </w:rPr>
              <w:t>Chapter 4:</w:t>
            </w:r>
            <w:r w:rsidR="0057352F">
              <w:rPr>
                <w:rFonts w:eastAsiaTheme="minorEastAsia"/>
                <w:noProof/>
                <w:sz w:val="22"/>
                <w:lang w:eastAsia="en-AU"/>
              </w:rPr>
              <w:tab/>
            </w:r>
            <w:r w:rsidR="0057352F" w:rsidRPr="00002F56">
              <w:rPr>
                <w:rStyle w:val="Hyperlink"/>
                <w:rFonts w:cstheme="minorHAnsi"/>
                <w:noProof/>
              </w:rPr>
              <w:t>The new R-ACFI ADL Domain</w:t>
            </w:r>
            <w:r w:rsidR="0057352F">
              <w:rPr>
                <w:noProof/>
                <w:webHidden/>
              </w:rPr>
              <w:tab/>
            </w:r>
            <w:r w:rsidR="0057352F">
              <w:rPr>
                <w:noProof/>
                <w:webHidden/>
              </w:rPr>
              <w:fldChar w:fldCharType="begin"/>
            </w:r>
            <w:r w:rsidR="0057352F">
              <w:rPr>
                <w:noProof/>
                <w:webHidden/>
              </w:rPr>
              <w:instrText xml:space="preserve"> PAGEREF _Toc491426034 \h </w:instrText>
            </w:r>
            <w:r w:rsidR="0057352F">
              <w:rPr>
                <w:noProof/>
                <w:webHidden/>
              </w:rPr>
            </w:r>
            <w:r w:rsidR="0057352F">
              <w:rPr>
                <w:noProof/>
                <w:webHidden/>
              </w:rPr>
              <w:fldChar w:fldCharType="separate"/>
            </w:r>
            <w:r w:rsidR="00856E49">
              <w:rPr>
                <w:noProof/>
                <w:webHidden/>
              </w:rPr>
              <w:t>63</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35" w:history="1">
            <w:r w:rsidR="0057352F" w:rsidRPr="00002F56">
              <w:rPr>
                <w:rStyle w:val="Hyperlink"/>
                <w:noProof/>
                <w:lang w:eastAsia="en-AU"/>
              </w:rPr>
              <w:t>4.1.</w:t>
            </w:r>
            <w:r w:rsidR="0057352F">
              <w:rPr>
                <w:rFonts w:eastAsiaTheme="minorEastAsia"/>
                <w:noProof/>
                <w:sz w:val="22"/>
                <w:lang w:eastAsia="en-AU"/>
              </w:rPr>
              <w:tab/>
            </w:r>
            <w:r w:rsidR="0057352F" w:rsidRPr="00002F56">
              <w:rPr>
                <w:rStyle w:val="Hyperlink"/>
                <w:noProof/>
                <w:lang w:eastAsia="en-AU"/>
              </w:rPr>
              <w:t>The current ACFI ADL Domain</w:t>
            </w:r>
            <w:r w:rsidR="0057352F">
              <w:rPr>
                <w:noProof/>
                <w:webHidden/>
              </w:rPr>
              <w:tab/>
            </w:r>
            <w:r w:rsidR="0057352F">
              <w:rPr>
                <w:noProof/>
                <w:webHidden/>
              </w:rPr>
              <w:fldChar w:fldCharType="begin"/>
            </w:r>
            <w:r w:rsidR="0057352F">
              <w:rPr>
                <w:noProof/>
                <w:webHidden/>
              </w:rPr>
              <w:instrText xml:space="preserve"> PAGEREF _Toc491426035 \h </w:instrText>
            </w:r>
            <w:r w:rsidR="0057352F">
              <w:rPr>
                <w:noProof/>
                <w:webHidden/>
              </w:rPr>
            </w:r>
            <w:r w:rsidR="0057352F">
              <w:rPr>
                <w:noProof/>
                <w:webHidden/>
              </w:rPr>
              <w:fldChar w:fldCharType="separate"/>
            </w:r>
            <w:r w:rsidR="00856E49">
              <w:rPr>
                <w:noProof/>
                <w:webHidden/>
              </w:rPr>
              <w:t>63</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36" w:history="1">
            <w:r w:rsidR="0057352F" w:rsidRPr="00002F56">
              <w:rPr>
                <w:rStyle w:val="Hyperlink"/>
                <w:noProof/>
                <w:lang w:eastAsia="en-AU"/>
              </w:rPr>
              <w:t>4.2.</w:t>
            </w:r>
            <w:r w:rsidR="0057352F">
              <w:rPr>
                <w:rFonts w:eastAsiaTheme="minorEastAsia"/>
                <w:noProof/>
                <w:sz w:val="22"/>
                <w:lang w:eastAsia="en-AU"/>
              </w:rPr>
              <w:tab/>
            </w:r>
            <w:r w:rsidR="0057352F" w:rsidRPr="00002F56">
              <w:rPr>
                <w:rStyle w:val="Hyperlink"/>
                <w:noProof/>
                <w:lang w:eastAsia="en-AU"/>
              </w:rPr>
              <w:t>A Statistical Overview of the current ADL Domain</w:t>
            </w:r>
            <w:r w:rsidR="0057352F">
              <w:rPr>
                <w:noProof/>
                <w:webHidden/>
              </w:rPr>
              <w:tab/>
            </w:r>
            <w:r w:rsidR="0057352F">
              <w:rPr>
                <w:noProof/>
                <w:webHidden/>
              </w:rPr>
              <w:fldChar w:fldCharType="begin"/>
            </w:r>
            <w:r w:rsidR="0057352F">
              <w:rPr>
                <w:noProof/>
                <w:webHidden/>
              </w:rPr>
              <w:instrText xml:space="preserve"> PAGEREF _Toc491426036 \h </w:instrText>
            </w:r>
            <w:r w:rsidR="0057352F">
              <w:rPr>
                <w:noProof/>
                <w:webHidden/>
              </w:rPr>
            </w:r>
            <w:r w:rsidR="0057352F">
              <w:rPr>
                <w:noProof/>
                <w:webHidden/>
              </w:rPr>
              <w:fldChar w:fldCharType="separate"/>
            </w:r>
            <w:r w:rsidR="00856E49">
              <w:rPr>
                <w:noProof/>
                <w:webHidden/>
              </w:rPr>
              <w:t>65</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37" w:history="1">
            <w:r w:rsidR="0057352F" w:rsidRPr="00002F56">
              <w:rPr>
                <w:rStyle w:val="Hyperlink"/>
                <w:noProof/>
                <w:lang w:eastAsia="en-AU"/>
              </w:rPr>
              <w:t>4.3.</w:t>
            </w:r>
            <w:r w:rsidR="0057352F">
              <w:rPr>
                <w:rFonts w:eastAsiaTheme="minorEastAsia"/>
                <w:noProof/>
                <w:sz w:val="22"/>
                <w:lang w:eastAsia="en-AU"/>
              </w:rPr>
              <w:tab/>
            </w:r>
            <w:r w:rsidR="0057352F" w:rsidRPr="00002F56">
              <w:rPr>
                <w:rStyle w:val="Hyperlink"/>
                <w:noProof/>
                <w:lang w:eastAsia="en-AU"/>
              </w:rPr>
              <w:t>ADL Domain Review</w:t>
            </w:r>
            <w:r w:rsidR="0057352F">
              <w:rPr>
                <w:noProof/>
                <w:webHidden/>
              </w:rPr>
              <w:tab/>
            </w:r>
            <w:r w:rsidR="0057352F">
              <w:rPr>
                <w:noProof/>
                <w:webHidden/>
              </w:rPr>
              <w:fldChar w:fldCharType="begin"/>
            </w:r>
            <w:r w:rsidR="0057352F">
              <w:rPr>
                <w:noProof/>
                <w:webHidden/>
              </w:rPr>
              <w:instrText xml:space="preserve"> PAGEREF _Toc491426037 \h </w:instrText>
            </w:r>
            <w:r w:rsidR="0057352F">
              <w:rPr>
                <w:noProof/>
                <w:webHidden/>
              </w:rPr>
            </w:r>
            <w:r w:rsidR="0057352F">
              <w:rPr>
                <w:noProof/>
                <w:webHidden/>
              </w:rPr>
              <w:fldChar w:fldCharType="separate"/>
            </w:r>
            <w:r w:rsidR="00856E49">
              <w:rPr>
                <w:noProof/>
                <w:webHidden/>
              </w:rPr>
              <w:t>71</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38" w:history="1">
            <w:r w:rsidR="0057352F" w:rsidRPr="00002F56">
              <w:rPr>
                <w:rStyle w:val="Hyperlink"/>
                <w:noProof/>
                <w:lang w:eastAsia="en-AU"/>
              </w:rPr>
              <w:t>4.4.</w:t>
            </w:r>
            <w:r w:rsidR="0057352F">
              <w:rPr>
                <w:rFonts w:eastAsiaTheme="minorEastAsia"/>
                <w:noProof/>
                <w:sz w:val="22"/>
                <w:lang w:eastAsia="en-AU"/>
              </w:rPr>
              <w:tab/>
            </w:r>
            <w:r w:rsidR="0057352F" w:rsidRPr="00002F56">
              <w:rPr>
                <w:rStyle w:val="Hyperlink"/>
                <w:noProof/>
                <w:lang w:eastAsia="en-AU"/>
              </w:rPr>
              <w:t>The ADL R-ACFI Recommended Question Changes</w:t>
            </w:r>
            <w:r w:rsidR="0057352F">
              <w:rPr>
                <w:noProof/>
                <w:webHidden/>
              </w:rPr>
              <w:tab/>
            </w:r>
            <w:r w:rsidR="0057352F">
              <w:rPr>
                <w:noProof/>
                <w:webHidden/>
              </w:rPr>
              <w:fldChar w:fldCharType="begin"/>
            </w:r>
            <w:r w:rsidR="0057352F">
              <w:rPr>
                <w:noProof/>
                <w:webHidden/>
              </w:rPr>
              <w:instrText xml:space="preserve"> PAGEREF _Toc491426038 \h </w:instrText>
            </w:r>
            <w:r w:rsidR="0057352F">
              <w:rPr>
                <w:noProof/>
                <w:webHidden/>
              </w:rPr>
            </w:r>
            <w:r w:rsidR="0057352F">
              <w:rPr>
                <w:noProof/>
                <w:webHidden/>
              </w:rPr>
              <w:fldChar w:fldCharType="separate"/>
            </w:r>
            <w:r w:rsidR="00856E49">
              <w:rPr>
                <w:noProof/>
                <w:webHidden/>
              </w:rPr>
              <w:t>82</w:t>
            </w:r>
            <w:r w:rsidR="0057352F">
              <w:rPr>
                <w:noProof/>
                <w:webHidden/>
              </w:rPr>
              <w:fldChar w:fldCharType="end"/>
            </w:r>
          </w:hyperlink>
        </w:p>
        <w:p w:rsidR="0057352F" w:rsidRDefault="00473246">
          <w:pPr>
            <w:pStyle w:val="TOC1"/>
            <w:tabs>
              <w:tab w:val="left" w:pos="1320"/>
              <w:tab w:val="right" w:leader="dot" w:pos="9016"/>
            </w:tabs>
            <w:rPr>
              <w:rFonts w:eastAsiaTheme="minorEastAsia"/>
              <w:noProof/>
              <w:sz w:val="22"/>
              <w:lang w:eastAsia="en-AU"/>
            </w:rPr>
          </w:pPr>
          <w:hyperlink w:anchor="_Toc491426039" w:history="1">
            <w:r w:rsidR="0057352F" w:rsidRPr="00002F56">
              <w:rPr>
                <w:rStyle w:val="Hyperlink"/>
                <w:rFonts w:cstheme="minorHAnsi"/>
                <w:noProof/>
              </w:rPr>
              <w:t>Chapter 5:</w:t>
            </w:r>
            <w:r w:rsidR="0057352F">
              <w:rPr>
                <w:rFonts w:eastAsiaTheme="minorEastAsia"/>
                <w:noProof/>
                <w:sz w:val="22"/>
                <w:lang w:eastAsia="en-AU"/>
              </w:rPr>
              <w:tab/>
            </w:r>
            <w:r w:rsidR="0057352F" w:rsidRPr="00002F56">
              <w:rPr>
                <w:rStyle w:val="Hyperlink"/>
                <w:rFonts w:cstheme="minorHAnsi"/>
                <w:noProof/>
              </w:rPr>
              <w:t>The new R-ACFI Behaviour Domain</w:t>
            </w:r>
            <w:r w:rsidR="0057352F">
              <w:rPr>
                <w:noProof/>
                <w:webHidden/>
              </w:rPr>
              <w:tab/>
            </w:r>
            <w:r w:rsidR="0057352F">
              <w:rPr>
                <w:noProof/>
                <w:webHidden/>
              </w:rPr>
              <w:fldChar w:fldCharType="begin"/>
            </w:r>
            <w:r w:rsidR="0057352F">
              <w:rPr>
                <w:noProof/>
                <w:webHidden/>
              </w:rPr>
              <w:instrText xml:space="preserve"> PAGEREF _Toc491426039 \h </w:instrText>
            </w:r>
            <w:r w:rsidR="0057352F">
              <w:rPr>
                <w:noProof/>
                <w:webHidden/>
              </w:rPr>
            </w:r>
            <w:r w:rsidR="0057352F">
              <w:rPr>
                <w:noProof/>
                <w:webHidden/>
              </w:rPr>
              <w:fldChar w:fldCharType="separate"/>
            </w:r>
            <w:r w:rsidR="00856E49">
              <w:rPr>
                <w:noProof/>
                <w:webHidden/>
              </w:rPr>
              <w:t>97</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40" w:history="1">
            <w:r w:rsidR="0057352F" w:rsidRPr="00002F56">
              <w:rPr>
                <w:rStyle w:val="Hyperlink"/>
                <w:noProof/>
                <w:lang w:eastAsia="en-AU"/>
              </w:rPr>
              <w:t>5.1.</w:t>
            </w:r>
            <w:r w:rsidR="0057352F">
              <w:rPr>
                <w:rFonts w:eastAsiaTheme="minorEastAsia"/>
                <w:noProof/>
                <w:sz w:val="22"/>
                <w:lang w:eastAsia="en-AU"/>
              </w:rPr>
              <w:tab/>
            </w:r>
            <w:r w:rsidR="0057352F" w:rsidRPr="00002F56">
              <w:rPr>
                <w:rStyle w:val="Hyperlink"/>
                <w:noProof/>
                <w:lang w:eastAsia="en-AU"/>
              </w:rPr>
              <w:t>The current ACFI BEH Domain</w:t>
            </w:r>
            <w:r w:rsidR="0057352F">
              <w:rPr>
                <w:noProof/>
                <w:webHidden/>
              </w:rPr>
              <w:tab/>
            </w:r>
            <w:r w:rsidR="0057352F">
              <w:rPr>
                <w:noProof/>
                <w:webHidden/>
              </w:rPr>
              <w:fldChar w:fldCharType="begin"/>
            </w:r>
            <w:r w:rsidR="0057352F">
              <w:rPr>
                <w:noProof/>
                <w:webHidden/>
              </w:rPr>
              <w:instrText xml:space="preserve"> PAGEREF _Toc491426040 \h </w:instrText>
            </w:r>
            <w:r w:rsidR="0057352F">
              <w:rPr>
                <w:noProof/>
                <w:webHidden/>
              </w:rPr>
            </w:r>
            <w:r w:rsidR="0057352F">
              <w:rPr>
                <w:noProof/>
                <w:webHidden/>
              </w:rPr>
              <w:fldChar w:fldCharType="separate"/>
            </w:r>
            <w:r w:rsidR="00856E49">
              <w:rPr>
                <w:noProof/>
                <w:webHidden/>
              </w:rPr>
              <w:t>97</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41" w:history="1">
            <w:r w:rsidR="0057352F" w:rsidRPr="00002F56">
              <w:rPr>
                <w:rStyle w:val="Hyperlink"/>
                <w:noProof/>
                <w:lang w:eastAsia="en-AU"/>
              </w:rPr>
              <w:t>5.2.</w:t>
            </w:r>
            <w:r w:rsidR="0057352F">
              <w:rPr>
                <w:rFonts w:eastAsiaTheme="minorEastAsia"/>
                <w:noProof/>
                <w:sz w:val="22"/>
                <w:lang w:eastAsia="en-AU"/>
              </w:rPr>
              <w:tab/>
            </w:r>
            <w:r w:rsidR="0057352F" w:rsidRPr="00002F56">
              <w:rPr>
                <w:rStyle w:val="Hyperlink"/>
                <w:noProof/>
                <w:lang w:eastAsia="en-AU"/>
              </w:rPr>
              <w:t>A Statistical Overview of the current BEH Domain</w:t>
            </w:r>
            <w:r w:rsidR="0057352F">
              <w:rPr>
                <w:noProof/>
                <w:webHidden/>
              </w:rPr>
              <w:tab/>
            </w:r>
            <w:r w:rsidR="0057352F">
              <w:rPr>
                <w:noProof/>
                <w:webHidden/>
              </w:rPr>
              <w:fldChar w:fldCharType="begin"/>
            </w:r>
            <w:r w:rsidR="0057352F">
              <w:rPr>
                <w:noProof/>
                <w:webHidden/>
              </w:rPr>
              <w:instrText xml:space="preserve"> PAGEREF _Toc491426041 \h </w:instrText>
            </w:r>
            <w:r w:rsidR="0057352F">
              <w:rPr>
                <w:noProof/>
                <w:webHidden/>
              </w:rPr>
            </w:r>
            <w:r w:rsidR="0057352F">
              <w:rPr>
                <w:noProof/>
                <w:webHidden/>
              </w:rPr>
              <w:fldChar w:fldCharType="separate"/>
            </w:r>
            <w:r w:rsidR="00856E49">
              <w:rPr>
                <w:noProof/>
                <w:webHidden/>
              </w:rPr>
              <w:t>99</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42" w:history="1">
            <w:r w:rsidR="0057352F" w:rsidRPr="00002F56">
              <w:rPr>
                <w:rStyle w:val="Hyperlink"/>
                <w:noProof/>
                <w:lang w:eastAsia="en-AU"/>
              </w:rPr>
              <w:t>5.3.</w:t>
            </w:r>
            <w:r w:rsidR="0057352F">
              <w:rPr>
                <w:rFonts w:eastAsiaTheme="minorEastAsia"/>
                <w:noProof/>
                <w:sz w:val="22"/>
                <w:lang w:eastAsia="en-AU"/>
              </w:rPr>
              <w:tab/>
            </w:r>
            <w:r w:rsidR="0057352F" w:rsidRPr="00002F56">
              <w:rPr>
                <w:rStyle w:val="Hyperlink"/>
                <w:noProof/>
                <w:lang w:eastAsia="en-AU"/>
              </w:rPr>
              <w:t>BEH Domain Review</w:t>
            </w:r>
            <w:r w:rsidR="0057352F">
              <w:rPr>
                <w:noProof/>
                <w:webHidden/>
              </w:rPr>
              <w:tab/>
            </w:r>
            <w:r w:rsidR="0057352F">
              <w:rPr>
                <w:noProof/>
                <w:webHidden/>
              </w:rPr>
              <w:fldChar w:fldCharType="begin"/>
            </w:r>
            <w:r w:rsidR="0057352F">
              <w:rPr>
                <w:noProof/>
                <w:webHidden/>
              </w:rPr>
              <w:instrText xml:space="preserve"> PAGEREF _Toc491426042 \h </w:instrText>
            </w:r>
            <w:r w:rsidR="0057352F">
              <w:rPr>
                <w:noProof/>
                <w:webHidden/>
              </w:rPr>
            </w:r>
            <w:r w:rsidR="0057352F">
              <w:rPr>
                <w:noProof/>
                <w:webHidden/>
              </w:rPr>
              <w:fldChar w:fldCharType="separate"/>
            </w:r>
            <w:r w:rsidR="00856E49">
              <w:rPr>
                <w:noProof/>
                <w:webHidden/>
              </w:rPr>
              <w:t>106</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43" w:history="1">
            <w:r w:rsidR="0057352F" w:rsidRPr="00002F56">
              <w:rPr>
                <w:rStyle w:val="Hyperlink"/>
                <w:noProof/>
                <w:lang w:eastAsia="en-AU"/>
              </w:rPr>
              <w:t>5.4.</w:t>
            </w:r>
            <w:r w:rsidR="0057352F">
              <w:rPr>
                <w:rFonts w:eastAsiaTheme="minorEastAsia"/>
                <w:noProof/>
                <w:sz w:val="22"/>
                <w:lang w:eastAsia="en-AU"/>
              </w:rPr>
              <w:tab/>
            </w:r>
            <w:r w:rsidR="0057352F" w:rsidRPr="00002F56">
              <w:rPr>
                <w:rStyle w:val="Hyperlink"/>
                <w:noProof/>
                <w:lang w:eastAsia="en-AU"/>
              </w:rPr>
              <w:t>The R-ACFI BEH Domain Recommended Changes</w:t>
            </w:r>
            <w:r w:rsidR="0057352F">
              <w:rPr>
                <w:noProof/>
                <w:webHidden/>
              </w:rPr>
              <w:tab/>
            </w:r>
            <w:r w:rsidR="0057352F">
              <w:rPr>
                <w:noProof/>
                <w:webHidden/>
              </w:rPr>
              <w:fldChar w:fldCharType="begin"/>
            </w:r>
            <w:r w:rsidR="0057352F">
              <w:rPr>
                <w:noProof/>
                <w:webHidden/>
              </w:rPr>
              <w:instrText xml:space="preserve"> PAGEREF _Toc491426043 \h </w:instrText>
            </w:r>
            <w:r w:rsidR="0057352F">
              <w:rPr>
                <w:noProof/>
                <w:webHidden/>
              </w:rPr>
            </w:r>
            <w:r w:rsidR="0057352F">
              <w:rPr>
                <w:noProof/>
                <w:webHidden/>
              </w:rPr>
              <w:fldChar w:fldCharType="separate"/>
            </w:r>
            <w:r w:rsidR="00856E49">
              <w:rPr>
                <w:noProof/>
                <w:webHidden/>
              </w:rPr>
              <w:t>112</w:t>
            </w:r>
            <w:r w:rsidR="0057352F">
              <w:rPr>
                <w:noProof/>
                <w:webHidden/>
              </w:rPr>
              <w:fldChar w:fldCharType="end"/>
            </w:r>
          </w:hyperlink>
        </w:p>
        <w:p w:rsidR="0057352F" w:rsidRDefault="00473246">
          <w:pPr>
            <w:pStyle w:val="TOC1"/>
            <w:tabs>
              <w:tab w:val="left" w:pos="1320"/>
              <w:tab w:val="right" w:leader="dot" w:pos="9016"/>
            </w:tabs>
            <w:rPr>
              <w:rFonts w:eastAsiaTheme="minorEastAsia"/>
              <w:noProof/>
              <w:sz w:val="22"/>
              <w:lang w:eastAsia="en-AU"/>
            </w:rPr>
          </w:pPr>
          <w:hyperlink w:anchor="_Toc491426044" w:history="1">
            <w:r w:rsidR="0057352F" w:rsidRPr="00002F56">
              <w:rPr>
                <w:rStyle w:val="Hyperlink"/>
                <w:rFonts w:cstheme="minorHAnsi"/>
                <w:noProof/>
              </w:rPr>
              <w:t>Chapter 6:</w:t>
            </w:r>
            <w:r w:rsidR="0057352F">
              <w:rPr>
                <w:rFonts w:eastAsiaTheme="minorEastAsia"/>
                <w:noProof/>
                <w:sz w:val="22"/>
                <w:lang w:eastAsia="en-AU"/>
              </w:rPr>
              <w:tab/>
            </w:r>
            <w:r w:rsidR="0057352F" w:rsidRPr="00002F56">
              <w:rPr>
                <w:rStyle w:val="Hyperlink"/>
                <w:rFonts w:cstheme="minorHAnsi"/>
                <w:noProof/>
              </w:rPr>
              <w:t>The new R-ACFI CHC Domain</w:t>
            </w:r>
            <w:r w:rsidR="0057352F">
              <w:rPr>
                <w:noProof/>
                <w:webHidden/>
              </w:rPr>
              <w:tab/>
            </w:r>
            <w:r w:rsidR="0057352F">
              <w:rPr>
                <w:noProof/>
                <w:webHidden/>
              </w:rPr>
              <w:fldChar w:fldCharType="begin"/>
            </w:r>
            <w:r w:rsidR="0057352F">
              <w:rPr>
                <w:noProof/>
                <w:webHidden/>
              </w:rPr>
              <w:instrText xml:space="preserve"> PAGEREF _Toc491426044 \h </w:instrText>
            </w:r>
            <w:r w:rsidR="0057352F">
              <w:rPr>
                <w:noProof/>
                <w:webHidden/>
              </w:rPr>
            </w:r>
            <w:r w:rsidR="0057352F">
              <w:rPr>
                <w:noProof/>
                <w:webHidden/>
              </w:rPr>
              <w:fldChar w:fldCharType="separate"/>
            </w:r>
            <w:r w:rsidR="00856E49">
              <w:rPr>
                <w:noProof/>
                <w:webHidden/>
              </w:rPr>
              <w:t>120</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45" w:history="1">
            <w:r w:rsidR="0057352F" w:rsidRPr="00002F56">
              <w:rPr>
                <w:rStyle w:val="Hyperlink"/>
                <w:noProof/>
                <w:lang w:eastAsia="en-AU"/>
              </w:rPr>
              <w:t>6.1.</w:t>
            </w:r>
            <w:r w:rsidR="0057352F">
              <w:rPr>
                <w:rFonts w:eastAsiaTheme="minorEastAsia"/>
                <w:noProof/>
                <w:sz w:val="22"/>
                <w:lang w:eastAsia="en-AU"/>
              </w:rPr>
              <w:tab/>
            </w:r>
            <w:r w:rsidR="0057352F" w:rsidRPr="00002F56">
              <w:rPr>
                <w:rStyle w:val="Hyperlink"/>
                <w:noProof/>
                <w:lang w:eastAsia="en-AU"/>
              </w:rPr>
              <w:t>The current CHC Domain</w:t>
            </w:r>
            <w:r w:rsidR="0057352F">
              <w:rPr>
                <w:noProof/>
                <w:webHidden/>
              </w:rPr>
              <w:tab/>
            </w:r>
            <w:r w:rsidR="0057352F">
              <w:rPr>
                <w:noProof/>
                <w:webHidden/>
              </w:rPr>
              <w:fldChar w:fldCharType="begin"/>
            </w:r>
            <w:r w:rsidR="0057352F">
              <w:rPr>
                <w:noProof/>
                <w:webHidden/>
              </w:rPr>
              <w:instrText xml:space="preserve"> PAGEREF _Toc491426045 \h </w:instrText>
            </w:r>
            <w:r w:rsidR="0057352F">
              <w:rPr>
                <w:noProof/>
                <w:webHidden/>
              </w:rPr>
            </w:r>
            <w:r w:rsidR="0057352F">
              <w:rPr>
                <w:noProof/>
                <w:webHidden/>
              </w:rPr>
              <w:fldChar w:fldCharType="separate"/>
            </w:r>
            <w:r w:rsidR="00856E49">
              <w:rPr>
                <w:noProof/>
                <w:webHidden/>
              </w:rPr>
              <w:t>120</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46" w:history="1">
            <w:r w:rsidR="0057352F" w:rsidRPr="00002F56">
              <w:rPr>
                <w:rStyle w:val="Hyperlink"/>
                <w:noProof/>
                <w:lang w:eastAsia="en-AU"/>
              </w:rPr>
              <w:t>6.2.</w:t>
            </w:r>
            <w:r w:rsidR="0057352F">
              <w:rPr>
                <w:rFonts w:eastAsiaTheme="minorEastAsia"/>
                <w:noProof/>
                <w:sz w:val="22"/>
                <w:lang w:eastAsia="en-AU"/>
              </w:rPr>
              <w:tab/>
            </w:r>
            <w:r w:rsidR="0057352F" w:rsidRPr="00002F56">
              <w:rPr>
                <w:rStyle w:val="Hyperlink"/>
                <w:noProof/>
                <w:lang w:eastAsia="en-AU"/>
              </w:rPr>
              <w:t>A Statistical Overview of the current CHC Domain</w:t>
            </w:r>
            <w:r w:rsidR="0057352F">
              <w:rPr>
                <w:noProof/>
                <w:webHidden/>
              </w:rPr>
              <w:tab/>
            </w:r>
            <w:r w:rsidR="0057352F">
              <w:rPr>
                <w:noProof/>
                <w:webHidden/>
              </w:rPr>
              <w:fldChar w:fldCharType="begin"/>
            </w:r>
            <w:r w:rsidR="0057352F">
              <w:rPr>
                <w:noProof/>
                <w:webHidden/>
              </w:rPr>
              <w:instrText xml:space="preserve"> PAGEREF _Toc491426046 \h </w:instrText>
            </w:r>
            <w:r w:rsidR="0057352F">
              <w:rPr>
                <w:noProof/>
                <w:webHidden/>
              </w:rPr>
            </w:r>
            <w:r w:rsidR="0057352F">
              <w:rPr>
                <w:noProof/>
                <w:webHidden/>
              </w:rPr>
              <w:fldChar w:fldCharType="separate"/>
            </w:r>
            <w:r w:rsidR="00856E49">
              <w:rPr>
                <w:noProof/>
                <w:webHidden/>
              </w:rPr>
              <w:t>122</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47" w:history="1">
            <w:r w:rsidR="0057352F" w:rsidRPr="00002F56">
              <w:rPr>
                <w:rStyle w:val="Hyperlink"/>
                <w:noProof/>
                <w:lang w:eastAsia="en-AU"/>
              </w:rPr>
              <w:t>6.3.</w:t>
            </w:r>
            <w:r w:rsidR="0057352F">
              <w:rPr>
                <w:rFonts w:eastAsiaTheme="minorEastAsia"/>
                <w:noProof/>
                <w:sz w:val="22"/>
                <w:lang w:eastAsia="en-AU"/>
              </w:rPr>
              <w:tab/>
            </w:r>
            <w:r w:rsidR="0057352F" w:rsidRPr="00002F56">
              <w:rPr>
                <w:rStyle w:val="Hyperlink"/>
                <w:noProof/>
                <w:lang w:eastAsia="en-AU"/>
              </w:rPr>
              <w:t>CHC Domain Review</w:t>
            </w:r>
            <w:r w:rsidR="0057352F">
              <w:rPr>
                <w:noProof/>
                <w:webHidden/>
              </w:rPr>
              <w:tab/>
            </w:r>
            <w:r w:rsidR="0057352F">
              <w:rPr>
                <w:noProof/>
                <w:webHidden/>
              </w:rPr>
              <w:fldChar w:fldCharType="begin"/>
            </w:r>
            <w:r w:rsidR="0057352F">
              <w:rPr>
                <w:noProof/>
                <w:webHidden/>
              </w:rPr>
              <w:instrText xml:space="preserve"> PAGEREF _Toc491426047 \h </w:instrText>
            </w:r>
            <w:r w:rsidR="0057352F">
              <w:rPr>
                <w:noProof/>
                <w:webHidden/>
              </w:rPr>
            </w:r>
            <w:r w:rsidR="0057352F">
              <w:rPr>
                <w:noProof/>
                <w:webHidden/>
              </w:rPr>
              <w:fldChar w:fldCharType="separate"/>
            </w:r>
            <w:r w:rsidR="00856E49">
              <w:rPr>
                <w:noProof/>
                <w:webHidden/>
              </w:rPr>
              <w:t>129</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48" w:history="1">
            <w:r w:rsidR="0057352F" w:rsidRPr="00002F56">
              <w:rPr>
                <w:rStyle w:val="Hyperlink"/>
                <w:noProof/>
                <w:lang w:eastAsia="en-AU"/>
              </w:rPr>
              <w:t>6.4.</w:t>
            </w:r>
            <w:r w:rsidR="0057352F">
              <w:rPr>
                <w:rFonts w:eastAsiaTheme="minorEastAsia"/>
                <w:noProof/>
                <w:sz w:val="22"/>
                <w:lang w:eastAsia="en-AU"/>
              </w:rPr>
              <w:tab/>
            </w:r>
            <w:r w:rsidR="0057352F" w:rsidRPr="00002F56">
              <w:rPr>
                <w:rStyle w:val="Hyperlink"/>
                <w:noProof/>
                <w:lang w:eastAsia="en-AU"/>
              </w:rPr>
              <w:t>The R-ACFI CHC Domain Recommended Changes</w:t>
            </w:r>
            <w:r w:rsidR="0057352F">
              <w:rPr>
                <w:noProof/>
                <w:webHidden/>
              </w:rPr>
              <w:tab/>
            </w:r>
            <w:r w:rsidR="0057352F">
              <w:rPr>
                <w:noProof/>
                <w:webHidden/>
              </w:rPr>
              <w:fldChar w:fldCharType="begin"/>
            </w:r>
            <w:r w:rsidR="0057352F">
              <w:rPr>
                <w:noProof/>
                <w:webHidden/>
              </w:rPr>
              <w:instrText xml:space="preserve"> PAGEREF _Toc491426048 \h </w:instrText>
            </w:r>
            <w:r w:rsidR="0057352F">
              <w:rPr>
                <w:noProof/>
                <w:webHidden/>
              </w:rPr>
            </w:r>
            <w:r w:rsidR="0057352F">
              <w:rPr>
                <w:noProof/>
                <w:webHidden/>
              </w:rPr>
              <w:fldChar w:fldCharType="separate"/>
            </w:r>
            <w:r w:rsidR="00856E49">
              <w:rPr>
                <w:noProof/>
                <w:webHidden/>
              </w:rPr>
              <w:t>137</w:t>
            </w:r>
            <w:r w:rsidR="0057352F">
              <w:rPr>
                <w:noProof/>
                <w:webHidden/>
              </w:rPr>
              <w:fldChar w:fldCharType="end"/>
            </w:r>
          </w:hyperlink>
        </w:p>
        <w:p w:rsidR="0057352F" w:rsidRDefault="00473246">
          <w:pPr>
            <w:pStyle w:val="TOC1"/>
            <w:tabs>
              <w:tab w:val="left" w:pos="1320"/>
              <w:tab w:val="right" w:leader="dot" w:pos="9016"/>
            </w:tabs>
            <w:rPr>
              <w:rFonts w:eastAsiaTheme="minorEastAsia"/>
              <w:noProof/>
              <w:sz w:val="22"/>
              <w:lang w:eastAsia="en-AU"/>
            </w:rPr>
          </w:pPr>
          <w:hyperlink w:anchor="_Toc491426049" w:history="1">
            <w:r w:rsidR="0057352F" w:rsidRPr="00002F56">
              <w:rPr>
                <w:rStyle w:val="Hyperlink"/>
                <w:rFonts w:cstheme="minorHAnsi"/>
                <w:noProof/>
              </w:rPr>
              <w:t>Chapter 7:</w:t>
            </w:r>
            <w:r w:rsidR="0057352F">
              <w:rPr>
                <w:rFonts w:eastAsiaTheme="minorEastAsia"/>
                <w:noProof/>
                <w:sz w:val="22"/>
                <w:lang w:eastAsia="en-AU"/>
              </w:rPr>
              <w:tab/>
            </w:r>
            <w:r w:rsidR="0057352F" w:rsidRPr="00002F56">
              <w:rPr>
                <w:rStyle w:val="Hyperlink"/>
                <w:rFonts w:cstheme="minorHAnsi"/>
                <w:noProof/>
              </w:rPr>
              <w:t>R-ACFI Therapy Program</w:t>
            </w:r>
            <w:r w:rsidR="0057352F">
              <w:rPr>
                <w:noProof/>
                <w:webHidden/>
              </w:rPr>
              <w:tab/>
            </w:r>
            <w:r w:rsidR="0057352F">
              <w:rPr>
                <w:noProof/>
                <w:webHidden/>
              </w:rPr>
              <w:fldChar w:fldCharType="begin"/>
            </w:r>
            <w:r w:rsidR="0057352F">
              <w:rPr>
                <w:noProof/>
                <w:webHidden/>
              </w:rPr>
              <w:instrText xml:space="preserve"> PAGEREF _Toc491426049 \h </w:instrText>
            </w:r>
            <w:r w:rsidR="0057352F">
              <w:rPr>
                <w:noProof/>
                <w:webHidden/>
              </w:rPr>
            </w:r>
            <w:r w:rsidR="0057352F">
              <w:rPr>
                <w:noProof/>
                <w:webHidden/>
              </w:rPr>
              <w:fldChar w:fldCharType="separate"/>
            </w:r>
            <w:r w:rsidR="00856E49">
              <w:rPr>
                <w:noProof/>
                <w:webHidden/>
              </w:rPr>
              <w:t>147</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50" w:history="1">
            <w:r w:rsidR="0057352F" w:rsidRPr="00002F56">
              <w:rPr>
                <w:rStyle w:val="Hyperlink"/>
                <w:noProof/>
                <w:lang w:eastAsia="en-AU"/>
              </w:rPr>
              <w:t>7.1</w:t>
            </w:r>
            <w:r w:rsidR="0057352F">
              <w:rPr>
                <w:rFonts w:eastAsiaTheme="minorEastAsia"/>
                <w:noProof/>
                <w:sz w:val="22"/>
                <w:lang w:eastAsia="en-AU"/>
              </w:rPr>
              <w:tab/>
            </w:r>
            <w:r w:rsidR="0057352F" w:rsidRPr="00002F56">
              <w:rPr>
                <w:rStyle w:val="Hyperlink"/>
                <w:noProof/>
                <w:lang w:eastAsia="en-AU"/>
              </w:rPr>
              <w:t>Why consider a Therapy Program in the R-ACFI?</w:t>
            </w:r>
            <w:r w:rsidR="0057352F">
              <w:rPr>
                <w:noProof/>
                <w:webHidden/>
              </w:rPr>
              <w:tab/>
            </w:r>
            <w:r w:rsidR="0057352F">
              <w:rPr>
                <w:noProof/>
                <w:webHidden/>
              </w:rPr>
              <w:fldChar w:fldCharType="begin"/>
            </w:r>
            <w:r w:rsidR="0057352F">
              <w:rPr>
                <w:noProof/>
                <w:webHidden/>
              </w:rPr>
              <w:instrText xml:space="preserve"> PAGEREF _Toc491426050 \h </w:instrText>
            </w:r>
            <w:r w:rsidR="0057352F">
              <w:rPr>
                <w:noProof/>
                <w:webHidden/>
              </w:rPr>
            </w:r>
            <w:r w:rsidR="0057352F">
              <w:rPr>
                <w:noProof/>
                <w:webHidden/>
              </w:rPr>
              <w:fldChar w:fldCharType="separate"/>
            </w:r>
            <w:r w:rsidR="00856E49">
              <w:rPr>
                <w:noProof/>
                <w:webHidden/>
              </w:rPr>
              <w:t>147</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51" w:history="1">
            <w:r w:rsidR="0057352F" w:rsidRPr="00002F56">
              <w:rPr>
                <w:rStyle w:val="Hyperlink"/>
                <w:noProof/>
                <w:lang w:eastAsia="en-AU"/>
              </w:rPr>
              <w:t>7.2</w:t>
            </w:r>
            <w:r w:rsidR="0057352F">
              <w:rPr>
                <w:rFonts w:eastAsiaTheme="minorEastAsia"/>
                <w:noProof/>
                <w:sz w:val="22"/>
                <w:lang w:eastAsia="en-AU"/>
              </w:rPr>
              <w:tab/>
            </w:r>
            <w:r w:rsidR="0057352F" w:rsidRPr="00002F56">
              <w:rPr>
                <w:rStyle w:val="Hyperlink"/>
                <w:noProof/>
                <w:lang w:eastAsia="en-AU"/>
              </w:rPr>
              <w:t>Are Physical Therapy Programs Effective?</w:t>
            </w:r>
            <w:r w:rsidR="0057352F">
              <w:rPr>
                <w:noProof/>
                <w:webHidden/>
              </w:rPr>
              <w:tab/>
            </w:r>
            <w:r w:rsidR="0057352F">
              <w:rPr>
                <w:noProof/>
                <w:webHidden/>
              </w:rPr>
              <w:fldChar w:fldCharType="begin"/>
            </w:r>
            <w:r w:rsidR="0057352F">
              <w:rPr>
                <w:noProof/>
                <w:webHidden/>
              </w:rPr>
              <w:instrText xml:space="preserve"> PAGEREF _Toc491426051 \h </w:instrText>
            </w:r>
            <w:r w:rsidR="0057352F">
              <w:rPr>
                <w:noProof/>
                <w:webHidden/>
              </w:rPr>
            </w:r>
            <w:r w:rsidR="0057352F">
              <w:rPr>
                <w:noProof/>
                <w:webHidden/>
              </w:rPr>
              <w:fldChar w:fldCharType="separate"/>
            </w:r>
            <w:r w:rsidR="00856E49">
              <w:rPr>
                <w:noProof/>
                <w:webHidden/>
              </w:rPr>
              <w:t>148</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52" w:history="1">
            <w:r w:rsidR="0057352F" w:rsidRPr="00002F56">
              <w:rPr>
                <w:rStyle w:val="Hyperlink"/>
                <w:noProof/>
                <w:lang w:eastAsia="en-AU"/>
              </w:rPr>
              <w:t>7.3</w:t>
            </w:r>
            <w:r w:rsidR="0057352F">
              <w:rPr>
                <w:rFonts w:eastAsiaTheme="minorEastAsia"/>
                <w:noProof/>
                <w:sz w:val="22"/>
                <w:lang w:eastAsia="en-AU"/>
              </w:rPr>
              <w:tab/>
            </w:r>
            <w:r w:rsidR="0057352F" w:rsidRPr="00002F56">
              <w:rPr>
                <w:rStyle w:val="Hyperlink"/>
                <w:noProof/>
                <w:lang w:eastAsia="en-AU"/>
              </w:rPr>
              <w:t>Physical Therapy Program Principles</w:t>
            </w:r>
            <w:r w:rsidR="0057352F">
              <w:rPr>
                <w:noProof/>
                <w:webHidden/>
              </w:rPr>
              <w:tab/>
            </w:r>
            <w:r w:rsidR="0057352F">
              <w:rPr>
                <w:noProof/>
                <w:webHidden/>
              </w:rPr>
              <w:fldChar w:fldCharType="begin"/>
            </w:r>
            <w:r w:rsidR="0057352F">
              <w:rPr>
                <w:noProof/>
                <w:webHidden/>
              </w:rPr>
              <w:instrText xml:space="preserve"> PAGEREF _Toc491426052 \h </w:instrText>
            </w:r>
            <w:r w:rsidR="0057352F">
              <w:rPr>
                <w:noProof/>
                <w:webHidden/>
              </w:rPr>
            </w:r>
            <w:r w:rsidR="0057352F">
              <w:rPr>
                <w:noProof/>
                <w:webHidden/>
              </w:rPr>
              <w:fldChar w:fldCharType="separate"/>
            </w:r>
            <w:r w:rsidR="00856E49">
              <w:rPr>
                <w:noProof/>
                <w:webHidden/>
              </w:rPr>
              <w:t>150</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53" w:history="1">
            <w:r w:rsidR="0057352F" w:rsidRPr="00002F56">
              <w:rPr>
                <w:rStyle w:val="Hyperlink"/>
                <w:noProof/>
                <w:lang w:eastAsia="en-AU"/>
              </w:rPr>
              <w:t>7.4</w:t>
            </w:r>
            <w:r w:rsidR="0057352F">
              <w:rPr>
                <w:rFonts w:eastAsiaTheme="minorEastAsia"/>
                <w:noProof/>
                <w:sz w:val="22"/>
                <w:lang w:eastAsia="en-AU"/>
              </w:rPr>
              <w:tab/>
            </w:r>
            <w:r w:rsidR="0057352F" w:rsidRPr="00002F56">
              <w:rPr>
                <w:rStyle w:val="Hyperlink"/>
                <w:noProof/>
                <w:lang w:eastAsia="en-AU"/>
              </w:rPr>
              <w:t>Funding and Design of the Therapy Program</w:t>
            </w:r>
            <w:r w:rsidR="0057352F">
              <w:rPr>
                <w:noProof/>
                <w:webHidden/>
              </w:rPr>
              <w:tab/>
            </w:r>
            <w:r w:rsidR="0057352F">
              <w:rPr>
                <w:noProof/>
                <w:webHidden/>
              </w:rPr>
              <w:fldChar w:fldCharType="begin"/>
            </w:r>
            <w:r w:rsidR="0057352F">
              <w:rPr>
                <w:noProof/>
                <w:webHidden/>
              </w:rPr>
              <w:instrText xml:space="preserve"> PAGEREF _Toc491426053 \h </w:instrText>
            </w:r>
            <w:r w:rsidR="0057352F">
              <w:rPr>
                <w:noProof/>
                <w:webHidden/>
              </w:rPr>
            </w:r>
            <w:r w:rsidR="0057352F">
              <w:rPr>
                <w:noProof/>
                <w:webHidden/>
              </w:rPr>
              <w:fldChar w:fldCharType="separate"/>
            </w:r>
            <w:r w:rsidR="00856E49">
              <w:rPr>
                <w:noProof/>
                <w:webHidden/>
              </w:rPr>
              <w:t>155</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54" w:history="1">
            <w:r w:rsidR="0057352F" w:rsidRPr="00002F56">
              <w:rPr>
                <w:rStyle w:val="Hyperlink"/>
                <w:noProof/>
                <w:lang w:eastAsia="en-AU"/>
              </w:rPr>
              <w:t>7.5</w:t>
            </w:r>
            <w:r w:rsidR="0057352F">
              <w:rPr>
                <w:rFonts w:eastAsiaTheme="minorEastAsia"/>
                <w:noProof/>
                <w:sz w:val="22"/>
                <w:lang w:eastAsia="en-AU"/>
              </w:rPr>
              <w:tab/>
            </w:r>
            <w:r w:rsidR="0057352F" w:rsidRPr="00002F56">
              <w:rPr>
                <w:rStyle w:val="Hyperlink"/>
                <w:noProof/>
                <w:lang w:eastAsia="en-AU"/>
              </w:rPr>
              <w:t>Therapy Program Recommendations</w:t>
            </w:r>
            <w:r w:rsidR="0057352F">
              <w:rPr>
                <w:noProof/>
                <w:webHidden/>
              </w:rPr>
              <w:tab/>
            </w:r>
            <w:r w:rsidR="0057352F">
              <w:rPr>
                <w:noProof/>
                <w:webHidden/>
              </w:rPr>
              <w:fldChar w:fldCharType="begin"/>
            </w:r>
            <w:r w:rsidR="0057352F">
              <w:rPr>
                <w:noProof/>
                <w:webHidden/>
              </w:rPr>
              <w:instrText xml:space="preserve"> PAGEREF _Toc491426054 \h </w:instrText>
            </w:r>
            <w:r w:rsidR="0057352F">
              <w:rPr>
                <w:noProof/>
                <w:webHidden/>
              </w:rPr>
            </w:r>
            <w:r w:rsidR="0057352F">
              <w:rPr>
                <w:noProof/>
                <w:webHidden/>
              </w:rPr>
              <w:fldChar w:fldCharType="separate"/>
            </w:r>
            <w:r w:rsidR="00856E49">
              <w:rPr>
                <w:noProof/>
                <w:webHidden/>
              </w:rPr>
              <w:t>157</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55" w:history="1">
            <w:r w:rsidR="0057352F" w:rsidRPr="00002F56">
              <w:rPr>
                <w:rStyle w:val="Hyperlink"/>
                <w:noProof/>
                <w:lang w:eastAsia="en-AU"/>
              </w:rPr>
              <w:t>7.6</w:t>
            </w:r>
            <w:r w:rsidR="0057352F">
              <w:rPr>
                <w:rFonts w:eastAsiaTheme="minorEastAsia"/>
                <w:noProof/>
                <w:sz w:val="22"/>
                <w:lang w:eastAsia="en-AU"/>
              </w:rPr>
              <w:tab/>
            </w:r>
            <w:r w:rsidR="0057352F" w:rsidRPr="00002F56">
              <w:rPr>
                <w:rStyle w:val="Hyperlink"/>
                <w:noProof/>
                <w:lang w:eastAsia="en-AU"/>
              </w:rPr>
              <w:t>Recommended R-ACFI User Guide</w:t>
            </w:r>
            <w:r w:rsidR="0057352F">
              <w:rPr>
                <w:noProof/>
                <w:webHidden/>
              </w:rPr>
              <w:tab/>
            </w:r>
            <w:r w:rsidR="0057352F">
              <w:rPr>
                <w:noProof/>
                <w:webHidden/>
              </w:rPr>
              <w:fldChar w:fldCharType="begin"/>
            </w:r>
            <w:r w:rsidR="0057352F">
              <w:rPr>
                <w:noProof/>
                <w:webHidden/>
              </w:rPr>
              <w:instrText xml:space="preserve"> PAGEREF _Toc491426055 \h </w:instrText>
            </w:r>
            <w:r w:rsidR="0057352F">
              <w:rPr>
                <w:noProof/>
                <w:webHidden/>
              </w:rPr>
            </w:r>
            <w:r w:rsidR="0057352F">
              <w:rPr>
                <w:noProof/>
                <w:webHidden/>
              </w:rPr>
              <w:fldChar w:fldCharType="separate"/>
            </w:r>
            <w:r w:rsidR="00856E49">
              <w:rPr>
                <w:noProof/>
                <w:webHidden/>
              </w:rPr>
              <w:t>158</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56" w:history="1">
            <w:r w:rsidR="0057352F" w:rsidRPr="00002F56">
              <w:rPr>
                <w:rStyle w:val="Hyperlink"/>
                <w:noProof/>
                <w:lang w:eastAsia="en-AU"/>
              </w:rPr>
              <w:t>7.7</w:t>
            </w:r>
            <w:r w:rsidR="0057352F">
              <w:rPr>
                <w:rFonts w:eastAsiaTheme="minorEastAsia"/>
                <w:noProof/>
                <w:sz w:val="22"/>
                <w:lang w:eastAsia="en-AU"/>
              </w:rPr>
              <w:tab/>
            </w:r>
            <w:r w:rsidR="0057352F" w:rsidRPr="00002F56">
              <w:rPr>
                <w:rStyle w:val="Hyperlink"/>
                <w:noProof/>
                <w:lang w:eastAsia="en-AU"/>
              </w:rPr>
              <w:t>The R-ACFI Therapy Program – Snapshot</w:t>
            </w:r>
            <w:r w:rsidR="0057352F">
              <w:rPr>
                <w:noProof/>
                <w:webHidden/>
              </w:rPr>
              <w:tab/>
            </w:r>
            <w:r w:rsidR="0057352F">
              <w:rPr>
                <w:noProof/>
                <w:webHidden/>
              </w:rPr>
              <w:fldChar w:fldCharType="begin"/>
            </w:r>
            <w:r w:rsidR="0057352F">
              <w:rPr>
                <w:noProof/>
                <w:webHidden/>
              </w:rPr>
              <w:instrText xml:space="preserve"> PAGEREF _Toc491426056 \h </w:instrText>
            </w:r>
            <w:r w:rsidR="0057352F">
              <w:rPr>
                <w:noProof/>
                <w:webHidden/>
              </w:rPr>
            </w:r>
            <w:r w:rsidR="0057352F">
              <w:rPr>
                <w:noProof/>
                <w:webHidden/>
              </w:rPr>
              <w:fldChar w:fldCharType="separate"/>
            </w:r>
            <w:r w:rsidR="00856E49">
              <w:rPr>
                <w:noProof/>
                <w:webHidden/>
              </w:rPr>
              <w:t>161</w:t>
            </w:r>
            <w:r w:rsidR="0057352F">
              <w:rPr>
                <w:noProof/>
                <w:webHidden/>
              </w:rPr>
              <w:fldChar w:fldCharType="end"/>
            </w:r>
          </w:hyperlink>
        </w:p>
        <w:p w:rsidR="0057352F" w:rsidRDefault="00473246">
          <w:pPr>
            <w:pStyle w:val="TOC1"/>
            <w:tabs>
              <w:tab w:val="left" w:pos="1320"/>
              <w:tab w:val="right" w:leader="dot" w:pos="9016"/>
            </w:tabs>
            <w:rPr>
              <w:rFonts w:eastAsiaTheme="minorEastAsia"/>
              <w:noProof/>
              <w:sz w:val="22"/>
              <w:lang w:eastAsia="en-AU"/>
            </w:rPr>
          </w:pPr>
          <w:hyperlink w:anchor="_Toc491426057" w:history="1">
            <w:r w:rsidR="0057352F" w:rsidRPr="00002F56">
              <w:rPr>
                <w:rStyle w:val="Hyperlink"/>
                <w:rFonts w:cstheme="minorHAnsi"/>
                <w:noProof/>
              </w:rPr>
              <w:t>Chapter 8:</w:t>
            </w:r>
            <w:r w:rsidR="0057352F">
              <w:rPr>
                <w:rFonts w:eastAsiaTheme="minorEastAsia"/>
                <w:noProof/>
                <w:sz w:val="22"/>
                <w:lang w:eastAsia="en-AU"/>
              </w:rPr>
              <w:tab/>
            </w:r>
            <w:r w:rsidR="0057352F" w:rsidRPr="00002F56">
              <w:rPr>
                <w:rStyle w:val="Hyperlink"/>
                <w:rFonts w:cstheme="minorHAnsi"/>
                <w:noProof/>
              </w:rPr>
              <w:t>R-ACFI Classification and Funding Outcomes</w:t>
            </w:r>
            <w:r w:rsidR="0057352F">
              <w:rPr>
                <w:noProof/>
                <w:webHidden/>
              </w:rPr>
              <w:tab/>
            </w:r>
            <w:r w:rsidR="0057352F">
              <w:rPr>
                <w:noProof/>
                <w:webHidden/>
              </w:rPr>
              <w:fldChar w:fldCharType="begin"/>
            </w:r>
            <w:r w:rsidR="0057352F">
              <w:rPr>
                <w:noProof/>
                <w:webHidden/>
              </w:rPr>
              <w:instrText xml:space="preserve"> PAGEREF _Toc491426057 \h </w:instrText>
            </w:r>
            <w:r w:rsidR="0057352F">
              <w:rPr>
                <w:noProof/>
                <w:webHidden/>
              </w:rPr>
            </w:r>
            <w:r w:rsidR="0057352F">
              <w:rPr>
                <w:noProof/>
                <w:webHidden/>
              </w:rPr>
              <w:fldChar w:fldCharType="separate"/>
            </w:r>
            <w:r w:rsidR="00856E49">
              <w:rPr>
                <w:noProof/>
                <w:webHidden/>
              </w:rPr>
              <w:t>166</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58" w:history="1">
            <w:r w:rsidR="0057352F" w:rsidRPr="00002F56">
              <w:rPr>
                <w:rStyle w:val="Hyperlink"/>
                <w:noProof/>
              </w:rPr>
              <w:t>8.1</w:t>
            </w:r>
            <w:r w:rsidR="0057352F">
              <w:rPr>
                <w:rFonts w:eastAsiaTheme="minorEastAsia"/>
                <w:noProof/>
                <w:sz w:val="22"/>
                <w:lang w:eastAsia="en-AU"/>
              </w:rPr>
              <w:tab/>
            </w:r>
            <w:r w:rsidR="0057352F" w:rsidRPr="00002F56">
              <w:rPr>
                <w:rStyle w:val="Hyperlink"/>
                <w:noProof/>
              </w:rPr>
              <w:t>Introduction</w:t>
            </w:r>
            <w:r w:rsidR="0057352F">
              <w:rPr>
                <w:noProof/>
                <w:webHidden/>
              </w:rPr>
              <w:tab/>
            </w:r>
            <w:r w:rsidR="0057352F">
              <w:rPr>
                <w:noProof/>
                <w:webHidden/>
              </w:rPr>
              <w:fldChar w:fldCharType="begin"/>
            </w:r>
            <w:r w:rsidR="0057352F">
              <w:rPr>
                <w:noProof/>
                <w:webHidden/>
              </w:rPr>
              <w:instrText xml:space="preserve"> PAGEREF _Toc491426058 \h </w:instrText>
            </w:r>
            <w:r w:rsidR="0057352F">
              <w:rPr>
                <w:noProof/>
                <w:webHidden/>
              </w:rPr>
            </w:r>
            <w:r w:rsidR="0057352F">
              <w:rPr>
                <w:noProof/>
                <w:webHidden/>
              </w:rPr>
              <w:fldChar w:fldCharType="separate"/>
            </w:r>
            <w:r w:rsidR="00856E49">
              <w:rPr>
                <w:noProof/>
                <w:webHidden/>
              </w:rPr>
              <w:t>166</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59" w:history="1">
            <w:r w:rsidR="0057352F" w:rsidRPr="00002F56">
              <w:rPr>
                <w:rStyle w:val="Hyperlink"/>
                <w:noProof/>
              </w:rPr>
              <w:t>8.2</w:t>
            </w:r>
            <w:r w:rsidR="0057352F">
              <w:rPr>
                <w:rFonts w:eastAsiaTheme="minorEastAsia"/>
                <w:noProof/>
                <w:sz w:val="22"/>
                <w:lang w:eastAsia="en-AU"/>
              </w:rPr>
              <w:tab/>
            </w:r>
            <w:r w:rsidR="0057352F" w:rsidRPr="00002F56">
              <w:rPr>
                <w:rStyle w:val="Hyperlink"/>
                <w:noProof/>
              </w:rPr>
              <w:t>The R-ACFI Classification and Payment Model</w:t>
            </w:r>
            <w:r w:rsidR="0057352F">
              <w:rPr>
                <w:noProof/>
                <w:webHidden/>
              </w:rPr>
              <w:tab/>
            </w:r>
            <w:r w:rsidR="0057352F">
              <w:rPr>
                <w:noProof/>
                <w:webHidden/>
              </w:rPr>
              <w:fldChar w:fldCharType="begin"/>
            </w:r>
            <w:r w:rsidR="0057352F">
              <w:rPr>
                <w:noProof/>
                <w:webHidden/>
              </w:rPr>
              <w:instrText xml:space="preserve"> PAGEREF _Toc491426059 \h </w:instrText>
            </w:r>
            <w:r w:rsidR="0057352F">
              <w:rPr>
                <w:noProof/>
                <w:webHidden/>
              </w:rPr>
            </w:r>
            <w:r w:rsidR="0057352F">
              <w:rPr>
                <w:noProof/>
                <w:webHidden/>
              </w:rPr>
              <w:fldChar w:fldCharType="separate"/>
            </w:r>
            <w:r w:rsidR="00856E49">
              <w:rPr>
                <w:noProof/>
                <w:webHidden/>
              </w:rPr>
              <w:t>167</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60" w:history="1">
            <w:r w:rsidR="0057352F" w:rsidRPr="00002F56">
              <w:rPr>
                <w:rStyle w:val="Hyperlink"/>
                <w:noProof/>
              </w:rPr>
              <w:t>8.3</w:t>
            </w:r>
            <w:r w:rsidR="0057352F">
              <w:rPr>
                <w:rFonts w:eastAsiaTheme="minorEastAsia"/>
                <w:noProof/>
                <w:sz w:val="22"/>
                <w:lang w:eastAsia="en-AU"/>
              </w:rPr>
              <w:tab/>
            </w:r>
            <w:r w:rsidR="0057352F" w:rsidRPr="00002F56">
              <w:rPr>
                <w:rStyle w:val="Hyperlink"/>
                <w:noProof/>
              </w:rPr>
              <w:t>The ADL Domain Funding Classification</w:t>
            </w:r>
            <w:r w:rsidR="0057352F">
              <w:rPr>
                <w:noProof/>
                <w:webHidden/>
              </w:rPr>
              <w:tab/>
            </w:r>
            <w:r w:rsidR="0057352F">
              <w:rPr>
                <w:noProof/>
                <w:webHidden/>
              </w:rPr>
              <w:fldChar w:fldCharType="begin"/>
            </w:r>
            <w:r w:rsidR="0057352F">
              <w:rPr>
                <w:noProof/>
                <w:webHidden/>
              </w:rPr>
              <w:instrText xml:space="preserve"> PAGEREF _Toc491426060 \h </w:instrText>
            </w:r>
            <w:r w:rsidR="0057352F">
              <w:rPr>
                <w:noProof/>
                <w:webHidden/>
              </w:rPr>
            </w:r>
            <w:r w:rsidR="0057352F">
              <w:rPr>
                <w:noProof/>
                <w:webHidden/>
              </w:rPr>
              <w:fldChar w:fldCharType="separate"/>
            </w:r>
            <w:r w:rsidR="00856E49">
              <w:rPr>
                <w:noProof/>
                <w:webHidden/>
              </w:rPr>
              <w:t>174</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61" w:history="1">
            <w:r w:rsidR="0057352F" w:rsidRPr="00002F56">
              <w:rPr>
                <w:rStyle w:val="Hyperlink"/>
                <w:noProof/>
              </w:rPr>
              <w:t>8.4</w:t>
            </w:r>
            <w:r w:rsidR="0057352F">
              <w:rPr>
                <w:rFonts w:eastAsiaTheme="minorEastAsia"/>
                <w:noProof/>
                <w:sz w:val="22"/>
                <w:lang w:eastAsia="en-AU"/>
              </w:rPr>
              <w:tab/>
            </w:r>
            <w:r w:rsidR="0057352F" w:rsidRPr="00002F56">
              <w:rPr>
                <w:rStyle w:val="Hyperlink"/>
                <w:noProof/>
              </w:rPr>
              <w:t>The BEH Domain Funding Classification</w:t>
            </w:r>
            <w:r w:rsidR="0057352F">
              <w:rPr>
                <w:noProof/>
                <w:webHidden/>
              </w:rPr>
              <w:tab/>
            </w:r>
            <w:r w:rsidR="0057352F">
              <w:rPr>
                <w:noProof/>
                <w:webHidden/>
              </w:rPr>
              <w:fldChar w:fldCharType="begin"/>
            </w:r>
            <w:r w:rsidR="0057352F">
              <w:rPr>
                <w:noProof/>
                <w:webHidden/>
              </w:rPr>
              <w:instrText xml:space="preserve"> PAGEREF _Toc491426061 \h </w:instrText>
            </w:r>
            <w:r w:rsidR="0057352F">
              <w:rPr>
                <w:noProof/>
                <w:webHidden/>
              </w:rPr>
            </w:r>
            <w:r w:rsidR="0057352F">
              <w:rPr>
                <w:noProof/>
                <w:webHidden/>
              </w:rPr>
              <w:fldChar w:fldCharType="separate"/>
            </w:r>
            <w:r w:rsidR="00856E49">
              <w:rPr>
                <w:noProof/>
                <w:webHidden/>
              </w:rPr>
              <w:t>177</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62" w:history="1">
            <w:r w:rsidR="0057352F" w:rsidRPr="00002F56">
              <w:rPr>
                <w:rStyle w:val="Hyperlink"/>
                <w:noProof/>
              </w:rPr>
              <w:t>8.5</w:t>
            </w:r>
            <w:r w:rsidR="0057352F">
              <w:rPr>
                <w:rFonts w:eastAsiaTheme="minorEastAsia"/>
                <w:noProof/>
                <w:sz w:val="22"/>
                <w:lang w:eastAsia="en-AU"/>
              </w:rPr>
              <w:tab/>
            </w:r>
            <w:r w:rsidR="0057352F" w:rsidRPr="00002F56">
              <w:rPr>
                <w:rStyle w:val="Hyperlink"/>
                <w:noProof/>
              </w:rPr>
              <w:t>The CHC Domain Funding Classification</w:t>
            </w:r>
            <w:r w:rsidR="0057352F">
              <w:rPr>
                <w:noProof/>
                <w:webHidden/>
              </w:rPr>
              <w:tab/>
            </w:r>
            <w:r w:rsidR="0057352F">
              <w:rPr>
                <w:noProof/>
                <w:webHidden/>
              </w:rPr>
              <w:fldChar w:fldCharType="begin"/>
            </w:r>
            <w:r w:rsidR="0057352F">
              <w:rPr>
                <w:noProof/>
                <w:webHidden/>
              </w:rPr>
              <w:instrText xml:space="preserve"> PAGEREF _Toc491426062 \h </w:instrText>
            </w:r>
            <w:r w:rsidR="0057352F">
              <w:rPr>
                <w:noProof/>
                <w:webHidden/>
              </w:rPr>
            </w:r>
            <w:r w:rsidR="0057352F">
              <w:rPr>
                <w:noProof/>
                <w:webHidden/>
              </w:rPr>
              <w:fldChar w:fldCharType="separate"/>
            </w:r>
            <w:r w:rsidR="00856E49">
              <w:rPr>
                <w:noProof/>
                <w:webHidden/>
              </w:rPr>
              <w:t>182</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63" w:history="1">
            <w:r w:rsidR="0057352F" w:rsidRPr="00002F56">
              <w:rPr>
                <w:rStyle w:val="Hyperlink"/>
                <w:noProof/>
              </w:rPr>
              <w:t>8.6</w:t>
            </w:r>
            <w:r w:rsidR="0057352F">
              <w:rPr>
                <w:rFonts w:eastAsiaTheme="minorEastAsia"/>
                <w:noProof/>
                <w:sz w:val="22"/>
                <w:lang w:eastAsia="en-AU"/>
              </w:rPr>
              <w:tab/>
            </w:r>
            <w:r w:rsidR="0057352F" w:rsidRPr="00002F56">
              <w:rPr>
                <w:rStyle w:val="Hyperlink"/>
                <w:noProof/>
              </w:rPr>
              <w:t>Therapy Program</w:t>
            </w:r>
            <w:r w:rsidR="0057352F">
              <w:rPr>
                <w:noProof/>
                <w:webHidden/>
              </w:rPr>
              <w:tab/>
            </w:r>
            <w:r w:rsidR="0057352F">
              <w:rPr>
                <w:noProof/>
                <w:webHidden/>
              </w:rPr>
              <w:fldChar w:fldCharType="begin"/>
            </w:r>
            <w:r w:rsidR="0057352F">
              <w:rPr>
                <w:noProof/>
                <w:webHidden/>
              </w:rPr>
              <w:instrText xml:space="preserve"> PAGEREF _Toc491426063 \h </w:instrText>
            </w:r>
            <w:r w:rsidR="0057352F">
              <w:rPr>
                <w:noProof/>
                <w:webHidden/>
              </w:rPr>
            </w:r>
            <w:r w:rsidR="0057352F">
              <w:rPr>
                <w:noProof/>
                <w:webHidden/>
              </w:rPr>
              <w:fldChar w:fldCharType="separate"/>
            </w:r>
            <w:r w:rsidR="00856E49">
              <w:rPr>
                <w:noProof/>
                <w:webHidden/>
              </w:rPr>
              <w:t>187</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64" w:history="1">
            <w:r w:rsidR="0057352F" w:rsidRPr="00002F56">
              <w:rPr>
                <w:rStyle w:val="Hyperlink"/>
                <w:noProof/>
                <w:lang w:eastAsia="en-AU"/>
              </w:rPr>
              <w:t>8.7</w:t>
            </w:r>
            <w:r w:rsidR="0057352F">
              <w:rPr>
                <w:rFonts w:eastAsiaTheme="minorEastAsia"/>
                <w:noProof/>
                <w:sz w:val="22"/>
                <w:lang w:eastAsia="en-AU"/>
              </w:rPr>
              <w:tab/>
            </w:r>
            <w:r w:rsidR="0057352F" w:rsidRPr="00002F56">
              <w:rPr>
                <w:rStyle w:val="Hyperlink"/>
                <w:noProof/>
                <w:lang w:eastAsia="en-AU"/>
              </w:rPr>
              <w:t>R-ACFI “At a Glance”</w:t>
            </w:r>
            <w:r w:rsidR="0057352F">
              <w:rPr>
                <w:noProof/>
                <w:webHidden/>
              </w:rPr>
              <w:tab/>
            </w:r>
            <w:r w:rsidR="0057352F">
              <w:rPr>
                <w:noProof/>
                <w:webHidden/>
              </w:rPr>
              <w:fldChar w:fldCharType="begin"/>
            </w:r>
            <w:r w:rsidR="0057352F">
              <w:rPr>
                <w:noProof/>
                <w:webHidden/>
              </w:rPr>
              <w:instrText xml:space="preserve"> PAGEREF _Toc491426064 \h </w:instrText>
            </w:r>
            <w:r w:rsidR="0057352F">
              <w:rPr>
                <w:noProof/>
                <w:webHidden/>
              </w:rPr>
            </w:r>
            <w:r w:rsidR="0057352F">
              <w:rPr>
                <w:noProof/>
                <w:webHidden/>
              </w:rPr>
              <w:fldChar w:fldCharType="separate"/>
            </w:r>
            <w:r w:rsidR="00856E49">
              <w:rPr>
                <w:noProof/>
                <w:webHidden/>
              </w:rPr>
              <w:t>187</w:t>
            </w:r>
            <w:r w:rsidR="0057352F">
              <w:rPr>
                <w:noProof/>
                <w:webHidden/>
              </w:rPr>
              <w:fldChar w:fldCharType="end"/>
            </w:r>
          </w:hyperlink>
        </w:p>
        <w:p w:rsidR="0057352F" w:rsidRDefault="00473246">
          <w:pPr>
            <w:pStyle w:val="TOC1"/>
            <w:tabs>
              <w:tab w:val="left" w:pos="1320"/>
              <w:tab w:val="right" w:leader="dot" w:pos="9016"/>
            </w:tabs>
            <w:rPr>
              <w:rFonts w:eastAsiaTheme="minorEastAsia"/>
              <w:noProof/>
              <w:sz w:val="22"/>
              <w:lang w:eastAsia="en-AU"/>
            </w:rPr>
          </w:pPr>
          <w:hyperlink w:anchor="_Toc491426065" w:history="1">
            <w:r w:rsidR="0057352F" w:rsidRPr="00002F56">
              <w:rPr>
                <w:rStyle w:val="Hyperlink"/>
                <w:rFonts w:cstheme="minorHAnsi"/>
                <w:noProof/>
              </w:rPr>
              <w:t>Chapter 9:</w:t>
            </w:r>
            <w:r w:rsidR="0057352F">
              <w:rPr>
                <w:rFonts w:eastAsiaTheme="minorEastAsia"/>
                <w:noProof/>
                <w:sz w:val="22"/>
                <w:lang w:eastAsia="en-AU"/>
              </w:rPr>
              <w:tab/>
            </w:r>
            <w:r w:rsidR="0057352F" w:rsidRPr="00002F56">
              <w:rPr>
                <w:rStyle w:val="Hyperlink"/>
                <w:rFonts w:cstheme="minorHAnsi"/>
                <w:noProof/>
              </w:rPr>
              <w:t>ACFI Funding Growth and Resident Acuity</w:t>
            </w:r>
            <w:r w:rsidR="0057352F">
              <w:rPr>
                <w:noProof/>
                <w:webHidden/>
              </w:rPr>
              <w:tab/>
            </w:r>
            <w:r w:rsidR="0057352F">
              <w:rPr>
                <w:noProof/>
                <w:webHidden/>
              </w:rPr>
              <w:fldChar w:fldCharType="begin"/>
            </w:r>
            <w:r w:rsidR="0057352F">
              <w:rPr>
                <w:noProof/>
                <w:webHidden/>
              </w:rPr>
              <w:instrText xml:space="preserve"> PAGEREF _Toc491426065 \h </w:instrText>
            </w:r>
            <w:r w:rsidR="0057352F">
              <w:rPr>
                <w:noProof/>
                <w:webHidden/>
              </w:rPr>
            </w:r>
            <w:r w:rsidR="0057352F">
              <w:rPr>
                <w:noProof/>
                <w:webHidden/>
              </w:rPr>
              <w:fldChar w:fldCharType="separate"/>
            </w:r>
            <w:r w:rsidR="00856E49">
              <w:rPr>
                <w:noProof/>
                <w:webHidden/>
              </w:rPr>
              <w:t>189</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66" w:history="1">
            <w:r w:rsidR="0057352F" w:rsidRPr="00002F56">
              <w:rPr>
                <w:rStyle w:val="Hyperlink"/>
                <w:noProof/>
              </w:rPr>
              <w:t>9.1</w:t>
            </w:r>
            <w:r w:rsidR="0057352F">
              <w:rPr>
                <w:rFonts w:eastAsiaTheme="minorEastAsia"/>
                <w:noProof/>
                <w:sz w:val="22"/>
                <w:lang w:eastAsia="en-AU"/>
              </w:rPr>
              <w:tab/>
            </w:r>
            <w:r w:rsidR="0057352F" w:rsidRPr="00002F56">
              <w:rPr>
                <w:rStyle w:val="Hyperlink"/>
                <w:noProof/>
              </w:rPr>
              <w:t>Average ACFI Subsidy Growth Since Commencement</w:t>
            </w:r>
            <w:r w:rsidR="0057352F">
              <w:rPr>
                <w:noProof/>
                <w:webHidden/>
              </w:rPr>
              <w:tab/>
            </w:r>
            <w:r w:rsidR="0057352F">
              <w:rPr>
                <w:noProof/>
                <w:webHidden/>
              </w:rPr>
              <w:fldChar w:fldCharType="begin"/>
            </w:r>
            <w:r w:rsidR="0057352F">
              <w:rPr>
                <w:noProof/>
                <w:webHidden/>
              </w:rPr>
              <w:instrText xml:space="preserve"> PAGEREF _Toc491426066 \h </w:instrText>
            </w:r>
            <w:r w:rsidR="0057352F">
              <w:rPr>
                <w:noProof/>
                <w:webHidden/>
              </w:rPr>
            </w:r>
            <w:r w:rsidR="0057352F">
              <w:rPr>
                <w:noProof/>
                <w:webHidden/>
              </w:rPr>
              <w:fldChar w:fldCharType="separate"/>
            </w:r>
            <w:r w:rsidR="00856E49">
              <w:rPr>
                <w:noProof/>
                <w:webHidden/>
              </w:rPr>
              <w:t>189</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67" w:history="1">
            <w:r w:rsidR="0057352F" w:rsidRPr="00002F56">
              <w:rPr>
                <w:rStyle w:val="Hyperlink"/>
                <w:noProof/>
              </w:rPr>
              <w:t>9.2</w:t>
            </w:r>
            <w:r w:rsidR="0057352F">
              <w:rPr>
                <w:rFonts w:eastAsiaTheme="minorEastAsia"/>
                <w:noProof/>
                <w:sz w:val="22"/>
                <w:lang w:eastAsia="en-AU"/>
              </w:rPr>
              <w:tab/>
            </w:r>
            <w:r w:rsidR="0057352F" w:rsidRPr="00002F56">
              <w:rPr>
                <w:rStyle w:val="Hyperlink"/>
                <w:noProof/>
              </w:rPr>
              <w:t>ACFI Items Showing Significant Growth</w:t>
            </w:r>
            <w:r w:rsidR="0057352F">
              <w:rPr>
                <w:noProof/>
                <w:webHidden/>
              </w:rPr>
              <w:tab/>
            </w:r>
            <w:r w:rsidR="0057352F">
              <w:rPr>
                <w:noProof/>
                <w:webHidden/>
              </w:rPr>
              <w:fldChar w:fldCharType="begin"/>
            </w:r>
            <w:r w:rsidR="0057352F">
              <w:rPr>
                <w:noProof/>
                <w:webHidden/>
              </w:rPr>
              <w:instrText xml:space="preserve"> PAGEREF _Toc491426067 \h </w:instrText>
            </w:r>
            <w:r w:rsidR="0057352F">
              <w:rPr>
                <w:noProof/>
                <w:webHidden/>
              </w:rPr>
            </w:r>
            <w:r w:rsidR="0057352F">
              <w:rPr>
                <w:noProof/>
                <w:webHidden/>
              </w:rPr>
              <w:fldChar w:fldCharType="separate"/>
            </w:r>
            <w:r w:rsidR="00856E49">
              <w:rPr>
                <w:noProof/>
                <w:webHidden/>
              </w:rPr>
              <w:t>190</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68" w:history="1">
            <w:r w:rsidR="0057352F" w:rsidRPr="00002F56">
              <w:rPr>
                <w:rStyle w:val="Hyperlink"/>
                <w:noProof/>
              </w:rPr>
              <w:t>9.3</w:t>
            </w:r>
            <w:r w:rsidR="0057352F">
              <w:rPr>
                <w:rFonts w:eastAsiaTheme="minorEastAsia"/>
                <w:noProof/>
                <w:sz w:val="22"/>
                <w:lang w:eastAsia="en-AU"/>
              </w:rPr>
              <w:tab/>
            </w:r>
            <w:r w:rsidR="0057352F" w:rsidRPr="00002F56">
              <w:rPr>
                <w:rStyle w:val="Hyperlink"/>
                <w:noProof/>
              </w:rPr>
              <w:t>ACFI Subsidy Growth Rates &amp; Relationship to Increases in Acuity</w:t>
            </w:r>
            <w:r w:rsidR="0057352F">
              <w:rPr>
                <w:noProof/>
                <w:webHidden/>
              </w:rPr>
              <w:tab/>
            </w:r>
            <w:r w:rsidR="0057352F">
              <w:rPr>
                <w:noProof/>
                <w:webHidden/>
              </w:rPr>
              <w:fldChar w:fldCharType="begin"/>
            </w:r>
            <w:r w:rsidR="0057352F">
              <w:rPr>
                <w:noProof/>
                <w:webHidden/>
              </w:rPr>
              <w:instrText xml:space="preserve"> PAGEREF _Toc491426068 \h </w:instrText>
            </w:r>
            <w:r w:rsidR="0057352F">
              <w:rPr>
                <w:noProof/>
                <w:webHidden/>
              </w:rPr>
            </w:r>
            <w:r w:rsidR="0057352F">
              <w:rPr>
                <w:noProof/>
                <w:webHidden/>
              </w:rPr>
              <w:fldChar w:fldCharType="separate"/>
            </w:r>
            <w:r w:rsidR="00856E49">
              <w:rPr>
                <w:noProof/>
                <w:webHidden/>
              </w:rPr>
              <w:t>191</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69" w:history="1">
            <w:r w:rsidR="0057352F" w:rsidRPr="00002F56">
              <w:rPr>
                <w:rStyle w:val="Hyperlink"/>
                <w:noProof/>
              </w:rPr>
              <w:t>9.4</w:t>
            </w:r>
            <w:r w:rsidR="0057352F">
              <w:rPr>
                <w:rFonts w:eastAsiaTheme="minorEastAsia"/>
                <w:noProof/>
                <w:sz w:val="22"/>
                <w:lang w:eastAsia="en-AU"/>
              </w:rPr>
              <w:tab/>
            </w:r>
            <w:r w:rsidR="0057352F" w:rsidRPr="00002F56">
              <w:rPr>
                <w:rStyle w:val="Hyperlink"/>
                <w:noProof/>
              </w:rPr>
              <w:t>Government Response to the ACFI Subsidy Growth Rates</w:t>
            </w:r>
            <w:r w:rsidR="0057352F">
              <w:rPr>
                <w:noProof/>
                <w:webHidden/>
              </w:rPr>
              <w:tab/>
            </w:r>
            <w:r w:rsidR="0057352F">
              <w:rPr>
                <w:noProof/>
                <w:webHidden/>
              </w:rPr>
              <w:fldChar w:fldCharType="begin"/>
            </w:r>
            <w:r w:rsidR="0057352F">
              <w:rPr>
                <w:noProof/>
                <w:webHidden/>
              </w:rPr>
              <w:instrText xml:space="preserve"> PAGEREF _Toc491426069 \h </w:instrText>
            </w:r>
            <w:r w:rsidR="0057352F">
              <w:rPr>
                <w:noProof/>
                <w:webHidden/>
              </w:rPr>
            </w:r>
            <w:r w:rsidR="0057352F">
              <w:rPr>
                <w:noProof/>
                <w:webHidden/>
              </w:rPr>
              <w:fldChar w:fldCharType="separate"/>
            </w:r>
            <w:r w:rsidR="00856E49">
              <w:rPr>
                <w:noProof/>
                <w:webHidden/>
              </w:rPr>
              <w:t>196</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70" w:history="1">
            <w:r w:rsidR="0057352F" w:rsidRPr="00002F56">
              <w:rPr>
                <w:rStyle w:val="Hyperlink"/>
                <w:noProof/>
              </w:rPr>
              <w:t>9.5</w:t>
            </w:r>
            <w:r w:rsidR="0057352F">
              <w:rPr>
                <w:rFonts w:eastAsiaTheme="minorEastAsia"/>
                <w:noProof/>
                <w:sz w:val="22"/>
                <w:lang w:eastAsia="en-AU"/>
              </w:rPr>
              <w:tab/>
            </w:r>
            <w:r w:rsidR="0057352F" w:rsidRPr="00002F56">
              <w:rPr>
                <w:rStyle w:val="Hyperlink"/>
                <w:noProof/>
              </w:rPr>
              <w:t>Recent ACFI Changes and Impact on Growth</w:t>
            </w:r>
            <w:r w:rsidR="0057352F">
              <w:rPr>
                <w:noProof/>
                <w:webHidden/>
              </w:rPr>
              <w:tab/>
            </w:r>
            <w:r w:rsidR="0057352F">
              <w:rPr>
                <w:noProof/>
                <w:webHidden/>
              </w:rPr>
              <w:fldChar w:fldCharType="begin"/>
            </w:r>
            <w:r w:rsidR="0057352F">
              <w:rPr>
                <w:noProof/>
                <w:webHidden/>
              </w:rPr>
              <w:instrText xml:space="preserve"> PAGEREF _Toc491426070 \h </w:instrText>
            </w:r>
            <w:r w:rsidR="0057352F">
              <w:rPr>
                <w:noProof/>
                <w:webHidden/>
              </w:rPr>
            </w:r>
            <w:r w:rsidR="0057352F">
              <w:rPr>
                <w:noProof/>
                <w:webHidden/>
              </w:rPr>
              <w:fldChar w:fldCharType="separate"/>
            </w:r>
            <w:r w:rsidR="00856E49">
              <w:rPr>
                <w:noProof/>
                <w:webHidden/>
              </w:rPr>
              <w:t>197</w:t>
            </w:r>
            <w:r w:rsidR="0057352F">
              <w:rPr>
                <w:noProof/>
                <w:webHidden/>
              </w:rPr>
              <w:fldChar w:fldCharType="end"/>
            </w:r>
          </w:hyperlink>
        </w:p>
        <w:p w:rsidR="0057352F" w:rsidRDefault="00473246">
          <w:pPr>
            <w:pStyle w:val="TOC2"/>
            <w:tabs>
              <w:tab w:val="left" w:pos="880"/>
            </w:tabs>
            <w:rPr>
              <w:rFonts w:eastAsiaTheme="minorEastAsia"/>
              <w:noProof/>
              <w:sz w:val="22"/>
              <w:lang w:eastAsia="en-AU"/>
            </w:rPr>
          </w:pPr>
          <w:hyperlink w:anchor="_Toc491426071" w:history="1">
            <w:r w:rsidR="0057352F" w:rsidRPr="00002F56">
              <w:rPr>
                <w:rStyle w:val="Hyperlink"/>
                <w:noProof/>
              </w:rPr>
              <w:t>9.6</w:t>
            </w:r>
            <w:r w:rsidR="0057352F">
              <w:rPr>
                <w:rFonts w:eastAsiaTheme="minorEastAsia"/>
                <w:noProof/>
                <w:sz w:val="22"/>
                <w:lang w:eastAsia="en-AU"/>
              </w:rPr>
              <w:tab/>
            </w:r>
            <w:r w:rsidR="0057352F" w:rsidRPr="00002F56">
              <w:rPr>
                <w:rStyle w:val="Hyperlink"/>
                <w:noProof/>
              </w:rPr>
              <w:t>The Need to Address Funding Volatility and Set a Platform for the Future</w:t>
            </w:r>
            <w:r w:rsidR="0057352F">
              <w:rPr>
                <w:noProof/>
                <w:webHidden/>
              </w:rPr>
              <w:tab/>
            </w:r>
            <w:r w:rsidR="0057352F">
              <w:rPr>
                <w:noProof/>
                <w:webHidden/>
              </w:rPr>
              <w:fldChar w:fldCharType="begin"/>
            </w:r>
            <w:r w:rsidR="0057352F">
              <w:rPr>
                <w:noProof/>
                <w:webHidden/>
              </w:rPr>
              <w:instrText xml:space="preserve"> PAGEREF _Toc491426071 \h </w:instrText>
            </w:r>
            <w:r w:rsidR="0057352F">
              <w:rPr>
                <w:noProof/>
                <w:webHidden/>
              </w:rPr>
            </w:r>
            <w:r w:rsidR="0057352F">
              <w:rPr>
                <w:noProof/>
                <w:webHidden/>
              </w:rPr>
              <w:fldChar w:fldCharType="separate"/>
            </w:r>
            <w:r w:rsidR="00856E49">
              <w:rPr>
                <w:noProof/>
                <w:webHidden/>
              </w:rPr>
              <w:t>200</w:t>
            </w:r>
            <w:r w:rsidR="0057352F">
              <w:rPr>
                <w:noProof/>
                <w:webHidden/>
              </w:rPr>
              <w:fldChar w:fldCharType="end"/>
            </w:r>
          </w:hyperlink>
        </w:p>
        <w:p w:rsidR="0057352F" w:rsidRDefault="00473246">
          <w:pPr>
            <w:pStyle w:val="TOC1"/>
            <w:tabs>
              <w:tab w:val="left" w:pos="1540"/>
              <w:tab w:val="right" w:leader="dot" w:pos="9016"/>
            </w:tabs>
            <w:rPr>
              <w:rFonts w:eastAsiaTheme="minorEastAsia"/>
              <w:noProof/>
              <w:sz w:val="22"/>
              <w:lang w:eastAsia="en-AU"/>
            </w:rPr>
          </w:pPr>
          <w:hyperlink w:anchor="_Toc491426072" w:history="1">
            <w:r w:rsidR="0057352F" w:rsidRPr="00002F56">
              <w:rPr>
                <w:rStyle w:val="Hyperlink"/>
                <w:rFonts w:cstheme="minorHAnsi"/>
                <w:noProof/>
              </w:rPr>
              <w:t>Chapter 10:</w:t>
            </w:r>
            <w:r w:rsidR="0057352F">
              <w:rPr>
                <w:rFonts w:eastAsiaTheme="minorEastAsia"/>
                <w:noProof/>
                <w:sz w:val="22"/>
                <w:lang w:eastAsia="en-AU"/>
              </w:rPr>
              <w:tab/>
            </w:r>
            <w:r w:rsidR="0057352F" w:rsidRPr="00002F56">
              <w:rPr>
                <w:rStyle w:val="Hyperlink"/>
                <w:rFonts w:cstheme="minorHAnsi"/>
                <w:noProof/>
              </w:rPr>
              <w:t>International and local Approaches to Determining and Auditing Residential Aged Care Funding</w:t>
            </w:r>
            <w:r w:rsidR="0057352F">
              <w:rPr>
                <w:noProof/>
                <w:webHidden/>
              </w:rPr>
              <w:tab/>
            </w:r>
            <w:r w:rsidR="0057352F">
              <w:rPr>
                <w:noProof/>
                <w:webHidden/>
              </w:rPr>
              <w:fldChar w:fldCharType="begin"/>
            </w:r>
            <w:r w:rsidR="0057352F">
              <w:rPr>
                <w:noProof/>
                <w:webHidden/>
              </w:rPr>
              <w:instrText xml:space="preserve"> PAGEREF _Toc491426072 \h </w:instrText>
            </w:r>
            <w:r w:rsidR="0057352F">
              <w:rPr>
                <w:noProof/>
                <w:webHidden/>
              </w:rPr>
            </w:r>
            <w:r w:rsidR="0057352F">
              <w:rPr>
                <w:noProof/>
                <w:webHidden/>
              </w:rPr>
              <w:fldChar w:fldCharType="separate"/>
            </w:r>
            <w:r w:rsidR="00856E49">
              <w:rPr>
                <w:noProof/>
                <w:webHidden/>
              </w:rPr>
              <w:t>201</w:t>
            </w:r>
            <w:r w:rsidR="0057352F">
              <w:rPr>
                <w:noProof/>
                <w:webHidden/>
              </w:rPr>
              <w:fldChar w:fldCharType="end"/>
            </w:r>
          </w:hyperlink>
        </w:p>
        <w:p w:rsidR="0057352F" w:rsidRDefault="00473246">
          <w:pPr>
            <w:pStyle w:val="TOC2"/>
            <w:tabs>
              <w:tab w:val="left" w:pos="1100"/>
            </w:tabs>
            <w:rPr>
              <w:rFonts w:eastAsiaTheme="minorEastAsia"/>
              <w:noProof/>
              <w:sz w:val="22"/>
              <w:lang w:eastAsia="en-AU"/>
            </w:rPr>
          </w:pPr>
          <w:hyperlink w:anchor="_Toc491426073" w:history="1">
            <w:r w:rsidR="0057352F" w:rsidRPr="00002F56">
              <w:rPr>
                <w:rStyle w:val="Hyperlink"/>
                <w:noProof/>
                <w:lang w:eastAsia="en-AU"/>
              </w:rPr>
              <w:t>10.1.</w:t>
            </w:r>
            <w:r w:rsidR="0057352F">
              <w:rPr>
                <w:rFonts w:eastAsiaTheme="minorEastAsia"/>
                <w:noProof/>
                <w:sz w:val="22"/>
                <w:lang w:eastAsia="en-AU"/>
              </w:rPr>
              <w:tab/>
            </w:r>
            <w:r w:rsidR="0057352F" w:rsidRPr="00002F56">
              <w:rPr>
                <w:rStyle w:val="Hyperlink"/>
                <w:noProof/>
                <w:lang w:eastAsia="en-AU"/>
              </w:rPr>
              <w:t>International Approaches</w:t>
            </w:r>
            <w:r w:rsidR="0057352F">
              <w:rPr>
                <w:noProof/>
                <w:webHidden/>
              </w:rPr>
              <w:tab/>
            </w:r>
            <w:r w:rsidR="0057352F">
              <w:rPr>
                <w:noProof/>
                <w:webHidden/>
              </w:rPr>
              <w:fldChar w:fldCharType="begin"/>
            </w:r>
            <w:r w:rsidR="0057352F">
              <w:rPr>
                <w:noProof/>
                <w:webHidden/>
              </w:rPr>
              <w:instrText xml:space="preserve"> PAGEREF _Toc491426073 \h </w:instrText>
            </w:r>
            <w:r w:rsidR="0057352F">
              <w:rPr>
                <w:noProof/>
                <w:webHidden/>
              </w:rPr>
            </w:r>
            <w:r w:rsidR="0057352F">
              <w:rPr>
                <w:noProof/>
                <w:webHidden/>
              </w:rPr>
              <w:fldChar w:fldCharType="separate"/>
            </w:r>
            <w:r w:rsidR="00856E49">
              <w:rPr>
                <w:noProof/>
                <w:webHidden/>
              </w:rPr>
              <w:t>201</w:t>
            </w:r>
            <w:r w:rsidR="0057352F">
              <w:rPr>
                <w:noProof/>
                <w:webHidden/>
              </w:rPr>
              <w:fldChar w:fldCharType="end"/>
            </w:r>
          </w:hyperlink>
        </w:p>
        <w:p w:rsidR="0057352F" w:rsidRDefault="00473246">
          <w:pPr>
            <w:pStyle w:val="TOC2"/>
            <w:tabs>
              <w:tab w:val="left" w:pos="1100"/>
            </w:tabs>
            <w:rPr>
              <w:rFonts w:eastAsiaTheme="minorEastAsia"/>
              <w:noProof/>
              <w:sz w:val="22"/>
              <w:lang w:eastAsia="en-AU"/>
            </w:rPr>
          </w:pPr>
          <w:hyperlink w:anchor="_Toc491426074" w:history="1">
            <w:r w:rsidR="0057352F" w:rsidRPr="00002F56">
              <w:rPr>
                <w:rStyle w:val="Hyperlink"/>
                <w:noProof/>
                <w:lang w:eastAsia="en-AU"/>
              </w:rPr>
              <w:t>10.2.</w:t>
            </w:r>
            <w:r w:rsidR="0057352F">
              <w:rPr>
                <w:rFonts w:eastAsiaTheme="minorEastAsia"/>
                <w:noProof/>
                <w:sz w:val="22"/>
                <w:lang w:eastAsia="en-AU"/>
              </w:rPr>
              <w:tab/>
            </w:r>
            <w:r w:rsidR="0057352F" w:rsidRPr="00002F56">
              <w:rPr>
                <w:rStyle w:val="Hyperlink"/>
                <w:noProof/>
                <w:lang w:eastAsia="en-AU"/>
              </w:rPr>
              <w:t>Learnings for Australia</w:t>
            </w:r>
            <w:r w:rsidR="0057352F">
              <w:rPr>
                <w:noProof/>
                <w:webHidden/>
              </w:rPr>
              <w:tab/>
            </w:r>
            <w:r w:rsidR="0057352F">
              <w:rPr>
                <w:noProof/>
                <w:webHidden/>
              </w:rPr>
              <w:fldChar w:fldCharType="begin"/>
            </w:r>
            <w:r w:rsidR="0057352F">
              <w:rPr>
                <w:noProof/>
                <w:webHidden/>
              </w:rPr>
              <w:instrText xml:space="preserve"> PAGEREF _Toc491426074 \h </w:instrText>
            </w:r>
            <w:r w:rsidR="0057352F">
              <w:rPr>
                <w:noProof/>
                <w:webHidden/>
              </w:rPr>
            </w:r>
            <w:r w:rsidR="0057352F">
              <w:rPr>
                <w:noProof/>
                <w:webHidden/>
              </w:rPr>
              <w:fldChar w:fldCharType="separate"/>
            </w:r>
            <w:r w:rsidR="00856E49">
              <w:rPr>
                <w:noProof/>
                <w:webHidden/>
              </w:rPr>
              <w:t>205</w:t>
            </w:r>
            <w:r w:rsidR="0057352F">
              <w:rPr>
                <w:noProof/>
                <w:webHidden/>
              </w:rPr>
              <w:fldChar w:fldCharType="end"/>
            </w:r>
          </w:hyperlink>
        </w:p>
        <w:p w:rsidR="0057352F" w:rsidRDefault="00473246">
          <w:pPr>
            <w:pStyle w:val="TOC2"/>
            <w:tabs>
              <w:tab w:val="left" w:pos="1100"/>
            </w:tabs>
            <w:rPr>
              <w:rFonts w:eastAsiaTheme="minorEastAsia"/>
              <w:noProof/>
              <w:sz w:val="22"/>
              <w:lang w:eastAsia="en-AU"/>
            </w:rPr>
          </w:pPr>
          <w:hyperlink w:anchor="_Toc491426075" w:history="1">
            <w:r w:rsidR="0057352F" w:rsidRPr="00002F56">
              <w:rPr>
                <w:rStyle w:val="Hyperlink"/>
                <w:noProof/>
                <w:lang w:eastAsia="en-AU"/>
              </w:rPr>
              <w:t>10.3.</w:t>
            </w:r>
            <w:r w:rsidR="0057352F">
              <w:rPr>
                <w:rFonts w:eastAsiaTheme="minorEastAsia"/>
                <w:noProof/>
                <w:sz w:val="22"/>
                <w:lang w:eastAsia="en-AU"/>
              </w:rPr>
              <w:tab/>
            </w:r>
            <w:r w:rsidR="0057352F" w:rsidRPr="00002F56">
              <w:rPr>
                <w:rStyle w:val="Hyperlink"/>
                <w:noProof/>
                <w:lang w:eastAsia="en-AU"/>
              </w:rPr>
              <w:t>The Current ACFI Review Program – Internal Assessment and Departmental Audits</w:t>
            </w:r>
            <w:r w:rsidR="0057352F">
              <w:rPr>
                <w:noProof/>
                <w:webHidden/>
              </w:rPr>
              <w:tab/>
            </w:r>
            <w:r w:rsidR="0057352F">
              <w:rPr>
                <w:noProof/>
                <w:webHidden/>
              </w:rPr>
              <w:fldChar w:fldCharType="begin"/>
            </w:r>
            <w:r w:rsidR="0057352F">
              <w:rPr>
                <w:noProof/>
                <w:webHidden/>
              </w:rPr>
              <w:instrText xml:space="preserve"> PAGEREF _Toc491426075 \h </w:instrText>
            </w:r>
            <w:r w:rsidR="0057352F">
              <w:rPr>
                <w:noProof/>
                <w:webHidden/>
              </w:rPr>
            </w:r>
            <w:r w:rsidR="0057352F">
              <w:rPr>
                <w:noProof/>
                <w:webHidden/>
              </w:rPr>
              <w:fldChar w:fldCharType="separate"/>
            </w:r>
            <w:r w:rsidR="00856E49">
              <w:rPr>
                <w:noProof/>
                <w:webHidden/>
              </w:rPr>
              <w:t>211</w:t>
            </w:r>
            <w:r w:rsidR="0057352F">
              <w:rPr>
                <w:noProof/>
                <w:webHidden/>
              </w:rPr>
              <w:fldChar w:fldCharType="end"/>
            </w:r>
          </w:hyperlink>
        </w:p>
        <w:p w:rsidR="0057352F" w:rsidRDefault="00473246">
          <w:pPr>
            <w:pStyle w:val="TOC1"/>
            <w:tabs>
              <w:tab w:val="left" w:pos="1540"/>
              <w:tab w:val="right" w:leader="dot" w:pos="9016"/>
            </w:tabs>
            <w:rPr>
              <w:rFonts w:eastAsiaTheme="minorEastAsia"/>
              <w:noProof/>
              <w:sz w:val="22"/>
              <w:lang w:eastAsia="en-AU"/>
            </w:rPr>
          </w:pPr>
          <w:hyperlink w:anchor="_Toc491426076" w:history="1">
            <w:r w:rsidR="0057352F" w:rsidRPr="00002F56">
              <w:rPr>
                <w:rStyle w:val="Hyperlink"/>
                <w:rFonts w:cstheme="minorHAnsi"/>
                <w:noProof/>
              </w:rPr>
              <w:t>Chapter 11:</w:t>
            </w:r>
            <w:r w:rsidR="0057352F">
              <w:rPr>
                <w:rFonts w:eastAsiaTheme="minorEastAsia"/>
                <w:noProof/>
                <w:sz w:val="22"/>
                <w:lang w:eastAsia="en-AU"/>
              </w:rPr>
              <w:tab/>
            </w:r>
            <w:r w:rsidR="0057352F" w:rsidRPr="00002F56">
              <w:rPr>
                <w:rStyle w:val="Hyperlink"/>
                <w:rFonts w:cstheme="minorHAnsi"/>
                <w:noProof/>
              </w:rPr>
              <w:t>Options for Future Consideration</w:t>
            </w:r>
            <w:r w:rsidR="0057352F">
              <w:rPr>
                <w:noProof/>
                <w:webHidden/>
              </w:rPr>
              <w:tab/>
            </w:r>
            <w:r w:rsidR="0057352F">
              <w:rPr>
                <w:noProof/>
                <w:webHidden/>
              </w:rPr>
              <w:fldChar w:fldCharType="begin"/>
            </w:r>
            <w:r w:rsidR="0057352F">
              <w:rPr>
                <w:noProof/>
                <w:webHidden/>
              </w:rPr>
              <w:instrText xml:space="preserve"> PAGEREF _Toc491426076 \h </w:instrText>
            </w:r>
            <w:r w:rsidR="0057352F">
              <w:rPr>
                <w:noProof/>
                <w:webHidden/>
              </w:rPr>
            </w:r>
            <w:r w:rsidR="0057352F">
              <w:rPr>
                <w:noProof/>
                <w:webHidden/>
              </w:rPr>
              <w:fldChar w:fldCharType="separate"/>
            </w:r>
            <w:r w:rsidR="00856E49">
              <w:rPr>
                <w:noProof/>
                <w:webHidden/>
              </w:rPr>
              <w:t>217</w:t>
            </w:r>
            <w:r w:rsidR="0057352F">
              <w:rPr>
                <w:noProof/>
                <w:webHidden/>
              </w:rPr>
              <w:fldChar w:fldCharType="end"/>
            </w:r>
          </w:hyperlink>
        </w:p>
        <w:p w:rsidR="0057352F" w:rsidRDefault="00473246">
          <w:pPr>
            <w:pStyle w:val="TOC2"/>
            <w:tabs>
              <w:tab w:val="left" w:pos="1100"/>
            </w:tabs>
            <w:rPr>
              <w:rFonts w:eastAsiaTheme="minorEastAsia"/>
              <w:noProof/>
              <w:sz w:val="22"/>
              <w:lang w:eastAsia="en-AU"/>
            </w:rPr>
          </w:pPr>
          <w:hyperlink w:anchor="_Toc491426077" w:history="1">
            <w:r w:rsidR="0057352F" w:rsidRPr="00002F56">
              <w:rPr>
                <w:rStyle w:val="Hyperlink"/>
                <w:noProof/>
              </w:rPr>
              <w:t>11.1.</w:t>
            </w:r>
            <w:r w:rsidR="0057352F">
              <w:rPr>
                <w:rFonts w:eastAsiaTheme="minorEastAsia"/>
                <w:noProof/>
                <w:sz w:val="22"/>
                <w:lang w:eastAsia="en-AU"/>
              </w:rPr>
              <w:tab/>
            </w:r>
            <w:r w:rsidR="0057352F" w:rsidRPr="00002F56">
              <w:rPr>
                <w:rStyle w:val="Hyperlink"/>
                <w:noProof/>
              </w:rPr>
              <w:t>Introduction</w:t>
            </w:r>
            <w:r w:rsidR="0057352F">
              <w:rPr>
                <w:noProof/>
                <w:webHidden/>
              </w:rPr>
              <w:tab/>
            </w:r>
            <w:r w:rsidR="0057352F">
              <w:rPr>
                <w:noProof/>
                <w:webHidden/>
              </w:rPr>
              <w:fldChar w:fldCharType="begin"/>
            </w:r>
            <w:r w:rsidR="0057352F">
              <w:rPr>
                <w:noProof/>
                <w:webHidden/>
              </w:rPr>
              <w:instrText xml:space="preserve"> PAGEREF _Toc491426077 \h </w:instrText>
            </w:r>
            <w:r w:rsidR="0057352F">
              <w:rPr>
                <w:noProof/>
                <w:webHidden/>
              </w:rPr>
            </w:r>
            <w:r w:rsidR="0057352F">
              <w:rPr>
                <w:noProof/>
                <w:webHidden/>
              </w:rPr>
              <w:fldChar w:fldCharType="separate"/>
            </w:r>
            <w:r w:rsidR="00856E49">
              <w:rPr>
                <w:noProof/>
                <w:webHidden/>
              </w:rPr>
              <w:t>217</w:t>
            </w:r>
            <w:r w:rsidR="0057352F">
              <w:rPr>
                <w:noProof/>
                <w:webHidden/>
              </w:rPr>
              <w:fldChar w:fldCharType="end"/>
            </w:r>
          </w:hyperlink>
        </w:p>
        <w:p w:rsidR="0057352F" w:rsidRDefault="00473246">
          <w:pPr>
            <w:pStyle w:val="TOC2"/>
            <w:tabs>
              <w:tab w:val="left" w:pos="1100"/>
            </w:tabs>
            <w:rPr>
              <w:rFonts w:eastAsiaTheme="minorEastAsia"/>
              <w:noProof/>
              <w:sz w:val="22"/>
              <w:lang w:eastAsia="en-AU"/>
            </w:rPr>
          </w:pPr>
          <w:hyperlink w:anchor="_Toc491426078" w:history="1">
            <w:r w:rsidR="0057352F" w:rsidRPr="00002F56">
              <w:rPr>
                <w:rStyle w:val="Hyperlink"/>
                <w:noProof/>
              </w:rPr>
              <w:t>11.2.</w:t>
            </w:r>
            <w:r w:rsidR="0057352F">
              <w:rPr>
                <w:rFonts w:eastAsiaTheme="minorEastAsia"/>
                <w:noProof/>
                <w:sz w:val="22"/>
                <w:lang w:eastAsia="en-AU"/>
              </w:rPr>
              <w:tab/>
            </w:r>
            <w:r w:rsidR="0057352F" w:rsidRPr="00002F56">
              <w:rPr>
                <w:rStyle w:val="Hyperlink"/>
                <w:noProof/>
              </w:rPr>
              <w:t>Suite of review/audit activities</w:t>
            </w:r>
            <w:r w:rsidR="0057352F">
              <w:rPr>
                <w:noProof/>
                <w:webHidden/>
              </w:rPr>
              <w:tab/>
            </w:r>
            <w:r w:rsidR="0057352F">
              <w:rPr>
                <w:noProof/>
                <w:webHidden/>
              </w:rPr>
              <w:fldChar w:fldCharType="begin"/>
            </w:r>
            <w:r w:rsidR="0057352F">
              <w:rPr>
                <w:noProof/>
                <w:webHidden/>
              </w:rPr>
              <w:instrText xml:space="preserve"> PAGEREF _Toc491426078 \h </w:instrText>
            </w:r>
            <w:r w:rsidR="0057352F">
              <w:rPr>
                <w:noProof/>
                <w:webHidden/>
              </w:rPr>
            </w:r>
            <w:r w:rsidR="0057352F">
              <w:rPr>
                <w:noProof/>
                <w:webHidden/>
              </w:rPr>
              <w:fldChar w:fldCharType="separate"/>
            </w:r>
            <w:r w:rsidR="00856E49">
              <w:rPr>
                <w:noProof/>
                <w:webHidden/>
              </w:rPr>
              <w:t>217</w:t>
            </w:r>
            <w:r w:rsidR="0057352F">
              <w:rPr>
                <w:noProof/>
                <w:webHidden/>
              </w:rPr>
              <w:fldChar w:fldCharType="end"/>
            </w:r>
          </w:hyperlink>
        </w:p>
        <w:p w:rsidR="0057352F" w:rsidRDefault="00473246">
          <w:pPr>
            <w:pStyle w:val="TOC2"/>
            <w:tabs>
              <w:tab w:val="left" w:pos="1100"/>
            </w:tabs>
            <w:rPr>
              <w:rFonts w:eastAsiaTheme="minorEastAsia"/>
              <w:noProof/>
              <w:sz w:val="22"/>
              <w:lang w:eastAsia="en-AU"/>
            </w:rPr>
          </w:pPr>
          <w:hyperlink w:anchor="_Toc491426079" w:history="1">
            <w:r w:rsidR="0057352F" w:rsidRPr="00002F56">
              <w:rPr>
                <w:rStyle w:val="Hyperlink"/>
                <w:noProof/>
              </w:rPr>
              <w:t>11.3.</w:t>
            </w:r>
            <w:r w:rsidR="0057352F">
              <w:rPr>
                <w:rFonts w:eastAsiaTheme="minorEastAsia"/>
                <w:noProof/>
                <w:sz w:val="22"/>
                <w:lang w:eastAsia="en-AU"/>
              </w:rPr>
              <w:tab/>
            </w:r>
            <w:r w:rsidR="0057352F" w:rsidRPr="00002F56">
              <w:rPr>
                <w:rStyle w:val="Hyperlink"/>
                <w:noProof/>
              </w:rPr>
              <w:t>New Model Options for Funding Determination and Accountability</w:t>
            </w:r>
            <w:r w:rsidR="0057352F">
              <w:rPr>
                <w:noProof/>
                <w:webHidden/>
              </w:rPr>
              <w:tab/>
            </w:r>
            <w:r w:rsidR="0057352F">
              <w:rPr>
                <w:noProof/>
                <w:webHidden/>
              </w:rPr>
              <w:fldChar w:fldCharType="begin"/>
            </w:r>
            <w:r w:rsidR="0057352F">
              <w:rPr>
                <w:noProof/>
                <w:webHidden/>
              </w:rPr>
              <w:instrText xml:space="preserve"> PAGEREF _Toc491426079 \h </w:instrText>
            </w:r>
            <w:r w:rsidR="0057352F">
              <w:rPr>
                <w:noProof/>
                <w:webHidden/>
              </w:rPr>
            </w:r>
            <w:r w:rsidR="0057352F">
              <w:rPr>
                <w:noProof/>
                <w:webHidden/>
              </w:rPr>
              <w:fldChar w:fldCharType="separate"/>
            </w:r>
            <w:r w:rsidR="00856E49">
              <w:rPr>
                <w:noProof/>
                <w:webHidden/>
              </w:rPr>
              <w:t>219</w:t>
            </w:r>
            <w:r w:rsidR="0057352F">
              <w:rPr>
                <w:noProof/>
                <w:webHidden/>
              </w:rPr>
              <w:fldChar w:fldCharType="end"/>
            </w:r>
          </w:hyperlink>
        </w:p>
        <w:p w:rsidR="0057352F" w:rsidRDefault="00473246">
          <w:pPr>
            <w:pStyle w:val="TOC2"/>
            <w:tabs>
              <w:tab w:val="left" w:pos="1100"/>
            </w:tabs>
            <w:rPr>
              <w:rFonts w:eastAsiaTheme="minorEastAsia"/>
              <w:noProof/>
              <w:sz w:val="22"/>
              <w:lang w:eastAsia="en-AU"/>
            </w:rPr>
          </w:pPr>
          <w:hyperlink w:anchor="_Toc491426080" w:history="1">
            <w:r w:rsidR="0057352F" w:rsidRPr="00002F56">
              <w:rPr>
                <w:rStyle w:val="Hyperlink"/>
                <w:noProof/>
              </w:rPr>
              <w:t>11.4.</w:t>
            </w:r>
            <w:r w:rsidR="0057352F">
              <w:rPr>
                <w:rFonts w:eastAsiaTheme="minorEastAsia"/>
                <w:noProof/>
                <w:sz w:val="22"/>
                <w:lang w:eastAsia="en-AU"/>
              </w:rPr>
              <w:tab/>
            </w:r>
            <w:r w:rsidR="0057352F" w:rsidRPr="00002F56">
              <w:rPr>
                <w:rStyle w:val="Hyperlink"/>
                <w:noProof/>
              </w:rPr>
              <w:t>Assessor Model Options - Indicative Outcomes</w:t>
            </w:r>
            <w:r w:rsidR="0057352F">
              <w:rPr>
                <w:noProof/>
                <w:webHidden/>
              </w:rPr>
              <w:tab/>
            </w:r>
            <w:r w:rsidR="0057352F">
              <w:rPr>
                <w:noProof/>
                <w:webHidden/>
              </w:rPr>
              <w:fldChar w:fldCharType="begin"/>
            </w:r>
            <w:r w:rsidR="0057352F">
              <w:rPr>
                <w:noProof/>
                <w:webHidden/>
              </w:rPr>
              <w:instrText xml:space="preserve"> PAGEREF _Toc491426080 \h </w:instrText>
            </w:r>
            <w:r w:rsidR="0057352F">
              <w:rPr>
                <w:noProof/>
                <w:webHidden/>
              </w:rPr>
            </w:r>
            <w:r w:rsidR="0057352F">
              <w:rPr>
                <w:noProof/>
                <w:webHidden/>
              </w:rPr>
              <w:fldChar w:fldCharType="separate"/>
            </w:r>
            <w:r w:rsidR="00856E49">
              <w:rPr>
                <w:noProof/>
                <w:webHidden/>
              </w:rPr>
              <w:t>243</w:t>
            </w:r>
            <w:r w:rsidR="0057352F">
              <w:rPr>
                <w:noProof/>
                <w:webHidden/>
              </w:rPr>
              <w:fldChar w:fldCharType="end"/>
            </w:r>
          </w:hyperlink>
        </w:p>
        <w:p w:rsidR="0057352F" w:rsidRDefault="00473246">
          <w:pPr>
            <w:pStyle w:val="TOC2"/>
            <w:tabs>
              <w:tab w:val="left" w:pos="1100"/>
            </w:tabs>
            <w:rPr>
              <w:rFonts w:eastAsiaTheme="minorEastAsia"/>
              <w:noProof/>
              <w:sz w:val="22"/>
              <w:lang w:eastAsia="en-AU"/>
            </w:rPr>
          </w:pPr>
          <w:hyperlink w:anchor="_Toc491426081" w:history="1">
            <w:r w:rsidR="0057352F" w:rsidRPr="00002F56">
              <w:rPr>
                <w:rStyle w:val="Hyperlink"/>
                <w:noProof/>
              </w:rPr>
              <w:t>11.5.</w:t>
            </w:r>
            <w:r w:rsidR="0057352F">
              <w:rPr>
                <w:rFonts w:eastAsiaTheme="minorEastAsia"/>
                <w:noProof/>
                <w:sz w:val="22"/>
                <w:lang w:eastAsia="en-AU"/>
              </w:rPr>
              <w:tab/>
            </w:r>
            <w:r w:rsidR="0057352F" w:rsidRPr="00002F56">
              <w:rPr>
                <w:rStyle w:val="Hyperlink"/>
                <w:noProof/>
              </w:rPr>
              <w:t>Model Comparisons – Recommendations</w:t>
            </w:r>
            <w:r w:rsidR="0057352F">
              <w:rPr>
                <w:noProof/>
                <w:webHidden/>
              </w:rPr>
              <w:tab/>
            </w:r>
            <w:r w:rsidR="0057352F">
              <w:rPr>
                <w:noProof/>
                <w:webHidden/>
              </w:rPr>
              <w:fldChar w:fldCharType="begin"/>
            </w:r>
            <w:r w:rsidR="0057352F">
              <w:rPr>
                <w:noProof/>
                <w:webHidden/>
              </w:rPr>
              <w:instrText xml:space="preserve"> PAGEREF _Toc491426081 \h </w:instrText>
            </w:r>
            <w:r w:rsidR="0057352F">
              <w:rPr>
                <w:noProof/>
                <w:webHidden/>
              </w:rPr>
            </w:r>
            <w:r w:rsidR="0057352F">
              <w:rPr>
                <w:noProof/>
                <w:webHidden/>
              </w:rPr>
              <w:fldChar w:fldCharType="separate"/>
            </w:r>
            <w:r w:rsidR="00856E49">
              <w:rPr>
                <w:noProof/>
                <w:webHidden/>
              </w:rPr>
              <w:t>251</w:t>
            </w:r>
            <w:r w:rsidR="0057352F">
              <w:rPr>
                <w:noProof/>
                <w:webHidden/>
              </w:rPr>
              <w:fldChar w:fldCharType="end"/>
            </w:r>
          </w:hyperlink>
        </w:p>
        <w:p w:rsidR="0057352F" w:rsidRDefault="00473246">
          <w:pPr>
            <w:pStyle w:val="TOC1"/>
            <w:tabs>
              <w:tab w:val="left" w:pos="1540"/>
              <w:tab w:val="right" w:leader="dot" w:pos="9016"/>
            </w:tabs>
            <w:rPr>
              <w:rFonts w:eastAsiaTheme="minorEastAsia"/>
              <w:noProof/>
              <w:sz w:val="22"/>
              <w:lang w:eastAsia="en-AU"/>
            </w:rPr>
          </w:pPr>
          <w:hyperlink w:anchor="_Toc491426082" w:history="1">
            <w:r w:rsidR="0057352F" w:rsidRPr="00002F56">
              <w:rPr>
                <w:rStyle w:val="Hyperlink"/>
                <w:rFonts w:cstheme="minorHAnsi"/>
                <w:noProof/>
              </w:rPr>
              <w:t>Chapter 12:</w:t>
            </w:r>
            <w:r w:rsidR="0057352F">
              <w:rPr>
                <w:rFonts w:eastAsiaTheme="minorEastAsia"/>
                <w:noProof/>
                <w:sz w:val="22"/>
                <w:lang w:eastAsia="en-AU"/>
              </w:rPr>
              <w:tab/>
            </w:r>
            <w:r w:rsidR="0057352F" w:rsidRPr="00002F56">
              <w:rPr>
                <w:rStyle w:val="Hyperlink"/>
                <w:rFonts w:cstheme="minorHAnsi"/>
                <w:noProof/>
              </w:rPr>
              <w:t>Recommended R-ACFI and External Assessor Pilot</w:t>
            </w:r>
            <w:r w:rsidR="0057352F">
              <w:rPr>
                <w:noProof/>
                <w:webHidden/>
              </w:rPr>
              <w:tab/>
            </w:r>
            <w:r w:rsidR="0057352F">
              <w:rPr>
                <w:noProof/>
                <w:webHidden/>
              </w:rPr>
              <w:fldChar w:fldCharType="begin"/>
            </w:r>
            <w:r w:rsidR="0057352F">
              <w:rPr>
                <w:noProof/>
                <w:webHidden/>
              </w:rPr>
              <w:instrText xml:space="preserve"> PAGEREF _Toc491426082 \h </w:instrText>
            </w:r>
            <w:r w:rsidR="0057352F">
              <w:rPr>
                <w:noProof/>
                <w:webHidden/>
              </w:rPr>
            </w:r>
            <w:r w:rsidR="0057352F">
              <w:rPr>
                <w:noProof/>
                <w:webHidden/>
              </w:rPr>
              <w:fldChar w:fldCharType="separate"/>
            </w:r>
            <w:r w:rsidR="00856E49">
              <w:rPr>
                <w:noProof/>
                <w:webHidden/>
              </w:rPr>
              <w:t>255</w:t>
            </w:r>
            <w:r w:rsidR="0057352F">
              <w:rPr>
                <w:noProof/>
                <w:webHidden/>
              </w:rPr>
              <w:fldChar w:fldCharType="end"/>
            </w:r>
          </w:hyperlink>
        </w:p>
        <w:p w:rsidR="0057352F" w:rsidRDefault="00473246">
          <w:pPr>
            <w:pStyle w:val="TOC2"/>
            <w:tabs>
              <w:tab w:val="left" w:pos="1100"/>
            </w:tabs>
            <w:rPr>
              <w:rFonts w:eastAsiaTheme="minorEastAsia"/>
              <w:noProof/>
              <w:sz w:val="22"/>
              <w:lang w:eastAsia="en-AU"/>
            </w:rPr>
          </w:pPr>
          <w:hyperlink w:anchor="_Toc491426083" w:history="1">
            <w:r w:rsidR="0057352F" w:rsidRPr="00002F56">
              <w:rPr>
                <w:rStyle w:val="Hyperlink"/>
                <w:noProof/>
              </w:rPr>
              <w:t>12.1.</w:t>
            </w:r>
            <w:r w:rsidR="0057352F">
              <w:rPr>
                <w:rFonts w:eastAsiaTheme="minorEastAsia"/>
                <w:noProof/>
                <w:sz w:val="22"/>
                <w:lang w:eastAsia="en-AU"/>
              </w:rPr>
              <w:tab/>
            </w:r>
            <w:r w:rsidR="0057352F" w:rsidRPr="00002F56">
              <w:rPr>
                <w:rStyle w:val="Hyperlink"/>
                <w:noProof/>
              </w:rPr>
              <w:t>Pilot Overview</w:t>
            </w:r>
            <w:r w:rsidR="0057352F">
              <w:rPr>
                <w:noProof/>
                <w:webHidden/>
              </w:rPr>
              <w:tab/>
            </w:r>
            <w:r w:rsidR="0057352F">
              <w:rPr>
                <w:noProof/>
                <w:webHidden/>
              </w:rPr>
              <w:fldChar w:fldCharType="begin"/>
            </w:r>
            <w:r w:rsidR="0057352F">
              <w:rPr>
                <w:noProof/>
                <w:webHidden/>
              </w:rPr>
              <w:instrText xml:space="preserve"> PAGEREF _Toc491426083 \h </w:instrText>
            </w:r>
            <w:r w:rsidR="0057352F">
              <w:rPr>
                <w:noProof/>
                <w:webHidden/>
              </w:rPr>
            </w:r>
            <w:r w:rsidR="0057352F">
              <w:rPr>
                <w:noProof/>
                <w:webHidden/>
              </w:rPr>
              <w:fldChar w:fldCharType="separate"/>
            </w:r>
            <w:r w:rsidR="00856E49">
              <w:rPr>
                <w:noProof/>
                <w:webHidden/>
              </w:rPr>
              <w:t>255</w:t>
            </w:r>
            <w:r w:rsidR="0057352F">
              <w:rPr>
                <w:noProof/>
                <w:webHidden/>
              </w:rPr>
              <w:fldChar w:fldCharType="end"/>
            </w:r>
          </w:hyperlink>
        </w:p>
        <w:p w:rsidR="0057352F" w:rsidRDefault="00473246">
          <w:pPr>
            <w:pStyle w:val="TOC2"/>
            <w:tabs>
              <w:tab w:val="left" w:pos="1100"/>
            </w:tabs>
            <w:rPr>
              <w:rFonts w:eastAsiaTheme="minorEastAsia"/>
              <w:noProof/>
              <w:sz w:val="22"/>
              <w:lang w:eastAsia="en-AU"/>
            </w:rPr>
          </w:pPr>
          <w:hyperlink w:anchor="_Toc491426084" w:history="1">
            <w:r w:rsidR="0057352F" w:rsidRPr="00002F56">
              <w:rPr>
                <w:rStyle w:val="Hyperlink"/>
                <w:noProof/>
              </w:rPr>
              <w:t>12.2.</w:t>
            </w:r>
            <w:r w:rsidR="0057352F">
              <w:rPr>
                <w:rFonts w:eastAsiaTheme="minorEastAsia"/>
                <w:noProof/>
                <w:sz w:val="22"/>
                <w:lang w:eastAsia="en-AU"/>
              </w:rPr>
              <w:tab/>
            </w:r>
            <w:r w:rsidR="0057352F" w:rsidRPr="00002F56">
              <w:rPr>
                <w:rStyle w:val="Hyperlink"/>
                <w:noProof/>
              </w:rPr>
              <w:t>The Pilots in Detail</w:t>
            </w:r>
            <w:r w:rsidR="0057352F">
              <w:rPr>
                <w:noProof/>
                <w:webHidden/>
              </w:rPr>
              <w:tab/>
            </w:r>
            <w:r w:rsidR="0057352F">
              <w:rPr>
                <w:noProof/>
                <w:webHidden/>
              </w:rPr>
              <w:fldChar w:fldCharType="begin"/>
            </w:r>
            <w:r w:rsidR="0057352F">
              <w:rPr>
                <w:noProof/>
                <w:webHidden/>
              </w:rPr>
              <w:instrText xml:space="preserve"> PAGEREF _Toc491426084 \h </w:instrText>
            </w:r>
            <w:r w:rsidR="0057352F">
              <w:rPr>
                <w:noProof/>
                <w:webHidden/>
              </w:rPr>
            </w:r>
            <w:r w:rsidR="0057352F">
              <w:rPr>
                <w:noProof/>
                <w:webHidden/>
              </w:rPr>
              <w:fldChar w:fldCharType="separate"/>
            </w:r>
            <w:r w:rsidR="00856E49">
              <w:rPr>
                <w:noProof/>
                <w:webHidden/>
              </w:rPr>
              <w:t>256</w:t>
            </w:r>
            <w:r w:rsidR="0057352F">
              <w:rPr>
                <w:noProof/>
                <w:webHidden/>
              </w:rPr>
              <w:fldChar w:fldCharType="end"/>
            </w:r>
          </w:hyperlink>
        </w:p>
        <w:p w:rsidR="005D20F6" w:rsidRDefault="00224E0B" w:rsidP="00D030BF">
          <w:pPr>
            <w:jc w:val="left"/>
          </w:pPr>
          <w:r>
            <w:fldChar w:fldCharType="end"/>
          </w:r>
        </w:p>
      </w:sdtContent>
    </w:sdt>
    <w:p w:rsidR="005E28C9" w:rsidRPr="00727EF2" w:rsidRDefault="005E28C9" w:rsidP="00727EF2">
      <w:pPr>
        <w:rPr>
          <w:rStyle w:val="Strong"/>
          <w:rFonts w:ascii="Cambria" w:hAnsi="Cambria"/>
          <w:b w:val="0"/>
          <w:bCs/>
          <w:szCs w:val="24"/>
        </w:rPr>
      </w:pPr>
      <w:r>
        <w:rPr>
          <w:rStyle w:val="Strong"/>
          <w:rFonts w:ascii="Cambria" w:hAnsi="Cambria"/>
          <w:b w:val="0"/>
          <w:sz w:val="36"/>
        </w:rPr>
        <w:br w:type="page"/>
      </w:r>
    </w:p>
    <w:p w:rsidR="004D64B8" w:rsidRDefault="00563093" w:rsidP="004D64B8">
      <w:pPr>
        <w:pStyle w:val="TOCHeading"/>
        <w:jc w:val="left"/>
      </w:pPr>
      <w:bookmarkStart w:id="7" w:name="_Toc477446172"/>
      <w:bookmarkStart w:id="8" w:name="_Toc477446327"/>
      <w:bookmarkStart w:id="9" w:name="_Toc477446404"/>
      <w:bookmarkStart w:id="10" w:name="_Toc478568228"/>
      <w:bookmarkEnd w:id="6"/>
      <w:bookmarkEnd w:id="5"/>
      <w:bookmarkEnd w:id="4"/>
      <w:bookmarkEnd w:id="3"/>
      <w:r w:rsidRPr="00CA7E84">
        <w:rPr>
          <w:rStyle w:val="Strong"/>
          <w:b/>
        </w:rPr>
        <w:lastRenderedPageBreak/>
        <w:t>List of Tables</w:t>
      </w:r>
    </w:p>
    <w:p w:rsidR="004D64B8" w:rsidRDefault="004D64B8" w:rsidP="00E533FD">
      <w:pPr>
        <w:pStyle w:val="TableofFigures"/>
        <w:tabs>
          <w:tab w:val="right" w:leader="dot" w:pos="9016"/>
        </w:tabs>
        <w:spacing w:before="60" w:after="60"/>
        <w:jc w:val="left"/>
        <w:rPr>
          <w:rFonts w:eastAsiaTheme="minorEastAsia"/>
          <w:noProof/>
          <w:sz w:val="22"/>
          <w:lang w:eastAsia="en-AU"/>
        </w:rPr>
      </w:pPr>
      <w:r>
        <w:fldChar w:fldCharType="begin"/>
      </w:r>
      <w:r>
        <w:instrText xml:space="preserve"> TOC \h \z \c "Table" </w:instrText>
      </w:r>
      <w:r>
        <w:fldChar w:fldCharType="separate"/>
      </w:r>
      <w:hyperlink w:anchor="_Toc495415449" w:history="1">
        <w:r w:rsidRPr="00993EC8">
          <w:rPr>
            <w:rStyle w:val="Hyperlink"/>
            <w:noProof/>
          </w:rPr>
          <w:t>Table 1: ‘R-ACFI at a glance’ for General Questions and the Therapy Program</w:t>
        </w:r>
        <w:r>
          <w:rPr>
            <w:noProof/>
            <w:webHidden/>
          </w:rPr>
          <w:tab/>
        </w:r>
        <w:r>
          <w:rPr>
            <w:noProof/>
            <w:webHidden/>
          </w:rPr>
          <w:fldChar w:fldCharType="begin"/>
        </w:r>
        <w:r>
          <w:rPr>
            <w:noProof/>
            <w:webHidden/>
          </w:rPr>
          <w:instrText xml:space="preserve"> PAGEREF _Toc495415449 \h </w:instrText>
        </w:r>
        <w:r>
          <w:rPr>
            <w:noProof/>
            <w:webHidden/>
          </w:rPr>
        </w:r>
        <w:r>
          <w:rPr>
            <w:noProof/>
            <w:webHidden/>
          </w:rPr>
          <w:fldChar w:fldCharType="separate"/>
        </w:r>
        <w:r w:rsidR="00CB1545">
          <w:rPr>
            <w:noProof/>
            <w:webHidden/>
          </w:rPr>
          <w:t>21</w:t>
        </w:r>
        <w:r>
          <w:rPr>
            <w:noProof/>
            <w:webHidden/>
          </w:rPr>
          <w:fldChar w:fldCharType="end"/>
        </w:r>
      </w:hyperlink>
    </w:p>
    <w:p w:rsidR="004D64B8" w:rsidRDefault="00473246" w:rsidP="00E533FD">
      <w:pPr>
        <w:pStyle w:val="TableofFigures"/>
        <w:tabs>
          <w:tab w:val="right" w:leader="dot" w:pos="9016"/>
        </w:tabs>
        <w:spacing w:before="60" w:after="60"/>
        <w:ind w:left="238"/>
        <w:jc w:val="left"/>
        <w:rPr>
          <w:rFonts w:eastAsiaTheme="minorEastAsia"/>
          <w:noProof/>
          <w:sz w:val="22"/>
          <w:lang w:eastAsia="en-AU"/>
        </w:rPr>
      </w:pPr>
      <w:hyperlink w:anchor="_Toc495415459" w:history="1">
        <w:r w:rsidR="004D64B8" w:rsidRPr="00D41914">
          <w:rPr>
            <w:rStyle w:val="Hyperlink"/>
            <w:noProof/>
          </w:rPr>
          <w:t>Table 1a: R-ACFI at a glance’ for the Activities of Daily Living (ADL) Domain</w:t>
        </w:r>
        <w:r w:rsidR="004D64B8">
          <w:rPr>
            <w:noProof/>
            <w:webHidden/>
          </w:rPr>
          <w:tab/>
        </w:r>
        <w:r w:rsidR="004D64B8">
          <w:rPr>
            <w:noProof/>
            <w:webHidden/>
          </w:rPr>
          <w:fldChar w:fldCharType="begin"/>
        </w:r>
        <w:r w:rsidR="004D64B8">
          <w:rPr>
            <w:noProof/>
            <w:webHidden/>
          </w:rPr>
          <w:instrText xml:space="preserve"> PAGEREF _Toc495415459 \h </w:instrText>
        </w:r>
        <w:r w:rsidR="004D64B8">
          <w:rPr>
            <w:noProof/>
            <w:webHidden/>
          </w:rPr>
        </w:r>
        <w:r w:rsidR="004D64B8">
          <w:rPr>
            <w:noProof/>
            <w:webHidden/>
          </w:rPr>
          <w:fldChar w:fldCharType="separate"/>
        </w:r>
        <w:r w:rsidR="00CB1545">
          <w:rPr>
            <w:noProof/>
            <w:webHidden/>
          </w:rPr>
          <w:t>21</w:t>
        </w:r>
        <w:r w:rsidR="004D64B8">
          <w:rPr>
            <w:noProof/>
            <w:webHidden/>
          </w:rPr>
          <w:fldChar w:fldCharType="end"/>
        </w:r>
      </w:hyperlink>
    </w:p>
    <w:p w:rsidR="004D64B8" w:rsidRDefault="00473246" w:rsidP="00E533FD">
      <w:pPr>
        <w:pStyle w:val="TableofFigures"/>
        <w:tabs>
          <w:tab w:val="right" w:leader="dot" w:pos="9016"/>
        </w:tabs>
        <w:spacing w:before="60" w:after="60"/>
        <w:ind w:left="238"/>
        <w:jc w:val="left"/>
        <w:rPr>
          <w:rFonts w:eastAsiaTheme="minorEastAsia"/>
          <w:noProof/>
          <w:sz w:val="22"/>
          <w:lang w:eastAsia="en-AU"/>
        </w:rPr>
      </w:pPr>
      <w:hyperlink w:anchor="_Toc495415460" w:history="1">
        <w:r w:rsidR="004D64B8" w:rsidRPr="00D41914">
          <w:rPr>
            <w:rStyle w:val="Hyperlink"/>
            <w:noProof/>
          </w:rPr>
          <w:t>Table 1b: R-ACFI at a glance’ for the Behaviour Domain</w:t>
        </w:r>
        <w:r w:rsidR="004D64B8">
          <w:rPr>
            <w:noProof/>
            <w:webHidden/>
          </w:rPr>
          <w:tab/>
        </w:r>
        <w:r w:rsidR="004D64B8">
          <w:rPr>
            <w:noProof/>
            <w:webHidden/>
          </w:rPr>
          <w:fldChar w:fldCharType="begin"/>
        </w:r>
        <w:r w:rsidR="004D64B8">
          <w:rPr>
            <w:noProof/>
            <w:webHidden/>
          </w:rPr>
          <w:instrText xml:space="preserve"> PAGEREF _Toc495415460 \h </w:instrText>
        </w:r>
        <w:r w:rsidR="004D64B8">
          <w:rPr>
            <w:noProof/>
            <w:webHidden/>
          </w:rPr>
        </w:r>
        <w:r w:rsidR="004D64B8">
          <w:rPr>
            <w:noProof/>
            <w:webHidden/>
          </w:rPr>
          <w:fldChar w:fldCharType="separate"/>
        </w:r>
        <w:r w:rsidR="00CB1545">
          <w:rPr>
            <w:noProof/>
            <w:webHidden/>
          </w:rPr>
          <w:t>22</w:t>
        </w:r>
        <w:r w:rsidR="004D64B8">
          <w:rPr>
            <w:noProof/>
            <w:webHidden/>
          </w:rPr>
          <w:fldChar w:fldCharType="end"/>
        </w:r>
      </w:hyperlink>
    </w:p>
    <w:p w:rsidR="004D64B8" w:rsidRDefault="00473246" w:rsidP="00E533FD">
      <w:pPr>
        <w:pStyle w:val="TableofFigures"/>
        <w:tabs>
          <w:tab w:val="right" w:leader="dot" w:pos="9016"/>
        </w:tabs>
        <w:spacing w:before="60" w:after="60"/>
        <w:ind w:left="238"/>
        <w:jc w:val="left"/>
        <w:rPr>
          <w:rFonts w:eastAsiaTheme="minorEastAsia"/>
          <w:noProof/>
          <w:sz w:val="22"/>
          <w:lang w:eastAsia="en-AU"/>
        </w:rPr>
      </w:pPr>
      <w:hyperlink w:anchor="_Toc495415461" w:history="1">
        <w:r w:rsidR="004D64B8" w:rsidRPr="00D41914">
          <w:rPr>
            <w:rStyle w:val="Hyperlink"/>
            <w:noProof/>
          </w:rPr>
          <w:t>Table 1c: R-ACFI at a glance’ for the Complex Health Care (CHC) Domain</w:t>
        </w:r>
        <w:r w:rsidR="004D64B8">
          <w:rPr>
            <w:noProof/>
            <w:webHidden/>
          </w:rPr>
          <w:tab/>
        </w:r>
        <w:r w:rsidR="004D64B8">
          <w:rPr>
            <w:noProof/>
            <w:webHidden/>
          </w:rPr>
          <w:fldChar w:fldCharType="begin"/>
        </w:r>
        <w:r w:rsidR="004D64B8">
          <w:rPr>
            <w:noProof/>
            <w:webHidden/>
          </w:rPr>
          <w:instrText xml:space="preserve"> PAGEREF _Toc495415461 \h </w:instrText>
        </w:r>
        <w:r w:rsidR="004D64B8">
          <w:rPr>
            <w:noProof/>
            <w:webHidden/>
          </w:rPr>
        </w:r>
        <w:r w:rsidR="004D64B8">
          <w:rPr>
            <w:noProof/>
            <w:webHidden/>
          </w:rPr>
          <w:fldChar w:fldCharType="separate"/>
        </w:r>
        <w:r w:rsidR="00CB1545">
          <w:rPr>
            <w:noProof/>
            <w:webHidden/>
          </w:rPr>
          <w:t>22</w:t>
        </w:r>
        <w:r w:rsidR="004D64B8">
          <w:rPr>
            <w:noProof/>
            <w:webHidden/>
          </w:rPr>
          <w:fldChar w:fldCharType="end"/>
        </w:r>
      </w:hyperlink>
    </w:p>
    <w:p w:rsidR="004D64B8" w:rsidRDefault="00473246" w:rsidP="00E533FD">
      <w:pPr>
        <w:pStyle w:val="TableofFigures"/>
        <w:tabs>
          <w:tab w:val="right" w:leader="dot" w:pos="9016"/>
        </w:tabs>
        <w:spacing w:before="60" w:after="60"/>
        <w:jc w:val="left"/>
        <w:rPr>
          <w:rFonts w:eastAsiaTheme="minorEastAsia"/>
          <w:noProof/>
          <w:sz w:val="22"/>
          <w:lang w:eastAsia="en-AU"/>
        </w:rPr>
      </w:pPr>
      <w:hyperlink w:anchor="_Toc495415450" w:history="1">
        <w:r w:rsidR="004D64B8" w:rsidRPr="00993EC8">
          <w:rPr>
            <w:rStyle w:val="Hyperlink"/>
            <w:noProof/>
          </w:rPr>
          <w:t>Table 2: R-ACFI Funding Distribution by Categories</w:t>
        </w:r>
        <w:r w:rsidR="004D64B8">
          <w:rPr>
            <w:noProof/>
            <w:webHidden/>
          </w:rPr>
          <w:tab/>
        </w:r>
        <w:r w:rsidR="004D64B8">
          <w:rPr>
            <w:noProof/>
            <w:webHidden/>
          </w:rPr>
          <w:fldChar w:fldCharType="begin"/>
        </w:r>
        <w:r w:rsidR="004D64B8">
          <w:rPr>
            <w:noProof/>
            <w:webHidden/>
          </w:rPr>
          <w:instrText xml:space="preserve"> PAGEREF _Toc495415450 \h </w:instrText>
        </w:r>
        <w:r w:rsidR="004D64B8">
          <w:rPr>
            <w:noProof/>
            <w:webHidden/>
          </w:rPr>
        </w:r>
        <w:r w:rsidR="004D64B8">
          <w:rPr>
            <w:noProof/>
            <w:webHidden/>
          </w:rPr>
          <w:fldChar w:fldCharType="separate"/>
        </w:r>
        <w:r w:rsidR="00CB1545">
          <w:rPr>
            <w:noProof/>
            <w:webHidden/>
          </w:rPr>
          <w:t>23</w:t>
        </w:r>
        <w:r w:rsidR="004D64B8">
          <w:rPr>
            <w:noProof/>
            <w:webHidden/>
          </w:rPr>
          <w:fldChar w:fldCharType="end"/>
        </w:r>
      </w:hyperlink>
    </w:p>
    <w:p w:rsidR="004D64B8" w:rsidRDefault="00473246" w:rsidP="00E533FD">
      <w:pPr>
        <w:pStyle w:val="TableofFigures"/>
        <w:tabs>
          <w:tab w:val="right" w:leader="dot" w:pos="9016"/>
        </w:tabs>
        <w:spacing w:before="60" w:after="60"/>
        <w:jc w:val="left"/>
        <w:rPr>
          <w:rFonts w:eastAsiaTheme="minorEastAsia"/>
          <w:noProof/>
          <w:sz w:val="22"/>
          <w:lang w:eastAsia="en-AU"/>
        </w:rPr>
      </w:pPr>
      <w:hyperlink w:anchor="_Toc495415451" w:history="1">
        <w:r w:rsidR="004D64B8" w:rsidRPr="00993EC8">
          <w:rPr>
            <w:rStyle w:val="Hyperlink"/>
            <w:noProof/>
          </w:rPr>
          <w:t>Table 3: Comparison of the Current System and New Funding Options</w:t>
        </w:r>
        <w:r w:rsidR="004D64B8">
          <w:rPr>
            <w:noProof/>
            <w:webHidden/>
          </w:rPr>
          <w:tab/>
        </w:r>
        <w:r w:rsidR="004D64B8">
          <w:rPr>
            <w:noProof/>
            <w:webHidden/>
          </w:rPr>
          <w:fldChar w:fldCharType="begin"/>
        </w:r>
        <w:r w:rsidR="004D64B8">
          <w:rPr>
            <w:noProof/>
            <w:webHidden/>
          </w:rPr>
          <w:instrText xml:space="preserve"> PAGEREF _Toc495415451 \h </w:instrText>
        </w:r>
        <w:r w:rsidR="004D64B8">
          <w:rPr>
            <w:noProof/>
            <w:webHidden/>
          </w:rPr>
        </w:r>
        <w:r w:rsidR="004D64B8">
          <w:rPr>
            <w:noProof/>
            <w:webHidden/>
          </w:rPr>
          <w:fldChar w:fldCharType="separate"/>
        </w:r>
        <w:r w:rsidR="00CB1545">
          <w:rPr>
            <w:noProof/>
            <w:webHidden/>
          </w:rPr>
          <w:t>25</w:t>
        </w:r>
        <w:r w:rsidR="004D64B8">
          <w:rPr>
            <w:noProof/>
            <w:webHidden/>
          </w:rPr>
          <w:fldChar w:fldCharType="end"/>
        </w:r>
      </w:hyperlink>
    </w:p>
    <w:p w:rsidR="004D64B8" w:rsidRDefault="00473246" w:rsidP="00E533FD">
      <w:pPr>
        <w:pStyle w:val="TableofFigures"/>
        <w:tabs>
          <w:tab w:val="right" w:leader="dot" w:pos="9016"/>
        </w:tabs>
        <w:spacing w:before="60" w:after="60"/>
        <w:jc w:val="left"/>
        <w:rPr>
          <w:rFonts w:eastAsiaTheme="minorEastAsia"/>
          <w:noProof/>
          <w:sz w:val="22"/>
          <w:lang w:eastAsia="en-AU"/>
        </w:rPr>
      </w:pPr>
      <w:hyperlink w:anchor="_Toc495415452" w:history="1">
        <w:r w:rsidR="004D64B8" w:rsidRPr="00993EC8">
          <w:rPr>
            <w:rStyle w:val="Hyperlink"/>
            <w:noProof/>
          </w:rPr>
          <w:t>Table 4: Reductions in Growth Relative to the Current Funding System</w:t>
        </w:r>
        <w:r w:rsidR="004D64B8">
          <w:rPr>
            <w:noProof/>
            <w:webHidden/>
          </w:rPr>
          <w:tab/>
        </w:r>
        <w:r w:rsidR="004D64B8">
          <w:rPr>
            <w:noProof/>
            <w:webHidden/>
          </w:rPr>
          <w:fldChar w:fldCharType="begin"/>
        </w:r>
        <w:r w:rsidR="004D64B8">
          <w:rPr>
            <w:noProof/>
            <w:webHidden/>
          </w:rPr>
          <w:instrText xml:space="preserve"> PAGEREF _Toc495415452 \h </w:instrText>
        </w:r>
        <w:r w:rsidR="004D64B8">
          <w:rPr>
            <w:noProof/>
            <w:webHidden/>
          </w:rPr>
        </w:r>
        <w:r w:rsidR="004D64B8">
          <w:rPr>
            <w:noProof/>
            <w:webHidden/>
          </w:rPr>
          <w:fldChar w:fldCharType="separate"/>
        </w:r>
        <w:r w:rsidR="00CB1545">
          <w:rPr>
            <w:noProof/>
            <w:webHidden/>
          </w:rPr>
          <w:t>27</w:t>
        </w:r>
        <w:r w:rsidR="004D64B8">
          <w:rPr>
            <w:noProof/>
            <w:webHidden/>
          </w:rPr>
          <w:fldChar w:fldCharType="end"/>
        </w:r>
      </w:hyperlink>
    </w:p>
    <w:p w:rsidR="00123245" w:rsidRDefault="004D64B8" w:rsidP="00E533FD">
      <w:pPr>
        <w:pStyle w:val="TableofFigures"/>
        <w:tabs>
          <w:tab w:val="right" w:leader="dot" w:pos="9016"/>
        </w:tabs>
        <w:spacing w:before="60" w:after="60"/>
        <w:rPr>
          <w:rFonts w:eastAsiaTheme="minorEastAsia"/>
          <w:noProof/>
          <w:sz w:val="22"/>
          <w:lang w:eastAsia="en-AU"/>
        </w:rPr>
      </w:pPr>
      <w:r>
        <w:fldChar w:fldCharType="end"/>
      </w:r>
      <w:hyperlink w:anchor="_Toc495474268" w:history="1">
        <w:r w:rsidR="00123245" w:rsidRPr="00CE2E4D">
          <w:rPr>
            <w:rStyle w:val="Hyperlink"/>
            <w:noProof/>
          </w:rPr>
          <w:t>Table 2.1: ACFI Review Framework &amp; Methods</w:t>
        </w:r>
        <w:r w:rsidR="00123245">
          <w:rPr>
            <w:noProof/>
            <w:webHidden/>
          </w:rPr>
          <w:tab/>
        </w:r>
        <w:r w:rsidR="00123245">
          <w:rPr>
            <w:noProof/>
            <w:webHidden/>
          </w:rPr>
          <w:fldChar w:fldCharType="begin"/>
        </w:r>
        <w:r w:rsidR="00123245">
          <w:rPr>
            <w:noProof/>
            <w:webHidden/>
          </w:rPr>
          <w:instrText xml:space="preserve"> PAGEREF _Toc495474268 \h </w:instrText>
        </w:r>
        <w:r w:rsidR="00123245">
          <w:rPr>
            <w:noProof/>
            <w:webHidden/>
          </w:rPr>
        </w:r>
        <w:r w:rsidR="00123245">
          <w:rPr>
            <w:noProof/>
            <w:webHidden/>
          </w:rPr>
          <w:fldChar w:fldCharType="separate"/>
        </w:r>
        <w:r w:rsidR="00CB1545">
          <w:rPr>
            <w:noProof/>
            <w:webHidden/>
          </w:rPr>
          <w:t>40</w:t>
        </w:r>
        <w:r w:rsidR="00123245">
          <w:rPr>
            <w:noProof/>
            <w:webHidden/>
          </w:rPr>
          <w:fldChar w:fldCharType="end"/>
        </w:r>
      </w:hyperlink>
    </w:p>
    <w:p w:rsidR="00123245" w:rsidRDefault="00473246" w:rsidP="00E533FD">
      <w:pPr>
        <w:pStyle w:val="TableofFigures"/>
        <w:tabs>
          <w:tab w:val="right" w:leader="dot" w:pos="9016"/>
        </w:tabs>
        <w:spacing w:before="60" w:after="60"/>
        <w:rPr>
          <w:rFonts w:eastAsiaTheme="minorEastAsia"/>
          <w:noProof/>
          <w:sz w:val="22"/>
          <w:lang w:eastAsia="en-AU"/>
        </w:rPr>
      </w:pPr>
      <w:hyperlink w:anchor="_Toc495474269" w:history="1">
        <w:r w:rsidR="00123245" w:rsidRPr="00CE2E4D">
          <w:rPr>
            <w:rStyle w:val="Hyperlink"/>
            <w:noProof/>
          </w:rPr>
          <w:t>Table 2.2: Document Review Framework</w:t>
        </w:r>
        <w:r w:rsidR="00123245">
          <w:rPr>
            <w:noProof/>
            <w:webHidden/>
          </w:rPr>
          <w:tab/>
        </w:r>
        <w:r w:rsidR="00123245">
          <w:rPr>
            <w:noProof/>
            <w:webHidden/>
          </w:rPr>
          <w:fldChar w:fldCharType="begin"/>
        </w:r>
        <w:r w:rsidR="00123245">
          <w:rPr>
            <w:noProof/>
            <w:webHidden/>
          </w:rPr>
          <w:instrText xml:space="preserve"> PAGEREF _Toc495474269 \h </w:instrText>
        </w:r>
        <w:r w:rsidR="00123245">
          <w:rPr>
            <w:noProof/>
            <w:webHidden/>
          </w:rPr>
        </w:r>
        <w:r w:rsidR="00123245">
          <w:rPr>
            <w:noProof/>
            <w:webHidden/>
          </w:rPr>
          <w:fldChar w:fldCharType="separate"/>
        </w:r>
        <w:r w:rsidR="00CB1545">
          <w:rPr>
            <w:noProof/>
            <w:webHidden/>
          </w:rPr>
          <w:t>41</w:t>
        </w:r>
        <w:r w:rsidR="00123245">
          <w:rPr>
            <w:noProof/>
            <w:webHidden/>
          </w:rPr>
          <w:fldChar w:fldCharType="end"/>
        </w:r>
      </w:hyperlink>
    </w:p>
    <w:p w:rsidR="00123245" w:rsidRDefault="00473246" w:rsidP="00E533FD">
      <w:pPr>
        <w:pStyle w:val="TableofFigures"/>
        <w:tabs>
          <w:tab w:val="right" w:leader="dot" w:pos="9016"/>
        </w:tabs>
        <w:spacing w:before="60" w:after="60"/>
        <w:rPr>
          <w:rFonts w:eastAsiaTheme="minorEastAsia"/>
          <w:noProof/>
          <w:sz w:val="22"/>
          <w:lang w:eastAsia="en-AU"/>
        </w:rPr>
      </w:pPr>
      <w:hyperlink w:anchor="_Toc495474270" w:history="1">
        <w:r w:rsidR="00123245" w:rsidRPr="00CE2E4D">
          <w:rPr>
            <w:rStyle w:val="Hyperlink"/>
            <w:noProof/>
          </w:rPr>
          <w:t>Table 2.3: Consultations with Stakeholders – Australian System</w:t>
        </w:r>
        <w:r w:rsidR="00123245">
          <w:rPr>
            <w:noProof/>
            <w:webHidden/>
          </w:rPr>
          <w:tab/>
        </w:r>
        <w:r w:rsidR="00123245">
          <w:rPr>
            <w:noProof/>
            <w:webHidden/>
          </w:rPr>
          <w:fldChar w:fldCharType="begin"/>
        </w:r>
        <w:r w:rsidR="00123245">
          <w:rPr>
            <w:noProof/>
            <w:webHidden/>
          </w:rPr>
          <w:instrText xml:space="preserve"> PAGEREF _Toc495474270 \h </w:instrText>
        </w:r>
        <w:r w:rsidR="00123245">
          <w:rPr>
            <w:noProof/>
            <w:webHidden/>
          </w:rPr>
        </w:r>
        <w:r w:rsidR="00123245">
          <w:rPr>
            <w:noProof/>
            <w:webHidden/>
          </w:rPr>
          <w:fldChar w:fldCharType="separate"/>
        </w:r>
        <w:r w:rsidR="00CB1545">
          <w:rPr>
            <w:noProof/>
            <w:webHidden/>
          </w:rPr>
          <w:t>42</w:t>
        </w:r>
        <w:r w:rsidR="00123245">
          <w:rPr>
            <w:noProof/>
            <w:webHidden/>
          </w:rPr>
          <w:fldChar w:fldCharType="end"/>
        </w:r>
      </w:hyperlink>
    </w:p>
    <w:p w:rsidR="00E533FD" w:rsidRDefault="00473246" w:rsidP="00E533FD">
      <w:pPr>
        <w:pStyle w:val="TableofFigures"/>
        <w:tabs>
          <w:tab w:val="right" w:leader="dot" w:pos="9016"/>
        </w:tabs>
        <w:spacing w:before="60" w:after="60"/>
        <w:ind w:left="238"/>
        <w:rPr>
          <w:rFonts w:eastAsiaTheme="minorEastAsia"/>
          <w:noProof/>
          <w:sz w:val="22"/>
          <w:lang w:eastAsia="en-AU"/>
        </w:rPr>
      </w:pPr>
      <w:hyperlink w:anchor="_Toc495474367" w:history="1">
        <w:r w:rsidR="00E533FD" w:rsidRPr="00264D0A">
          <w:rPr>
            <w:rStyle w:val="Hyperlink"/>
            <w:noProof/>
          </w:rPr>
          <w:t>Table 2.3a: Consultations with Stakeholders – International Systems</w:t>
        </w:r>
        <w:r w:rsidR="00E533FD">
          <w:rPr>
            <w:noProof/>
            <w:webHidden/>
          </w:rPr>
          <w:tab/>
        </w:r>
        <w:r w:rsidR="00E533FD">
          <w:rPr>
            <w:noProof/>
            <w:webHidden/>
          </w:rPr>
          <w:fldChar w:fldCharType="begin"/>
        </w:r>
        <w:r w:rsidR="00E533FD">
          <w:rPr>
            <w:noProof/>
            <w:webHidden/>
          </w:rPr>
          <w:instrText xml:space="preserve"> PAGEREF _Toc495474367 \h </w:instrText>
        </w:r>
        <w:r w:rsidR="00E533FD">
          <w:rPr>
            <w:noProof/>
            <w:webHidden/>
          </w:rPr>
        </w:r>
        <w:r w:rsidR="00E533FD">
          <w:rPr>
            <w:noProof/>
            <w:webHidden/>
          </w:rPr>
          <w:fldChar w:fldCharType="separate"/>
        </w:r>
        <w:r w:rsidR="00CB1545">
          <w:rPr>
            <w:noProof/>
            <w:webHidden/>
          </w:rPr>
          <w:t>43</w:t>
        </w:r>
        <w:r w:rsidR="00E533FD">
          <w:rPr>
            <w:noProof/>
            <w:webHidden/>
          </w:rPr>
          <w:fldChar w:fldCharType="end"/>
        </w:r>
      </w:hyperlink>
    </w:p>
    <w:p w:rsidR="00123245" w:rsidRDefault="00473246" w:rsidP="00E533FD">
      <w:pPr>
        <w:pStyle w:val="TableofFigures"/>
        <w:tabs>
          <w:tab w:val="right" w:leader="dot" w:pos="9016"/>
        </w:tabs>
        <w:spacing w:before="60" w:after="60"/>
        <w:rPr>
          <w:rFonts w:eastAsiaTheme="minorEastAsia"/>
          <w:noProof/>
          <w:sz w:val="22"/>
          <w:lang w:eastAsia="en-AU"/>
        </w:rPr>
      </w:pPr>
      <w:hyperlink w:anchor="_Toc495474271" w:history="1">
        <w:r w:rsidR="00123245" w:rsidRPr="00CE2E4D">
          <w:rPr>
            <w:rStyle w:val="Hyperlink"/>
            <w:noProof/>
          </w:rPr>
          <w:t>Table 2.4: Data supplied on ACFI assessments and reviews</w:t>
        </w:r>
        <w:r w:rsidR="00123245">
          <w:rPr>
            <w:noProof/>
            <w:webHidden/>
          </w:rPr>
          <w:tab/>
        </w:r>
        <w:r w:rsidR="00123245">
          <w:rPr>
            <w:noProof/>
            <w:webHidden/>
          </w:rPr>
          <w:fldChar w:fldCharType="begin"/>
        </w:r>
        <w:r w:rsidR="00123245">
          <w:rPr>
            <w:noProof/>
            <w:webHidden/>
          </w:rPr>
          <w:instrText xml:space="preserve"> PAGEREF _Toc495474271 \h </w:instrText>
        </w:r>
        <w:r w:rsidR="00123245">
          <w:rPr>
            <w:noProof/>
            <w:webHidden/>
          </w:rPr>
        </w:r>
        <w:r w:rsidR="00123245">
          <w:rPr>
            <w:noProof/>
            <w:webHidden/>
          </w:rPr>
          <w:fldChar w:fldCharType="separate"/>
        </w:r>
        <w:r w:rsidR="00CB1545">
          <w:rPr>
            <w:noProof/>
            <w:webHidden/>
          </w:rPr>
          <w:t>44</w:t>
        </w:r>
        <w:r w:rsidR="00123245">
          <w:rPr>
            <w:noProof/>
            <w:webHidden/>
          </w:rPr>
          <w:fldChar w:fldCharType="end"/>
        </w:r>
      </w:hyperlink>
    </w:p>
    <w:p w:rsidR="00123245" w:rsidRDefault="00473246" w:rsidP="00E533FD">
      <w:pPr>
        <w:pStyle w:val="TableofFigures"/>
        <w:tabs>
          <w:tab w:val="right" w:leader="dot" w:pos="9016"/>
        </w:tabs>
        <w:spacing w:before="60" w:after="60"/>
        <w:rPr>
          <w:rFonts w:eastAsiaTheme="minorEastAsia"/>
          <w:noProof/>
          <w:sz w:val="22"/>
          <w:lang w:eastAsia="en-AU"/>
        </w:rPr>
      </w:pPr>
      <w:hyperlink w:anchor="_Toc495474272" w:history="1">
        <w:r w:rsidR="00123245" w:rsidRPr="00CE2E4D">
          <w:rPr>
            <w:rStyle w:val="Hyperlink"/>
            <w:noProof/>
          </w:rPr>
          <w:t>Table 2.5: Nutrition Question Difficulty Coefficients</w:t>
        </w:r>
        <w:r w:rsidR="00123245">
          <w:rPr>
            <w:noProof/>
            <w:webHidden/>
          </w:rPr>
          <w:tab/>
        </w:r>
        <w:r w:rsidR="00123245">
          <w:rPr>
            <w:noProof/>
            <w:webHidden/>
          </w:rPr>
          <w:fldChar w:fldCharType="begin"/>
        </w:r>
        <w:r w:rsidR="00123245">
          <w:rPr>
            <w:noProof/>
            <w:webHidden/>
          </w:rPr>
          <w:instrText xml:space="preserve"> PAGEREF _Toc495474272 \h </w:instrText>
        </w:r>
        <w:r w:rsidR="00123245">
          <w:rPr>
            <w:noProof/>
            <w:webHidden/>
          </w:rPr>
        </w:r>
        <w:r w:rsidR="00123245">
          <w:rPr>
            <w:noProof/>
            <w:webHidden/>
          </w:rPr>
          <w:fldChar w:fldCharType="separate"/>
        </w:r>
        <w:r w:rsidR="00CB1545">
          <w:rPr>
            <w:noProof/>
            <w:webHidden/>
          </w:rPr>
          <w:t>47</w:t>
        </w:r>
        <w:r w:rsidR="00123245">
          <w:rPr>
            <w:noProof/>
            <w:webHidden/>
          </w:rPr>
          <w:fldChar w:fldCharType="end"/>
        </w:r>
      </w:hyperlink>
    </w:p>
    <w:p w:rsidR="00123245" w:rsidRDefault="00473246" w:rsidP="00E533FD">
      <w:pPr>
        <w:pStyle w:val="TableofFigures"/>
        <w:tabs>
          <w:tab w:val="right" w:leader="dot" w:pos="9016"/>
        </w:tabs>
        <w:spacing w:before="60" w:after="60"/>
        <w:rPr>
          <w:rFonts w:eastAsiaTheme="minorEastAsia"/>
          <w:noProof/>
          <w:sz w:val="22"/>
          <w:lang w:eastAsia="en-AU"/>
        </w:rPr>
      </w:pPr>
      <w:hyperlink w:anchor="_Toc495474273" w:history="1">
        <w:r w:rsidR="00123245" w:rsidRPr="00CE2E4D">
          <w:rPr>
            <w:rStyle w:val="Hyperlink"/>
            <w:noProof/>
          </w:rPr>
          <w:t>Table 2.6: .6: R-ACFI Nutrition Item</w:t>
        </w:r>
        <w:r w:rsidR="00123245">
          <w:rPr>
            <w:noProof/>
            <w:webHidden/>
          </w:rPr>
          <w:tab/>
        </w:r>
        <w:r w:rsidR="00123245">
          <w:rPr>
            <w:noProof/>
            <w:webHidden/>
          </w:rPr>
          <w:fldChar w:fldCharType="begin"/>
        </w:r>
        <w:r w:rsidR="00123245">
          <w:rPr>
            <w:noProof/>
            <w:webHidden/>
          </w:rPr>
          <w:instrText xml:space="preserve"> PAGEREF _Toc495474273 \h </w:instrText>
        </w:r>
        <w:r w:rsidR="00123245">
          <w:rPr>
            <w:noProof/>
            <w:webHidden/>
          </w:rPr>
        </w:r>
        <w:r w:rsidR="00123245">
          <w:rPr>
            <w:noProof/>
            <w:webHidden/>
          </w:rPr>
          <w:fldChar w:fldCharType="separate"/>
        </w:r>
        <w:r w:rsidR="00CB1545">
          <w:rPr>
            <w:noProof/>
            <w:webHidden/>
          </w:rPr>
          <w:t>48</w:t>
        </w:r>
        <w:r w:rsidR="00123245">
          <w:rPr>
            <w:noProof/>
            <w:webHidden/>
          </w:rPr>
          <w:fldChar w:fldCharType="end"/>
        </w:r>
      </w:hyperlink>
    </w:p>
    <w:p w:rsidR="00123245" w:rsidRDefault="00473246" w:rsidP="00E533FD">
      <w:pPr>
        <w:pStyle w:val="TableofFigures"/>
        <w:tabs>
          <w:tab w:val="right" w:leader="dot" w:pos="9016"/>
        </w:tabs>
        <w:spacing w:before="60" w:after="60"/>
        <w:rPr>
          <w:rFonts w:eastAsiaTheme="minorEastAsia"/>
          <w:noProof/>
          <w:sz w:val="22"/>
          <w:lang w:eastAsia="en-AU"/>
        </w:rPr>
      </w:pPr>
      <w:hyperlink w:anchor="_Toc495474274" w:history="1">
        <w:r w:rsidR="00123245" w:rsidRPr="00CE2E4D">
          <w:rPr>
            <w:rStyle w:val="Hyperlink"/>
            <w:noProof/>
          </w:rPr>
          <w:t>Table 2.7: R-ACFI Nutrition</w:t>
        </w:r>
        <w:r w:rsidR="00123245">
          <w:rPr>
            <w:noProof/>
            <w:webHidden/>
          </w:rPr>
          <w:tab/>
        </w:r>
        <w:r w:rsidR="00123245">
          <w:rPr>
            <w:noProof/>
            <w:webHidden/>
          </w:rPr>
          <w:fldChar w:fldCharType="begin"/>
        </w:r>
        <w:r w:rsidR="00123245">
          <w:rPr>
            <w:noProof/>
            <w:webHidden/>
          </w:rPr>
          <w:instrText xml:space="preserve"> PAGEREF _Toc495474274 \h </w:instrText>
        </w:r>
        <w:r w:rsidR="00123245">
          <w:rPr>
            <w:noProof/>
            <w:webHidden/>
          </w:rPr>
        </w:r>
        <w:r w:rsidR="00123245">
          <w:rPr>
            <w:noProof/>
            <w:webHidden/>
          </w:rPr>
          <w:fldChar w:fldCharType="separate"/>
        </w:r>
        <w:r w:rsidR="00CB1545">
          <w:rPr>
            <w:noProof/>
            <w:webHidden/>
          </w:rPr>
          <w:t>49</w:t>
        </w:r>
        <w:r w:rsidR="00123245">
          <w:rPr>
            <w:noProof/>
            <w:webHidden/>
          </w:rPr>
          <w:fldChar w:fldCharType="end"/>
        </w:r>
      </w:hyperlink>
    </w:p>
    <w:p w:rsidR="00772838" w:rsidRDefault="00473246" w:rsidP="00E533FD">
      <w:pPr>
        <w:pStyle w:val="TableofFigures"/>
        <w:tabs>
          <w:tab w:val="right" w:leader="dot" w:pos="9016"/>
        </w:tabs>
        <w:spacing w:before="60" w:after="60"/>
        <w:jc w:val="left"/>
        <w:rPr>
          <w:rFonts w:eastAsiaTheme="minorEastAsia"/>
          <w:noProof/>
          <w:sz w:val="22"/>
          <w:lang w:eastAsia="en-AU"/>
        </w:rPr>
      </w:pPr>
      <w:hyperlink w:anchor="_Toc495415640" w:history="1">
        <w:r w:rsidR="00772838" w:rsidRPr="001A41A0">
          <w:rPr>
            <w:rStyle w:val="Hyperlink"/>
            <w:noProof/>
          </w:rPr>
          <w:t>Table 4.1: ADL items, ratings and classification overview</w:t>
        </w:r>
        <w:r w:rsidR="00772838">
          <w:rPr>
            <w:noProof/>
            <w:webHidden/>
          </w:rPr>
          <w:tab/>
        </w:r>
        <w:r w:rsidR="00772838">
          <w:rPr>
            <w:noProof/>
            <w:webHidden/>
          </w:rPr>
          <w:fldChar w:fldCharType="begin"/>
        </w:r>
        <w:r w:rsidR="00772838">
          <w:rPr>
            <w:noProof/>
            <w:webHidden/>
          </w:rPr>
          <w:instrText xml:space="preserve"> PAGEREF _Toc495415640 \h </w:instrText>
        </w:r>
        <w:r w:rsidR="00772838">
          <w:rPr>
            <w:noProof/>
            <w:webHidden/>
          </w:rPr>
        </w:r>
        <w:r w:rsidR="00772838">
          <w:rPr>
            <w:noProof/>
            <w:webHidden/>
          </w:rPr>
          <w:fldChar w:fldCharType="separate"/>
        </w:r>
        <w:r w:rsidR="00CB1545">
          <w:rPr>
            <w:noProof/>
            <w:webHidden/>
          </w:rPr>
          <w:t>64</w:t>
        </w:r>
        <w:r w:rsidR="00772838">
          <w:rPr>
            <w:noProof/>
            <w:webHidden/>
          </w:rPr>
          <w:fldChar w:fldCharType="end"/>
        </w:r>
      </w:hyperlink>
    </w:p>
    <w:p w:rsidR="00772838" w:rsidRDefault="00473246" w:rsidP="00E533FD">
      <w:pPr>
        <w:pStyle w:val="TableofFigures"/>
        <w:tabs>
          <w:tab w:val="right" w:leader="dot" w:pos="9016"/>
        </w:tabs>
        <w:spacing w:before="60" w:after="60"/>
        <w:jc w:val="left"/>
        <w:rPr>
          <w:rFonts w:eastAsiaTheme="minorEastAsia"/>
          <w:noProof/>
          <w:sz w:val="22"/>
          <w:lang w:eastAsia="en-AU"/>
        </w:rPr>
      </w:pPr>
      <w:hyperlink w:anchor="_Toc495415641" w:history="1">
        <w:r w:rsidR="00772838" w:rsidRPr="001A41A0">
          <w:rPr>
            <w:rStyle w:val="Hyperlink"/>
            <w:noProof/>
          </w:rPr>
          <w:t>Table 4.2: ADL questions, ratings and scoring (weighting)</w:t>
        </w:r>
        <w:r w:rsidR="00772838">
          <w:rPr>
            <w:noProof/>
            <w:webHidden/>
          </w:rPr>
          <w:tab/>
        </w:r>
        <w:r w:rsidR="00772838">
          <w:rPr>
            <w:noProof/>
            <w:webHidden/>
          </w:rPr>
          <w:fldChar w:fldCharType="begin"/>
        </w:r>
        <w:r w:rsidR="00772838">
          <w:rPr>
            <w:noProof/>
            <w:webHidden/>
          </w:rPr>
          <w:instrText xml:space="preserve"> PAGEREF _Toc495415641 \h </w:instrText>
        </w:r>
        <w:r w:rsidR="00772838">
          <w:rPr>
            <w:noProof/>
            <w:webHidden/>
          </w:rPr>
        </w:r>
        <w:r w:rsidR="00772838">
          <w:rPr>
            <w:noProof/>
            <w:webHidden/>
          </w:rPr>
          <w:fldChar w:fldCharType="separate"/>
        </w:r>
        <w:r w:rsidR="00CB1545">
          <w:rPr>
            <w:noProof/>
            <w:webHidden/>
          </w:rPr>
          <w:t>64</w:t>
        </w:r>
        <w:r w:rsidR="00772838">
          <w:rPr>
            <w:noProof/>
            <w:webHidden/>
          </w:rPr>
          <w:fldChar w:fldCharType="end"/>
        </w:r>
      </w:hyperlink>
    </w:p>
    <w:p w:rsidR="00772838" w:rsidRDefault="00473246" w:rsidP="00E533FD">
      <w:pPr>
        <w:pStyle w:val="TableofFigures"/>
        <w:tabs>
          <w:tab w:val="right" w:leader="dot" w:pos="9016"/>
        </w:tabs>
        <w:spacing w:before="60" w:after="60"/>
        <w:jc w:val="left"/>
        <w:rPr>
          <w:rFonts w:eastAsiaTheme="minorEastAsia"/>
          <w:noProof/>
          <w:sz w:val="22"/>
          <w:lang w:eastAsia="en-AU"/>
        </w:rPr>
      </w:pPr>
      <w:hyperlink w:anchor="_Toc495415642" w:history="1">
        <w:r w:rsidR="00772838" w:rsidRPr="001A41A0">
          <w:rPr>
            <w:rStyle w:val="Hyperlink"/>
            <w:noProof/>
          </w:rPr>
          <w:t>Table 4.3: ADL Domain Classification, cut-points and funding</w:t>
        </w:r>
        <w:r w:rsidR="00772838">
          <w:rPr>
            <w:noProof/>
            <w:webHidden/>
          </w:rPr>
          <w:tab/>
        </w:r>
        <w:r w:rsidR="00772838">
          <w:rPr>
            <w:noProof/>
            <w:webHidden/>
          </w:rPr>
          <w:fldChar w:fldCharType="begin"/>
        </w:r>
        <w:r w:rsidR="00772838">
          <w:rPr>
            <w:noProof/>
            <w:webHidden/>
          </w:rPr>
          <w:instrText xml:space="preserve"> PAGEREF _Toc495415642 \h </w:instrText>
        </w:r>
        <w:r w:rsidR="00772838">
          <w:rPr>
            <w:noProof/>
            <w:webHidden/>
          </w:rPr>
        </w:r>
        <w:r w:rsidR="00772838">
          <w:rPr>
            <w:noProof/>
            <w:webHidden/>
          </w:rPr>
          <w:fldChar w:fldCharType="separate"/>
        </w:r>
        <w:r w:rsidR="00CB1545">
          <w:rPr>
            <w:noProof/>
            <w:webHidden/>
          </w:rPr>
          <w:t>64</w:t>
        </w:r>
        <w:r w:rsidR="00772838">
          <w:rPr>
            <w:noProof/>
            <w:webHidden/>
          </w:rPr>
          <w:fldChar w:fldCharType="end"/>
        </w:r>
      </w:hyperlink>
    </w:p>
    <w:p w:rsidR="00772838" w:rsidRDefault="00473246" w:rsidP="00E533FD">
      <w:pPr>
        <w:pStyle w:val="TableofFigures"/>
        <w:tabs>
          <w:tab w:val="right" w:leader="dot" w:pos="9016"/>
        </w:tabs>
        <w:spacing w:before="60" w:after="60"/>
        <w:jc w:val="left"/>
        <w:rPr>
          <w:rFonts w:eastAsiaTheme="minorEastAsia"/>
          <w:noProof/>
          <w:sz w:val="22"/>
          <w:lang w:eastAsia="en-AU"/>
        </w:rPr>
      </w:pPr>
      <w:hyperlink w:anchor="_Toc495415643" w:history="1">
        <w:r w:rsidR="00772838" w:rsidRPr="001A41A0">
          <w:rPr>
            <w:rStyle w:val="Hyperlink"/>
            <w:noProof/>
          </w:rPr>
          <w:t>Table 4.4: ADL Domain Distribution June 30, 2016</w:t>
        </w:r>
        <w:r w:rsidR="00772838">
          <w:rPr>
            <w:noProof/>
            <w:webHidden/>
          </w:rPr>
          <w:tab/>
        </w:r>
        <w:r w:rsidR="00772838">
          <w:rPr>
            <w:noProof/>
            <w:webHidden/>
          </w:rPr>
          <w:fldChar w:fldCharType="begin"/>
        </w:r>
        <w:r w:rsidR="00772838">
          <w:rPr>
            <w:noProof/>
            <w:webHidden/>
          </w:rPr>
          <w:instrText xml:space="preserve"> PAGEREF _Toc495415643 \h </w:instrText>
        </w:r>
        <w:r w:rsidR="00772838">
          <w:rPr>
            <w:noProof/>
            <w:webHidden/>
          </w:rPr>
        </w:r>
        <w:r w:rsidR="00772838">
          <w:rPr>
            <w:noProof/>
            <w:webHidden/>
          </w:rPr>
          <w:fldChar w:fldCharType="separate"/>
        </w:r>
        <w:r w:rsidR="00CB1545">
          <w:rPr>
            <w:noProof/>
            <w:webHidden/>
          </w:rPr>
          <w:t>65</w:t>
        </w:r>
        <w:r w:rsidR="00772838">
          <w:rPr>
            <w:noProof/>
            <w:webHidden/>
          </w:rPr>
          <w:fldChar w:fldCharType="end"/>
        </w:r>
      </w:hyperlink>
    </w:p>
    <w:p w:rsidR="00772838" w:rsidRDefault="00473246" w:rsidP="00E533FD">
      <w:pPr>
        <w:pStyle w:val="TableofFigures"/>
        <w:tabs>
          <w:tab w:val="right" w:leader="dot" w:pos="9016"/>
        </w:tabs>
        <w:spacing w:before="60" w:after="60"/>
        <w:jc w:val="left"/>
        <w:rPr>
          <w:rFonts w:eastAsiaTheme="minorEastAsia"/>
          <w:noProof/>
          <w:sz w:val="22"/>
          <w:lang w:eastAsia="en-AU"/>
        </w:rPr>
      </w:pPr>
      <w:hyperlink w:anchor="_Toc495415644" w:history="1">
        <w:r w:rsidR="00772838" w:rsidRPr="001A41A0">
          <w:rPr>
            <w:rStyle w:val="Hyperlink"/>
            <w:noProof/>
          </w:rPr>
          <w:t>Table 4.5: ACFI ADL rating (Nutrition)</w:t>
        </w:r>
        <w:r w:rsidR="00772838">
          <w:rPr>
            <w:noProof/>
            <w:webHidden/>
          </w:rPr>
          <w:tab/>
        </w:r>
        <w:r w:rsidR="00772838">
          <w:rPr>
            <w:noProof/>
            <w:webHidden/>
          </w:rPr>
          <w:fldChar w:fldCharType="begin"/>
        </w:r>
        <w:r w:rsidR="00772838">
          <w:rPr>
            <w:noProof/>
            <w:webHidden/>
          </w:rPr>
          <w:instrText xml:space="preserve"> PAGEREF _Toc495415644 \h </w:instrText>
        </w:r>
        <w:r w:rsidR="00772838">
          <w:rPr>
            <w:noProof/>
            <w:webHidden/>
          </w:rPr>
        </w:r>
        <w:r w:rsidR="00772838">
          <w:rPr>
            <w:noProof/>
            <w:webHidden/>
          </w:rPr>
          <w:fldChar w:fldCharType="separate"/>
        </w:r>
        <w:r w:rsidR="00CB1545">
          <w:rPr>
            <w:noProof/>
            <w:webHidden/>
          </w:rPr>
          <w:t>77</w:t>
        </w:r>
        <w:r w:rsidR="00772838">
          <w:rPr>
            <w:noProof/>
            <w:webHidden/>
          </w:rPr>
          <w:fldChar w:fldCharType="end"/>
        </w:r>
      </w:hyperlink>
    </w:p>
    <w:p w:rsidR="00772838" w:rsidRDefault="00473246" w:rsidP="00E533FD">
      <w:pPr>
        <w:pStyle w:val="TableofFigures"/>
        <w:tabs>
          <w:tab w:val="right" w:leader="dot" w:pos="9016"/>
        </w:tabs>
        <w:spacing w:before="60" w:after="60"/>
        <w:ind w:left="238"/>
        <w:jc w:val="left"/>
        <w:rPr>
          <w:rFonts w:eastAsiaTheme="minorEastAsia"/>
          <w:noProof/>
          <w:sz w:val="22"/>
          <w:lang w:eastAsia="en-AU"/>
        </w:rPr>
      </w:pPr>
      <w:hyperlink w:anchor="_Toc495415867" w:history="1">
        <w:r w:rsidR="00772838" w:rsidRPr="00AC7D6C">
          <w:rPr>
            <w:rStyle w:val="Hyperlink"/>
            <w:noProof/>
          </w:rPr>
          <w:t>Table 4.5a: R-ACFI ADL rating (Mobility)</w:t>
        </w:r>
        <w:r w:rsidR="00772838">
          <w:rPr>
            <w:noProof/>
            <w:webHidden/>
          </w:rPr>
          <w:tab/>
        </w:r>
        <w:r w:rsidR="00772838">
          <w:rPr>
            <w:noProof/>
            <w:webHidden/>
          </w:rPr>
          <w:fldChar w:fldCharType="begin"/>
        </w:r>
        <w:r w:rsidR="00772838">
          <w:rPr>
            <w:noProof/>
            <w:webHidden/>
          </w:rPr>
          <w:instrText xml:space="preserve"> PAGEREF _Toc495415867 \h </w:instrText>
        </w:r>
        <w:r w:rsidR="00772838">
          <w:rPr>
            <w:noProof/>
            <w:webHidden/>
          </w:rPr>
        </w:r>
        <w:r w:rsidR="00772838">
          <w:rPr>
            <w:noProof/>
            <w:webHidden/>
          </w:rPr>
          <w:fldChar w:fldCharType="separate"/>
        </w:r>
        <w:r w:rsidR="00CB1545">
          <w:rPr>
            <w:noProof/>
            <w:webHidden/>
          </w:rPr>
          <w:t>78</w:t>
        </w:r>
        <w:r w:rsidR="00772838">
          <w:rPr>
            <w:noProof/>
            <w:webHidden/>
          </w:rPr>
          <w:fldChar w:fldCharType="end"/>
        </w:r>
      </w:hyperlink>
    </w:p>
    <w:p w:rsidR="00772838" w:rsidRDefault="00473246" w:rsidP="00E533FD">
      <w:pPr>
        <w:pStyle w:val="TableofFigures"/>
        <w:tabs>
          <w:tab w:val="right" w:leader="dot" w:pos="9016"/>
        </w:tabs>
        <w:spacing w:before="60" w:after="60"/>
        <w:ind w:left="238"/>
        <w:jc w:val="left"/>
        <w:rPr>
          <w:rFonts w:eastAsiaTheme="minorEastAsia"/>
          <w:noProof/>
          <w:sz w:val="22"/>
          <w:lang w:eastAsia="en-AU"/>
        </w:rPr>
      </w:pPr>
      <w:hyperlink w:anchor="_Toc495415868" w:history="1">
        <w:r w:rsidR="00772838" w:rsidRPr="00AC7D6C">
          <w:rPr>
            <w:rStyle w:val="Hyperlink"/>
            <w:noProof/>
          </w:rPr>
          <w:t>Table 4.5b: R-ACFI ADL rating (Personal Hygiene, Toileting)</w:t>
        </w:r>
        <w:r w:rsidR="00772838">
          <w:rPr>
            <w:noProof/>
            <w:webHidden/>
          </w:rPr>
          <w:tab/>
        </w:r>
        <w:r w:rsidR="00772838">
          <w:rPr>
            <w:noProof/>
            <w:webHidden/>
          </w:rPr>
          <w:fldChar w:fldCharType="begin"/>
        </w:r>
        <w:r w:rsidR="00772838">
          <w:rPr>
            <w:noProof/>
            <w:webHidden/>
          </w:rPr>
          <w:instrText xml:space="preserve"> PAGEREF _Toc495415868 \h </w:instrText>
        </w:r>
        <w:r w:rsidR="00772838">
          <w:rPr>
            <w:noProof/>
            <w:webHidden/>
          </w:rPr>
        </w:r>
        <w:r w:rsidR="00772838">
          <w:rPr>
            <w:noProof/>
            <w:webHidden/>
          </w:rPr>
          <w:fldChar w:fldCharType="separate"/>
        </w:r>
        <w:r w:rsidR="00CB1545">
          <w:rPr>
            <w:noProof/>
            <w:webHidden/>
          </w:rPr>
          <w:t>79</w:t>
        </w:r>
        <w:r w:rsidR="00772838">
          <w:rPr>
            <w:noProof/>
            <w:webHidden/>
          </w:rPr>
          <w:fldChar w:fldCharType="end"/>
        </w:r>
      </w:hyperlink>
    </w:p>
    <w:p w:rsidR="00772838" w:rsidRDefault="00473246" w:rsidP="00E533FD">
      <w:pPr>
        <w:pStyle w:val="TableofFigures"/>
        <w:tabs>
          <w:tab w:val="right" w:leader="dot" w:pos="9016"/>
        </w:tabs>
        <w:spacing w:before="60" w:after="60"/>
        <w:jc w:val="left"/>
        <w:rPr>
          <w:rFonts w:eastAsiaTheme="minorEastAsia"/>
          <w:noProof/>
          <w:sz w:val="22"/>
          <w:lang w:eastAsia="en-AU"/>
        </w:rPr>
      </w:pPr>
      <w:hyperlink w:anchor="_Toc495415645" w:history="1">
        <w:r w:rsidR="00772838" w:rsidRPr="001A41A0">
          <w:rPr>
            <w:rStyle w:val="Hyperlink"/>
            <w:noProof/>
          </w:rPr>
          <w:t>Table 4.6: R-ACFI ADL Domain Assessment Tools Recommendations</w:t>
        </w:r>
        <w:r w:rsidR="00772838">
          <w:rPr>
            <w:noProof/>
            <w:webHidden/>
          </w:rPr>
          <w:tab/>
        </w:r>
        <w:r w:rsidR="00772838">
          <w:rPr>
            <w:noProof/>
            <w:webHidden/>
          </w:rPr>
          <w:fldChar w:fldCharType="begin"/>
        </w:r>
        <w:r w:rsidR="00772838">
          <w:rPr>
            <w:noProof/>
            <w:webHidden/>
          </w:rPr>
          <w:instrText xml:space="preserve"> PAGEREF _Toc495415645 \h </w:instrText>
        </w:r>
        <w:r w:rsidR="00772838">
          <w:rPr>
            <w:noProof/>
            <w:webHidden/>
          </w:rPr>
        </w:r>
        <w:r w:rsidR="00772838">
          <w:rPr>
            <w:noProof/>
            <w:webHidden/>
          </w:rPr>
          <w:fldChar w:fldCharType="separate"/>
        </w:r>
        <w:r w:rsidR="00CB1545">
          <w:rPr>
            <w:noProof/>
            <w:webHidden/>
          </w:rPr>
          <w:t>95</w:t>
        </w:r>
        <w:r w:rsidR="00772838">
          <w:rPr>
            <w:noProof/>
            <w:webHidden/>
          </w:rPr>
          <w:fldChar w:fldCharType="end"/>
        </w:r>
      </w:hyperlink>
    </w:p>
    <w:p w:rsidR="00772838" w:rsidRDefault="00473246" w:rsidP="00E533FD">
      <w:pPr>
        <w:pStyle w:val="TableofFigures"/>
        <w:tabs>
          <w:tab w:val="right" w:leader="dot" w:pos="9016"/>
        </w:tabs>
        <w:spacing w:before="60" w:after="60"/>
        <w:jc w:val="left"/>
        <w:rPr>
          <w:rFonts w:eastAsiaTheme="minorEastAsia"/>
          <w:noProof/>
          <w:sz w:val="22"/>
          <w:lang w:eastAsia="en-AU"/>
        </w:rPr>
      </w:pPr>
      <w:hyperlink w:anchor="_Toc495415646" w:history="1">
        <w:r w:rsidR="00772838" w:rsidRPr="001A41A0">
          <w:rPr>
            <w:rStyle w:val="Hyperlink"/>
            <w:noProof/>
          </w:rPr>
          <w:t>Table 4.7: Summary of ADL Recommendations</w:t>
        </w:r>
        <w:r w:rsidR="00772838">
          <w:rPr>
            <w:noProof/>
            <w:webHidden/>
          </w:rPr>
          <w:tab/>
        </w:r>
        <w:r w:rsidR="00772838">
          <w:rPr>
            <w:noProof/>
            <w:webHidden/>
          </w:rPr>
          <w:fldChar w:fldCharType="begin"/>
        </w:r>
        <w:r w:rsidR="00772838">
          <w:rPr>
            <w:noProof/>
            <w:webHidden/>
          </w:rPr>
          <w:instrText xml:space="preserve"> PAGEREF _Toc495415646 \h </w:instrText>
        </w:r>
        <w:r w:rsidR="00772838">
          <w:rPr>
            <w:noProof/>
            <w:webHidden/>
          </w:rPr>
        </w:r>
        <w:r w:rsidR="00772838">
          <w:rPr>
            <w:noProof/>
            <w:webHidden/>
          </w:rPr>
          <w:fldChar w:fldCharType="separate"/>
        </w:r>
        <w:r w:rsidR="00CB1545">
          <w:rPr>
            <w:noProof/>
            <w:webHidden/>
          </w:rPr>
          <w:t>96</w:t>
        </w:r>
        <w:r w:rsidR="00772838">
          <w:rPr>
            <w:noProof/>
            <w:webHidden/>
          </w:rPr>
          <w:fldChar w:fldCharType="end"/>
        </w:r>
      </w:hyperlink>
    </w:p>
    <w:p w:rsidR="000A070A" w:rsidRDefault="000A070A" w:rsidP="00E533FD">
      <w:pPr>
        <w:pStyle w:val="TableofFigures"/>
        <w:tabs>
          <w:tab w:val="right" w:leader="dot" w:pos="9016"/>
        </w:tabs>
        <w:spacing w:before="60" w:after="60"/>
        <w:jc w:val="left"/>
        <w:rPr>
          <w:rFonts w:eastAsiaTheme="minorEastAsia"/>
          <w:noProof/>
          <w:sz w:val="22"/>
          <w:lang w:eastAsia="en-AU"/>
        </w:rPr>
      </w:pPr>
      <w:r>
        <w:fldChar w:fldCharType="begin"/>
      </w:r>
      <w:r>
        <w:instrText xml:space="preserve"> TOC \h \z \c "Table 5." </w:instrText>
      </w:r>
      <w:r>
        <w:fldChar w:fldCharType="separate"/>
      </w:r>
      <w:hyperlink w:anchor="_Toc495416333" w:history="1">
        <w:r w:rsidRPr="00D423B4">
          <w:rPr>
            <w:rStyle w:val="Hyperlink"/>
            <w:noProof/>
          </w:rPr>
          <w:t>Table 5.1: BEH items, ratings and classification overview</w:t>
        </w:r>
        <w:r>
          <w:rPr>
            <w:noProof/>
            <w:webHidden/>
          </w:rPr>
          <w:tab/>
        </w:r>
        <w:r>
          <w:rPr>
            <w:noProof/>
            <w:webHidden/>
          </w:rPr>
          <w:fldChar w:fldCharType="begin"/>
        </w:r>
        <w:r>
          <w:rPr>
            <w:noProof/>
            <w:webHidden/>
          </w:rPr>
          <w:instrText xml:space="preserve"> PAGEREF _Toc495416333 \h </w:instrText>
        </w:r>
        <w:r>
          <w:rPr>
            <w:noProof/>
            <w:webHidden/>
          </w:rPr>
        </w:r>
        <w:r>
          <w:rPr>
            <w:noProof/>
            <w:webHidden/>
          </w:rPr>
          <w:fldChar w:fldCharType="separate"/>
        </w:r>
        <w:r w:rsidR="00CB1545">
          <w:rPr>
            <w:noProof/>
            <w:webHidden/>
          </w:rPr>
          <w:t>98</w:t>
        </w:r>
        <w:r>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34" w:history="1">
        <w:r w:rsidR="000A070A" w:rsidRPr="00D423B4">
          <w:rPr>
            <w:rStyle w:val="Hyperlink"/>
            <w:noProof/>
          </w:rPr>
          <w:t>Table 5.2: BEH Domain questions, ratings and scoring (weighting)</w:t>
        </w:r>
        <w:r w:rsidR="000A070A">
          <w:rPr>
            <w:noProof/>
            <w:webHidden/>
          </w:rPr>
          <w:tab/>
        </w:r>
        <w:r w:rsidR="000A070A">
          <w:rPr>
            <w:noProof/>
            <w:webHidden/>
          </w:rPr>
          <w:fldChar w:fldCharType="begin"/>
        </w:r>
        <w:r w:rsidR="000A070A">
          <w:rPr>
            <w:noProof/>
            <w:webHidden/>
          </w:rPr>
          <w:instrText xml:space="preserve"> PAGEREF _Toc495416334 \h </w:instrText>
        </w:r>
        <w:r w:rsidR="000A070A">
          <w:rPr>
            <w:noProof/>
            <w:webHidden/>
          </w:rPr>
        </w:r>
        <w:r w:rsidR="000A070A">
          <w:rPr>
            <w:noProof/>
            <w:webHidden/>
          </w:rPr>
          <w:fldChar w:fldCharType="separate"/>
        </w:r>
        <w:r w:rsidR="00CB1545">
          <w:rPr>
            <w:noProof/>
            <w:webHidden/>
          </w:rPr>
          <w:t>98</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35" w:history="1">
        <w:r w:rsidR="000A070A" w:rsidRPr="00D423B4">
          <w:rPr>
            <w:rStyle w:val="Hyperlink"/>
            <w:noProof/>
          </w:rPr>
          <w:t>Table 5.3: BEH Domain Classification, cut-points and funding</w:t>
        </w:r>
        <w:r w:rsidR="000A070A">
          <w:rPr>
            <w:noProof/>
            <w:webHidden/>
          </w:rPr>
          <w:tab/>
        </w:r>
        <w:r w:rsidR="000A070A">
          <w:rPr>
            <w:noProof/>
            <w:webHidden/>
          </w:rPr>
          <w:fldChar w:fldCharType="begin"/>
        </w:r>
        <w:r w:rsidR="000A070A">
          <w:rPr>
            <w:noProof/>
            <w:webHidden/>
          </w:rPr>
          <w:instrText xml:space="preserve"> PAGEREF _Toc495416335 \h </w:instrText>
        </w:r>
        <w:r w:rsidR="000A070A">
          <w:rPr>
            <w:noProof/>
            <w:webHidden/>
          </w:rPr>
        </w:r>
        <w:r w:rsidR="000A070A">
          <w:rPr>
            <w:noProof/>
            <w:webHidden/>
          </w:rPr>
          <w:fldChar w:fldCharType="separate"/>
        </w:r>
        <w:r w:rsidR="00CB1545">
          <w:rPr>
            <w:noProof/>
            <w:webHidden/>
          </w:rPr>
          <w:t>99</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36" w:history="1">
        <w:r w:rsidR="000A070A" w:rsidRPr="00D423B4">
          <w:rPr>
            <w:rStyle w:val="Hyperlink"/>
            <w:noProof/>
          </w:rPr>
          <w:t>Table 5.4: BEH Domain Distribution June 30, 2016</w:t>
        </w:r>
        <w:r w:rsidR="000A070A">
          <w:rPr>
            <w:noProof/>
            <w:webHidden/>
          </w:rPr>
          <w:tab/>
        </w:r>
        <w:r w:rsidR="000A070A">
          <w:rPr>
            <w:noProof/>
            <w:webHidden/>
          </w:rPr>
          <w:fldChar w:fldCharType="begin"/>
        </w:r>
        <w:r w:rsidR="000A070A">
          <w:rPr>
            <w:noProof/>
            <w:webHidden/>
          </w:rPr>
          <w:instrText xml:space="preserve"> PAGEREF _Toc495416336 \h </w:instrText>
        </w:r>
        <w:r w:rsidR="000A070A">
          <w:rPr>
            <w:noProof/>
            <w:webHidden/>
          </w:rPr>
        </w:r>
        <w:r w:rsidR="000A070A">
          <w:rPr>
            <w:noProof/>
            <w:webHidden/>
          </w:rPr>
          <w:fldChar w:fldCharType="separate"/>
        </w:r>
        <w:r w:rsidR="00CB1545">
          <w:rPr>
            <w:noProof/>
            <w:webHidden/>
          </w:rPr>
          <w:t>100</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37" w:history="1">
        <w:r w:rsidR="000A070A" w:rsidRPr="00D423B4">
          <w:rPr>
            <w:rStyle w:val="Hyperlink"/>
            <w:noProof/>
          </w:rPr>
          <w:t xml:space="preserve">Table 5.5: Example of Disruptiveness Ratings used in Behaviour Assessments </w:t>
        </w:r>
        <w:r w:rsidR="000A070A">
          <w:rPr>
            <w:noProof/>
            <w:webHidden/>
          </w:rPr>
          <w:tab/>
        </w:r>
        <w:r w:rsidR="000A070A">
          <w:rPr>
            <w:noProof/>
            <w:webHidden/>
          </w:rPr>
          <w:fldChar w:fldCharType="begin"/>
        </w:r>
        <w:r w:rsidR="000A070A">
          <w:rPr>
            <w:noProof/>
            <w:webHidden/>
          </w:rPr>
          <w:instrText xml:space="preserve"> PAGEREF _Toc495416337 \h </w:instrText>
        </w:r>
        <w:r w:rsidR="000A070A">
          <w:rPr>
            <w:noProof/>
            <w:webHidden/>
          </w:rPr>
        </w:r>
        <w:r w:rsidR="000A070A">
          <w:rPr>
            <w:noProof/>
            <w:webHidden/>
          </w:rPr>
          <w:fldChar w:fldCharType="separate"/>
        </w:r>
        <w:r w:rsidR="00CB1545">
          <w:rPr>
            <w:noProof/>
            <w:webHidden/>
          </w:rPr>
          <w:t>109</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38" w:history="1">
        <w:r w:rsidR="000A070A" w:rsidRPr="00D423B4">
          <w:rPr>
            <w:rStyle w:val="Hyperlink"/>
            <w:noProof/>
          </w:rPr>
          <w:t>Table 5.6: Four Point Disruptiveness Scale Used in the R-ACFI BEH Domain</w:t>
        </w:r>
        <w:r w:rsidR="000A070A">
          <w:rPr>
            <w:noProof/>
            <w:webHidden/>
          </w:rPr>
          <w:tab/>
        </w:r>
        <w:r w:rsidR="000A070A">
          <w:rPr>
            <w:noProof/>
            <w:webHidden/>
          </w:rPr>
          <w:fldChar w:fldCharType="begin"/>
        </w:r>
        <w:r w:rsidR="000A070A">
          <w:rPr>
            <w:noProof/>
            <w:webHidden/>
          </w:rPr>
          <w:instrText xml:space="preserve"> PAGEREF _Toc495416338 \h </w:instrText>
        </w:r>
        <w:r w:rsidR="000A070A">
          <w:rPr>
            <w:noProof/>
            <w:webHidden/>
          </w:rPr>
        </w:r>
        <w:r w:rsidR="000A070A">
          <w:rPr>
            <w:noProof/>
            <w:webHidden/>
          </w:rPr>
          <w:fldChar w:fldCharType="separate"/>
        </w:r>
        <w:r w:rsidR="00CB1545">
          <w:rPr>
            <w:noProof/>
            <w:webHidden/>
          </w:rPr>
          <w:t>110</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39" w:history="1">
        <w:r w:rsidR="000A070A" w:rsidRPr="00D423B4">
          <w:rPr>
            <w:rStyle w:val="Hyperlink"/>
            <w:noProof/>
          </w:rPr>
          <w:t>Table 5.7: Behaviour Rating Matrix</w:t>
        </w:r>
        <w:r w:rsidR="000A070A">
          <w:rPr>
            <w:noProof/>
            <w:webHidden/>
          </w:rPr>
          <w:tab/>
        </w:r>
        <w:r w:rsidR="000A070A">
          <w:rPr>
            <w:noProof/>
            <w:webHidden/>
          </w:rPr>
          <w:fldChar w:fldCharType="begin"/>
        </w:r>
        <w:r w:rsidR="000A070A">
          <w:rPr>
            <w:noProof/>
            <w:webHidden/>
          </w:rPr>
          <w:instrText xml:space="preserve"> PAGEREF _Toc495416339 \h </w:instrText>
        </w:r>
        <w:r w:rsidR="000A070A">
          <w:rPr>
            <w:noProof/>
            <w:webHidden/>
          </w:rPr>
        </w:r>
        <w:r w:rsidR="000A070A">
          <w:rPr>
            <w:noProof/>
            <w:webHidden/>
          </w:rPr>
          <w:fldChar w:fldCharType="separate"/>
        </w:r>
        <w:r w:rsidR="00CB1545">
          <w:rPr>
            <w:noProof/>
            <w:webHidden/>
          </w:rPr>
          <w:t>116</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40" w:history="1">
        <w:r w:rsidR="000A070A" w:rsidRPr="00D423B4">
          <w:rPr>
            <w:rStyle w:val="Hyperlink"/>
            <w:noProof/>
          </w:rPr>
          <w:t>Table 5.8: R-ACFI Behaviour Domain Assessment Tools Recommendations</w:t>
        </w:r>
        <w:r w:rsidR="000A070A">
          <w:rPr>
            <w:noProof/>
            <w:webHidden/>
          </w:rPr>
          <w:tab/>
        </w:r>
        <w:r w:rsidR="000A070A">
          <w:rPr>
            <w:noProof/>
            <w:webHidden/>
          </w:rPr>
          <w:fldChar w:fldCharType="begin"/>
        </w:r>
        <w:r w:rsidR="000A070A">
          <w:rPr>
            <w:noProof/>
            <w:webHidden/>
          </w:rPr>
          <w:instrText xml:space="preserve"> PAGEREF _Toc495416340 \h </w:instrText>
        </w:r>
        <w:r w:rsidR="000A070A">
          <w:rPr>
            <w:noProof/>
            <w:webHidden/>
          </w:rPr>
        </w:r>
        <w:r w:rsidR="000A070A">
          <w:rPr>
            <w:noProof/>
            <w:webHidden/>
          </w:rPr>
          <w:fldChar w:fldCharType="separate"/>
        </w:r>
        <w:r w:rsidR="00CB1545">
          <w:rPr>
            <w:noProof/>
            <w:webHidden/>
          </w:rPr>
          <w:t>118</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41" w:history="1">
        <w:r w:rsidR="000A070A" w:rsidRPr="00D423B4">
          <w:rPr>
            <w:rStyle w:val="Hyperlink"/>
            <w:noProof/>
          </w:rPr>
          <w:t>Table 5.9: Summary of BEH Recommendations</w:t>
        </w:r>
        <w:r w:rsidR="000A070A">
          <w:rPr>
            <w:noProof/>
            <w:webHidden/>
          </w:rPr>
          <w:tab/>
        </w:r>
        <w:r w:rsidR="000A070A">
          <w:rPr>
            <w:noProof/>
            <w:webHidden/>
          </w:rPr>
          <w:fldChar w:fldCharType="begin"/>
        </w:r>
        <w:r w:rsidR="000A070A">
          <w:rPr>
            <w:noProof/>
            <w:webHidden/>
          </w:rPr>
          <w:instrText xml:space="preserve"> PAGEREF _Toc495416341 \h </w:instrText>
        </w:r>
        <w:r w:rsidR="000A070A">
          <w:rPr>
            <w:noProof/>
            <w:webHidden/>
          </w:rPr>
        </w:r>
        <w:r w:rsidR="000A070A">
          <w:rPr>
            <w:noProof/>
            <w:webHidden/>
          </w:rPr>
          <w:fldChar w:fldCharType="separate"/>
        </w:r>
        <w:r w:rsidR="00CB1545">
          <w:rPr>
            <w:noProof/>
            <w:webHidden/>
          </w:rPr>
          <w:t>119</w:t>
        </w:r>
        <w:r w:rsidR="000A070A">
          <w:rPr>
            <w:noProof/>
            <w:webHidden/>
          </w:rPr>
          <w:fldChar w:fldCharType="end"/>
        </w:r>
      </w:hyperlink>
    </w:p>
    <w:p w:rsidR="000A070A" w:rsidRDefault="000A070A" w:rsidP="00E533FD">
      <w:pPr>
        <w:pStyle w:val="TableofFigures"/>
        <w:tabs>
          <w:tab w:val="right" w:leader="dot" w:pos="9016"/>
        </w:tabs>
        <w:spacing w:before="60" w:after="60"/>
        <w:jc w:val="left"/>
        <w:rPr>
          <w:rFonts w:eastAsiaTheme="minorEastAsia"/>
          <w:noProof/>
          <w:sz w:val="22"/>
          <w:lang w:eastAsia="en-AU"/>
        </w:rPr>
      </w:pPr>
      <w:r>
        <w:lastRenderedPageBreak/>
        <w:fldChar w:fldCharType="end"/>
      </w:r>
      <w:hyperlink w:anchor="_Toc495416342" w:history="1">
        <w:r w:rsidRPr="00DA6661">
          <w:rPr>
            <w:rStyle w:val="Hyperlink"/>
            <w:noProof/>
          </w:rPr>
          <w:t>Table 6.1: CHC items, ratings and classification overview</w:t>
        </w:r>
        <w:r>
          <w:rPr>
            <w:noProof/>
            <w:webHidden/>
          </w:rPr>
          <w:tab/>
        </w:r>
        <w:r>
          <w:rPr>
            <w:noProof/>
            <w:webHidden/>
          </w:rPr>
          <w:fldChar w:fldCharType="begin"/>
        </w:r>
        <w:r>
          <w:rPr>
            <w:noProof/>
            <w:webHidden/>
          </w:rPr>
          <w:instrText xml:space="preserve"> PAGEREF _Toc495416342 \h </w:instrText>
        </w:r>
        <w:r>
          <w:rPr>
            <w:noProof/>
            <w:webHidden/>
          </w:rPr>
        </w:r>
        <w:r>
          <w:rPr>
            <w:noProof/>
            <w:webHidden/>
          </w:rPr>
          <w:fldChar w:fldCharType="separate"/>
        </w:r>
        <w:r w:rsidR="00CB1545">
          <w:rPr>
            <w:noProof/>
            <w:webHidden/>
          </w:rPr>
          <w:t>120</w:t>
        </w:r>
        <w:r>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43" w:history="1">
        <w:r w:rsidR="000A070A" w:rsidRPr="00DA6661">
          <w:rPr>
            <w:rStyle w:val="Hyperlink"/>
            <w:noProof/>
          </w:rPr>
          <w:t>Table 6.2: ACFI Q12 Items and Weights</w:t>
        </w:r>
        <w:r w:rsidR="000A070A">
          <w:rPr>
            <w:noProof/>
            <w:webHidden/>
          </w:rPr>
          <w:tab/>
        </w:r>
        <w:r w:rsidR="000A070A">
          <w:rPr>
            <w:noProof/>
            <w:webHidden/>
          </w:rPr>
          <w:fldChar w:fldCharType="begin"/>
        </w:r>
        <w:r w:rsidR="000A070A">
          <w:rPr>
            <w:noProof/>
            <w:webHidden/>
          </w:rPr>
          <w:instrText xml:space="preserve"> PAGEREF _Toc495416343 \h </w:instrText>
        </w:r>
        <w:r w:rsidR="000A070A">
          <w:rPr>
            <w:noProof/>
            <w:webHidden/>
          </w:rPr>
        </w:r>
        <w:r w:rsidR="000A070A">
          <w:rPr>
            <w:noProof/>
            <w:webHidden/>
          </w:rPr>
          <w:fldChar w:fldCharType="separate"/>
        </w:r>
        <w:r w:rsidR="00CB1545">
          <w:rPr>
            <w:noProof/>
            <w:webHidden/>
          </w:rPr>
          <w:t>121</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44" w:history="1">
        <w:r w:rsidR="000A070A" w:rsidRPr="00DA6661">
          <w:rPr>
            <w:rStyle w:val="Hyperlink"/>
            <w:noProof/>
          </w:rPr>
          <w:t>Table 6.3: Matrix to determine the CHC Domain Category and Funding</w:t>
        </w:r>
        <w:r w:rsidR="000A070A">
          <w:rPr>
            <w:noProof/>
            <w:webHidden/>
          </w:rPr>
          <w:tab/>
        </w:r>
        <w:r w:rsidR="000A070A">
          <w:rPr>
            <w:noProof/>
            <w:webHidden/>
          </w:rPr>
          <w:fldChar w:fldCharType="begin"/>
        </w:r>
        <w:r w:rsidR="000A070A">
          <w:rPr>
            <w:noProof/>
            <w:webHidden/>
          </w:rPr>
          <w:instrText xml:space="preserve"> PAGEREF _Toc495416344 \h </w:instrText>
        </w:r>
        <w:r w:rsidR="000A070A">
          <w:rPr>
            <w:noProof/>
            <w:webHidden/>
          </w:rPr>
        </w:r>
        <w:r w:rsidR="000A070A">
          <w:rPr>
            <w:noProof/>
            <w:webHidden/>
          </w:rPr>
          <w:fldChar w:fldCharType="separate"/>
        </w:r>
        <w:r w:rsidR="00CB1545">
          <w:rPr>
            <w:noProof/>
            <w:webHidden/>
          </w:rPr>
          <w:t>121</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45" w:history="1">
        <w:r w:rsidR="000A070A" w:rsidRPr="00DA6661">
          <w:rPr>
            <w:rStyle w:val="Hyperlink"/>
            <w:noProof/>
          </w:rPr>
          <w:t>Table 6.4: CHC Domain Distribution June 30 2016</w:t>
        </w:r>
        <w:r w:rsidR="000A070A">
          <w:rPr>
            <w:noProof/>
            <w:webHidden/>
          </w:rPr>
          <w:tab/>
        </w:r>
        <w:r w:rsidR="000A070A">
          <w:rPr>
            <w:noProof/>
            <w:webHidden/>
          </w:rPr>
          <w:fldChar w:fldCharType="begin"/>
        </w:r>
        <w:r w:rsidR="000A070A">
          <w:rPr>
            <w:noProof/>
            <w:webHidden/>
          </w:rPr>
          <w:instrText xml:space="preserve"> PAGEREF _Toc495416345 \h </w:instrText>
        </w:r>
        <w:r w:rsidR="000A070A">
          <w:rPr>
            <w:noProof/>
            <w:webHidden/>
          </w:rPr>
        </w:r>
        <w:r w:rsidR="000A070A">
          <w:rPr>
            <w:noProof/>
            <w:webHidden/>
          </w:rPr>
          <w:fldChar w:fldCharType="separate"/>
        </w:r>
        <w:r w:rsidR="00CB1545">
          <w:rPr>
            <w:noProof/>
            <w:webHidden/>
          </w:rPr>
          <w:t>123</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46" w:history="1">
        <w:r w:rsidR="000A070A" w:rsidRPr="00DA6661">
          <w:rPr>
            <w:rStyle w:val="Hyperlink"/>
            <w:noProof/>
          </w:rPr>
          <w:t>Table 6.5: Growth in Pain Management Q12 Items</w:t>
        </w:r>
        <w:r w:rsidR="000A070A">
          <w:rPr>
            <w:noProof/>
            <w:webHidden/>
          </w:rPr>
          <w:tab/>
        </w:r>
        <w:r w:rsidR="000A070A">
          <w:rPr>
            <w:noProof/>
            <w:webHidden/>
          </w:rPr>
          <w:fldChar w:fldCharType="begin"/>
        </w:r>
        <w:r w:rsidR="000A070A">
          <w:rPr>
            <w:noProof/>
            <w:webHidden/>
          </w:rPr>
          <w:instrText xml:space="preserve"> PAGEREF _Toc495416346 \h </w:instrText>
        </w:r>
        <w:r w:rsidR="000A070A">
          <w:rPr>
            <w:noProof/>
            <w:webHidden/>
          </w:rPr>
        </w:r>
        <w:r w:rsidR="000A070A">
          <w:rPr>
            <w:noProof/>
            <w:webHidden/>
          </w:rPr>
          <w:fldChar w:fldCharType="separate"/>
        </w:r>
        <w:r w:rsidR="00CB1545">
          <w:rPr>
            <w:noProof/>
            <w:webHidden/>
          </w:rPr>
          <w:t>136</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47" w:history="1">
        <w:r w:rsidR="000A070A" w:rsidRPr="00DA6661">
          <w:rPr>
            <w:rStyle w:val="Hyperlink"/>
            <w:noProof/>
          </w:rPr>
          <w:t>Table 6.6: Checklist of R-ACFI CHC procedures to be completed</w:t>
        </w:r>
        <w:r w:rsidR="000A070A">
          <w:rPr>
            <w:noProof/>
            <w:webHidden/>
          </w:rPr>
          <w:tab/>
        </w:r>
        <w:r w:rsidR="000A070A">
          <w:rPr>
            <w:noProof/>
            <w:webHidden/>
          </w:rPr>
          <w:fldChar w:fldCharType="begin"/>
        </w:r>
        <w:r w:rsidR="000A070A">
          <w:rPr>
            <w:noProof/>
            <w:webHidden/>
          </w:rPr>
          <w:instrText xml:space="preserve"> PAGEREF _Toc495416347 \h </w:instrText>
        </w:r>
        <w:r w:rsidR="000A070A">
          <w:rPr>
            <w:noProof/>
            <w:webHidden/>
          </w:rPr>
        </w:r>
        <w:r w:rsidR="000A070A">
          <w:rPr>
            <w:noProof/>
            <w:webHidden/>
          </w:rPr>
          <w:fldChar w:fldCharType="separate"/>
        </w:r>
        <w:r w:rsidR="00CB1545">
          <w:rPr>
            <w:noProof/>
            <w:webHidden/>
          </w:rPr>
          <w:t>140</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48" w:history="1">
        <w:r w:rsidR="000A070A" w:rsidRPr="00DA6661">
          <w:rPr>
            <w:rStyle w:val="Hyperlink"/>
            <w:noProof/>
          </w:rPr>
          <w:t>Table 6.7: R-ACFI Complex Health Assessment Tools Recommendations</w:t>
        </w:r>
        <w:r w:rsidR="000A070A">
          <w:rPr>
            <w:noProof/>
            <w:webHidden/>
          </w:rPr>
          <w:tab/>
        </w:r>
        <w:r w:rsidR="000A070A">
          <w:rPr>
            <w:noProof/>
            <w:webHidden/>
          </w:rPr>
          <w:fldChar w:fldCharType="begin"/>
        </w:r>
        <w:r w:rsidR="000A070A">
          <w:rPr>
            <w:noProof/>
            <w:webHidden/>
          </w:rPr>
          <w:instrText xml:space="preserve"> PAGEREF _Toc495416348 \h </w:instrText>
        </w:r>
        <w:r w:rsidR="000A070A">
          <w:rPr>
            <w:noProof/>
            <w:webHidden/>
          </w:rPr>
        </w:r>
        <w:r w:rsidR="000A070A">
          <w:rPr>
            <w:noProof/>
            <w:webHidden/>
          </w:rPr>
          <w:fldChar w:fldCharType="separate"/>
        </w:r>
        <w:r w:rsidR="00CB1545">
          <w:rPr>
            <w:noProof/>
            <w:webHidden/>
          </w:rPr>
          <w:t>145</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49" w:history="1">
        <w:r w:rsidR="000A070A" w:rsidRPr="00DA6661">
          <w:rPr>
            <w:rStyle w:val="Hyperlink"/>
            <w:noProof/>
          </w:rPr>
          <w:t>Table 6.8: Summary of CHC Recommendations</w:t>
        </w:r>
        <w:r w:rsidR="000A070A">
          <w:rPr>
            <w:noProof/>
            <w:webHidden/>
          </w:rPr>
          <w:tab/>
        </w:r>
        <w:r w:rsidR="000A070A">
          <w:rPr>
            <w:noProof/>
            <w:webHidden/>
          </w:rPr>
          <w:fldChar w:fldCharType="begin"/>
        </w:r>
        <w:r w:rsidR="000A070A">
          <w:rPr>
            <w:noProof/>
            <w:webHidden/>
          </w:rPr>
          <w:instrText xml:space="preserve"> PAGEREF _Toc495416349 \h </w:instrText>
        </w:r>
        <w:r w:rsidR="000A070A">
          <w:rPr>
            <w:noProof/>
            <w:webHidden/>
          </w:rPr>
        </w:r>
        <w:r w:rsidR="000A070A">
          <w:rPr>
            <w:noProof/>
            <w:webHidden/>
          </w:rPr>
          <w:fldChar w:fldCharType="separate"/>
        </w:r>
        <w:r w:rsidR="00CB1545">
          <w:rPr>
            <w:noProof/>
            <w:webHidden/>
          </w:rPr>
          <w:t>146</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50" w:history="1">
        <w:r w:rsidR="000A070A" w:rsidRPr="00135E37">
          <w:rPr>
            <w:rStyle w:val="Hyperlink"/>
            <w:noProof/>
          </w:rPr>
          <w:t>Table 7.1: Specified Care and Services Schedule 1, Parts 2 &amp; 3 related to Therapy</w:t>
        </w:r>
        <w:r w:rsidR="000A070A">
          <w:rPr>
            <w:noProof/>
            <w:webHidden/>
          </w:rPr>
          <w:tab/>
        </w:r>
        <w:r w:rsidR="000A070A">
          <w:rPr>
            <w:noProof/>
            <w:webHidden/>
          </w:rPr>
          <w:fldChar w:fldCharType="begin"/>
        </w:r>
        <w:r w:rsidR="000A070A">
          <w:rPr>
            <w:noProof/>
            <w:webHidden/>
          </w:rPr>
          <w:instrText xml:space="preserve"> PAGEREF _Toc495416350 \h </w:instrText>
        </w:r>
        <w:r w:rsidR="000A070A">
          <w:rPr>
            <w:noProof/>
            <w:webHidden/>
          </w:rPr>
        </w:r>
        <w:r w:rsidR="000A070A">
          <w:rPr>
            <w:noProof/>
            <w:webHidden/>
          </w:rPr>
          <w:fldChar w:fldCharType="separate"/>
        </w:r>
        <w:r w:rsidR="00CB1545">
          <w:rPr>
            <w:noProof/>
            <w:webHidden/>
          </w:rPr>
          <w:t>155</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51" w:history="1">
        <w:r w:rsidR="000A070A" w:rsidRPr="00135E37">
          <w:rPr>
            <w:rStyle w:val="Hyperlink"/>
            <w:noProof/>
          </w:rPr>
          <w:t>Table 7.2: CHC Payments with and without the Pain Management claims</w:t>
        </w:r>
        <w:r w:rsidR="000A070A">
          <w:rPr>
            <w:noProof/>
            <w:webHidden/>
          </w:rPr>
          <w:tab/>
        </w:r>
        <w:r w:rsidR="000A070A">
          <w:rPr>
            <w:noProof/>
            <w:webHidden/>
          </w:rPr>
          <w:fldChar w:fldCharType="begin"/>
        </w:r>
        <w:r w:rsidR="000A070A">
          <w:rPr>
            <w:noProof/>
            <w:webHidden/>
          </w:rPr>
          <w:instrText xml:space="preserve"> PAGEREF _Toc495416351 \h </w:instrText>
        </w:r>
        <w:r w:rsidR="000A070A">
          <w:rPr>
            <w:noProof/>
            <w:webHidden/>
          </w:rPr>
        </w:r>
        <w:r w:rsidR="000A070A">
          <w:rPr>
            <w:noProof/>
            <w:webHidden/>
          </w:rPr>
          <w:fldChar w:fldCharType="separate"/>
        </w:r>
        <w:r w:rsidR="00CB1545">
          <w:rPr>
            <w:noProof/>
            <w:webHidden/>
          </w:rPr>
          <w:t>156</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52" w:history="1">
        <w:r w:rsidR="000A070A" w:rsidRPr="00135E37">
          <w:rPr>
            <w:rStyle w:val="Hyperlink"/>
            <w:noProof/>
          </w:rPr>
          <w:t>Table 7.3: Therapy Program Design</w:t>
        </w:r>
        <w:r w:rsidR="000A070A">
          <w:rPr>
            <w:noProof/>
            <w:webHidden/>
          </w:rPr>
          <w:tab/>
        </w:r>
        <w:r w:rsidR="000A070A">
          <w:rPr>
            <w:noProof/>
            <w:webHidden/>
          </w:rPr>
          <w:fldChar w:fldCharType="begin"/>
        </w:r>
        <w:r w:rsidR="000A070A">
          <w:rPr>
            <w:noProof/>
            <w:webHidden/>
          </w:rPr>
          <w:instrText xml:space="preserve"> PAGEREF _Toc495416352 \h </w:instrText>
        </w:r>
        <w:r w:rsidR="000A070A">
          <w:rPr>
            <w:noProof/>
            <w:webHidden/>
          </w:rPr>
        </w:r>
        <w:r w:rsidR="000A070A">
          <w:rPr>
            <w:noProof/>
            <w:webHidden/>
          </w:rPr>
          <w:fldChar w:fldCharType="separate"/>
        </w:r>
        <w:r w:rsidR="00CB1545">
          <w:rPr>
            <w:noProof/>
            <w:webHidden/>
          </w:rPr>
          <w:t>157</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53" w:history="1">
        <w:r w:rsidR="000A070A" w:rsidRPr="00135E37">
          <w:rPr>
            <w:rStyle w:val="Hyperlink"/>
            <w:noProof/>
          </w:rPr>
          <w:t>Table 7.4: The Therapy Program “At a Glance”</w:t>
        </w:r>
        <w:r w:rsidR="000A070A">
          <w:rPr>
            <w:noProof/>
            <w:webHidden/>
          </w:rPr>
          <w:tab/>
        </w:r>
        <w:r w:rsidR="000A070A">
          <w:rPr>
            <w:noProof/>
            <w:webHidden/>
          </w:rPr>
          <w:fldChar w:fldCharType="begin"/>
        </w:r>
        <w:r w:rsidR="000A070A">
          <w:rPr>
            <w:noProof/>
            <w:webHidden/>
          </w:rPr>
          <w:instrText xml:space="preserve"> PAGEREF _Toc495416353 \h </w:instrText>
        </w:r>
        <w:r w:rsidR="000A070A">
          <w:rPr>
            <w:noProof/>
            <w:webHidden/>
          </w:rPr>
        </w:r>
        <w:r w:rsidR="000A070A">
          <w:rPr>
            <w:noProof/>
            <w:webHidden/>
          </w:rPr>
          <w:fldChar w:fldCharType="separate"/>
        </w:r>
        <w:r w:rsidR="00CB1545">
          <w:rPr>
            <w:noProof/>
            <w:webHidden/>
          </w:rPr>
          <w:t>161</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54" w:history="1">
        <w:r w:rsidR="000A070A" w:rsidRPr="00135E37">
          <w:rPr>
            <w:rStyle w:val="Hyperlink"/>
            <w:noProof/>
          </w:rPr>
          <w:t>Table 7.5: R-ACFI Therapy Program Assessment Tools Recommendations</w:t>
        </w:r>
        <w:r w:rsidR="000A070A">
          <w:rPr>
            <w:noProof/>
            <w:webHidden/>
          </w:rPr>
          <w:tab/>
        </w:r>
        <w:r w:rsidR="000A070A">
          <w:rPr>
            <w:noProof/>
            <w:webHidden/>
          </w:rPr>
          <w:fldChar w:fldCharType="begin"/>
        </w:r>
        <w:r w:rsidR="000A070A">
          <w:rPr>
            <w:noProof/>
            <w:webHidden/>
          </w:rPr>
          <w:instrText xml:space="preserve"> PAGEREF _Toc495416354 \h </w:instrText>
        </w:r>
        <w:r w:rsidR="000A070A">
          <w:rPr>
            <w:noProof/>
            <w:webHidden/>
          </w:rPr>
        </w:r>
        <w:r w:rsidR="000A070A">
          <w:rPr>
            <w:noProof/>
            <w:webHidden/>
          </w:rPr>
          <w:fldChar w:fldCharType="separate"/>
        </w:r>
        <w:r w:rsidR="00CB1545">
          <w:rPr>
            <w:noProof/>
            <w:webHidden/>
          </w:rPr>
          <w:t>165</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68" w:history="1">
        <w:r w:rsidR="000A070A" w:rsidRPr="001934B2">
          <w:rPr>
            <w:rStyle w:val="Hyperlink"/>
            <w:noProof/>
          </w:rPr>
          <w:t>Table 8.1: R-ACFI Funding Distribution by Categories</w:t>
        </w:r>
        <w:r w:rsidR="000A070A">
          <w:rPr>
            <w:noProof/>
            <w:webHidden/>
          </w:rPr>
          <w:tab/>
        </w:r>
        <w:r w:rsidR="000A070A">
          <w:rPr>
            <w:noProof/>
            <w:webHidden/>
          </w:rPr>
          <w:fldChar w:fldCharType="begin"/>
        </w:r>
        <w:r w:rsidR="000A070A">
          <w:rPr>
            <w:noProof/>
            <w:webHidden/>
          </w:rPr>
          <w:instrText xml:space="preserve"> PAGEREF _Toc495416368 \h </w:instrText>
        </w:r>
        <w:r w:rsidR="000A070A">
          <w:rPr>
            <w:noProof/>
            <w:webHidden/>
          </w:rPr>
        </w:r>
        <w:r w:rsidR="000A070A">
          <w:rPr>
            <w:noProof/>
            <w:webHidden/>
          </w:rPr>
          <w:fldChar w:fldCharType="separate"/>
        </w:r>
        <w:r w:rsidR="00CB1545">
          <w:rPr>
            <w:noProof/>
            <w:webHidden/>
          </w:rPr>
          <w:t>170</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69" w:history="1">
        <w:r w:rsidR="000A070A" w:rsidRPr="001934B2">
          <w:rPr>
            <w:rStyle w:val="Hyperlink"/>
            <w:noProof/>
          </w:rPr>
          <w:t>Table 8.2: R-ACFI Payment Groups Compared with the Current ACFI</w:t>
        </w:r>
        <w:r w:rsidR="000A070A">
          <w:rPr>
            <w:noProof/>
            <w:webHidden/>
          </w:rPr>
          <w:tab/>
        </w:r>
        <w:r w:rsidR="000A070A">
          <w:rPr>
            <w:noProof/>
            <w:webHidden/>
          </w:rPr>
          <w:fldChar w:fldCharType="begin"/>
        </w:r>
        <w:r w:rsidR="000A070A">
          <w:rPr>
            <w:noProof/>
            <w:webHidden/>
          </w:rPr>
          <w:instrText xml:space="preserve"> PAGEREF _Toc495416369 \h </w:instrText>
        </w:r>
        <w:r w:rsidR="000A070A">
          <w:rPr>
            <w:noProof/>
            <w:webHidden/>
          </w:rPr>
        </w:r>
        <w:r w:rsidR="000A070A">
          <w:rPr>
            <w:noProof/>
            <w:webHidden/>
          </w:rPr>
          <w:fldChar w:fldCharType="separate"/>
        </w:r>
        <w:r w:rsidR="00CB1545">
          <w:rPr>
            <w:noProof/>
            <w:webHidden/>
          </w:rPr>
          <w:t>171</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70" w:history="1">
        <w:r w:rsidR="000A070A" w:rsidRPr="001934B2">
          <w:rPr>
            <w:rStyle w:val="Hyperlink"/>
            <w:noProof/>
          </w:rPr>
          <w:t>Table 8.3: Current &amp; Proposed Average Subsidies by State (30 June 2016 data)</w:t>
        </w:r>
        <w:r w:rsidR="000A070A">
          <w:rPr>
            <w:noProof/>
            <w:webHidden/>
          </w:rPr>
          <w:tab/>
        </w:r>
        <w:r w:rsidR="000A070A">
          <w:rPr>
            <w:noProof/>
            <w:webHidden/>
          </w:rPr>
          <w:fldChar w:fldCharType="begin"/>
        </w:r>
        <w:r w:rsidR="000A070A">
          <w:rPr>
            <w:noProof/>
            <w:webHidden/>
          </w:rPr>
          <w:instrText xml:space="preserve"> PAGEREF _Toc495416370 \h </w:instrText>
        </w:r>
        <w:r w:rsidR="000A070A">
          <w:rPr>
            <w:noProof/>
            <w:webHidden/>
          </w:rPr>
        </w:r>
        <w:r w:rsidR="000A070A">
          <w:rPr>
            <w:noProof/>
            <w:webHidden/>
          </w:rPr>
          <w:fldChar w:fldCharType="separate"/>
        </w:r>
        <w:r w:rsidR="00CB1545">
          <w:rPr>
            <w:noProof/>
            <w:webHidden/>
          </w:rPr>
          <w:t>173</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71" w:history="1">
        <w:r w:rsidR="000A070A" w:rsidRPr="001934B2">
          <w:rPr>
            <w:rStyle w:val="Hyperlink"/>
            <w:noProof/>
          </w:rPr>
          <w:t>Table 8.4: Current &amp; Proposed Average Subsidies by Organisation Type (30 June 2016 data)</w:t>
        </w:r>
        <w:r w:rsidR="000A070A">
          <w:rPr>
            <w:noProof/>
            <w:webHidden/>
          </w:rPr>
          <w:tab/>
        </w:r>
        <w:r w:rsidR="000A070A">
          <w:rPr>
            <w:noProof/>
            <w:webHidden/>
          </w:rPr>
          <w:fldChar w:fldCharType="begin"/>
        </w:r>
        <w:r w:rsidR="000A070A">
          <w:rPr>
            <w:noProof/>
            <w:webHidden/>
          </w:rPr>
          <w:instrText xml:space="preserve"> PAGEREF _Toc495416371 \h </w:instrText>
        </w:r>
        <w:r w:rsidR="000A070A">
          <w:rPr>
            <w:noProof/>
            <w:webHidden/>
          </w:rPr>
        </w:r>
        <w:r w:rsidR="000A070A">
          <w:rPr>
            <w:noProof/>
            <w:webHidden/>
          </w:rPr>
          <w:fldChar w:fldCharType="separate"/>
        </w:r>
        <w:r w:rsidR="00CB1545">
          <w:rPr>
            <w:noProof/>
            <w:webHidden/>
          </w:rPr>
          <w:t>173</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72" w:history="1">
        <w:r w:rsidR="000A070A" w:rsidRPr="001934B2">
          <w:rPr>
            <w:rStyle w:val="Hyperlink"/>
            <w:noProof/>
          </w:rPr>
          <w:t>Table 8.5: Current &amp; Proposed Average Subsidies by Organisation Type and R-ACFI Domain (30 June 2016 data)</w:t>
        </w:r>
        <w:r w:rsidR="000A070A">
          <w:rPr>
            <w:noProof/>
            <w:webHidden/>
          </w:rPr>
          <w:tab/>
        </w:r>
        <w:r w:rsidR="000A070A">
          <w:rPr>
            <w:noProof/>
            <w:webHidden/>
          </w:rPr>
          <w:fldChar w:fldCharType="begin"/>
        </w:r>
        <w:r w:rsidR="000A070A">
          <w:rPr>
            <w:noProof/>
            <w:webHidden/>
          </w:rPr>
          <w:instrText xml:space="preserve"> PAGEREF _Toc495416372 \h </w:instrText>
        </w:r>
        <w:r w:rsidR="000A070A">
          <w:rPr>
            <w:noProof/>
            <w:webHidden/>
          </w:rPr>
        </w:r>
        <w:r w:rsidR="000A070A">
          <w:rPr>
            <w:noProof/>
            <w:webHidden/>
          </w:rPr>
          <w:fldChar w:fldCharType="separate"/>
        </w:r>
        <w:r w:rsidR="00CB1545">
          <w:rPr>
            <w:noProof/>
            <w:webHidden/>
          </w:rPr>
          <w:t>173</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73" w:history="1">
        <w:r w:rsidR="000A070A" w:rsidRPr="001934B2">
          <w:rPr>
            <w:rStyle w:val="Hyperlink"/>
            <w:noProof/>
          </w:rPr>
          <w:t xml:space="preserve">Table 8.6: R-ACFI ADL Questions Weights </w:t>
        </w:r>
        <w:r w:rsidR="000A070A">
          <w:rPr>
            <w:noProof/>
            <w:webHidden/>
          </w:rPr>
          <w:tab/>
        </w:r>
        <w:r w:rsidR="000A070A">
          <w:rPr>
            <w:noProof/>
            <w:webHidden/>
          </w:rPr>
          <w:fldChar w:fldCharType="begin"/>
        </w:r>
        <w:r w:rsidR="000A070A">
          <w:rPr>
            <w:noProof/>
            <w:webHidden/>
          </w:rPr>
          <w:instrText xml:space="preserve"> PAGEREF _Toc495416373 \h </w:instrText>
        </w:r>
        <w:r w:rsidR="000A070A">
          <w:rPr>
            <w:noProof/>
            <w:webHidden/>
          </w:rPr>
        </w:r>
        <w:r w:rsidR="000A070A">
          <w:rPr>
            <w:noProof/>
            <w:webHidden/>
          </w:rPr>
          <w:fldChar w:fldCharType="separate"/>
        </w:r>
        <w:r w:rsidR="00CB1545">
          <w:rPr>
            <w:noProof/>
            <w:webHidden/>
          </w:rPr>
          <w:t>175</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74" w:history="1">
        <w:r w:rsidR="000A070A" w:rsidRPr="001934B2">
          <w:rPr>
            <w:rStyle w:val="Hyperlink"/>
            <w:noProof/>
          </w:rPr>
          <w:t>Table 8.7: R-ACFI ADL Payment Groups Compared with the Current ACFI</w:t>
        </w:r>
        <w:r w:rsidR="000A070A">
          <w:rPr>
            <w:noProof/>
            <w:webHidden/>
          </w:rPr>
          <w:tab/>
        </w:r>
        <w:r w:rsidR="000A070A">
          <w:rPr>
            <w:noProof/>
            <w:webHidden/>
          </w:rPr>
          <w:fldChar w:fldCharType="begin"/>
        </w:r>
        <w:r w:rsidR="000A070A">
          <w:rPr>
            <w:noProof/>
            <w:webHidden/>
          </w:rPr>
          <w:instrText xml:space="preserve"> PAGEREF _Toc495416374 \h </w:instrText>
        </w:r>
        <w:r w:rsidR="000A070A">
          <w:rPr>
            <w:noProof/>
            <w:webHidden/>
          </w:rPr>
        </w:r>
        <w:r w:rsidR="000A070A">
          <w:rPr>
            <w:noProof/>
            <w:webHidden/>
          </w:rPr>
          <w:fldChar w:fldCharType="separate"/>
        </w:r>
        <w:r w:rsidR="00CB1545">
          <w:rPr>
            <w:noProof/>
            <w:webHidden/>
          </w:rPr>
          <w:t>175</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75" w:history="1">
        <w:r w:rsidR="000A070A" w:rsidRPr="001934B2">
          <w:rPr>
            <w:rStyle w:val="Hyperlink"/>
            <w:noProof/>
          </w:rPr>
          <w:t>Table 8.8: R-ACFI ADL Payment Groups Compared with the Current ACFI</w:t>
        </w:r>
        <w:r w:rsidR="000A070A">
          <w:rPr>
            <w:noProof/>
            <w:webHidden/>
          </w:rPr>
          <w:tab/>
        </w:r>
        <w:r w:rsidR="000A070A">
          <w:rPr>
            <w:noProof/>
            <w:webHidden/>
          </w:rPr>
          <w:fldChar w:fldCharType="begin"/>
        </w:r>
        <w:r w:rsidR="000A070A">
          <w:rPr>
            <w:noProof/>
            <w:webHidden/>
          </w:rPr>
          <w:instrText xml:space="preserve"> PAGEREF _Toc495416375 \h </w:instrText>
        </w:r>
        <w:r w:rsidR="000A070A">
          <w:rPr>
            <w:noProof/>
            <w:webHidden/>
          </w:rPr>
        </w:r>
        <w:r w:rsidR="000A070A">
          <w:rPr>
            <w:noProof/>
            <w:webHidden/>
          </w:rPr>
          <w:fldChar w:fldCharType="separate"/>
        </w:r>
        <w:r w:rsidR="00CB1545">
          <w:rPr>
            <w:noProof/>
            <w:webHidden/>
          </w:rPr>
          <w:t>176</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76" w:history="1">
        <w:r w:rsidR="000A070A" w:rsidRPr="001934B2">
          <w:rPr>
            <w:rStyle w:val="Hyperlink"/>
            <w:noProof/>
          </w:rPr>
          <w:t>Table 8.9: Funding from the Depression Question</w:t>
        </w:r>
        <w:r w:rsidR="000A070A">
          <w:rPr>
            <w:noProof/>
            <w:webHidden/>
          </w:rPr>
          <w:tab/>
        </w:r>
        <w:r w:rsidR="000A070A">
          <w:rPr>
            <w:noProof/>
            <w:webHidden/>
          </w:rPr>
          <w:fldChar w:fldCharType="begin"/>
        </w:r>
        <w:r w:rsidR="000A070A">
          <w:rPr>
            <w:noProof/>
            <w:webHidden/>
          </w:rPr>
          <w:instrText xml:space="preserve"> PAGEREF _Toc495416376 \h </w:instrText>
        </w:r>
        <w:r w:rsidR="000A070A">
          <w:rPr>
            <w:noProof/>
            <w:webHidden/>
          </w:rPr>
        </w:r>
        <w:r w:rsidR="000A070A">
          <w:rPr>
            <w:noProof/>
            <w:webHidden/>
          </w:rPr>
          <w:fldChar w:fldCharType="separate"/>
        </w:r>
        <w:r w:rsidR="00CB1545">
          <w:rPr>
            <w:noProof/>
            <w:webHidden/>
          </w:rPr>
          <w:t>178</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77" w:history="1">
        <w:r w:rsidR="000A070A" w:rsidRPr="001934B2">
          <w:rPr>
            <w:rStyle w:val="Hyperlink"/>
            <w:noProof/>
          </w:rPr>
          <w:t>Table 8.10: R-ACFI Cognitive Skills Rating</w:t>
        </w:r>
        <w:r w:rsidR="000A070A">
          <w:rPr>
            <w:noProof/>
            <w:webHidden/>
          </w:rPr>
          <w:tab/>
        </w:r>
        <w:r w:rsidR="000A070A">
          <w:rPr>
            <w:noProof/>
            <w:webHidden/>
          </w:rPr>
          <w:fldChar w:fldCharType="begin"/>
        </w:r>
        <w:r w:rsidR="000A070A">
          <w:rPr>
            <w:noProof/>
            <w:webHidden/>
          </w:rPr>
          <w:instrText xml:space="preserve"> PAGEREF _Toc495416377 \h </w:instrText>
        </w:r>
        <w:r w:rsidR="000A070A">
          <w:rPr>
            <w:noProof/>
            <w:webHidden/>
          </w:rPr>
        </w:r>
        <w:r w:rsidR="000A070A">
          <w:rPr>
            <w:noProof/>
            <w:webHidden/>
          </w:rPr>
          <w:fldChar w:fldCharType="separate"/>
        </w:r>
        <w:r w:rsidR="00CB1545">
          <w:rPr>
            <w:noProof/>
            <w:webHidden/>
          </w:rPr>
          <w:t>178</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78" w:history="1">
        <w:r w:rsidR="000A070A" w:rsidRPr="001934B2">
          <w:rPr>
            <w:rStyle w:val="Hyperlink"/>
            <w:noProof/>
          </w:rPr>
          <w:t>Table 8.11: R-ACFI Behaviour Domain Matrix</w:t>
        </w:r>
        <w:r w:rsidR="000A070A">
          <w:rPr>
            <w:noProof/>
            <w:webHidden/>
          </w:rPr>
          <w:tab/>
        </w:r>
        <w:r w:rsidR="000A070A">
          <w:rPr>
            <w:noProof/>
            <w:webHidden/>
          </w:rPr>
          <w:fldChar w:fldCharType="begin"/>
        </w:r>
        <w:r w:rsidR="000A070A">
          <w:rPr>
            <w:noProof/>
            <w:webHidden/>
          </w:rPr>
          <w:instrText xml:space="preserve"> PAGEREF _Toc495416378 \h </w:instrText>
        </w:r>
        <w:r w:rsidR="000A070A">
          <w:rPr>
            <w:noProof/>
            <w:webHidden/>
          </w:rPr>
        </w:r>
        <w:r w:rsidR="000A070A">
          <w:rPr>
            <w:noProof/>
            <w:webHidden/>
          </w:rPr>
          <w:fldChar w:fldCharType="separate"/>
        </w:r>
        <w:r w:rsidR="00CB1545">
          <w:rPr>
            <w:noProof/>
            <w:webHidden/>
          </w:rPr>
          <w:t>179</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79" w:history="1">
        <w:r w:rsidR="000A070A" w:rsidRPr="001934B2">
          <w:rPr>
            <w:rStyle w:val="Hyperlink"/>
            <w:noProof/>
          </w:rPr>
          <w:t>Table 8.12: R-ACFI Behaviour Domain Item Weights</w:t>
        </w:r>
        <w:r w:rsidR="000A070A">
          <w:rPr>
            <w:noProof/>
            <w:webHidden/>
          </w:rPr>
          <w:tab/>
        </w:r>
        <w:r w:rsidR="000A070A">
          <w:rPr>
            <w:noProof/>
            <w:webHidden/>
          </w:rPr>
          <w:fldChar w:fldCharType="begin"/>
        </w:r>
        <w:r w:rsidR="000A070A">
          <w:rPr>
            <w:noProof/>
            <w:webHidden/>
          </w:rPr>
          <w:instrText xml:space="preserve"> PAGEREF _Toc495416379 \h </w:instrText>
        </w:r>
        <w:r w:rsidR="000A070A">
          <w:rPr>
            <w:noProof/>
            <w:webHidden/>
          </w:rPr>
        </w:r>
        <w:r w:rsidR="000A070A">
          <w:rPr>
            <w:noProof/>
            <w:webHidden/>
          </w:rPr>
          <w:fldChar w:fldCharType="separate"/>
        </w:r>
        <w:r w:rsidR="00CB1545">
          <w:rPr>
            <w:noProof/>
            <w:webHidden/>
          </w:rPr>
          <w:t>179</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80" w:history="1">
        <w:r w:rsidR="000A070A" w:rsidRPr="001934B2">
          <w:rPr>
            <w:rStyle w:val="Hyperlink"/>
            <w:noProof/>
          </w:rPr>
          <w:t>Table 8.13: R-ACFI Behaviour Domain Payment Groups Compared with the Current ACFI</w:t>
        </w:r>
        <w:r w:rsidR="000A070A">
          <w:rPr>
            <w:noProof/>
            <w:webHidden/>
          </w:rPr>
          <w:tab/>
        </w:r>
        <w:r w:rsidR="000A070A">
          <w:rPr>
            <w:noProof/>
            <w:webHidden/>
          </w:rPr>
          <w:fldChar w:fldCharType="begin"/>
        </w:r>
        <w:r w:rsidR="000A070A">
          <w:rPr>
            <w:noProof/>
            <w:webHidden/>
          </w:rPr>
          <w:instrText xml:space="preserve"> PAGEREF _Toc495416380 \h </w:instrText>
        </w:r>
        <w:r w:rsidR="000A070A">
          <w:rPr>
            <w:noProof/>
            <w:webHidden/>
          </w:rPr>
        </w:r>
        <w:r w:rsidR="000A070A">
          <w:rPr>
            <w:noProof/>
            <w:webHidden/>
          </w:rPr>
          <w:fldChar w:fldCharType="separate"/>
        </w:r>
        <w:r w:rsidR="00CB1545">
          <w:rPr>
            <w:noProof/>
            <w:webHidden/>
          </w:rPr>
          <w:t>179</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81" w:history="1">
        <w:r w:rsidR="000A070A" w:rsidRPr="001934B2">
          <w:rPr>
            <w:rStyle w:val="Hyperlink"/>
            <w:noProof/>
          </w:rPr>
          <w:t>Table 8.14: R-ACFI Behaviour Domain Payment Groups Compared with the Current ACFI</w:t>
        </w:r>
        <w:r w:rsidR="000A070A">
          <w:rPr>
            <w:noProof/>
            <w:webHidden/>
          </w:rPr>
          <w:tab/>
        </w:r>
        <w:r w:rsidR="000A070A">
          <w:rPr>
            <w:noProof/>
            <w:webHidden/>
          </w:rPr>
          <w:fldChar w:fldCharType="begin"/>
        </w:r>
        <w:r w:rsidR="000A070A">
          <w:rPr>
            <w:noProof/>
            <w:webHidden/>
          </w:rPr>
          <w:instrText xml:space="preserve"> PAGEREF _Toc495416381 \h </w:instrText>
        </w:r>
        <w:r w:rsidR="000A070A">
          <w:rPr>
            <w:noProof/>
            <w:webHidden/>
          </w:rPr>
        </w:r>
        <w:r w:rsidR="000A070A">
          <w:rPr>
            <w:noProof/>
            <w:webHidden/>
          </w:rPr>
          <w:fldChar w:fldCharType="separate"/>
        </w:r>
        <w:r w:rsidR="00CB1545">
          <w:rPr>
            <w:noProof/>
            <w:webHidden/>
          </w:rPr>
          <w:t>180</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82" w:history="1">
        <w:r w:rsidR="000A070A" w:rsidRPr="001934B2">
          <w:rPr>
            <w:rStyle w:val="Hyperlink"/>
            <w:noProof/>
          </w:rPr>
          <w:t xml:space="preserve">Table 8.15: </w:t>
        </w:r>
        <w:r w:rsidR="000A070A" w:rsidRPr="001934B2">
          <w:rPr>
            <w:rStyle w:val="Hyperlink"/>
            <w:noProof/>
            <w:lang w:val="en-US"/>
          </w:rPr>
          <w:t>Recoding ACFI 2016-16 Data to R-ACFI for Financial Modelling</w:t>
        </w:r>
        <w:r w:rsidR="000A070A">
          <w:rPr>
            <w:noProof/>
            <w:webHidden/>
          </w:rPr>
          <w:tab/>
        </w:r>
        <w:r w:rsidR="000A070A">
          <w:rPr>
            <w:noProof/>
            <w:webHidden/>
          </w:rPr>
          <w:fldChar w:fldCharType="begin"/>
        </w:r>
        <w:r w:rsidR="000A070A">
          <w:rPr>
            <w:noProof/>
            <w:webHidden/>
          </w:rPr>
          <w:instrText xml:space="preserve"> PAGEREF _Toc495416382 \h </w:instrText>
        </w:r>
        <w:r w:rsidR="000A070A">
          <w:rPr>
            <w:noProof/>
            <w:webHidden/>
          </w:rPr>
        </w:r>
        <w:r w:rsidR="000A070A">
          <w:rPr>
            <w:noProof/>
            <w:webHidden/>
          </w:rPr>
          <w:fldChar w:fldCharType="separate"/>
        </w:r>
        <w:r w:rsidR="00CB1545">
          <w:rPr>
            <w:noProof/>
            <w:webHidden/>
          </w:rPr>
          <w:t>183</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83" w:history="1">
        <w:r w:rsidR="000A070A" w:rsidRPr="001934B2">
          <w:rPr>
            <w:rStyle w:val="Hyperlink"/>
            <w:noProof/>
          </w:rPr>
          <w:t>Table 8.16: R-ACFI Complex Health Care Payment Groups Compared with the Current ACFI</w:t>
        </w:r>
        <w:r w:rsidR="000A070A">
          <w:rPr>
            <w:noProof/>
            <w:webHidden/>
          </w:rPr>
          <w:tab/>
        </w:r>
        <w:r w:rsidR="000A070A">
          <w:rPr>
            <w:noProof/>
            <w:webHidden/>
          </w:rPr>
          <w:fldChar w:fldCharType="begin"/>
        </w:r>
        <w:r w:rsidR="000A070A">
          <w:rPr>
            <w:noProof/>
            <w:webHidden/>
          </w:rPr>
          <w:instrText xml:space="preserve"> PAGEREF _Toc495416383 \h </w:instrText>
        </w:r>
        <w:r w:rsidR="000A070A">
          <w:rPr>
            <w:noProof/>
            <w:webHidden/>
          </w:rPr>
        </w:r>
        <w:r w:rsidR="000A070A">
          <w:rPr>
            <w:noProof/>
            <w:webHidden/>
          </w:rPr>
          <w:fldChar w:fldCharType="separate"/>
        </w:r>
        <w:r w:rsidR="00CB1545">
          <w:rPr>
            <w:noProof/>
            <w:webHidden/>
          </w:rPr>
          <w:t>183</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84" w:history="1">
        <w:r w:rsidR="000A070A" w:rsidRPr="001934B2">
          <w:rPr>
            <w:rStyle w:val="Hyperlink"/>
            <w:noProof/>
          </w:rPr>
          <w:t>Table 8.17: R-ACFI Payment Groups Compared with the Current ACFI</w:t>
        </w:r>
        <w:r w:rsidR="000A070A">
          <w:rPr>
            <w:noProof/>
            <w:webHidden/>
          </w:rPr>
          <w:tab/>
        </w:r>
        <w:r w:rsidR="000A070A">
          <w:rPr>
            <w:noProof/>
            <w:webHidden/>
          </w:rPr>
          <w:fldChar w:fldCharType="begin"/>
        </w:r>
        <w:r w:rsidR="000A070A">
          <w:rPr>
            <w:noProof/>
            <w:webHidden/>
          </w:rPr>
          <w:instrText xml:space="preserve"> PAGEREF _Toc495416384 \h </w:instrText>
        </w:r>
        <w:r w:rsidR="000A070A">
          <w:rPr>
            <w:noProof/>
            <w:webHidden/>
          </w:rPr>
        </w:r>
        <w:r w:rsidR="000A070A">
          <w:rPr>
            <w:noProof/>
            <w:webHidden/>
          </w:rPr>
          <w:fldChar w:fldCharType="separate"/>
        </w:r>
        <w:r w:rsidR="00CB1545">
          <w:rPr>
            <w:noProof/>
            <w:webHidden/>
          </w:rPr>
          <w:t>184</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85" w:history="1">
        <w:r w:rsidR="000A070A" w:rsidRPr="001934B2">
          <w:rPr>
            <w:rStyle w:val="Hyperlink"/>
            <w:noProof/>
          </w:rPr>
          <w:t>Table 8.18: R-ACFI Payment Groups Compared with the Current ACFI</w:t>
        </w:r>
        <w:r w:rsidR="000A070A">
          <w:rPr>
            <w:noProof/>
            <w:webHidden/>
          </w:rPr>
          <w:tab/>
        </w:r>
        <w:r w:rsidR="000A070A">
          <w:rPr>
            <w:noProof/>
            <w:webHidden/>
          </w:rPr>
          <w:fldChar w:fldCharType="begin"/>
        </w:r>
        <w:r w:rsidR="000A070A">
          <w:rPr>
            <w:noProof/>
            <w:webHidden/>
          </w:rPr>
          <w:instrText xml:space="preserve"> PAGEREF _Toc495416385 \h </w:instrText>
        </w:r>
        <w:r w:rsidR="000A070A">
          <w:rPr>
            <w:noProof/>
            <w:webHidden/>
          </w:rPr>
        </w:r>
        <w:r w:rsidR="000A070A">
          <w:rPr>
            <w:noProof/>
            <w:webHidden/>
          </w:rPr>
          <w:fldChar w:fldCharType="separate"/>
        </w:r>
        <w:r w:rsidR="00CB1545">
          <w:rPr>
            <w:noProof/>
            <w:webHidden/>
          </w:rPr>
          <w:t>185</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386" w:history="1">
        <w:r w:rsidR="000A070A" w:rsidRPr="001934B2">
          <w:rPr>
            <w:rStyle w:val="Hyperlink"/>
            <w:noProof/>
          </w:rPr>
          <w:t>Table 8.19: R-ACFI at a glance</w:t>
        </w:r>
        <w:r w:rsidR="000A070A">
          <w:rPr>
            <w:noProof/>
            <w:webHidden/>
          </w:rPr>
          <w:tab/>
        </w:r>
        <w:r w:rsidR="000A070A">
          <w:rPr>
            <w:noProof/>
            <w:webHidden/>
          </w:rPr>
          <w:fldChar w:fldCharType="begin"/>
        </w:r>
        <w:r w:rsidR="000A070A">
          <w:rPr>
            <w:noProof/>
            <w:webHidden/>
          </w:rPr>
          <w:instrText xml:space="preserve"> PAGEREF _Toc495416386 \h </w:instrText>
        </w:r>
        <w:r w:rsidR="000A070A">
          <w:rPr>
            <w:noProof/>
            <w:webHidden/>
          </w:rPr>
        </w:r>
        <w:r w:rsidR="000A070A">
          <w:rPr>
            <w:noProof/>
            <w:webHidden/>
          </w:rPr>
          <w:fldChar w:fldCharType="separate"/>
        </w:r>
        <w:r w:rsidR="00CB1545">
          <w:rPr>
            <w:noProof/>
            <w:webHidden/>
          </w:rPr>
          <w:t>187</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414" w:history="1">
        <w:r w:rsidR="000A070A" w:rsidRPr="001273DA">
          <w:rPr>
            <w:rStyle w:val="Hyperlink"/>
            <w:noProof/>
          </w:rPr>
          <w:t>Table 8.19a: R-ACFI at a glance (Activities of Daily Living Domain)</w:t>
        </w:r>
        <w:r w:rsidR="000A070A">
          <w:rPr>
            <w:noProof/>
            <w:webHidden/>
          </w:rPr>
          <w:tab/>
        </w:r>
        <w:r w:rsidR="000A070A">
          <w:rPr>
            <w:noProof/>
            <w:webHidden/>
          </w:rPr>
          <w:fldChar w:fldCharType="begin"/>
        </w:r>
        <w:r w:rsidR="000A070A">
          <w:rPr>
            <w:noProof/>
            <w:webHidden/>
          </w:rPr>
          <w:instrText xml:space="preserve"> PAGEREF _Toc495416414 \h </w:instrText>
        </w:r>
        <w:r w:rsidR="000A070A">
          <w:rPr>
            <w:noProof/>
            <w:webHidden/>
          </w:rPr>
        </w:r>
        <w:r w:rsidR="000A070A">
          <w:rPr>
            <w:noProof/>
            <w:webHidden/>
          </w:rPr>
          <w:fldChar w:fldCharType="separate"/>
        </w:r>
        <w:r w:rsidR="00CB1545">
          <w:rPr>
            <w:noProof/>
            <w:webHidden/>
          </w:rPr>
          <w:t>188</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415" w:history="1">
        <w:r w:rsidR="000A070A" w:rsidRPr="001273DA">
          <w:rPr>
            <w:rStyle w:val="Hyperlink"/>
            <w:noProof/>
          </w:rPr>
          <w:t>Table 8.19b: R-ACFI at a glance (Behaviour Domain)</w:t>
        </w:r>
        <w:r w:rsidR="000A070A">
          <w:rPr>
            <w:noProof/>
            <w:webHidden/>
          </w:rPr>
          <w:tab/>
        </w:r>
        <w:r w:rsidR="000A070A">
          <w:rPr>
            <w:noProof/>
            <w:webHidden/>
          </w:rPr>
          <w:fldChar w:fldCharType="begin"/>
        </w:r>
        <w:r w:rsidR="000A070A">
          <w:rPr>
            <w:noProof/>
            <w:webHidden/>
          </w:rPr>
          <w:instrText xml:space="preserve"> PAGEREF _Toc495416415 \h </w:instrText>
        </w:r>
        <w:r w:rsidR="000A070A">
          <w:rPr>
            <w:noProof/>
            <w:webHidden/>
          </w:rPr>
        </w:r>
        <w:r w:rsidR="000A070A">
          <w:rPr>
            <w:noProof/>
            <w:webHidden/>
          </w:rPr>
          <w:fldChar w:fldCharType="separate"/>
        </w:r>
        <w:r w:rsidR="00CB1545">
          <w:rPr>
            <w:noProof/>
            <w:webHidden/>
          </w:rPr>
          <w:t>188</w:t>
        </w:r>
        <w:r w:rsidR="000A070A">
          <w:rPr>
            <w:noProof/>
            <w:webHidden/>
          </w:rPr>
          <w:fldChar w:fldCharType="end"/>
        </w:r>
      </w:hyperlink>
    </w:p>
    <w:p w:rsidR="000A070A" w:rsidRDefault="00473246" w:rsidP="00E533FD">
      <w:pPr>
        <w:pStyle w:val="TableofFigures"/>
        <w:tabs>
          <w:tab w:val="right" w:leader="dot" w:pos="9016"/>
        </w:tabs>
        <w:spacing w:before="60" w:after="60"/>
        <w:jc w:val="left"/>
        <w:rPr>
          <w:rFonts w:eastAsiaTheme="minorEastAsia"/>
          <w:noProof/>
          <w:sz w:val="22"/>
          <w:lang w:eastAsia="en-AU"/>
        </w:rPr>
      </w:pPr>
      <w:hyperlink w:anchor="_Toc495416416" w:history="1">
        <w:r w:rsidR="000A070A" w:rsidRPr="001273DA">
          <w:rPr>
            <w:rStyle w:val="Hyperlink"/>
            <w:noProof/>
          </w:rPr>
          <w:t>Table 8.19c: R-ACFI at a glance (Complex Health Care Domain)</w:t>
        </w:r>
        <w:r w:rsidR="000A070A">
          <w:rPr>
            <w:noProof/>
            <w:webHidden/>
          </w:rPr>
          <w:tab/>
        </w:r>
        <w:r w:rsidR="000A070A">
          <w:rPr>
            <w:noProof/>
            <w:webHidden/>
          </w:rPr>
          <w:fldChar w:fldCharType="begin"/>
        </w:r>
        <w:r w:rsidR="000A070A">
          <w:rPr>
            <w:noProof/>
            <w:webHidden/>
          </w:rPr>
          <w:instrText xml:space="preserve"> PAGEREF _Toc495416416 \h </w:instrText>
        </w:r>
        <w:r w:rsidR="000A070A">
          <w:rPr>
            <w:noProof/>
            <w:webHidden/>
          </w:rPr>
        </w:r>
        <w:r w:rsidR="000A070A">
          <w:rPr>
            <w:noProof/>
            <w:webHidden/>
          </w:rPr>
          <w:fldChar w:fldCharType="separate"/>
        </w:r>
        <w:r w:rsidR="00CB1545">
          <w:rPr>
            <w:noProof/>
            <w:webHidden/>
          </w:rPr>
          <w:t>188</w:t>
        </w:r>
        <w:r w:rsidR="000A070A">
          <w:rPr>
            <w:noProof/>
            <w:webHidden/>
          </w:rPr>
          <w:fldChar w:fldCharType="end"/>
        </w:r>
      </w:hyperlink>
    </w:p>
    <w:p w:rsidR="005C79DF" w:rsidRDefault="005C79DF" w:rsidP="00E533FD">
      <w:pPr>
        <w:pStyle w:val="TableofFigures"/>
        <w:tabs>
          <w:tab w:val="right" w:leader="dot" w:pos="9016"/>
        </w:tabs>
        <w:spacing w:before="60" w:after="60"/>
        <w:jc w:val="left"/>
        <w:rPr>
          <w:rFonts w:eastAsiaTheme="minorEastAsia"/>
          <w:noProof/>
          <w:sz w:val="22"/>
          <w:lang w:eastAsia="en-AU"/>
        </w:rPr>
      </w:pPr>
      <w:r>
        <w:fldChar w:fldCharType="begin"/>
      </w:r>
      <w:r>
        <w:instrText xml:space="preserve"> TOC \h \z \c "Table 9." </w:instrText>
      </w:r>
      <w:r>
        <w:fldChar w:fldCharType="separate"/>
      </w:r>
      <w:hyperlink w:anchor="_Toc495416845" w:history="1">
        <w:r w:rsidRPr="00716EB3">
          <w:rPr>
            <w:rStyle w:val="Hyperlink"/>
            <w:noProof/>
          </w:rPr>
          <w:t>Table 9.1: Average subsidies for provider types as proportions of the maximum subsidy</w:t>
        </w:r>
        <w:r>
          <w:rPr>
            <w:noProof/>
            <w:webHidden/>
          </w:rPr>
          <w:tab/>
        </w:r>
        <w:r>
          <w:rPr>
            <w:noProof/>
            <w:webHidden/>
          </w:rPr>
          <w:fldChar w:fldCharType="begin"/>
        </w:r>
        <w:r>
          <w:rPr>
            <w:noProof/>
            <w:webHidden/>
          </w:rPr>
          <w:instrText xml:space="preserve"> PAGEREF _Toc495416845 \h </w:instrText>
        </w:r>
        <w:r>
          <w:rPr>
            <w:noProof/>
            <w:webHidden/>
          </w:rPr>
        </w:r>
        <w:r>
          <w:rPr>
            <w:noProof/>
            <w:webHidden/>
          </w:rPr>
          <w:fldChar w:fldCharType="separate"/>
        </w:r>
        <w:r w:rsidR="00CB1545">
          <w:rPr>
            <w:noProof/>
            <w:webHidden/>
          </w:rPr>
          <w:t>189</w:t>
        </w:r>
        <w:r>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46" w:history="1">
        <w:r w:rsidR="005C79DF" w:rsidRPr="00716EB3">
          <w:rPr>
            <w:rStyle w:val="Hyperlink"/>
            <w:noProof/>
          </w:rPr>
          <w:t>Table 9.2: ACFI ADL Domain Assistance Checklist Items showing growth</w:t>
        </w:r>
        <w:r w:rsidR="005C79DF">
          <w:rPr>
            <w:noProof/>
            <w:webHidden/>
          </w:rPr>
          <w:tab/>
        </w:r>
        <w:r w:rsidR="005C79DF">
          <w:rPr>
            <w:noProof/>
            <w:webHidden/>
          </w:rPr>
          <w:fldChar w:fldCharType="begin"/>
        </w:r>
        <w:r w:rsidR="005C79DF">
          <w:rPr>
            <w:noProof/>
            <w:webHidden/>
          </w:rPr>
          <w:instrText xml:space="preserve"> PAGEREF _Toc495416846 \h </w:instrText>
        </w:r>
        <w:r w:rsidR="005C79DF">
          <w:rPr>
            <w:noProof/>
            <w:webHidden/>
          </w:rPr>
        </w:r>
        <w:r w:rsidR="005C79DF">
          <w:rPr>
            <w:noProof/>
            <w:webHidden/>
          </w:rPr>
          <w:fldChar w:fldCharType="separate"/>
        </w:r>
        <w:r w:rsidR="00CB1545">
          <w:rPr>
            <w:noProof/>
            <w:webHidden/>
          </w:rPr>
          <w:t>191</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47" w:history="1">
        <w:r w:rsidR="005C79DF" w:rsidRPr="00716EB3">
          <w:rPr>
            <w:rStyle w:val="Hyperlink"/>
            <w:noProof/>
          </w:rPr>
          <w:t>Table 9.3: Mortality rates by provider type, 2009-10 to 2015-16</w:t>
        </w:r>
        <w:r w:rsidR="005C79DF">
          <w:rPr>
            <w:noProof/>
            <w:webHidden/>
          </w:rPr>
          <w:tab/>
        </w:r>
        <w:r w:rsidR="005C79DF">
          <w:rPr>
            <w:noProof/>
            <w:webHidden/>
          </w:rPr>
          <w:fldChar w:fldCharType="begin"/>
        </w:r>
        <w:r w:rsidR="005C79DF">
          <w:rPr>
            <w:noProof/>
            <w:webHidden/>
          </w:rPr>
          <w:instrText xml:space="preserve"> PAGEREF _Toc495416847 \h </w:instrText>
        </w:r>
        <w:r w:rsidR="005C79DF">
          <w:rPr>
            <w:noProof/>
            <w:webHidden/>
          </w:rPr>
        </w:r>
        <w:r w:rsidR="005C79DF">
          <w:rPr>
            <w:noProof/>
            <w:webHidden/>
          </w:rPr>
          <w:fldChar w:fldCharType="separate"/>
        </w:r>
        <w:r w:rsidR="00CB1545">
          <w:rPr>
            <w:noProof/>
            <w:webHidden/>
          </w:rPr>
          <w:t>192</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48" w:history="1">
        <w:r w:rsidR="005C79DF" w:rsidRPr="00716EB3">
          <w:rPr>
            <w:rStyle w:val="Hyperlink"/>
            <w:noProof/>
          </w:rPr>
          <w:t>Table 9.4: ACFI Appraisals (Assessments and Re-assessments)</w:t>
        </w:r>
        <w:r w:rsidR="005C79DF">
          <w:rPr>
            <w:noProof/>
            <w:webHidden/>
          </w:rPr>
          <w:tab/>
        </w:r>
        <w:r w:rsidR="005C79DF">
          <w:rPr>
            <w:noProof/>
            <w:webHidden/>
          </w:rPr>
          <w:fldChar w:fldCharType="begin"/>
        </w:r>
        <w:r w:rsidR="005C79DF">
          <w:rPr>
            <w:noProof/>
            <w:webHidden/>
          </w:rPr>
          <w:instrText xml:space="preserve"> PAGEREF _Toc495416848 \h </w:instrText>
        </w:r>
        <w:r w:rsidR="005C79DF">
          <w:rPr>
            <w:noProof/>
            <w:webHidden/>
          </w:rPr>
        </w:r>
        <w:r w:rsidR="005C79DF">
          <w:rPr>
            <w:noProof/>
            <w:webHidden/>
          </w:rPr>
          <w:fldChar w:fldCharType="separate"/>
        </w:r>
        <w:r w:rsidR="00CB1545">
          <w:rPr>
            <w:noProof/>
            <w:webHidden/>
          </w:rPr>
          <w:t>199</w:t>
        </w:r>
        <w:r w:rsidR="005C79DF">
          <w:rPr>
            <w:noProof/>
            <w:webHidden/>
          </w:rPr>
          <w:fldChar w:fldCharType="end"/>
        </w:r>
      </w:hyperlink>
    </w:p>
    <w:p w:rsidR="005C79DF" w:rsidRDefault="005C79DF" w:rsidP="00E533FD">
      <w:pPr>
        <w:pStyle w:val="TableofFigures"/>
        <w:tabs>
          <w:tab w:val="right" w:leader="dot" w:pos="9016"/>
        </w:tabs>
        <w:spacing w:before="60" w:after="60"/>
        <w:jc w:val="left"/>
        <w:rPr>
          <w:rFonts w:eastAsiaTheme="minorEastAsia"/>
          <w:noProof/>
          <w:sz w:val="22"/>
          <w:lang w:eastAsia="en-AU"/>
        </w:rPr>
      </w:pPr>
      <w:r>
        <w:fldChar w:fldCharType="end"/>
      </w:r>
      <w:hyperlink w:anchor="_Toc495416854" w:history="1">
        <w:r w:rsidRPr="002F6F62">
          <w:rPr>
            <w:rStyle w:val="Hyperlink"/>
            <w:noProof/>
          </w:rPr>
          <w:t>Table 10.1: Most Relevant International Residential Care Systems – New Zealand</w:t>
        </w:r>
        <w:r>
          <w:rPr>
            <w:noProof/>
            <w:webHidden/>
          </w:rPr>
          <w:tab/>
        </w:r>
        <w:r>
          <w:rPr>
            <w:noProof/>
            <w:webHidden/>
          </w:rPr>
          <w:fldChar w:fldCharType="begin"/>
        </w:r>
        <w:r>
          <w:rPr>
            <w:noProof/>
            <w:webHidden/>
          </w:rPr>
          <w:instrText xml:space="preserve"> PAGEREF _Toc495416854 \h </w:instrText>
        </w:r>
        <w:r>
          <w:rPr>
            <w:noProof/>
            <w:webHidden/>
          </w:rPr>
        </w:r>
        <w:r>
          <w:rPr>
            <w:noProof/>
            <w:webHidden/>
          </w:rPr>
          <w:fldChar w:fldCharType="separate"/>
        </w:r>
        <w:r w:rsidR="00CB1545">
          <w:rPr>
            <w:noProof/>
            <w:webHidden/>
          </w:rPr>
          <w:t>207</w:t>
        </w:r>
        <w:r>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55" w:history="1">
        <w:r w:rsidR="005C79DF" w:rsidRPr="002F6F62">
          <w:rPr>
            <w:rStyle w:val="Hyperlink"/>
            <w:noProof/>
          </w:rPr>
          <w:t>Table 10.2: Most Relevant International Residential Care Systems – Canada</w:t>
        </w:r>
        <w:r w:rsidR="005C79DF">
          <w:rPr>
            <w:noProof/>
            <w:webHidden/>
          </w:rPr>
          <w:tab/>
        </w:r>
        <w:r w:rsidR="005C79DF">
          <w:rPr>
            <w:noProof/>
            <w:webHidden/>
          </w:rPr>
          <w:fldChar w:fldCharType="begin"/>
        </w:r>
        <w:r w:rsidR="005C79DF">
          <w:rPr>
            <w:noProof/>
            <w:webHidden/>
          </w:rPr>
          <w:instrText xml:space="preserve"> PAGEREF _Toc495416855 \h </w:instrText>
        </w:r>
        <w:r w:rsidR="005C79DF">
          <w:rPr>
            <w:noProof/>
            <w:webHidden/>
          </w:rPr>
        </w:r>
        <w:r w:rsidR="005C79DF">
          <w:rPr>
            <w:noProof/>
            <w:webHidden/>
          </w:rPr>
          <w:fldChar w:fldCharType="separate"/>
        </w:r>
        <w:r w:rsidR="00CB1545">
          <w:rPr>
            <w:noProof/>
            <w:webHidden/>
          </w:rPr>
          <w:t>208</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56" w:history="1">
        <w:r w:rsidR="005C79DF" w:rsidRPr="002F6F62">
          <w:rPr>
            <w:rStyle w:val="Hyperlink"/>
            <w:noProof/>
          </w:rPr>
          <w:t>Table 10.3: Most Relevant International Residential Care Systems – United States of America (USA)</w:t>
        </w:r>
        <w:r w:rsidR="005C79DF">
          <w:rPr>
            <w:noProof/>
            <w:webHidden/>
          </w:rPr>
          <w:tab/>
        </w:r>
        <w:r w:rsidR="005C79DF">
          <w:rPr>
            <w:noProof/>
            <w:webHidden/>
          </w:rPr>
          <w:fldChar w:fldCharType="begin"/>
        </w:r>
        <w:r w:rsidR="005C79DF">
          <w:rPr>
            <w:noProof/>
            <w:webHidden/>
          </w:rPr>
          <w:instrText xml:space="preserve"> PAGEREF _Toc495416856 \h </w:instrText>
        </w:r>
        <w:r w:rsidR="005C79DF">
          <w:rPr>
            <w:noProof/>
            <w:webHidden/>
          </w:rPr>
        </w:r>
        <w:r w:rsidR="005C79DF">
          <w:rPr>
            <w:noProof/>
            <w:webHidden/>
          </w:rPr>
          <w:fldChar w:fldCharType="separate"/>
        </w:r>
        <w:r w:rsidR="00CB1545">
          <w:rPr>
            <w:noProof/>
            <w:webHidden/>
          </w:rPr>
          <w:t>209</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57" w:history="1">
        <w:r w:rsidR="005C79DF" w:rsidRPr="002F6F62">
          <w:rPr>
            <w:rStyle w:val="Hyperlink"/>
            <w:noProof/>
          </w:rPr>
          <w:t>Table 10.4: Most Relevant International Residential Care Systems – England</w:t>
        </w:r>
        <w:r w:rsidR="005C79DF">
          <w:rPr>
            <w:noProof/>
            <w:webHidden/>
          </w:rPr>
          <w:tab/>
        </w:r>
        <w:r w:rsidR="005C79DF">
          <w:rPr>
            <w:noProof/>
            <w:webHidden/>
          </w:rPr>
          <w:fldChar w:fldCharType="begin"/>
        </w:r>
        <w:r w:rsidR="005C79DF">
          <w:rPr>
            <w:noProof/>
            <w:webHidden/>
          </w:rPr>
          <w:instrText xml:space="preserve"> PAGEREF _Toc495416857 \h </w:instrText>
        </w:r>
        <w:r w:rsidR="005C79DF">
          <w:rPr>
            <w:noProof/>
            <w:webHidden/>
          </w:rPr>
        </w:r>
        <w:r w:rsidR="005C79DF">
          <w:rPr>
            <w:noProof/>
            <w:webHidden/>
          </w:rPr>
          <w:fldChar w:fldCharType="separate"/>
        </w:r>
        <w:r w:rsidR="00CB1545">
          <w:rPr>
            <w:noProof/>
            <w:webHidden/>
          </w:rPr>
          <w:t>210</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58" w:history="1">
        <w:r w:rsidR="005C79DF" w:rsidRPr="002F6F62">
          <w:rPr>
            <w:rStyle w:val="Hyperlink"/>
            <w:noProof/>
          </w:rPr>
          <w:t>Table 10.5: Numbers of ACFI appraisals and Department reviews (supplied ACFI data)</w:t>
        </w:r>
        <w:r w:rsidR="005C79DF">
          <w:rPr>
            <w:noProof/>
            <w:webHidden/>
          </w:rPr>
          <w:tab/>
        </w:r>
        <w:r w:rsidR="005C79DF">
          <w:rPr>
            <w:noProof/>
            <w:webHidden/>
          </w:rPr>
          <w:fldChar w:fldCharType="begin"/>
        </w:r>
        <w:r w:rsidR="005C79DF">
          <w:rPr>
            <w:noProof/>
            <w:webHidden/>
          </w:rPr>
          <w:instrText xml:space="preserve"> PAGEREF _Toc495416858 \h </w:instrText>
        </w:r>
        <w:r w:rsidR="005C79DF">
          <w:rPr>
            <w:noProof/>
            <w:webHidden/>
          </w:rPr>
        </w:r>
        <w:r w:rsidR="005C79DF">
          <w:rPr>
            <w:noProof/>
            <w:webHidden/>
          </w:rPr>
          <w:fldChar w:fldCharType="separate"/>
        </w:r>
        <w:r w:rsidR="00CB1545">
          <w:rPr>
            <w:noProof/>
            <w:webHidden/>
          </w:rPr>
          <w:t>213</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59" w:history="1">
        <w:r w:rsidR="005C79DF" w:rsidRPr="002F6F62">
          <w:rPr>
            <w:rStyle w:val="Hyperlink"/>
            <w:noProof/>
          </w:rPr>
          <w:t>Table 10.6: Chart of Department review rates from July 2015 to December 2016</w:t>
        </w:r>
        <w:r w:rsidR="005C79DF">
          <w:rPr>
            <w:noProof/>
            <w:webHidden/>
          </w:rPr>
          <w:tab/>
        </w:r>
        <w:r w:rsidR="005C79DF">
          <w:rPr>
            <w:noProof/>
            <w:webHidden/>
          </w:rPr>
          <w:fldChar w:fldCharType="begin"/>
        </w:r>
        <w:r w:rsidR="005C79DF">
          <w:rPr>
            <w:noProof/>
            <w:webHidden/>
          </w:rPr>
          <w:instrText xml:space="preserve"> PAGEREF _Toc495416859 \h </w:instrText>
        </w:r>
        <w:r w:rsidR="005C79DF">
          <w:rPr>
            <w:noProof/>
            <w:webHidden/>
          </w:rPr>
        </w:r>
        <w:r w:rsidR="005C79DF">
          <w:rPr>
            <w:noProof/>
            <w:webHidden/>
          </w:rPr>
          <w:fldChar w:fldCharType="separate"/>
        </w:r>
        <w:r w:rsidR="00CB1545">
          <w:rPr>
            <w:noProof/>
            <w:webHidden/>
          </w:rPr>
          <w:t>214</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60" w:history="1">
        <w:r w:rsidR="005C79DF" w:rsidRPr="002F6F62">
          <w:rPr>
            <w:rStyle w:val="Hyperlink"/>
            <w:noProof/>
          </w:rPr>
          <w:t>Table 10.7: ACFI Review Statistics from 2009 to 2016</w:t>
        </w:r>
        <w:r w:rsidR="005C79DF">
          <w:rPr>
            <w:noProof/>
            <w:webHidden/>
          </w:rPr>
          <w:tab/>
        </w:r>
        <w:r w:rsidR="005C79DF">
          <w:rPr>
            <w:noProof/>
            <w:webHidden/>
          </w:rPr>
          <w:fldChar w:fldCharType="begin"/>
        </w:r>
        <w:r w:rsidR="005C79DF">
          <w:rPr>
            <w:noProof/>
            <w:webHidden/>
          </w:rPr>
          <w:instrText xml:space="preserve"> PAGEREF _Toc495416860 \h </w:instrText>
        </w:r>
        <w:r w:rsidR="005C79DF">
          <w:rPr>
            <w:noProof/>
            <w:webHidden/>
          </w:rPr>
        </w:r>
        <w:r w:rsidR="005C79DF">
          <w:rPr>
            <w:noProof/>
            <w:webHidden/>
          </w:rPr>
          <w:fldChar w:fldCharType="separate"/>
        </w:r>
        <w:r w:rsidR="00CB1545">
          <w:rPr>
            <w:noProof/>
            <w:webHidden/>
          </w:rPr>
          <w:t>215</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61" w:history="1">
        <w:r w:rsidR="005C79DF" w:rsidRPr="00512AEB">
          <w:rPr>
            <w:rStyle w:val="Hyperlink"/>
            <w:noProof/>
          </w:rPr>
          <w:t>Table 11.1: Option 1 Summary – Modified Current Audit Model</w:t>
        </w:r>
        <w:r w:rsidR="005C79DF">
          <w:rPr>
            <w:noProof/>
            <w:webHidden/>
          </w:rPr>
          <w:tab/>
        </w:r>
        <w:r w:rsidR="005C79DF">
          <w:rPr>
            <w:noProof/>
            <w:webHidden/>
          </w:rPr>
          <w:fldChar w:fldCharType="begin"/>
        </w:r>
        <w:r w:rsidR="005C79DF">
          <w:rPr>
            <w:noProof/>
            <w:webHidden/>
          </w:rPr>
          <w:instrText xml:space="preserve"> PAGEREF _Toc495416861 \h </w:instrText>
        </w:r>
        <w:r w:rsidR="005C79DF">
          <w:rPr>
            <w:noProof/>
            <w:webHidden/>
          </w:rPr>
        </w:r>
        <w:r w:rsidR="005C79DF">
          <w:rPr>
            <w:noProof/>
            <w:webHidden/>
          </w:rPr>
          <w:fldChar w:fldCharType="separate"/>
        </w:r>
        <w:r w:rsidR="00CB1545">
          <w:rPr>
            <w:noProof/>
            <w:webHidden/>
          </w:rPr>
          <w:t>220</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62" w:history="1">
        <w:r w:rsidR="005C79DF" w:rsidRPr="00512AEB">
          <w:rPr>
            <w:rStyle w:val="Hyperlink"/>
            <w:noProof/>
          </w:rPr>
          <w:t>Table 11.2: Option 1. Provider Self-Assessment and Modified Department Audit Model Summary</w:t>
        </w:r>
        <w:r w:rsidR="005C79DF">
          <w:rPr>
            <w:noProof/>
            <w:webHidden/>
          </w:rPr>
          <w:tab/>
        </w:r>
        <w:r w:rsidR="005C79DF">
          <w:rPr>
            <w:noProof/>
            <w:webHidden/>
          </w:rPr>
          <w:fldChar w:fldCharType="begin"/>
        </w:r>
        <w:r w:rsidR="005C79DF">
          <w:rPr>
            <w:noProof/>
            <w:webHidden/>
          </w:rPr>
          <w:instrText xml:space="preserve"> PAGEREF _Toc495416862 \h </w:instrText>
        </w:r>
        <w:r w:rsidR="005C79DF">
          <w:rPr>
            <w:noProof/>
            <w:webHidden/>
          </w:rPr>
        </w:r>
        <w:r w:rsidR="005C79DF">
          <w:rPr>
            <w:noProof/>
            <w:webHidden/>
          </w:rPr>
          <w:fldChar w:fldCharType="separate"/>
        </w:r>
        <w:r w:rsidR="00CB1545">
          <w:rPr>
            <w:noProof/>
            <w:webHidden/>
          </w:rPr>
          <w:t>222</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63" w:history="1">
        <w:r w:rsidR="005C79DF" w:rsidRPr="00512AEB">
          <w:rPr>
            <w:rStyle w:val="Hyperlink"/>
            <w:noProof/>
          </w:rPr>
          <w:t>Table 11.3: External Assessment - Provider Considerations &amp; Issues</w:t>
        </w:r>
        <w:r w:rsidR="005C79DF">
          <w:rPr>
            <w:noProof/>
            <w:webHidden/>
          </w:rPr>
          <w:tab/>
        </w:r>
        <w:r w:rsidR="005C79DF">
          <w:rPr>
            <w:noProof/>
            <w:webHidden/>
          </w:rPr>
          <w:fldChar w:fldCharType="begin"/>
        </w:r>
        <w:r w:rsidR="005C79DF">
          <w:rPr>
            <w:noProof/>
            <w:webHidden/>
          </w:rPr>
          <w:instrText xml:space="preserve"> PAGEREF _Toc495416863 \h </w:instrText>
        </w:r>
        <w:r w:rsidR="005C79DF">
          <w:rPr>
            <w:noProof/>
            <w:webHidden/>
          </w:rPr>
        </w:r>
        <w:r w:rsidR="005C79DF">
          <w:rPr>
            <w:noProof/>
            <w:webHidden/>
          </w:rPr>
          <w:fldChar w:fldCharType="separate"/>
        </w:r>
        <w:r w:rsidR="00CB1545">
          <w:rPr>
            <w:noProof/>
            <w:webHidden/>
          </w:rPr>
          <w:t>224</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64" w:history="1">
        <w:r w:rsidR="005C79DF" w:rsidRPr="00512AEB">
          <w:rPr>
            <w:rStyle w:val="Hyperlink"/>
            <w:noProof/>
          </w:rPr>
          <w:t>Table 11.4: External Funding Determination – Departmental Considerations &amp; Issues</w:t>
        </w:r>
        <w:r w:rsidR="005C79DF">
          <w:rPr>
            <w:noProof/>
            <w:webHidden/>
          </w:rPr>
          <w:tab/>
        </w:r>
        <w:r w:rsidR="005C79DF">
          <w:rPr>
            <w:noProof/>
            <w:webHidden/>
          </w:rPr>
          <w:fldChar w:fldCharType="begin"/>
        </w:r>
        <w:r w:rsidR="005C79DF">
          <w:rPr>
            <w:noProof/>
            <w:webHidden/>
          </w:rPr>
          <w:instrText xml:space="preserve"> PAGEREF _Toc495416864 \h </w:instrText>
        </w:r>
        <w:r w:rsidR="005C79DF">
          <w:rPr>
            <w:noProof/>
            <w:webHidden/>
          </w:rPr>
        </w:r>
        <w:r w:rsidR="005C79DF">
          <w:rPr>
            <w:noProof/>
            <w:webHidden/>
          </w:rPr>
          <w:fldChar w:fldCharType="separate"/>
        </w:r>
        <w:r w:rsidR="00CB1545">
          <w:rPr>
            <w:noProof/>
            <w:webHidden/>
          </w:rPr>
          <w:t>225</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65" w:history="1">
        <w:r w:rsidR="005C79DF" w:rsidRPr="00512AEB">
          <w:rPr>
            <w:rStyle w:val="Hyperlink"/>
            <w:noProof/>
          </w:rPr>
          <w:t>Table 11.5: ACAT External Assessor Option 2</w:t>
        </w:r>
        <w:r w:rsidR="005C79DF">
          <w:rPr>
            <w:noProof/>
            <w:webHidden/>
          </w:rPr>
          <w:tab/>
        </w:r>
        <w:r w:rsidR="005C79DF">
          <w:rPr>
            <w:noProof/>
            <w:webHidden/>
          </w:rPr>
          <w:fldChar w:fldCharType="begin"/>
        </w:r>
        <w:r w:rsidR="005C79DF">
          <w:rPr>
            <w:noProof/>
            <w:webHidden/>
          </w:rPr>
          <w:instrText xml:space="preserve"> PAGEREF _Toc495416865 \h </w:instrText>
        </w:r>
        <w:r w:rsidR="005C79DF">
          <w:rPr>
            <w:noProof/>
            <w:webHidden/>
          </w:rPr>
        </w:r>
        <w:r w:rsidR="005C79DF">
          <w:rPr>
            <w:noProof/>
            <w:webHidden/>
          </w:rPr>
          <w:fldChar w:fldCharType="separate"/>
        </w:r>
        <w:r w:rsidR="00CB1545">
          <w:rPr>
            <w:noProof/>
            <w:webHidden/>
          </w:rPr>
          <w:t>232</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66" w:history="1">
        <w:r w:rsidR="005C79DF" w:rsidRPr="00512AEB">
          <w:rPr>
            <w:rStyle w:val="Hyperlink"/>
            <w:noProof/>
          </w:rPr>
          <w:t>Table 11.6: Option 2: New Resident Funding Determination - ACAT External Assessor Process</w:t>
        </w:r>
        <w:r w:rsidR="005C79DF">
          <w:rPr>
            <w:noProof/>
            <w:webHidden/>
          </w:rPr>
          <w:tab/>
        </w:r>
        <w:r w:rsidR="005C79DF">
          <w:rPr>
            <w:noProof/>
            <w:webHidden/>
          </w:rPr>
          <w:fldChar w:fldCharType="begin"/>
        </w:r>
        <w:r w:rsidR="005C79DF">
          <w:rPr>
            <w:noProof/>
            <w:webHidden/>
          </w:rPr>
          <w:instrText xml:space="preserve"> PAGEREF _Toc495416866 \h </w:instrText>
        </w:r>
        <w:r w:rsidR="005C79DF">
          <w:rPr>
            <w:noProof/>
            <w:webHidden/>
          </w:rPr>
        </w:r>
        <w:r w:rsidR="005C79DF">
          <w:rPr>
            <w:noProof/>
            <w:webHidden/>
          </w:rPr>
          <w:fldChar w:fldCharType="separate"/>
        </w:r>
        <w:r w:rsidR="00CB1545">
          <w:rPr>
            <w:noProof/>
            <w:webHidden/>
          </w:rPr>
          <w:t>235</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67" w:history="1">
        <w:r w:rsidR="005C79DF" w:rsidRPr="00512AEB">
          <w:rPr>
            <w:rStyle w:val="Hyperlink"/>
            <w:noProof/>
          </w:rPr>
          <w:t>Table 11.7: Option 2: Provider Re-Appraisal Application Review – ACAT External Assessor Process</w:t>
        </w:r>
        <w:r w:rsidR="005C79DF">
          <w:rPr>
            <w:noProof/>
            <w:webHidden/>
          </w:rPr>
          <w:tab/>
        </w:r>
        <w:r w:rsidR="005C79DF">
          <w:rPr>
            <w:noProof/>
            <w:webHidden/>
          </w:rPr>
          <w:fldChar w:fldCharType="begin"/>
        </w:r>
        <w:r w:rsidR="005C79DF">
          <w:rPr>
            <w:noProof/>
            <w:webHidden/>
          </w:rPr>
          <w:instrText xml:space="preserve"> PAGEREF _Toc495416867 \h </w:instrText>
        </w:r>
        <w:r w:rsidR="005C79DF">
          <w:rPr>
            <w:noProof/>
            <w:webHidden/>
          </w:rPr>
        </w:r>
        <w:r w:rsidR="005C79DF">
          <w:rPr>
            <w:noProof/>
            <w:webHidden/>
          </w:rPr>
          <w:fldChar w:fldCharType="separate"/>
        </w:r>
        <w:r w:rsidR="00CB1545">
          <w:rPr>
            <w:noProof/>
            <w:webHidden/>
          </w:rPr>
          <w:t>236</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68" w:history="1">
        <w:r w:rsidR="005C79DF" w:rsidRPr="00512AEB">
          <w:rPr>
            <w:rStyle w:val="Hyperlink"/>
            <w:noProof/>
          </w:rPr>
          <w:t>Table 11.8: Option 3: SAA External Assessor</w:t>
        </w:r>
        <w:r w:rsidR="005C79DF">
          <w:rPr>
            <w:noProof/>
            <w:webHidden/>
          </w:rPr>
          <w:tab/>
        </w:r>
        <w:r w:rsidR="005C79DF">
          <w:rPr>
            <w:noProof/>
            <w:webHidden/>
          </w:rPr>
          <w:fldChar w:fldCharType="begin"/>
        </w:r>
        <w:r w:rsidR="005C79DF">
          <w:rPr>
            <w:noProof/>
            <w:webHidden/>
          </w:rPr>
          <w:instrText xml:space="preserve"> PAGEREF _Toc495416868 \h </w:instrText>
        </w:r>
        <w:r w:rsidR="005C79DF">
          <w:rPr>
            <w:noProof/>
            <w:webHidden/>
          </w:rPr>
        </w:r>
        <w:r w:rsidR="005C79DF">
          <w:rPr>
            <w:noProof/>
            <w:webHidden/>
          </w:rPr>
          <w:fldChar w:fldCharType="separate"/>
        </w:r>
        <w:r w:rsidR="00CB1545">
          <w:rPr>
            <w:noProof/>
            <w:webHidden/>
          </w:rPr>
          <w:t>238</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69" w:history="1">
        <w:r w:rsidR="005C79DF" w:rsidRPr="00512AEB">
          <w:rPr>
            <w:rStyle w:val="Hyperlink"/>
            <w:noProof/>
          </w:rPr>
          <w:t>Table 11.9: Option 3: New Resident Funding Determination – SAA Assessor Process</w:t>
        </w:r>
        <w:r w:rsidR="005C79DF">
          <w:rPr>
            <w:noProof/>
            <w:webHidden/>
          </w:rPr>
          <w:tab/>
        </w:r>
        <w:r w:rsidR="005C79DF">
          <w:rPr>
            <w:noProof/>
            <w:webHidden/>
          </w:rPr>
          <w:fldChar w:fldCharType="begin"/>
        </w:r>
        <w:r w:rsidR="005C79DF">
          <w:rPr>
            <w:noProof/>
            <w:webHidden/>
          </w:rPr>
          <w:instrText xml:space="preserve"> PAGEREF _Toc495416869 \h </w:instrText>
        </w:r>
        <w:r w:rsidR="005C79DF">
          <w:rPr>
            <w:noProof/>
            <w:webHidden/>
          </w:rPr>
        </w:r>
        <w:r w:rsidR="005C79DF">
          <w:rPr>
            <w:noProof/>
            <w:webHidden/>
          </w:rPr>
          <w:fldChar w:fldCharType="separate"/>
        </w:r>
        <w:r w:rsidR="00CB1545">
          <w:rPr>
            <w:noProof/>
            <w:webHidden/>
          </w:rPr>
          <w:t>242</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70" w:history="1">
        <w:r w:rsidR="005C79DF" w:rsidRPr="00512AEB">
          <w:rPr>
            <w:rStyle w:val="Hyperlink"/>
            <w:noProof/>
          </w:rPr>
          <w:t>Table 11.10: Option 3: Provider Re-Appraisal Application Review – Specialist Assessment Agency Assessor Process</w:t>
        </w:r>
        <w:r w:rsidR="005C79DF">
          <w:rPr>
            <w:noProof/>
            <w:webHidden/>
          </w:rPr>
          <w:tab/>
        </w:r>
        <w:r w:rsidR="005C79DF">
          <w:rPr>
            <w:noProof/>
            <w:webHidden/>
          </w:rPr>
          <w:fldChar w:fldCharType="begin"/>
        </w:r>
        <w:r w:rsidR="005C79DF">
          <w:rPr>
            <w:noProof/>
            <w:webHidden/>
          </w:rPr>
          <w:instrText xml:space="preserve"> PAGEREF _Toc495416870 \h </w:instrText>
        </w:r>
        <w:r w:rsidR="005C79DF">
          <w:rPr>
            <w:noProof/>
            <w:webHidden/>
          </w:rPr>
        </w:r>
        <w:r w:rsidR="005C79DF">
          <w:rPr>
            <w:noProof/>
            <w:webHidden/>
          </w:rPr>
          <w:fldChar w:fldCharType="separate"/>
        </w:r>
        <w:r w:rsidR="00CB1545">
          <w:rPr>
            <w:noProof/>
            <w:webHidden/>
          </w:rPr>
          <w:t>242</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71" w:history="1">
        <w:r w:rsidR="005C79DF" w:rsidRPr="00512AEB">
          <w:rPr>
            <w:rStyle w:val="Hyperlink"/>
            <w:noProof/>
          </w:rPr>
          <w:t>Table 11.11: Projected ACFI subsidy growth rates at the end of each year</w:t>
        </w:r>
        <w:r w:rsidR="005C79DF">
          <w:rPr>
            <w:noProof/>
            <w:webHidden/>
          </w:rPr>
          <w:tab/>
        </w:r>
        <w:r w:rsidR="005C79DF">
          <w:rPr>
            <w:noProof/>
            <w:webHidden/>
          </w:rPr>
          <w:fldChar w:fldCharType="begin"/>
        </w:r>
        <w:r w:rsidR="005C79DF">
          <w:rPr>
            <w:noProof/>
            <w:webHidden/>
          </w:rPr>
          <w:instrText xml:space="preserve"> PAGEREF _Toc495416871 \h </w:instrText>
        </w:r>
        <w:r w:rsidR="005C79DF">
          <w:rPr>
            <w:noProof/>
            <w:webHidden/>
          </w:rPr>
        </w:r>
        <w:r w:rsidR="005C79DF">
          <w:rPr>
            <w:noProof/>
            <w:webHidden/>
          </w:rPr>
          <w:fldChar w:fldCharType="separate"/>
        </w:r>
        <w:r w:rsidR="00CB1545">
          <w:rPr>
            <w:noProof/>
            <w:webHidden/>
          </w:rPr>
          <w:t>245</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72" w:history="1">
        <w:r w:rsidR="005C79DF" w:rsidRPr="00512AEB">
          <w:rPr>
            <w:rStyle w:val="Hyperlink"/>
            <w:noProof/>
          </w:rPr>
          <w:t>Table 11.12: Assumptions Applicable to Options 1, 2 &amp; 3</w:t>
        </w:r>
        <w:r w:rsidR="005C79DF">
          <w:rPr>
            <w:noProof/>
            <w:webHidden/>
          </w:rPr>
          <w:tab/>
        </w:r>
        <w:r w:rsidR="005C79DF">
          <w:rPr>
            <w:noProof/>
            <w:webHidden/>
          </w:rPr>
          <w:fldChar w:fldCharType="begin"/>
        </w:r>
        <w:r w:rsidR="005C79DF">
          <w:rPr>
            <w:noProof/>
            <w:webHidden/>
          </w:rPr>
          <w:instrText xml:space="preserve"> PAGEREF _Toc495416872 \h </w:instrText>
        </w:r>
        <w:r w:rsidR="005C79DF">
          <w:rPr>
            <w:noProof/>
            <w:webHidden/>
          </w:rPr>
        </w:r>
        <w:r w:rsidR="005C79DF">
          <w:rPr>
            <w:noProof/>
            <w:webHidden/>
          </w:rPr>
          <w:fldChar w:fldCharType="separate"/>
        </w:r>
        <w:r w:rsidR="00CB1545">
          <w:rPr>
            <w:noProof/>
            <w:webHidden/>
          </w:rPr>
          <w:t>246</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73" w:history="1">
        <w:r w:rsidR="005C79DF" w:rsidRPr="00512AEB">
          <w:rPr>
            <w:rStyle w:val="Hyperlink"/>
            <w:noProof/>
          </w:rPr>
          <w:t>Table 11.13: Review Officers in Present System and Option 1 Assumptions</w:t>
        </w:r>
        <w:r w:rsidR="005C79DF">
          <w:rPr>
            <w:noProof/>
            <w:webHidden/>
          </w:rPr>
          <w:tab/>
        </w:r>
        <w:r w:rsidR="005C79DF">
          <w:rPr>
            <w:noProof/>
            <w:webHidden/>
          </w:rPr>
          <w:fldChar w:fldCharType="begin"/>
        </w:r>
        <w:r w:rsidR="005C79DF">
          <w:rPr>
            <w:noProof/>
            <w:webHidden/>
          </w:rPr>
          <w:instrText xml:space="preserve"> PAGEREF _Toc495416873 \h </w:instrText>
        </w:r>
        <w:r w:rsidR="005C79DF">
          <w:rPr>
            <w:noProof/>
            <w:webHidden/>
          </w:rPr>
        </w:r>
        <w:r w:rsidR="005C79DF">
          <w:rPr>
            <w:noProof/>
            <w:webHidden/>
          </w:rPr>
          <w:fldChar w:fldCharType="separate"/>
        </w:r>
        <w:r w:rsidR="00CB1545">
          <w:rPr>
            <w:noProof/>
            <w:webHidden/>
          </w:rPr>
          <w:t>246</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74" w:history="1">
        <w:r w:rsidR="005C79DF" w:rsidRPr="00512AEB">
          <w:rPr>
            <w:rStyle w:val="Hyperlink"/>
            <w:noProof/>
          </w:rPr>
          <w:t xml:space="preserve">Table 11.14: </w:t>
        </w:r>
        <w:r w:rsidR="005C79DF" w:rsidRPr="00512AEB">
          <w:rPr>
            <w:rStyle w:val="Hyperlink"/>
            <w:noProof/>
            <w:lang w:val="en-US"/>
          </w:rPr>
          <w:t>Options 1 and 2 (ACAT assessors) Assumptions</w:t>
        </w:r>
        <w:r w:rsidR="005C79DF">
          <w:rPr>
            <w:noProof/>
            <w:webHidden/>
          </w:rPr>
          <w:tab/>
        </w:r>
        <w:r w:rsidR="005C79DF">
          <w:rPr>
            <w:noProof/>
            <w:webHidden/>
          </w:rPr>
          <w:fldChar w:fldCharType="begin"/>
        </w:r>
        <w:r w:rsidR="005C79DF">
          <w:rPr>
            <w:noProof/>
            <w:webHidden/>
          </w:rPr>
          <w:instrText xml:space="preserve"> PAGEREF _Toc495416874 \h </w:instrText>
        </w:r>
        <w:r w:rsidR="005C79DF">
          <w:rPr>
            <w:noProof/>
            <w:webHidden/>
          </w:rPr>
        </w:r>
        <w:r w:rsidR="005C79DF">
          <w:rPr>
            <w:noProof/>
            <w:webHidden/>
          </w:rPr>
          <w:fldChar w:fldCharType="separate"/>
        </w:r>
        <w:r w:rsidR="00CB1545">
          <w:rPr>
            <w:noProof/>
            <w:webHidden/>
          </w:rPr>
          <w:t>246</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75" w:history="1">
        <w:r w:rsidR="005C79DF" w:rsidRPr="00512AEB">
          <w:rPr>
            <w:rStyle w:val="Hyperlink"/>
            <w:noProof/>
          </w:rPr>
          <w:t xml:space="preserve">Table 11.15: </w:t>
        </w:r>
        <w:r w:rsidR="005C79DF" w:rsidRPr="00512AEB">
          <w:rPr>
            <w:rStyle w:val="Hyperlink"/>
            <w:noProof/>
            <w:lang w:val="en-US"/>
          </w:rPr>
          <w:t>Option 3 (SAA assessors) Assumptions</w:t>
        </w:r>
        <w:r w:rsidR="005C79DF">
          <w:rPr>
            <w:noProof/>
            <w:webHidden/>
          </w:rPr>
          <w:tab/>
        </w:r>
        <w:r w:rsidR="005C79DF">
          <w:rPr>
            <w:noProof/>
            <w:webHidden/>
          </w:rPr>
          <w:fldChar w:fldCharType="begin"/>
        </w:r>
        <w:r w:rsidR="005C79DF">
          <w:rPr>
            <w:noProof/>
            <w:webHidden/>
          </w:rPr>
          <w:instrText xml:space="preserve"> PAGEREF _Toc495416875 \h </w:instrText>
        </w:r>
        <w:r w:rsidR="005C79DF">
          <w:rPr>
            <w:noProof/>
            <w:webHidden/>
          </w:rPr>
        </w:r>
        <w:r w:rsidR="005C79DF">
          <w:rPr>
            <w:noProof/>
            <w:webHidden/>
          </w:rPr>
          <w:fldChar w:fldCharType="separate"/>
        </w:r>
        <w:r w:rsidR="00CB1545">
          <w:rPr>
            <w:noProof/>
            <w:webHidden/>
          </w:rPr>
          <w:t>247</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76" w:history="1">
        <w:r w:rsidR="005C79DF" w:rsidRPr="00512AEB">
          <w:rPr>
            <w:rStyle w:val="Hyperlink"/>
            <w:noProof/>
          </w:rPr>
          <w:t xml:space="preserve">Table 11.16: </w:t>
        </w:r>
        <w:r w:rsidR="005C79DF" w:rsidRPr="00512AEB">
          <w:rPr>
            <w:rStyle w:val="Hyperlink"/>
            <w:noProof/>
            <w:lang w:val="en-US"/>
          </w:rPr>
          <w:t>Projected Residents using June 30, 2016 data by Entry Year</w:t>
        </w:r>
        <w:r w:rsidR="005C79DF">
          <w:rPr>
            <w:noProof/>
            <w:webHidden/>
          </w:rPr>
          <w:tab/>
        </w:r>
        <w:r w:rsidR="005C79DF">
          <w:rPr>
            <w:noProof/>
            <w:webHidden/>
          </w:rPr>
          <w:fldChar w:fldCharType="begin"/>
        </w:r>
        <w:r w:rsidR="005C79DF">
          <w:rPr>
            <w:noProof/>
            <w:webHidden/>
          </w:rPr>
          <w:instrText xml:space="preserve"> PAGEREF _Toc495416876 \h </w:instrText>
        </w:r>
        <w:r w:rsidR="005C79DF">
          <w:rPr>
            <w:noProof/>
            <w:webHidden/>
          </w:rPr>
        </w:r>
        <w:r w:rsidR="005C79DF">
          <w:rPr>
            <w:noProof/>
            <w:webHidden/>
          </w:rPr>
          <w:fldChar w:fldCharType="separate"/>
        </w:r>
        <w:r w:rsidR="00CB1545">
          <w:rPr>
            <w:noProof/>
            <w:webHidden/>
          </w:rPr>
          <w:t>247</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77" w:history="1">
        <w:r w:rsidR="005C79DF" w:rsidRPr="00512AEB">
          <w:rPr>
            <w:rStyle w:val="Hyperlink"/>
            <w:noProof/>
          </w:rPr>
          <w:t>Table 11.17: Current System - Projected Care Subsidies</w:t>
        </w:r>
        <w:r w:rsidR="005C79DF">
          <w:rPr>
            <w:noProof/>
            <w:webHidden/>
          </w:rPr>
          <w:tab/>
        </w:r>
        <w:r w:rsidR="005C79DF">
          <w:rPr>
            <w:noProof/>
            <w:webHidden/>
          </w:rPr>
          <w:fldChar w:fldCharType="begin"/>
        </w:r>
        <w:r w:rsidR="005C79DF">
          <w:rPr>
            <w:noProof/>
            <w:webHidden/>
          </w:rPr>
          <w:instrText xml:space="preserve"> PAGEREF _Toc495416877 \h </w:instrText>
        </w:r>
        <w:r w:rsidR="005C79DF">
          <w:rPr>
            <w:noProof/>
            <w:webHidden/>
          </w:rPr>
        </w:r>
        <w:r w:rsidR="005C79DF">
          <w:rPr>
            <w:noProof/>
            <w:webHidden/>
          </w:rPr>
          <w:fldChar w:fldCharType="separate"/>
        </w:r>
        <w:r w:rsidR="00CB1545">
          <w:rPr>
            <w:noProof/>
            <w:webHidden/>
          </w:rPr>
          <w:t>247</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78" w:history="1">
        <w:r w:rsidR="005C79DF" w:rsidRPr="00512AEB">
          <w:rPr>
            <w:rStyle w:val="Hyperlink"/>
            <w:noProof/>
          </w:rPr>
          <w:t>Table 11.18: Projected Care Subsidies by Option at July 1, 2016 rates</w:t>
        </w:r>
        <w:r w:rsidR="005C79DF">
          <w:rPr>
            <w:noProof/>
            <w:webHidden/>
          </w:rPr>
          <w:tab/>
        </w:r>
        <w:r w:rsidR="005C79DF">
          <w:rPr>
            <w:noProof/>
            <w:webHidden/>
          </w:rPr>
          <w:fldChar w:fldCharType="begin"/>
        </w:r>
        <w:r w:rsidR="005C79DF">
          <w:rPr>
            <w:noProof/>
            <w:webHidden/>
          </w:rPr>
          <w:instrText xml:space="preserve"> PAGEREF _Toc495416878 \h </w:instrText>
        </w:r>
        <w:r w:rsidR="005C79DF">
          <w:rPr>
            <w:noProof/>
            <w:webHidden/>
          </w:rPr>
        </w:r>
        <w:r w:rsidR="005C79DF">
          <w:rPr>
            <w:noProof/>
            <w:webHidden/>
          </w:rPr>
          <w:fldChar w:fldCharType="separate"/>
        </w:r>
        <w:r w:rsidR="00CB1545">
          <w:rPr>
            <w:noProof/>
            <w:webHidden/>
          </w:rPr>
          <w:t>248</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79" w:history="1">
        <w:r w:rsidR="005C79DF" w:rsidRPr="00512AEB">
          <w:rPr>
            <w:rStyle w:val="Hyperlink"/>
            <w:noProof/>
          </w:rPr>
          <w:t>Table 11.19: Estimated Review Officer costs (Option 1)</w:t>
        </w:r>
        <w:r w:rsidR="005C79DF">
          <w:rPr>
            <w:noProof/>
            <w:webHidden/>
          </w:rPr>
          <w:tab/>
        </w:r>
        <w:r w:rsidR="005C79DF">
          <w:rPr>
            <w:noProof/>
            <w:webHidden/>
          </w:rPr>
          <w:fldChar w:fldCharType="begin"/>
        </w:r>
        <w:r w:rsidR="005C79DF">
          <w:rPr>
            <w:noProof/>
            <w:webHidden/>
          </w:rPr>
          <w:instrText xml:space="preserve"> PAGEREF _Toc495416879 \h </w:instrText>
        </w:r>
        <w:r w:rsidR="005C79DF">
          <w:rPr>
            <w:noProof/>
            <w:webHidden/>
          </w:rPr>
        </w:r>
        <w:r w:rsidR="005C79DF">
          <w:rPr>
            <w:noProof/>
            <w:webHidden/>
          </w:rPr>
          <w:fldChar w:fldCharType="separate"/>
        </w:r>
        <w:r w:rsidR="00CB1545">
          <w:rPr>
            <w:noProof/>
            <w:webHidden/>
          </w:rPr>
          <w:t>248</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80" w:history="1">
        <w:r w:rsidR="005C79DF" w:rsidRPr="00512AEB">
          <w:rPr>
            <w:rStyle w:val="Hyperlink"/>
            <w:noProof/>
          </w:rPr>
          <w:t xml:space="preserve">Table 11.20: </w:t>
        </w:r>
        <w:r w:rsidR="005C79DF" w:rsidRPr="00512AEB">
          <w:rPr>
            <w:rStyle w:val="Hyperlink"/>
            <w:noProof/>
            <w:lang w:val="en-US"/>
          </w:rPr>
          <w:t>Estimated costs of ACAT and SAA assessments (Options 1, 2 and 3</w:t>
        </w:r>
        <w:r w:rsidR="005C79DF">
          <w:rPr>
            <w:noProof/>
            <w:webHidden/>
          </w:rPr>
          <w:tab/>
        </w:r>
        <w:r w:rsidR="005C79DF">
          <w:rPr>
            <w:noProof/>
            <w:webHidden/>
          </w:rPr>
          <w:fldChar w:fldCharType="begin"/>
        </w:r>
        <w:r w:rsidR="005C79DF">
          <w:rPr>
            <w:noProof/>
            <w:webHidden/>
          </w:rPr>
          <w:instrText xml:space="preserve"> PAGEREF _Toc495416880 \h </w:instrText>
        </w:r>
        <w:r w:rsidR="005C79DF">
          <w:rPr>
            <w:noProof/>
            <w:webHidden/>
          </w:rPr>
        </w:r>
        <w:r w:rsidR="005C79DF">
          <w:rPr>
            <w:noProof/>
            <w:webHidden/>
          </w:rPr>
          <w:fldChar w:fldCharType="separate"/>
        </w:r>
        <w:r w:rsidR="00CB1545">
          <w:rPr>
            <w:noProof/>
            <w:webHidden/>
          </w:rPr>
          <w:t>248</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81" w:history="1">
        <w:r w:rsidR="005C79DF" w:rsidRPr="00512AEB">
          <w:rPr>
            <w:rStyle w:val="Hyperlink"/>
            <w:noProof/>
          </w:rPr>
          <w:t xml:space="preserve">Table 11.21: </w:t>
        </w:r>
        <w:r w:rsidR="005C79DF" w:rsidRPr="00512AEB">
          <w:rPr>
            <w:rStyle w:val="Hyperlink"/>
            <w:noProof/>
            <w:lang w:val="en-US"/>
          </w:rPr>
          <w:t>Total Outlays including Subsidy Payments &amp; Assessor Model Costs</w:t>
        </w:r>
        <w:r w:rsidR="005C79DF">
          <w:rPr>
            <w:noProof/>
            <w:webHidden/>
          </w:rPr>
          <w:tab/>
        </w:r>
        <w:r w:rsidR="005C79DF">
          <w:rPr>
            <w:noProof/>
            <w:webHidden/>
          </w:rPr>
          <w:fldChar w:fldCharType="begin"/>
        </w:r>
        <w:r w:rsidR="005C79DF">
          <w:rPr>
            <w:noProof/>
            <w:webHidden/>
          </w:rPr>
          <w:instrText xml:space="preserve"> PAGEREF _Toc495416881 \h </w:instrText>
        </w:r>
        <w:r w:rsidR="005C79DF">
          <w:rPr>
            <w:noProof/>
            <w:webHidden/>
          </w:rPr>
        </w:r>
        <w:r w:rsidR="005C79DF">
          <w:rPr>
            <w:noProof/>
            <w:webHidden/>
          </w:rPr>
          <w:fldChar w:fldCharType="separate"/>
        </w:r>
        <w:r w:rsidR="00CB1545">
          <w:rPr>
            <w:noProof/>
            <w:webHidden/>
          </w:rPr>
          <w:t>249</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82" w:history="1">
        <w:r w:rsidR="005C79DF" w:rsidRPr="00512AEB">
          <w:rPr>
            <w:rStyle w:val="Hyperlink"/>
            <w:noProof/>
          </w:rPr>
          <w:t>Table 11.22: Reductions in Growth Relative to the Current Funding System</w:t>
        </w:r>
        <w:r w:rsidR="005C79DF">
          <w:rPr>
            <w:noProof/>
            <w:webHidden/>
          </w:rPr>
          <w:tab/>
        </w:r>
        <w:r w:rsidR="005C79DF">
          <w:rPr>
            <w:noProof/>
            <w:webHidden/>
          </w:rPr>
          <w:fldChar w:fldCharType="begin"/>
        </w:r>
        <w:r w:rsidR="005C79DF">
          <w:rPr>
            <w:noProof/>
            <w:webHidden/>
          </w:rPr>
          <w:instrText xml:space="preserve"> PAGEREF _Toc495416882 \h </w:instrText>
        </w:r>
        <w:r w:rsidR="005C79DF">
          <w:rPr>
            <w:noProof/>
            <w:webHidden/>
          </w:rPr>
        </w:r>
        <w:r w:rsidR="005C79DF">
          <w:rPr>
            <w:noProof/>
            <w:webHidden/>
          </w:rPr>
          <w:fldChar w:fldCharType="separate"/>
        </w:r>
        <w:r w:rsidR="00CB1545">
          <w:rPr>
            <w:noProof/>
            <w:webHidden/>
          </w:rPr>
          <w:t>250</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83" w:history="1">
        <w:r w:rsidR="005C79DF" w:rsidRPr="00512AEB">
          <w:rPr>
            <w:rStyle w:val="Hyperlink"/>
            <w:noProof/>
          </w:rPr>
          <w:t>Table 11.23: Indicators of Options Improvement over the Current Model – Three New Options</w:t>
        </w:r>
        <w:r w:rsidR="005C79DF">
          <w:rPr>
            <w:noProof/>
            <w:webHidden/>
          </w:rPr>
          <w:tab/>
        </w:r>
        <w:r w:rsidR="005C79DF">
          <w:rPr>
            <w:noProof/>
            <w:webHidden/>
          </w:rPr>
          <w:fldChar w:fldCharType="begin"/>
        </w:r>
        <w:r w:rsidR="005C79DF">
          <w:rPr>
            <w:noProof/>
            <w:webHidden/>
          </w:rPr>
          <w:instrText xml:space="preserve"> PAGEREF _Toc495416883 \h </w:instrText>
        </w:r>
        <w:r w:rsidR="005C79DF">
          <w:rPr>
            <w:noProof/>
            <w:webHidden/>
          </w:rPr>
        </w:r>
        <w:r w:rsidR="005C79DF">
          <w:rPr>
            <w:noProof/>
            <w:webHidden/>
          </w:rPr>
          <w:fldChar w:fldCharType="separate"/>
        </w:r>
        <w:r w:rsidR="00CB1545">
          <w:rPr>
            <w:noProof/>
            <w:webHidden/>
          </w:rPr>
          <w:t>253</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84" w:history="1">
        <w:r w:rsidR="005C79DF" w:rsidRPr="00512AEB">
          <w:rPr>
            <w:rStyle w:val="Hyperlink"/>
            <w:noProof/>
          </w:rPr>
          <w:t>Table 11.24: Comparison of the Current System and New Options</w:t>
        </w:r>
        <w:r w:rsidR="005C79DF">
          <w:rPr>
            <w:noProof/>
            <w:webHidden/>
          </w:rPr>
          <w:tab/>
        </w:r>
        <w:r w:rsidR="005C79DF">
          <w:rPr>
            <w:noProof/>
            <w:webHidden/>
          </w:rPr>
          <w:fldChar w:fldCharType="begin"/>
        </w:r>
        <w:r w:rsidR="005C79DF">
          <w:rPr>
            <w:noProof/>
            <w:webHidden/>
          </w:rPr>
          <w:instrText xml:space="preserve"> PAGEREF _Toc495416884 \h </w:instrText>
        </w:r>
        <w:r w:rsidR="005C79DF">
          <w:rPr>
            <w:noProof/>
            <w:webHidden/>
          </w:rPr>
        </w:r>
        <w:r w:rsidR="005C79DF">
          <w:rPr>
            <w:noProof/>
            <w:webHidden/>
          </w:rPr>
          <w:fldChar w:fldCharType="separate"/>
        </w:r>
        <w:r w:rsidR="00CB1545">
          <w:rPr>
            <w:noProof/>
            <w:webHidden/>
          </w:rPr>
          <w:t>254</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85" w:history="1">
        <w:r w:rsidR="005C79DF" w:rsidRPr="00EB3918">
          <w:rPr>
            <w:rStyle w:val="Hyperlink"/>
            <w:noProof/>
          </w:rPr>
          <w:t>Table 12.1: Option 1: Deliverables</w:t>
        </w:r>
        <w:r w:rsidR="005C79DF">
          <w:rPr>
            <w:noProof/>
            <w:webHidden/>
          </w:rPr>
          <w:tab/>
        </w:r>
        <w:r w:rsidR="005C79DF">
          <w:rPr>
            <w:noProof/>
            <w:webHidden/>
          </w:rPr>
          <w:fldChar w:fldCharType="begin"/>
        </w:r>
        <w:r w:rsidR="005C79DF">
          <w:rPr>
            <w:noProof/>
            <w:webHidden/>
          </w:rPr>
          <w:instrText xml:space="preserve"> PAGEREF _Toc495416885 \h </w:instrText>
        </w:r>
        <w:r w:rsidR="005C79DF">
          <w:rPr>
            <w:noProof/>
            <w:webHidden/>
          </w:rPr>
        </w:r>
        <w:r w:rsidR="005C79DF">
          <w:rPr>
            <w:noProof/>
            <w:webHidden/>
          </w:rPr>
          <w:fldChar w:fldCharType="separate"/>
        </w:r>
        <w:r w:rsidR="00CB1545">
          <w:rPr>
            <w:noProof/>
            <w:webHidden/>
          </w:rPr>
          <w:t>257</w:t>
        </w:r>
        <w:r w:rsidR="005C79DF">
          <w:rPr>
            <w:noProof/>
            <w:webHidden/>
          </w:rPr>
          <w:fldChar w:fldCharType="end"/>
        </w:r>
      </w:hyperlink>
    </w:p>
    <w:p w:rsidR="005C79DF" w:rsidRDefault="00473246" w:rsidP="00E533FD">
      <w:pPr>
        <w:pStyle w:val="TableofFigures"/>
        <w:tabs>
          <w:tab w:val="right" w:leader="dot" w:pos="9016"/>
        </w:tabs>
        <w:spacing w:before="60" w:after="60"/>
        <w:jc w:val="left"/>
        <w:rPr>
          <w:rFonts w:eastAsiaTheme="minorEastAsia"/>
          <w:noProof/>
          <w:sz w:val="22"/>
          <w:lang w:eastAsia="en-AU"/>
        </w:rPr>
      </w:pPr>
      <w:hyperlink w:anchor="_Toc495416886" w:history="1">
        <w:r w:rsidR="005C79DF" w:rsidRPr="00EB3918">
          <w:rPr>
            <w:rStyle w:val="Hyperlink"/>
            <w:noProof/>
          </w:rPr>
          <w:t>Table 12.2: Option 2: Deliverables</w:t>
        </w:r>
        <w:r w:rsidR="005C79DF">
          <w:rPr>
            <w:noProof/>
            <w:webHidden/>
          </w:rPr>
          <w:tab/>
        </w:r>
        <w:r w:rsidR="005C79DF">
          <w:rPr>
            <w:noProof/>
            <w:webHidden/>
          </w:rPr>
          <w:fldChar w:fldCharType="begin"/>
        </w:r>
        <w:r w:rsidR="005C79DF">
          <w:rPr>
            <w:noProof/>
            <w:webHidden/>
          </w:rPr>
          <w:instrText xml:space="preserve"> PAGEREF _Toc495416886 \h </w:instrText>
        </w:r>
        <w:r w:rsidR="005C79DF">
          <w:rPr>
            <w:noProof/>
            <w:webHidden/>
          </w:rPr>
        </w:r>
        <w:r w:rsidR="005C79DF">
          <w:rPr>
            <w:noProof/>
            <w:webHidden/>
          </w:rPr>
          <w:fldChar w:fldCharType="separate"/>
        </w:r>
        <w:r w:rsidR="00CB1545">
          <w:rPr>
            <w:noProof/>
            <w:webHidden/>
          </w:rPr>
          <w:t>257</w:t>
        </w:r>
        <w:r w:rsidR="005C79DF">
          <w:rPr>
            <w:noProof/>
            <w:webHidden/>
          </w:rPr>
          <w:fldChar w:fldCharType="end"/>
        </w:r>
      </w:hyperlink>
    </w:p>
    <w:p w:rsidR="00563093" w:rsidRPr="00CA7E84" w:rsidRDefault="00563093" w:rsidP="00A150B4">
      <w:pPr>
        <w:pStyle w:val="TOCHeading"/>
        <w:spacing w:before="600"/>
        <w:rPr>
          <w:rStyle w:val="Strong"/>
          <w:b/>
          <w:bCs/>
        </w:rPr>
      </w:pPr>
      <w:bookmarkStart w:id="11" w:name="_Toc478568236"/>
      <w:bookmarkStart w:id="12" w:name="_Toc482092549"/>
      <w:bookmarkStart w:id="13" w:name="_Hlk486572015"/>
      <w:bookmarkEnd w:id="7"/>
      <w:bookmarkEnd w:id="8"/>
      <w:bookmarkEnd w:id="9"/>
      <w:bookmarkEnd w:id="10"/>
      <w:r w:rsidRPr="00CA7E84">
        <w:rPr>
          <w:rStyle w:val="Strong"/>
          <w:b/>
        </w:rPr>
        <w:t>List of Figures</w:t>
      </w:r>
    </w:p>
    <w:p w:rsidR="00563093" w:rsidRPr="005D20F6" w:rsidRDefault="00563093" w:rsidP="00563093">
      <w:pPr>
        <w:sectPr w:rsidR="00563093" w:rsidRPr="005D20F6" w:rsidSect="00DD1FC6">
          <w:type w:val="continuous"/>
          <w:pgSz w:w="11906" w:h="16838"/>
          <w:pgMar w:top="1440" w:right="1440" w:bottom="1440" w:left="1440" w:header="708" w:footer="708" w:gutter="0"/>
          <w:cols w:space="708"/>
          <w:docGrid w:linePitch="360"/>
        </w:sectPr>
      </w:pPr>
    </w:p>
    <w:p w:rsidR="001E7421" w:rsidRDefault="001E7421" w:rsidP="00E533FD">
      <w:pPr>
        <w:pStyle w:val="TableofFigures"/>
        <w:tabs>
          <w:tab w:val="right" w:leader="dot" w:pos="9016"/>
        </w:tabs>
        <w:spacing w:before="60" w:after="60"/>
        <w:jc w:val="left"/>
        <w:rPr>
          <w:rFonts w:eastAsiaTheme="minorEastAsia"/>
          <w:noProof/>
          <w:sz w:val="22"/>
          <w:lang w:eastAsia="en-AU"/>
        </w:rPr>
      </w:pPr>
      <w:r>
        <w:fldChar w:fldCharType="begin"/>
      </w:r>
      <w:r>
        <w:instrText xml:space="preserve"> TOC \h \z \c "Figure" </w:instrText>
      </w:r>
      <w:r>
        <w:fldChar w:fldCharType="separate"/>
      </w:r>
      <w:hyperlink w:anchor="_Toc495415909" w:history="1">
        <w:r w:rsidRPr="007E2653">
          <w:rPr>
            <w:rStyle w:val="Hyperlink"/>
            <w:noProof/>
          </w:rPr>
          <w:t>Figure 1: ACFI and R-ACFI Funding Distributions by R-ACFI Categories (48)</w:t>
        </w:r>
        <w:r>
          <w:rPr>
            <w:noProof/>
            <w:webHidden/>
          </w:rPr>
          <w:tab/>
        </w:r>
        <w:r>
          <w:rPr>
            <w:noProof/>
            <w:webHidden/>
          </w:rPr>
          <w:fldChar w:fldCharType="begin"/>
        </w:r>
        <w:r>
          <w:rPr>
            <w:noProof/>
            <w:webHidden/>
          </w:rPr>
          <w:instrText xml:space="preserve"> PAGEREF _Toc495415909 \h </w:instrText>
        </w:r>
        <w:r>
          <w:rPr>
            <w:noProof/>
            <w:webHidden/>
          </w:rPr>
        </w:r>
        <w:r>
          <w:rPr>
            <w:noProof/>
            <w:webHidden/>
          </w:rPr>
          <w:fldChar w:fldCharType="separate"/>
        </w:r>
        <w:r w:rsidR="00CB1545">
          <w:rPr>
            <w:noProof/>
            <w:webHidden/>
          </w:rPr>
          <w:t>23</w:t>
        </w:r>
        <w:r>
          <w:rPr>
            <w:noProof/>
            <w:webHidden/>
          </w:rPr>
          <w:fldChar w:fldCharType="end"/>
        </w:r>
      </w:hyperlink>
    </w:p>
    <w:p w:rsidR="001E7421" w:rsidRDefault="001E7421" w:rsidP="00E533FD">
      <w:pPr>
        <w:pStyle w:val="TableofFigures"/>
        <w:tabs>
          <w:tab w:val="right" w:leader="dot" w:pos="9016"/>
        </w:tabs>
        <w:spacing w:before="60" w:after="60"/>
        <w:jc w:val="left"/>
        <w:rPr>
          <w:rFonts w:eastAsiaTheme="minorEastAsia"/>
          <w:noProof/>
          <w:sz w:val="22"/>
          <w:lang w:eastAsia="en-AU"/>
        </w:rPr>
      </w:pPr>
      <w:r>
        <w:fldChar w:fldCharType="end"/>
      </w:r>
      <w:hyperlink w:anchor="_Toc495415943" w:history="1">
        <w:r w:rsidRPr="002B4AD5">
          <w:rPr>
            <w:rStyle w:val="Hyperlink"/>
            <w:noProof/>
          </w:rPr>
          <w:t>Figure 1.1: Average subsidies growth as proportion of the maximum ACFI funding</w:t>
        </w:r>
        <w:r>
          <w:rPr>
            <w:noProof/>
            <w:webHidden/>
          </w:rPr>
          <w:tab/>
        </w:r>
        <w:r>
          <w:rPr>
            <w:noProof/>
            <w:webHidden/>
          </w:rPr>
          <w:fldChar w:fldCharType="begin"/>
        </w:r>
        <w:r>
          <w:rPr>
            <w:noProof/>
            <w:webHidden/>
          </w:rPr>
          <w:instrText xml:space="preserve"> PAGEREF _Toc495415943 \h </w:instrText>
        </w:r>
        <w:r>
          <w:rPr>
            <w:noProof/>
            <w:webHidden/>
          </w:rPr>
        </w:r>
        <w:r>
          <w:rPr>
            <w:noProof/>
            <w:webHidden/>
          </w:rPr>
          <w:fldChar w:fldCharType="separate"/>
        </w:r>
        <w:r w:rsidR="00CB1545">
          <w:rPr>
            <w:noProof/>
            <w:webHidden/>
          </w:rPr>
          <w:t>36</w:t>
        </w:r>
        <w:r>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44" w:history="1">
        <w:r w:rsidR="001E7421" w:rsidRPr="002B4AD5">
          <w:rPr>
            <w:rStyle w:val="Hyperlink"/>
            <w:noProof/>
          </w:rPr>
          <w:t>Figure 1. 2: Yearly growth in pain management funding using June 30, 2016 funding levels</w:t>
        </w:r>
        <w:r w:rsidR="001E7421">
          <w:rPr>
            <w:noProof/>
            <w:webHidden/>
          </w:rPr>
          <w:tab/>
        </w:r>
        <w:r w:rsidR="001E7421">
          <w:rPr>
            <w:noProof/>
            <w:webHidden/>
          </w:rPr>
          <w:fldChar w:fldCharType="begin"/>
        </w:r>
        <w:r w:rsidR="001E7421">
          <w:rPr>
            <w:noProof/>
            <w:webHidden/>
          </w:rPr>
          <w:instrText xml:space="preserve"> PAGEREF _Toc495415944 \h </w:instrText>
        </w:r>
        <w:r w:rsidR="001E7421">
          <w:rPr>
            <w:noProof/>
            <w:webHidden/>
          </w:rPr>
        </w:r>
        <w:r w:rsidR="001E7421">
          <w:rPr>
            <w:noProof/>
            <w:webHidden/>
          </w:rPr>
          <w:fldChar w:fldCharType="separate"/>
        </w:r>
        <w:r w:rsidR="00CB1545">
          <w:rPr>
            <w:noProof/>
            <w:webHidden/>
          </w:rPr>
          <w:t>37</w:t>
        </w:r>
        <w:r w:rsidR="001E7421">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61" w:history="1">
        <w:r w:rsidR="001E7421" w:rsidRPr="00D34195">
          <w:rPr>
            <w:rStyle w:val="Hyperlink"/>
            <w:noProof/>
          </w:rPr>
          <w:t>Figure 3.1: Average months of stay for all separations</w:t>
        </w:r>
        <w:r w:rsidR="001E7421">
          <w:rPr>
            <w:noProof/>
            <w:webHidden/>
          </w:rPr>
          <w:tab/>
        </w:r>
        <w:r w:rsidR="001E7421">
          <w:rPr>
            <w:noProof/>
            <w:webHidden/>
          </w:rPr>
          <w:fldChar w:fldCharType="begin"/>
        </w:r>
        <w:r w:rsidR="001E7421">
          <w:rPr>
            <w:noProof/>
            <w:webHidden/>
          </w:rPr>
          <w:instrText xml:space="preserve"> PAGEREF _Toc495415961 \h </w:instrText>
        </w:r>
        <w:r w:rsidR="001E7421">
          <w:rPr>
            <w:noProof/>
            <w:webHidden/>
          </w:rPr>
        </w:r>
        <w:r w:rsidR="001E7421">
          <w:rPr>
            <w:noProof/>
            <w:webHidden/>
          </w:rPr>
          <w:fldChar w:fldCharType="separate"/>
        </w:r>
        <w:r w:rsidR="00CB1545">
          <w:rPr>
            <w:noProof/>
            <w:webHidden/>
          </w:rPr>
          <w:t>56</w:t>
        </w:r>
        <w:r w:rsidR="001E7421">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62" w:history="1">
        <w:r w:rsidR="001E7421" w:rsidRPr="00D34195">
          <w:rPr>
            <w:rStyle w:val="Hyperlink"/>
            <w:noProof/>
          </w:rPr>
          <w:t>Figure 3.2: Average ages for admissions &amp; residents</w:t>
        </w:r>
        <w:r w:rsidR="001E7421">
          <w:rPr>
            <w:noProof/>
            <w:webHidden/>
          </w:rPr>
          <w:tab/>
        </w:r>
        <w:r w:rsidR="001E7421">
          <w:rPr>
            <w:noProof/>
            <w:webHidden/>
          </w:rPr>
          <w:fldChar w:fldCharType="begin"/>
        </w:r>
        <w:r w:rsidR="001E7421">
          <w:rPr>
            <w:noProof/>
            <w:webHidden/>
          </w:rPr>
          <w:instrText xml:space="preserve"> PAGEREF _Toc495415962 \h </w:instrText>
        </w:r>
        <w:r w:rsidR="001E7421">
          <w:rPr>
            <w:noProof/>
            <w:webHidden/>
          </w:rPr>
        </w:r>
        <w:r w:rsidR="001E7421">
          <w:rPr>
            <w:noProof/>
            <w:webHidden/>
          </w:rPr>
          <w:fldChar w:fldCharType="separate"/>
        </w:r>
        <w:r w:rsidR="00CB1545">
          <w:rPr>
            <w:noProof/>
            <w:webHidden/>
          </w:rPr>
          <w:t>57</w:t>
        </w:r>
        <w:r w:rsidR="001E7421">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63" w:history="1">
        <w:r w:rsidR="001E7421" w:rsidRPr="00D34195">
          <w:rPr>
            <w:rStyle w:val="Hyperlink"/>
            <w:noProof/>
          </w:rPr>
          <w:t>Figure 3.3: Separations by length of stay</w:t>
        </w:r>
        <w:r w:rsidR="001E7421">
          <w:rPr>
            <w:noProof/>
            <w:webHidden/>
          </w:rPr>
          <w:tab/>
        </w:r>
        <w:r w:rsidR="001E7421">
          <w:rPr>
            <w:noProof/>
            <w:webHidden/>
          </w:rPr>
          <w:fldChar w:fldCharType="begin"/>
        </w:r>
        <w:r w:rsidR="001E7421">
          <w:rPr>
            <w:noProof/>
            <w:webHidden/>
          </w:rPr>
          <w:instrText xml:space="preserve"> PAGEREF _Toc495415963 \h </w:instrText>
        </w:r>
        <w:r w:rsidR="001E7421">
          <w:rPr>
            <w:noProof/>
            <w:webHidden/>
          </w:rPr>
        </w:r>
        <w:r w:rsidR="001E7421">
          <w:rPr>
            <w:noProof/>
            <w:webHidden/>
          </w:rPr>
          <w:fldChar w:fldCharType="separate"/>
        </w:r>
        <w:r w:rsidR="00CB1545">
          <w:rPr>
            <w:noProof/>
            <w:webHidden/>
          </w:rPr>
          <w:t>57</w:t>
        </w:r>
        <w:r w:rsidR="001E7421">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64" w:history="1">
        <w:r w:rsidR="001E7421" w:rsidRPr="00D34195">
          <w:rPr>
            <w:rStyle w:val="Hyperlink"/>
            <w:noProof/>
          </w:rPr>
          <w:t>Figure 3.4: How the R-ACFI Enhances and Fits into the Nursing Care Process</w:t>
        </w:r>
        <w:r w:rsidR="001E7421">
          <w:rPr>
            <w:noProof/>
            <w:webHidden/>
          </w:rPr>
          <w:tab/>
        </w:r>
        <w:r w:rsidR="001E7421">
          <w:rPr>
            <w:noProof/>
            <w:webHidden/>
          </w:rPr>
          <w:fldChar w:fldCharType="begin"/>
        </w:r>
        <w:r w:rsidR="001E7421">
          <w:rPr>
            <w:noProof/>
            <w:webHidden/>
          </w:rPr>
          <w:instrText xml:space="preserve"> PAGEREF _Toc495415964 \h </w:instrText>
        </w:r>
        <w:r w:rsidR="001E7421">
          <w:rPr>
            <w:noProof/>
            <w:webHidden/>
          </w:rPr>
        </w:r>
        <w:r w:rsidR="001E7421">
          <w:rPr>
            <w:noProof/>
            <w:webHidden/>
          </w:rPr>
          <w:fldChar w:fldCharType="separate"/>
        </w:r>
        <w:r w:rsidR="00CB1545">
          <w:rPr>
            <w:noProof/>
            <w:webHidden/>
          </w:rPr>
          <w:t>62</w:t>
        </w:r>
        <w:r w:rsidR="001E7421">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71" w:history="1">
        <w:r w:rsidR="001E7421" w:rsidRPr="00101E26">
          <w:rPr>
            <w:rStyle w:val="Hyperlink"/>
            <w:noProof/>
          </w:rPr>
          <w:t>Figure 4.1: ADL Domain Classifications (N, L, M, H) 2009 - 2016</w:t>
        </w:r>
        <w:r w:rsidR="001E7421">
          <w:rPr>
            <w:noProof/>
            <w:webHidden/>
          </w:rPr>
          <w:tab/>
        </w:r>
        <w:r w:rsidR="001E7421">
          <w:rPr>
            <w:noProof/>
            <w:webHidden/>
          </w:rPr>
          <w:fldChar w:fldCharType="begin"/>
        </w:r>
        <w:r w:rsidR="001E7421">
          <w:rPr>
            <w:noProof/>
            <w:webHidden/>
          </w:rPr>
          <w:instrText xml:space="preserve"> PAGEREF _Toc495415971 \h </w:instrText>
        </w:r>
        <w:r w:rsidR="001E7421">
          <w:rPr>
            <w:noProof/>
            <w:webHidden/>
          </w:rPr>
        </w:r>
        <w:r w:rsidR="001E7421">
          <w:rPr>
            <w:noProof/>
            <w:webHidden/>
          </w:rPr>
          <w:fldChar w:fldCharType="separate"/>
        </w:r>
        <w:r w:rsidR="00CB1545">
          <w:rPr>
            <w:noProof/>
            <w:webHidden/>
          </w:rPr>
          <w:t>65</w:t>
        </w:r>
        <w:r w:rsidR="001E7421">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72" w:history="1">
        <w:r w:rsidR="001E7421" w:rsidRPr="00101E26">
          <w:rPr>
            <w:rStyle w:val="Hyperlink"/>
            <w:noProof/>
          </w:rPr>
          <w:t xml:space="preserve">Figure 4.2: ACFI 1 Nutrition Ratings (A, B, C, D) 2009 - 2016 </w:t>
        </w:r>
        <w:r w:rsidR="001E7421">
          <w:rPr>
            <w:noProof/>
            <w:webHidden/>
          </w:rPr>
          <w:tab/>
        </w:r>
        <w:r w:rsidR="001E7421">
          <w:rPr>
            <w:noProof/>
            <w:webHidden/>
          </w:rPr>
          <w:fldChar w:fldCharType="begin"/>
        </w:r>
        <w:r w:rsidR="001E7421">
          <w:rPr>
            <w:noProof/>
            <w:webHidden/>
          </w:rPr>
          <w:instrText xml:space="preserve"> PAGEREF _Toc495415972 \h </w:instrText>
        </w:r>
        <w:r w:rsidR="001E7421">
          <w:rPr>
            <w:noProof/>
            <w:webHidden/>
          </w:rPr>
        </w:r>
        <w:r w:rsidR="001E7421">
          <w:rPr>
            <w:noProof/>
            <w:webHidden/>
          </w:rPr>
          <w:fldChar w:fldCharType="separate"/>
        </w:r>
        <w:r w:rsidR="00CB1545">
          <w:rPr>
            <w:noProof/>
            <w:webHidden/>
          </w:rPr>
          <w:t>66</w:t>
        </w:r>
        <w:r w:rsidR="001E7421">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73" w:history="1">
        <w:r w:rsidR="001E7421" w:rsidRPr="00101E26">
          <w:rPr>
            <w:rStyle w:val="Hyperlink"/>
            <w:noProof/>
          </w:rPr>
          <w:t>Figure 4.3: ACFI 1 Nutrition “Readiness to Eat” Assistance Levels 2009 - 2016</w:t>
        </w:r>
        <w:r w:rsidR="001E7421">
          <w:rPr>
            <w:noProof/>
            <w:webHidden/>
          </w:rPr>
          <w:tab/>
        </w:r>
        <w:r w:rsidR="001E7421">
          <w:rPr>
            <w:noProof/>
            <w:webHidden/>
          </w:rPr>
          <w:fldChar w:fldCharType="begin"/>
        </w:r>
        <w:r w:rsidR="001E7421">
          <w:rPr>
            <w:noProof/>
            <w:webHidden/>
          </w:rPr>
          <w:instrText xml:space="preserve"> PAGEREF _Toc495415973 \h </w:instrText>
        </w:r>
        <w:r w:rsidR="001E7421">
          <w:rPr>
            <w:noProof/>
            <w:webHidden/>
          </w:rPr>
        </w:r>
        <w:r w:rsidR="001E7421">
          <w:rPr>
            <w:noProof/>
            <w:webHidden/>
          </w:rPr>
          <w:fldChar w:fldCharType="separate"/>
        </w:r>
        <w:r w:rsidR="00CB1545">
          <w:rPr>
            <w:noProof/>
            <w:webHidden/>
          </w:rPr>
          <w:t>66</w:t>
        </w:r>
        <w:r w:rsidR="001E7421">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74" w:history="1">
        <w:r w:rsidR="001E7421" w:rsidRPr="00101E26">
          <w:rPr>
            <w:rStyle w:val="Hyperlink"/>
            <w:noProof/>
          </w:rPr>
          <w:t>Figure 4.4: ACFI 1 Nutrition “Eating” Assistance Levels 2009 - 2016</w:t>
        </w:r>
        <w:r w:rsidR="001E7421">
          <w:rPr>
            <w:noProof/>
            <w:webHidden/>
          </w:rPr>
          <w:tab/>
        </w:r>
        <w:r w:rsidR="001E7421">
          <w:rPr>
            <w:noProof/>
            <w:webHidden/>
          </w:rPr>
          <w:fldChar w:fldCharType="begin"/>
        </w:r>
        <w:r w:rsidR="001E7421">
          <w:rPr>
            <w:noProof/>
            <w:webHidden/>
          </w:rPr>
          <w:instrText xml:space="preserve"> PAGEREF _Toc495415974 \h </w:instrText>
        </w:r>
        <w:r w:rsidR="001E7421">
          <w:rPr>
            <w:noProof/>
            <w:webHidden/>
          </w:rPr>
        </w:r>
        <w:r w:rsidR="001E7421">
          <w:rPr>
            <w:noProof/>
            <w:webHidden/>
          </w:rPr>
          <w:fldChar w:fldCharType="separate"/>
        </w:r>
        <w:r w:rsidR="00CB1545">
          <w:rPr>
            <w:noProof/>
            <w:webHidden/>
          </w:rPr>
          <w:t>66</w:t>
        </w:r>
        <w:r w:rsidR="001E7421">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75" w:history="1">
        <w:r w:rsidR="001E7421" w:rsidRPr="00101E26">
          <w:rPr>
            <w:rStyle w:val="Hyperlink"/>
            <w:noProof/>
          </w:rPr>
          <w:t>Figure 4.5: ACFI 2 Mobility Ratings (A, B, C, D) 2009 - 2016</w:t>
        </w:r>
        <w:r w:rsidR="001E7421">
          <w:rPr>
            <w:noProof/>
            <w:webHidden/>
          </w:rPr>
          <w:tab/>
        </w:r>
        <w:r w:rsidR="001E7421">
          <w:rPr>
            <w:noProof/>
            <w:webHidden/>
          </w:rPr>
          <w:fldChar w:fldCharType="begin"/>
        </w:r>
        <w:r w:rsidR="001E7421">
          <w:rPr>
            <w:noProof/>
            <w:webHidden/>
          </w:rPr>
          <w:instrText xml:space="preserve"> PAGEREF _Toc495415975 \h </w:instrText>
        </w:r>
        <w:r w:rsidR="001E7421">
          <w:rPr>
            <w:noProof/>
            <w:webHidden/>
          </w:rPr>
        </w:r>
        <w:r w:rsidR="001E7421">
          <w:rPr>
            <w:noProof/>
            <w:webHidden/>
          </w:rPr>
          <w:fldChar w:fldCharType="separate"/>
        </w:r>
        <w:r w:rsidR="00CB1545">
          <w:rPr>
            <w:noProof/>
            <w:webHidden/>
          </w:rPr>
          <w:t>67</w:t>
        </w:r>
        <w:r w:rsidR="001E7421">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76" w:history="1">
        <w:r w:rsidR="001E7421" w:rsidRPr="00101E26">
          <w:rPr>
            <w:rStyle w:val="Hyperlink"/>
            <w:noProof/>
          </w:rPr>
          <w:t>Figure 4.6: ACFI 2 Mobility “Transfers” Assistance Levels 2009 - 2016</w:t>
        </w:r>
        <w:r w:rsidR="001E7421">
          <w:rPr>
            <w:noProof/>
            <w:webHidden/>
          </w:rPr>
          <w:tab/>
        </w:r>
        <w:r w:rsidR="001E7421">
          <w:rPr>
            <w:noProof/>
            <w:webHidden/>
          </w:rPr>
          <w:fldChar w:fldCharType="begin"/>
        </w:r>
        <w:r w:rsidR="001E7421">
          <w:rPr>
            <w:noProof/>
            <w:webHidden/>
          </w:rPr>
          <w:instrText xml:space="preserve"> PAGEREF _Toc495415976 \h </w:instrText>
        </w:r>
        <w:r w:rsidR="001E7421">
          <w:rPr>
            <w:noProof/>
            <w:webHidden/>
          </w:rPr>
        </w:r>
        <w:r w:rsidR="001E7421">
          <w:rPr>
            <w:noProof/>
            <w:webHidden/>
          </w:rPr>
          <w:fldChar w:fldCharType="separate"/>
        </w:r>
        <w:r w:rsidR="00CB1545">
          <w:rPr>
            <w:noProof/>
            <w:webHidden/>
          </w:rPr>
          <w:t>67</w:t>
        </w:r>
        <w:r w:rsidR="001E7421">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77" w:history="1">
        <w:r w:rsidR="001E7421" w:rsidRPr="00101E26">
          <w:rPr>
            <w:rStyle w:val="Hyperlink"/>
            <w:noProof/>
          </w:rPr>
          <w:t>Figure 4.7: ACFI 2 Mobility “Locomotion” Assistance Levels 2009 – 2016</w:t>
        </w:r>
        <w:r w:rsidR="001E7421">
          <w:rPr>
            <w:noProof/>
            <w:webHidden/>
          </w:rPr>
          <w:tab/>
        </w:r>
        <w:r w:rsidR="001E7421">
          <w:rPr>
            <w:noProof/>
            <w:webHidden/>
          </w:rPr>
          <w:fldChar w:fldCharType="begin"/>
        </w:r>
        <w:r w:rsidR="001E7421">
          <w:rPr>
            <w:noProof/>
            <w:webHidden/>
          </w:rPr>
          <w:instrText xml:space="preserve"> PAGEREF _Toc495415977 \h </w:instrText>
        </w:r>
        <w:r w:rsidR="001E7421">
          <w:rPr>
            <w:noProof/>
            <w:webHidden/>
          </w:rPr>
        </w:r>
        <w:r w:rsidR="001E7421">
          <w:rPr>
            <w:noProof/>
            <w:webHidden/>
          </w:rPr>
          <w:fldChar w:fldCharType="separate"/>
        </w:r>
        <w:r w:rsidR="00CB1545">
          <w:rPr>
            <w:noProof/>
            <w:webHidden/>
          </w:rPr>
          <w:t>67</w:t>
        </w:r>
        <w:r w:rsidR="001E7421">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78" w:history="1">
        <w:r w:rsidR="001E7421" w:rsidRPr="00101E26">
          <w:rPr>
            <w:rStyle w:val="Hyperlink"/>
            <w:noProof/>
          </w:rPr>
          <w:t>Figure 4.8: ACFI 3 Personal Hygiene Ratings (A, B, C, D) 2009 - 2016</w:t>
        </w:r>
        <w:r w:rsidR="001E7421">
          <w:rPr>
            <w:noProof/>
            <w:webHidden/>
          </w:rPr>
          <w:tab/>
        </w:r>
        <w:r w:rsidR="001E7421">
          <w:rPr>
            <w:noProof/>
            <w:webHidden/>
          </w:rPr>
          <w:fldChar w:fldCharType="begin"/>
        </w:r>
        <w:r w:rsidR="001E7421">
          <w:rPr>
            <w:noProof/>
            <w:webHidden/>
          </w:rPr>
          <w:instrText xml:space="preserve"> PAGEREF _Toc495415978 \h </w:instrText>
        </w:r>
        <w:r w:rsidR="001E7421">
          <w:rPr>
            <w:noProof/>
            <w:webHidden/>
          </w:rPr>
        </w:r>
        <w:r w:rsidR="001E7421">
          <w:rPr>
            <w:noProof/>
            <w:webHidden/>
          </w:rPr>
          <w:fldChar w:fldCharType="separate"/>
        </w:r>
        <w:r w:rsidR="00CB1545">
          <w:rPr>
            <w:noProof/>
            <w:webHidden/>
          </w:rPr>
          <w:t>68</w:t>
        </w:r>
        <w:r w:rsidR="001E7421">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79" w:history="1">
        <w:r w:rsidR="001E7421" w:rsidRPr="00101E26">
          <w:rPr>
            <w:rStyle w:val="Hyperlink"/>
            <w:noProof/>
          </w:rPr>
          <w:t>Figure 4.9: ACFI 3 Personal Hygiene “Dressing” Assistance Levels 2009 - 2016</w:t>
        </w:r>
        <w:r w:rsidR="001E7421">
          <w:rPr>
            <w:noProof/>
            <w:webHidden/>
          </w:rPr>
          <w:tab/>
        </w:r>
        <w:r w:rsidR="001E7421">
          <w:rPr>
            <w:noProof/>
            <w:webHidden/>
          </w:rPr>
          <w:fldChar w:fldCharType="begin"/>
        </w:r>
        <w:r w:rsidR="001E7421">
          <w:rPr>
            <w:noProof/>
            <w:webHidden/>
          </w:rPr>
          <w:instrText xml:space="preserve"> PAGEREF _Toc495415979 \h </w:instrText>
        </w:r>
        <w:r w:rsidR="001E7421">
          <w:rPr>
            <w:noProof/>
            <w:webHidden/>
          </w:rPr>
        </w:r>
        <w:r w:rsidR="001E7421">
          <w:rPr>
            <w:noProof/>
            <w:webHidden/>
          </w:rPr>
          <w:fldChar w:fldCharType="separate"/>
        </w:r>
        <w:r w:rsidR="00CB1545">
          <w:rPr>
            <w:noProof/>
            <w:webHidden/>
          </w:rPr>
          <w:t>68</w:t>
        </w:r>
        <w:r w:rsidR="001E7421">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80" w:history="1">
        <w:r w:rsidR="001E7421" w:rsidRPr="00101E26">
          <w:rPr>
            <w:rStyle w:val="Hyperlink"/>
            <w:noProof/>
          </w:rPr>
          <w:t xml:space="preserve">Figure 4.10: ACFI 3 </w:t>
        </w:r>
        <w:r w:rsidR="001E7421" w:rsidRPr="00101E26">
          <w:rPr>
            <w:rStyle w:val="Hyperlink"/>
            <w:noProof/>
            <w:lang w:val="en-US"/>
          </w:rPr>
          <w:t>Personal Hygiene “Washing” Assistance Levels 2009 - 2016</w:t>
        </w:r>
        <w:r w:rsidR="001E7421">
          <w:rPr>
            <w:noProof/>
            <w:webHidden/>
          </w:rPr>
          <w:tab/>
        </w:r>
        <w:r w:rsidR="001E7421">
          <w:rPr>
            <w:noProof/>
            <w:webHidden/>
          </w:rPr>
          <w:fldChar w:fldCharType="begin"/>
        </w:r>
        <w:r w:rsidR="001E7421">
          <w:rPr>
            <w:noProof/>
            <w:webHidden/>
          </w:rPr>
          <w:instrText xml:space="preserve"> PAGEREF _Toc495415980 \h </w:instrText>
        </w:r>
        <w:r w:rsidR="001E7421">
          <w:rPr>
            <w:noProof/>
            <w:webHidden/>
          </w:rPr>
        </w:r>
        <w:r w:rsidR="001E7421">
          <w:rPr>
            <w:noProof/>
            <w:webHidden/>
          </w:rPr>
          <w:fldChar w:fldCharType="separate"/>
        </w:r>
        <w:r w:rsidR="00CB1545">
          <w:rPr>
            <w:noProof/>
            <w:webHidden/>
          </w:rPr>
          <w:t>69</w:t>
        </w:r>
        <w:r w:rsidR="001E7421">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81" w:history="1">
        <w:r w:rsidR="001E7421" w:rsidRPr="00101E26">
          <w:rPr>
            <w:rStyle w:val="Hyperlink"/>
            <w:noProof/>
          </w:rPr>
          <w:t>Figure 4.11: ACFI 3 Personal Hygiene “Grooming” Assistance Levels 2009 - 2016</w:t>
        </w:r>
        <w:r w:rsidR="001E7421">
          <w:rPr>
            <w:noProof/>
            <w:webHidden/>
          </w:rPr>
          <w:tab/>
        </w:r>
        <w:r w:rsidR="001E7421">
          <w:rPr>
            <w:noProof/>
            <w:webHidden/>
          </w:rPr>
          <w:fldChar w:fldCharType="begin"/>
        </w:r>
        <w:r w:rsidR="001E7421">
          <w:rPr>
            <w:noProof/>
            <w:webHidden/>
          </w:rPr>
          <w:instrText xml:space="preserve"> PAGEREF _Toc495415981 \h </w:instrText>
        </w:r>
        <w:r w:rsidR="001E7421">
          <w:rPr>
            <w:noProof/>
            <w:webHidden/>
          </w:rPr>
        </w:r>
        <w:r w:rsidR="001E7421">
          <w:rPr>
            <w:noProof/>
            <w:webHidden/>
          </w:rPr>
          <w:fldChar w:fldCharType="separate"/>
        </w:r>
        <w:r w:rsidR="00CB1545">
          <w:rPr>
            <w:noProof/>
            <w:webHidden/>
          </w:rPr>
          <w:t>69</w:t>
        </w:r>
        <w:r w:rsidR="001E7421">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82" w:history="1">
        <w:r w:rsidR="001E7421" w:rsidRPr="00101E26">
          <w:rPr>
            <w:rStyle w:val="Hyperlink"/>
            <w:noProof/>
          </w:rPr>
          <w:t>Figure 4.12: ACFI 4 Toileting Ratings (A, B, C, D) 2009 - 2016</w:t>
        </w:r>
        <w:r w:rsidR="001E7421">
          <w:rPr>
            <w:noProof/>
            <w:webHidden/>
          </w:rPr>
          <w:tab/>
        </w:r>
        <w:r w:rsidR="001E7421">
          <w:rPr>
            <w:noProof/>
            <w:webHidden/>
          </w:rPr>
          <w:fldChar w:fldCharType="begin"/>
        </w:r>
        <w:r w:rsidR="001E7421">
          <w:rPr>
            <w:noProof/>
            <w:webHidden/>
          </w:rPr>
          <w:instrText xml:space="preserve"> PAGEREF _Toc495415982 \h </w:instrText>
        </w:r>
        <w:r w:rsidR="001E7421">
          <w:rPr>
            <w:noProof/>
            <w:webHidden/>
          </w:rPr>
        </w:r>
        <w:r w:rsidR="001E7421">
          <w:rPr>
            <w:noProof/>
            <w:webHidden/>
          </w:rPr>
          <w:fldChar w:fldCharType="separate"/>
        </w:r>
        <w:r w:rsidR="00CB1545">
          <w:rPr>
            <w:noProof/>
            <w:webHidden/>
          </w:rPr>
          <w:t>69</w:t>
        </w:r>
        <w:r w:rsidR="001E7421">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83" w:history="1">
        <w:r w:rsidR="001E7421" w:rsidRPr="00101E26">
          <w:rPr>
            <w:rStyle w:val="Hyperlink"/>
            <w:noProof/>
          </w:rPr>
          <w:t>Figure 4.13: ACFI 4 Toileting “Toilet Use” Assistance Levels 2009 - 2016</w:t>
        </w:r>
        <w:r w:rsidR="001E7421">
          <w:rPr>
            <w:noProof/>
            <w:webHidden/>
          </w:rPr>
          <w:tab/>
        </w:r>
        <w:r w:rsidR="001E7421">
          <w:rPr>
            <w:noProof/>
            <w:webHidden/>
          </w:rPr>
          <w:fldChar w:fldCharType="begin"/>
        </w:r>
        <w:r w:rsidR="001E7421">
          <w:rPr>
            <w:noProof/>
            <w:webHidden/>
          </w:rPr>
          <w:instrText xml:space="preserve"> PAGEREF _Toc495415983 \h </w:instrText>
        </w:r>
        <w:r w:rsidR="001E7421">
          <w:rPr>
            <w:noProof/>
            <w:webHidden/>
          </w:rPr>
        </w:r>
        <w:r w:rsidR="001E7421">
          <w:rPr>
            <w:noProof/>
            <w:webHidden/>
          </w:rPr>
          <w:fldChar w:fldCharType="separate"/>
        </w:r>
        <w:r w:rsidR="00CB1545">
          <w:rPr>
            <w:noProof/>
            <w:webHidden/>
          </w:rPr>
          <w:t>70</w:t>
        </w:r>
        <w:r w:rsidR="001E7421">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84" w:history="1">
        <w:r w:rsidR="001E7421" w:rsidRPr="00101E26">
          <w:rPr>
            <w:rStyle w:val="Hyperlink"/>
            <w:noProof/>
          </w:rPr>
          <w:t>Figure 4.14: ACFI 4 Toileting “Toilet Completion” Assistance Levels 2009 – 2016</w:t>
        </w:r>
        <w:r w:rsidR="001E7421">
          <w:rPr>
            <w:noProof/>
            <w:webHidden/>
          </w:rPr>
          <w:tab/>
        </w:r>
        <w:r w:rsidR="001E7421">
          <w:rPr>
            <w:noProof/>
            <w:webHidden/>
          </w:rPr>
          <w:fldChar w:fldCharType="begin"/>
        </w:r>
        <w:r w:rsidR="001E7421">
          <w:rPr>
            <w:noProof/>
            <w:webHidden/>
          </w:rPr>
          <w:instrText xml:space="preserve"> PAGEREF _Toc495415984 \h </w:instrText>
        </w:r>
        <w:r w:rsidR="001E7421">
          <w:rPr>
            <w:noProof/>
            <w:webHidden/>
          </w:rPr>
        </w:r>
        <w:r w:rsidR="001E7421">
          <w:rPr>
            <w:noProof/>
            <w:webHidden/>
          </w:rPr>
          <w:fldChar w:fldCharType="separate"/>
        </w:r>
        <w:r w:rsidR="00CB1545">
          <w:rPr>
            <w:noProof/>
            <w:webHidden/>
          </w:rPr>
          <w:t>70</w:t>
        </w:r>
        <w:r w:rsidR="001E7421">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85" w:history="1">
        <w:r w:rsidR="001E7421" w:rsidRPr="00101E26">
          <w:rPr>
            <w:rStyle w:val="Hyperlink"/>
            <w:noProof/>
          </w:rPr>
          <w:t>Figure 4.15: ACFI 5 Continence Ratings (A, B, C, D) 2009 - 2016</w:t>
        </w:r>
        <w:r w:rsidR="001E7421">
          <w:rPr>
            <w:noProof/>
            <w:webHidden/>
          </w:rPr>
          <w:tab/>
        </w:r>
        <w:r w:rsidR="001E7421">
          <w:rPr>
            <w:noProof/>
            <w:webHidden/>
          </w:rPr>
          <w:fldChar w:fldCharType="begin"/>
        </w:r>
        <w:r w:rsidR="001E7421">
          <w:rPr>
            <w:noProof/>
            <w:webHidden/>
          </w:rPr>
          <w:instrText xml:space="preserve"> PAGEREF _Toc495415985 \h </w:instrText>
        </w:r>
        <w:r w:rsidR="001E7421">
          <w:rPr>
            <w:noProof/>
            <w:webHidden/>
          </w:rPr>
        </w:r>
        <w:r w:rsidR="001E7421">
          <w:rPr>
            <w:noProof/>
            <w:webHidden/>
          </w:rPr>
          <w:fldChar w:fldCharType="separate"/>
        </w:r>
        <w:r w:rsidR="00CB1545">
          <w:rPr>
            <w:noProof/>
            <w:webHidden/>
          </w:rPr>
          <w:t>70</w:t>
        </w:r>
        <w:r w:rsidR="001E7421">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86" w:history="1">
        <w:r w:rsidR="001E7421" w:rsidRPr="00101E26">
          <w:rPr>
            <w:rStyle w:val="Hyperlink"/>
            <w:noProof/>
          </w:rPr>
          <w:t>Figure 4.16: ACFI 5 Continence “Urine” Assistance Levels 2010 - 2016</w:t>
        </w:r>
        <w:r w:rsidR="001E7421">
          <w:rPr>
            <w:noProof/>
            <w:webHidden/>
          </w:rPr>
          <w:tab/>
        </w:r>
        <w:r w:rsidR="001E7421">
          <w:rPr>
            <w:noProof/>
            <w:webHidden/>
          </w:rPr>
          <w:fldChar w:fldCharType="begin"/>
        </w:r>
        <w:r w:rsidR="001E7421">
          <w:rPr>
            <w:noProof/>
            <w:webHidden/>
          </w:rPr>
          <w:instrText xml:space="preserve"> PAGEREF _Toc495415986 \h </w:instrText>
        </w:r>
        <w:r w:rsidR="001E7421">
          <w:rPr>
            <w:noProof/>
            <w:webHidden/>
          </w:rPr>
        </w:r>
        <w:r w:rsidR="001E7421">
          <w:rPr>
            <w:noProof/>
            <w:webHidden/>
          </w:rPr>
          <w:fldChar w:fldCharType="separate"/>
        </w:r>
        <w:r w:rsidR="00CB1545">
          <w:rPr>
            <w:noProof/>
            <w:webHidden/>
          </w:rPr>
          <w:t>71</w:t>
        </w:r>
        <w:r w:rsidR="001E7421">
          <w:rPr>
            <w:noProof/>
            <w:webHidden/>
          </w:rPr>
          <w:fldChar w:fldCharType="end"/>
        </w:r>
      </w:hyperlink>
    </w:p>
    <w:p w:rsidR="001E7421" w:rsidRDefault="00473246" w:rsidP="00E533FD">
      <w:pPr>
        <w:pStyle w:val="TableofFigures"/>
        <w:tabs>
          <w:tab w:val="right" w:leader="dot" w:pos="9016"/>
        </w:tabs>
        <w:spacing w:before="60" w:after="60"/>
        <w:jc w:val="left"/>
        <w:rPr>
          <w:rFonts w:eastAsiaTheme="minorEastAsia"/>
          <w:noProof/>
          <w:sz w:val="22"/>
          <w:lang w:eastAsia="en-AU"/>
        </w:rPr>
      </w:pPr>
      <w:hyperlink w:anchor="_Toc495415987" w:history="1">
        <w:r w:rsidR="001E7421" w:rsidRPr="00101E26">
          <w:rPr>
            <w:rStyle w:val="Hyperlink"/>
            <w:noProof/>
          </w:rPr>
          <w:t>Figure 4.17: ACFI 5 Continence “Bowel” Assistance Levels 2010 – 2016</w:t>
        </w:r>
        <w:r w:rsidR="001E7421">
          <w:rPr>
            <w:noProof/>
            <w:webHidden/>
          </w:rPr>
          <w:tab/>
        </w:r>
        <w:r w:rsidR="001E7421">
          <w:rPr>
            <w:noProof/>
            <w:webHidden/>
          </w:rPr>
          <w:fldChar w:fldCharType="begin"/>
        </w:r>
        <w:r w:rsidR="001E7421">
          <w:rPr>
            <w:noProof/>
            <w:webHidden/>
          </w:rPr>
          <w:instrText xml:space="preserve"> PAGEREF _Toc495415987 \h </w:instrText>
        </w:r>
        <w:r w:rsidR="001E7421">
          <w:rPr>
            <w:noProof/>
            <w:webHidden/>
          </w:rPr>
        </w:r>
        <w:r w:rsidR="001E7421">
          <w:rPr>
            <w:noProof/>
            <w:webHidden/>
          </w:rPr>
          <w:fldChar w:fldCharType="separate"/>
        </w:r>
        <w:r w:rsidR="00CB1545">
          <w:rPr>
            <w:noProof/>
            <w:webHidden/>
          </w:rPr>
          <w:t>71</w:t>
        </w:r>
        <w:r w:rsidR="001E7421">
          <w:rPr>
            <w:noProof/>
            <w:webHidden/>
          </w:rPr>
          <w:fldChar w:fldCharType="end"/>
        </w:r>
      </w:hyperlink>
    </w:p>
    <w:p w:rsidR="00C2100A" w:rsidRDefault="00C2100A" w:rsidP="00E533FD">
      <w:pPr>
        <w:pStyle w:val="TableofFigures"/>
        <w:tabs>
          <w:tab w:val="right" w:leader="dot" w:pos="9016"/>
        </w:tabs>
        <w:spacing w:before="60" w:after="60"/>
        <w:jc w:val="left"/>
        <w:rPr>
          <w:rFonts w:eastAsiaTheme="minorEastAsia"/>
          <w:noProof/>
          <w:sz w:val="22"/>
          <w:lang w:eastAsia="en-AU"/>
        </w:rPr>
      </w:pPr>
      <w:r>
        <w:fldChar w:fldCharType="begin"/>
      </w:r>
      <w:r>
        <w:instrText xml:space="preserve"> TOC \h \z \c "Figure 5." </w:instrText>
      </w:r>
      <w:r>
        <w:fldChar w:fldCharType="separate"/>
      </w:r>
      <w:hyperlink w:anchor="_Toc495416508" w:history="1">
        <w:r w:rsidRPr="00FF7D1D">
          <w:rPr>
            <w:rStyle w:val="Hyperlink"/>
            <w:noProof/>
          </w:rPr>
          <w:t xml:space="preserve">Figure 5.1: </w:t>
        </w:r>
        <w:r w:rsidRPr="00FF7D1D">
          <w:rPr>
            <w:rStyle w:val="Hyperlink"/>
            <w:bCs/>
            <w:noProof/>
            <w:lang w:val="en-US"/>
          </w:rPr>
          <w:t>BEH Domain Classifications (N, L, M, H) 2009 - 2016</w:t>
        </w:r>
        <w:r>
          <w:rPr>
            <w:noProof/>
            <w:webHidden/>
          </w:rPr>
          <w:tab/>
        </w:r>
        <w:r>
          <w:rPr>
            <w:noProof/>
            <w:webHidden/>
          </w:rPr>
          <w:fldChar w:fldCharType="begin"/>
        </w:r>
        <w:r>
          <w:rPr>
            <w:noProof/>
            <w:webHidden/>
          </w:rPr>
          <w:instrText xml:space="preserve"> PAGEREF _Toc495416508 \h </w:instrText>
        </w:r>
        <w:r>
          <w:rPr>
            <w:noProof/>
            <w:webHidden/>
          </w:rPr>
        </w:r>
        <w:r>
          <w:rPr>
            <w:noProof/>
            <w:webHidden/>
          </w:rPr>
          <w:fldChar w:fldCharType="separate"/>
        </w:r>
        <w:r w:rsidR="00CB1545">
          <w:rPr>
            <w:noProof/>
            <w:webHidden/>
          </w:rPr>
          <w:t>99</w:t>
        </w:r>
        <w:r>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09" w:history="1">
        <w:r w:rsidR="00C2100A" w:rsidRPr="00FF7D1D">
          <w:rPr>
            <w:rStyle w:val="Hyperlink"/>
            <w:noProof/>
          </w:rPr>
          <w:t xml:space="preserve">Figure 5.2: ACFI 6 </w:t>
        </w:r>
        <w:r w:rsidR="00C2100A" w:rsidRPr="00FF7D1D">
          <w:rPr>
            <w:rStyle w:val="Hyperlink"/>
            <w:noProof/>
            <w:lang w:val="en-US"/>
          </w:rPr>
          <w:t>Cognition Ratings (A, B, C, D) 2009 – 2016</w:t>
        </w:r>
        <w:r w:rsidR="00C2100A">
          <w:rPr>
            <w:noProof/>
            <w:webHidden/>
          </w:rPr>
          <w:tab/>
        </w:r>
        <w:r w:rsidR="00C2100A">
          <w:rPr>
            <w:noProof/>
            <w:webHidden/>
          </w:rPr>
          <w:fldChar w:fldCharType="begin"/>
        </w:r>
        <w:r w:rsidR="00C2100A">
          <w:rPr>
            <w:noProof/>
            <w:webHidden/>
          </w:rPr>
          <w:instrText xml:space="preserve"> PAGEREF _Toc495416509 \h </w:instrText>
        </w:r>
        <w:r w:rsidR="00C2100A">
          <w:rPr>
            <w:noProof/>
            <w:webHidden/>
          </w:rPr>
        </w:r>
        <w:r w:rsidR="00C2100A">
          <w:rPr>
            <w:noProof/>
            <w:webHidden/>
          </w:rPr>
          <w:fldChar w:fldCharType="separate"/>
        </w:r>
        <w:r w:rsidR="00CB1545">
          <w:rPr>
            <w:noProof/>
            <w:webHidden/>
          </w:rPr>
          <w:t>101</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10" w:history="1">
        <w:r w:rsidR="00C2100A" w:rsidRPr="00FF7D1D">
          <w:rPr>
            <w:rStyle w:val="Hyperlink"/>
            <w:noProof/>
          </w:rPr>
          <w:t xml:space="preserve">Figure 5.3: ACFI 6 Average PAS-CIS Scores 2009 - 2016 </w:t>
        </w:r>
        <w:r w:rsidR="00C2100A">
          <w:rPr>
            <w:noProof/>
            <w:webHidden/>
          </w:rPr>
          <w:tab/>
        </w:r>
        <w:r w:rsidR="00C2100A">
          <w:rPr>
            <w:noProof/>
            <w:webHidden/>
          </w:rPr>
          <w:fldChar w:fldCharType="begin"/>
        </w:r>
        <w:r w:rsidR="00C2100A">
          <w:rPr>
            <w:noProof/>
            <w:webHidden/>
          </w:rPr>
          <w:instrText xml:space="preserve"> PAGEREF _Toc495416510 \h </w:instrText>
        </w:r>
        <w:r w:rsidR="00C2100A">
          <w:rPr>
            <w:noProof/>
            <w:webHidden/>
          </w:rPr>
        </w:r>
        <w:r w:rsidR="00C2100A">
          <w:rPr>
            <w:noProof/>
            <w:webHidden/>
          </w:rPr>
          <w:fldChar w:fldCharType="separate"/>
        </w:r>
        <w:r w:rsidR="00CB1545">
          <w:rPr>
            <w:noProof/>
            <w:webHidden/>
          </w:rPr>
          <w:t>101</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11" w:history="1">
        <w:r w:rsidR="00C2100A" w:rsidRPr="00FF7D1D">
          <w:rPr>
            <w:rStyle w:val="Hyperlink"/>
            <w:noProof/>
          </w:rPr>
          <w:t>Figure 5.4: ACFI 7 Wandering Behaviour Frequency Levels 2009 - 2016</w:t>
        </w:r>
        <w:r w:rsidR="00C2100A">
          <w:rPr>
            <w:noProof/>
            <w:webHidden/>
          </w:rPr>
          <w:tab/>
        </w:r>
        <w:r w:rsidR="00C2100A">
          <w:rPr>
            <w:noProof/>
            <w:webHidden/>
          </w:rPr>
          <w:fldChar w:fldCharType="begin"/>
        </w:r>
        <w:r w:rsidR="00C2100A">
          <w:rPr>
            <w:noProof/>
            <w:webHidden/>
          </w:rPr>
          <w:instrText xml:space="preserve"> PAGEREF _Toc495416511 \h </w:instrText>
        </w:r>
        <w:r w:rsidR="00C2100A">
          <w:rPr>
            <w:noProof/>
            <w:webHidden/>
          </w:rPr>
        </w:r>
        <w:r w:rsidR="00C2100A">
          <w:rPr>
            <w:noProof/>
            <w:webHidden/>
          </w:rPr>
          <w:fldChar w:fldCharType="separate"/>
        </w:r>
        <w:r w:rsidR="00CB1545">
          <w:rPr>
            <w:noProof/>
            <w:webHidden/>
          </w:rPr>
          <w:t>102</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12" w:history="1">
        <w:r w:rsidR="00C2100A" w:rsidRPr="00FF7D1D">
          <w:rPr>
            <w:rStyle w:val="Hyperlink"/>
            <w:noProof/>
          </w:rPr>
          <w:t>Figure 5.5: ACFI 7 Wandering Behaviour Type 2009 - 2016</w:t>
        </w:r>
        <w:r w:rsidR="00C2100A">
          <w:rPr>
            <w:noProof/>
            <w:webHidden/>
          </w:rPr>
          <w:tab/>
        </w:r>
        <w:r w:rsidR="00C2100A">
          <w:rPr>
            <w:noProof/>
            <w:webHidden/>
          </w:rPr>
          <w:fldChar w:fldCharType="begin"/>
        </w:r>
        <w:r w:rsidR="00C2100A">
          <w:rPr>
            <w:noProof/>
            <w:webHidden/>
          </w:rPr>
          <w:instrText xml:space="preserve"> PAGEREF _Toc495416512 \h </w:instrText>
        </w:r>
        <w:r w:rsidR="00C2100A">
          <w:rPr>
            <w:noProof/>
            <w:webHidden/>
          </w:rPr>
        </w:r>
        <w:r w:rsidR="00C2100A">
          <w:rPr>
            <w:noProof/>
            <w:webHidden/>
          </w:rPr>
          <w:fldChar w:fldCharType="separate"/>
        </w:r>
        <w:r w:rsidR="00CB1545">
          <w:rPr>
            <w:noProof/>
            <w:webHidden/>
          </w:rPr>
          <w:t>102</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13" w:history="1">
        <w:r w:rsidR="00C2100A" w:rsidRPr="00FF7D1D">
          <w:rPr>
            <w:rStyle w:val="Hyperlink"/>
            <w:noProof/>
          </w:rPr>
          <w:t>Figure 5.6: ACFI 8 Verbal Behaviour Frequency Levels 2009 - 2016</w:t>
        </w:r>
        <w:r w:rsidR="00C2100A">
          <w:rPr>
            <w:noProof/>
            <w:webHidden/>
          </w:rPr>
          <w:tab/>
        </w:r>
        <w:r w:rsidR="00C2100A">
          <w:rPr>
            <w:noProof/>
            <w:webHidden/>
          </w:rPr>
          <w:fldChar w:fldCharType="begin"/>
        </w:r>
        <w:r w:rsidR="00C2100A">
          <w:rPr>
            <w:noProof/>
            <w:webHidden/>
          </w:rPr>
          <w:instrText xml:space="preserve"> PAGEREF _Toc495416513 \h </w:instrText>
        </w:r>
        <w:r w:rsidR="00C2100A">
          <w:rPr>
            <w:noProof/>
            <w:webHidden/>
          </w:rPr>
        </w:r>
        <w:r w:rsidR="00C2100A">
          <w:rPr>
            <w:noProof/>
            <w:webHidden/>
          </w:rPr>
          <w:fldChar w:fldCharType="separate"/>
        </w:r>
        <w:r w:rsidR="00CB1545">
          <w:rPr>
            <w:noProof/>
            <w:webHidden/>
          </w:rPr>
          <w:t>103</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14" w:history="1">
        <w:r w:rsidR="00C2100A" w:rsidRPr="00FF7D1D">
          <w:rPr>
            <w:rStyle w:val="Hyperlink"/>
            <w:noProof/>
          </w:rPr>
          <w:t>Figure 5.7: ACFI 8 Verbal Behaviour Type 2009 - 2016</w:t>
        </w:r>
        <w:r w:rsidR="00C2100A">
          <w:rPr>
            <w:noProof/>
            <w:webHidden/>
          </w:rPr>
          <w:tab/>
        </w:r>
        <w:r w:rsidR="00C2100A">
          <w:rPr>
            <w:noProof/>
            <w:webHidden/>
          </w:rPr>
          <w:fldChar w:fldCharType="begin"/>
        </w:r>
        <w:r w:rsidR="00C2100A">
          <w:rPr>
            <w:noProof/>
            <w:webHidden/>
          </w:rPr>
          <w:instrText xml:space="preserve"> PAGEREF _Toc495416514 \h </w:instrText>
        </w:r>
        <w:r w:rsidR="00C2100A">
          <w:rPr>
            <w:noProof/>
            <w:webHidden/>
          </w:rPr>
        </w:r>
        <w:r w:rsidR="00C2100A">
          <w:rPr>
            <w:noProof/>
            <w:webHidden/>
          </w:rPr>
          <w:fldChar w:fldCharType="separate"/>
        </w:r>
        <w:r w:rsidR="00CB1545">
          <w:rPr>
            <w:noProof/>
            <w:webHidden/>
          </w:rPr>
          <w:t>103</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15" w:history="1">
        <w:r w:rsidR="00C2100A" w:rsidRPr="00FF7D1D">
          <w:rPr>
            <w:rStyle w:val="Hyperlink"/>
            <w:noProof/>
          </w:rPr>
          <w:t>Figure 5.8: ACFI 9 Physical Behaviour Frequency Levels 2009 - 2016</w:t>
        </w:r>
        <w:r w:rsidR="00C2100A">
          <w:rPr>
            <w:noProof/>
            <w:webHidden/>
          </w:rPr>
          <w:tab/>
        </w:r>
        <w:r w:rsidR="00C2100A">
          <w:rPr>
            <w:noProof/>
            <w:webHidden/>
          </w:rPr>
          <w:fldChar w:fldCharType="begin"/>
        </w:r>
        <w:r w:rsidR="00C2100A">
          <w:rPr>
            <w:noProof/>
            <w:webHidden/>
          </w:rPr>
          <w:instrText xml:space="preserve"> PAGEREF _Toc495416515 \h </w:instrText>
        </w:r>
        <w:r w:rsidR="00C2100A">
          <w:rPr>
            <w:noProof/>
            <w:webHidden/>
          </w:rPr>
        </w:r>
        <w:r w:rsidR="00C2100A">
          <w:rPr>
            <w:noProof/>
            <w:webHidden/>
          </w:rPr>
          <w:fldChar w:fldCharType="separate"/>
        </w:r>
        <w:r w:rsidR="00CB1545">
          <w:rPr>
            <w:noProof/>
            <w:webHidden/>
          </w:rPr>
          <w:t>104</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16" w:history="1">
        <w:r w:rsidR="00C2100A" w:rsidRPr="00FF7D1D">
          <w:rPr>
            <w:rStyle w:val="Hyperlink"/>
            <w:noProof/>
          </w:rPr>
          <w:t>Figure 5.9: ACFI 9 Physical Behaviour Type 2009 - 2016</w:t>
        </w:r>
        <w:r w:rsidR="00C2100A">
          <w:rPr>
            <w:noProof/>
            <w:webHidden/>
          </w:rPr>
          <w:tab/>
        </w:r>
        <w:r w:rsidR="00C2100A">
          <w:rPr>
            <w:noProof/>
            <w:webHidden/>
          </w:rPr>
          <w:fldChar w:fldCharType="begin"/>
        </w:r>
        <w:r w:rsidR="00C2100A">
          <w:rPr>
            <w:noProof/>
            <w:webHidden/>
          </w:rPr>
          <w:instrText xml:space="preserve"> PAGEREF _Toc495416516 \h </w:instrText>
        </w:r>
        <w:r w:rsidR="00C2100A">
          <w:rPr>
            <w:noProof/>
            <w:webHidden/>
          </w:rPr>
        </w:r>
        <w:r w:rsidR="00C2100A">
          <w:rPr>
            <w:noProof/>
            <w:webHidden/>
          </w:rPr>
          <w:fldChar w:fldCharType="separate"/>
        </w:r>
        <w:r w:rsidR="00CB1545">
          <w:rPr>
            <w:noProof/>
            <w:webHidden/>
          </w:rPr>
          <w:t>104</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17" w:history="1">
        <w:r w:rsidR="00C2100A" w:rsidRPr="00FF7D1D">
          <w:rPr>
            <w:rStyle w:val="Hyperlink"/>
            <w:noProof/>
          </w:rPr>
          <w:t>Figure 5.10: ACFI 10 Depression Symptoms Levels on the CSD 2009 - 2016</w:t>
        </w:r>
        <w:r w:rsidR="00C2100A">
          <w:rPr>
            <w:noProof/>
            <w:webHidden/>
          </w:rPr>
          <w:tab/>
        </w:r>
        <w:r w:rsidR="00C2100A">
          <w:rPr>
            <w:noProof/>
            <w:webHidden/>
          </w:rPr>
          <w:fldChar w:fldCharType="begin"/>
        </w:r>
        <w:r w:rsidR="00C2100A">
          <w:rPr>
            <w:noProof/>
            <w:webHidden/>
          </w:rPr>
          <w:instrText xml:space="preserve"> PAGEREF _Toc495416517 \h </w:instrText>
        </w:r>
        <w:r w:rsidR="00C2100A">
          <w:rPr>
            <w:noProof/>
            <w:webHidden/>
          </w:rPr>
        </w:r>
        <w:r w:rsidR="00C2100A">
          <w:rPr>
            <w:noProof/>
            <w:webHidden/>
          </w:rPr>
          <w:fldChar w:fldCharType="separate"/>
        </w:r>
        <w:r w:rsidR="00CB1545">
          <w:rPr>
            <w:noProof/>
            <w:webHidden/>
          </w:rPr>
          <w:t>105</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18" w:history="1">
        <w:r w:rsidR="00C2100A" w:rsidRPr="00FF7D1D">
          <w:rPr>
            <w:rStyle w:val="Hyperlink"/>
            <w:noProof/>
          </w:rPr>
          <w:t>Figure 5.11: ACFI 10 Depression Diagnosis Levels 2009 - 2016</w:t>
        </w:r>
        <w:r w:rsidR="00C2100A">
          <w:rPr>
            <w:noProof/>
            <w:webHidden/>
          </w:rPr>
          <w:tab/>
        </w:r>
        <w:r w:rsidR="00C2100A">
          <w:rPr>
            <w:noProof/>
            <w:webHidden/>
          </w:rPr>
          <w:fldChar w:fldCharType="begin"/>
        </w:r>
        <w:r w:rsidR="00C2100A">
          <w:rPr>
            <w:noProof/>
            <w:webHidden/>
          </w:rPr>
          <w:instrText xml:space="preserve"> PAGEREF _Toc495416518 \h </w:instrText>
        </w:r>
        <w:r w:rsidR="00C2100A">
          <w:rPr>
            <w:noProof/>
            <w:webHidden/>
          </w:rPr>
        </w:r>
        <w:r w:rsidR="00C2100A">
          <w:rPr>
            <w:noProof/>
            <w:webHidden/>
          </w:rPr>
          <w:fldChar w:fldCharType="separate"/>
        </w:r>
        <w:r w:rsidR="00CB1545">
          <w:rPr>
            <w:noProof/>
            <w:webHidden/>
          </w:rPr>
          <w:t>105</w:t>
        </w:r>
        <w:r w:rsidR="00C2100A">
          <w:rPr>
            <w:noProof/>
            <w:webHidden/>
          </w:rPr>
          <w:fldChar w:fldCharType="end"/>
        </w:r>
      </w:hyperlink>
    </w:p>
    <w:p w:rsidR="00C2100A" w:rsidRDefault="00C2100A" w:rsidP="00E533FD">
      <w:pPr>
        <w:pStyle w:val="TableofFigures"/>
        <w:tabs>
          <w:tab w:val="right" w:leader="dot" w:pos="9016"/>
        </w:tabs>
        <w:spacing w:before="60" w:after="60"/>
        <w:jc w:val="left"/>
        <w:rPr>
          <w:rFonts w:eastAsiaTheme="minorEastAsia"/>
          <w:noProof/>
          <w:sz w:val="22"/>
          <w:lang w:eastAsia="en-AU"/>
        </w:rPr>
      </w:pPr>
      <w:r>
        <w:fldChar w:fldCharType="end"/>
      </w:r>
      <w:hyperlink w:anchor="_Toc495416520" w:history="1">
        <w:r w:rsidRPr="009A28EA">
          <w:rPr>
            <w:rStyle w:val="Hyperlink"/>
            <w:noProof/>
          </w:rPr>
          <w:t>Figure 6.1: Complex Health Care Domain Classifications (N, L, M, H) 2009 - 2016</w:t>
        </w:r>
        <w:r>
          <w:rPr>
            <w:noProof/>
            <w:webHidden/>
          </w:rPr>
          <w:tab/>
        </w:r>
        <w:r>
          <w:rPr>
            <w:noProof/>
            <w:webHidden/>
          </w:rPr>
          <w:fldChar w:fldCharType="begin"/>
        </w:r>
        <w:r>
          <w:rPr>
            <w:noProof/>
            <w:webHidden/>
          </w:rPr>
          <w:instrText xml:space="preserve"> PAGEREF _Toc495416520 \h </w:instrText>
        </w:r>
        <w:r>
          <w:rPr>
            <w:noProof/>
            <w:webHidden/>
          </w:rPr>
        </w:r>
        <w:r>
          <w:rPr>
            <w:noProof/>
            <w:webHidden/>
          </w:rPr>
          <w:fldChar w:fldCharType="separate"/>
        </w:r>
        <w:r w:rsidR="00CB1545">
          <w:rPr>
            <w:noProof/>
            <w:webHidden/>
          </w:rPr>
          <w:t>123</w:t>
        </w:r>
        <w:r>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21" w:history="1">
        <w:r w:rsidR="00C2100A" w:rsidRPr="009A28EA">
          <w:rPr>
            <w:rStyle w:val="Hyperlink"/>
            <w:noProof/>
          </w:rPr>
          <w:t>Figure 6.2: ACFI 11 Medication Rating B=Assistance Required (2009 – 2016)</w:t>
        </w:r>
        <w:r w:rsidR="00C2100A">
          <w:rPr>
            <w:noProof/>
            <w:webHidden/>
          </w:rPr>
          <w:tab/>
        </w:r>
        <w:r w:rsidR="00C2100A">
          <w:rPr>
            <w:noProof/>
            <w:webHidden/>
          </w:rPr>
          <w:fldChar w:fldCharType="begin"/>
        </w:r>
        <w:r w:rsidR="00C2100A">
          <w:rPr>
            <w:noProof/>
            <w:webHidden/>
          </w:rPr>
          <w:instrText xml:space="preserve"> PAGEREF _Toc495416521 \h </w:instrText>
        </w:r>
        <w:r w:rsidR="00C2100A">
          <w:rPr>
            <w:noProof/>
            <w:webHidden/>
          </w:rPr>
        </w:r>
        <w:r w:rsidR="00C2100A">
          <w:rPr>
            <w:noProof/>
            <w:webHidden/>
          </w:rPr>
          <w:fldChar w:fldCharType="separate"/>
        </w:r>
        <w:r w:rsidR="00CB1545">
          <w:rPr>
            <w:noProof/>
            <w:webHidden/>
          </w:rPr>
          <w:t>124</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22" w:history="1">
        <w:r w:rsidR="00C2100A" w:rsidRPr="009A28EA">
          <w:rPr>
            <w:rStyle w:val="Hyperlink"/>
            <w:noProof/>
          </w:rPr>
          <w:t xml:space="preserve">Figure 6.3: ACFI 11 Medication Ratings A = No Help and C = Injections (2009 – 2016) </w:t>
        </w:r>
        <w:r w:rsidR="00C2100A">
          <w:rPr>
            <w:noProof/>
            <w:webHidden/>
          </w:rPr>
          <w:tab/>
        </w:r>
        <w:r w:rsidR="00C2100A">
          <w:rPr>
            <w:noProof/>
            <w:webHidden/>
          </w:rPr>
          <w:fldChar w:fldCharType="begin"/>
        </w:r>
        <w:r w:rsidR="00C2100A">
          <w:rPr>
            <w:noProof/>
            <w:webHidden/>
          </w:rPr>
          <w:instrText xml:space="preserve"> PAGEREF _Toc495416522 \h </w:instrText>
        </w:r>
        <w:r w:rsidR="00C2100A">
          <w:rPr>
            <w:noProof/>
            <w:webHidden/>
          </w:rPr>
        </w:r>
        <w:r w:rsidR="00C2100A">
          <w:rPr>
            <w:noProof/>
            <w:webHidden/>
          </w:rPr>
          <w:fldChar w:fldCharType="separate"/>
        </w:r>
        <w:r w:rsidR="00CB1545">
          <w:rPr>
            <w:noProof/>
            <w:webHidden/>
          </w:rPr>
          <w:t>124</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23" w:history="1">
        <w:r w:rsidR="00C2100A" w:rsidRPr="009A28EA">
          <w:rPr>
            <w:rStyle w:val="Hyperlink"/>
            <w:noProof/>
          </w:rPr>
          <w:t>Figure 6.4: Blood Pressure &amp; Blood Glucose (2009 – 2016)</w:t>
        </w:r>
        <w:r w:rsidR="00C2100A">
          <w:rPr>
            <w:noProof/>
            <w:webHidden/>
          </w:rPr>
          <w:tab/>
        </w:r>
        <w:r w:rsidR="00C2100A">
          <w:rPr>
            <w:noProof/>
            <w:webHidden/>
          </w:rPr>
          <w:fldChar w:fldCharType="begin"/>
        </w:r>
        <w:r w:rsidR="00C2100A">
          <w:rPr>
            <w:noProof/>
            <w:webHidden/>
          </w:rPr>
          <w:instrText xml:space="preserve"> PAGEREF _Toc495416523 \h </w:instrText>
        </w:r>
        <w:r w:rsidR="00C2100A">
          <w:rPr>
            <w:noProof/>
            <w:webHidden/>
          </w:rPr>
        </w:r>
        <w:r w:rsidR="00C2100A">
          <w:rPr>
            <w:noProof/>
            <w:webHidden/>
          </w:rPr>
          <w:fldChar w:fldCharType="separate"/>
        </w:r>
        <w:r w:rsidR="00CB1545">
          <w:rPr>
            <w:noProof/>
            <w:webHidden/>
          </w:rPr>
          <w:t>125</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24" w:history="1">
        <w:r w:rsidR="00C2100A" w:rsidRPr="009A28EA">
          <w:rPr>
            <w:rStyle w:val="Hyperlink"/>
            <w:noProof/>
          </w:rPr>
          <w:t>Figure 6.5: Pain Management Simple &amp; Complex (2009 – 2016)</w:t>
        </w:r>
        <w:r w:rsidR="00C2100A">
          <w:rPr>
            <w:noProof/>
            <w:webHidden/>
          </w:rPr>
          <w:tab/>
        </w:r>
        <w:r w:rsidR="00C2100A">
          <w:rPr>
            <w:noProof/>
            <w:webHidden/>
          </w:rPr>
          <w:fldChar w:fldCharType="begin"/>
        </w:r>
        <w:r w:rsidR="00C2100A">
          <w:rPr>
            <w:noProof/>
            <w:webHidden/>
          </w:rPr>
          <w:instrText xml:space="preserve"> PAGEREF _Toc495416524 \h </w:instrText>
        </w:r>
        <w:r w:rsidR="00C2100A">
          <w:rPr>
            <w:noProof/>
            <w:webHidden/>
          </w:rPr>
        </w:r>
        <w:r w:rsidR="00C2100A">
          <w:rPr>
            <w:noProof/>
            <w:webHidden/>
          </w:rPr>
          <w:fldChar w:fldCharType="separate"/>
        </w:r>
        <w:r w:rsidR="00CB1545">
          <w:rPr>
            <w:noProof/>
            <w:webHidden/>
          </w:rPr>
          <w:t>125</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25" w:history="1">
        <w:r w:rsidR="00C2100A" w:rsidRPr="009A28EA">
          <w:rPr>
            <w:rStyle w:val="Hyperlink"/>
            <w:noProof/>
          </w:rPr>
          <w:t>Figure 6.6: Skin Integrity, RN Feeding, Suppositories &amp; Catheters (2009 – 2016)</w:t>
        </w:r>
        <w:r w:rsidR="00C2100A">
          <w:rPr>
            <w:noProof/>
            <w:webHidden/>
          </w:rPr>
          <w:tab/>
        </w:r>
        <w:r w:rsidR="00C2100A">
          <w:rPr>
            <w:noProof/>
            <w:webHidden/>
          </w:rPr>
          <w:fldChar w:fldCharType="begin"/>
        </w:r>
        <w:r w:rsidR="00C2100A">
          <w:rPr>
            <w:noProof/>
            <w:webHidden/>
          </w:rPr>
          <w:instrText xml:space="preserve"> PAGEREF _Toc495416525 \h </w:instrText>
        </w:r>
        <w:r w:rsidR="00C2100A">
          <w:rPr>
            <w:noProof/>
            <w:webHidden/>
          </w:rPr>
        </w:r>
        <w:r w:rsidR="00C2100A">
          <w:rPr>
            <w:noProof/>
            <w:webHidden/>
          </w:rPr>
          <w:fldChar w:fldCharType="separate"/>
        </w:r>
        <w:r w:rsidR="00CB1545">
          <w:rPr>
            <w:noProof/>
            <w:webHidden/>
          </w:rPr>
          <w:t>126</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26" w:history="1">
        <w:r w:rsidR="00C2100A" w:rsidRPr="009A28EA">
          <w:rPr>
            <w:rStyle w:val="Hyperlink"/>
            <w:noProof/>
          </w:rPr>
          <w:t>Figure 6.7: Infectious Conditions, Chronic Wounds, Intravenous &amp; Oedema (2009 – 2016)</w:t>
        </w:r>
        <w:r w:rsidR="00C2100A">
          <w:rPr>
            <w:noProof/>
            <w:webHidden/>
          </w:rPr>
          <w:tab/>
        </w:r>
        <w:r w:rsidR="00C2100A">
          <w:rPr>
            <w:noProof/>
            <w:webHidden/>
          </w:rPr>
          <w:fldChar w:fldCharType="begin"/>
        </w:r>
        <w:r w:rsidR="00C2100A">
          <w:rPr>
            <w:noProof/>
            <w:webHidden/>
          </w:rPr>
          <w:instrText xml:space="preserve"> PAGEREF _Toc495416526 \h </w:instrText>
        </w:r>
        <w:r w:rsidR="00C2100A">
          <w:rPr>
            <w:noProof/>
            <w:webHidden/>
          </w:rPr>
        </w:r>
        <w:r w:rsidR="00C2100A">
          <w:rPr>
            <w:noProof/>
            <w:webHidden/>
          </w:rPr>
          <w:fldChar w:fldCharType="separate"/>
        </w:r>
        <w:r w:rsidR="00CB1545">
          <w:rPr>
            <w:noProof/>
            <w:webHidden/>
          </w:rPr>
          <w:t>127</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27" w:history="1">
        <w:r w:rsidR="00C2100A" w:rsidRPr="009A28EA">
          <w:rPr>
            <w:rStyle w:val="Hyperlink"/>
            <w:noProof/>
          </w:rPr>
          <w:t>Figure 6.8: Oxygen Therapy, Palliative Care &amp; Stoma Care (2009 – 2016)</w:t>
        </w:r>
        <w:r w:rsidR="00C2100A">
          <w:rPr>
            <w:noProof/>
            <w:webHidden/>
          </w:rPr>
          <w:tab/>
        </w:r>
        <w:r w:rsidR="00C2100A">
          <w:rPr>
            <w:noProof/>
            <w:webHidden/>
          </w:rPr>
          <w:fldChar w:fldCharType="begin"/>
        </w:r>
        <w:r w:rsidR="00C2100A">
          <w:rPr>
            <w:noProof/>
            <w:webHidden/>
          </w:rPr>
          <w:instrText xml:space="preserve"> PAGEREF _Toc495416527 \h </w:instrText>
        </w:r>
        <w:r w:rsidR="00C2100A">
          <w:rPr>
            <w:noProof/>
            <w:webHidden/>
          </w:rPr>
        </w:r>
        <w:r w:rsidR="00C2100A">
          <w:rPr>
            <w:noProof/>
            <w:webHidden/>
          </w:rPr>
          <w:fldChar w:fldCharType="separate"/>
        </w:r>
        <w:r w:rsidR="00CB1545">
          <w:rPr>
            <w:noProof/>
            <w:webHidden/>
          </w:rPr>
          <w:t>128</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28" w:history="1">
        <w:r w:rsidR="00C2100A" w:rsidRPr="009A28EA">
          <w:rPr>
            <w:rStyle w:val="Hyperlink"/>
            <w:noProof/>
          </w:rPr>
          <w:t>Figure 6.9: Tracheostomy, Tube Feeding &amp; Vital Signs Technical Equipment (2009 – 2016)</w:t>
        </w:r>
        <w:r w:rsidR="00C2100A">
          <w:rPr>
            <w:noProof/>
            <w:webHidden/>
          </w:rPr>
          <w:tab/>
        </w:r>
        <w:r w:rsidR="00C2100A">
          <w:rPr>
            <w:noProof/>
            <w:webHidden/>
          </w:rPr>
          <w:fldChar w:fldCharType="begin"/>
        </w:r>
        <w:r w:rsidR="00C2100A">
          <w:rPr>
            <w:noProof/>
            <w:webHidden/>
          </w:rPr>
          <w:instrText xml:space="preserve"> PAGEREF _Toc495416528 \h </w:instrText>
        </w:r>
        <w:r w:rsidR="00C2100A">
          <w:rPr>
            <w:noProof/>
            <w:webHidden/>
          </w:rPr>
        </w:r>
        <w:r w:rsidR="00C2100A">
          <w:rPr>
            <w:noProof/>
            <w:webHidden/>
          </w:rPr>
          <w:fldChar w:fldCharType="separate"/>
        </w:r>
        <w:r w:rsidR="00CB1545">
          <w:rPr>
            <w:noProof/>
            <w:webHidden/>
          </w:rPr>
          <w:t>129</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36" w:history="1">
        <w:r w:rsidR="00C2100A" w:rsidRPr="00A91CF1">
          <w:rPr>
            <w:rStyle w:val="Hyperlink"/>
            <w:noProof/>
          </w:rPr>
          <w:t>Figure 7.1: ACFI 12 Pain items growth</w:t>
        </w:r>
        <w:r w:rsidR="00C2100A">
          <w:rPr>
            <w:noProof/>
            <w:webHidden/>
          </w:rPr>
          <w:tab/>
        </w:r>
        <w:r w:rsidR="00C2100A">
          <w:rPr>
            <w:noProof/>
            <w:webHidden/>
          </w:rPr>
          <w:fldChar w:fldCharType="begin"/>
        </w:r>
        <w:r w:rsidR="00C2100A">
          <w:rPr>
            <w:noProof/>
            <w:webHidden/>
          </w:rPr>
          <w:instrText xml:space="preserve"> PAGEREF _Toc495416536 \h </w:instrText>
        </w:r>
        <w:r w:rsidR="00C2100A">
          <w:rPr>
            <w:noProof/>
            <w:webHidden/>
          </w:rPr>
        </w:r>
        <w:r w:rsidR="00C2100A">
          <w:rPr>
            <w:noProof/>
            <w:webHidden/>
          </w:rPr>
          <w:fldChar w:fldCharType="separate"/>
        </w:r>
        <w:r w:rsidR="00CB1545">
          <w:rPr>
            <w:noProof/>
            <w:webHidden/>
          </w:rPr>
          <w:t>156</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48" w:history="1">
        <w:r w:rsidR="00C2100A" w:rsidRPr="00AB169F">
          <w:rPr>
            <w:rStyle w:val="Hyperlink"/>
            <w:noProof/>
          </w:rPr>
          <w:t>Figure 8.1: A Visual Guide to the R-ACFI Classifications</w:t>
        </w:r>
        <w:r w:rsidR="00C2100A">
          <w:rPr>
            <w:noProof/>
            <w:webHidden/>
          </w:rPr>
          <w:tab/>
        </w:r>
        <w:r w:rsidR="00C2100A">
          <w:rPr>
            <w:noProof/>
            <w:webHidden/>
          </w:rPr>
          <w:fldChar w:fldCharType="begin"/>
        </w:r>
        <w:r w:rsidR="00C2100A">
          <w:rPr>
            <w:noProof/>
            <w:webHidden/>
          </w:rPr>
          <w:instrText xml:space="preserve"> PAGEREF _Toc495416548 \h </w:instrText>
        </w:r>
        <w:r w:rsidR="00C2100A">
          <w:rPr>
            <w:noProof/>
            <w:webHidden/>
          </w:rPr>
        </w:r>
        <w:r w:rsidR="00C2100A">
          <w:rPr>
            <w:noProof/>
            <w:webHidden/>
          </w:rPr>
          <w:fldChar w:fldCharType="separate"/>
        </w:r>
        <w:r w:rsidR="00CB1545">
          <w:rPr>
            <w:noProof/>
            <w:webHidden/>
          </w:rPr>
          <w:t>168</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49" w:history="1">
        <w:r w:rsidR="00C2100A" w:rsidRPr="00AB169F">
          <w:rPr>
            <w:rStyle w:val="Hyperlink"/>
            <w:noProof/>
          </w:rPr>
          <w:t xml:space="preserve">Figure 8.2: R-ACFI Model Design and Funding </w:t>
        </w:r>
        <w:r w:rsidR="00C2100A">
          <w:rPr>
            <w:noProof/>
            <w:webHidden/>
          </w:rPr>
          <w:tab/>
        </w:r>
        <w:r w:rsidR="00C2100A">
          <w:rPr>
            <w:noProof/>
            <w:webHidden/>
          </w:rPr>
          <w:fldChar w:fldCharType="begin"/>
        </w:r>
        <w:r w:rsidR="00C2100A">
          <w:rPr>
            <w:noProof/>
            <w:webHidden/>
          </w:rPr>
          <w:instrText xml:space="preserve"> PAGEREF _Toc495416549 \h </w:instrText>
        </w:r>
        <w:r w:rsidR="00C2100A">
          <w:rPr>
            <w:noProof/>
            <w:webHidden/>
          </w:rPr>
        </w:r>
        <w:r w:rsidR="00C2100A">
          <w:rPr>
            <w:noProof/>
            <w:webHidden/>
          </w:rPr>
          <w:fldChar w:fldCharType="separate"/>
        </w:r>
        <w:r w:rsidR="00CB1545">
          <w:rPr>
            <w:noProof/>
            <w:webHidden/>
          </w:rPr>
          <w:t>169</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50" w:history="1">
        <w:r w:rsidR="00C2100A" w:rsidRPr="00AB169F">
          <w:rPr>
            <w:rStyle w:val="Hyperlink"/>
            <w:noProof/>
          </w:rPr>
          <w:t>Figure 8.3: ACFI and R-ACFI Funding Distributions by R-ACFI Categories (48)</w:t>
        </w:r>
        <w:r w:rsidR="00C2100A">
          <w:rPr>
            <w:noProof/>
            <w:webHidden/>
          </w:rPr>
          <w:tab/>
        </w:r>
        <w:r w:rsidR="00C2100A">
          <w:rPr>
            <w:noProof/>
            <w:webHidden/>
          </w:rPr>
          <w:fldChar w:fldCharType="begin"/>
        </w:r>
        <w:r w:rsidR="00C2100A">
          <w:rPr>
            <w:noProof/>
            <w:webHidden/>
          </w:rPr>
          <w:instrText xml:space="preserve"> PAGEREF _Toc495416550 \h </w:instrText>
        </w:r>
        <w:r w:rsidR="00C2100A">
          <w:rPr>
            <w:noProof/>
            <w:webHidden/>
          </w:rPr>
        </w:r>
        <w:r w:rsidR="00C2100A">
          <w:rPr>
            <w:noProof/>
            <w:webHidden/>
          </w:rPr>
          <w:fldChar w:fldCharType="separate"/>
        </w:r>
        <w:r w:rsidR="00CB1545">
          <w:rPr>
            <w:noProof/>
            <w:webHidden/>
          </w:rPr>
          <w:t>172</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51" w:history="1">
        <w:r w:rsidR="00C2100A" w:rsidRPr="00AB169F">
          <w:rPr>
            <w:rStyle w:val="Hyperlink"/>
            <w:noProof/>
          </w:rPr>
          <w:t>Figure 8.4: R-ACFI ADL Funding Distribution Compared with the Current ACFI</w:t>
        </w:r>
        <w:r w:rsidR="00C2100A">
          <w:rPr>
            <w:noProof/>
            <w:webHidden/>
          </w:rPr>
          <w:tab/>
        </w:r>
        <w:r w:rsidR="00C2100A">
          <w:rPr>
            <w:noProof/>
            <w:webHidden/>
          </w:rPr>
          <w:fldChar w:fldCharType="begin"/>
        </w:r>
        <w:r w:rsidR="00C2100A">
          <w:rPr>
            <w:noProof/>
            <w:webHidden/>
          </w:rPr>
          <w:instrText xml:space="preserve"> PAGEREF _Toc495416551 \h </w:instrText>
        </w:r>
        <w:r w:rsidR="00C2100A">
          <w:rPr>
            <w:noProof/>
            <w:webHidden/>
          </w:rPr>
        </w:r>
        <w:r w:rsidR="00C2100A">
          <w:rPr>
            <w:noProof/>
            <w:webHidden/>
          </w:rPr>
          <w:fldChar w:fldCharType="separate"/>
        </w:r>
        <w:r w:rsidR="00CB1545">
          <w:rPr>
            <w:noProof/>
            <w:webHidden/>
          </w:rPr>
          <w:t>177</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52" w:history="1">
        <w:r w:rsidR="00C2100A" w:rsidRPr="00AB169F">
          <w:rPr>
            <w:rStyle w:val="Hyperlink"/>
            <w:noProof/>
          </w:rPr>
          <w:t>Figure 8.5: Funding from the Depression Question</w:t>
        </w:r>
        <w:r w:rsidR="00C2100A">
          <w:rPr>
            <w:noProof/>
            <w:webHidden/>
          </w:rPr>
          <w:tab/>
        </w:r>
        <w:r w:rsidR="00C2100A">
          <w:rPr>
            <w:noProof/>
            <w:webHidden/>
          </w:rPr>
          <w:fldChar w:fldCharType="begin"/>
        </w:r>
        <w:r w:rsidR="00C2100A">
          <w:rPr>
            <w:noProof/>
            <w:webHidden/>
          </w:rPr>
          <w:instrText xml:space="preserve"> PAGEREF _Toc495416552 \h </w:instrText>
        </w:r>
        <w:r w:rsidR="00C2100A">
          <w:rPr>
            <w:noProof/>
            <w:webHidden/>
          </w:rPr>
        </w:r>
        <w:r w:rsidR="00C2100A">
          <w:rPr>
            <w:noProof/>
            <w:webHidden/>
          </w:rPr>
          <w:fldChar w:fldCharType="separate"/>
        </w:r>
        <w:r w:rsidR="00CB1545">
          <w:rPr>
            <w:noProof/>
            <w:webHidden/>
          </w:rPr>
          <w:t>178</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53" w:history="1">
        <w:r w:rsidR="00C2100A" w:rsidRPr="00AB169F">
          <w:rPr>
            <w:rStyle w:val="Hyperlink"/>
            <w:noProof/>
          </w:rPr>
          <w:t>Figure 8.6: R-ACFI BEH Funding Distribution Compared with the Current ACFI</w:t>
        </w:r>
        <w:r w:rsidR="00C2100A">
          <w:rPr>
            <w:noProof/>
            <w:webHidden/>
          </w:rPr>
          <w:tab/>
        </w:r>
        <w:r w:rsidR="00C2100A">
          <w:rPr>
            <w:noProof/>
            <w:webHidden/>
          </w:rPr>
          <w:fldChar w:fldCharType="begin"/>
        </w:r>
        <w:r w:rsidR="00C2100A">
          <w:rPr>
            <w:noProof/>
            <w:webHidden/>
          </w:rPr>
          <w:instrText xml:space="preserve"> PAGEREF _Toc495416553 \h </w:instrText>
        </w:r>
        <w:r w:rsidR="00C2100A">
          <w:rPr>
            <w:noProof/>
            <w:webHidden/>
          </w:rPr>
        </w:r>
        <w:r w:rsidR="00C2100A">
          <w:rPr>
            <w:noProof/>
            <w:webHidden/>
          </w:rPr>
          <w:fldChar w:fldCharType="separate"/>
        </w:r>
        <w:r w:rsidR="00CB1545">
          <w:rPr>
            <w:noProof/>
            <w:webHidden/>
          </w:rPr>
          <w:t>181</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54" w:history="1">
        <w:r w:rsidR="00C2100A" w:rsidRPr="00AB169F">
          <w:rPr>
            <w:rStyle w:val="Hyperlink"/>
            <w:noProof/>
          </w:rPr>
          <w:t>Figure 8.7: R-ACFI BEH Re-Scaled Funding Distribution Compared with the Current ACFI</w:t>
        </w:r>
        <w:r w:rsidR="00C2100A">
          <w:rPr>
            <w:noProof/>
            <w:webHidden/>
          </w:rPr>
          <w:tab/>
        </w:r>
        <w:r w:rsidR="00C2100A">
          <w:rPr>
            <w:noProof/>
            <w:webHidden/>
          </w:rPr>
          <w:fldChar w:fldCharType="begin"/>
        </w:r>
        <w:r w:rsidR="00C2100A">
          <w:rPr>
            <w:noProof/>
            <w:webHidden/>
          </w:rPr>
          <w:instrText xml:space="preserve"> PAGEREF _Toc495416554 \h </w:instrText>
        </w:r>
        <w:r w:rsidR="00C2100A">
          <w:rPr>
            <w:noProof/>
            <w:webHidden/>
          </w:rPr>
        </w:r>
        <w:r w:rsidR="00C2100A">
          <w:rPr>
            <w:noProof/>
            <w:webHidden/>
          </w:rPr>
          <w:fldChar w:fldCharType="separate"/>
        </w:r>
        <w:r w:rsidR="00CB1545">
          <w:rPr>
            <w:noProof/>
            <w:webHidden/>
          </w:rPr>
          <w:t>181</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55" w:history="1">
        <w:r w:rsidR="00C2100A" w:rsidRPr="00AB169F">
          <w:rPr>
            <w:rStyle w:val="Hyperlink"/>
            <w:noProof/>
          </w:rPr>
          <w:t>Figure 8.8: R-ACFI CHC Funding Distribution Compared with the Current ACFI</w:t>
        </w:r>
        <w:r w:rsidR="00C2100A">
          <w:rPr>
            <w:noProof/>
            <w:webHidden/>
          </w:rPr>
          <w:tab/>
        </w:r>
        <w:r w:rsidR="00C2100A">
          <w:rPr>
            <w:noProof/>
            <w:webHidden/>
          </w:rPr>
          <w:fldChar w:fldCharType="begin"/>
        </w:r>
        <w:r w:rsidR="00C2100A">
          <w:rPr>
            <w:noProof/>
            <w:webHidden/>
          </w:rPr>
          <w:instrText xml:space="preserve"> PAGEREF _Toc495416555 \h </w:instrText>
        </w:r>
        <w:r w:rsidR="00C2100A">
          <w:rPr>
            <w:noProof/>
            <w:webHidden/>
          </w:rPr>
        </w:r>
        <w:r w:rsidR="00C2100A">
          <w:rPr>
            <w:noProof/>
            <w:webHidden/>
          </w:rPr>
          <w:fldChar w:fldCharType="separate"/>
        </w:r>
        <w:r w:rsidR="00CB1545">
          <w:rPr>
            <w:noProof/>
            <w:webHidden/>
          </w:rPr>
          <w:t>186</w:t>
        </w:r>
        <w:r w:rsidR="00C2100A">
          <w:rPr>
            <w:noProof/>
            <w:webHidden/>
          </w:rPr>
          <w:fldChar w:fldCharType="end"/>
        </w:r>
      </w:hyperlink>
    </w:p>
    <w:p w:rsidR="00C2100A" w:rsidRDefault="00473246" w:rsidP="00E533FD">
      <w:pPr>
        <w:pStyle w:val="TableofFigures"/>
        <w:tabs>
          <w:tab w:val="right" w:leader="dot" w:pos="9016"/>
        </w:tabs>
        <w:spacing w:before="60" w:after="60"/>
        <w:jc w:val="left"/>
        <w:rPr>
          <w:rFonts w:eastAsiaTheme="minorEastAsia"/>
          <w:noProof/>
          <w:sz w:val="22"/>
          <w:lang w:eastAsia="en-AU"/>
        </w:rPr>
      </w:pPr>
      <w:hyperlink w:anchor="_Toc495416556" w:history="1">
        <w:r w:rsidR="00C2100A" w:rsidRPr="00AB169F">
          <w:rPr>
            <w:rStyle w:val="Hyperlink"/>
            <w:noProof/>
          </w:rPr>
          <w:t>Figure 8.9: R-ACFI CHC Re Scaled Funding Distribution Compared with the Current ACFI</w:t>
        </w:r>
        <w:r w:rsidR="00C2100A">
          <w:rPr>
            <w:noProof/>
            <w:webHidden/>
          </w:rPr>
          <w:tab/>
        </w:r>
        <w:r w:rsidR="00C2100A">
          <w:rPr>
            <w:noProof/>
            <w:webHidden/>
          </w:rPr>
          <w:fldChar w:fldCharType="begin"/>
        </w:r>
        <w:r w:rsidR="00C2100A">
          <w:rPr>
            <w:noProof/>
            <w:webHidden/>
          </w:rPr>
          <w:instrText xml:space="preserve"> PAGEREF _Toc495416556 \h </w:instrText>
        </w:r>
        <w:r w:rsidR="00C2100A">
          <w:rPr>
            <w:noProof/>
            <w:webHidden/>
          </w:rPr>
        </w:r>
        <w:r w:rsidR="00C2100A">
          <w:rPr>
            <w:noProof/>
            <w:webHidden/>
          </w:rPr>
          <w:fldChar w:fldCharType="separate"/>
        </w:r>
        <w:r w:rsidR="00CB1545">
          <w:rPr>
            <w:noProof/>
            <w:webHidden/>
          </w:rPr>
          <w:t>186</w:t>
        </w:r>
        <w:r w:rsidR="00C2100A">
          <w:rPr>
            <w:noProof/>
            <w:webHidden/>
          </w:rPr>
          <w:fldChar w:fldCharType="end"/>
        </w:r>
      </w:hyperlink>
    </w:p>
    <w:p w:rsidR="0031093B" w:rsidRDefault="0031093B" w:rsidP="00E533FD">
      <w:pPr>
        <w:pStyle w:val="TableofFigures"/>
        <w:tabs>
          <w:tab w:val="right" w:leader="dot" w:pos="9016"/>
        </w:tabs>
        <w:spacing w:before="60" w:after="60"/>
        <w:jc w:val="left"/>
        <w:rPr>
          <w:rFonts w:eastAsiaTheme="minorEastAsia"/>
          <w:noProof/>
          <w:sz w:val="22"/>
          <w:lang w:eastAsia="en-AU"/>
        </w:rPr>
      </w:pPr>
      <w:r>
        <w:fldChar w:fldCharType="begin"/>
      </w:r>
      <w:r>
        <w:instrText xml:space="preserve"> TOC \h \z \c "Figure 9." </w:instrText>
      </w:r>
      <w:r>
        <w:fldChar w:fldCharType="separate"/>
      </w:r>
      <w:hyperlink w:anchor="_Toc495416920" w:history="1">
        <w:r w:rsidRPr="00CF39E9">
          <w:rPr>
            <w:rStyle w:val="Hyperlink"/>
            <w:noProof/>
          </w:rPr>
          <w:t>Figure 9.1: Average subsidies for provider types as proportion of the maximum subsidy</w:t>
        </w:r>
        <w:r>
          <w:rPr>
            <w:noProof/>
            <w:webHidden/>
          </w:rPr>
          <w:tab/>
        </w:r>
        <w:r>
          <w:rPr>
            <w:noProof/>
            <w:webHidden/>
          </w:rPr>
          <w:fldChar w:fldCharType="begin"/>
        </w:r>
        <w:r>
          <w:rPr>
            <w:noProof/>
            <w:webHidden/>
          </w:rPr>
          <w:instrText xml:space="preserve"> PAGEREF _Toc495416920 \h </w:instrText>
        </w:r>
        <w:r>
          <w:rPr>
            <w:noProof/>
            <w:webHidden/>
          </w:rPr>
        </w:r>
        <w:r>
          <w:rPr>
            <w:noProof/>
            <w:webHidden/>
          </w:rPr>
          <w:fldChar w:fldCharType="separate"/>
        </w:r>
        <w:r w:rsidR="00CB1545">
          <w:rPr>
            <w:noProof/>
            <w:webHidden/>
          </w:rPr>
          <w:t>189</w:t>
        </w:r>
        <w:r>
          <w:rPr>
            <w:noProof/>
            <w:webHidden/>
          </w:rPr>
          <w:fldChar w:fldCharType="end"/>
        </w:r>
      </w:hyperlink>
    </w:p>
    <w:p w:rsidR="0031093B" w:rsidRDefault="00473246" w:rsidP="00E533FD">
      <w:pPr>
        <w:pStyle w:val="TableofFigures"/>
        <w:tabs>
          <w:tab w:val="right" w:leader="dot" w:pos="9016"/>
        </w:tabs>
        <w:spacing w:before="60" w:after="60"/>
        <w:jc w:val="left"/>
        <w:rPr>
          <w:rFonts w:eastAsiaTheme="minorEastAsia"/>
          <w:noProof/>
          <w:sz w:val="22"/>
          <w:lang w:eastAsia="en-AU"/>
        </w:rPr>
      </w:pPr>
      <w:hyperlink w:anchor="_Toc495416921" w:history="1">
        <w:r w:rsidR="0031093B" w:rsidRPr="00CF39E9">
          <w:rPr>
            <w:rStyle w:val="Hyperlink"/>
            <w:noProof/>
          </w:rPr>
          <w:t>Figure 9.2: Daily subsidy growth in pain management items using July 2016 funding rates</w:t>
        </w:r>
        <w:r w:rsidR="0031093B">
          <w:rPr>
            <w:noProof/>
            <w:webHidden/>
          </w:rPr>
          <w:tab/>
        </w:r>
        <w:r w:rsidR="0031093B">
          <w:rPr>
            <w:noProof/>
            <w:webHidden/>
          </w:rPr>
          <w:fldChar w:fldCharType="begin"/>
        </w:r>
        <w:r w:rsidR="0031093B">
          <w:rPr>
            <w:noProof/>
            <w:webHidden/>
          </w:rPr>
          <w:instrText xml:space="preserve"> PAGEREF _Toc495416921 \h </w:instrText>
        </w:r>
        <w:r w:rsidR="0031093B">
          <w:rPr>
            <w:noProof/>
            <w:webHidden/>
          </w:rPr>
        </w:r>
        <w:r w:rsidR="0031093B">
          <w:rPr>
            <w:noProof/>
            <w:webHidden/>
          </w:rPr>
          <w:fldChar w:fldCharType="separate"/>
        </w:r>
        <w:r w:rsidR="00CB1545">
          <w:rPr>
            <w:noProof/>
            <w:webHidden/>
          </w:rPr>
          <w:t>190</w:t>
        </w:r>
        <w:r w:rsidR="0031093B">
          <w:rPr>
            <w:noProof/>
            <w:webHidden/>
          </w:rPr>
          <w:fldChar w:fldCharType="end"/>
        </w:r>
      </w:hyperlink>
    </w:p>
    <w:p w:rsidR="0031093B" w:rsidRDefault="00473246" w:rsidP="00E533FD">
      <w:pPr>
        <w:pStyle w:val="TableofFigures"/>
        <w:tabs>
          <w:tab w:val="right" w:leader="dot" w:pos="9016"/>
        </w:tabs>
        <w:spacing w:before="60" w:after="60"/>
        <w:jc w:val="left"/>
        <w:rPr>
          <w:rFonts w:eastAsiaTheme="minorEastAsia"/>
          <w:noProof/>
          <w:sz w:val="22"/>
          <w:lang w:eastAsia="en-AU"/>
        </w:rPr>
      </w:pPr>
      <w:hyperlink w:anchor="_Toc495416922" w:history="1">
        <w:r w:rsidR="0031093B" w:rsidRPr="00CF39E9">
          <w:rPr>
            <w:rStyle w:val="Hyperlink"/>
            <w:noProof/>
          </w:rPr>
          <w:t>Figure 9.3: Mortality rates 2009-10 to 2015-16</w:t>
        </w:r>
        <w:r w:rsidR="0031093B">
          <w:rPr>
            <w:noProof/>
            <w:webHidden/>
          </w:rPr>
          <w:tab/>
        </w:r>
        <w:r w:rsidR="0031093B">
          <w:rPr>
            <w:noProof/>
            <w:webHidden/>
          </w:rPr>
          <w:fldChar w:fldCharType="begin"/>
        </w:r>
        <w:r w:rsidR="0031093B">
          <w:rPr>
            <w:noProof/>
            <w:webHidden/>
          </w:rPr>
          <w:instrText xml:space="preserve"> PAGEREF _Toc495416922 \h </w:instrText>
        </w:r>
        <w:r w:rsidR="0031093B">
          <w:rPr>
            <w:noProof/>
            <w:webHidden/>
          </w:rPr>
        </w:r>
        <w:r w:rsidR="0031093B">
          <w:rPr>
            <w:noProof/>
            <w:webHidden/>
          </w:rPr>
          <w:fldChar w:fldCharType="separate"/>
        </w:r>
        <w:r w:rsidR="00CB1545">
          <w:rPr>
            <w:noProof/>
            <w:webHidden/>
          </w:rPr>
          <w:t>192</w:t>
        </w:r>
        <w:r w:rsidR="0031093B">
          <w:rPr>
            <w:noProof/>
            <w:webHidden/>
          </w:rPr>
          <w:fldChar w:fldCharType="end"/>
        </w:r>
      </w:hyperlink>
    </w:p>
    <w:p w:rsidR="0031093B" w:rsidRDefault="00473246" w:rsidP="00E533FD">
      <w:pPr>
        <w:pStyle w:val="TableofFigures"/>
        <w:tabs>
          <w:tab w:val="right" w:leader="dot" w:pos="9016"/>
        </w:tabs>
        <w:spacing w:before="60" w:after="60"/>
        <w:jc w:val="left"/>
        <w:rPr>
          <w:rFonts w:eastAsiaTheme="minorEastAsia"/>
          <w:noProof/>
          <w:sz w:val="22"/>
          <w:lang w:eastAsia="en-AU"/>
        </w:rPr>
      </w:pPr>
      <w:hyperlink w:anchor="_Toc495416923" w:history="1">
        <w:r w:rsidR="0031093B" w:rsidRPr="00CF39E9">
          <w:rPr>
            <w:rStyle w:val="Hyperlink"/>
            <w:noProof/>
          </w:rPr>
          <w:t>Figure 9.4: Differences between subsidy growth rates and mortality growth rates</w:t>
        </w:r>
        <w:r w:rsidR="0031093B">
          <w:rPr>
            <w:noProof/>
            <w:webHidden/>
          </w:rPr>
          <w:tab/>
        </w:r>
        <w:r w:rsidR="0031093B">
          <w:rPr>
            <w:noProof/>
            <w:webHidden/>
          </w:rPr>
          <w:fldChar w:fldCharType="begin"/>
        </w:r>
        <w:r w:rsidR="0031093B">
          <w:rPr>
            <w:noProof/>
            <w:webHidden/>
          </w:rPr>
          <w:instrText xml:space="preserve"> PAGEREF _Toc495416923 \h </w:instrText>
        </w:r>
        <w:r w:rsidR="0031093B">
          <w:rPr>
            <w:noProof/>
            <w:webHidden/>
          </w:rPr>
        </w:r>
        <w:r w:rsidR="0031093B">
          <w:rPr>
            <w:noProof/>
            <w:webHidden/>
          </w:rPr>
          <w:fldChar w:fldCharType="separate"/>
        </w:r>
        <w:r w:rsidR="00CB1545">
          <w:rPr>
            <w:noProof/>
            <w:webHidden/>
          </w:rPr>
          <w:t>193</w:t>
        </w:r>
        <w:r w:rsidR="0031093B">
          <w:rPr>
            <w:noProof/>
            <w:webHidden/>
          </w:rPr>
          <w:fldChar w:fldCharType="end"/>
        </w:r>
      </w:hyperlink>
    </w:p>
    <w:p w:rsidR="0031093B" w:rsidRDefault="00473246" w:rsidP="00E533FD">
      <w:pPr>
        <w:pStyle w:val="TableofFigures"/>
        <w:tabs>
          <w:tab w:val="right" w:leader="dot" w:pos="9016"/>
        </w:tabs>
        <w:spacing w:before="60" w:after="60"/>
        <w:jc w:val="left"/>
        <w:rPr>
          <w:rFonts w:eastAsiaTheme="minorEastAsia"/>
          <w:noProof/>
          <w:sz w:val="22"/>
          <w:lang w:eastAsia="en-AU"/>
        </w:rPr>
      </w:pPr>
      <w:hyperlink w:anchor="_Toc495416924" w:history="1">
        <w:r w:rsidR="0031093B" w:rsidRPr="00CF39E9">
          <w:rPr>
            <w:rStyle w:val="Hyperlink"/>
            <w:noProof/>
          </w:rPr>
          <w:t>Figure 9.5: Average months of stay for all separations</w:t>
        </w:r>
        <w:r w:rsidR="0031093B">
          <w:rPr>
            <w:noProof/>
            <w:webHidden/>
          </w:rPr>
          <w:tab/>
        </w:r>
        <w:r w:rsidR="0031093B">
          <w:rPr>
            <w:noProof/>
            <w:webHidden/>
          </w:rPr>
          <w:fldChar w:fldCharType="begin"/>
        </w:r>
        <w:r w:rsidR="0031093B">
          <w:rPr>
            <w:noProof/>
            <w:webHidden/>
          </w:rPr>
          <w:instrText xml:space="preserve"> PAGEREF _Toc495416924 \h </w:instrText>
        </w:r>
        <w:r w:rsidR="0031093B">
          <w:rPr>
            <w:noProof/>
            <w:webHidden/>
          </w:rPr>
        </w:r>
        <w:r w:rsidR="0031093B">
          <w:rPr>
            <w:noProof/>
            <w:webHidden/>
          </w:rPr>
          <w:fldChar w:fldCharType="separate"/>
        </w:r>
        <w:r w:rsidR="00CB1545">
          <w:rPr>
            <w:noProof/>
            <w:webHidden/>
          </w:rPr>
          <w:t>193</w:t>
        </w:r>
        <w:r w:rsidR="0031093B">
          <w:rPr>
            <w:noProof/>
            <w:webHidden/>
          </w:rPr>
          <w:fldChar w:fldCharType="end"/>
        </w:r>
      </w:hyperlink>
    </w:p>
    <w:p w:rsidR="0031093B" w:rsidRDefault="00473246" w:rsidP="00E533FD">
      <w:pPr>
        <w:pStyle w:val="TableofFigures"/>
        <w:tabs>
          <w:tab w:val="right" w:leader="dot" w:pos="9016"/>
        </w:tabs>
        <w:spacing w:before="60" w:after="60"/>
        <w:jc w:val="left"/>
        <w:rPr>
          <w:rFonts w:eastAsiaTheme="minorEastAsia"/>
          <w:noProof/>
          <w:sz w:val="22"/>
          <w:lang w:eastAsia="en-AU"/>
        </w:rPr>
      </w:pPr>
      <w:hyperlink w:anchor="_Toc495416925" w:history="1">
        <w:r w:rsidR="0031093B" w:rsidRPr="00CF39E9">
          <w:rPr>
            <w:rStyle w:val="Hyperlink"/>
            <w:noProof/>
          </w:rPr>
          <w:t>Figure 9.6: Separations by length of stay</w:t>
        </w:r>
        <w:r w:rsidR="0031093B">
          <w:rPr>
            <w:noProof/>
            <w:webHidden/>
          </w:rPr>
          <w:tab/>
        </w:r>
        <w:r w:rsidR="0031093B">
          <w:rPr>
            <w:noProof/>
            <w:webHidden/>
          </w:rPr>
          <w:fldChar w:fldCharType="begin"/>
        </w:r>
        <w:r w:rsidR="0031093B">
          <w:rPr>
            <w:noProof/>
            <w:webHidden/>
          </w:rPr>
          <w:instrText xml:space="preserve"> PAGEREF _Toc495416925 \h </w:instrText>
        </w:r>
        <w:r w:rsidR="0031093B">
          <w:rPr>
            <w:noProof/>
            <w:webHidden/>
          </w:rPr>
        </w:r>
        <w:r w:rsidR="0031093B">
          <w:rPr>
            <w:noProof/>
            <w:webHidden/>
          </w:rPr>
          <w:fldChar w:fldCharType="separate"/>
        </w:r>
        <w:r w:rsidR="00CB1545">
          <w:rPr>
            <w:noProof/>
            <w:webHidden/>
          </w:rPr>
          <w:t>194</w:t>
        </w:r>
        <w:r w:rsidR="0031093B">
          <w:rPr>
            <w:noProof/>
            <w:webHidden/>
          </w:rPr>
          <w:fldChar w:fldCharType="end"/>
        </w:r>
      </w:hyperlink>
    </w:p>
    <w:p w:rsidR="0031093B" w:rsidRDefault="00473246" w:rsidP="00E533FD">
      <w:pPr>
        <w:pStyle w:val="TableofFigures"/>
        <w:tabs>
          <w:tab w:val="right" w:leader="dot" w:pos="9016"/>
        </w:tabs>
        <w:spacing w:before="60" w:after="60"/>
        <w:jc w:val="left"/>
        <w:rPr>
          <w:rFonts w:eastAsiaTheme="minorEastAsia"/>
          <w:noProof/>
          <w:sz w:val="22"/>
          <w:lang w:eastAsia="en-AU"/>
        </w:rPr>
      </w:pPr>
      <w:hyperlink w:anchor="_Toc495416926" w:history="1">
        <w:r w:rsidR="0031093B" w:rsidRPr="00CF39E9">
          <w:rPr>
            <w:rStyle w:val="Hyperlink"/>
            <w:noProof/>
          </w:rPr>
          <w:t>Figure 9.7:</w:t>
        </w:r>
        <w:r w:rsidR="0031093B" w:rsidRPr="00CF39E9">
          <w:rPr>
            <w:rStyle w:val="Hyperlink"/>
            <w:noProof/>
            <w:lang w:eastAsia="en-AU"/>
          </w:rPr>
          <w:t xml:space="preserve"> </w:t>
        </w:r>
        <w:r w:rsidR="0031093B" w:rsidRPr="00CF39E9">
          <w:rPr>
            <w:rStyle w:val="Hyperlink"/>
            <w:noProof/>
          </w:rPr>
          <w:t>Average Age at Entry</w:t>
        </w:r>
        <w:r w:rsidR="0031093B">
          <w:rPr>
            <w:noProof/>
            <w:webHidden/>
          </w:rPr>
          <w:tab/>
        </w:r>
        <w:r w:rsidR="0031093B">
          <w:rPr>
            <w:noProof/>
            <w:webHidden/>
          </w:rPr>
          <w:fldChar w:fldCharType="begin"/>
        </w:r>
        <w:r w:rsidR="0031093B">
          <w:rPr>
            <w:noProof/>
            <w:webHidden/>
          </w:rPr>
          <w:instrText xml:space="preserve"> PAGEREF _Toc495416926 \h </w:instrText>
        </w:r>
        <w:r w:rsidR="0031093B">
          <w:rPr>
            <w:noProof/>
            <w:webHidden/>
          </w:rPr>
        </w:r>
        <w:r w:rsidR="0031093B">
          <w:rPr>
            <w:noProof/>
            <w:webHidden/>
          </w:rPr>
          <w:fldChar w:fldCharType="separate"/>
        </w:r>
        <w:r w:rsidR="00CB1545">
          <w:rPr>
            <w:noProof/>
            <w:webHidden/>
          </w:rPr>
          <w:t>195</w:t>
        </w:r>
        <w:r w:rsidR="0031093B">
          <w:rPr>
            <w:noProof/>
            <w:webHidden/>
          </w:rPr>
          <w:fldChar w:fldCharType="end"/>
        </w:r>
      </w:hyperlink>
    </w:p>
    <w:p w:rsidR="0031093B" w:rsidRDefault="00473246" w:rsidP="00E533FD">
      <w:pPr>
        <w:pStyle w:val="TableofFigures"/>
        <w:tabs>
          <w:tab w:val="right" w:leader="dot" w:pos="9016"/>
        </w:tabs>
        <w:spacing w:before="60" w:after="60"/>
        <w:jc w:val="left"/>
        <w:rPr>
          <w:rFonts w:eastAsiaTheme="minorEastAsia"/>
          <w:noProof/>
          <w:sz w:val="22"/>
          <w:lang w:eastAsia="en-AU"/>
        </w:rPr>
      </w:pPr>
      <w:hyperlink w:anchor="_Toc495416927" w:history="1">
        <w:r w:rsidR="0031093B" w:rsidRPr="00CF39E9">
          <w:rPr>
            <w:rStyle w:val="Hyperlink"/>
            <w:noProof/>
          </w:rPr>
          <w:t>Figure 9.8: Daily Average Cost per Day Trend by Month (2016-17) Dollars</w:t>
        </w:r>
        <w:r w:rsidR="0031093B">
          <w:rPr>
            <w:noProof/>
            <w:webHidden/>
          </w:rPr>
          <w:tab/>
        </w:r>
        <w:r w:rsidR="0031093B">
          <w:rPr>
            <w:noProof/>
            <w:webHidden/>
          </w:rPr>
          <w:fldChar w:fldCharType="begin"/>
        </w:r>
        <w:r w:rsidR="0031093B">
          <w:rPr>
            <w:noProof/>
            <w:webHidden/>
          </w:rPr>
          <w:instrText xml:space="preserve"> PAGEREF _Toc495416927 \h </w:instrText>
        </w:r>
        <w:r w:rsidR="0031093B">
          <w:rPr>
            <w:noProof/>
            <w:webHidden/>
          </w:rPr>
        </w:r>
        <w:r w:rsidR="0031093B">
          <w:rPr>
            <w:noProof/>
            <w:webHidden/>
          </w:rPr>
          <w:fldChar w:fldCharType="separate"/>
        </w:r>
        <w:r w:rsidR="00CB1545">
          <w:rPr>
            <w:noProof/>
            <w:webHidden/>
          </w:rPr>
          <w:t>198</w:t>
        </w:r>
        <w:r w:rsidR="0031093B">
          <w:rPr>
            <w:noProof/>
            <w:webHidden/>
          </w:rPr>
          <w:fldChar w:fldCharType="end"/>
        </w:r>
      </w:hyperlink>
    </w:p>
    <w:p w:rsidR="0031093B" w:rsidRDefault="00473246" w:rsidP="00E533FD">
      <w:pPr>
        <w:pStyle w:val="TableofFigures"/>
        <w:tabs>
          <w:tab w:val="right" w:leader="dot" w:pos="9016"/>
        </w:tabs>
        <w:spacing w:before="60" w:after="60"/>
        <w:jc w:val="left"/>
        <w:rPr>
          <w:rFonts w:eastAsiaTheme="minorEastAsia"/>
          <w:noProof/>
          <w:sz w:val="22"/>
          <w:lang w:eastAsia="en-AU"/>
        </w:rPr>
      </w:pPr>
      <w:hyperlink w:anchor="_Toc495416928" w:history="1">
        <w:r w:rsidR="0031093B" w:rsidRPr="00CF39E9">
          <w:rPr>
            <w:rStyle w:val="Hyperlink"/>
            <w:noProof/>
          </w:rPr>
          <w:t>Figure 9.9: Average ACFI Domain Subsidy Claims from July 2015 to June 2017</w:t>
        </w:r>
        <w:r w:rsidR="0031093B">
          <w:rPr>
            <w:noProof/>
            <w:webHidden/>
          </w:rPr>
          <w:tab/>
        </w:r>
        <w:r w:rsidR="0031093B">
          <w:rPr>
            <w:noProof/>
            <w:webHidden/>
          </w:rPr>
          <w:fldChar w:fldCharType="begin"/>
        </w:r>
        <w:r w:rsidR="0031093B">
          <w:rPr>
            <w:noProof/>
            <w:webHidden/>
          </w:rPr>
          <w:instrText xml:space="preserve"> PAGEREF _Toc495416928 \h </w:instrText>
        </w:r>
        <w:r w:rsidR="0031093B">
          <w:rPr>
            <w:noProof/>
            <w:webHidden/>
          </w:rPr>
        </w:r>
        <w:r w:rsidR="0031093B">
          <w:rPr>
            <w:noProof/>
            <w:webHidden/>
          </w:rPr>
          <w:fldChar w:fldCharType="separate"/>
        </w:r>
        <w:r w:rsidR="00CB1545">
          <w:rPr>
            <w:noProof/>
            <w:webHidden/>
          </w:rPr>
          <w:t>198</w:t>
        </w:r>
        <w:r w:rsidR="0031093B">
          <w:rPr>
            <w:noProof/>
            <w:webHidden/>
          </w:rPr>
          <w:fldChar w:fldCharType="end"/>
        </w:r>
      </w:hyperlink>
    </w:p>
    <w:p w:rsidR="0031093B" w:rsidRDefault="00473246" w:rsidP="00E533FD">
      <w:pPr>
        <w:pStyle w:val="TableofFigures"/>
        <w:tabs>
          <w:tab w:val="right" w:leader="dot" w:pos="9016"/>
        </w:tabs>
        <w:spacing w:before="60" w:after="60"/>
        <w:jc w:val="left"/>
        <w:rPr>
          <w:rFonts w:eastAsiaTheme="minorEastAsia"/>
          <w:noProof/>
          <w:sz w:val="22"/>
          <w:lang w:eastAsia="en-AU"/>
        </w:rPr>
      </w:pPr>
      <w:hyperlink w:anchor="_Toc495416929" w:history="1">
        <w:r w:rsidR="0031093B" w:rsidRPr="00CF39E9">
          <w:rPr>
            <w:rStyle w:val="Hyperlink"/>
            <w:noProof/>
          </w:rPr>
          <w:t>Figure 9.10: Number of ACFI Claims from July 2015 to June 2017</w:t>
        </w:r>
        <w:r w:rsidR="0031093B">
          <w:rPr>
            <w:noProof/>
            <w:webHidden/>
          </w:rPr>
          <w:tab/>
        </w:r>
        <w:r w:rsidR="0031093B">
          <w:rPr>
            <w:noProof/>
            <w:webHidden/>
          </w:rPr>
          <w:fldChar w:fldCharType="begin"/>
        </w:r>
        <w:r w:rsidR="0031093B">
          <w:rPr>
            <w:noProof/>
            <w:webHidden/>
          </w:rPr>
          <w:instrText xml:space="preserve"> PAGEREF _Toc495416929 \h </w:instrText>
        </w:r>
        <w:r w:rsidR="0031093B">
          <w:rPr>
            <w:noProof/>
            <w:webHidden/>
          </w:rPr>
        </w:r>
        <w:r w:rsidR="0031093B">
          <w:rPr>
            <w:noProof/>
            <w:webHidden/>
          </w:rPr>
          <w:fldChar w:fldCharType="separate"/>
        </w:r>
        <w:r w:rsidR="00CB1545">
          <w:rPr>
            <w:noProof/>
            <w:webHidden/>
          </w:rPr>
          <w:t>199</w:t>
        </w:r>
        <w:r w:rsidR="0031093B">
          <w:rPr>
            <w:noProof/>
            <w:webHidden/>
          </w:rPr>
          <w:fldChar w:fldCharType="end"/>
        </w:r>
      </w:hyperlink>
    </w:p>
    <w:p w:rsidR="00126BCC" w:rsidRDefault="0031093B" w:rsidP="00E533FD">
      <w:pPr>
        <w:spacing w:before="60" w:after="60"/>
        <w:jc w:val="left"/>
      </w:pPr>
      <w:r>
        <w:fldChar w:fldCharType="end"/>
      </w:r>
      <w:r w:rsidR="00126BCC">
        <w:br w:type="page"/>
      </w:r>
    </w:p>
    <w:p w:rsidR="00CB4F14" w:rsidRPr="004846F9" w:rsidRDefault="00CB4F14" w:rsidP="00CA7E84">
      <w:pPr>
        <w:pStyle w:val="TOCHeading"/>
      </w:pPr>
      <w:r>
        <w:lastRenderedPageBreak/>
        <w:t>Glossary</w:t>
      </w:r>
      <w:bookmarkEnd w:id="11"/>
      <w:bookmarkEnd w:id="12"/>
    </w:p>
    <w:tbl>
      <w:tblPr>
        <w:tblStyle w:val="TableGrid"/>
        <w:tblW w:w="9214"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Glossary table is a list of acronyms and their descriptions for Review of the Aged Care Funding Instrument Report."/>
      </w:tblPr>
      <w:tblGrid>
        <w:gridCol w:w="2127"/>
        <w:gridCol w:w="7087"/>
      </w:tblGrid>
      <w:tr w:rsidR="00B2702E" w:rsidRPr="00B2702E" w:rsidTr="00527184">
        <w:trPr>
          <w:tblHeader/>
        </w:trPr>
        <w:tc>
          <w:tcPr>
            <w:tcW w:w="2127" w:type="dxa"/>
            <w:shd w:val="clear" w:color="auto" w:fill="5B9BD5" w:themeFill="accent5"/>
          </w:tcPr>
          <w:p w:rsidR="00B2702E" w:rsidRPr="00B2702E" w:rsidRDefault="00B2702E" w:rsidP="002A4578">
            <w:pPr>
              <w:spacing w:before="60" w:after="60"/>
              <w:jc w:val="left"/>
              <w:rPr>
                <w:b/>
                <w:color w:val="FFFFFF" w:themeColor="background1"/>
              </w:rPr>
            </w:pPr>
            <w:r w:rsidRPr="00B2702E">
              <w:rPr>
                <w:b/>
                <w:color w:val="FFFFFF" w:themeColor="background1"/>
              </w:rPr>
              <w:t>Acronym</w:t>
            </w:r>
          </w:p>
        </w:tc>
        <w:tc>
          <w:tcPr>
            <w:tcW w:w="7087" w:type="dxa"/>
            <w:shd w:val="clear" w:color="auto" w:fill="5B9BD5" w:themeFill="accent5"/>
          </w:tcPr>
          <w:p w:rsidR="00B2702E" w:rsidRPr="00B2702E" w:rsidRDefault="00B2702E" w:rsidP="002A4578">
            <w:pPr>
              <w:spacing w:before="60" w:after="60"/>
              <w:jc w:val="left"/>
              <w:rPr>
                <w:b/>
                <w:color w:val="FFFFFF" w:themeColor="background1"/>
              </w:rPr>
            </w:pPr>
            <w:r w:rsidRPr="00B2702E">
              <w:rPr>
                <w:b/>
                <w:color w:val="FFFFFF" w:themeColor="background1"/>
              </w:rPr>
              <w:t>Descriptions</w:t>
            </w:r>
          </w:p>
        </w:tc>
      </w:tr>
      <w:tr w:rsidR="00CB4F14" w:rsidRPr="00EF5AAB" w:rsidTr="00527184">
        <w:tc>
          <w:tcPr>
            <w:tcW w:w="2127" w:type="dxa"/>
          </w:tcPr>
          <w:p w:rsidR="00CB4F14" w:rsidRPr="00EF5AAB" w:rsidRDefault="00CB4F14" w:rsidP="002A4578">
            <w:pPr>
              <w:spacing w:after="60"/>
              <w:jc w:val="left"/>
            </w:pPr>
            <w:r w:rsidRPr="00EF5AAB">
              <w:t>AACS</w:t>
            </w:r>
          </w:p>
        </w:tc>
        <w:tc>
          <w:tcPr>
            <w:tcW w:w="7087" w:type="dxa"/>
          </w:tcPr>
          <w:p w:rsidR="00CB4F14" w:rsidRPr="00EF5AAB" w:rsidRDefault="00CB4F14" w:rsidP="002A4578">
            <w:pPr>
              <w:spacing w:after="60"/>
              <w:jc w:val="left"/>
            </w:pPr>
            <w:r w:rsidRPr="00EF5AAB">
              <w:t>Applied Aged Care Solutions</w:t>
            </w:r>
          </w:p>
        </w:tc>
      </w:tr>
      <w:tr w:rsidR="00CB4F14" w:rsidRPr="00EF5AAB" w:rsidTr="00527184">
        <w:tc>
          <w:tcPr>
            <w:tcW w:w="2127" w:type="dxa"/>
          </w:tcPr>
          <w:p w:rsidR="00CB4F14" w:rsidRPr="00EF5AAB" w:rsidRDefault="00CB4F14" w:rsidP="002A4578">
            <w:pPr>
              <w:spacing w:after="60"/>
              <w:jc w:val="left"/>
            </w:pPr>
            <w:r w:rsidRPr="00EF5AAB">
              <w:t>ABC</w:t>
            </w:r>
          </w:p>
        </w:tc>
        <w:tc>
          <w:tcPr>
            <w:tcW w:w="7087" w:type="dxa"/>
          </w:tcPr>
          <w:p w:rsidR="00CB4F14" w:rsidRPr="00EF5AAB" w:rsidRDefault="00CB4F14" w:rsidP="002A4578">
            <w:pPr>
              <w:spacing w:after="60"/>
              <w:jc w:val="left"/>
              <w:rPr>
                <w:color w:val="000000" w:themeColor="text1"/>
                <w:lang w:eastAsia="en-AU"/>
              </w:rPr>
            </w:pPr>
            <w:r w:rsidRPr="00EF5AAB">
              <w:rPr>
                <w:color w:val="000000" w:themeColor="text1"/>
              </w:rPr>
              <w:t>Antecedent, Behaviour, Consequences</w:t>
            </w:r>
          </w:p>
        </w:tc>
      </w:tr>
      <w:tr w:rsidR="00CB4F14" w:rsidRPr="00EF5AAB" w:rsidTr="00527184">
        <w:tc>
          <w:tcPr>
            <w:tcW w:w="2127" w:type="dxa"/>
          </w:tcPr>
          <w:p w:rsidR="00CB4F14" w:rsidRPr="00EF5AAB" w:rsidRDefault="00CB4F14" w:rsidP="002A4578">
            <w:pPr>
              <w:spacing w:after="60"/>
              <w:jc w:val="left"/>
            </w:pPr>
            <w:r>
              <w:t>ABF</w:t>
            </w:r>
          </w:p>
        </w:tc>
        <w:tc>
          <w:tcPr>
            <w:tcW w:w="7087" w:type="dxa"/>
          </w:tcPr>
          <w:p w:rsidR="00CB4F14" w:rsidRPr="00EF5AAB" w:rsidRDefault="00CB4F14" w:rsidP="002A4578">
            <w:pPr>
              <w:spacing w:after="60"/>
              <w:jc w:val="left"/>
              <w:rPr>
                <w:color w:val="000000" w:themeColor="text1"/>
              </w:rPr>
            </w:pPr>
            <w:r>
              <w:rPr>
                <w:color w:val="000000" w:themeColor="text1"/>
              </w:rPr>
              <w:t>Activity Based Funding</w:t>
            </w:r>
          </w:p>
        </w:tc>
      </w:tr>
      <w:tr w:rsidR="00CB4F14" w:rsidRPr="00EF5AAB" w:rsidTr="00527184">
        <w:tc>
          <w:tcPr>
            <w:tcW w:w="2127" w:type="dxa"/>
          </w:tcPr>
          <w:p w:rsidR="00CB4F14" w:rsidRPr="00EF5AAB" w:rsidRDefault="00CB4F14" w:rsidP="002A4578">
            <w:pPr>
              <w:spacing w:after="60"/>
              <w:jc w:val="left"/>
              <w:rPr>
                <w:rFonts w:cstheme="minorHAnsi"/>
              </w:rPr>
            </w:pPr>
            <w:r w:rsidRPr="00EF5AAB">
              <w:rPr>
                <w:rFonts w:cstheme="minorHAnsi"/>
              </w:rPr>
              <w:t>ACAT</w:t>
            </w:r>
          </w:p>
        </w:tc>
        <w:tc>
          <w:tcPr>
            <w:tcW w:w="7087" w:type="dxa"/>
          </w:tcPr>
          <w:p w:rsidR="00CB4F14" w:rsidRPr="00EF5AAB" w:rsidRDefault="00CB4F14" w:rsidP="002A4578">
            <w:pPr>
              <w:spacing w:after="60"/>
              <w:jc w:val="left"/>
              <w:rPr>
                <w:rFonts w:cstheme="minorHAnsi"/>
              </w:rPr>
            </w:pPr>
            <w:r w:rsidRPr="00EF5AAB">
              <w:rPr>
                <w:rFonts w:cstheme="minorHAnsi"/>
              </w:rPr>
              <w:t>Aged Care Assessment Team</w:t>
            </w:r>
          </w:p>
        </w:tc>
      </w:tr>
      <w:tr w:rsidR="00CB4F14" w:rsidRPr="00EF5AAB" w:rsidTr="00527184">
        <w:tc>
          <w:tcPr>
            <w:tcW w:w="2127" w:type="dxa"/>
          </w:tcPr>
          <w:p w:rsidR="00CB4F14" w:rsidRPr="00EF5AAB" w:rsidRDefault="00CB4F14" w:rsidP="002A4578">
            <w:pPr>
              <w:spacing w:after="60"/>
              <w:jc w:val="left"/>
            </w:pPr>
            <w:r w:rsidRPr="00EF5AAB">
              <w:rPr>
                <w:rFonts w:cstheme="minorHAnsi"/>
              </w:rPr>
              <w:t>ACFI</w:t>
            </w:r>
          </w:p>
        </w:tc>
        <w:tc>
          <w:tcPr>
            <w:tcW w:w="7087" w:type="dxa"/>
          </w:tcPr>
          <w:p w:rsidR="00CB4F14" w:rsidRPr="00EF5AAB" w:rsidRDefault="00CB4F14" w:rsidP="002A4578">
            <w:pPr>
              <w:spacing w:after="60"/>
              <w:jc w:val="left"/>
            </w:pPr>
            <w:r w:rsidRPr="00EF5AAB">
              <w:rPr>
                <w:rFonts w:cstheme="minorHAnsi"/>
              </w:rPr>
              <w:t>Aged Care Funding Instrument</w:t>
            </w:r>
          </w:p>
        </w:tc>
      </w:tr>
      <w:tr w:rsidR="00CB4F14" w:rsidRPr="00EF5AAB" w:rsidTr="00527184">
        <w:tc>
          <w:tcPr>
            <w:tcW w:w="2127" w:type="dxa"/>
          </w:tcPr>
          <w:p w:rsidR="00CB4F14" w:rsidRPr="00F11850" w:rsidRDefault="00CB4F14" w:rsidP="002A4578">
            <w:pPr>
              <w:spacing w:after="60"/>
              <w:jc w:val="left"/>
              <w:rPr>
                <w:rFonts w:cstheme="minorHAnsi"/>
              </w:rPr>
            </w:pPr>
            <w:r w:rsidRPr="00F11850">
              <w:rPr>
                <w:rFonts w:cstheme="minorHAnsi"/>
              </w:rPr>
              <w:t>ACG</w:t>
            </w:r>
          </w:p>
        </w:tc>
        <w:tc>
          <w:tcPr>
            <w:tcW w:w="7087" w:type="dxa"/>
          </w:tcPr>
          <w:p w:rsidR="00CB4F14" w:rsidRPr="00F11850" w:rsidRDefault="00CB4F14" w:rsidP="002A4578">
            <w:pPr>
              <w:spacing w:after="60"/>
              <w:jc w:val="left"/>
              <w:rPr>
                <w:rFonts w:cstheme="minorHAnsi"/>
              </w:rPr>
            </w:pPr>
            <w:r w:rsidRPr="00F11850">
              <w:rPr>
                <w:color w:val="000000"/>
              </w:rPr>
              <w:t xml:space="preserve">Aged Care Guild </w:t>
            </w:r>
          </w:p>
        </w:tc>
      </w:tr>
      <w:tr w:rsidR="00CB4F14" w:rsidRPr="00EF5AAB" w:rsidTr="00527184">
        <w:tc>
          <w:tcPr>
            <w:tcW w:w="2127" w:type="dxa"/>
            <w:shd w:val="clear" w:color="auto" w:fill="auto"/>
          </w:tcPr>
          <w:p w:rsidR="00CB4F14" w:rsidRPr="00F11850" w:rsidRDefault="00CB4F14" w:rsidP="002A4578">
            <w:pPr>
              <w:spacing w:after="60"/>
              <w:jc w:val="left"/>
              <w:rPr>
                <w:rFonts w:cstheme="minorHAnsi"/>
              </w:rPr>
            </w:pPr>
            <w:r w:rsidRPr="00F11850">
              <w:rPr>
                <w:rFonts w:cstheme="minorHAnsi"/>
              </w:rPr>
              <w:t>ACSA</w:t>
            </w:r>
          </w:p>
        </w:tc>
        <w:tc>
          <w:tcPr>
            <w:tcW w:w="7087" w:type="dxa"/>
          </w:tcPr>
          <w:p w:rsidR="00CB4F14" w:rsidRPr="00F11850" w:rsidRDefault="00CB4F14" w:rsidP="002A4578">
            <w:pPr>
              <w:spacing w:after="60"/>
              <w:jc w:val="left"/>
              <w:rPr>
                <w:rFonts w:cstheme="minorHAnsi"/>
              </w:rPr>
            </w:pPr>
            <w:r w:rsidRPr="00F11850">
              <w:rPr>
                <w:color w:val="000000"/>
              </w:rPr>
              <w:t>Aged &amp; Community Services Australia (ACSA)</w:t>
            </w:r>
          </w:p>
        </w:tc>
      </w:tr>
      <w:tr w:rsidR="00CB4F14" w:rsidRPr="00EF5AAB" w:rsidTr="00527184">
        <w:tc>
          <w:tcPr>
            <w:tcW w:w="2127" w:type="dxa"/>
          </w:tcPr>
          <w:p w:rsidR="00CB4F14" w:rsidRPr="00EF5AAB" w:rsidRDefault="00CB4F14" w:rsidP="002A4578">
            <w:pPr>
              <w:spacing w:after="60"/>
              <w:jc w:val="left"/>
            </w:pPr>
            <w:r w:rsidRPr="00EF5AAB">
              <w:t>ADL</w:t>
            </w:r>
          </w:p>
        </w:tc>
        <w:tc>
          <w:tcPr>
            <w:tcW w:w="7087" w:type="dxa"/>
          </w:tcPr>
          <w:p w:rsidR="00CB4F14" w:rsidRPr="00EF5AAB" w:rsidRDefault="00CB4F14" w:rsidP="002A4578">
            <w:pPr>
              <w:spacing w:after="60"/>
              <w:jc w:val="left"/>
            </w:pPr>
            <w:r w:rsidRPr="00EF5AAB">
              <w:t>Activities of Daily Living</w:t>
            </w:r>
          </w:p>
        </w:tc>
      </w:tr>
      <w:tr w:rsidR="00CB4F14" w:rsidRPr="00EF5AAB" w:rsidTr="00527184">
        <w:tc>
          <w:tcPr>
            <w:tcW w:w="2127" w:type="dxa"/>
          </w:tcPr>
          <w:p w:rsidR="00CB4F14" w:rsidRPr="00EF5AAB" w:rsidRDefault="00CB4F14" w:rsidP="002A4578">
            <w:pPr>
              <w:spacing w:after="60"/>
              <w:jc w:val="left"/>
            </w:pPr>
            <w:r w:rsidRPr="00EF5AAB">
              <w:t>AEP</w:t>
            </w:r>
          </w:p>
        </w:tc>
        <w:tc>
          <w:tcPr>
            <w:tcW w:w="7087" w:type="dxa"/>
          </w:tcPr>
          <w:p w:rsidR="00CB4F14" w:rsidRPr="00EF5AAB" w:rsidRDefault="00CB4F14" w:rsidP="002A4578">
            <w:pPr>
              <w:spacing w:after="60"/>
              <w:jc w:val="left"/>
            </w:pPr>
            <w:r w:rsidRPr="00EF5AAB">
              <w:t xml:space="preserve">Accredited </w:t>
            </w:r>
            <w:r>
              <w:t>E</w:t>
            </w:r>
            <w:r w:rsidRPr="00EF5AAB">
              <w:t xml:space="preserve">xercise </w:t>
            </w:r>
            <w:r>
              <w:t>P</w:t>
            </w:r>
            <w:r w:rsidRPr="00EF5AAB">
              <w:t>hysiologist</w:t>
            </w:r>
          </w:p>
        </w:tc>
      </w:tr>
      <w:tr w:rsidR="00CB4F14" w:rsidRPr="00EF5AAB" w:rsidTr="00527184">
        <w:tc>
          <w:tcPr>
            <w:tcW w:w="2127" w:type="dxa"/>
          </w:tcPr>
          <w:p w:rsidR="00CB4F14" w:rsidRPr="00F11850" w:rsidRDefault="00CB4F14" w:rsidP="002A4578">
            <w:pPr>
              <w:spacing w:after="60"/>
              <w:jc w:val="left"/>
            </w:pPr>
            <w:r w:rsidRPr="00F11850">
              <w:t>AGS</w:t>
            </w:r>
          </w:p>
        </w:tc>
        <w:tc>
          <w:tcPr>
            <w:tcW w:w="7087" w:type="dxa"/>
          </w:tcPr>
          <w:p w:rsidR="00CB4F14" w:rsidRPr="00F11850" w:rsidRDefault="00CB4F14" w:rsidP="002A4578">
            <w:pPr>
              <w:spacing w:after="60"/>
              <w:jc w:val="left"/>
            </w:pPr>
            <w:r w:rsidRPr="00F11850">
              <w:t>American Geriatrics Society</w:t>
            </w:r>
          </w:p>
        </w:tc>
      </w:tr>
      <w:tr w:rsidR="00CB4F14" w:rsidRPr="00EF5AAB" w:rsidTr="00527184">
        <w:tc>
          <w:tcPr>
            <w:tcW w:w="2127" w:type="dxa"/>
          </w:tcPr>
          <w:p w:rsidR="00CB4F14" w:rsidRPr="00EF5AAB" w:rsidRDefault="00CB4F14" w:rsidP="002A4578">
            <w:pPr>
              <w:spacing w:after="60"/>
              <w:jc w:val="left"/>
            </w:pPr>
            <w:r w:rsidRPr="00EF5AAB">
              <w:t>AHP</w:t>
            </w:r>
          </w:p>
        </w:tc>
        <w:tc>
          <w:tcPr>
            <w:tcW w:w="7087" w:type="dxa"/>
          </w:tcPr>
          <w:p w:rsidR="00CB4F14" w:rsidRPr="00EF5AAB" w:rsidRDefault="00CB4F14" w:rsidP="002A4578">
            <w:pPr>
              <w:spacing w:after="60"/>
              <w:jc w:val="left"/>
            </w:pPr>
            <w:r w:rsidRPr="00EF5AAB">
              <w:t>Allied Health Professional</w:t>
            </w:r>
          </w:p>
        </w:tc>
      </w:tr>
      <w:tr w:rsidR="00CB4F14" w:rsidRPr="00EF5AAB" w:rsidTr="00527184">
        <w:tc>
          <w:tcPr>
            <w:tcW w:w="2127" w:type="dxa"/>
          </w:tcPr>
          <w:p w:rsidR="00CB4F14" w:rsidRPr="00EF5AAB" w:rsidRDefault="00CB4F14" w:rsidP="002A4578">
            <w:pPr>
              <w:spacing w:after="60"/>
              <w:jc w:val="left"/>
            </w:pPr>
            <w:r w:rsidRPr="00EF5AAB">
              <w:t>AHPRA</w:t>
            </w:r>
          </w:p>
        </w:tc>
        <w:tc>
          <w:tcPr>
            <w:tcW w:w="7087" w:type="dxa"/>
          </w:tcPr>
          <w:p w:rsidR="00CB4F14" w:rsidRPr="00EF5AAB" w:rsidRDefault="00CB4F14" w:rsidP="002A4578">
            <w:pPr>
              <w:spacing w:after="60"/>
              <w:jc w:val="left"/>
            </w:pPr>
            <w:r w:rsidRPr="00EF5AAB">
              <w:t>Australian Health Practitioner Regulation Agency</w:t>
            </w:r>
          </w:p>
        </w:tc>
      </w:tr>
      <w:tr w:rsidR="00CB4F14" w:rsidRPr="00EF5AAB" w:rsidTr="00527184">
        <w:tc>
          <w:tcPr>
            <w:tcW w:w="2127" w:type="dxa"/>
          </w:tcPr>
          <w:p w:rsidR="00CB4F14" w:rsidRPr="00EF5AAB" w:rsidRDefault="00CB4F14" w:rsidP="002A4578">
            <w:pPr>
              <w:spacing w:after="60"/>
              <w:jc w:val="left"/>
            </w:pPr>
            <w:r>
              <w:t>AIHW</w:t>
            </w:r>
          </w:p>
        </w:tc>
        <w:tc>
          <w:tcPr>
            <w:tcW w:w="7087" w:type="dxa"/>
          </w:tcPr>
          <w:p w:rsidR="00CB4F14" w:rsidRPr="00EF5AAB" w:rsidRDefault="00CB4F14" w:rsidP="002A4578">
            <w:pPr>
              <w:spacing w:after="60"/>
              <w:jc w:val="left"/>
            </w:pPr>
            <w:r>
              <w:t>Australian Institute of Health and Welfare</w:t>
            </w:r>
          </w:p>
        </w:tc>
      </w:tr>
      <w:tr w:rsidR="004633A2" w:rsidRPr="00EF5AAB" w:rsidTr="00527184">
        <w:tc>
          <w:tcPr>
            <w:tcW w:w="2127" w:type="dxa"/>
          </w:tcPr>
          <w:p w:rsidR="004633A2" w:rsidRDefault="004633A2" w:rsidP="002A4578">
            <w:pPr>
              <w:spacing w:after="60"/>
              <w:jc w:val="left"/>
            </w:pPr>
            <w:r>
              <w:t>AIHW MET</w:t>
            </w:r>
            <w:r w:rsidR="00351320">
              <w:t>e</w:t>
            </w:r>
            <w:r>
              <w:t>OR</w:t>
            </w:r>
          </w:p>
        </w:tc>
        <w:tc>
          <w:tcPr>
            <w:tcW w:w="7087" w:type="dxa"/>
          </w:tcPr>
          <w:p w:rsidR="004633A2" w:rsidRPr="004633A2" w:rsidRDefault="004633A2" w:rsidP="002A4578">
            <w:pPr>
              <w:spacing w:after="60"/>
              <w:jc w:val="left"/>
              <w:rPr>
                <w:rFonts w:cstheme="minorHAnsi"/>
                <w:szCs w:val="24"/>
              </w:rPr>
            </w:pPr>
            <w:r w:rsidRPr="0089181B">
              <w:rPr>
                <w:rFonts w:cstheme="minorHAnsi"/>
                <w:color w:val="000000"/>
                <w:szCs w:val="24"/>
                <w:shd w:val="clear" w:color="auto" w:fill="FFFFFF"/>
              </w:rPr>
              <w:t>METeOR is Australia’s repository for national metadata standards for health, housing and community services statistics and information.</w:t>
            </w:r>
          </w:p>
        </w:tc>
      </w:tr>
      <w:tr w:rsidR="00CB4F14" w:rsidRPr="00EF5AAB" w:rsidTr="00527184">
        <w:tc>
          <w:tcPr>
            <w:tcW w:w="2127" w:type="dxa"/>
          </w:tcPr>
          <w:p w:rsidR="00CB4F14" w:rsidRPr="00535696" w:rsidRDefault="00CB4F14" w:rsidP="002A4578">
            <w:pPr>
              <w:spacing w:after="60"/>
              <w:jc w:val="left"/>
            </w:pPr>
            <w:r>
              <w:t>AP</w:t>
            </w:r>
          </w:p>
        </w:tc>
        <w:tc>
          <w:tcPr>
            <w:tcW w:w="7087" w:type="dxa"/>
          </w:tcPr>
          <w:p w:rsidR="00CB4F14" w:rsidRPr="00EF5AAB" w:rsidRDefault="00CB4F14" w:rsidP="002A4578">
            <w:pPr>
              <w:spacing w:after="60"/>
              <w:jc w:val="left"/>
            </w:pPr>
            <w:r>
              <w:t>Approved Provider</w:t>
            </w:r>
          </w:p>
        </w:tc>
      </w:tr>
      <w:tr w:rsidR="00CB4F14" w:rsidRPr="00EF5AAB" w:rsidTr="00527184">
        <w:tc>
          <w:tcPr>
            <w:tcW w:w="2127" w:type="dxa"/>
          </w:tcPr>
          <w:p w:rsidR="00CB4F14" w:rsidRPr="00EF5AAB" w:rsidRDefault="00CB4F14" w:rsidP="002A4578">
            <w:pPr>
              <w:spacing w:after="60"/>
              <w:jc w:val="left"/>
            </w:pPr>
            <w:r w:rsidRPr="00EF5AAB">
              <w:t>APA</w:t>
            </w:r>
          </w:p>
        </w:tc>
        <w:tc>
          <w:tcPr>
            <w:tcW w:w="7087" w:type="dxa"/>
          </w:tcPr>
          <w:p w:rsidR="00CB4F14" w:rsidRPr="00EF5AAB" w:rsidRDefault="00CB4F14" w:rsidP="002A4578">
            <w:pPr>
              <w:spacing w:after="60"/>
              <w:jc w:val="left"/>
            </w:pPr>
            <w:r w:rsidRPr="00EF5AAB">
              <w:t>Australian Physiotherapy Association</w:t>
            </w:r>
          </w:p>
        </w:tc>
      </w:tr>
      <w:tr w:rsidR="00CB4F14" w:rsidRPr="00EF5AAB" w:rsidTr="00527184">
        <w:tc>
          <w:tcPr>
            <w:tcW w:w="2127" w:type="dxa"/>
          </w:tcPr>
          <w:p w:rsidR="00CB4F14" w:rsidRPr="00EF5AAB" w:rsidRDefault="00CB4F14" w:rsidP="002A4578">
            <w:pPr>
              <w:spacing w:after="60"/>
              <w:jc w:val="left"/>
            </w:pPr>
            <w:r w:rsidRPr="00EF5AAB">
              <w:t>APS</w:t>
            </w:r>
          </w:p>
        </w:tc>
        <w:tc>
          <w:tcPr>
            <w:tcW w:w="7087" w:type="dxa"/>
          </w:tcPr>
          <w:p w:rsidR="00CB4F14" w:rsidRPr="00EF5AAB" w:rsidRDefault="00CB4F14" w:rsidP="002A4578">
            <w:pPr>
              <w:spacing w:after="60"/>
              <w:jc w:val="left"/>
            </w:pPr>
            <w:r w:rsidRPr="00F11850">
              <w:t>Australian Pain Society</w:t>
            </w:r>
          </w:p>
        </w:tc>
      </w:tr>
      <w:tr w:rsidR="00D2092E" w:rsidRPr="00EF5AAB" w:rsidTr="00527184">
        <w:tc>
          <w:tcPr>
            <w:tcW w:w="2127" w:type="dxa"/>
          </w:tcPr>
          <w:p w:rsidR="00D2092E" w:rsidRPr="00EF5AAB" w:rsidRDefault="00D2092E" w:rsidP="002A4578">
            <w:pPr>
              <w:spacing w:after="60"/>
              <w:jc w:val="left"/>
            </w:pPr>
            <w:r w:rsidRPr="009F44F4">
              <w:rPr>
                <w:rFonts w:cstheme="minorHAnsi"/>
                <w:szCs w:val="24"/>
              </w:rPr>
              <w:t>Ax</w:t>
            </w:r>
          </w:p>
        </w:tc>
        <w:tc>
          <w:tcPr>
            <w:tcW w:w="7087" w:type="dxa"/>
          </w:tcPr>
          <w:p w:rsidR="00D2092E" w:rsidRPr="00F11850" w:rsidRDefault="00D2092E" w:rsidP="002A4578">
            <w:pPr>
              <w:spacing w:after="60"/>
              <w:jc w:val="left"/>
            </w:pPr>
            <w:r>
              <w:t>Assessment</w:t>
            </w:r>
          </w:p>
        </w:tc>
      </w:tr>
      <w:tr w:rsidR="00CB4F14" w:rsidRPr="00EF5AAB" w:rsidTr="00527184">
        <w:tc>
          <w:tcPr>
            <w:tcW w:w="2127" w:type="dxa"/>
          </w:tcPr>
          <w:p w:rsidR="00CB4F14" w:rsidRPr="00EF5AAB" w:rsidRDefault="00CB4F14" w:rsidP="002A4578">
            <w:pPr>
              <w:spacing w:after="60"/>
              <w:jc w:val="left"/>
            </w:pPr>
            <w:r w:rsidRPr="00EF5AAB">
              <w:t>BBS</w:t>
            </w:r>
          </w:p>
        </w:tc>
        <w:tc>
          <w:tcPr>
            <w:tcW w:w="7087" w:type="dxa"/>
          </w:tcPr>
          <w:p w:rsidR="00CB4F14" w:rsidRPr="00EF5AAB" w:rsidRDefault="00CB4F14" w:rsidP="002A4578">
            <w:pPr>
              <w:spacing w:after="60"/>
              <w:jc w:val="left"/>
            </w:pPr>
            <w:r w:rsidRPr="00EF5AAB">
              <w:t>Berg Balance Scale</w:t>
            </w:r>
          </w:p>
        </w:tc>
      </w:tr>
      <w:tr w:rsidR="00CB4F14" w:rsidRPr="00EF5AAB" w:rsidTr="00527184">
        <w:tc>
          <w:tcPr>
            <w:tcW w:w="2127" w:type="dxa"/>
          </w:tcPr>
          <w:p w:rsidR="00CB4F14" w:rsidRPr="00EF5AAB" w:rsidRDefault="00CB4F14" w:rsidP="002A4578">
            <w:pPr>
              <w:spacing w:after="60"/>
              <w:jc w:val="left"/>
              <w:rPr>
                <w:rFonts w:cstheme="minorHAnsi"/>
              </w:rPr>
            </w:pPr>
            <w:r w:rsidRPr="00EF5AAB">
              <w:rPr>
                <w:rFonts w:cstheme="minorHAnsi"/>
              </w:rPr>
              <w:t>BEH</w:t>
            </w:r>
          </w:p>
        </w:tc>
        <w:tc>
          <w:tcPr>
            <w:tcW w:w="7087" w:type="dxa"/>
          </w:tcPr>
          <w:p w:rsidR="00CB4F14" w:rsidRPr="00EF5AAB" w:rsidRDefault="00CB4F14" w:rsidP="002A4578">
            <w:pPr>
              <w:spacing w:after="60"/>
              <w:jc w:val="left"/>
              <w:rPr>
                <w:rFonts w:cstheme="minorHAnsi"/>
              </w:rPr>
            </w:pPr>
            <w:r w:rsidRPr="00EF5AAB">
              <w:rPr>
                <w:rFonts w:cstheme="minorHAnsi"/>
              </w:rPr>
              <w:t>Behaviour</w:t>
            </w:r>
          </w:p>
        </w:tc>
      </w:tr>
      <w:tr w:rsidR="00CB4F14" w:rsidRPr="00EF5AAB" w:rsidTr="00527184">
        <w:tc>
          <w:tcPr>
            <w:tcW w:w="2127" w:type="dxa"/>
          </w:tcPr>
          <w:p w:rsidR="00CB4F14" w:rsidRPr="00F11850" w:rsidRDefault="00CB4F14" w:rsidP="002A4578">
            <w:pPr>
              <w:spacing w:after="60"/>
              <w:jc w:val="left"/>
              <w:rPr>
                <w:highlight w:val="yellow"/>
              </w:rPr>
            </w:pPr>
            <w:r w:rsidRPr="00F11850">
              <w:t>BEHAVE-AD</w:t>
            </w:r>
          </w:p>
        </w:tc>
        <w:tc>
          <w:tcPr>
            <w:tcW w:w="7087" w:type="dxa"/>
          </w:tcPr>
          <w:p w:rsidR="00CB4F14" w:rsidRPr="00F11850" w:rsidRDefault="00CB4F14" w:rsidP="002A4578">
            <w:pPr>
              <w:spacing w:after="60"/>
              <w:jc w:val="left"/>
              <w:rPr>
                <w:highlight w:val="yellow"/>
                <w:lang w:eastAsia="en-AU"/>
              </w:rPr>
            </w:pPr>
            <w:r w:rsidRPr="00F11850">
              <w:t xml:space="preserve">Behavioural </w:t>
            </w:r>
            <w:r>
              <w:t>Symptoms</w:t>
            </w:r>
            <w:r w:rsidRPr="00F11850">
              <w:t xml:space="preserve"> in Alzheimer’s Disease</w:t>
            </w:r>
          </w:p>
        </w:tc>
      </w:tr>
      <w:tr w:rsidR="00CB4F14" w:rsidRPr="00EF5AAB" w:rsidTr="00527184">
        <w:tc>
          <w:tcPr>
            <w:tcW w:w="2127" w:type="dxa"/>
          </w:tcPr>
          <w:p w:rsidR="00CB4F14" w:rsidRPr="00EF5AAB" w:rsidRDefault="00CB4F14" w:rsidP="002A4578">
            <w:pPr>
              <w:spacing w:after="60"/>
              <w:jc w:val="left"/>
            </w:pPr>
            <w:r>
              <w:t>BGL</w:t>
            </w:r>
          </w:p>
        </w:tc>
        <w:tc>
          <w:tcPr>
            <w:tcW w:w="7087" w:type="dxa"/>
          </w:tcPr>
          <w:p w:rsidR="00CB4F14" w:rsidRPr="00EF5AAB" w:rsidRDefault="00CB4F14" w:rsidP="002A4578">
            <w:pPr>
              <w:spacing w:after="60"/>
              <w:jc w:val="left"/>
            </w:pPr>
            <w:r>
              <w:t>Blood Glucose Level</w:t>
            </w:r>
          </w:p>
        </w:tc>
      </w:tr>
      <w:tr w:rsidR="00CB4F14" w:rsidRPr="00EF5AAB" w:rsidTr="00527184">
        <w:tc>
          <w:tcPr>
            <w:tcW w:w="2127" w:type="dxa"/>
          </w:tcPr>
          <w:p w:rsidR="00CB4F14" w:rsidRPr="00EF5AAB" w:rsidRDefault="00CB4F14" w:rsidP="002A4578">
            <w:pPr>
              <w:spacing w:after="60"/>
              <w:jc w:val="left"/>
            </w:pPr>
            <w:r w:rsidRPr="00EF5AAB">
              <w:t>BMI</w:t>
            </w:r>
          </w:p>
        </w:tc>
        <w:tc>
          <w:tcPr>
            <w:tcW w:w="7087" w:type="dxa"/>
          </w:tcPr>
          <w:p w:rsidR="00CB4F14" w:rsidRPr="00EF5AAB" w:rsidRDefault="00CB4F14" w:rsidP="002A4578">
            <w:pPr>
              <w:spacing w:after="60"/>
              <w:jc w:val="left"/>
            </w:pPr>
            <w:r w:rsidRPr="00EF5AAB">
              <w:t xml:space="preserve">Body </w:t>
            </w:r>
            <w:r>
              <w:t>M</w:t>
            </w:r>
            <w:r w:rsidRPr="00EF5AAB">
              <w:t xml:space="preserve">ass </w:t>
            </w:r>
            <w:r>
              <w:t>I</w:t>
            </w:r>
            <w:r w:rsidRPr="00EF5AAB">
              <w:t>ndex</w:t>
            </w:r>
          </w:p>
        </w:tc>
      </w:tr>
      <w:tr w:rsidR="00CB4F14" w:rsidRPr="00EF5AAB" w:rsidTr="00527184">
        <w:tc>
          <w:tcPr>
            <w:tcW w:w="2127" w:type="dxa"/>
          </w:tcPr>
          <w:p w:rsidR="00CB4F14" w:rsidRPr="00EF5AAB" w:rsidRDefault="00CB4F14" w:rsidP="002A4578">
            <w:pPr>
              <w:spacing w:after="60"/>
              <w:jc w:val="left"/>
            </w:pPr>
            <w:r w:rsidRPr="00EF5AAB">
              <w:t>BOOMER</w:t>
            </w:r>
          </w:p>
        </w:tc>
        <w:tc>
          <w:tcPr>
            <w:tcW w:w="7087" w:type="dxa"/>
          </w:tcPr>
          <w:p w:rsidR="00CB4F14" w:rsidRPr="00EF5AAB" w:rsidRDefault="00CB4F14" w:rsidP="002A4578">
            <w:pPr>
              <w:spacing w:after="60"/>
              <w:jc w:val="left"/>
            </w:pPr>
            <w:r w:rsidRPr="00EF5AAB">
              <w:t>Balance Outcome Measure for Elder Rehabilitation</w:t>
            </w:r>
          </w:p>
        </w:tc>
      </w:tr>
      <w:tr w:rsidR="00CB4F14" w:rsidRPr="00EF5AAB" w:rsidTr="00527184">
        <w:tc>
          <w:tcPr>
            <w:tcW w:w="2127" w:type="dxa"/>
          </w:tcPr>
          <w:p w:rsidR="00CB4F14" w:rsidRPr="00EF5AAB" w:rsidRDefault="00CB4F14" w:rsidP="002A4578">
            <w:pPr>
              <w:spacing w:after="60"/>
              <w:jc w:val="left"/>
            </w:pPr>
            <w:r>
              <w:t>BP</w:t>
            </w:r>
          </w:p>
        </w:tc>
        <w:tc>
          <w:tcPr>
            <w:tcW w:w="7087" w:type="dxa"/>
          </w:tcPr>
          <w:p w:rsidR="00CB4F14" w:rsidRPr="00EF5AAB" w:rsidRDefault="00CB4F14" w:rsidP="002A4578">
            <w:pPr>
              <w:spacing w:after="60"/>
              <w:jc w:val="left"/>
            </w:pPr>
            <w:r>
              <w:t>Blood Pressure</w:t>
            </w:r>
          </w:p>
        </w:tc>
      </w:tr>
      <w:tr w:rsidR="00CB4F14" w:rsidRPr="00EF5AAB" w:rsidTr="00527184">
        <w:tc>
          <w:tcPr>
            <w:tcW w:w="2127" w:type="dxa"/>
          </w:tcPr>
          <w:p w:rsidR="00CB4F14" w:rsidRDefault="00CB4F14" w:rsidP="002A4578">
            <w:pPr>
              <w:spacing w:after="60"/>
              <w:jc w:val="left"/>
            </w:pPr>
            <w:r>
              <w:t>CAM</w:t>
            </w:r>
          </w:p>
        </w:tc>
        <w:tc>
          <w:tcPr>
            <w:tcW w:w="7087" w:type="dxa"/>
          </w:tcPr>
          <w:p w:rsidR="00CB4F14" w:rsidRDefault="00CB4F14" w:rsidP="002A4578">
            <w:pPr>
              <w:spacing w:after="60"/>
              <w:jc w:val="left"/>
            </w:pPr>
            <w:r>
              <w:t>Care Aggregate Module</w:t>
            </w:r>
          </w:p>
        </w:tc>
      </w:tr>
      <w:tr w:rsidR="00CB4F14" w:rsidRPr="00EF5AAB" w:rsidTr="00527184">
        <w:tc>
          <w:tcPr>
            <w:tcW w:w="2127" w:type="dxa"/>
          </w:tcPr>
          <w:p w:rsidR="00CB4F14" w:rsidRDefault="00CB4F14" w:rsidP="002A4578">
            <w:pPr>
              <w:spacing w:after="60"/>
              <w:jc w:val="left"/>
            </w:pPr>
            <w:r>
              <w:t>CDC</w:t>
            </w:r>
          </w:p>
        </w:tc>
        <w:tc>
          <w:tcPr>
            <w:tcW w:w="7087" w:type="dxa"/>
          </w:tcPr>
          <w:p w:rsidR="00CB4F14" w:rsidRDefault="00CB4F14" w:rsidP="002A4578">
            <w:pPr>
              <w:spacing w:after="60"/>
              <w:jc w:val="left"/>
            </w:pPr>
            <w:r>
              <w:t>Consumer Directed Care</w:t>
            </w:r>
          </w:p>
        </w:tc>
      </w:tr>
      <w:tr w:rsidR="00CB4F14" w:rsidRPr="00EF5AAB" w:rsidTr="00527184">
        <w:tc>
          <w:tcPr>
            <w:tcW w:w="2127" w:type="dxa"/>
          </w:tcPr>
          <w:p w:rsidR="00CB4F14" w:rsidRPr="00EF5AAB" w:rsidRDefault="00CB4F14" w:rsidP="002A4578">
            <w:pPr>
              <w:spacing w:after="60"/>
              <w:jc w:val="left"/>
              <w:rPr>
                <w:rFonts w:cstheme="minorHAnsi"/>
              </w:rPr>
            </w:pPr>
            <w:r>
              <w:rPr>
                <w:rFonts w:cstheme="minorHAnsi"/>
              </w:rPr>
              <w:t>CFA</w:t>
            </w:r>
          </w:p>
        </w:tc>
        <w:tc>
          <w:tcPr>
            <w:tcW w:w="7087" w:type="dxa"/>
          </w:tcPr>
          <w:p w:rsidR="00CB4F14" w:rsidRPr="00EF5AAB" w:rsidRDefault="00CB4F14" w:rsidP="002A4578">
            <w:pPr>
              <w:spacing w:after="60"/>
              <w:jc w:val="left"/>
              <w:rPr>
                <w:rFonts w:cstheme="minorHAnsi"/>
              </w:rPr>
            </w:pPr>
            <w:r>
              <w:rPr>
                <w:rFonts w:cstheme="minorHAnsi"/>
              </w:rPr>
              <w:t>Continence Foundation Australia</w:t>
            </w:r>
          </w:p>
        </w:tc>
      </w:tr>
      <w:tr w:rsidR="00CB4F14" w:rsidRPr="00EF5AAB" w:rsidTr="00527184">
        <w:tc>
          <w:tcPr>
            <w:tcW w:w="2127" w:type="dxa"/>
          </w:tcPr>
          <w:p w:rsidR="00CB4F14" w:rsidRPr="00EF5AAB" w:rsidRDefault="00CB4F14" w:rsidP="002A4578">
            <w:pPr>
              <w:spacing w:after="60"/>
              <w:jc w:val="left"/>
              <w:rPr>
                <w:rFonts w:cstheme="minorHAnsi"/>
              </w:rPr>
            </w:pPr>
            <w:r w:rsidRPr="00EF5AAB">
              <w:rPr>
                <w:rFonts w:cstheme="minorHAnsi"/>
              </w:rPr>
              <w:t>CHA</w:t>
            </w:r>
          </w:p>
        </w:tc>
        <w:tc>
          <w:tcPr>
            <w:tcW w:w="7087" w:type="dxa"/>
          </w:tcPr>
          <w:p w:rsidR="00CB4F14" w:rsidRPr="00EF5AAB" w:rsidRDefault="00CB4F14" w:rsidP="002A4578">
            <w:pPr>
              <w:spacing w:after="60"/>
              <w:jc w:val="left"/>
              <w:rPr>
                <w:rFonts w:cstheme="minorHAnsi"/>
              </w:rPr>
            </w:pPr>
            <w:r w:rsidRPr="00EF5AAB">
              <w:rPr>
                <w:rFonts w:cstheme="minorHAnsi"/>
              </w:rPr>
              <w:t>Comprehensive Health Assessment</w:t>
            </w:r>
          </w:p>
        </w:tc>
      </w:tr>
      <w:tr w:rsidR="00CB4F14" w:rsidRPr="00EF5AAB" w:rsidTr="00527184">
        <w:tc>
          <w:tcPr>
            <w:tcW w:w="2127" w:type="dxa"/>
          </w:tcPr>
          <w:p w:rsidR="00CB4F14" w:rsidRPr="00EF5AAB" w:rsidRDefault="00CB4F14" w:rsidP="002A4578">
            <w:pPr>
              <w:spacing w:after="60"/>
              <w:jc w:val="left"/>
            </w:pPr>
            <w:r w:rsidRPr="00EF5AAB">
              <w:t>CHC</w:t>
            </w:r>
          </w:p>
        </w:tc>
        <w:tc>
          <w:tcPr>
            <w:tcW w:w="7087" w:type="dxa"/>
          </w:tcPr>
          <w:p w:rsidR="00CB4F14" w:rsidRPr="00EF5AAB" w:rsidRDefault="00CB4F14" w:rsidP="002A4578">
            <w:pPr>
              <w:spacing w:after="60"/>
              <w:jc w:val="left"/>
            </w:pPr>
            <w:r w:rsidRPr="00EF5AAB">
              <w:t>Complex Health Care</w:t>
            </w:r>
          </w:p>
        </w:tc>
      </w:tr>
      <w:tr w:rsidR="00CB4F14" w:rsidRPr="00EF5AAB" w:rsidTr="00527184">
        <w:tc>
          <w:tcPr>
            <w:tcW w:w="2127" w:type="dxa"/>
          </w:tcPr>
          <w:p w:rsidR="00CB4F14" w:rsidRPr="00EF5AAB" w:rsidRDefault="00CB4F14" w:rsidP="002A4578">
            <w:pPr>
              <w:spacing w:after="60"/>
              <w:jc w:val="left"/>
            </w:pPr>
            <w:r>
              <w:t>CHAOP</w:t>
            </w:r>
          </w:p>
        </w:tc>
        <w:tc>
          <w:tcPr>
            <w:tcW w:w="7087" w:type="dxa"/>
          </w:tcPr>
          <w:p w:rsidR="00CB4F14" w:rsidRPr="00F11850" w:rsidRDefault="00CB4F14" w:rsidP="002A4578">
            <w:pPr>
              <w:spacing w:after="60"/>
              <w:jc w:val="left"/>
            </w:pPr>
            <w:r w:rsidRPr="00F11850">
              <w:rPr>
                <w:color w:val="000000"/>
              </w:rPr>
              <w:t>Comprehensive Health Assessment for Older People</w:t>
            </w:r>
          </w:p>
        </w:tc>
      </w:tr>
      <w:tr w:rsidR="00CB4F14" w:rsidRPr="00EF5AAB" w:rsidTr="00527184">
        <w:tc>
          <w:tcPr>
            <w:tcW w:w="2127" w:type="dxa"/>
          </w:tcPr>
          <w:p w:rsidR="00CB4F14" w:rsidRPr="00EF5AAB" w:rsidRDefault="00CB4F14" w:rsidP="002A4578">
            <w:pPr>
              <w:spacing w:after="60"/>
              <w:jc w:val="left"/>
            </w:pPr>
            <w:r>
              <w:t>CMA</w:t>
            </w:r>
          </w:p>
        </w:tc>
        <w:tc>
          <w:tcPr>
            <w:tcW w:w="7087" w:type="dxa"/>
          </w:tcPr>
          <w:p w:rsidR="00CB4F14" w:rsidRPr="00EF5AAB" w:rsidRDefault="00CB4F14" w:rsidP="002A4578">
            <w:pPr>
              <w:spacing w:after="60"/>
              <w:jc w:val="left"/>
            </w:pPr>
            <w:r>
              <w:t>Comprehensive Medical Assessment</w:t>
            </w:r>
          </w:p>
        </w:tc>
      </w:tr>
      <w:tr w:rsidR="00CB4F14" w:rsidRPr="00EF5AAB" w:rsidTr="00527184">
        <w:tc>
          <w:tcPr>
            <w:tcW w:w="2127" w:type="dxa"/>
          </w:tcPr>
          <w:p w:rsidR="00CB4F14" w:rsidRPr="00EF5AAB" w:rsidRDefault="00CB4F14" w:rsidP="002A4578">
            <w:pPr>
              <w:spacing w:after="60"/>
              <w:jc w:val="left"/>
              <w:rPr>
                <w:rFonts w:cstheme="minorHAnsi"/>
              </w:rPr>
            </w:pPr>
            <w:r w:rsidRPr="00EF5AAB">
              <w:rPr>
                <w:rFonts w:cstheme="minorHAnsi"/>
              </w:rPr>
              <w:t>CMAI</w:t>
            </w:r>
          </w:p>
        </w:tc>
        <w:tc>
          <w:tcPr>
            <w:tcW w:w="7087" w:type="dxa"/>
          </w:tcPr>
          <w:p w:rsidR="00CB4F14" w:rsidRPr="00EF5AAB" w:rsidRDefault="00CB4F14" w:rsidP="002A4578">
            <w:pPr>
              <w:spacing w:after="60"/>
              <w:jc w:val="left"/>
              <w:rPr>
                <w:rFonts w:cstheme="minorHAnsi"/>
              </w:rPr>
            </w:pPr>
            <w:r w:rsidRPr="00EF5AAB">
              <w:rPr>
                <w:rFonts w:cstheme="minorHAnsi"/>
                <w:lang w:eastAsia="en-AU"/>
              </w:rPr>
              <w:t>Cohen Mansfield Agitation Index</w:t>
            </w:r>
          </w:p>
        </w:tc>
      </w:tr>
      <w:tr w:rsidR="00CB4F14" w:rsidRPr="00EF5AAB" w:rsidTr="00527184">
        <w:tc>
          <w:tcPr>
            <w:tcW w:w="2127" w:type="dxa"/>
          </w:tcPr>
          <w:p w:rsidR="00CB4F14" w:rsidRDefault="00CB4F14" w:rsidP="002A4578">
            <w:pPr>
              <w:spacing w:after="60"/>
              <w:jc w:val="left"/>
              <w:rPr>
                <w:rFonts w:cstheme="minorHAnsi"/>
              </w:rPr>
            </w:pPr>
            <w:r>
              <w:rPr>
                <w:rFonts w:cstheme="minorHAnsi"/>
              </w:rPr>
              <w:t>CMI</w:t>
            </w:r>
          </w:p>
        </w:tc>
        <w:tc>
          <w:tcPr>
            <w:tcW w:w="7087" w:type="dxa"/>
          </w:tcPr>
          <w:p w:rsidR="00CB4F14" w:rsidRDefault="00CB4F14" w:rsidP="002A4578">
            <w:pPr>
              <w:spacing w:after="60"/>
              <w:jc w:val="left"/>
              <w:rPr>
                <w:rFonts w:cstheme="minorHAnsi"/>
                <w:lang w:eastAsia="en-AU"/>
              </w:rPr>
            </w:pPr>
            <w:r>
              <w:rPr>
                <w:rFonts w:cstheme="minorHAnsi"/>
                <w:lang w:eastAsia="en-AU"/>
              </w:rPr>
              <w:t>Casemix Index</w:t>
            </w:r>
          </w:p>
        </w:tc>
      </w:tr>
      <w:tr w:rsidR="00CB4F14" w:rsidRPr="00EF5AAB" w:rsidTr="00527184">
        <w:tc>
          <w:tcPr>
            <w:tcW w:w="2127" w:type="dxa"/>
          </w:tcPr>
          <w:p w:rsidR="00CB4F14" w:rsidRPr="00EF5AAB" w:rsidRDefault="00CB4F14" w:rsidP="002A4578">
            <w:pPr>
              <w:spacing w:after="60"/>
              <w:jc w:val="left"/>
              <w:rPr>
                <w:rFonts w:cstheme="minorHAnsi"/>
              </w:rPr>
            </w:pPr>
            <w:r>
              <w:rPr>
                <w:rFonts w:cstheme="minorHAnsi"/>
              </w:rPr>
              <w:lastRenderedPageBreak/>
              <w:t>CNC</w:t>
            </w:r>
          </w:p>
        </w:tc>
        <w:tc>
          <w:tcPr>
            <w:tcW w:w="7087" w:type="dxa"/>
          </w:tcPr>
          <w:p w:rsidR="00CB4F14" w:rsidRPr="00EF5AAB" w:rsidRDefault="00CB4F14" w:rsidP="002A4578">
            <w:pPr>
              <w:spacing w:after="60"/>
              <w:jc w:val="left"/>
              <w:rPr>
                <w:rFonts w:cstheme="minorHAnsi"/>
                <w:lang w:eastAsia="en-AU"/>
              </w:rPr>
            </w:pPr>
            <w:r>
              <w:rPr>
                <w:rFonts w:cstheme="minorHAnsi"/>
                <w:lang w:eastAsia="en-AU"/>
              </w:rPr>
              <w:t>Clinical Nurse Consultant</w:t>
            </w:r>
          </w:p>
        </w:tc>
      </w:tr>
      <w:tr w:rsidR="00CB4F14" w:rsidRPr="00EF5AAB" w:rsidTr="00527184">
        <w:tc>
          <w:tcPr>
            <w:tcW w:w="2127" w:type="dxa"/>
          </w:tcPr>
          <w:p w:rsidR="00CB4F14" w:rsidRDefault="00CB4F14" w:rsidP="002A4578">
            <w:pPr>
              <w:spacing w:after="60"/>
              <w:jc w:val="left"/>
              <w:rPr>
                <w:rFonts w:cstheme="minorHAnsi"/>
              </w:rPr>
            </w:pPr>
            <w:r>
              <w:rPr>
                <w:rFonts w:cstheme="minorHAnsi"/>
              </w:rPr>
              <w:t>CNO</w:t>
            </w:r>
          </w:p>
        </w:tc>
        <w:tc>
          <w:tcPr>
            <w:tcW w:w="7087" w:type="dxa"/>
          </w:tcPr>
          <w:p w:rsidR="00CB4F14" w:rsidRDefault="00CB4F14" w:rsidP="002A4578">
            <w:pPr>
              <w:spacing w:after="60"/>
              <w:jc w:val="left"/>
              <w:rPr>
                <w:rFonts w:cstheme="minorHAnsi"/>
                <w:lang w:eastAsia="en-AU"/>
              </w:rPr>
            </w:pPr>
            <w:r>
              <w:rPr>
                <w:rFonts w:cstheme="minorHAnsi"/>
                <w:lang w:eastAsia="en-AU"/>
              </w:rPr>
              <w:t>Commonwealth Nursing Officer</w:t>
            </w:r>
          </w:p>
        </w:tc>
      </w:tr>
      <w:tr w:rsidR="00CB4F14" w:rsidRPr="00EF5AAB" w:rsidTr="00527184">
        <w:tc>
          <w:tcPr>
            <w:tcW w:w="2127" w:type="dxa"/>
          </w:tcPr>
          <w:p w:rsidR="00CB4F14" w:rsidRDefault="00CB4F14" w:rsidP="002A4578">
            <w:pPr>
              <w:spacing w:after="60"/>
              <w:jc w:val="left"/>
              <w:rPr>
                <w:rFonts w:cstheme="minorHAnsi"/>
              </w:rPr>
            </w:pPr>
            <w:r>
              <w:rPr>
                <w:rFonts w:cstheme="minorHAnsi"/>
              </w:rPr>
              <w:t>CNS</w:t>
            </w:r>
          </w:p>
        </w:tc>
        <w:tc>
          <w:tcPr>
            <w:tcW w:w="7087" w:type="dxa"/>
          </w:tcPr>
          <w:p w:rsidR="00CB4F14" w:rsidRPr="00EF5AAB" w:rsidRDefault="00CB4F14" w:rsidP="002A4578">
            <w:pPr>
              <w:spacing w:after="60"/>
              <w:jc w:val="left"/>
              <w:rPr>
                <w:rFonts w:cstheme="minorHAnsi"/>
                <w:lang w:eastAsia="en-AU"/>
              </w:rPr>
            </w:pPr>
            <w:r>
              <w:rPr>
                <w:rFonts w:cstheme="minorHAnsi"/>
                <w:lang w:eastAsia="en-AU"/>
              </w:rPr>
              <w:t>Clinical Nurse Specialist</w:t>
            </w:r>
          </w:p>
        </w:tc>
      </w:tr>
      <w:tr w:rsidR="00CB4F14" w:rsidRPr="00EF5AAB" w:rsidTr="00527184">
        <w:tc>
          <w:tcPr>
            <w:tcW w:w="2127" w:type="dxa"/>
          </w:tcPr>
          <w:p w:rsidR="00CB4F14" w:rsidRPr="00F11850" w:rsidRDefault="00CB4F14" w:rsidP="002A4578">
            <w:pPr>
              <w:spacing w:after="60"/>
              <w:jc w:val="left"/>
              <w:rPr>
                <w:rFonts w:cstheme="minorHAnsi"/>
                <w:highlight w:val="yellow"/>
              </w:rPr>
            </w:pPr>
            <w:r w:rsidRPr="00F11850">
              <w:rPr>
                <w:rFonts w:cstheme="minorHAnsi"/>
              </w:rPr>
              <w:t>COTA</w:t>
            </w:r>
          </w:p>
        </w:tc>
        <w:tc>
          <w:tcPr>
            <w:tcW w:w="7087" w:type="dxa"/>
          </w:tcPr>
          <w:p w:rsidR="00CB4F14" w:rsidRPr="00F11850" w:rsidRDefault="00CB4F14" w:rsidP="002A4578">
            <w:pPr>
              <w:spacing w:after="60"/>
              <w:jc w:val="left"/>
              <w:rPr>
                <w:rFonts w:cstheme="minorHAnsi"/>
                <w:highlight w:val="yellow"/>
              </w:rPr>
            </w:pPr>
            <w:r w:rsidRPr="00F11850">
              <w:rPr>
                <w:color w:val="000000"/>
              </w:rPr>
              <w:t>Council on the Ageing (COTA)</w:t>
            </w:r>
          </w:p>
        </w:tc>
      </w:tr>
      <w:tr w:rsidR="00CB4F14" w:rsidRPr="00EF5AAB" w:rsidTr="00527184">
        <w:tc>
          <w:tcPr>
            <w:tcW w:w="2127" w:type="dxa"/>
          </w:tcPr>
          <w:p w:rsidR="00CB4F14" w:rsidRPr="00F11850" w:rsidRDefault="00CB4F14" w:rsidP="002A4578">
            <w:pPr>
              <w:spacing w:after="60"/>
              <w:jc w:val="left"/>
            </w:pPr>
            <w:r w:rsidRPr="00F11850">
              <w:t>CQI</w:t>
            </w:r>
          </w:p>
        </w:tc>
        <w:tc>
          <w:tcPr>
            <w:tcW w:w="7087" w:type="dxa"/>
          </w:tcPr>
          <w:p w:rsidR="00CB4F14" w:rsidRPr="00F11850" w:rsidRDefault="00CB4F14" w:rsidP="002A4578">
            <w:pPr>
              <w:spacing w:after="60"/>
              <w:jc w:val="left"/>
            </w:pPr>
            <w:r w:rsidRPr="00F11850">
              <w:t>Continuous Quality Improvement</w:t>
            </w:r>
          </w:p>
        </w:tc>
      </w:tr>
      <w:tr w:rsidR="00CB4F14" w:rsidRPr="00EF5AAB" w:rsidTr="00527184">
        <w:tc>
          <w:tcPr>
            <w:tcW w:w="2127" w:type="dxa"/>
            <w:shd w:val="clear" w:color="auto" w:fill="auto"/>
          </w:tcPr>
          <w:p w:rsidR="00CB4F14" w:rsidRPr="00F11850" w:rsidRDefault="00351320" w:rsidP="002A4578">
            <w:pPr>
              <w:spacing w:after="60"/>
              <w:jc w:val="left"/>
            </w:pPr>
            <w:r>
              <w:t>CSD/CSDD</w:t>
            </w:r>
          </w:p>
        </w:tc>
        <w:tc>
          <w:tcPr>
            <w:tcW w:w="7087" w:type="dxa"/>
          </w:tcPr>
          <w:p w:rsidR="00CB4F14" w:rsidRPr="00F11850" w:rsidRDefault="00CB4F14" w:rsidP="002A4578">
            <w:pPr>
              <w:spacing w:after="60"/>
              <w:jc w:val="left"/>
            </w:pPr>
            <w:r w:rsidRPr="00F11850">
              <w:rPr>
                <w:color w:val="000000" w:themeColor="text1"/>
              </w:rPr>
              <w:t>Cornell Scale for Depression in Dementia</w:t>
            </w:r>
          </w:p>
        </w:tc>
      </w:tr>
      <w:tr w:rsidR="00CB4F14" w:rsidRPr="00EF5AAB" w:rsidTr="00527184">
        <w:tc>
          <w:tcPr>
            <w:tcW w:w="2127" w:type="dxa"/>
          </w:tcPr>
          <w:p w:rsidR="00CB4F14" w:rsidRPr="00F11850" w:rsidRDefault="00CB4F14" w:rsidP="002A4578">
            <w:pPr>
              <w:spacing w:after="60"/>
              <w:jc w:val="left"/>
              <w:rPr>
                <w:rFonts w:cstheme="minorHAnsi"/>
              </w:rPr>
            </w:pPr>
            <w:r w:rsidRPr="00F11850">
              <w:rPr>
                <w:rFonts w:cstheme="minorHAnsi"/>
              </w:rPr>
              <w:t>R-CSD</w:t>
            </w:r>
          </w:p>
        </w:tc>
        <w:tc>
          <w:tcPr>
            <w:tcW w:w="7087" w:type="dxa"/>
          </w:tcPr>
          <w:p w:rsidR="00CB4F14" w:rsidRPr="00F11850" w:rsidRDefault="00CB4F14" w:rsidP="002A4578">
            <w:pPr>
              <w:spacing w:after="60"/>
              <w:jc w:val="left"/>
              <w:rPr>
                <w:rFonts w:cstheme="minorHAnsi"/>
              </w:rPr>
            </w:pPr>
            <w:r w:rsidRPr="00F11850">
              <w:rPr>
                <w:rFonts w:cstheme="minorHAnsi"/>
              </w:rPr>
              <w:t>Revised Cornell Scale for Depression (in dementia)</w:t>
            </w:r>
          </w:p>
        </w:tc>
      </w:tr>
      <w:tr w:rsidR="00CB4F14" w:rsidRPr="00EF5AAB" w:rsidTr="00527184">
        <w:tc>
          <w:tcPr>
            <w:tcW w:w="2127" w:type="dxa"/>
          </w:tcPr>
          <w:p w:rsidR="00CB4F14" w:rsidRPr="00EF5AAB" w:rsidRDefault="00CB4F14" w:rsidP="002A4578">
            <w:pPr>
              <w:spacing w:after="60"/>
              <w:jc w:val="left"/>
            </w:pPr>
            <w:r>
              <w:t>CTT</w:t>
            </w:r>
          </w:p>
        </w:tc>
        <w:tc>
          <w:tcPr>
            <w:tcW w:w="7087" w:type="dxa"/>
          </w:tcPr>
          <w:p w:rsidR="00CB4F14" w:rsidRPr="00EF5AAB" w:rsidRDefault="00CB4F14" w:rsidP="002A4578">
            <w:pPr>
              <w:spacing w:after="60"/>
              <w:jc w:val="left"/>
            </w:pPr>
            <w:r>
              <w:t>Classical Test Theory</w:t>
            </w:r>
          </w:p>
        </w:tc>
      </w:tr>
      <w:tr w:rsidR="00CB4F14" w:rsidRPr="00EF5AAB" w:rsidTr="00527184">
        <w:tc>
          <w:tcPr>
            <w:tcW w:w="2127" w:type="dxa"/>
          </w:tcPr>
          <w:p w:rsidR="00CB4F14" w:rsidRPr="00EF5AAB" w:rsidRDefault="00CB4F14" w:rsidP="002A4578">
            <w:pPr>
              <w:spacing w:after="60"/>
              <w:jc w:val="left"/>
            </w:pPr>
            <w:r w:rsidRPr="00EF5AAB">
              <w:t>DBMAS</w:t>
            </w:r>
          </w:p>
        </w:tc>
        <w:tc>
          <w:tcPr>
            <w:tcW w:w="7087" w:type="dxa"/>
          </w:tcPr>
          <w:p w:rsidR="00CB4F14" w:rsidRPr="00EF5AAB" w:rsidRDefault="00CB4F14" w:rsidP="002A4578">
            <w:pPr>
              <w:spacing w:after="60"/>
              <w:jc w:val="left"/>
            </w:pPr>
            <w:r w:rsidRPr="00EF5AAB">
              <w:t>Dementia Behaviour Management Advisory Service</w:t>
            </w:r>
          </w:p>
        </w:tc>
      </w:tr>
      <w:tr w:rsidR="00CB4F14" w:rsidRPr="00EF5AAB" w:rsidTr="00527184">
        <w:tc>
          <w:tcPr>
            <w:tcW w:w="2127" w:type="dxa"/>
          </w:tcPr>
          <w:p w:rsidR="00CB4F14" w:rsidRPr="00EF5AAB" w:rsidRDefault="00CB4F14" w:rsidP="002A4578">
            <w:pPr>
              <w:spacing w:after="60"/>
              <w:jc w:val="left"/>
            </w:pPr>
            <w:r w:rsidRPr="00EF5AAB">
              <w:t>DBRS</w:t>
            </w:r>
          </w:p>
        </w:tc>
        <w:tc>
          <w:tcPr>
            <w:tcW w:w="7087" w:type="dxa"/>
          </w:tcPr>
          <w:p w:rsidR="00CB4F14" w:rsidRPr="00EF5AAB" w:rsidRDefault="00CB4F14" w:rsidP="002A4578">
            <w:pPr>
              <w:spacing w:after="60"/>
              <w:jc w:val="left"/>
            </w:pPr>
            <w:r w:rsidRPr="00EF5AAB">
              <w:t>Disruptive Behaviour Rating Scale</w:t>
            </w:r>
          </w:p>
        </w:tc>
      </w:tr>
      <w:tr w:rsidR="00CB4F14" w:rsidRPr="00EF5AAB" w:rsidTr="00527184">
        <w:tc>
          <w:tcPr>
            <w:tcW w:w="2127" w:type="dxa"/>
          </w:tcPr>
          <w:p w:rsidR="00CB4F14" w:rsidRPr="00EF5AAB" w:rsidRDefault="00CB4F14" w:rsidP="002A4578">
            <w:pPr>
              <w:spacing w:after="60"/>
              <w:jc w:val="left"/>
            </w:pPr>
            <w:r>
              <w:t>DHB</w:t>
            </w:r>
          </w:p>
        </w:tc>
        <w:tc>
          <w:tcPr>
            <w:tcW w:w="7087" w:type="dxa"/>
          </w:tcPr>
          <w:p w:rsidR="00CB4F14" w:rsidRPr="00EF5AAB" w:rsidRDefault="00CB4F14" w:rsidP="002A4578">
            <w:pPr>
              <w:spacing w:after="60"/>
              <w:jc w:val="left"/>
            </w:pPr>
            <w:r>
              <w:t>District Health Board</w:t>
            </w:r>
          </w:p>
        </w:tc>
      </w:tr>
      <w:tr w:rsidR="00CB4F14" w:rsidRPr="00EF5AAB" w:rsidTr="00527184">
        <w:tc>
          <w:tcPr>
            <w:tcW w:w="2127" w:type="dxa"/>
          </w:tcPr>
          <w:p w:rsidR="00CB4F14" w:rsidRPr="00EF5AAB" w:rsidRDefault="00CB4F14" w:rsidP="002A4578">
            <w:pPr>
              <w:spacing w:after="60"/>
              <w:jc w:val="left"/>
            </w:pPr>
            <w:r>
              <w:t>DoH</w:t>
            </w:r>
          </w:p>
        </w:tc>
        <w:tc>
          <w:tcPr>
            <w:tcW w:w="7087" w:type="dxa"/>
          </w:tcPr>
          <w:p w:rsidR="00CB4F14" w:rsidRPr="00EF5AAB" w:rsidRDefault="00CB4F14" w:rsidP="002A4578">
            <w:pPr>
              <w:spacing w:after="60"/>
              <w:jc w:val="left"/>
            </w:pPr>
            <w:r w:rsidRPr="00EF5AAB">
              <w:t>Australian Commonwealth Government Department of Health</w:t>
            </w:r>
          </w:p>
        </w:tc>
      </w:tr>
      <w:tr w:rsidR="00CB4F14" w:rsidRPr="00EF5AAB" w:rsidTr="00527184">
        <w:tc>
          <w:tcPr>
            <w:tcW w:w="2127" w:type="dxa"/>
          </w:tcPr>
          <w:p w:rsidR="00CB4F14" w:rsidRPr="00EF5AAB" w:rsidRDefault="00CB4F14" w:rsidP="002A4578">
            <w:pPr>
              <w:spacing w:after="60"/>
              <w:jc w:val="left"/>
            </w:pPr>
            <w:r>
              <w:t>DR</w:t>
            </w:r>
          </w:p>
        </w:tc>
        <w:tc>
          <w:tcPr>
            <w:tcW w:w="7087" w:type="dxa"/>
          </w:tcPr>
          <w:p w:rsidR="00CB4F14" w:rsidRPr="00EF5AAB" w:rsidRDefault="00CB4F14" w:rsidP="002A4578">
            <w:pPr>
              <w:spacing w:after="60"/>
              <w:jc w:val="left"/>
            </w:pPr>
            <w:r>
              <w:t>Daily Rate</w:t>
            </w:r>
          </w:p>
        </w:tc>
      </w:tr>
      <w:tr w:rsidR="00CB4F14" w:rsidRPr="00EF5AAB" w:rsidTr="00527184">
        <w:tc>
          <w:tcPr>
            <w:tcW w:w="2127" w:type="dxa"/>
          </w:tcPr>
          <w:p w:rsidR="00CB4F14" w:rsidRPr="00EF5AAB" w:rsidRDefault="00CB4F14" w:rsidP="002A4578">
            <w:pPr>
              <w:spacing w:after="60"/>
              <w:jc w:val="left"/>
            </w:pPr>
            <w:r w:rsidRPr="00EF5AAB">
              <w:t>DS-DAT</w:t>
            </w:r>
          </w:p>
        </w:tc>
        <w:tc>
          <w:tcPr>
            <w:tcW w:w="7087" w:type="dxa"/>
          </w:tcPr>
          <w:p w:rsidR="00CB4F14" w:rsidRPr="00EF5AAB" w:rsidRDefault="00CB4F14" w:rsidP="002A4578">
            <w:pPr>
              <w:spacing w:after="60"/>
              <w:jc w:val="left"/>
            </w:pPr>
            <w:r w:rsidRPr="00EF5AAB">
              <w:t>Discomfort Scale for Dementia for the Alzheimer’s Type</w:t>
            </w:r>
          </w:p>
        </w:tc>
      </w:tr>
      <w:tr w:rsidR="00CB4F14" w:rsidRPr="00EF5AAB" w:rsidTr="00527184">
        <w:tc>
          <w:tcPr>
            <w:tcW w:w="2127" w:type="dxa"/>
          </w:tcPr>
          <w:p w:rsidR="00CB4F14" w:rsidRPr="00EF5AAB" w:rsidRDefault="00CB4F14" w:rsidP="002A4578">
            <w:pPr>
              <w:spacing w:after="60"/>
              <w:jc w:val="left"/>
            </w:pPr>
            <w:r w:rsidRPr="00EF5AAB">
              <w:t>DSM-V</w:t>
            </w:r>
          </w:p>
        </w:tc>
        <w:tc>
          <w:tcPr>
            <w:tcW w:w="7087" w:type="dxa"/>
          </w:tcPr>
          <w:p w:rsidR="00CB4F14" w:rsidRPr="00EF5AAB" w:rsidRDefault="00CB4F14" w:rsidP="002A4578">
            <w:pPr>
              <w:spacing w:after="60"/>
              <w:jc w:val="left"/>
            </w:pPr>
            <w:r w:rsidRPr="00EF5AAB">
              <w:t>Diagnostic and Statistical Manual of Mental Disorders, Fifth Edition</w:t>
            </w:r>
          </w:p>
        </w:tc>
      </w:tr>
      <w:tr w:rsidR="00CB4F14" w:rsidRPr="00EF5AAB" w:rsidTr="00527184">
        <w:tc>
          <w:tcPr>
            <w:tcW w:w="2127" w:type="dxa"/>
          </w:tcPr>
          <w:p w:rsidR="00CB4F14" w:rsidRPr="00EF5AAB" w:rsidRDefault="00CB4F14" w:rsidP="002A4578">
            <w:pPr>
              <w:spacing w:after="60"/>
              <w:jc w:val="left"/>
            </w:pPr>
            <w:r>
              <w:t>DVT</w:t>
            </w:r>
          </w:p>
        </w:tc>
        <w:tc>
          <w:tcPr>
            <w:tcW w:w="7087" w:type="dxa"/>
          </w:tcPr>
          <w:p w:rsidR="00CB4F14" w:rsidRPr="00EF5AAB" w:rsidRDefault="00CB4F14" w:rsidP="002A4578">
            <w:pPr>
              <w:spacing w:after="60"/>
              <w:jc w:val="left"/>
            </w:pPr>
            <w:r>
              <w:t>Deep Vein Thrombosis</w:t>
            </w:r>
          </w:p>
        </w:tc>
      </w:tr>
      <w:tr w:rsidR="00CB4F14" w:rsidRPr="00EF5AAB" w:rsidTr="00527184">
        <w:tc>
          <w:tcPr>
            <w:tcW w:w="2127" w:type="dxa"/>
          </w:tcPr>
          <w:p w:rsidR="00CB4F14" w:rsidRDefault="00CB4F14" w:rsidP="002A4578">
            <w:pPr>
              <w:spacing w:after="60"/>
              <w:jc w:val="left"/>
            </w:pPr>
            <w:r>
              <w:t>EA</w:t>
            </w:r>
          </w:p>
        </w:tc>
        <w:tc>
          <w:tcPr>
            <w:tcW w:w="7087" w:type="dxa"/>
          </w:tcPr>
          <w:p w:rsidR="00CB4F14" w:rsidRDefault="00CB4F14" w:rsidP="002A4578">
            <w:pPr>
              <w:spacing w:after="60"/>
              <w:jc w:val="left"/>
            </w:pPr>
            <w:r>
              <w:t>External Assessor</w:t>
            </w:r>
          </w:p>
        </w:tc>
      </w:tr>
      <w:tr w:rsidR="00CB4F14" w:rsidRPr="00EF5AAB" w:rsidTr="00527184">
        <w:tc>
          <w:tcPr>
            <w:tcW w:w="2127" w:type="dxa"/>
          </w:tcPr>
          <w:p w:rsidR="00CB4F14" w:rsidRPr="00EF5AAB" w:rsidRDefault="00CB4F14" w:rsidP="002A4578">
            <w:pPr>
              <w:spacing w:after="60"/>
              <w:jc w:val="left"/>
            </w:pPr>
            <w:r w:rsidRPr="00EF5AAB">
              <w:t>EN</w:t>
            </w:r>
          </w:p>
        </w:tc>
        <w:tc>
          <w:tcPr>
            <w:tcW w:w="7087" w:type="dxa"/>
          </w:tcPr>
          <w:p w:rsidR="00CB4F14" w:rsidRPr="00EF5AAB" w:rsidRDefault="00CB4F14" w:rsidP="002A4578">
            <w:pPr>
              <w:spacing w:after="60"/>
              <w:jc w:val="left"/>
            </w:pPr>
            <w:r w:rsidRPr="00EF5AAB">
              <w:t>Enrolled Nurse</w:t>
            </w:r>
          </w:p>
        </w:tc>
      </w:tr>
      <w:tr w:rsidR="00CB4F14" w:rsidRPr="00EF5AAB" w:rsidTr="00527184">
        <w:tc>
          <w:tcPr>
            <w:tcW w:w="2127" w:type="dxa"/>
          </w:tcPr>
          <w:p w:rsidR="00CB4F14" w:rsidRPr="00EF5AAB" w:rsidRDefault="00CB4F14" w:rsidP="002A4578">
            <w:pPr>
              <w:spacing w:after="60"/>
              <w:jc w:val="left"/>
            </w:pPr>
            <w:r w:rsidRPr="00EF5AAB">
              <w:t>ESSA</w:t>
            </w:r>
          </w:p>
        </w:tc>
        <w:tc>
          <w:tcPr>
            <w:tcW w:w="7087" w:type="dxa"/>
          </w:tcPr>
          <w:p w:rsidR="00CB4F14" w:rsidRPr="00EF5AAB" w:rsidRDefault="00CB4F14" w:rsidP="002A4578">
            <w:pPr>
              <w:spacing w:after="60"/>
              <w:jc w:val="left"/>
            </w:pPr>
            <w:r w:rsidRPr="00EF5AAB">
              <w:t>Exercise &amp; Sports Science Australia</w:t>
            </w:r>
          </w:p>
        </w:tc>
      </w:tr>
      <w:tr w:rsidR="00CB4F14" w:rsidRPr="00EF5AAB" w:rsidTr="00527184">
        <w:tc>
          <w:tcPr>
            <w:tcW w:w="2127" w:type="dxa"/>
          </w:tcPr>
          <w:p w:rsidR="00CB4F14" w:rsidRPr="00EF5AAB" w:rsidRDefault="00CB4F14" w:rsidP="002A4578">
            <w:pPr>
              <w:spacing w:after="60"/>
              <w:jc w:val="left"/>
            </w:pPr>
            <w:r w:rsidRPr="00EF5AAB">
              <w:t>FRAT</w:t>
            </w:r>
          </w:p>
        </w:tc>
        <w:tc>
          <w:tcPr>
            <w:tcW w:w="7087" w:type="dxa"/>
          </w:tcPr>
          <w:p w:rsidR="00CB4F14" w:rsidRPr="00EF5AAB" w:rsidRDefault="00CB4F14" w:rsidP="002A4578">
            <w:pPr>
              <w:spacing w:after="60"/>
              <w:jc w:val="left"/>
            </w:pPr>
            <w:r w:rsidRPr="00EF5AAB">
              <w:t>Falls Risk Assessment Tool</w:t>
            </w:r>
          </w:p>
        </w:tc>
      </w:tr>
      <w:tr w:rsidR="00CB4F14" w:rsidRPr="00EF5AAB" w:rsidTr="00527184">
        <w:tc>
          <w:tcPr>
            <w:tcW w:w="2127" w:type="dxa"/>
          </w:tcPr>
          <w:p w:rsidR="00CB4F14" w:rsidRPr="00EF5AAB" w:rsidRDefault="00CB4F14" w:rsidP="002A4578">
            <w:pPr>
              <w:spacing w:after="60"/>
              <w:jc w:val="left"/>
              <w:rPr>
                <w:rFonts w:cstheme="minorHAnsi"/>
              </w:rPr>
            </w:pPr>
            <w:r w:rsidRPr="00EF5AAB">
              <w:rPr>
                <w:rFonts w:cstheme="minorHAnsi"/>
              </w:rPr>
              <w:t>GDS</w:t>
            </w:r>
          </w:p>
        </w:tc>
        <w:tc>
          <w:tcPr>
            <w:tcW w:w="7087" w:type="dxa"/>
          </w:tcPr>
          <w:p w:rsidR="00CB4F14" w:rsidRPr="00EF5AAB" w:rsidRDefault="00CB4F14" w:rsidP="002A4578">
            <w:pPr>
              <w:spacing w:after="60"/>
              <w:jc w:val="left"/>
              <w:rPr>
                <w:rFonts w:cstheme="minorHAnsi"/>
              </w:rPr>
            </w:pPr>
            <w:r w:rsidRPr="00EF5AAB">
              <w:rPr>
                <w:rFonts w:cstheme="minorHAnsi"/>
              </w:rPr>
              <w:t>Geriatric Depression Scale</w:t>
            </w:r>
          </w:p>
        </w:tc>
      </w:tr>
      <w:tr w:rsidR="00CB4F14" w:rsidRPr="00EF5AAB" w:rsidTr="00527184">
        <w:tc>
          <w:tcPr>
            <w:tcW w:w="2127" w:type="dxa"/>
          </w:tcPr>
          <w:p w:rsidR="00CB4F14" w:rsidRPr="00EF5AAB" w:rsidRDefault="00CB4F14" w:rsidP="002A4578">
            <w:pPr>
              <w:spacing w:after="60"/>
              <w:jc w:val="left"/>
              <w:rPr>
                <w:rFonts w:cstheme="minorHAnsi"/>
              </w:rPr>
            </w:pPr>
            <w:r>
              <w:rPr>
                <w:rFonts w:cstheme="minorHAnsi"/>
              </w:rPr>
              <w:t>GP</w:t>
            </w:r>
          </w:p>
        </w:tc>
        <w:tc>
          <w:tcPr>
            <w:tcW w:w="7087" w:type="dxa"/>
          </w:tcPr>
          <w:p w:rsidR="00CB4F14" w:rsidRPr="00EF5AAB" w:rsidRDefault="00CB4F14" w:rsidP="002A4578">
            <w:pPr>
              <w:spacing w:after="60"/>
              <w:jc w:val="left"/>
              <w:rPr>
                <w:rFonts w:cstheme="minorHAnsi"/>
              </w:rPr>
            </w:pPr>
            <w:r>
              <w:rPr>
                <w:rFonts w:cstheme="minorHAnsi"/>
              </w:rPr>
              <w:t>General Practitioner</w:t>
            </w:r>
          </w:p>
        </w:tc>
      </w:tr>
      <w:tr w:rsidR="00CB4F14" w:rsidRPr="00EF5AAB" w:rsidTr="00527184">
        <w:tc>
          <w:tcPr>
            <w:tcW w:w="2127" w:type="dxa"/>
          </w:tcPr>
          <w:p w:rsidR="00CB4F14" w:rsidRDefault="00CB4F14" w:rsidP="002A4578">
            <w:pPr>
              <w:spacing w:after="60"/>
              <w:jc w:val="left"/>
              <w:rPr>
                <w:rFonts w:cstheme="minorHAnsi"/>
              </w:rPr>
            </w:pPr>
            <w:r>
              <w:rPr>
                <w:rFonts w:cstheme="minorHAnsi"/>
              </w:rPr>
              <w:t>GRM</w:t>
            </w:r>
          </w:p>
        </w:tc>
        <w:tc>
          <w:tcPr>
            <w:tcW w:w="7087" w:type="dxa"/>
          </w:tcPr>
          <w:p w:rsidR="00CB4F14" w:rsidRDefault="00CB4F14" w:rsidP="002A4578">
            <w:pPr>
              <w:spacing w:after="60"/>
              <w:jc w:val="left"/>
              <w:rPr>
                <w:rFonts w:cstheme="minorHAnsi"/>
              </w:rPr>
            </w:pPr>
            <w:r>
              <w:rPr>
                <w:rFonts w:cstheme="minorHAnsi"/>
              </w:rPr>
              <w:t>Graded Response Method</w:t>
            </w:r>
          </w:p>
        </w:tc>
      </w:tr>
      <w:tr w:rsidR="00CB4F14" w:rsidRPr="00EF5AAB" w:rsidTr="00527184">
        <w:tc>
          <w:tcPr>
            <w:tcW w:w="2127" w:type="dxa"/>
          </w:tcPr>
          <w:p w:rsidR="00CB4F14" w:rsidRPr="00EF5AAB" w:rsidRDefault="00CB4F14" w:rsidP="002A4578">
            <w:pPr>
              <w:spacing w:after="60"/>
              <w:jc w:val="left"/>
              <w:rPr>
                <w:rFonts w:cstheme="minorHAnsi"/>
              </w:rPr>
            </w:pPr>
            <w:r w:rsidRPr="00EF5AAB">
              <w:rPr>
                <w:rFonts w:cstheme="minorHAnsi"/>
              </w:rPr>
              <w:t>HP</w:t>
            </w:r>
          </w:p>
        </w:tc>
        <w:tc>
          <w:tcPr>
            <w:tcW w:w="7087" w:type="dxa"/>
          </w:tcPr>
          <w:p w:rsidR="00CB4F14" w:rsidRPr="00EF5AAB" w:rsidRDefault="00CB4F14" w:rsidP="002A4578">
            <w:pPr>
              <w:spacing w:after="60"/>
              <w:jc w:val="left"/>
              <w:rPr>
                <w:rFonts w:cstheme="minorHAnsi"/>
              </w:rPr>
            </w:pPr>
            <w:r w:rsidRPr="00EF5AAB">
              <w:rPr>
                <w:rFonts w:cstheme="minorHAnsi"/>
              </w:rPr>
              <w:t>Health Professional</w:t>
            </w:r>
          </w:p>
        </w:tc>
      </w:tr>
      <w:tr w:rsidR="00CB4F14" w:rsidRPr="00EF5AAB" w:rsidTr="00527184">
        <w:tc>
          <w:tcPr>
            <w:tcW w:w="2127" w:type="dxa"/>
          </w:tcPr>
          <w:p w:rsidR="00CB4F14" w:rsidRPr="00EF5AAB" w:rsidRDefault="00CB4F14" w:rsidP="002A4578">
            <w:pPr>
              <w:spacing w:after="60"/>
              <w:jc w:val="left"/>
              <w:rPr>
                <w:rFonts w:cstheme="minorHAnsi"/>
              </w:rPr>
            </w:pPr>
            <w:r>
              <w:rPr>
                <w:rFonts w:cstheme="minorHAnsi"/>
              </w:rPr>
              <w:t>IA</w:t>
            </w:r>
          </w:p>
        </w:tc>
        <w:tc>
          <w:tcPr>
            <w:tcW w:w="7087" w:type="dxa"/>
          </w:tcPr>
          <w:p w:rsidR="00CB4F14" w:rsidRPr="00EF5AAB" w:rsidRDefault="00CB4F14" w:rsidP="002A4578">
            <w:pPr>
              <w:spacing w:after="60"/>
              <w:jc w:val="left"/>
              <w:rPr>
                <w:rFonts w:cstheme="minorHAnsi"/>
              </w:rPr>
            </w:pPr>
            <w:r>
              <w:rPr>
                <w:rFonts w:cstheme="minorHAnsi"/>
              </w:rPr>
              <w:t>Independent Assessor</w:t>
            </w:r>
          </w:p>
        </w:tc>
      </w:tr>
      <w:tr w:rsidR="00CB4F14" w:rsidRPr="00EF5AAB" w:rsidTr="00527184">
        <w:tc>
          <w:tcPr>
            <w:tcW w:w="2127" w:type="dxa"/>
          </w:tcPr>
          <w:p w:rsidR="00CB4F14" w:rsidRPr="00EF5AAB" w:rsidRDefault="00CB4F14" w:rsidP="002A4578">
            <w:pPr>
              <w:spacing w:after="60"/>
              <w:jc w:val="left"/>
            </w:pPr>
            <w:r w:rsidRPr="00EF5AAB">
              <w:t>IADL</w:t>
            </w:r>
          </w:p>
        </w:tc>
        <w:tc>
          <w:tcPr>
            <w:tcW w:w="7087" w:type="dxa"/>
          </w:tcPr>
          <w:p w:rsidR="00CB4F14" w:rsidRPr="00EF5AAB" w:rsidRDefault="00CB4F14" w:rsidP="002A4578">
            <w:pPr>
              <w:spacing w:after="60"/>
              <w:jc w:val="left"/>
            </w:pPr>
            <w:r w:rsidRPr="00EF5AAB">
              <w:t>Instrumental Activities of Daily Living</w:t>
            </w:r>
          </w:p>
        </w:tc>
      </w:tr>
      <w:tr w:rsidR="00CB4F14" w:rsidRPr="00EF5AAB" w:rsidTr="00527184">
        <w:tc>
          <w:tcPr>
            <w:tcW w:w="2127" w:type="dxa"/>
          </w:tcPr>
          <w:p w:rsidR="00CB4F14" w:rsidRPr="00EF5AAB" w:rsidRDefault="00CB4F14" w:rsidP="002A4578">
            <w:pPr>
              <w:spacing w:after="60"/>
              <w:jc w:val="left"/>
            </w:pPr>
            <w:r w:rsidRPr="00EF5AAB">
              <w:t>ICF</w:t>
            </w:r>
          </w:p>
        </w:tc>
        <w:tc>
          <w:tcPr>
            <w:tcW w:w="7087" w:type="dxa"/>
          </w:tcPr>
          <w:p w:rsidR="00CB4F14" w:rsidRPr="00EF5AAB" w:rsidRDefault="00CB4F14" w:rsidP="002A4578">
            <w:pPr>
              <w:spacing w:after="60"/>
              <w:jc w:val="left"/>
            </w:pPr>
            <w:r w:rsidRPr="00EF5AAB">
              <w:t>International Classification of Functioning, Disability and Health</w:t>
            </w:r>
          </w:p>
        </w:tc>
      </w:tr>
      <w:tr w:rsidR="00CB4F14" w:rsidRPr="00EF5AAB" w:rsidTr="00527184">
        <w:tc>
          <w:tcPr>
            <w:tcW w:w="2127" w:type="dxa"/>
          </w:tcPr>
          <w:p w:rsidR="00CB4F14" w:rsidRPr="00EF5AAB" w:rsidRDefault="00CB4F14" w:rsidP="002A4578">
            <w:pPr>
              <w:spacing w:after="60"/>
              <w:jc w:val="left"/>
            </w:pPr>
            <w:r>
              <w:t>IFSO</w:t>
            </w:r>
          </w:p>
        </w:tc>
        <w:tc>
          <w:tcPr>
            <w:tcW w:w="7087" w:type="dxa"/>
          </w:tcPr>
          <w:p w:rsidR="00CB4F14" w:rsidRPr="00EF5AAB" w:rsidRDefault="00CB4F14" w:rsidP="002A4578">
            <w:pPr>
              <w:spacing w:after="60"/>
              <w:jc w:val="left"/>
            </w:pPr>
            <w:r>
              <w:t>International Federation for the Surgery of Obesity</w:t>
            </w:r>
          </w:p>
        </w:tc>
      </w:tr>
      <w:tr w:rsidR="00CB4F14" w:rsidRPr="00EF5AAB" w:rsidTr="00527184">
        <w:tc>
          <w:tcPr>
            <w:tcW w:w="2127" w:type="dxa"/>
          </w:tcPr>
          <w:p w:rsidR="00CB4F14" w:rsidRPr="00EF5AAB" w:rsidRDefault="00CB4F14" w:rsidP="002A4578">
            <w:pPr>
              <w:spacing w:after="60"/>
              <w:jc w:val="left"/>
            </w:pPr>
            <w:r w:rsidRPr="00EF5AAB">
              <w:t>IHPA</w:t>
            </w:r>
          </w:p>
        </w:tc>
        <w:tc>
          <w:tcPr>
            <w:tcW w:w="7087" w:type="dxa"/>
          </w:tcPr>
          <w:p w:rsidR="00CB4F14" w:rsidRPr="00EF5AAB" w:rsidRDefault="00CB4F14" w:rsidP="002A4578">
            <w:pPr>
              <w:spacing w:after="60"/>
              <w:jc w:val="left"/>
              <w:rPr>
                <w:color w:val="000000" w:themeColor="text1"/>
              </w:rPr>
            </w:pPr>
            <w:r w:rsidRPr="00EF5AAB">
              <w:rPr>
                <w:lang w:eastAsia="en-AU"/>
              </w:rPr>
              <w:t>Independent Hospital Pricing Authority</w:t>
            </w:r>
          </w:p>
        </w:tc>
      </w:tr>
      <w:tr w:rsidR="00CB4F14" w:rsidRPr="00EF5AAB" w:rsidTr="00527184">
        <w:tc>
          <w:tcPr>
            <w:tcW w:w="2127" w:type="dxa"/>
          </w:tcPr>
          <w:p w:rsidR="00CB4F14" w:rsidRPr="00EF5AAB" w:rsidRDefault="00CB4F14" w:rsidP="002A4578">
            <w:pPr>
              <w:spacing w:after="60"/>
              <w:jc w:val="left"/>
            </w:pPr>
            <w:r w:rsidRPr="00EF5AAB">
              <w:t>interRAI</w:t>
            </w:r>
          </w:p>
        </w:tc>
        <w:tc>
          <w:tcPr>
            <w:tcW w:w="7087" w:type="dxa"/>
          </w:tcPr>
          <w:p w:rsidR="00CB4F14" w:rsidRPr="00EF5AAB" w:rsidRDefault="00CB4F14" w:rsidP="002A4578">
            <w:pPr>
              <w:spacing w:after="60"/>
              <w:jc w:val="left"/>
            </w:pPr>
            <w:r w:rsidRPr="00EF5AAB">
              <w:t>International Resident Assessment Instrument</w:t>
            </w:r>
          </w:p>
        </w:tc>
      </w:tr>
      <w:tr w:rsidR="00CB4F14" w:rsidRPr="00EF5AAB" w:rsidTr="00527184">
        <w:tc>
          <w:tcPr>
            <w:tcW w:w="2127" w:type="dxa"/>
          </w:tcPr>
          <w:p w:rsidR="00CB4F14" w:rsidRPr="00EF5AAB" w:rsidRDefault="00CB4F14" w:rsidP="002A4578">
            <w:pPr>
              <w:spacing w:after="60"/>
              <w:jc w:val="left"/>
              <w:rPr>
                <w:rFonts w:cstheme="minorHAnsi"/>
              </w:rPr>
            </w:pPr>
            <w:r w:rsidRPr="00EF5AAB">
              <w:rPr>
                <w:rFonts w:cstheme="minorHAnsi"/>
              </w:rPr>
              <w:t>IPA</w:t>
            </w:r>
          </w:p>
        </w:tc>
        <w:tc>
          <w:tcPr>
            <w:tcW w:w="7087" w:type="dxa"/>
          </w:tcPr>
          <w:p w:rsidR="00CB4F14" w:rsidRPr="00EF5AAB" w:rsidRDefault="00CB4F14" w:rsidP="002A4578">
            <w:pPr>
              <w:spacing w:after="60"/>
              <w:jc w:val="left"/>
              <w:rPr>
                <w:rFonts w:cstheme="minorHAnsi"/>
                <w:lang w:eastAsia="en-AU"/>
              </w:rPr>
            </w:pPr>
            <w:r w:rsidRPr="00EF5AAB">
              <w:rPr>
                <w:rFonts w:cstheme="minorHAnsi"/>
                <w:color w:val="000000" w:themeColor="text1"/>
                <w:lang w:eastAsia="en-AU"/>
              </w:rPr>
              <w:t xml:space="preserve">International Psychogeriatric </w:t>
            </w:r>
            <w:r w:rsidRPr="00EF5AAB">
              <w:rPr>
                <w:rFonts w:cstheme="minorHAnsi"/>
                <w:color w:val="000000" w:themeColor="text1"/>
              </w:rPr>
              <w:t>Association</w:t>
            </w:r>
          </w:p>
        </w:tc>
      </w:tr>
      <w:tr w:rsidR="00CB4F14" w:rsidRPr="00EF5AAB" w:rsidTr="00527184">
        <w:tc>
          <w:tcPr>
            <w:tcW w:w="2127" w:type="dxa"/>
          </w:tcPr>
          <w:p w:rsidR="00CB4F14" w:rsidRPr="00EF5AAB" w:rsidRDefault="00CB4F14" w:rsidP="002A4578">
            <w:pPr>
              <w:spacing w:after="60"/>
              <w:jc w:val="left"/>
              <w:rPr>
                <w:rFonts w:cstheme="minorHAnsi"/>
              </w:rPr>
            </w:pPr>
            <w:r w:rsidRPr="00EF5AAB">
              <w:rPr>
                <w:rFonts w:cstheme="minorHAnsi"/>
              </w:rPr>
              <w:t>I</w:t>
            </w:r>
            <w:r w:rsidR="002B4CCD">
              <w:rPr>
                <w:rFonts w:cstheme="minorHAnsi"/>
              </w:rPr>
              <w:t>HP</w:t>
            </w:r>
            <w:r w:rsidRPr="00EF5AAB">
              <w:rPr>
                <w:rFonts w:cstheme="minorHAnsi"/>
              </w:rPr>
              <w:t>A</w:t>
            </w:r>
          </w:p>
        </w:tc>
        <w:tc>
          <w:tcPr>
            <w:tcW w:w="7087" w:type="dxa"/>
          </w:tcPr>
          <w:p w:rsidR="00CB4F14" w:rsidRPr="00EF5AAB" w:rsidRDefault="00CB4F14" w:rsidP="002A4578">
            <w:pPr>
              <w:spacing w:after="60"/>
              <w:jc w:val="left"/>
              <w:rPr>
                <w:rFonts w:cstheme="minorHAnsi"/>
                <w:color w:val="000000" w:themeColor="text1"/>
              </w:rPr>
            </w:pPr>
            <w:r w:rsidRPr="00EF5AAB">
              <w:rPr>
                <w:rFonts w:cstheme="minorHAnsi"/>
                <w:lang w:eastAsia="en-AU"/>
              </w:rPr>
              <w:t>Independent Hospital Pricing Authority</w:t>
            </w:r>
          </w:p>
        </w:tc>
      </w:tr>
      <w:tr w:rsidR="00CB4F14" w:rsidRPr="00EF5AAB" w:rsidTr="00527184">
        <w:tc>
          <w:tcPr>
            <w:tcW w:w="2127" w:type="dxa"/>
          </w:tcPr>
          <w:p w:rsidR="00CB4F14" w:rsidRPr="00EF5AAB" w:rsidRDefault="00CB4F14" w:rsidP="002A4578">
            <w:pPr>
              <w:spacing w:after="60"/>
              <w:jc w:val="left"/>
              <w:rPr>
                <w:rFonts w:cstheme="minorHAnsi"/>
              </w:rPr>
            </w:pPr>
            <w:r w:rsidRPr="00EF5AAB">
              <w:rPr>
                <w:rFonts w:cstheme="minorHAnsi"/>
              </w:rPr>
              <w:t>IQCODE</w:t>
            </w:r>
          </w:p>
        </w:tc>
        <w:tc>
          <w:tcPr>
            <w:tcW w:w="7087" w:type="dxa"/>
          </w:tcPr>
          <w:p w:rsidR="00CB4F14" w:rsidRPr="00EF5AAB" w:rsidRDefault="00CB4F14" w:rsidP="002A4578">
            <w:pPr>
              <w:spacing w:after="60"/>
              <w:jc w:val="left"/>
              <w:rPr>
                <w:rFonts w:cstheme="minorHAnsi"/>
              </w:rPr>
            </w:pPr>
            <w:r w:rsidRPr="00EF5AAB">
              <w:rPr>
                <w:rFonts w:cstheme="minorHAnsi"/>
              </w:rPr>
              <w:t>Informant Questionnaire on Cognitive Decline in the Elderly</w:t>
            </w:r>
          </w:p>
        </w:tc>
      </w:tr>
      <w:tr w:rsidR="00CB4F14" w:rsidRPr="00EF5AAB" w:rsidTr="00527184">
        <w:tc>
          <w:tcPr>
            <w:tcW w:w="2127" w:type="dxa"/>
          </w:tcPr>
          <w:p w:rsidR="00CB4F14" w:rsidRPr="00EF5AAB" w:rsidRDefault="00CB4F14" w:rsidP="002A4578">
            <w:pPr>
              <w:spacing w:after="60"/>
              <w:jc w:val="left"/>
            </w:pPr>
            <w:r w:rsidRPr="00EF5AAB">
              <w:t>IRT</w:t>
            </w:r>
          </w:p>
        </w:tc>
        <w:tc>
          <w:tcPr>
            <w:tcW w:w="7087" w:type="dxa"/>
          </w:tcPr>
          <w:p w:rsidR="00CB4F14" w:rsidRPr="00EF5AAB" w:rsidRDefault="00CB4F14" w:rsidP="002A4578">
            <w:pPr>
              <w:spacing w:after="60"/>
              <w:jc w:val="left"/>
              <w:rPr>
                <w:color w:val="000000" w:themeColor="text1"/>
                <w:lang w:eastAsia="en-AU"/>
              </w:rPr>
            </w:pPr>
            <w:r w:rsidRPr="00EF5AAB">
              <w:t>Item Response Theory</w:t>
            </w:r>
          </w:p>
        </w:tc>
      </w:tr>
      <w:tr w:rsidR="00CB4F14" w:rsidRPr="00EF5AAB" w:rsidTr="00527184">
        <w:tc>
          <w:tcPr>
            <w:tcW w:w="2127" w:type="dxa"/>
          </w:tcPr>
          <w:p w:rsidR="00CB4F14" w:rsidRPr="00EF5AAB" w:rsidRDefault="00CB4F14" w:rsidP="002A4578">
            <w:pPr>
              <w:spacing w:after="60"/>
              <w:jc w:val="left"/>
            </w:pPr>
            <w:r>
              <w:t>IT</w:t>
            </w:r>
          </w:p>
        </w:tc>
        <w:tc>
          <w:tcPr>
            <w:tcW w:w="7087" w:type="dxa"/>
          </w:tcPr>
          <w:p w:rsidR="00CB4F14" w:rsidRPr="00EF5AAB" w:rsidRDefault="00CB4F14" w:rsidP="002A4578">
            <w:pPr>
              <w:spacing w:after="60"/>
              <w:jc w:val="left"/>
            </w:pPr>
            <w:r>
              <w:t>Information Technology</w:t>
            </w:r>
          </w:p>
        </w:tc>
      </w:tr>
      <w:tr w:rsidR="00CB4F14" w:rsidRPr="00EF5AAB" w:rsidTr="00527184">
        <w:tc>
          <w:tcPr>
            <w:tcW w:w="2127" w:type="dxa"/>
          </w:tcPr>
          <w:p w:rsidR="00CB4F14" w:rsidRPr="00EF5AAB" w:rsidRDefault="00CB4F14" w:rsidP="002A4578">
            <w:pPr>
              <w:spacing w:after="60"/>
              <w:jc w:val="left"/>
              <w:rPr>
                <w:rFonts w:cstheme="minorHAnsi"/>
              </w:rPr>
            </w:pPr>
            <w:r>
              <w:rPr>
                <w:rFonts w:cstheme="minorHAnsi"/>
              </w:rPr>
              <w:t>LASA</w:t>
            </w:r>
          </w:p>
        </w:tc>
        <w:tc>
          <w:tcPr>
            <w:tcW w:w="7087" w:type="dxa"/>
          </w:tcPr>
          <w:p w:rsidR="00CB4F14" w:rsidRPr="00EF5AAB" w:rsidRDefault="00CB4F14" w:rsidP="002A4578">
            <w:pPr>
              <w:spacing w:after="60"/>
              <w:jc w:val="left"/>
              <w:rPr>
                <w:rFonts w:cstheme="minorHAnsi"/>
              </w:rPr>
            </w:pPr>
            <w:r>
              <w:rPr>
                <w:rFonts w:cstheme="minorHAnsi"/>
              </w:rPr>
              <w:t>Leading Age Services Australia</w:t>
            </w:r>
          </w:p>
        </w:tc>
      </w:tr>
      <w:tr w:rsidR="00CB4F14" w:rsidRPr="00EF5AAB" w:rsidTr="00527184">
        <w:tc>
          <w:tcPr>
            <w:tcW w:w="2127" w:type="dxa"/>
          </w:tcPr>
          <w:p w:rsidR="00CB4F14" w:rsidRPr="00EF5AAB" w:rsidRDefault="00CB4F14" w:rsidP="002A4578">
            <w:pPr>
              <w:spacing w:after="60"/>
              <w:jc w:val="left"/>
              <w:rPr>
                <w:rFonts w:cstheme="minorHAnsi"/>
              </w:rPr>
            </w:pPr>
            <w:r w:rsidRPr="00EF5AAB">
              <w:rPr>
                <w:rFonts w:cstheme="minorHAnsi"/>
              </w:rPr>
              <w:t>K-10</w:t>
            </w:r>
          </w:p>
        </w:tc>
        <w:tc>
          <w:tcPr>
            <w:tcW w:w="7087" w:type="dxa"/>
          </w:tcPr>
          <w:p w:rsidR="00CB4F14" w:rsidRPr="00EF5AAB" w:rsidRDefault="00CB4F14" w:rsidP="002A4578">
            <w:pPr>
              <w:spacing w:after="60"/>
              <w:jc w:val="left"/>
              <w:rPr>
                <w:rFonts w:cstheme="minorHAnsi"/>
              </w:rPr>
            </w:pPr>
            <w:r w:rsidRPr="00EF5AAB">
              <w:rPr>
                <w:rFonts w:cstheme="minorHAnsi"/>
              </w:rPr>
              <w:t>Kessler Psychological Distress Scale</w:t>
            </w:r>
          </w:p>
        </w:tc>
      </w:tr>
      <w:tr w:rsidR="00CB4F14" w:rsidRPr="00EF5AAB" w:rsidTr="00527184">
        <w:tc>
          <w:tcPr>
            <w:tcW w:w="2127" w:type="dxa"/>
          </w:tcPr>
          <w:p w:rsidR="00CB4F14" w:rsidRPr="00EF5AAB" w:rsidRDefault="00CB4F14" w:rsidP="002A4578">
            <w:pPr>
              <w:spacing w:after="60"/>
              <w:jc w:val="left"/>
            </w:pPr>
            <w:r w:rsidRPr="00EF5AAB">
              <w:lastRenderedPageBreak/>
              <w:t>KICA-ADL</w:t>
            </w:r>
          </w:p>
        </w:tc>
        <w:tc>
          <w:tcPr>
            <w:tcW w:w="7087" w:type="dxa"/>
          </w:tcPr>
          <w:p w:rsidR="00CB4F14" w:rsidRPr="00EF5AAB" w:rsidRDefault="00CB4F14" w:rsidP="002A4578">
            <w:pPr>
              <w:spacing w:after="60"/>
              <w:jc w:val="left"/>
            </w:pPr>
            <w:r w:rsidRPr="00EF5AAB">
              <w:t xml:space="preserve">Kimberly Indigenous Cognitive Assessment – Activities of Daily Living </w:t>
            </w:r>
          </w:p>
        </w:tc>
      </w:tr>
      <w:tr w:rsidR="00CB4F14" w:rsidRPr="00EF5AAB" w:rsidTr="00527184">
        <w:tc>
          <w:tcPr>
            <w:tcW w:w="2127" w:type="dxa"/>
          </w:tcPr>
          <w:p w:rsidR="00CB4F14" w:rsidRPr="00EF5AAB" w:rsidRDefault="00CB4F14" w:rsidP="002A4578">
            <w:pPr>
              <w:spacing w:after="60"/>
              <w:jc w:val="left"/>
            </w:pPr>
            <w:r w:rsidRPr="00EF5AAB">
              <w:t>KICA-Carer</w:t>
            </w:r>
          </w:p>
        </w:tc>
        <w:tc>
          <w:tcPr>
            <w:tcW w:w="7087" w:type="dxa"/>
          </w:tcPr>
          <w:p w:rsidR="00CB4F14" w:rsidRPr="00EF5AAB" w:rsidRDefault="00CB4F14" w:rsidP="002A4578">
            <w:pPr>
              <w:spacing w:after="60"/>
              <w:jc w:val="left"/>
            </w:pPr>
            <w:r w:rsidRPr="00EF5AAB">
              <w:t>Kimberley Indigenous Cognitive Assessment – Carer</w:t>
            </w:r>
          </w:p>
        </w:tc>
      </w:tr>
      <w:tr w:rsidR="00CB4F14" w:rsidRPr="00EF5AAB" w:rsidTr="00527184">
        <w:tc>
          <w:tcPr>
            <w:tcW w:w="2127" w:type="dxa"/>
          </w:tcPr>
          <w:p w:rsidR="00CB4F14" w:rsidRPr="00EF5AAB" w:rsidRDefault="00CB4F14" w:rsidP="002A4578">
            <w:pPr>
              <w:spacing w:after="60"/>
              <w:jc w:val="left"/>
            </w:pPr>
            <w:r w:rsidRPr="00EF5AAB">
              <w:t>KICA-COG</w:t>
            </w:r>
          </w:p>
        </w:tc>
        <w:tc>
          <w:tcPr>
            <w:tcW w:w="7087" w:type="dxa"/>
          </w:tcPr>
          <w:p w:rsidR="00CB4F14" w:rsidRPr="00EF5AAB" w:rsidRDefault="00CB4F14" w:rsidP="002A4578">
            <w:pPr>
              <w:spacing w:after="60"/>
              <w:jc w:val="left"/>
            </w:pPr>
            <w:r w:rsidRPr="00EF5AAB">
              <w:t>Kimberley Indigenous Cognitive Assessment</w:t>
            </w:r>
          </w:p>
        </w:tc>
      </w:tr>
      <w:tr w:rsidR="00CB4F14" w:rsidRPr="00EF5AAB" w:rsidTr="00527184">
        <w:tc>
          <w:tcPr>
            <w:tcW w:w="2127" w:type="dxa"/>
          </w:tcPr>
          <w:p w:rsidR="00CB4F14" w:rsidRPr="00EF5AAB" w:rsidRDefault="00CB4F14" w:rsidP="002A4578">
            <w:pPr>
              <w:spacing w:after="60"/>
              <w:jc w:val="left"/>
            </w:pPr>
            <w:r>
              <w:t>K10</w:t>
            </w:r>
          </w:p>
        </w:tc>
        <w:tc>
          <w:tcPr>
            <w:tcW w:w="7087" w:type="dxa"/>
          </w:tcPr>
          <w:p w:rsidR="00CB4F14" w:rsidRPr="00EF5AAB" w:rsidRDefault="00CB4F14" w:rsidP="002A4578">
            <w:pPr>
              <w:spacing w:after="60"/>
              <w:jc w:val="left"/>
            </w:pPr>
            <w:r>
              <w:t>Kessler Psychological Distress Scale</w:t>
            </w:r>
          </w:p>
        </w:tc>
      </w:tr>
      <w:tr w:rsidR="00CB4F14" w:rsidRPr="00EF5AAB" w:rsidTr="00527184">
        <w:tc>
          <w:tcPr>
            <w:tcW w:w="2127" w:type="dxa"/>
          </w:tcPr>
          <w:p w:rsidR="00CB4F14" w:rsidRPr="00EF5AAB" w:rsidRDefault="00CB4F14" w:rsidP="002A4578">
            <w:pPr>
              <w:spacing w:after="60"/>
              <w:jc w:val="left"/>
            </w:pPr>
            <w:r w:rsidRPr="00EF5AAB">
              <w:t>M-RVBPI</w:t>
            </w:r>
          </w:p>
        </w:tc>
        <w:tc>
          <w:tcPr>
            <w:tcW w:w="7087" w:type="dxa"/>
          </w:tcPr>
          <w:p w:rsidR="00CB4F14" w:rsidRPr="00EF5AAB" w:rsidRDefault="00CB4F14" w:rsidP="002A4578">
            <w:pPr>
              <w:spacing w:after="60"/>
              <w:jc w:val="left"/>
            </w:pPr>
            <w:r w:rsidRPr="00EF5AAB">
              <w:t>Modified Resident’s Verbal Brief Pain Inventory</w:t>
            </w:r>
          </w:p>
        </w:tc>
      </w:tr>
      <w:tr w:rsidR="00CB4F14" w:rsidRPr="00EF5AAB" w:rsidTr="00527184">
        <w:tc>
          <w:tcPr>
            <w:tcW w:w="2127" w:type="dxa"/>
          </w:tcPr>
          <w:p w:rsidR="00CB4F14" w:rsidRPr="00EF5AAB" w:rsidRDefault="00CB4F14" w:rsidP="002A4578">
            <w:pPr>
              <w:spacing w:after="60"/>
              <w:jc w:val="left"/>
            </w:pPr>
            <w:r w:rsidRPr="00EF5AAB">
              <w:t>MDS</w:t>
            </w:r>
          </w:p>
        </w:tc>
        <w:tc>
          <w:tcPr>
            <w:tcW w:w="7087" w:type="dxa"/>
          </w:tcPr>
          <w:p w:rsidR="00CB4F14" w:rsidRPr="00EF5AAB" w:rsidRDefault="00CB4F14" w:rsidP="002A4578">
            <w:pPr>
              <w:spacing w:after="60"/>
              <w:jc w:val="left"/>
            </w:pPr>
            <w:r>
              <w:t>Minimum Data Set</w:t>
            </w:r>
          </w:p>
        </w:tc>
      </w:tr>
      <w:tr w:rsidR="00CB4F14" w:rsidRPr="00EF5AAB" w:rsidTr="00527184">
        <w:tc>
          <w:tcPr>
            <w:tcW w:w="2127" w:type="dxa"/>
          </w:tcPr>
          <w:p w:rsidR="00CB4F14" w:rsidRPr="00EF5AAB" w:rsidRDefault="00CB4F14" w:rsidP="002A4578">
            <w:pPr>
              <w:spacing w:after="60"/>
              <w:jc w:val="left"/>
            </w:pPr>
            <w:r w:rsidRPr="00EF5AAB">
              <w:t>MMT</w:t>
            </w:r>
          </w:p>
        </w:tc>
        <w:tc>
          <w:tcPr>
            <w:tcW w:w="7087" w:type="dxa"/>
          </w:tcPr>
          <w:p w:rsidR="00CB4F14" w:rsidRPr="00EF5AAB" w:rsidRDefault="00CB4F14" w:rsidP="002A4578">
            <w:pPr>
              <w:spacing w:after="60"/>
              <w:jc w:val="left"/>
            </w:pPr>
            <w:r w:rsidRPr="00EF5AAB">
              <w:t xml:space="preserve">Manual </w:t>
            </w:r>
            <w:r w:rsidR="00F778E0">
              <w:t>M</w:t>
            </w:r>
            <w:r w:rsidRPr="00EF5AAB">
              <w:t xml:space="preserve">uscle </w:t>
            </w:r>
            <w:r w:rsidR="00F778E0">
              <w:t>T</w:t>
            </w:r>
            <w:r w:rsidRPr="00EF5AAB">
              <w:t>est</w:t>
            </w:r>
          </w:p>
        </w:tc>
      </w:tr>
      <w:tr w:rsidR="00CB4F14" w:rsidRPr="00EF5AAB" w:rsidTr="00527184">
        <w:tc>
          <w:tcPr>
            <w:tcW w:w="2127" w:type="dxa"/>
          </w:tcPr>
          <w:p w:rsidR="00CB4F14" w:rsidRPr="00EF5AAB" w:rsidRDefault="00CB4F14" w:rsidP="002A4578">
            <w:pPr>
              <w:spacing w:after="60"/>
              <w:jc w:val="left"/>
            </w:pPr>
            <w:r w:rsidRPr="00EF5AAB">
              <w:t>MNA</w:t>
            </w:r>
          </w:p>
        </w:tc>
        <w:tc>
          <w:tcPr>
            <w:tcW w:w="7087" w:type="dxa"/>
          </w:tcPr>
          <w:p w:rsidR="00CB4F14" w:rsidRPr="00EF5AAB" w:rsidRDefault="00CB4F14" w:rsidP="002A4578">
            <w:pPr>
              <w:spacing w:after="60"/>
              <w:jc w:val="left"/>
            </w:pPr>
            <w:r w:rsidRPr="00EF5AAB">
              <w:t>Mini Nutritional Assessment</w:t>
            </w:r>
          </w:p>
        </w:tc>
      </w:tr>
      <w:tr w:rsidR="00CB4F14" w:rsidRPr="00EF5AAB" w:rsidTr="00527184">
        <w:tc>
          <w:tcPr>
            <w:tcW w:w="2127" w:type="dxa"/>
          </w:tcPr>
          <w:p w:rsidR="00CB4F14" w:rsidRPr="00EF5AAB" w:rsidRDefault="00CB4F14" w:rsidP="002A4578">
            <w:pPr>
              <w:spacing w:after="60"/>
              <w:jc w:val="left"/>
            </w:pPr>
            <w:r w:rsidRPr="00EF5AAB">
              <w:t>MNA-SF</w:t>
            </w:r>
          </w:p>
        </w:tc>
        <w:tc>
          <w:tcPr>
            <w:tcW w:w="7087" w:type="dxa"/>
          </w:tcPr>
          <w:p w:rsidR="00CB4F14" w:rsidRPr="00EF5AAB" w:rsidRDefault="00CB4F14" w:rsidP="002A4578">
            <w:pPr>
              <w:spacing w:after="60"/>
              <w:jc w:val="left"/>
            </w:pPr>
            <w:r w:rsidRPr="00EF5AAB">
              <w:t>Mini Nutritional Assessment Short Form</w:t>
            </w:r>
          </w:p>
        </w:tc>
      </w:tr>
      <w:tr w:rsidR="00CB4F14" w:rsidRPr="00EF5AAB" w:rsidTr="00527184">
        <w:tc>
          <w:tcPr>
            <w:tcW w:w="2127" w:type="dxa"/>
          </w:tcPr>
          <w:p w:rsidR="00CB4F14" w:rsidRPr="00EF5AAB" w:rsidRDefault="00CB4F14" w:rsidP="002A4578">
            <w:pPr>
              <w:spacing w:after="60"/>
              <w:jc w:val="left"/>
              <w:rPr>
                <w:rFonts w:cstheme="minorHAnsi"/>
              </w:rPr>
            </w:pPr>
            <w:r w:rsidRPr="00EF5AAB">
              <w:rPr>
                <w:rFonts w:cstheme="minorHAnsi"/>
              </w:rPr>
              <w:t>MP</w:t>
            </w:r>
          </w:p>
        </w:tc>
        <w:tc>
          <w:tcPr>
            <w:tcW w:w="7087" w:type="dxa"/>
          </w:tcPr>
          <w:p w:rsidR="00CB4F14" w:rsidRPr="00EF5AAB" w:rsidRDefault="00CB4F14" w:rsidP="002A4578">
            <w:pPr>
              <w:spacing w:after="60"/>
              <w:jc w:val="left"/>
              <w:rPr>
                <w:rFonts w:cstheme="minorHAnsi"/>
              </w:rPr>
            </w:pPr>
            <w:r w:rsidRPr="00EF5AAB">
              <w:rPr>
                <w:rFonts w:cstheme="minorHAnsi"/>
              </w:rPr>
              <w:t>Medical Practitioner</w:t>
            </w:r>
          </w:p>
        </w:tc>
      </w:tr>
      <w:tr w:rsidR="00CB4F14" w:rsidRPr="00EF5AAB" w:rsidTr="00527184">
        <w:tc>
          <w:tcPr>
            <w:tcW w:w="2127" w:type="dxa"/>
          </w:tcPr>
          <w:p w:rsidR="00CB4F14" w:rsidRPr="00EF5AAB" w:rsidRDefault="00CB4F14" w:rsidP="002A4578">
            <w:pPr>
              <w:spacing w:after="60"/>
              <w:jc w:val="left"/>
              <w:rPr>
                <w:rFonts w:cstheme="minorHAnsi"/>
              </w:rPr>
            </w:pPr>
            <w:r>
              <w:rPr>
                <w:rFonts w:cstheme="minorHAnsi"/>
              </w:rPr>
              <w:t>MYEFO</w:t>
            </w:r>
          </w:p>
        </w:tc>
        <w:tc>
          <w:tcPr>
            <w:tcW w:w="7087" w:type="dxa"/>
          </w:tcPr>
          <w:p w:rsidR="00CB4F14" w:rsidRPr="00EF5AAB" w:rsidRDefault="00CB4F14" w:rsidP="002A4578">
            <w:pPr>
              <w:spacing w:after="60"/>
              <w:jc w:val="left"/>
              <w:rPr>
                <w:rFonts w:cstheme="minorHAnsi"/>
              </w:rPr>
            </w:pPr>
            <w:r>
              <w:rPr>
                <w:rFonts w:cstheme="minorHAnsi"/>
              </w:rPr>
              <w:t>Mid Year Economic and Fiscal Outlook</w:t>
            </w:r>
          </w:p>
        </w:tc>
      </w:tr>
      <w:tr w:rsidR="00CB4F14" w:rsidRPr="00EF5AAB" w:rsidTr="00527184">
        <w:tc>
          <w:tcPr>
            <w:tcW w:w="2127" w:type="dxa"/>
          </w:tcPr>
          <w:p w:rsidR="00CB4F14" w:rsidRPr="00EF5AAB" w:rsidRDefault="00CB4F14" w:rsidP="002A4578">
            <w:pPr>
              <w:spacing w:after="60"/>
              <w:jc w:val="left"/>
            </w:pPr>
            <w:r>
              <w:t>NASC</w:t>
            </w:r>
          </w:p>
        </w:tc>
        <w:tc>
          <w:tcPr>
            <w:tcW w:w="7087" w:type="dxa"/>
          </w:tcPr>
          <w:p w:rsidR="00CB4F14" w:rsidRPr="00EF5AAB" w:rsidRDefault="00CB4F14" w:rsidP="002A4578">
            <w:pPr>
              <w:spacing w:after="60"/>
              <w:jc w:val="left"/>
            </w:pPr>
            <w:r>
              <w:t>Needs Assessment and Service Coordination Team</w:t>
            </w:r>
          </w:p>
        </w:tc>
      </w:tr>
      <w:tr w:rsidR="00CB4F14" w:rsidRPr="00EF5AAB" w:rsidTr="00527184">
        <w:tc>
          <w:tcPr>
            <w:tcW w:w="2127" w:type="dxa"/>
          </w:tcPr>
          <w:p w:rsidR="00CB4F14" w:rsidRPr="00EF5AAB" w:rsidRDefault="00CB4F14" w:rsidP="002A4578">
            <w:pPr>
              <w:spacing w:after="60"/>
              <w:jc w:val="left"/>
            </w:pPr>
            <w:r w:rsidRPr="00EF5AAB">
              <w:t>NATFRAME</w:t>
            </w:r>
          </w:p>
        </w:tc>
        <w:tc>
          <w:tcPr>
            <w:tcW w:w="7087" w:type="dxa"/>
          </w:tcPr>
          <w:p w:rsidR="00CB4F14" w:rsidRPr="00EF5AAB" w:rsidRDefault="00CB4F14" w:rsidP="002A4578">
            <w:pPr>
              <w:spacing w:after="60"/>
              <w:jc w:val="left"/>
            </w:pPr>
            <w:r w:rsidRPr="00EF5AAB">
              <w:t>National Framework for Documenting Care in Residential Aged Care services</w:t>
            </w:r>
          </w:p>
        </w:tc>
      </w:tr>
      <w:tr w:rsidR="00CB4F14" w:rsidRPr="00EF5AAB" w:rsidTr="00527184">
        <w:tc>
          <w:tcPr>
            <w:tcW w:w="2127" w:type="dxa"/>
          </w:tcPr>
          <w:p w:rsidR="00CB4F14" w:rsidRPr="00EF5AAB" w:rsidRDefault="00CB4F14" w:rsidP="002A4578">
            <w:pPr>
              <w:spacing w:after="60"/>
              <w:jc w:val="left"/>
            </w:pPr>
            <w:r>
              <w:t>NHS</w:t>
            </w:r>
          </w:p>
        </w:tc>
        <w:tc>
          <w:tcPr>
            <w:tcW w:w="7087" w:type="dxa"/>
          </w:tcPr>
          <w:p w:rsidR="00CB4F14" w:rsidRPr="00EF5AAB" w:rsidRDefault="00CB4F14" w:rsidP="002A4578">
            <w:pPr>
              <w:spacing w:after="60"/>
              <w:jc w:val="left"/>
            </w:pPr>
            <w:r>
              <w:t>National Health Service</w:t>
            </w:r>
          </w:p>
        </w:tc>
      </w:tr>
      <w:tr w:rsidR="00CB4F14" w:rsidRPr="00EF5AAB" w:rsidTr="00527184">
        <w:tc>
          <w:tcPr>
            <w:tcW w:w="2127" w:type="dxa"/>
          </w:tcPr>
          <w:p w:rsidR="00CB4F14" w:rsidRPr="00EF5AAB" w:rsidRDefault="00CB4F14" w:rsidP="002A4578">
            <w:pPr>
              <w:spacing w:after="60"/>
              <w:jc w:val="left"/>
              <w:rPr>
                <w:rFonts w:cstheme="minorHAnsi"/>
              </w:rPr>
            </w:pPr>
            <w:r w:rsidRPr="00EF5AAB">
              <w:rPr>
                <w:rFonts w:cstheme="minorHAnsi"/>
              </w:rPr>
              <w:t>NP</w:t>
            </w:r>
          </w:p>
        </w:tc>
        <w:tc>
          <w:tcPr>
            <w:tcW w:w="7087" w:type="dxa"/>
          </w:tcPr>
          <w:p w:rsidR="00CB4F14" w:rsidRPr="00EF5AAB" w:rsidRDefault="00CB4F14" w:rsidP="002A4578">
            <w:pPr>
              <w:spacing w:after="60"/>
              <w:jc w:val="left"/>
              <w:rPr>
                <w:rFonts w:cstheme="minorHAnsi"/>
              </w:rPr>
            </w:pPr>
            <w:r w:rsidRPr="00EF5AAB">
              <w:rPr>
                <w:rFonts w:cstheme="minorHAnsi"/>
              </w:rPr>
              <w:t>Nurse Practitioner</w:t>
            </w:r>
          </w:p>
        </w:tc>
      </w:tr>
      <w:tr w:rsidR="00CB4F14" w:rsidRPr="00EF5AAB" w:rsidTr="00527184">
        <w:tc>
          <w:tcPr>
            <w:tcW w:w="2127" w:type="dxa"/>
          </w:tcPr>
          <w:p w:rsidR="00CB4F14" w:rsidRPr="00EF5AAB" w:rsidRDefault="00CB4F14" w:rsidP="002A4578">
            <w:pPr>
              <w:spacing w:after="60"/>
              <w:jc w:val="left"/>
              <w:rPr>
                <w:rFonts w:cstheme="minorHAnsi"/>
              </w:rPr>
            </w:pPr>
            <w:r w:rsidRPr="00EF5AAB">
              <w:rPr>
                <w:rFonts w:cstheme="minorHAnsi"/>
              </w:rPr>
              <w:t>NPI</w:t>
            </w:r>
          </w:p>
        </w:tc>
        <w:tc>
          <w:tcPr>
            <w:tcW w:w="7087" w:type="dxa"/>
          </w:tcPr>
          <w:p w:rsidR="00CB4F14" w:rsidRPr="00EF5AAB" w:rsidRDefault="00CB4F14" w:rsidP="002A4578">
            <w:pPr>
              <w:spacing w:after="60"/>
              <w:jc w:val="left"/>
              <w:rPr>
                <w:rFonts w:cstheme="minorHAnsi"/>
              </w:rPr>
            </w:pPr>
            <w:r w:rsidRPr="00EF5AAB">
              <w:rPr>
                <w:rFonts w:cstheme="minorHAnsi"/>
                <w:lang w:eastAsia="en-AU"/>
              </w:rPr>
              <w:t>Neuropsychiatric Inventory</w:t>
            </w:r>
          </w:p>
        </w:tc>
      </w:tr>
      <w:tr w:rsidR="00CB4F14" w:rsidRPr="00EF5AAB" w:rsidTr="00527184">
        <w:tc>
          <w:tcPr>
            <w:tcW w:w="2127" w:type="dxa"/>
          </w:tcPr>
          <w:p w:rsidR="00CB4F14" w:rsidRPr="00EF5AAB" w:rsidRDefault="00CB4F14" w:rsidP="002A4578">
            <w:pPr>
              <w:spacing w:after="60"/>
              <w:jc w:val="left"/>
            </w:pPr>
            <w:r w:rsidRPr="00EF5AAB">
              <w:t>N</w:t>
            </w:r>
            <w:r>
              <w:t>P</w:t>
            </w:r>
            <w:r w:rsidRPr="00EF5AAB">
              <w:t>RS</w:t>
            </w:r>
          </w:p>
        </w:tc>
        <w:tc>
          <w:tcPr>
            <w:tcW w:w="7087" w:type="dxa"/>
            <w:shd w:val="clear" w:color="auto" w:fill="auto"/>
          </w:tcPr>
          <w:p w:rsidR="00CB4F14" w:rsidRPr="00EF5AAB" w:rsidRDefault="00CB4F14" w:rsidP="002A4578">
            <w:pPr>
              <w:spacing w:after="60"/>
              <w:jc w:val="left"/>
            </w:pPr>
            <w:r w:rsidRPr="00F11850">
              <w:t xml:space="preserve">Numeric Pain Rating Scale </w:t>
            </w:r>
          </w:p>
        </w:tc>
      </w:tr>
      <w:tr w:rsidR="00CB4F14" w:rsidRPr="00EF5AAB" w:rsidTr="00527184">
        <w:tc>
          <w:tcPr>
            <w:tcW w:w="2127" w:type="dxa"/>
          </w:tcPr>
          <w:p w:rsidR="00CB4F14" w:rsidRPr="00EF5AAB" w:rsidRDefault="00CB4F14" w:rsidP="002A4578">
            <w:pPr>
              <w:spacing w:after="60"/>
              <w:jc w:val="left"/>
            </w:pPr>
            <w:r w:rsidRPr="00EF5AAB">
              <w:t>NSAF</w:t>
            </w:r>
          </w:p>
        </w:tc>
        <w:tc>
          <w:tcPr>
            <w:tcW w:w="7087" w:type="dxa"/>
          </w:tcPr>
          <w:p w:rsidR="00CB4F14" w:rsidRPr="00EF5AAB" w:rsidRDefault="00CB4F14" w:rsidP="002A4578">
            <w:pPr>
              <w:spacing w:after="60"/>
              <w:jc w:val="left"/>
            </w:pPr>
            <w:r w:rsidRPr="00EF5AAB">
              <w:t>National Screening and Assessment Form</w:t>
            </w:r>
          </w:p>
        </w:tc>
      </w:tr>
      <w:tr w:rsidR="00CB4F14" w:rsidRPr="00EF5AAB" w:rsidTr="00527184">
        <w:tc>
          <w:tcPr>
            <w:tcW w:w="2127" w:type="dxa"/>
          </w:tcPr>
          <w:p w:rsidR="00CB4F14" w:rsidRPr="00EF5AAB" w:rsidRDefault="00CB4F14" w:rsidP="002A4578">
            <w:pPr>
              <w:spacing w:after="60"/>
              <w:jc w:val="left"/>
            </w:pPr>
            <w:r w:rsidRPr="00EF5AAB">
              <w:t>OARS</w:t>
            </w:r>
          </w:p>
        </w:tc>
        <w:tc>
          <w:tcPr>
            <w:tcW w:w="7087" w:type="dxa"/>
          </w:tcPr>
          <w:p w:rsidR="00CB4F14" w:rsidRPr="00EF5AAB" w:rsidRDefault="00CB4F14" w:rsidP="002A4578">
            <w:pPr>
              <w:spacing w:after="60"/>
              <w:jc w:val="left"/>
            </w:pPr>
            <w:r w:rsidRPr="00EF5AAB">
              <w:t>Older Americans Resources and Services</w:t>
            </w:r>
          </w:p>
        </w:tc>
      </w:tr>
      <w:tr w:rsidR="00CB4F14" w:rsidRPr="00EF5AAB" w:rsidTr="00527184">
        <w:tc>
          <w:tcPr>
            <w:tcW w:w="2127" w:type="dxa"/>
          </w:tcPr>
          <w:p w:rsidR="00CB4F14" w:rsidRPr="00EF5AAB" w:rsidRDefault="00CB4F14" w:rsidP="002A4578">
            <w:pPr>
              <w:spacing w:after="60"/>
              <w:jc w:val="left"/>
            </w:pPr>
            <w:r w:rsidRPr="00EF5AAB">
              <w:t>OHAT</w:t>
            </w:r>
          </w:p>
        </w:tc>
        <w:tc>
          <w:tcPr>
            <w:tcW w:w="7087" w:type="dxa"/>
          </w:tcPr>
          <w:p w:rsidR="00CB4F14" w:rsidRPr="00EF5AAB" w:rsidRDefault="00CB4F14" w:rsidP="002A4578">
            <w:pPr>
              <w:spacing w:after="60"/>
              <w:jc w:val="left"/>
            </w:pPr>
            <w:r w:rsidRPr="00EF5AAB">
              <w:t>Oral Health Assessment Tool</w:t>
            </w:r>
          </w:p>
        </w:tc>
      </w:tr>
      <w:tr w:rsidR="00CB4F14" w:rsidRPr="00EF5AAB" w:rsidTr="00527184">
        <w:tc>
          <w:tcPr>
            <w:tcW w:w="2127" w:type="dxa"/>
          </w:tcPr>
          <w:p w:rsidR="00CB4F14" w:rsidRPr="00EF5AAB" w:rsidRDefault="00CB4F14" w:rsidP="002A4578">
            <w:pPr>
              <w:spacing w:after="60"/>
              <w:jc w:val="left"/>
            </w:pPr>
            <w:r w:rsidRPr="00EF5AAB">
              <w:t>OT</w:t>
            </w:r>
          </w:p>
        </w:tc>
        <w:tc>
          <w:tcPr>
            <w:tcW w:w="7087" w:type="dxa"/>
          </w:tcPr>
          <w:p w:rsidR="00CB4F14" w:rsidRPr="00EF5AAB" w:rsidRDefault="00CB4F14" w:rsidP="002A4578">
            <w:pPr>
              <w:spacing w:after="60"/>
              <w:jc w:val="left"/>
            </w:pPr>
            <w:r w:rsidRPr="00EF5AAB">
              <w:t>Occupational Therapist</w:t>
            </w:r>
          </w:p>
        </w:tc>
      </w:tr>
      <w:tr w:rsidR="00CB4F14" w:rsidRPr="00EF5AAB" w:rsidTr="00527184">
        <w:tc>
          <w:tcPr>
            <w:tcW w:w="2127" w:type="dxa"/>
          </w:tcPr>
          <w:p w:rsidR="00CB4F14" w:rsidRPr="00EF5AAB" w:rsidRDefault="00CB4F14" w:rsidP="002A4578">
            <w:pPr>
              <w:spacing w:after="60"/>
              <w:jc w:val="left"/>
            </w:pPr>
            <w:r>
              <w:t>pa.</w:t>
            </w:r>
          </w:p>
        </w:tc>
        <w:tc>
          <w:tcPr>
            <w:tcW w:w="7087" w:type="dxa"/>
          </w:tcPr>
          <w:p w:rsidR="00CB4F14" w:rsidRPr="00EF5AAB" w:rsidRDefault="00CB4F14" w:rsidP="002A4578">
            <w:pPr>
              <w:spacing w:after="60"/>
              <w:jc w:val="left"/>
            </w:pPr>
            <w:r>
              <w:t>Per annum</w:t>
            </w:r>
          </w:p>
        </w:tc>
      </w:tr>
      <w:tr w:rsidR="00CB4F14" w:rsidRPr="00EF5AAB" w:rsidTr="00527184">
        <w:trPr>
          <w:trHeight w:val="339"/>
        </w:trPr>
        <w:tc>
          <w:tcPr>
            <w:tcW w:w="2127" w:type="dxa"/>
          </w:tcPr>
          <w:p w:rsidR="00CB4F14" w:rsidRPr="00EF5AAB" w:rsidRDefault="00CB4F14" w:rsidP="002A4578">
            <w:pPr>
              <w:spacing w:after="60"/>
              <w:jc w:val="left"/>
            </w:pPr>
            <w:r w:rsidRPr="00EF5AAB">
              <w:t>PAINAD</w:t>
            </w:r>
          </w:p>
        </w:tc>
        <w:tc>
          <w:tcPr>
            <w:tcW w:w="7087" w:type="dxa"/>
          </w:tcPr>
          <w:p w:rsidR="00CB4F14" w:rsidRPr="00EF5AAB" w:rsidRDefault="00CB4F14" w:rsidP="002A4578">
            <w:pPr>
              <w:spacing w:after="60"/>
              <w:jc w:val="left"/>
            </w:pPr>
            <w:r w:rsidRPr="00EF5AAB">
              <w:t>Pain Assessment in Advanced Dementia</w:t>
            </w:r>
          </w:p>
        </w:tc>
      </w:tr>
      <w:tr w:rsidR="00CB4F14" w:rsidRPr="00EF5AAB" w:rsidTr="00527184">
        <w:tc>
          <w:tcPr>
            <w:tcW w:w="2127" w:type="dxa"/>
          </w:tcPr>
          <w:p w:rsidR="00CB4F14" w:rsidRPr="00EF5AAB" w:rsidRDefault="00CB4F14" w:rsidP="002A4578">
            <w:pPr>
              <w:spacing w:after="60"/>
              <w:jc w:val="left"/>
              <w:rPr>
                <w:rFonts w:cstheme="minorHAnsi"/>
              </w:rPr>
            </w:pPr>
            <w:r>
              <w:rPr>
                <w:rFonts w:cstheme="minorHAnsi"/>
              </w:rPr>
              <w:t>PAS/</w:t>
            </w:r>
            <w:r w:rsidRPr="00EF5AAB">
              <w:rPr>
                <w:rFonts w:cstheme="minorHAnsi"/>
              </w:rPr>
              <w:t>PAS-CIS</w:t>
            </w:r>
          </w:p>
        </w:tc>
        <w:tc>
          <w:tcPr>
            <w:tcW w:w="7087" w:type="dxa"/>
          </w:tcPr>
          <w:p w:rsidR="00CB4F14" w:rsidRPr="00EF5AAB" w:rsidRDefault="00CB4F14" w:rsidP="002A4578">
            <w:pPr>
              <w:spacing w:after="60"/>
              <w:jc w:val="left"/>
              <w:rPr>
                <w:rFonts w:cstheme="minorHAnsi"/>
              </w:rPr>
            </w:pPr>
            <w:r w:rsidRPr="00EF5AAB">
              <w:rPr>
                <w:rFonts w:cstheme="minorHAnsi"/>
              </w:rPr>
              <w:t>Psychogeriatric Assessment Scales- Cognitive Impairment Scale</w:t>
            </w:r>
          </w:p>
        </w:tc>
      </w:tr>
      <w:tr w:rsidR="00CB4F14" w:rsidRPr="00EF5AAB" w:rsidTr="00527184">
        <w:tc>
          <w:tcPr>
            <w:tcW w:w="2127" w:type="dxa"/>
          </w:tcPr>
          <w:p w:rsidR="00CB4F14" w:rsidRPr="00EF5AAB" w:rsidRDefault="00CB4F14" w:rsidP="002A4578">
            <w:pPr>
              <w:spacing w:after="60"/>
              <w:jc w:val="left"/>
              <w:rPr>
                <w:rFonts w:cstheme="minorHAnsi"/>
              </w:rPr>
            </w:pPr>
            <w:r w:rsidRPr="00EF5AAB">
              <w:rPr>
                <w:rFonts w:cstheme="minorHAnsi"/>
              </w:rPr>
              <w:t>PCA</w:t>
            </w:r>
          </w:p>
        </w:tc>
        <w:tc>
          <w:tcPr>
            <w:tcW w:w="7087" w:type="dxa"/>
          </w:tcPr>
          <w:p w:rsidR="00CB4F14" w:rsidRPr="00EF5AAB" w:rsidRDefault="00CB4F14" w:rsidP="002A4578">
            <w:pPr>
              <w:spacing w:after="60"/>
              <w:jc w:val="left"/>
              <w:rPr>
                <w:rFonts w:cstheme="minorHAnsi"/>
              </w:rPr>
            </w:pPr>
            <w:r w:rsidRPr="00EF5AAB">
              <w:rPr>
                <w:rFonts w:cstheme="minorHAnsi"/>
              </w:rPr>
              <w:t>Personal Care Assistant</w:t>
            </w:r>
          </w:p>
        </w:tc>
      </w:tr>
      <w:tr w:rsidR="00CB4F14" w:rsidRPr="00EF5AAB" w:rsidTr="00527184">
        <w:tc>
          <w:tcPr>
            <w:tcW w:w="2127" w:type="dxa"/>
          </w:tcPr>
          <w:p w:rsidR="00CB4F14" w:rsidRPr="00EF5AAB" w:rsidRDefault="00CB4F14" w:rsidP="002A4578">
            <w:pPr>
              <w:spacing w:after="60"/>
              <w:jc w:val="left"/>
              <w:rPr>
                <w:rFonts w:cstheme="minorHAnsi"/>
              </w:rPr>
            </w:pPr>
            <w:r>
              <w:rPr>
                <w:rFonts w:cstheme="minorHAnsi"/>
              </w:rPr>
              <w:t>PCAI</w:t>
            </w:r>
          </w:p>
        </w:tc>
        <w:tc>
          <w:tcPr>
            <w:tcW w:w="7087" w:type="dxa"/>
          </w:tcPr>
          <w:p w:rsidR="00CB4F14" w:rsidRPr="00EF5AAB" w:rsidRDefault="00CB4F14" w:rsidP="002A4578">
            <w:pPr>
              <w:spacing w:after="60"/>
              <w:jc w:val="left"/>
              <w:rPr>
                <w:rFonts w:cstheme="minorHAnsi"/>
              </w:rPr>
            </w:pPr>
            <w:r>
              <w:rPr>
                <w:rFonts w:cstheme="minorHAnsi"/>
              </w:rPr>
              <w:t>Personal Care Assessment Instrument</w:t>
            </w:r>
          </w:p>
        </w:tc>
      </w:tr>
      <w:tr w:rsidR="00CB4F14" w:rsidRPr="00EF5AAB" w:rsidTr="00527184">
        <w:tc>
          <w:tcPr>
            <w:tcW w:w="2127" w:type="dxa"/>
          </w:tcPr>
          <w:p w:rsidR="00CB4F14" w:rsidRPr="00EF5AAB" w:rsidRDefault="00CB4F14" w:rsidP="002A4578">
            <w:pPr>
              <w:spacing w:after="60"/>
              <w:jc w:val="left"/>
              <w:rPr>
                <w:rFonts w:cstheme="minorHAnsi"/>
              </w:rPr>
            </w:pPr>
            <w:r>
              <w:rPr>
                <w:rFonts w:cstheme="minorHAnsi"/>
              </w:rPr>
              <w:t>PCW</w:t>
            </w:r>
          </w:p>
        </w:tc>
        <w:tc>
          <w:tcPr>
            <w:tcW w:w="7087" w:type="dxa"/>
          </w:tcPr>
          <w:p w:rsidR="00CB4F14" w:rsidRPr="00EF5AAB" w:rsidRDefault="00CB4F14" w:rsidP="002A4578">
            <w:pPr>
              <w:spacing w:after="60"/>
              <w:jc w:val="left"/>
              <w:rPr>
                <w:rFonts w:cstheme="minorHAnsi"/>
              </w:rPr>
            </w:pPr>
            <w:r w:rsidRPr="00EF5AAB">
              <w:rPr>
                <w:rFonts w:cstheme="minorHAnsi"/>
              </w:rPr>
              <w:t xml:space="preserve">Personal Care </w:t>
            </w:r>
            <w:r>
              <w:rPr>
                <w:rFonts w:cstheme="minorHAnsi"/>
              </w:rPr>
              <w:t>Worker</w:t>
            </w:r>
          </w:p>
        </w:tc>
      </w:tr>
      <w:tr w:rsidR="00CB4F14" w:rsidRPr="00EF5AAB" w:rsidTr="00527184">
        <w:tc>
          <w:tcPr>
            <w:tcW w:w="2127" w:type="dxa"/>
          </w:tcPr>
          <w:p w:rsidR="00CB4F14" w:rsidRPr="00EF5AAB" w:rsidRDefault="00CB4F14" w:rsidP="002A4578">
            <w:pPr>
              <w:spacing w:after="60"/>
              <w:jc w:val="left"/>
              <w:rPr>
                <w:rFonts w:cstheme="minorHAnsi"/>
              </w:rPr>
            </w:pPr>
            <w:r>
              <w:rPr>
                <w:rFonts w:cstheme="minorHAnsi"/>
              </w:rPr>
              <w:t>pd.</w:t>
            </w:r>
          </w:p>
        </w:tc>
        <w:tc>
          <w:tcPr>
            <w:tcW w:w="7087" w:type="dxa"/>
          </w:tcPr>
          <w:p w:rsidR="00CB4F14" w:rsidRPr="00EF5AAB" w:rsidRDefault="00CB4F14" w:rsidP="002A4578">
            <w:pPr>
              <w:spacing w:after="60"/>
              <w:jc w:val="left"/>
              <w:rPr>
                <w:rFonts w:cstheme="minorHAnsi"/>
              </w:rPr>
            </w:pPr>
            <w:r>
              <w:rPr>
                <w:rFonts w:cstheme="minorHAnsi"/>
              </w:rPr>
              <w:t>Per day</w:t>
            </w:r>
          </w:p>
        </w:tc>
      </w:tr>
      <w:tr w:rsidR="00CB4F14" w:rsidRPr="00EF5AAB" w:rsidTr="00527184">
        <w:tc>
          <w:tcPr>
            <w:tcW w:w="2127" w:type="dxa"/>
          </w:tcPr>
          <w:p w:rsidR="00CB4F14" w:rsidRPr="00EF5AAB" w:rsidRDefault="00CB4F14" w:rsidP="002A4578">
            <w:pPr>
              <w:spacing w:after="60"/>
              <w:jc w:val="left"/>
            </w:pPr>
            <w:r w:rsidRPr="00EF5AAB">
              <w:t>PMG</w:t>
            </w:r>
          </w:p>
        </w:tc>
        <w:tc>
          <w:tcPr>
            <w:tcW w:w="7087" w:type="dxa"/>
          </w:tcPr>
          <w:p w:rsidR="00CB4F14" w:rsidRPr="00EF5AAB" w:rsidRDefault="00CB4F14" w:rsidP="002A4578">
            <w:pPr>
              <w:spacing w:after="60"/>
              <w:jc w:val="left"/>
            </w:pPr>
            <w:r w:rsidRPr="00EF5AAB">
              <w:t>Pain Management Guidelines</w:t>
            </w:r>
          </w:p>
        </w:tc>
      </w:tr>
      <w:tr w:rsidR="00CB4F14" w:rsidRPr="00EF5AAB" w:rsidTr="00527184">
        <w:tc>
          <w:tcPr>
            <w:tcW w:w="2127" w:type="dxa"/>
          </w:tcPr>
          <w:p w:rsidR="00CB4F14" w:rsidRPr="00EF5AAB" w:rsidRDefault="00CB4F14" w:rsidP="002A4578">
            <w:pPr>
              <w:spacing w:after="60"/>
              <w:jc w:val="left"/>
            </w:pPr>
            <w:r w:rsidRPr="00EF5AAB">
              <w:t>PMS</w:t>
            </w:r>
          </w:p>
        </w:tc>
        <w:tc>
          <w:tcPr>
            <w:tcW w:w="7087" w:type="dxa"/>
          </w:tcPr>
          <w:p w:rsidR="00CB4F14" w:rsidRPr="00EF5AAB" w:rsidRDefault="00CB4F14" w:rsidP="002A4578">
            <w:pPr>
              <w:spacing w:after="60"/>
              <w:jc w:val="left"/>
            </w:pPr>
            <w:r w:rsidRPr="00EF5AAB">
              <w:t>Physical Mobility Scale</w:t>
            </w:r>
          </w:p>
        </w:tc>
      </w:tr>
      <w:tr w:rsidR="00CB4F14" w:rsidRPr="00EF5AAB" w:rsidTr="00527184">
        <w:tc>
          <w:tcPr>
            <w:tcW w:w="2127" w:type="dxa"/>
          </w:tcPr>
          <w:p w:rsidR="00CB4F14" w:rsidRPr="00EF5AAB" w:rsidRDefault="00CB4F14" w:rsidP="002A4578">
            <w:pPr>
              <w:spacing w:after="60"/>
              <w:jc w:val="left"/>
            </w:pPr>
            <w:r>
              <w:t>QoC</w:t>
            </w:r>
          </w:p>
        </w:tc>
        <w:tc>
          <w:tcPr>
            <w:tcW w:w="7087" w:type="dxa"/>
          </w:tcPr>
          <w:p w:rsidR="00CB4F14" w:rsidRPr="00EF5AAB" w:rsidRDefault="00CB4F14" w:rsidP="002A4578">
            <w:pPr>
              <w:spacing w:after="60"/>
              <w:jc w:val="left"/>
            </w:pPr>
            <w:r>
              <w:t>Quality of Care</w:t>
            </w:r>
          </w:p>
        </w:tc>
      </w:tr>
      <w:tr w:rsidR="00CB4F14" w:rsidRPr="00EF5AAB" w:rsidTr="00527184">
        <w:tc>
          <w:tcPr>
            <w:tcW w:w="2127" w:type="dxa"/>
          </w:tcPr>
          <w:p w:rsidR="00CB4F14" w:rsidRPr="00EF5AAB" w:rsidRDefault="00CB4F14" w:rsidP="002A4578">
            <w:pPr>
              <w:spacing w:after="60"/>
              <w:jc w:val="left"/>
            </w:pPr>
            <w:r w:rsidRPr="00EF5AAB">
              <w:t>QoL</w:t>
            </w:r>
          </w:p>
        </w:tc>
        <w:tc>
          <w:tcPr>
            <w:tcW w:w="7087" w:type="dxa"/>
          </w:tcPr>
          <w:p w:rsidR="00CB4F14" w:rsidRPr="00EF5AAB" w:rsidRDefault="00CB4F14" w:rsidP="002A4578">
            <w:pPr>
              <w:spacing w:after="60"/>
              <w:jc w:val="left"/>
            </w:pPr>
            <w:r w:rsidRPr="00EF5AAB">
              <w:t>Quality of Life</w:t>
            </w:r>
          </w:p>
        </w:tc>
      </w:tr>
      <w:tr w:rsidR="00CB4F14" w:rsidRPr="00EF5AAB" w:rsidTr="00527184">
        <w:tc>
          <w:tcPr>
            <w:tcW w:w="2127" w:type="dxa"/>
          </w:tcPr>
          <w:p w:rsidR="00CB4F14" w:rsidRPr="00EF5AAB" w:rsidRDefault="00CB4F14" w:rsidP="002A4578">
            <w:pPr>
              <w:spacing w:after="60"/>
              <w:jc w:val="left"/>
            </w:pPr>
            <w:r w:rsidRPr="00EF5AAB">
              <w:t>R-ACFI</w:t>
            </w:r>
          </w:p>
        </w:tc>
        <w:tc>
          <w:tcPr>
            <w:tcW w:w="7087" w:type="dxa"/>
          </w:tcPr>
          <w:p w:rsidR="00CB4F14" w:rsidRPr="00EF5AAB" w:rsidRDefault="00F778E0" w:rsidP="002A4578">
            <w:pPr>
              <w:spacing w:after="60"/>
              <w:jc w:val="left"/>
            </w:pPr>
            <w:r>
              <w:t>Revised</w:t>
            </w:r>
            <w:r w:rsidRPr="00EF5AAB">
              <w:t xml:space="preserve"> </w:t>
            </w:r>
            <w:r w:rsidR="00CB4F14" w:rsidRPr="00EF5AAB">
              <w:t>Aged Care Funding Instrument</w:t>
            </w:r>
          </w:p>
        </w:tc>
      </w:tr>
      <w:tr w:rsidR="00CB4F14" w:rsidRPr="00EF5AAB" w:rsidTr="00527184">
        <w:tc>
          <w:tcPr>
            <w:tcW w:w="2127" w:type="dxa"/>
          </w:tcPr>
          <w:p w:rsidR="00CB4F14" w:rsidRPr="00F11850" w:rsidRDefault="00CB4F14" w:rsidP="002A4578">
            <w:pPr>
              <w:spacing w:after="60"/>
              <w:jc w:val="left"/>
              <w:rPr>
                <w:rFonts w:cstheme="minorHAnsi"/>
              </w:rPr>
            </w:pPr>
            <w:r w:rsidRPr="00F11850">
              <w:rPr>
                <w:rFonts w:cstheme="minorHAnsi"/>
              </w:rPr>
              <w:t>R-BEH</w:t>
            </w:r>
          </w:p>
        </w:tc>
        <w:tc>
          <w:tcPr>
            <w:tcW w:w="7087" w:type="dxa"/>
          </w:tcPr>
          <w:p w:rsidR="00CB4F14" w:rsidRPr="00F11850" w:rsidRDefault="00351320" w:rsidP="002A4578">
            <w:pPr>
              <w:spacing w:after="60"/>
              <w:jc w:val="left"/>
              <w:rPr>
                <w:rFonts w:cstheme="minorHAnsi"/>
              </w:rPr>
            </w:pPr>
            <w:r>
              <w:rPr>
                <w:rFonts w:cstheme="minorHAnsi"/>
              </w:rPr>
              <w:t xml:space="preserve">Revised </w:t>
            </w:r>
            <w:r w:rsidR="00CB4F14" w:rsidRPr="00F11850">
              <w:rPr>
                <w:rFonts w:cstheme="minorHAnsi"/>
              </w:rPr>
              <w:t>Behaviour Domain</w:t>
            </w:r>
          </w:p>
        </w:tc>
      </w:tr>
      <w:tr w:rsidR="00CB4F14" w:rsidRPr="00EF5AAB" w:rsidTr="00527184">
        <w:tc>
          <w:tcPr>
            <w:tcW w:w="2127" w:type="dxa"/>
          </w:tcPr>
          <w:p w:rsidR="00CB4F14" w:rsidRPr="00F11850" w:rsidRDefault="00CB4F14" w:rsidP="002A4578">
            <w:pPr>
              <w:spacing w:after="60"/>
              <w:jc w:val="left"/>
            </w:pPr>
            <w:r w:rsidRPr="00F11850">
              <w:t>R-ADL</w:t>
            </w:r>
          </w:p>
        </w:tc>
        <w:tc>
          <w:tcPr>
            <w:tcW w:w="7087" w:type="dxa"/>
          </w:tcPr>
          <w:p w:rsidR="00CB4F14" w:rsidRPr="00F11850" w:rsidRDefault="00CB4F14" w:rsidP="002A4578">
            <w:pPr>
              <w:spacing w:after="60"/>
              <w:jc w:val="left"/>
            </w:pPr>
            <w:r w:rsidRPr="00F11850">
              <w:t>Revised Activities of Daily Living</w:t>
            </w:r>
          </w:p>
        </w:tc>
      </w:tr>
      <w:tr w:rsidR="00CB4F14" w:rsidRPr="00EF5AAB" w:rsidTr="00527184">
        <w:tc>
          <w:tcPr>
            <w:tcW w:w="2127" w:type="dxa"/>
          </w:tcPr>
          <w:p w:rsidR="00CB4F14" w:rsidRPr="00F11850" w:rsidRDefault="00CB4F14" w:rsidP="002A4578">
            <w:pPr>
              <w:spacing w:after="60"/>
              <w:jc w:val="left"/>
            </w:pPr>
            <w:r w:rsidRPr="00F11850">
              <w:t>R-CHC</w:t>
            </w:r>
          </w:p>
        </w:tc>
        <w:tc>
          <w:tcPr>
            <w:tcW w:w="7087" w:type="dxa"/>
          </w:tcPr>
          <w:p w:rsidR="00CB4F14" w:rsidRPr="00F11850" w:rsidRDefault="00CB4F14" w:rsidP="002A4578">
            <w:pPr>
              <w:spacing w:after="60"/>
              <w:jc w:val="left"/>
            </w:pPr>
            <w:r w:rsidRPr="00F11850">
              <w:t>Revised Complex Health Care</w:t>
            </w:r>
          </w:p>
        </w:tc>
      </w:tr>
      <w:tr w:rsidR="00CB4F14" w:rsidRPr="00EF5AAB" w:rsidTr="00527184">
        <w:tc>
          <w:tcPr>
            <w:tcW w:w="2127" w:type="dxa"/>
          </w:tcPr>
          <w:p w:rsidR="00CB4F14" w:rsidRPr="00EF5AAB" w:rsidRDefault="00CB4F14" w:rsidP="002A4578">
            <w:pPr>
              <w:spacing w:after="60"/>
              <w:jc w:val="left"/>
            </w:pPr>
            <w:r w:rsidRPr="00EF5AAB">
              <w:lastRenderedPageBreak/>
              <w:t>RAC</w:t>
            </w:r>
          </w:p>
        </w:tc>
        <w:tc>
          <w:tcPr>
            <w:tcW w:w="7087" w:type="dxa"/>
          </w:tcPr>
          <w:p w:rsidR="00CB4F14" w:rsidRPr="00EF5AAB" w:rsidRDefault="00CB4F14" w:rsidP="002A4578">
            <w:pPr>
              <w:spacing w:after="60"/>
              <w:jc w:val="left"/>
            </w:pPr>
            <w:r w:rsidRPr="00EF5AAB">
              <w:t>Residential Aged Care</w:t>
            </w:r>
          </w:p>
        </w:tc>
      </w:tr>
      <w:tr w:rsidR="00CB4F14" w:rsidRPr="00EF5AAB" w:rsidTr="00527184">
        <w:tc>
          <w:tcPr>
            <w:tcW w:w="2127" w:type="dxa"/>
          </w:tcPr>
          <w:p w:rsidR="00CB4F14" w:rsidRPr="00EF5AAB" w:rsidRDefault="00CB4F14" w:rsidP="002A4578">
            <w:pPr>
              <w:spacing w:after="60"/>
              <w:jc w:val="left"/>
            </w:pPr>
            <w:r w:rsidRPr="00EF5AAB">
              <w:t>RACF</w:t>
            </w:r>
          </w:p>
        </w:tc>
        <w:tc>
          <w:tcPr>
            <w:tcW w:w="7087" w:type="dxa"/>
          </w:tcPr>
          <w:p w:rsidR="00CB4F14" w:rsidRPr="00EF5AAB" w:rsidRDefault="00CB4F14" w:rsidP="002A4578">
            <w:pPr>
              <w:spacing w:after="60"/>
              <w:jc w:val="left"/>
            </w:pPr>
            <w:r w:rsidRPr="00EF5AAB">
              <w:t xml:space="preserve">Residential </w:t>
            </w:r>
            <w:r>
              <w:t>A</w:t>
            </w:r>
            <w:r w:rsidRPr="00EF5AAB">
              <w:t xml:space="preserve">ged </w:t>
            </w:r>
            <w:r>
              <w:t>C</w:t>
            </w:r>
            <w:r w:rsidRPr="00EF5AAB">
              <w:t xml:space="preserve">are </w:t>
            </w:r>
            <w:r>
              <w:t>F</w:t>
            </w:r>
            <w:r w:rsidRPr="00EF5AAB">
              <w:t>acility</w:t>
            </w:r>
          </w:p>
        </w:tc>
      </w:tr>
      <w:tr w:rsidR="00CB4F14" w:rsidRPr="00EF5AAB" w:rsidTr="00527184">
        <w:tc>
          <w:tcPr>
            <w:tcW w:w="2127" w:type="dxa"/>
          </w:tcPr>
          <w:p w:rsidR="00CB4F14" w:rsidRPr="00EF5AAB" w:rsidRDefault="00CB4F14" w:rsidP="002A4578">
            <w:pPr>
              <w:spacing w:after="60"/>
              <w:jc w:val="left"/>
            </w:pPr>
            <w:r>
              <w:t>RACID</w:t>
            </w:r>
          </w:p>
        </w:tc>
        <w:tc>
          <w:tcPr>
            <w:tcW w:w="7087" w:type="dxa"/>
          </w:tcPr>
          <w:p w:rsidR="00CB4F14" w:rsidRPr="00EF5AAB" w:rsidRDefault="00CB4F14" w:rsidP="002A4578">
            <w:pPr>
              <w:spacing w:after="60"/>
              <w:jc w:val="left"/>
            </w:pPr>
            <w:r w:rsidRPr="00EF5AAB">
              <w:t xml:space="preserve">Residential </w:t>
            </w:r>
            <w:r>
              <w:t>A</w:t>
            </w:r>
            <w:r w:rsidRPr="00EF5AAB">
              <w:t xml:space="preserve">ged </w:t>
            </w:r>
            <w:r>
              <w:t>C</w:t>
            </w:r>
            <w:r w:rsidRPr="00EF5AAB">
              <w:t>are</w:t>
            </w:r>
            <w:r>
              <w:t xml:space="preserve"> Service Departmental Identification Number</w:t>
            </w:r>
            <w:r w:rsidRPr="00EF5AAB" w:rsidDel="002365B1">
              <w:t xml:space="preserve"> </w:t>
            </w:r>
          </w:p>
        </w:tc>
      </w:tr>
      <w:tr w:rsidR="00CB4F14" w:rsidRPr="00EF5AAB" w:rsidTr="00527184">
        <w:tc>
          <w:tcPr>
            <w:tcW w:w="2127" w:type="dxa"/>
          </w:tcPr>
          <w:p w:rsidR="00CB4F14" w:rsidRPr="00EF5AAB" w:rsidRDefault="00CB4F14" w:rsidP="002A4578">
            <w:pPr>
              <w:spacing w:after="60"/>
              <w:jc w:val="left"/>
            </w:pPr>
            <w:r>
              <w:t>RAI</w:t>
            </w:r>
          </w:p>
        </w:tc>
        <w:tc>
          <w:tcPr>
            <w:tcW w:w="7087" w:type="dxa"/>
          </w:tcPr>
          <w:p w:rsidR="00CB4F14" w:rsidRPr="00F11850" w:rsidRDefault="00CB4F14" w:rsidP="002A4578">
            <w:pPr>
              <w:spacing w:after="60"/>
              <w:jc w:val="left"/>
            </w:pPr>
            <w:r w:rsidRPr="00F11850">
              <w:t xml:space="preserve">Resident </w:t>
            </w:r>
            <w:r w:rsidRPr="00F11850">
              <w:rPr>
                <w:rFonts w:eastAsia="Times New Roman" w:cstheme="minorHAnsi"/>
                <w:color w:val="000000" w:themeColor="text1"/>
              </w:rPr>
              <w:t xml:space="preserve">Assessment Instrument for Long Term Care </w:t>
            </w:r>
          </w:p>
        </w:tc>
      </w:tr>
      <w:tr w:rsidR="00CB4F14" w:rsidRPr="00EF5AAB" w:rsidTr="00527184">
        <w:tc>
          <w:tcPr>
            <w:tcW w:w="2127" w:type="dxa"/>
          </w:tcPr>
          <w:p w:rsidR="00CB4F14" w:rsidRPr="00F11850" w:rsidRDefault="00CB4F14" w:rsidP="002A4578">
            <w:pPr>
              <w:spacing w:after="60"/>
              <w:jc w:val="left"/>
            </w:pPr>
            <w:r w:rsidRPr="002365B1">
              <w:t>RAS</w:t>
            </w:r>
          </w:p>
        </w:tc>
        <w:tc>
          <w:tcPr>
            <w:tcW w:w="7087" w:type="dxa"/>
          </w:tcPr>
          <w:p w:rsidR="00CB4F14" w:rsidRPr="00F11850" w:rsidRDefault="00CB4F14" w:rsidP="002A4578">
            <w:pPr>
              <w:spacing w:after="60"/>
              <w:jc w:val="left"/>
            </w:pPr>
            <w:r w:rsidRPr="00A35BE7">
              <w:t>Regional Assessment Service</w:t>
            </w:r>
            <w:r w:rsidRPr="002365B1">
              <w:t xml:space="preserve"> </w:t>
            </w:r>
          </w:p>
        </w:tc>
      </w:tr>
      <w:tr w:rsidR="00CB4F14" w:rsidRPr="00EF5AAB" w:rsidTr="00527184">
        <w:tc>
          <w:tcPr>
            <w:tcW w:w="2127" w:type="dxa"/>
          </w:tcPr>
          <w:p w:rsidR="00CB4F14" w:rsidRPr="00EF5AAB" w:rsidRDefault="00CB4F14" w:rsidP="002A4578">
            <w:pPr>
              <w:spacing w:after="60"/>
              <w:jc w:val="left"/>
            </w:pPr>
            <w:r>
              <w:t>RCI</w:t>
            </w:r>
          </w:p>
        </w:tc>
        <w:tc>
          <w:tcPr>
            <w:tcW w:w="7087" w:type="dxa"/>
          </w:tcPr>
          <w:p w:rsidR="00CB4F14" w:rsidRPr="00EF5AAB" w:rsidRDefault="00CB4F14" w:rsidP="002A4578">
            <w:pPr>
              <w:spacing w:after="60"/>
              <w:jc w:val="left"/>
            </w:pPr>
            <w:r>
              <w:t>Resident Classification Instrument</w:t>
            </w:r>
          </w:p>
        </w:tc>
      </w:tr>
      <w:tr w:rsidR="00CB4F14" w:rsidRPr="00EF5AAB" w:rsidTr="00527184">
        <w:tc>
          <w:tcPr>
            <w:tcW w:w="2127" w:type="dxa"/>
          </w:tcPr>
          <w:p w:rsidR="00CB4F14" w:rsidRPr="00EF5AAB" w:rsidRDefault="00CB4F14" w:rsidP="002A4578">
            <w:pPr>
              <w:spacing w:after="60"/>
              <w:jc w:val="left"/>
            </w:pPr>
            <w:r>
              <w:t>RCS</w:t>
            </w:r>
          </w:p>
        </w:tc>
        <w:tc>
          <w:tcPr>
            <w:tcW w:w="7087" w:type="dxa"/>
          </w:tcPr>
          <w:p w:rsidR="00CB4F14" w:rsidRPr="00EF5AAB" w:rsidRDefault="00CB4F14" w:rsidP="002A4578">
            <w:pPr>
              <w:spacing w:after="60"/>
              <w:jc w:val="left"/>
            </w:pPr>
            <w:r>
              <w:t>Resident Classification Scale</w:t>
            </w:r>
          </w:p>
        </w:tc>
      </w:tr>
      <w:tr w:rsidR="00CB4F14" w:rsidRPr="00EF5AAB" w:rsidTr="00527184">
        <w:tc>
          <w:tcPr>
            <w:tcW w:w="2127" w:type="dxa"/>
          </w:tcPr>
          <w:p w:rsidR="00CB4F14" w:rsidRPr="00EF5AAB" w:rsidRDefault="00CB4F14" w:rsidP="002A4578">
            <w:pPr>
              <w:spacing w:after="60"/>
              <w:jc w:val="left"/>
            </w:pPr>
            <w:r w:rsidRPr="00EF5AAB">
              <w:t>RN</w:t>
            </w:r>
          </w:p>
        </w:tc>
        <w:tc>
          <w:tcPr>
            <w:tcW w:w="7087" w:type="dxa"/>
          </w:tcPr>
          <w:p w:rsidR="00CB4F14" w:rsidRPr="00EF5AAB" w:rsidRDefault="00CB4F14" w:rsidP="002A4578">
            <w:pPr>
              <w:spacing w:after="60"/>
              <w:jc w:val="left"/>
            </w:pPr>
            <w:r w:rsidRPr="00EF5AAB">
              <w:t>Registered Nurse</w:t>
            </w:r>
          </w:p>
        </w:tc>
      </w:tr>
      <w:tr w:rsidR="00CB4F14" w:rsidRPr="00EF5AAB" w:rsidTr="00527184">
        <w:tc>
          <w:tcPr>
            <w:tcW w:w="2127" w:type="dxa"/>
          </w:tcPr>
          <w:p w:rsidR="00CB4F14" w:rsidRPr="00EF5AAB" w:rsidRDefault="00CB4F14" w:rsidP="002A4578">
            <w:pPr>
              <w:spacing w:after="60"/>
              <w:jc w:val="left"/>
            </w:pPr>
            <w:r>
              <w:t>RO</w:t>
            </w:r>
          </w:p>
        </w:tc>
        <w:tc>
          <w:tcPr>
            <w:tcW w:w="7087" w:type="dxa"/>
          </w:tcPr>
          <w:p w:rsidR="00CB4F14" w:rsidRPr="00EF5AAB" w:rsidRDefault="00CB4F14" w:rsidP="002A4578">
            <w:pPr>
              <w:spacing w:after="60"/>
              <w:jc w:val="left"/>
            </w:pPr>
            <w:r>
              <w:t>Review Officer</w:t>
            </w:r>
          </w:p>
        </w:tc>
      </w:tr>
      <w:tr w:rsidR="00CB4F14" w:rsidRPr="00EF5AAB" w:rsidTr="00527184">
        <w:tc>
          <w:tcPr>
            <w:tcW w:w="2127" w:type="dxa"/>
          </w:tcPr>
          <w:p w:rsidR="00CB4F14" w:rsidRPr="00EF5AAB" w:rsidRDefault="00CB4F14" w:rsidP="002A4578">
            <w:pPr>
              <w:spacing w:after="60"/>
              <w:jc w:val="left"/>
              <w:rPr>
                <w:rFonts w:cstheme="minorHAnsi"/>
              </w:rPr>
            </w:pPr>
            <w:r w:rsidRPr="00EF5AAB">
              <w:rPr>
                <w:rFonts w:cstheme="minorHAnsi"/>
              </w:rPr>
              <w:t>RUDAS</w:t>
            </w:r>
          </w:p>
        </w:tc>
        <w:tc>
          <w:tcPr>
            <w:tcW w:w="7087" w:type="dxa"/>
          </w:tcPr>
          <w:p w:rsidR="00CB4F14" w:rsidRPr="00EF5AAB" w:rsidRDefault="00CB4F14" w:rsidP="002A4578">
            <w:pPr>
              <w:spacing w:after="60"/>
              <w:jc w:val="left"/>
              <w:rPr>
                <w:rFonts w:cstheme="minorHAnsi"/>
              </w:rPr>
            </w:pPr>
            <w:r w:rsidRPr="00EF5AAB">
              <w:rPr>
                <w:rFonts w:cstheme="minorHAnsi"/>
              </w:rPr>
              <w:t xml:space="preserve">Rowland Universal Dementia Assessment Scale </w:t>
            </w:r>
          </w:p>
        </w:tc>
      </w:tr>
      <w:tr w:rsidR="00CB4F14" w:rsidRPr="00EF5AAB" w:rsidTr="00527184">
        <w:tc>
          <w:tcPr>
            <w:tcW w:w="2127" w:type="dxa"/>
          </w:tcPr>
          <w:p w:rsidR="00CB4F14" w:rsidRPr="00EF5AAB" w:rsidRDefault="00F253FA" w:rsidP="002A4578">
            <w:pPr>
              <w:spacing w:after="60"/>
              <w:jc w:val="left"/>
            </w:pPr>
            <w:r>
              <w:t>RUGs</w:t>
            </w:r>
          </w:p>
        </w:tc>
        <w:tc>
          <w:tcPr>
            <w:tcW w:w="7087" w:type="dxa"/>
          </w:tcPr>
          <w:p w:rsidR="00CB4F14" w:rsidRPr="00EF5AAB" w:rsidRDefault="00CB4F14" w:rsidP="002A4578">
            <w:pPr>
              <w:spacing w:after="60"/>
              <w:jc w:val="left"/>
            </w:pPr>
            <w:r w:rsidRPr="00EF5AAB">
              <w:t>Resource Utilization Groups</w:t>
            </w:r>
          </w:p>
        </w:tc>
      </w:tr>
      <w:tr w:rsidR="00CB4F14" w:rsidRPr="00EF5AAB" w:rsidTr="00527184">
        <w:tc>
          <w:tcPr>
            <w:tcW w:w="2127" w:type="dxa"/>
          </w:tcPr>
          <w:p w:rsidR="00CB4F14" w:rsidRPr="00EF5AAB" w:rsidRDefault="00CB4F14" w:rsidP="002A4578">
            <w:pPr>
              <w:spacing w:after="60"/>
              <w:jc w:val="left"/>
            </w:pPr>
            <w:r>
              <w:t>SAA</w:t>
            </w:r>
          </w:p>
        </w:tc>
        <w:tc>
          <w:tcPr>
            <w:tcW w:w="7087" w:type="dxa"/>
          </w:tcPr>
          <w:p w:rsidR="00CB4F14" w:rsidRPr="00EF5AAB" w:rsidRDefault="00CB4F14" w:rsidP="002A4578">
            <w:pPr>
              <w:spacing w:after="60"/>
              <w:jc w:val="left"/>
            </w:pPr>
            <w:r>
              <w:t>Specialised Assessment Agency</w:t>
            </w:r>
          </w:p>
        </w:tc>
      </w:tr>
      <w:tr w:rsidR="00CB4F14" w:rsidRPr="00EF5AAB" w:rsidTr="00527184">
        <w:tc>
          <w:tcPr>
            <w:tcW w:w="2127" w:type="dxa"/>
          </w:tcPr>
          <w:p w:rsidR="00CB4F14" w:rsidRPr="00EF5AAB" w:rsidRDefault="00CB4F14" w:rsidP="002A4578">
            <w:pPr>
              <w:spacing w:after="60"/>
              <w:jc w:val="left"/>
              <w:rPr>
                <w:rFonts w:cstheme="minorHAnsi"/>
              </w:rPr>
            </w:pPr>
            <w:r>
              <w:rPr>
                <w:rFonts w:cstheme="minorHAnsi"/>
              </w:rPr>
              <w:t>SAM</w:t>
            </w:r>
          </w:p>
        </w:tc>
        <w:tc>
          <w:tcPr>
            <w:tcW w:w="7087" w:type="dxa"/>
          </w:tcPr>
          <w:p w:rsidR="00CB4F14" w:rsidRPr="00EF5AAB" w:rsidRDefault="00CB4F14" w:rsidP="002A4578">
            <w:pPr>
              <w:spacing w:after="60"/>
              <w:jc w:val="left"/>
              <w:rPr>
                <w:rFonts w:cstheme="minorHAnsi"/>
              </w:rPr>
            </w:pPr>
            <w:r>
              <w:rPr>
                <w:rFonts w:cstheme="minorHAnsi"/>
              </w:rPr>
              <w:t>Standard Aggregated Module</w:t>
            </w:r>
          </w:p>
        </w:tc>
      </w:tr>
      <w:tr w:rsidR="00CB4F14" w:rsidRPr="00EF5AAB" w:rsidTr="00527184">
        <w:tc>
          <w:tcPr>
            <w:tcW w:w="2127" w:type="dxa"/>
          </w:tcPr>
          <w:p w:rsidR="00CB4F14" w:rsidRPr="00EF5AAB" w:rsidRDefault="00CB4F14" w:rsidP="002A4578">
            <w:pPr>
              <w:spacing w:after="60"/>
              <w:jc w:val="left"/>
              <w:rPr>
                <w:rFonts w:cstheme="minorHAnsi"/>
              </w:rPr>
            </w:pPr>
            <w:r w:rsidRPr="00EF5AAB">
              <w:rPr>
                <w:rFonts w:cstheme="minorHAnsi"/>
              </w:rPr>
              <w:t>SC&amp;S</w:t>
            </w:r>
          </w:p>
        </w:tc>
        <w:tc>
          <w:tcPr>
            <w:tcW w:w="7087" w:type="dxa"/>
          </w:tcPr>
          <w:p w:rsidR="00CB4F14" w:rsidRPr="00EF5AAB" w:rsidRDefault="00CB4F14" w:rsidP="002A4578">
            <w:pPr>
              <w:spacing w:after="60"/>
              <w:jc w:val="left"/>
              <w:rPr>
                <w:rFonts w:cstheme="minorHAnsi"/>
              </w:rPr>
            </w:pPr>
            <w:r w:rsidRPr="00EF5AAB">
              <w:rPr>
                <w:rFonts w:cstheme="minorHAnsi"/>
              </w:rPr>
              <w:t>Specified Care and Services</w:t>
            </w:r>
          </w:p>
        </w:tc>
      </w:tr>
      <w:tr w:rsidR="00CB4F14" w:rsidRPr="00EF5AAB" w:rsidTr="00527184">
        <w:tc>
          <w:tcPr>
            <w:tcW w:w="2127" w:type="dxa"/>
          </w:tcPr>
          <w:p w:rsidR="00CB4F14" w:rsidRPr="00EF5AAB" w:rsidRDefault="00CB4F14" w:rsidP="002A4578">
            <w:pPr>
              <w:spacing w:after="60"/>
              <w:jc w:val="left"/>
            </w:pPr>
            <w:r w:rsidRPr="00EF5AAB">
              <w:t>SMART</w:t>
            </w:r>
          </w:p>
        </w:tc>
        <w:tc>
          <w:tcPr>
            <w:tcW w:w="7087" w:type="dxa"/>
          </w:tcPr>
          <w:p w:rsidR="00CB4F14" w:rsidRPr="00EF5AAB" w:rsidRDefault="00CB4F14" w:rsidP="002A4578">
            <w:pPr>
              <w:spacing w:after="60"/>
              <w:jc w:val="left"/>
            </w:pPr>
            <w:r w:rsidRPr="00EF5AAB">
              <w:t>Specific, Measurable, Action-oriented, Realistic, Time-based</w:t>
            </w:r>
          </w:p>
        </w:tc>
      </w:tr>
      <w:tr w:rsidR="00CB4F14" w:rsidRPr="00EF5AAB" w:rsidTr="00527184">
        <w:tc>
          <w:tcPr>
            <w:tcW w:w="2127" w:type="dxa"/>
          </w:tcPr>
          <w:p w:rsidR="00CB4F14" w:rsidRPr="00EF5AAB" w:rsidRDefault="00CB4F14" w:rsidP="002A4578">
            <w:pPr>
              <w:spacing w:after="60"/>
              <w:jc w:val="left"/>
              <w:rPr>
                <w:rFonts w:cstheme="minorHAnsi"/>
              </w:rPr>
            </w:pPr>
            <w:r w:rsidRPr="00EF5AAB">
              <w:rPr>
                <w:rFonts w:cstheme="minorHAnsi"/>
              </w:rPr>
              <w:t>SMMSE</w:t>
            </w:r>
          </w:p>
        </w:tc>
        <w:tc>
          <w:tcPr>
            <w:tcW w:w="7087" w:type="dxa"/>
          </w:tcPr>
          <w:p w:rsidR="00CB4F14" w:rsidRPr="00EF5AAB" w:rsidRDefault="00CB4F14" w:rsidP="002A4578">
            <w:pPr>
              <w:spacing w:after="60"/>
              <w:jc w:val="left"/>
              <w:rPr>
                <w:rFonts w:cstheme="minorHAnsi"/>
              </w:rPr>
            </w:pPr>
            <w:r w:rsidRPr="00EF5AAB">
              <w:rPr>
                <w:rFonts w:cstheme="minorHAnsi"/>
              </w:rPr>
              <w:t>Standardised Mini Mental State Examination</w:t>
            </w:r>
          </w:p>
        </w:tc>
      </w:tr>
      <w:tr w:rsidR="00CB4F14" w:rsidRPr="00EF5AAB" w:rsidTr="00527184">
        <w:tc>
          <w:tcPr>
            <w:tcW w:w="2127" w:type="dxa"/>
          </w:tcPr>
          <w:p w:rsidR="00CB4F14" w:rsidRPr="00EF5AAB" w:rsidRDefault="00CB4F14" w:rsidP="002A4578">
            <w:pPr>
              <w:spacing w:after="60"/>
              <w:jc w:val="left"/>
            </w:pPr>
            <w:r w:rsidRPr="00EF5AAB">
              <w:t>SP</w:t>
            </w:r>
          </w:p>
        </w:tc>
        <w:tc>
          <w:tcPr>
            <w:tcW w:w="7087" w:type="dxa"/>
          </w:tcPr>
          <w:p w:rsidR="00CB4F14" w:rsidRPr="00EF5AAB" w:rsidRDefault="00CB4F14" w:rsidP="002A4578">
            <w:pPr>
              <w:spacing w:after="60"/>
              <w:jc w:val="left"/>
            </w:pPr>
            <w:r w:rsidRPr="00EF5AAB">
              <w:t>Speech Pathologist</w:t>
            </w:r>
          </w:p>
        </w:tc>
      </w:tr>
      <w:tr w:rsidR="00CB4F14" w:rsidRPr="00EF5AAB" w:rsidTr="00527184">
        <w:tc>
          <w:tcPr>
            <w:tcW w:w="2127" w:type="dxa"/>
          </w:tcPr>
          <w:p w:rsidR="00CB4F14" w:rsidRPr="00EF5AAB" w:rsidRDefault="00CB4F14" w:rsidP="002A4578">
            <w:pPr>
              <w:spacing w:after="60"/>
              <w:jc w:val="left"/>
              <w:rPr>
                <w:rFonts w:cstheme="minorHAnsi"/>
              </w:rPr>
            </w:pPr>
            <w:r w:rsidRPr="00EF5AAB">
              <w:rPr>
                <w:rFonts w:cstheme="minorHAnsi"/>
              </w:rPr>
              <w:t>SPC</w:t>
            </w:r>
          </w:p>
        </w:tc>
        <w:tc>
          <w:tcPr>
            <w:tcW w:w="7087" w:type="dxa"/>
          </w:tcPr>
          <w:p w:rsidR="00CB4F14" w:rsidRPr="00EF5AAB" w:rsidRDefault="00CB4F14" w:rsidP="002A4578">
            <w:pPr>
              <w:spacing w:after="60"/>
              <w:jc w:val="left"/>
              <w:rPr>
                <w:rFonts w:cstheme="minorHAnsi"/>
              </w:rPr>
            </w:pPr>
            <w:r w:rsidRPr="00EF5AAB">
              <w:rPr>
                <w:rFonts w:cstheme="minorHAnsi"/>
              </w:rPr>
              <w:t xml:space="preserve">Supra </w:t>
            </w:r>
            <w:r>
              <w:rPr>
                <w:rFonts w:cstheme="minorHAnsi"/>
              </w:rPr>
              <w:t>P</w:t>
            </w:r>
            <w:r w:rsidRPr="00EF5AAB">
              <w:rPr>
                <w:rFonts w:cstheme="minorHAnsi"/>
              </w:rPr>
              <w:t xml:space="preserve">ubic </w:t>
            </w:r>
            <w:r>
              <w:rPr>
                <w:rFonts w:cstheme="minorHAnsi"/>
              </w:rPr>
              <w:t>C</w:t>
            </w:r>
            <w:r w:rsidRPr="00EF5AAB">
              <w:rPr>
                <w:rFonts w:cstheme="minorHAnsi"/>
              </w:rPr>
              <w:t>atheter</w:t>
            </w:r>
          </w:p>
        </w:tc>
      </w:tr>
      <w:tr w:rsidR="00CB4F14" w:rsidRPr="00EF5AAB" w:rsidTr="00527184">
        <w:tc>
          <w:tcPr>
            <w:tcW w:w="2127" w:type="dxa"/>
          </w:tcPr>
          <w:p w:rsidR="00CB4F14" w:rsidRPr="00EF5AAB" w:rsidRDefault="00CB4F14" w:rsidP="002A4578">
            <w:pPr>
              <w:spacing w:after="60"/>
              <w:jc w:val="left"/>
            </w:pPr>
            <w:r w:rsidRPr="00EF5AAB">
              <w:t>Standard care</w:t>
            </w:r>
          </w:p>
        </w:tc>
        <w:tc>
          <w:tcPr>
            <w:tcW w:w="7087" w:type="dxa"/>
          </w:tcPr>
          <w:p w:rsidR="00CB4F14" w:rsidRPr="00EF5AAB" w:rsidRDefault="00CB4F14" w:rsidP="002A4578">
            <w:pPr>
              <w:spacing w:after="60"/>
              <w:jc w:val="left"/>
            </w:pPr>
            <w:r>
              <w:rPr>
                <w:lang w:eastAsia="en-AU"/>
              </w:rPr>
              <w:t>M</w:t>
            </w:r>
            <w:r w:rsidRPr="00EF5AAB">
              <w:rPr>
                <w:lang w:eastAsia="en-AU"/>
              </w:rPr>
              <w:t>inimum level of assistance such as setting up activities</w:t>
            </w:r>
            <w:r w:rsidR="00F778E0">
              <w:rPr>
                <w:lang w:eastAsia="en-AU"/>
              </w:rPr>
              <w:t>, verbal assistance</w:t>
            </w:r>
            <w:r w:rsidRPr="00EF5AAB">
              <w:rPr>
                <w:lang w:eastAsia="en-AU"/>
              </w:rPr>
              <w:t xml:space="preserve"> and episodic assistance; given to all residents from time to time; does not differentiate between individual resident assessed care needs</w:t>
            </w:r>
          </w:p>
        </w:tc>
      </w:tr>
      <w:tr w:rsidR="00CB4F14" w:rsidRPr="00EF5AAB" w:rsidTr="00527184">
        <w:tc>
          <w:tcPr>
            <w:tcW w:w="2127" w:type="dxa"/>
          </w:tcPr>
          <w:p w:rsidR="00CB4F14" w:rsidRPr="00EF5AAB" w:rsidRDefault="00CB4F14" w:rsidP="002A4578">
            <w:pPr>
              <w:spacing w:after="60"/>
              <w:jc w:val="left"/>
            </w:pPr>
            <w:r w:rsidRPr="00EF5AAB">
              <w:t>The Department</w:t>
            </w:r>
            <w:r w:rsidR="002828F2">
              <w:t xml:space="preserve"> </w:t>
            </w:r>
            <w:r>
              <w:t>/</w:t>
            </w:r>
            <w:r w:rsidR="002828F2">
              <w:t xml:space="preserve"> </w:t>
            </w:r>
            <w:r>
              <w:t>The Dept</w:t>
            </w:r>
          </w:p>
        </w:tc>
        <w:tc>
          <w:tcPr>
            <w:tcW w:w="7087" w:type="dxa"/>
          </w:tcPr>
          <w:p w:rsidR="00CB4F14" w:rsidRPr="00EF5AAB" w:rsidRDefault="00CB4F14" w:rsidP="002A4578">
            <w:pPr>
              <w:spacing w:after="60"/>
              <w:jc w:val="left"/>
            </w:pPr>
            <w:r w:rsidRPr="00EF5AAB">
              <w:t>Australian Commonwealth Government Department of Health</w:t>
            </w:r>
          </w:p>
        </w:tc>
      </w:tr>
      <w:tr w:rsidR="00CB4F14" w:rsidRPr="00EF5AAB" w:rsidTr="00527184">
        <w:tc>
          <w:tcPr>
            <w:tcW w:w="2127" w:type="dxa"/>
          </w:tcPr>
          <w:p w:rsidR="00CB4F14" w:rsidRPr="00F11850" w:rsidRDefault="00CB4F14" w:rsidP="002A4578">
            <w:pPr>
              <w:spacing w:after="60"/>
              <w:jc w:val="left"/>
            </w:pPr>
            <w:r w:rsidRPr="00F11850">
              <w:t>TRG</w:t>
            </w:r>
          </w:p>
        </w:tc>
        <w:tc>
          <w:tcPr>
            <w:tcW w:w="7087" w:type="dxa"/>
          </w:tcPr>
          <w:p w:rsidR="00CB4F14" w:rsidRPr="00F11850" w:rsidRDefault="00CB4F14" w:rsidP="002A4578">
            <w:pPr>
              <w:spacing w:after="60"/>
              <w:jc w:val="left"/>
            </w:pPr>
            <w:r w:rsidRPr="00F11850">
              <w:rPr>
                <w:color w:val="000000"/>
              </w:rPr>
              <w:t xml:space="preserve">ACFI Technical Reference Group </w:t>
            </w:r>
          </w:p>
        </w:tc>
      </w:tr>
      <w:tr w:rsidR="00CB4F14" w:rsidRPr="00EF5AAB" w:rsidTr="00527184">
        <w:tc>
          <w:tcPr>
            <w:tcW w:w="2127" w:type="dxa"/>
          </w:tcPr>
          <w:p w:rsidR="00CB4F14" w:rsidRPr="00EF5AAB" w:rsidRDefault="00CB4F14" w:rsidP="002A4578">
            <w:pPr>
              <w:spacing w:after="60"/>
              <w:jc w:val="left"/>
            </w:pPr>
            <w:r w:rsidRPr="00EF5AAB">
              <w:t>VRS</w:t>
            </w:r>
          </w:p>
        </w:tc>
        <w:tc>
          <w:tcPr>
            <w:tcW w:w="7087" w:type="dxa"/>
          </w:tcPr>
          <w:p w:rsidR="00CB4F14" w:rsidRPr="00EF5AAB" w:rsidRDefault="00CB4F14" w:rsidP="002A4578">
            <w:pPr>
              <w:spacing w:after="60"/>
              <w:jc w:val="left"/>
            </w:pPr>
            <w:r w:rsidRPr="00EF5AAB">
              <w:t>Verbal Rating Scale</w:t>
            </w:r>
          </w:p>
        </w:tc>
      </w:tr>
      <w:tr w:rsidR="00CB4F14" w:rsidRPr="00EF5AAB" w:rsidTr="00527184">
        <w:tc>
          <w:tcPr>
            <w:tcW w:w="2127" w:type="dxa"/>
          </w:tcPr>
          <w:p w:rsidR="00CB4F14" w:rsidRPr="00EF5AAB" w:rsidRDefault="00CB4F14" w:rsidP="002A4578">
            <w:pPr>
              <w:spacing w:after="60"/>
              <w:jc w:val="left"/>
            </w:pPr>
            <w:r w:rsidRPr="00EF5AAB">
              <w:t>WHO</w:t>
            </w:r>
          </w:p>
        </w:tc>
        <w:tc>
          <w:tcPr>
            <w:tcW w:w="7087" w:type="dxa"/>
          </w:tcPr>
          <w:p w:rsidR="00CB4F14" w:rsidRPr="00EF5AAB" w:rsidRDefault="00CB4F14" w:rsidP="002A4578">
            <w:pPr>
              <w:spacing w:after="60"/>
              <w:jc w:val="left"/>
            </w:pPr>
            <w:r>
              <w:t>World Health Organiz</w:t>
            </w:r>
            <w:r w:rsidRPr="00EF5AAB">
              <w:t>ation</w:t>
            </w:r>
          </w:p>
        </w:tc>
      </w:tr>
      <w:tr w:rsidR="00CB4F14" w:rsidRPr="00EF5AAB" w:rsidTr="00527184">
        <w:tc>
          <w:tcPr>
            <w:tcW w:w="2127" w:type="dxa"/>
            <w:shd w:val="clear" w:color="auto" w:fill="auto"/>
          </w:tcPr>
          <w:p w:rsidR="00CB4F14" w:rsidRPr="00F11850" w:rsidRDefault="00CB4F14" w:rsidP="002A4578">
            <w:pPr>
              <w:spacing w:after="60"/>
              <w:jc w:val="left"/>
              <w:rPr>
                <w:rFonts w:cstheme="minorHAnsi"/>
              </w:rPr>
            </w:pPr>
            <w:r w:rsidRPr="00F11850">
              <w:rPr>
                <w:rFonts w:cstheme="minorHAnsi"/>
              </w:rPr>
              <w:t>WLL</w:t>
            </w:r>
          </w:p>
        </w:tc>
        <w:tc>
          <w:tcPr>
            <w:tcW w:w="7087" w:type="dxa"/>
            <w:shd w:val="clear" w:color="auto" w:fill="auto"/>
          </w:tcPr>
          <w:p w:rsidR="00CB4F14" w:rsidRPr="008D16B8" w:rsidRDefault="00CB4F14" w:rsidP="002A4578">
            <w:pPr>
              <w:spacing w:after="60"/>
              <w:jc w:val="left"/>
              <w:rPr>
                <w:rFonts w:cstheme="minorHAnsi"/>
              </w:rPr>
            </w:pPr>
            <w:r w:rsidRPr="00F11850">
              <w:rPr>
                <w:rFonts w:cstheme="minorHAnsi"/>
              </w:rPr>
              <w:t>Working Load Limit</w:t>
            </w:r>
            <w:r w:rsidR="009A3F5A">
              <w:rPr>
                <w:rFonts w:cstheme="minorHAnsi"/>
              </w:rPr>
              <w:t xml:space="preserve"> </w:t>
            </w:r>
          </w:p>
        </w:tc>
      </w:tr>
    </w:tbl>
    <w:p w:rsidR="00557FD2" w:rsidRDefault="00557FD2" w:rsidP="003745B7">
      <w:r>
        <w:br w:type="page"/>
      </w:r>
    </w:p>
    <w:p w:rsidR="002B1E3F" w:rsidRDefault="004269B6" w:rsidP="00EA04A1">
      <w:pPr>
        <w:pStyle w:val="Heading1"/>
      </w:pPr>
      <w:bookmarkStart w:id="14" w:name="_Toc491426009"/>
      <w:bookmarkStart w:id="15" w:name="_Toc487652595"/>
      <w:bookmarkStart w:id="16" w:name="_Toc486599955"/>
      <w:bookmarkStart w:id="17" w:name="_Toc486602998"/>
      <w:bookmarkEnd w:id="13"/>
      <w:r>
        <w:rPr>
          <w:rFonts w:eastAsia="Times New Roman"/>
          <w:lang w:eastAsia="en-AU"/>
        </w:rPr>
        <w:lastRenderedPageBreak/>
        <w:t xml:space="preserve">Main ACFI Review Report </w:t>
      </w:r>
      <w:r>
        <w:t>Summary</w:t>
      </w:r>
      <w:bookmarkEnd w:id="14"/>
      <w:bookmarkEnd w:id="15"/>
    </w:p>
    <w:p w:rsidR="00980F62" w:rsidRDefault="00351320" w:rsidP="00C850A5">
      <w:pPr>
        <w:rPr>
          <w:lang w:eastAsia="en-AU"/>
        </w:rPr>
      </w:pPr>
      <w:bookmarkStart w:id="18" w:name="_Toc487652596"/>
      <w:r>
        <w:rPr>
          <w:lang w:eastAsia="en-AU"/>
        </w:rPr>
        <w:t>Applied Aged Care Solutions (AACS) was engaged by the Department of Health to review the Aged Care Funding Instrument (ACFI) and provide recommendations on potential modifications that could be made to:</w:t>
      </w:r>
    </w:p>
    <w:p w:rsidR="00351320" w:rsidRDefault="00351320" w:rsidP="00F02312">
      <w:pPr>
        <w:pStyle w:val="ListParagraph"/>
        <w:numPr>
          <w:ilvl w:val="0"/>
          <w:numId w:val="116"/>
        </w:numPr>
        <w:ind w:left="357" w:hanging="357"/>
        <w:rPr>
          <w:rFonts w:cstheme="minorHAnsi"/>
        </w:rPr>
      </w:pPr>
      <w:r>
        <w:rPr>
          <w:rFonts w:cstheme="minorHAnsi"/>
        </w:rPr>
        <w:t>Reduce subjectivity in the needs assessment process</w:t>
      </w:r>
      <w:r w:rsidR="009B7B24">
        <w:rPr>
          <w:rFonts w:cstheme="minorHAnsi"/>
        </w:rPr>
        <w:t>.</w:t>
      </w:r>
    </w:p>
    <w:p w:rsidR="00351320" w:rsidRDefault="00351320" w:rsidP="00F02312">
      <w:pPr>
        <w:pStyle w:val="ListParagraph"/>
        <w:numPr>
          <w:ilvl w:val="0"/>
          <w:numId w:val="116"/>
        </w:numPr>
        <w:ind w:left="357" w:hanging="357"/>
        <w:rPr>
          <w:rFonts w:cstheme="minorHAnsi"/>
        </w:rPr>
      </w:pPr>
      <w:r>
        <w:rPr>
          <w:rFonts w:cstheme="minorHAnsi"/>
        </w:rPr>
        <w:t>Deliver a more accurate and reliable assessment that is not open to ‘gaming’</w:t>
      </w:r>
      <w:r w:rsidR="009B7B24">
        <w:rPr>
          <w:rFonts w:cstheme="minorHAnsi"/>
        </w:rPr>
        <w:t>.</w:t>
      </w:r>
    </w:p>
    <w:p w:rsidR="00980F62" w:rsidRDefault="00351320" w:rsidP="00F02312">
      <w:pPr>
        <w:pStyle w:val="ListParagraph"/>
        <w:numPr>
          <w:ilvl w:val="0"/>
          <w:numId w:val="116"/>
        </w:numPr>
        <w:ind w:left="357" w:hanging="357"/>
        <w:rPr>
          <w:rFonts w:cstheme="minorHAnsi"/>
        </w:rPr>
      </w:pPr>
      <w:r>
        <w:rPr>
          <w:rFonts w:cstheme="minorHAnsi"/>
        </w:rPr>
        <w:t>Be consistent with contemporary care practices</w:t>
      </w:r>
      <w:r w:rsidR="009B7B24">
        <w:rPr>
          <w:rFonts w:cstheme="minorHAnsi"/>
        </w:rPr>
        <w:t>.</w:t>
      </w:r>
    </w:p>
    <w:p w:rsidR="00351320" w:rsidRDefault="00351320" w:rsidP="00F02312">
      <w:pPr>
        <w:pStyle w:val="ListParagraph"/>
        <w:numPr>
          <w:ilvl w:val="0"/>
          <w:numId w:val="116"/>
        </w:numPr>
        <w:ind w:left="357" w:hanging="357"/>
        <w:rPr>
          <w:rFonts w:cstheme="minorHAnsi"/>
        </w:rPr>
      </w:pPr>
      <w:r>
        <w:rPr>
          <w:rFonts w:cstheme="minorHAnsi"/>
        </w:rPr>
        <w:t>Support the assurance and validation process for ACFI claims.</w:t>
      </w:r>
    </w:p>
    <w:p w:rsidR="00351320" w:rsidRDefault="00351320" w:rsidP="00C850A5">
      <w:pPr>
        <w:rPr>
          <w:lang w:eastAsia="en-AU"/>
        </w:rPr>
      </w:pPr>
      <w:r>
        <w:rPr>
          <w:lang w:eastAsia="en-AU"/>
        </w:rPr>
        <w:t>The recommended changes will result in:</w:t>
      </w:r>
    </w:p>
    <w:p w:rsidR="00351320" w:rsidRDefault="00351320" w:rsidP="00F02312">
      <w:pPr>
        <w:pStyle w:val="ListParagraph"/>
        <w:numPr>
          <w:ilvl w:val="0"/>
          <w:numId w:val="117"/>
        </w:numPr>
        <w:ind w:left="357" w:hanging="357"/>
        <w:rPr>
          <w:rFonts w:cs="Tahoma"/>
        </w:rPr>
      </w:pPr>
      <w:r>
        <w:rPr>
          <w:rFonts w:cs="Tahoma"/>
        </w:rPr>
        <w:t>Improved objectivity in the assessments used</w:t>
      </w:r>
      <w:r w:rsidR="009B7B24">
        <w:rPr>
          <w:rFonts w:cs="Tahoma"/>
        </w:rPr>
        <w:t>.</w:t>
      </w:r>
    </w:p>
    <w:p w:rsidR="00980F62" w:rsidRDefault="00351320" w:rsidP="00F02312">
      <w:pPr>
        <w:pStyle w:val="ListParagraph"/>
        <w:numPr>
          <w:ilvl w:val="0"/>
          <w:numId w:val="117"/>
        </w:numPr>
        <w:ind w:left="357" w:hanging="357"/>
        <w:rPr>
          <w:rFonts w:cs="Tahoma"/>
        </w:rPr>
      </w:pPr>
      <w:r>
        <w:rPr>
          <w:rFonts w:cs="Tahoma"/>
        </w:rPr>
        <w:t>Standardisation of the information requested</w:t>
      </w:r>
      <w:r w:rsidR="009B7B24">
        <w:rPr>
          <w:rFonts w:cs="Tahoma"/>
        </w:rPr>
        <w:t>.</w:t>
      </w:r>
    </w:p>
    <w:p w:rsidR="00351320" w:rsidRDefault="00351320" w:rsidP="00F02312">
      <w:pPr>
        <w:pStyle w:val="ListParagraph"/>
        <w:numPr>
          <w:ilvl w:val="0"/>
          <w:numId w:val="117"/>
        </w:numPr>
        <w:ind w:left="357" w:hanging="357"/>
        <w:rPr>
          <w:rFonts w:cs="Tahoma"/>
        </w:rPr>
      </w:pPr>
      <w:r>
        <w:rPr>
          <w:rFonts w:cs="Tahoma"/>
        </w:rPr>
        <w:t>Further provision of evidence to support resident needs assistance level claimed</w:t>
      </w:r>
      <w:r w:rsidR="009B7B24">
        <w:rPr>
          <w:rFonts w:cs="Tahoma"/>
        </w:rPr>
        <w:t>.</w:t>
      </w:r>
    </w:p>
    <w:p w:rsidR="00351320" w:rsidRDefault="00351320" w:rsidP="00F02312">
      <w:pPr>
        <w:pStyle w:val="ListParagraph"/>
        <w:numPr>
          <w:ilvl w:val="0"/>
          <w:numId w:val="117"/>
        </w:numPr>
        <w:ind w:left="357" w:hanging="357"/>
        <w:rPr>
          <w:rFonts w:cs="Tahoma"/>
        </w:rPr>
      </w:pPr>
      <w:r>
        <w:rPr>
          <w:rFonts w:cs="Tahoma"/>
        </w:rPr>
        <w:t>A standardised method for checking the accuracy of claims</w:t>
      </w:r>
      <w:r w:rsidR="009B7B24">
        <w:rPr>
          <w:rFonts w:cs="Tahoma"/>
        </w:rPr>
        <w:t>.</w:t>
      </w:r>
    </w:p>
    <w:p w:rsidR="00351320" w:rsidRDefault="00351320" w:rsidP="00F02312">
      <w:pPr>
        <w:pStyle w:val="ListParagraph"/>
        <w:numPr>
          <w:ilvl w:val="0"/>
          <w:numId w:val="117"/>
        </w:numPr>
        <w:ind w:left="357" w:hanging="357"/>
        <w:rPr>
          <w:rFonts w:cs="Tahoma"/>
        </w:rPr>
      </w:pPr>
      <w:r>
        <w:rPr>
          <w:rFonts w:cs="Tahoma"/>
        </w:rPr>
        <w:t>Improved claim review efficiencies.</w:t>
      </w:r>
    </w:p>
    <w:p w:rsidR="00351320" w:rsidRDefault="00351320" w:rsidP="002820EC">
      <w:pPr>
        <w:pStyle w:val="Heading2"/>
        <w:rPr>
          <w:lang w:eastAsia="en-AU"/>
        </w:rPr>
      </w:pPr>
      <w:bookmarkStart w:id="19" w:name="_Toc491426010"/>
      <w:r>
        <w:rPr>
          <w:lang w:eastAsia="en-AU"/>
        </w:rPr>
        <w:t>Introduction</w:t>
      </w:r>
      <w:bookmarkEnd w:id="19"/>
    </w:p>
    <w:p w:rsidR="00351320" w:rsidRDefault="00351320" w:rsidP="00C850A5">
      <w:pPr>
        <w:rPr>
          <w:lang w:eastAsia="en-AU"/>
        </w:rPr>
      </w:pPr>
      <w:r>
        <w:rPr>
          <w:lang w:eastAsia="en-AU"/>
        </w:rPr>
        <w:t>ACFI was introduced in March 2008, to classify aged care facility residents by care needs, and thus determine the subsidies paid by the Commonwealth to residential aged care providers.</w:t>
      </w:r>
    </w:p>
    <w:p w:rsidR="00351320" w:rsidRDefault="00351320" w:rsidP="00C850A5">
      <w:pPr>
        <w:rPr>
          <w:lang w:eastAsia="en-AU"/>
        </w:rPr>
      </w:pPr>
      <w:r>
        <w:rPr>
          <w:lang w:eastAsia="en-AU"/>
        </w:rPr>
        <w:t>The subsidy payments determined by the ACFI have grown much more quickly than expected and cannot be adequately explained by increases in resident numbers or frailty.</w:t>
      </w:r>
      <w:r w:rsidR="007A576E">
        <w:rPr>
          <w:lang w:eastAsia="en-AU"/>
        </w:rPr>
        <w:t xml:space="preserve"> </w:t>
      </w:r>
      <w:r>
        <w:rPr>
          <w:lang w:eastAsia="en-AU"/>
        </w:rPr>
        <w:t>There has been minimal change to resident length of stay, proportion of people who are residents for a short, resource intense period prior to death or increases in age at entry in the past 10 years.</w:t>
      </w:r>
    </w:p>
    <w:p w:rsidR="00980F62" w:rsidRDefault="00351320" w:rsidP="00C850A5">
      <w:pPr>
        <w:rPr>
          <w:lang w:eastAsia="en-AU"/>
        </w:rPr>
      </w:pPr>
      <w:r>
        <w:rPr>
          <w:lang w:eastAsia="en-AU"/>
        </w:rPr>
        <w:t>While there has likely been some increase in the care need profiles of residents (they are slightly older on entry compared to 8 years ago) the ongoing increases in the subsidy payments have largely resulted from (i) the interpretation of what constitutes ‘</w:t>
      </w:r>
      <w:r w:rsidR="009B7B24">
        <w:rPr>
          <w:lang w:eastAsia="en-AU"/>
        </w:rPr>
        <w:t>physical</w:t>
      </w:r>
      <w:r>
        <w:rPr>
          <w:lang w:eastAsia="en-AU"/>
        </w:rPr>
        <w:t xml:space="preserve"> assistance’ in the ADL domain and (ii) the significant increases in the proportion of complex pain management claims resulting from uncertainty as to what constitutes ‘complex pain’.</w:t>
      </w:r>
    </w:p>
    <w:p w:rsidR="00351320" w:rsidRDefault="00351320" w:rsidP="002820EC">
      <w:pPr>
        <w:pStyle w:val="Heading2"/>
        <w:rPr>
          <w:lang w:eastAsia="en-AU"/>
        </w:rPr>
      </w:pPr>
      <w:bookmarkStart w:id="20" w:name="_Toc491426011"/>
      <w:r>
        <w:rPr>
          <w:lang w:eastAsia="en-AU"/>
        </w:rPr>
        <w:t>R-ACFI Overview</w:t>
      </w:r>
      <w:bookmarkEnd w:id="20"/>
    </w:p>
    <w:p w:rsidR="00351320" w:rsidRDefault="00351320" w:rsidP="00CA7E84">
      <w:pPr>
        <w:rPr>
          <w:lang w:eastAsia="en-AU"/>
        </w:rPr>
      </w:pPr>
      <w:r>
        <w:rPr>
          <w:lang w:eastAsia="en-AU"/>
        </w:rPr>
        <w:t>A review process has been undertaken which has resulted in a proposal to implement a revised eight question Revised-ACFI (R-ACFI). R-ACFI contains modified questions including a new ADL rating scale that clarifies physical assistance; simplified nutrition section; behaviour items that now include disruptiveness measurement and depression items simplified and moved to the complex health section. Medication management has been incorporated into a list so is no longer a stand-alone item. Redundant items have been removed making the</w:t>
      </w:r>
      <w:r w:rsidR="00CA7E84">
        <w:rPr>
          <w:lang w:eastAsia="en-AU"/>
        </w:rPr>
        <w:br/>
      </w:r>
      <w:r>
        <w:rPr>
          <w:lang w:eastAsia="en-AU"/>
        </w:rPr>
        <w:t xml:space="preserve">R-ACFI clearer, more contemporary and easier to use. Pain management items have been moved into a newly designed Therapy Program that provides a method through which, </w:t>
      </w:r>
      <w:r>
        <w:rPr>
          <w:lang w:eastAsia="en-AU"/>
        </w:rPr>
        <w:lastRenderedPageBreak/>
        <w:t>residential aged care facilities can support resident reablement, maintenance or improvement of functional capacity and greater personal choice about methods to approach pain management.</w:t>
      </w:r>
    </w:p>
    <w:p w:rsidR="00351320" w:rsidRDefault="00351320" w:rsidP="002820EC">
      <w:pPr>
        <w:pStyle w:val="Heading2"/>
        <w:rPr>
          <w:lang w:eastAsia="en-AU"/>
        </w:rPr>
      </w:pPr>
      <w:bookmarkStart w:id="21" w:name="_Toc491426012"/>
      <w:r>
        <w:rPr>
          <w:lang w:eastAsia="en-AU"/>
        </w:rPr>
        <w:t>In developing R-ACFI, AACS has listened carefully to stakeholders</w:t>
      </w:r>
      <w:bookmarkEnd w:id="21"/>
    </w:p>
    <w:p w:rsidR="00351320" w:rsidRDefault="00351320" w:rsidP="00C850A5">
      <w:pPr>
        <w:rPr>
          <w:lang w:eastAsia="en-AU"/>
        </w:rPr>
      </w:pPr>
      <w:r>
        <w:rPr>
          <w:lang w:eastAsia="en-AU"/>
        </w:rPr>
        <w:t>For residents requiring support with very significant all-day mobility impairments, a new very high care ADL category is proposed with a higher funding level than is currently the case with ADL High.</w:t>
      </w:r>
    </w:p>
    <w:p w:rsidR="00980F62" w:rsidRDefault="00351320" w:rsidP="00C850A5">
      <w:pPr>
        <w:rPr>
          <w:lang w:eastAsia="en-AU"/>
        </w:rPr>
      </w:pPr>
      <w:r>
        <w:rPr>
          <w:lang w:eastAsia="en-AU"/>
        </w:rPr>
        <w:t>The ADL domain has four levels, with the base level paid to all residents.</w:t>
      </w:r>
      <w:r w:rsidR="007A576E">
        <w:rPr>
          <w:lang w:eastAsia="en-AU"/>
        </w:rPr>
        <w:t xml:space="preserve"> </w:t>
      </w:r>
      <w:r>
        <w:rPr>
          <w:lang w:eastAsia="en-AU"/>
        </w:rPr>
        <w:t>This addresses the ‘base care’ funding issue but keeps the amount low to encourage efficient care practices.</w:t>
      </w:r>
      <w:bookmarkStart w:id="22" w:name="_GoBack"/>
    </w:p>
    <w:bookmarkEnd w:id="22"/>
    <w:p w:rsidR="00980F62" w:rsidRDefault="00351320" w:rsidP="00C850A5">
      <w:pPr>
        <w:rPr>
          <w:lang w:eastAsia="en-AU"/>
        </w:rPr>
      </w:pPr>
      <w:r>
        <w:rPr>
          <w:lang w:eastAsia="en-AU"/>
        </w:rPr>
        <w:t>The R-ACFI is now clearly an assessment and funding tool.</w:t>
      </w:r>
    </w:p>
    <w:p w:rsidR="00351320" w:rsidRDefault="00351320" w:rsidP="00C850A5">
      <w:pPr>
        <w:rPr>
          <w:lang w:eastAsia="en-AU"/>
        </w:rPr>
      </w:pPr>
      <w:r>
        <w:rPr>
          <w:lang w:eastAsia="en-AU"/>
        </w:rPr>
        <w:t xml:space="preserve">R-ACFI is intended to reduce subjectivity in needs assessment, and provide best practice assessments linked to claims which will be less open to 'gaming' while allowing for more transparency for the audit program. It is designed to be consistent with contemporary assessment and care practices, and compatible with </w:t>
      </w:r>
      <w:r w:rsidR="003F7C93">
        <w:rPr>
          <w:lang w:eastAsia="en-AU"/>
        </w:rPr>
        <w:t>e</w:t>
      </w:r>
      <w:r>
        <w:rPr>
          <w:lang w:eastAsia="en-AU"/>
        </w:rPr>
        <w:t xml:space="preserve">xternal </w:t>
      </w:r>
      <w:r w:rsidR="003F7C93">
        <w:rPr>
          <w:lang w:eastAsia="en-AU"/>
        </w:rPr>
        <w:t>a</w:t>
      </w:r>
      <w:r>
        <w:rPr>
          <w:lang w:eastAsia="en-AU"/>
        </w:rPr>
        <w:t>ssessment.</w:t>
      </w:r>
    </w:p>
    <w:p w:rsidR="00351320" w:rsidRDefault="00351320" w:rsidP="00C850A5">
      <w:pPr>
        <w:rPr>
          <w:lang w:eastAsia="en-AU"/>
        </w:rPr>
      </w:pPr>
      <w:r>
        <w:rPr>
          <w:lang w:eastAsia="en-AU"/>
        </w:rPr>
        <w:t>A new feature of the R-ACFI is the proposal for an innovative broadly-based flexible physical therapy program, which will better target care needs for all residents while incorporating fixed funding that was previously attributed only to a narrowly focused pain management items.</w:t>
      </w:r>
    </w:p>
    <w:p w:rsidR="00351320" w:rsidRPr="00137C8D" w:rsidRDefault="00351320" w:rsidP="00C850A5">
      <w:pPr>
        <w:rPr>
          <w:color w:val="000000" w:themeColor="text1"/>
        </w:rPr>
      </w:pPr>
      <w:bookmarkStart w:id="23" w:name="_Toc489386583"/>
      <w:r w:rsidRPr="00137C8D">
        <w:rPr>
          <w:color w:val="000000" w:themeColor="text1"/>
        </w:rPr>
        <w:t>The project recommends the implementation of a new R-ACFI covering, to at least some degree, almost all areas related to the operation of the ACFI. The entire ACFI system has been reviewed as part of this project and changes have been recommended for:</w:t>
      </w:r>
    </w:p>
    <w:p w:rsidR="00351320" w:rsidRPr="00137C8D" w:rsidRDefault="00351320" w:rsidP="00F02312">
      <w:pPr>
        <w:pStyle w:val="ListParagraph"/>
        <w:numPr>
          <w:ilvl w:val="0"/>
          <w:numId w:val="83"/>
        </w:numPr>
        <w:ind w:left="357" w:hanging="357"/>
        <w:rPr>
          <w:color w:val="000000" w:themeColor="text1"/>
          <w:lang w:eastAsia="en-AU"/>
        </w:rPr>
      </w:pPr>
      <w:r w:rsidRPr="00137C8D">
        <w:rPr>
          <w:color w:val="000000" w:themeColor="text1"/>
          <w:lang w:eastAsia="en-AU"/>
        </w:rPr>
        <w:t>ACFI Questions</w:t>
      </w:r>
    </w:p>
    <w:p w:rsidR="00351320" w:rsidRPr="00137C8D" w:rsidRDefault="00351320" w:rsidP="00F02312">
      <w:pPr>
        <w:pStyle w:val="ListParagraph"/>
        <w:numPr>
          <w:ilvl w:val="0"/>
          <w:numId w:val="83"/>
        </w:numPr>
        <w:ind w:left="357" w:hanging="357"/>
        <w:rPr>
          <w:color w:val="000000" w:themeColor="text1"/>
          <w:lang w:eastAsia="en-AU"/>
        </w:rPr>
      </w:pPr>
      <w:r w:rsidRPr="00137C8D">
        <w:rPr>
          <w:color w:val="000000" w:themeColor="text1"/>
          <w:lang w:eastAsia="en-AU"/>
        </w:rPr>
        <w:t>ACFI Checklist items</w:t>
      </w:r>
    </w:p>
    <w:p w:rsidR="00351320" w:rsidRPr="00137C8D" w:rsidRDefault="00351320" w:rsidP="00F02312">
      <w:pPr>
        <w:pStyle w:val="ListParagraph"/>
        <w:numPr>
          <w:ilvl w:val="0"/>
          <w:numId w:val="83"/>
        </w:numPr>
        <w:ind w:left="357" w:hanging="357"/>
        <w:rPr>
          <w:color w:val="000000" w:themeColor="text1"/>
          <w:lang w:eastAsia="en-AU"/>
        </w:rPr>
      </w:pPr>
      <w:r w:rsidRPr="00137C8D">
        <w:rPr>
          <w:color w:val="000000" w:themeColor="text1"/>
          <w:lang w:eastAsia="en-AU"/>
        </w:rPr>
        <w:t>ACFI Care Domains</w:t>
      </w:r>
    </w:p>
    <w:p w:rsidR="00351320" w:rsidRPr="00137C8D" w:rsidRDefault="00351320" w:rsidP="00F02312">
      <w:pPr>
        <w:pStyle w:val="ListParagraph"/>
        <w:numPr>
          <w:ilvl w:val="0"/>
          <w:numId w:val="83"/>
        </w:numPr>
        <w:ind w:left="357" w:hanging="357"/>
        <w:rPr>
          <w:color w:val="000000" w:themeColor="text1"/>
          <w:lang w:eastAsia="en-AU"/>
        </w:rPr>
      </w:pPr>
      <w:r w:rsidRPr="00137C8D">
        <w:rPr>
          <w:color w:val="000000" w:themeColor="text1"/>
          <w:lang w:eastAsia="en-AU"/>
        </w:rPr>
        <w:t>ACFI Assessment Tools</w:t>
      </w:r>
    </w:p>
    <w:p w:rsidR="00351320" w:rsidRPr="00137C8D" w:rsidRDefault="00351320" w:rsidP="00F02312">
      <w:pPr>
        <w:pStyle w:val="ListParagraph"/>
        <w:numPr>
          <w:ilvl w:val="0"/>
          <w:numId w:val="83"/>
        </w:numPr>
        <w:ind w:left="357" w:hanging="357"/>
        <w:rPr>
          <w:color w:val="000000" w:themeColor="text1"/>
          <w:lang w:eastAsia="en-AU"/>
        </w:rPr>
      </w:pPr>
      <w:r w:rsidRPr="00137C8D">
        <w:rPr>
          <w:color w:val="000000" w:themeColor="text1"/>
          <w:lang w:eastAsia="en-AU"/>
        </w:rPr>
        <w:t>ACFI Funding Model</w:t>
      </w:r>
    </w:p>
    <w:p w:rsidR="00351320" w:rsidRPr="00137C8D" w:rsidRDefault="00351320" w:rsidP="00F02312">
      <w:pPr>
        <w:pStyle w:val="ListParagraph"/>
        <w:numPr>
          <w:ilvl w:val="0"/>
          <w:numId w:val="83"/>
        </w:numPr>
        <w:ind w:left="357" w:hanging="357"/>
        <w:rPr>
          <w:color w:val="000000" w:themeColor="text1"/>
          <w:lang w:eastAsia="en-AU"/>
        </w:rPr>
      </w:pPr>
      <w:r w:rsidRPr="00137C8D">
        <w:rPr>
          <w:color w:val="000000" w:themeColor="text1"/>
          <w:lang w:eastAsia="en-AU"/>
        </w:rPr>
        <w:t>Business Rules</w:t>
      </w:r>
    </w:p>
    <w:p w:rsidR="00351320" w:rsidRDefault="00351320" w:rsidP="00F02312">
      <w:pPr>
        <w:pStyle w:val="ListParagraph"/>
        <w:numPr>
          <w:ilvl w:val="0"/>
          <w:numId w:val="83"/>
        </w:numPr>
        <w:ind w:left="357" w:hanging="357"/>
        <w:rPr>
          <w:color w:val="000000" w:themeColor="text1"/>
          <w:lang w:eastAsia="en-AU"/>
        </w:rPr>
      </w:pPr>
      <w:r w:rsidRPr="00137C8D">
        <w:rPr>
          <w:color w:val="000000" w:themeColor="text1"/>
          <w:lang w:eastAsia="en-AU"/>
        </w:rPr>
        <w:t>The Audit System and External Assessment.</w:t>
      </w:r>
    </w:p>
    <w:p w:rsidR="00351320" w:rsidRPr="00137C8D" w:rsidRDefault="00351320" w:rsidP="00BE2954">
      <w:pPr>
        <w:pStyle w:val="Heading2"/>
      </w:pPr>
      <w:bookmarkStart w:id="24" w:name="_Toc491426013"/>
      <w:r w:rsidRPr="00137C8D">
        <w:t>R-ACFI R-ADL domain</w:t>
      </w:r>
      <w:bookmarkEnd w:id="23"/>
      <w:bookmarkEnd w:id="24"/>
    </w:p>
    <w:p w:rsidR="00980F62" w:rsidRDefault="00351320" w:rsidP="00351320">
      <w:pPr>
        <w:rPr>
          <w:color w:val="000000" w:themeColor="text1"/>
          <w:lang w:eastAsia="en-AU"/>
        </w:rPr>
      </w:pPr>
      <w:r>
        <w:rPr>
          <w:color w:val="000000" w:themeColor="text1"/>
          <w:lang w:eastAsia="en-AU"/>
        </w:rPr>
        <w:t>A definition of the concept of standard care will be included in the R-ADL questions. Changes have been made to clarify examples of levels of assistance in the R-ADL domain and standardise the rating scale approach across the questions.</w:t>
      </w:r>
    </w:p>
    <w:p w:rsidR="00351320" w:rsidRDefault="00351320" w:rsidP="00351320">
      <w:pPr>
        <w:rPr>
          <w:color w:val="000000" w:themeColor="text1"/>
        </w:rPr>
      </w:pPr>
      <w:r>
        <w:rPr>
          <w:color w:val="000000" w:themeColor="text1"/>
        </w:rPr>
        <w:t>Revised Nutrition questions have been developed to:</w:t>
      </w:r>
    </w:p>
    <w:p w:rsidR="00351320" w:rsidRDefault="00351320" w:rsidP="00F02312">
      <w:pPr>
        <w:pStyle w:val="ListParagraph"/>
        <w:numPr>
          <w:ilvl w:val="0"/>
          <w:numId w:val="118"/>
        </w:numPr>
        <w:ind w:left="357" w:hanging="357"/>
        <w:rPr>
          <w:rFonts w:cs="Tahoma"/>
          <w:color w:val="000000" w:themeColor="text1"/>
        </w:rPr>
      </w:pPr>
      <w:r>
        <w:rPr>
          <w:rFonts w:cs="Tahoma"/>
          <w:color w:val="000000" w:themeColor="text1"/>
        </w:rPr>
        <w:t>Focus on assistance needed due to evidence-based assessed nutritional risk</w:t>
      </w:r>
      <w:r w:rsidR="003F7C93">
        <w:rPr>
          <w:rFonts w:cs="Tahoma"/>
          <w:color w:val="000000" w:themeColor="text1"/>
        </w:rPr>
        <w:t>.</w:t>
      </w:r>
    </w:p>
    <w:p w:rsidR="00351320" w:rsidRDefault="00351320" w:rsidP="00F02312">
      <w:pPr>
        <w:pStyle w:val="ListParagraph"/>
        <w:numPr>
          <w:ilvl w:val="0"/>
          <w:numId w:val="118"/>
        </w:numPr>
        <w:ind w:left="357" w:hanging="357"/>
        <w:rPr>
          <w:rFonts w:cs="Tahoma"/>
          <w:color w:val="000000" w:themeColor="text1"/>
        </w:rPr>
      </w:pPr>
      <w:r>
        <w:rPr>
          <w:rFonts w:cs="Tahoma"/>
          <w:color w:val="000000" w:themeColor="text1"/>
        </w:rPr>
        <w:lastRenderedPageBreak/>
        <w:t>Identify residents needing either verbal or physical assistance due to a swallowing issue (i.e. dysphagia)</w:t>
      </w:r>
      <w:r w:rsidR="003F7C93">
        <w:rPr>
          <w:rFonts w:cs="Tahoma"/>
          <w:color w:val="000000" w:themeColor="text1"/>
        </w:rPr>
        <w:t>.</w:t>
      </w:r>
    </w:p>
    <w:p w:rsidR="00351320" w:rsidRDefault="00351320" w:rsidP="00F02312">
      <w:pPr>
        <w:pStyle w:val="ListParagraph"/>
        <w:numPr>
          <w:ilvl w:val="0"/>
          <w:numId w:val="118"/>
        </w:numPr>
        <w:ind w:left="357" w:hanging="357"/>
        <w:rPr>
          <w:rFonts w:cs="Tahoma"/>
          <w:color w:val="000000" w:themeColor="text1"/>
        </w:rPr>
      </w:pPr>
      <w:r>
        <w:rPr>
          <w:rFonts w:cs="Tahoma"/>
          <w:color w:val="000000" w:themeColor="text1"/>
        </w:rPr>
        <w:t>Mandate the MNA assessment tool in R-ACFI as it provides the basis for a nutritional approach based on a BMI and a nutrition risk assessment.</w:t>
      </w:r>
    </w:p>
    <w:p w:rsidR="00351320" w:rsidRDefault="00351320" w:rsidP="0017194E">
      <w:pPr>
        <w:rPr>
          <w:lang w:eastAsia="en-AU"/>
        </w:rPr>
      </w:pPr>
      <w:r>
        <w:rPr>
          <w:lang w:eastAsia="en-AU"/>
        </w:rPr>
        <w:t xml:space="preserve">The grooming item has been removed and a </w:t>
      </w:r>
      <w:r>
        <w:t>medical diagnosis of incontinence or completion of the recommended assessment is needed for a continence claim.</w:t>
      </w:r>
    </w:p>
    <w:p w:rsidR="00351320" w:rsidRDefault="00351320" w:rsidP="0017194E">
      <w:pPr>
        <w:rPr>
          <w:lang w:val="en-US"/>
        </w:rPr>
      </w:pPr>
      <w:r>
        <w:t>The R-ACFI will have four ADL domain levels with the highest level receiving increased funding compared to the current ACFI. In addition, all approved residents in aged care facilities should (at a minimum) receive the base payment of the R-ADL lowest funding level.</w:t>
      </w:r>
    </w:p>
    <w:p w:rsidR="00980F62" w:rsidRDefault="00351320" w:rsidP="0017194E">
      <w:pPr>
        <w:rPr>
          <w:lang w:eastAsia="en-AU"/>
        </w:rPr>
      </w:pPr>
      <w:bookmarkStart w:id="25" w:name="_Toc489386584"/>
      <w:r w:rsidRPr="00975B57">
        <w:rPr>
          <w:lang w:eastAsia="en-AU"/>
        </w:rPr>
        <w:t>A summary of the changes to the ADL domain include:</w:t>
      </w:r>
    </w:p>
    <w:p w:rsidR="00351320" w:rsidRDefault="00351320" w:rsidP="00F02312">
      <w:pPr>
        <w:pStyle w:val="ListParagraph"/>
        <w:numPr>
          <w:ilvl w:val="0"/>
          <w:numId w:val="150"/>
        </w:numPr>
        <w:ind w:left="357" w:hanging="357"/>
        <w:rPr>
          <w:lang w:eastAsia="en-AU"/>
        </w:rPr>
      </w:pPr>
      <w:r w:rsidRPr="00975B57">
        <w:rPr>
          <w:lang w:eastAsia="en-AU"/>
        </w:rPr>
        <w:t xml:space="preserve">The ADL becomes a four-level domain with levels </w:t>
      </w:r>
      <w:r>
        <w:rPr>
          <w:lang w:eastAsia="en-AU"/>
        </w:rPr>
        <w:t>Low, Medium, High and Very High</w:t>
      </w:r>
      <w:r w:rsidR="003F7C93">
        <w:rPr>
          <w:lang w:eastAsia="en-AU"/>
        </w:rPr>
        <w:t>.</w:t>
      </w:r>
    </w:p>
    <w:p w:rsidR="00351320" w:rsidRDefault="00351320" w:rsidP="00F02312">
      <w:pPr>
        <w:pStyle w:val="ListParagraph"/>
        <w:numPr>
          <w:ilvl w:val="0"/>
          <w:numId w:val="150"/>
        </w:numPr>
        <w:ind w:left="357" w:hanging="357"/>
        <w:rPr>
          <w:lang w:eastAsia="en-AU"/>
        </w:rPr>
      </w:pPr>
      <w:r w:rsidRPr="00975B57">
        <w:rPr>
          <w:lang w:eastAsia="en-AU"/>
        </w:rPr>
        <w:t>At a minimum, all residents will be</w:t>
      </w:r>
      <w:r>
        <w:rPr>
          <w:lang w:eastAsia="en-AU"/>
        </w:rPr>
        <w:t xml:space="preserve"> funded at the Low domain level</w:t>
      </w:r>
      <w:r w:rsidR="003F7C93">
        <w:rPr>
          <w:lang w:eastAsia="en-AU"/>
        </w:rPr>
        <w:t>.</w:t>
      </w:r>
    </w:p>
    <w:p w:rsidR="00351320" w:rsidRDefault="00351320" w:rsidP="00F02312">
      <w:pPr>
        <w:pStyle w:val="ListParagraph"/>
        <w:numPr>
          <w:ilvl w:val="0"/>
          <w:numId w:val="150"/>
        </w:numPr>
        <w:ind w:left="357" w:hanging="357"/>
        <w:rPr>
          <w:lang w:eastAsia="en-AU"/>
        </w:rPr>
      </w:pPr>
      <w:r w:rsidRPr="00975B57">
        <w:rPr>
          <w:lang w:eastAsia="en-AU"/>
        </w:rPr>
        <w:t xml:space="preserve">The ACFI Question ratings of A, B, C, D are dropped as the revised weightings are based on ACFI </w:t>
      </w:r>
      <w:r>
        <w:rPr>
          <w:lang w:eastAsia="en-AU"/>
        </w:rPr>
        <w:t>checklist items only</w:t>
      </w:r>
      <w:r w:rsidR="003F7C93">
        <w:rPr>
          <w:lang w:eastAsia="en-AU"/>
        </w:rPr>
        <w:t>.</w:t>
      </w:r>
    </w:p>
    <w:p w:rsidR="00351320" w:rsidRPr="00CA7E84" w:rsidRDefault="00351320" w:rsidP="00F02312">
      <w:pPr>
        <w:pStyle w:val="ListParagraph"/>
        <w:numPr>
          <w:ilvl w:val="0"/>
          <w:numId w:val="150"/>
        </w:numPr>
        <w:ind w:left="357" w:hanging="357"/>
        <w:rPr>
          <w:rFonts w:cstheme="minorHAnsi"/>
          <w:szCs w:val="24"/>
          <w:lang w:eastAsia="en-AU"/>
        </w:rPr>
      </w:pPr>
      <w:r w:rsidRPr="00975B57">
        <w:rPr>
          <w:lang w:eastAsia="en-AU"/>
        </w:rPr>
        <w:t>New rating scale descriptors of Standard Care, Moderate Assistance</w:t>
      </w:r>
      <w:r w:rsidRPr="00975B57">
        <w:t xml:space="preserve">, and </w:t>
      </w:r>
      <w:r w:rsidRPr="00975B57">
        <w:rPr>
          <w:lang w:eastAsia="en-AU"/>
        </w:rPr>
        <w:t>Full Assistance</w:t>
      </w:r>
      <w:r w:rsidR="00AD60B1">
        <w:rPr>
          <w:lang w:eastAsia="en-AU"/>
        </w:rPr>
        <w:t xml:space="preserve"> (</w:t>
      </w:r>
      <w:r>
        <w:rPr>
          <w:lang w:eastAsia="en-AU"/>
        </w:rPr>
        <w:t>2 person</w:t>
      </w:r>
      <w:r w:rsidR="00AD60B1">
        <w:rPr>
          <w:lang w:eastAsia="en-AU"/>
        </w:rPr>
        <w:t xml:space="preserve">s) </w:t>
      </w:r>
      <w:r w:rsidRPr="00CA7E84">
        <w:rPr>
          <w:szCs w:val="24"/>
          <w:lang w:eastAsia="en-AU"/>
        </w:rPr>
        <w:t xml:space="preserve">with </w:t>
      </w:r>
      <w:r w:rsidRPr="00CA7E84">
        <w:rPr>
          <w:rFonts w:cstheme="minorHAnsi"/>
          <w:szCs w:val="24"/>
          <w:lang w:eastAsia="en-AU"/>
        </w:rPr>
        <w:t>M</w:t>
      </w:r>
      <w:r w:rsidR="00AD60B1" w:rsidRPr="00CA7E84">
        <w:rPr>
          <w:rFonts w:cstheme="minorHAnsi"/>
          <w:szCs w:val="24"/>
          <w:lang w:eastAsia="en-AU"/>
        </w:rPr>
        <w:t>echanical Lifting for Transfers,</w:t>
      </w:r>
      <w:r w:rsidRPr="00CA7E84">
        <w:rPr>
          <w:rFonts w:cstheme="minorHAnsi"/>
          <w:szCs w:val="24"/>
          <w:lang w:eastAsia="en-AU"/>
        </w:rPr>
        <w:t xml:space="preserve"> now included in the weightings</w:t>
      </w:r>
      <w:r w:rsidR="003F7C93" w:rsidRPr="00CA7E84">
        <w:rPr>
          <w:rFonts w:cstheme="minorHAnsi"/>
          <w:szCs w:val="24"/>
          <w:lang w:eastAsia="en-AU"/>
        </w:rPr>
        <w:t>.</w:t>
      </w:r>
    </w:p>
    <w:p w:rsidR="00351320" w:rsidRDefault="00351320" w:rsidP="00F02312">
      <w:pPr>
        <w:pStyle w:val="ListParagraph"/>
        <w:numPr>
          <w:ilvl w:val="0"/>
          <w:numId w:val="150"/>
        </w:numPr>
        <w:ind w:left="357" w:hanging="357"/>
        <w:rPr>
          <w:lang w:eastAsia="en-AU"/>
        </w:rPr>
      </w:pPr>
      <w:r w:rsidRPr="00975B57">
        <w:rPr>
          <w:lang w:eastAsia="en-AU"/>
        </w:rPr>
        <w:t>Removal of the Grooming checklist item as it</w:t>
      </w:r>
      <w:r>
        <w:rPr>
          <w:lang w:eastAsia="en-AU"/>
        </w:rPr>
        <w:t xml:space="preserve"> is redundant</w:t>
      </w:r>
      <w:r w:rsidR="003F7C93">
        <w:rPr>
          <w:lang w:eastAsia="en-AU"/>
        </w:rPr>
        <w:t>.</w:t>
      </w:r>
    </w:p>
    <w:p w:rsidR="00980F62" w:rsidRDefault="00351320" w:rsidP="00F02312">
      <w:pPr>
        <w:pStyle w:val="ListParagraph"/>
        <w:numPr>
          <w:ilvl w:val="0"/>
          <w:numId w:val="150"/>
        </w:numPr>
        <w:ind w:left="357" w:hanging="357"/>
        <w:rPr>
          <w:lang w:eastAsia="en-AU"/>
        </w:rPr>
      </w:pPr>
      <w:r w:rsidRPr="00975B57">
        <w:rPr>
          <w:lang w:eastAsia="en-AU"/>
        </w:rPr>
        <w:t>Inclusion of a suite of Mandated Assessments for the R-ACFI ADL domain. Assessments are current for 3</w:t>
      </w:r>
      <w:r>
        <w:rPr>
          <w:lang w:eastAsia="en-AU"/>
        </w:rPr>
        <w:t xml:space="preserve"> </w:t>
      </w:r>
      <w:r w:rsidRPr="00975B57">
        <w:rPr>
          <w:lang w:eastAsia="en-AU"/>
        </w:rPr>
        <w:t>months.</w:t>
      </w:r>
    </w:p>
    <w:p w:rsidR="00351320" w:rsidRPr="00CA7E84" w:rsidRDefault="00351320" w:rsidP="00F02312">
      <w:pPr>
        <w:pStyle w:val="ListParagraph"/>
        <w:widowControl w:val="0"/>
        <w:numPr>
          <w:ilvl w:val="0"/>
          <w:numId w:val="150"/>
        </w:numPr>
        <w:tabs>
          <w:tab w:val="left" w:pos="481"/>
        </w:tabs>
        <w:spacing w:line="240" w:lineRule="auto"/>
        <w:ind w:left="357" w:right="377" w:hanging="357"/>
        <w:rPr>
          <w:rFonts w:ascii="Calibri" w:eastAsia="Calibri" w:hAnsi="Calibri" w:cs="Calibri"/>
          <w:szCs w:val="24"/>
        </w:rPr>
      </w:pPr>
      <w:r w:rsidRPr="00CA7E84">
        <w:rPr>
          <w:rFonts w:ascii="Calibri"/>
          <w:spacing w:val="-1"/>
        </w:rPr>
        <w:t>Supporting</w:t>
      </w:r>
      <w:r w:rsidRPr="00CA7E84">
        <w:rPr>
          <w:rFonts w:ascii="Calibri"/>
          <w:spacing w:val="-2"/>
        </w:rPr>
        <w:t xml:space="preserve"> </w:t>
      </w:r>
      <w:r w:rsidRPr="00CA7E84">
        <w:rPr>
          <w:rFonts w:ascii="Calibri"/>
          <w:spacing w:val="-1"/>
        </w:rPr>
        <w:t>evidence</w:t>
      </w:r>
      <w:r w:rsidRPr="00CA7E84">
        <w:rPr>
          <w:rFonts w:ascii="Calibri"/>
          <w:spacing w:val="-3"/>
        </w:rPr>
        <w:t xml:space="preserve"> </w:t>
      </w:r>
      <w:r w:rsidRPr="00CA7E84">
        <w:rPr>
          <w:rFonts w:ascii="Calibri"/>
          <w:spacing w:val="-2"/>
        </w:rPr>
        <w:t>is</w:t>
      </w:r>
      <w:r w:rsidRPr="00CA7E84">
        <w:rPr>
          <w:rFonts w:ascii="Calibri"/>
          <w:spacing w:val="-3"/>
        </w:rPr>
        <w:t xml:space="preserve"> </w:t>
      </w:r>
      <w:r w:rsidRPr="00CA7E84">
        <w:rPr>
          <w:rFonts w:ascii="Calibri"/>
          <w:spacing w:val="-1"/>
        </w:rPr>
        <w:t>required</w:t>
      </w:r>
      <w:r w:rsidRPr="00CA7E84">
        <w:rPr>
          <w:rFonts w:ascii="Calibri"/>
        </w:rPr>
        <w:t xml:space="preserve"> </w:t>
      </w:r>
      <w:r w:rsidRPr="00CA7E84">
        <w:rPr>
          <w:rFonts w:ascii="Calibri"/>
          <w:spacing w:val="-2"/>
        </w:rPr>
        <w:t xml:space="preserve">regarding </w:t>
      </w:r>
      <w:r w:rsidRPr="00CA7E84">
        <w:rPr>
          <w:rFonts w:ascii="Calibri"/>
          <w:spacing w:val="1"/>
        </w:rPr>
        <w:t>the</w:t>
      </w:r>
      <w:r w:rsidRPr="00CA7E84">
        <w:rPr>
          <w:rFonts w:ascii="Calibri"/>
          <w:spacing w:val="-4"/>
        </w:rPr>
        <w:t xml:space="preserve"> </w:t>
      </w:r>
      <w:r w:rsidRPr="00CA7E84">
        <w:rPr>
          <w:rFonts w:ascii="Calibri"/>
          <w:spacing w:val="-1"/>
        </w:rPr>
        <w:t>reasons</w:t>
      </w:r>
      <w:r w:rsidRPr="00CA7E84">
        <w:rPr>
          <w:rFonts w:ascii="Calibri"/>
          <w:spacing w:val="-2"/>
        </w:rPr>
        <w:t xml:space="preserve"> </w:t>
      </w:r>
      <w:r w:rsidRPr="00CA7E84">
        <w:rPr>
          <w:rFonts w:ascii="Calibri"/>
        </w:rPr>
        <w:t>for</w:t>
      </w:r>
      <w:r w:rsidRPr="00CA7E84">
        <w:rPr>
          <w:rFonts w:ascii="Calibri"/>
          <w:spacing w:val="-6"/>
        </w:rPr>
        <w:t xml:space="preserve"> </w:t>
      </w:r>
      <w:r w:rsidRPr="00CA7E84">
        <w:rPr>
          <w:rFonts w:ascii="Calibri"/>
          <w:spacing w:val="-1"/>
        </w:rPr>
        <w:t>the</w:t>
      </w:r>
      <w:r w:rsidRPr="00CA7E84">
        <w:rPr>
          <w:rFonts w:ascii="Calibri"/>
          <w:spacing w:val="-4"/>
        </w:rPr>
        <w:t xml:space="preserve"> </w:t>
      </w:r>
      <w:r w:rsidRPr="00CA7E84">
        <w:rPr>
          <w:rFonts w:ascii="Calibri"/>
        </w:rPr>
        <w:t>assistance</w:t>
      </w:r>
      <w:r w:rsidRPr="00CA7E84">
        <w:rPr>
          <w:rFonts w:ascii="Calibri"/>
          <w:spacing w:val="-3"/>
        </w:rPr>
        <w:t xml:space="preserve"> </w:t>
      </w:r>
      <w:r w:rsidRPr="00CA7E84">
        <w:rPr>
          <w:rFonts w:ascii="Calibri"/>
          <w:spacing w:val="-1"/>
        </w:rPr>
        <w:t>needed.</w:t>
      </w:r>
    </w:p>
    <w:p w:rsidR="00351320" w:rsidRPr="00137C8D" w:rsidRDefault="00351320" w:rsidP="00BE2954">
      <w:pPr>
        <w:pStyle w:val="Heading2"/>
      </w:pPr>
      <w:bookmarkStart w:id="26" w:name="_Toc491426014"/>
      <w:r w:rsidRPr="00137C8D">
        <w:t>R-ACFI R-BEH domain</w:t>
      </w:r>
      <w:bookmarkEnd w:id="25"/>
      <w:bookmarkEnd w:id="26"/>
    </w:p>
    <w:p w:rsidR="00980F62" w:rsidRDefault="00351320" w:rsidP="00CA7E84">
      <w:bookmarkStart w:id="27" w:name="_Toc489386585"/>
      <w:bookmarkStart w:id="28" w:name="_Toc487652603"/>
      <w:r>
        <w:t>The R-ACFI is recommended to have three Behaviour domain levels (Nil, Moderate, High).</w:t>
      </w:r>
      <w:r w:rsidR="007A576E">
        <w:t xml:space="preserve"> </w:t>
      </w:r>
      <w:r>
        <w:t>The Depression item and its associated funding has been moved to the Complex Health Care domain.</w:t>
      </w:r>
      <w:r w:rsidR="007A576E">
        <w:t xml:space="preserve"> </w:t>
      </w:r>
      <w:r>
        <w:t>This change has led to a slight reduction in the maximum funding allocated from the current ACFI BEH domain.</w:t>
      </w:r>
    </w:p>
    <w:p w:rsidR="00980F62" w:rsidRDefault="00351320" w:rsidP="00CA7E84">
      <w:pPr>
        <w:rPr>
          <w:lang w:eastAsia="en-AU"/>
        </w:rPr>
      </w:pPr>
      <w:r>
        <w:rPr>
          <w:lang w:eastAsia="en-AU"/>
        </w:rPr>
        <w:t>The changes to the Behaviour domain (in brief) include:</w:t>
      </w:r>
    </w:p>
    <w:p w:rsidR="00980F62" w:rsidRDefault="00351320" w:rsidP="00F02312">
      <w:pPr>
        <w:pStyle w:val="ListParagraph"/>
        <w:numPr>
          <w:ilvl w:val="0"/>
          <w:numId w:val="151"/>
        </w:numPr>
        <w:ind w:left="357" w:hanging="357"/>
        <w:rPr>
          <w:lang w:eastAsia="en-AU"/>
        </w:rPr>
      </w:pPr>
      <w:r>
        <w:rPr>
          <w:lang w:eastAsia="en-AU"/>
        </w:rPr>
        <w:t>Becomes a three-level domain with levels of Nil, Moderate and High.</w:t>
      </w:r>
      <w:r w:rsidR="007A576E">
        <w:rPr>
          <w:lang w:eastAsia="en-AU"/>
        </w:rPr>
        <w:t xml:space="preserve"> </w:t>
      </w:r>
      <w:r>
        <w:rPr>
          <w:lang w:eastAsia="en-AU"/>
        </w:rPr>
        <w:t>Analysis of the distribution of the scores indicated that a four-level split was not necessary to achieve the sufficient precision for funding allocation purposes.</w:t>
      </w:r>
    </w:p>
    <w:p w:rsidR="00351320" w:rsidRPr="00CA7E84" w:rsidRDefault="00351320" w:rsidP="00F02312">
      <w:pPr>
        <w:pStyle w:val="ListParagraph"/>
        <w:numPr>
          <w:ilvl w:val="0"/>
          <w:numId w:val="151"/>
        </w:numPr>
        <w:ind w:left="357" w:hanging="357"/>
        <w:rPr>
          <w:color w:val="000000" w:themeColor="text1"/>
          <w:lang w:eastAsia="en-AU"/>
        </w:rPr>
      </w:pPr>
      <w:r w:rsidRPr="00CA7E84">
        <w:rPr>
          <w:bCs/>
          <w:color w:val="000000" w:themeColor="text1"/>
          <w:szCs w:val="24"/>
          <w:lang w:eastAsia="en-AU"/>
        </w:rPr>
        <w:t>A single ACFI Behaviour question replaces the three separate behaviour questions Wandering, Verbal and Physical.</w:t>
      </w:r>
    </w:p>
    <w:p w:rsidR="00351320" w:rsidRDefault="00351320" w:rsidP="00F02312">
      <w:pPr>
        <w:pStyle w:val="ListParagraph"/>
        <w:numPr>
          <w:ilvl w:val="0"/>
          <w:numId w:val="151"/>
        </w:numPr>
        <w:ind w:left="357" w:hanging="357"/>
        <w:rPr>
          <w:lang w:eastAsia="en-AU"/>
        </w:rPr>
      </w:pPr>
      <w:r>
        <w:rPr>
          <w:lang w:eastAsia="en-AU"/>
        </w:rPr>
        <w:t>The Depression item has been moved to the Complex Health Care domain as it now focuses on Major Depression.</w:t>
      </w:r>
    </w:p>
    <w:p w:rsidR="00980F62" w:rsidRDefault="00351320" w:rsidP="00F02312">
      <w:pPr>
        <w:pStyle w:val="ListParagraph"/>
        <w:numPr>
          <w:ilvl w:val="0"/>
          <w:numId w:val="151"/>
        </w:numPr>
        <w:ind w:left="357" w:hanging="357"/>
        <w:rPr>
          <w:b/>
          <w:lang w:eastAsia="en-AU"/>
        </w:rPr>
      </w:pPr>
      <w:r>
        <w:rPr>
          <w:lang w:eastAsia="en-AU"/>
        </w:rPr>
        <w:t xml:space="preserve">The funding </w:t>
      </w:r>
      <w:r w:rsidRPr="00C95A3F">
        <w:rPr>
          <w:lang w:eastAsia="en-AU"/>
        </w:rPr>
        <w:t>amount</w:t>
      </w:r>
      <w:r>
        <w:rPr>
          <w:lang w:eastAsia="en-AU"/>
        </w:rPr>
        <w:t xml:space="preserve"> attributable to the Depression question ($3.64 </w:t>
      </w:r>
      <w:r w:rsidR="00735127">
        <w:rPr>
          <w:lang w:eastAsia="en-AU"/>
        </w:rPr>
        <w:t>per day</w:t>
      </w:r>
      <w:r>
        <w:rPr>
          <w:lang w:eastAsia="en-AU"/>
        </w:rPr>
        <w:t>) has been re-allocated to the CHC domain.</w:t>
      </w:r>
    </w:p>
    <w:p w:rsidR="00351320" w:rsidRDefault="00351320" w:rsidP="00F02312">
      <w:pPr>
        <w:pStyle w:val="ListParagraph"/>
        <w:numPr>
          <w:ilvl w:val="0"/>
          <w:numId w:val="151"/>
        </w:numPr>
        <w:ind w:left="357" w:hanging="357"/>
        <w:rPr>
          <w:lang w:eastAsia="en-AU"/>
        </w:rPr>
      </w:pPr>
      <w:r>
        <w:rPr>
          <w:lang w:eastAsia="en-AU"/>
        </w:rPr>
        <w:t>Weightings adjusted proportionally for the removal of the Depression item.</w:t>
      </w:r>
    </w:p>
    <w:p w:rsidR="00351320" w:rsidRDefault="00351320" w:rsidP="00F02312">
      <w:pPr>
        <w:pStyle w:val="ListParagraph"/>
        <w:numPr>
          <w:ilvl w:val="0"/>
          <w:numId w:val="151"/>
        </w:numPr>
        <w:ind w:left="357" w:hanging="357"/>
        <w:rPr>
          <w:lang w:eastAsia="en-AU"/>
        </w:rPr>
      </w:pPr>
      <w:r>
        <w:rPr>
          <w:lang w:eastAsia="en-AU"/>
        </w:rPr>
        <w:lastRenderedPageBreak/>
        <w:t>The PAS-CIS replaced by the S-MMSE in a direct swap for the mandated cognitive assessment. Assessments are current for 3 months.</w:t>
      </w:r>
    </w:p>
    <w:p w:rsidR="00351320" w:rsidRDefault="00351320" w:rsidP="00F02312">
      <w:pPr>
        <w:pStyle w:val="ListParagraph"/>
        <w:numPr>
          <w:ilvl w:val="0"/>
          <w:numId w:val="151"/>
        </w:numPr>
        <w:ind w:left="357" w:hanging="357"/>
        <w:rPr>
          <w:lang w:eastAsia="en-AU"/>
        </w:rPr>
      </w:pPr>
      <w:r>
        <w:rPr>
          <w:lang w:eastAsia="en-AU"/>
        </w:rPr>
        <w:t>Inclusion of a detailed individualised behaviour description to clarify the behaviour claimed.</w:t>
      </w:r>
    </w:p>
    <w:p w:rsidR="00980F62" w:rsidRDefault="00351320" w:rsidP="00F02312">
      <w:pPr>
        <w:pStyle w:val="ListParagraph"/>
        <w:numPr>
          <w:ilvl w:val="0"/>
          <w:numId w:val="151"/>
        </w:numPr>
        <w:ind w:left="357" w:hanging="357"/>
        <w:rPr>
          <w:lang w:eastAsia="en-AU"/>
        </w:rPr>
      </w:pPr>
      <w:r>
        <w:rPr>
          <w:lang w:eastAsia="en-AU"/>
        </w:rPr>
        <w:t xml:space="preserve">Inclusion of </w:t>
      </w:r>
      <w:r w:rsidR="00F567F4">
        <w:rPr>
          <w:lang w:eastAsia="en-AU"/>
        </w:rPr>
        <w:t>new</w:t>
      </w:r>
      <w:r>
        <w:rPr>
          <w:lang w:eastAsia="en-AU"/>
        </w:rPr>
        <w:t xml:space="preserve"> severity item “disruptiveness” to clarify that there is a requirement for “staff intervention”.</w:t>
      </w:r>
    </w:p>
    <w:p w:rsidR="00980F62" w:rsidRDefault="00351320" w:rsidP="00F02312">
      <w:pPr>
        <w:pStyle w:val="ListParagraph"/>
        <w:numPr>
          <w:ilvl w:val="0"/>
          <w:numId w:val="151"/>
        </w:numPr>
        <w:ind w:left="357" w:hanging="357"/>
        <w:rPr>
          <w:bCs/>
          <w:color w:val="000000" w:themeColor="text1"/>
          <w:szCs w:val="24"/>
          <w:lang w:eastAsia="en-AU"/>
        </w:rPr>
      </w:pPr>
      <w:r w:rsidRPr="00CA7E84">
        <w:rPr>
          <w:bCs/>
          <w:color w:val="000000" w:themeColor="text1"/>
          <w:szCs w:val="24"/>
          <w:lang w:eastAsia="en-AU"/>
        </w:rPr>
        <w:t xml:space="preserve">The </w:t>
      </w:r>
      <w:r w:rsidR="00F567F4" w:rsidRPr="00CA7E84">
        <w:rPr>
          <w:bCs/>
          <w:color w:val="000000" w:themeColor="text1"/>
          <w:szCs w:val="24"/>
          <w:lang w:eastAsia="en-AU"/>
        </w:rPr>
        <w:t>B</w:t>
      </w:r>
      <w:r w:rsidRPr="00CA7E84">
        <w:rPr>
          <w:bCs/>
          <w:color w:val="000000" w:themeColor="text1"/>
          <w:szCs w:val="24"/>
          <w:lang w:eastAsia="en-AU"/>
        </w:rPr>
        <w:t>ehaviour frequency rating descriptors have been modified to daily, twice a day and more than twice</w:t>
      </w:r>
      <w:r w:rsidR="00E851F7">
        <w:rPr>
          <w:bCs/>
          <w:color w:val="000000" w:themeColor="text1"/>
          <w:szCs w:val="24"/>
          <w:lang w:eastAsia="en-AU"/>
        </w:rPr>
        <w:t xml:space="preserve"> a day on a daily basis over a seven</w:t>
      </w:r>
      <w:r w:rsidRPr="00CA7E84">
        <w:rPr>
          <w:bCs/>
          <w:color w:val="000000" w:themeColor="text1"/>
          <w:szCs w:val="24"/>
          <w:lang w:eastAsia="en-AU"/>
        </w:rPr>
        <w:t>-day period to better distribute the relative care needs and acknowledge that the domain is targeting those requiring additional staffing support of a specific nature.</w:t>
      </w:r>
    </w:p>
    <w:p w:rsidR="00980F62" w:rsidRDefault="00351320" w:rsidP="00F02312">
      <w:pPr>
        <w:pStyle w:val="ListParagraph"/>
        <w:numPr>
          <w:ilvl w:val="0"/>
          <w:numId w:val="151"/>
        </w:numPr>
        <w:ind w:left="357" w:hanging="357"/>
        <w:rPr>
          <w:lang w:eastAsia="en-AU"/>
        </w:rPr>
      </w:pPr>
      <w:r>
        <w:rPr>
          <w:lang w:eastAsia="en-AU"/>
        </w:rPr>
        <w:t>A matrix between the “disruptiveness” level and behaviour “frequency” must be completed to determine the final Behaviour domain rating.</w:t>
      </w:r>
    </w:p>
    <w:p w:rsidR="00980F62" w:rsidRDefault="00351320" w:rsidP="00F02312">
      <w:pPr>
        <w:pStyle w:val="ListParagraph"/>
        <w:numPr>
          <w:ilvl w:val="0"/>
          <w:numId w:val="151"/>
        </w:numPr>
        <w:ind w:left="357" w:hanging="357"/>
        <w:rPr>
          <w:lang w:eastAsia="en-AU"/>
        </w:rPr>
      </w:pPr>
      <w:r>
        <w:rPr>
          <w:lang w:eastAsia="en-AU"/>
        </w:rPr>
        <w:t>Behaviour descriptions “constantly physically agitated” and “verbal refusal of care” have been removed due to definitional problems and inappropriate labelling.</w:t>
      </w:r>
    </w:p>
    <w:p w:rsidR="00351320" w:rsidRPr="00CA7E84" w:rsidRDefault="00351320" w:rsidP="00F02312">
      <w:pPr>
        <w:pStyle w:val="ListParagraph"/>
        <w:numPr>
          <w:ilvl w:val="0"/>
          <w:numId w:val="151"/>
        </w:numPr>
        <w:ind w:left="357" w:hanging="357"/>
        <w:rPr>
          <w:szCs w:val="24"/>
        </w:rPr>
      </w:pPr>
      <w:r w:rsidRPr="00CA7E84">
        <w:rPr>
          <w:szCs w:val="24"/>
        </w:rPr>
        <w:t>A Mental and Behavioural diagnosis (excluding Depression) is required to receive the highest funding level in the Behaviour domain.</w:t>
      </w:r>
    </w:p>
    <w:p w:rsidR="00351320" w:rsidRDefault="00351320" w:rsidP="00F02312">
      <w:pPr>
        <w:pStyle w:val="ListParagraph"/>
        <w:numPr>
          <w:ilvl w:val="0"/>
          <w:numId w:val="151"/>
        </w:numPr>
        <w:ind w:left="357" w:hanging="357"/>
      </w:pPr>
      <w:r w:rsidRPr="00CA7E84">
        <w:rPr>
          <w:szCs w:val="24"/>
        </w:rPr>
        <w:t>A referral and review by a Behaviour Specialist (e.g. DBMAS; Psychiatrist; Psychologist) and Behaviour Care Plan is also required to receive the highest funding level in the Behaviour domain.</w:t>
      </w:r>
    </w:p>
    <w:p w:rsidR="00351320" w:rsidRPr="00137C8D" w:rsidRDefault="00351320" w:rsidP="00BE2954">
      <w:pPr>
        <w:pStyle w:val="Heading2"/>
      </w:pPr>
      <w:bookmarkStart w:id="29" w:name="_Toc491426015"/>
      <w:r w:rsidRPr="00137C8D">
        <w:t>R-ACFI R-CHC domain</w:t>
      </w:r>
      <w:bookmarkEnd w:id="27"/>
      <w:bookmarkEnd w:id="29"/>
    </w:p>
    <w:p w:rsidR="00980F62" w:rsidRDefault="00351320" w:rsidP="00CA7E84">
      <w:pPr>
        <w:rPr>
          <w:lang w:eastAsia="en-AU"/>
        </w:rPr>
      </w:pPr>
      <w:bookmarkStart w:id="30" w:name="_Toc489386586"/>
      <w:bookmarkEnd w:id="28"/>
      <w:r w:rsidRPr="008861BC">
        <w:rPr>
          <w:lang w:eastAsia="en-AU"/>
        </w:rPr>
        <w:t xml:space="preserve">AACS conducted a series of consultations, review of relevant tools and literature on assessment and statistical analysis on the Complex Health domain items. The major changes recommended for this domain involve the removal of the pain management items and the associated funding ($15 </w:t>
      </w:r>
      <w:r w:rsidR="00735127">
        <w:rPr>
          <w:lang w:eastAsia="en-AU"/>
        </w:rPr>
        <w:t>per day</w:t>
      </w:r>
      <w:r w:rsidRPr="008861BC">
        <w:rPr>
          <w:lang w:eastAsia="en-AU"/>
        </w:rPr>
        <w:t xml:space="preserve">) and the addition of the depression item which contributed an additional $3.64 </w:t>
      </w:r>
      <w:r w:rsidR="00735127">
        <w:rPr>
          <w:lang w:eastAsia="en-AU"/>
        </w:rPr>
        <w:t>per day</w:t>
      </w:r>
      <w:r w:rsidRPr="008861BC">
        <w:rPr>
          <w:lang w:eastAsia="en-AU"/>
        </w:rPr>
        <w:t xml:space="preserve"> to the CHC funding pool.</w:t>
      </w:r>
    </w:p>
    <w:p w:rsidR="00980F62" w:rsidRDefault="00351320" w:rsidP="00CA7E84">
      <w:pPr>
        <w:rPr>
          <w:lang w:eastAsia="en-AU"/>
        </w:rPr>
      </w:pPr>
      <w:r w:rsidRPr="008861BC">
        <w:rPr>
          <w:lang w:eastAsia="en-AU"/>
        </w:rPr>
        <w:t>Changes (in brief) to the Complex Health domain include:</w:t>
      </w:r>
    </w:p>
    <w:p w:rsidR="004A2235" w:rsidRPr="00CA7E84" w:rsidRDefault="004A2235" w:rsidP="00F02312">
      <w:pPr>
        <w:pStyle w:val="ListParagraph"/>
        <w:numPr>
          <w:ilvl w:val="0"/>
          <w:numId w:val="152"/>
        </w:numPr>
        <w:ind w:left="357" w:hanging="357"/>
        <w:rPr>
          <w:szCs w:val="24"/>
        </w:rPr>
      </w:pPr>
      <w:r w:rsidRPr="008861BC">
        <w:rPr>
          <w:lang w:eastAsia="en-AU"/>
        </w:rPr>
        <w:t xml:space="preserve">A new requirement </w:t>
      </w:r>
      <w:r>
        <w:rPr>
          <w:lang w:eastAsia="en-AU"/>
        </w:rPr>
        <w:t>a</w:t>
      </w:r>
      <w:r w:rsidRPr="008861BC">
        <w:rPr>
          <w:lang w:eastAsia="en-AU"/>
        </w:rPr>
        <w:t xml:space="preserve"> claim in the Complex Health Care domain is that there is </w:t>
      </w:r>
      <w:r>
        <w:rPr>
          <w:lang w:eastAsia="en-AU"/>
        </w:rPr>
        <w:t xml:space="preserve">documented </w:t>
      </w:r>
      <w:r w:rsidRPr="008861BC">
        <w:rPr>
          <w:lang w:eastAsia="en-AU"/>
        </w:rPr>
        <w:t>evidence that the resident has a regular ongoing 3 monthly comprehensive health assessment undertaken and signed off by a registered nurse.</w:t>
      </w:r>
    </w:p>
    <w:p w:rsidR="00351320" w:rsidRPr="008861BC" w:rsidRDefault="00351320" w:rsidP="00F02312">
      <w:pPr>
        <w:pStyle w:val="ListParagraph"/>
        <w:numPr>
          <w:ilvl w:val="0"/>
          <w:numId w:val="152"/>
        </w:numPr>
        <w:ind w:left="357" w:hanging="357"/>
        <w:rPr>
          <w:lang w:eastAsia="en-AU"/>
        </w:rPr>
      </w:pPr>
      <w:r w:rsidRPr="008861BC">
        <w:rPr>
          <w:lang w:eastAsia="en-AU"/>
        </w:rPr>
        <w:t>The Medication</w:t>
      </w:r>
      <w:r w:rsidRPr="00CA7E84">
        <w:rPr>
          <w:b/>
          <w:lang w:eastAsia="en-AU"/>
        </w:rPr>
        <w:t xml:space="preserve"> </w:t>
      </w:r>
      <w:r w:rsidRPr="008861BC">
        <w:rPr>
          <w:lang w:eastAsia="en-AU"/>
        </w:rPr>
        <w:t>question (ACFI 11) has</w:t>
      </w:r>
      <w:r w:rsidRPr="00CA7E84">
        <w:rPr>
          <w:b/>
          <w:lang w:eastAsia="en-AU"/>
        </w:rPr>
        <w:t xml:space="preserve"> </w:t>
      </w:r>
      <w:r w:rsidRPr="008861BC">
        <w:rPr>
          <w:lang w:eastAsia="en-AU"/>
        </w:rPr>
        <w:t>been moved into the R-ACFI Complex Health Care Procedures list as two separate items. The items are now (i) daily medications, patches, suppositories and enemas (weight 3) and (ii) daily injections (weight 6).</w:t>
      </w:r>
    </w:p>
    <w:p w:rsidR="00351320" w:rsidRPr="008861BC" w:rsidRDefault="00351320" w:rsidP="00F02312">
      <w:pPr>
        <w:pStyle w:val="ListParagraph"/>
        <w:numPr>
          <w:ilvl w:val="0"/>
          <w:numId w:val="152"/>
        </w:numPr>
        <w:ind w:left="357" w:hanging="357"/>
        <w:rPr>
          <w:lang w:eastAsia="en-AU"/>
        </w:rPr>
      </w:pPr>
      <w:r w:rsidRPr="008861BC">
        <w:rPr>
          <w:lang w:eastAsia="en-AU"/>
        </w:rPr>
        <w:t>Removal of the items 12.1 blood pressure, 12.18 vital signs technical equipment as these are considered not discriminating items and low in complexity.</w:t>
      </w:r>
    </w:p>
    <w:p w:rsidR="00351320" w:rsidRPr="008861BC" w:rsidRDefault="00351320" w:rsidP="00F02312">
      <w:pPr>
        <w:pStyle w:val="ListParagraph"/>
        <w:numPr>
          <w:ilvl w:val="0"/>
          <w:numId w:val="152"/>
        </w:numPr>
        <w:ind w:left="357" w:hanging="357"/>
        <w:rPr>
          <w:lang w:eastAsia="en-AU"/>
        </w:rPr>
      </w:pPr>
      <w:r w:rsidRPr="008861BC">
        <w:rPr>
          <w:lang w:eastAsia="en-AU"/>
        </w:rPr>
        <w:t>Removal of the item 12.12a management of arthritic joints &amp; oedema as it is included and covered in the R-ACFI 3 checklist item “dressing and undressing”.</w:t>
      </w:r>
    </w:p>
    <w:p w:rsidR="00351320" w:rsidRPr="008861BC" w:rsidRDefault="00351320" w:rsidP="00F02312">
      <w:pPr>
        <w:pStyle w:val="ListParagraph"/>
        <w:numPr>
          <w:ilvl w:val="0"/>
          <w:numId w:val="152"/>
        </w:numPr>
        <w:ind w:left="357" w:hanging="357"/>
      </w:pPr>
      <w:r w:rsidRPr="008861BC">
        <w:rPr>
          <w:lang w:eastAsia="en-AU"/>
        </w:rPr>
        <w:t xml:space="preserve">Improvements to the ACFI item focusing on non-arthritic oedema </w:t>
      </w:r>
      <w:r w:rsidRPr="008861BC">
        <w:t xml:space="preserve">12.12b (R-ACFI CHC item 7) to include aspects associated with a medical diagnosis of specific types and a </w:t>
      </w:r>
      <w:r w:rsidRPr="008861BC">
        <w:lastRenderedPageBreak/>
        <w:t>detailed directive covering measurements, level of compression, types of garments and application.</w:t>
      </w:r>
    </w:p>
    <w:p w:rsidR="00351320" w:rsidRPr="00CA7E84" w:rsidRDefault="00351320" w:rsidP="00F02312">
      <w:pPr>
        <w:pStyle w:val="ListParagraph"/>
        <w:numPr>
          <w:ilvl w:val="0"/>
          <w:numId w:val="152"/>
        </w:numPr>
        <w:ind w:left="357" w:hanging="357"/>
        <w:rPr>
          <w:sz w:val="22"/>
        </w:rPr>
      </w:pPr>
      <w:r w:rsidRPr="008861BC">
        <w:t xml:space="preserve">Re-weighting of the blood glucose and oxygen therapy items from </w:t>
      </w:r>
      <w:r w:rsidR="00E851F7">
        <w:t>three points to one</w:t>
      </w:r>
      <w:r w:rsidRPr="008861BC">
        <w:t xml:space="preserve"> to reflect their lower level of complexity in relation to the other items.</w:t>
      </w:r>
    </w:p>
    <w:p w:rsidR="00351320" w:rsidRPr="008861BC" w:rsidRDefault="00351320" w:rsidP="00F02312">
      <w:pPr>
        <w:pStyle w:val="ListParagraph"/>
        <w:numPr>
          <w:ilvl w:val="0"/>
          <w:numId w:val="152"/>
        </w:numPr>
        <w:ind w:left="357" w:hanging="357"/>
        <w:rPr>
          <w:lang w:eastAsia="en-AU"/>
        </w:rPr>
      </w:pPr>
      <w:r w:rsidRPr="008861BC">
        <w:rPr>
          <w:lang w:eastAsia="en-AU"/>
        </w:rPr>
        <w:t>Inclusion of a Depression item into the CHC procedures list and re-framed as “Major Depression”.</w:t>
      </w:r>
      <w:r w:rsidR="007A576E">
        <w:rPr>
          <w:lang w:eastAsia="en-AU"/>
        </w:rPr>
        <w:t xml:space="preserve"> </w:t>
      </w:r>
      <w:r w:rsidRPr="008861BC">
        <w:rPr>
          <w:lang w:eastAsia="en-AU"/>
        </w:rPr>
        <w:t xml:space="preserve">The funding from the Depression question has been added into the Complex Health Domain funding pool ($3.65 </w:t>
      </w:r>
      <w:r w:rsidR="00735127">
        <w:rPr>
          <w:lang w:eastAsia="en-AU"/>
        </w:rPr>
        <w:t>per day</w:t>
      </w:r>
      <w:r w:rsidRPr="008861BC">
        <w:rPr>
          <w:lang w:eastAsia="en-AU"/>
        </w:rPr>
        <w:t>).</w:t>
      </w:r>
    </w:p>
    <w:p w:rsidR="00351320" w:rsidRPr="008861BC" w:rsidRDefault="00351320" w:rsidP="00F02312">
      <w:pPr>
        <w:pStyle w:val="ListParagraph"/>
        <w:numPr>
          <w:ilvl w:val="0"/>
          <w:numId w:val="152"/>
        </w:numPr>
        <w:ind w:left="357" w:hanging="357"/>
        <w:rPr>
          <w:lang w:eastAsia="en-AU"/>
        </w:rPr>
      </w:pPr>
      <w:r w:rsidRPr="008861BC">
        <w:rPr>
          <w:lang w:eastAsia="en-AU"/>
        </w:rPr>
        <w:t>A palliative care claim will now trigger a 6-month mandatory re-appraisal</w:t>
      </w:r>
      <w:r w:rsidR="008A4578">
        <w:rPr>
          <w:lang w:eastAsia="en-AU"/>
        </w:rPr>
        <w:t>.</w:t>
      </w:r>
    </w:p>
    <w:p w:rsidR="00980F62" w:rsidRDefault="00351320" w:rsidP="00F02312">
      <w:pPr>
        <w:pStyle w:val="ListParagraph"/>
        <w:numPr>
          <w:ilvl w:val="0"/>
          <w:numId w:val="152"/>
        </w:numPr>
        <w:ind w:left="357" w:hanging="357"/>
        <w:rPr>
          <w:lang w:eastAsia="en-AU"/>
        </w:rPr>
      </w:pPr>
      <w:r w:rsidRPr="008861BC">
        <w:rPr>
          <w:lang w:eastAsia="en-AU"/>
        </w:rPr>
        <w:t>Relocation of the pain management items (12.3, 12.4a, 12.4b) and funding into the new</w:t>
      </w:r>
      <w:r w:rsidR="0070485B">
        <w:rPr>
          <w:lang w:eastAsia="en-AU"/>
        </w:rPr>
        <w:t xml:space="preserve"> </w:t>
      </w:r>
      <w:r w:rsidRPr="008861BC">
        <w:rPr>
          <w:lang w:eastAsia="en-AU"/>
        </w:rPr>
        <w:t>R-ACFI Therapy Program which has a broader physical therapy focus.</w:t>
      </w:r>
      <w:r w:rsidR="007A576E">
        <w:rPr>
          <w:lang w:eastAsia="en-AU"/>
        </w:rPr>
        <w:t xml:space="preserve"> </w:t>
      </w:r>
      <w:r w:rsidRPr="008861BC">
        <w:rPr>
          <w:lang w:eastAsia="en-AU"/>
        </w:rPr>
        <w:t xml:space="preserve">The funding determined from the pain </w:t>
      </w:r>
      <w:r w:rsidR="00E851F7">
        <w:rPr>
          <w:lang w:eastAsia="en-AU"/>
        </w:rPr>
        <w:t>management items over the past four</w:t>
      </w:r>
      <w:r w:rsidRPr="008861BC">
        <w:rPr>
          <w:lang w:eastAsia="en-AU"/>
        </w:rPr>
        <w:t xml:space="preserve"> years has been averaged and $15 </w:t>
      </w:r>
      <w:r w:rsidR="00735127">
        <w:rPr>
          <w:lang w:eastAsia="en-AU"/>
        </w:rPr>
        <w:t>per day</w:t>
      </w:r>
      <w:r w:rsidRPr="008861BC">
        <w:rPr>
          <w:lang w:eastAsia="en-AU"/>
        </w:rPr>
        <w:t xml:space="preserve"> has been transferred from the Complex Health Domain into the new Therapy Program.</w:t>
      </w:r>
    </w:p>
    <w:p w:rsidR="00351320" w:rsidRPr="00137C8D" w:rsidRDefault="00351320" w:rsidP="00BE2954">
      <w:pPr>
        <w:pStyle w:val="Heading2"/>
      </w:pPr>
      <w:bookmarkStart w:id="31" w:name="_Toc491426016"/>
      <w:r w:rsidRPr="00137C8D">
        <w:t>Therapy Program</w:t>
      </w:r>
      <w:bookmarkEnd w:id="30"/>
      <w:bookmarkEnd w:id="31"/>
    </w:p>
    <w:p w:rsidR="00980F62" w:rsidRDefault="00351320" w:rsidP="00F00D3D">
      <w:pPr>
        <w:spacing w:after="200"/>
        <w:rPr>
          <w:lang w:eastAsia="en-AU"/>
        </w:rPr>
      </w:pPr>
      <w:r>
        <w:rPr>
          <w:szCs w:val="24"/>
        </w:rPr>
        <w:t>The R-ACFI has introduced a new Therapy Program concept and funding (from the pain management items) that will be available to all residents. T</w:t>
      </w:r>
      <w:r>
        <w:rPr>
          <w:lang w:eastAsia="en-AU"/>
        </w:rPr>
        <w:t>here is good contemporary evidence that physical therapy interventions that include general wellness, restorative or maintenance approaches are of benefit to aged care residents. A new broadly-based Therapy Program will not only better target resident needs, but also give an opportunity to directly include the consumer and families in the choice of options and hence improve consumer input into care.</w:t>
      </w:r>
    </w:p>
    <w:p w:rsidR="00980F62" w:rsidRDefault="00351320" w:rsidP="00351320">
      <w:pPr>
        <w:rPr>
          <w:lang w:eastAsia="en-AU"/>
        </w:rPr>
      </w:pPr>
      <w:r>
        <w:rPr>
          <w:lang w:eastAsia="en-AU"/>
        </w:rPr>
        <w:t>Wellness fits into the new Physical Therapy program in the R-ACFI, as physical therapies have been associated with improving not only physical, but also social and psychological wellness (Martin et al, 2013). A flexible Therapy Program approach could also support short term interventions, with the wellness approach being ongoing.</w:t>
      </w:r>
    </w:p>
    <w:p w:rsidR="004A1C5B" w:rsidRPr="00C14F1D" w:rsidRDefault="004A1C5B" w:rsidP="00C73F4D">
      <w:pPr>
        <w:shd w:val="clear" w:color="auto" w:fill="D9D9D9" w:themeFill="background1" w:themeFillShade="D9"/>
        <w:rPr>
          <w:rStyle w:val="Strong"/>
        </w:rPr>
      </w:pPr>
      <w:r w:rsidRPr="00C14F1D">
        <w:rPr>
          <w:rStyle w:val="Strong"/>
        </w:rPr>
        <w:t>Main Therapy Program Principles</w:t>
      </w:r>
    </w:p>
    <w:p w:rsidR="004A1C5B" w:rsidRPr="00C73F4D" w:rsidRDefault="004A1C5B" w:rsidP="00C73F4D">
      <w:pPr>
        <w:pStyle w:val="NoSpacing"/>
        <w:numPr>
          <w:ilvl w:val="0"/>
          <w:numId w:val="112"/>
        </w:numPr>
        <w:shd w:val="clear" w:color="auto" w:fill="D9D9D9" w:themeFill="background1" w:themeFillShade="D9"/>
        <w:tabs>
          <w:tab w:val="left" w:pos="5060"/>
        </w:tabs>
        <w:rPr>
          <w:rFonts w:cstheme="minorHAnsi"/>
          <w:i/>
          <w:szCs w:val="24"/>
        </w:rPr>
      </w:pPr>
      <w:r w:rsidRPr="00C73F4D">
        <w:rPr>
          <w:rFonts w:cstheme="minorHAnsi"/>
          <w:i/>
          <w:szCs w:val="24"/>
        </w:rPr>
        <w:t xml:space="preserve">Broadening the type of physical therapy interventions to </w:t>
      </w:r>
      <w:r w:rsidRPr="00C73F4D">
        <w:rPr>
          <w:rFonts w:cstheme="minorHAnsi"/>
          <w:i/>
        </w:rPr>
        <w:t>include</w:t>
      </w:r>
      <w:r w:rsidRPr="00C73F4D">
        <w:rPr>
          <w:rFonts w:cstheme="minorHAnsi"/>
          <w:i/>
          <w:szCs w:val="24"/>
        </w:rPr>
        <w:t xml:space="preserve"> an evidence-based general wellness, restorative approach.</w:t>
      </w:r>
    </w:p>
    <w:p w:rsidR="004A1C5B" w:rsidRPr="00C73F4D" w:rsidRDefault="004A1C5B" w:rsidP="00C73F4D">
      <w:pPr>
        <w:pStyle w:val="NoSpacing"/>
        <w:numPr>
          <w:ilvl w:val="0"/>
          <w:numId w:val="112"/>
        </w:numPr>
        <w:shd w:val="clear" w:color="auto" w:fill="D9D9D9" w:themeFill="background1" w:themeFillShade="D9"/>
        <w:tabs>
          <w:tab w:val="left" w:pos="5060"/>
        </w:tabs>
        <w:rPr>
          <w:rFonts w:cstheme="minorHAnsi"/>
          <w:i/>
          <w:szCs w:val="24"/>
        </w:rPr>
      </w:pPr>
      <w:r w:rsidRPr="00C73F4D">
        <w:rPr>
          <w:rFonts w:cstheme="minorHAnsi"/>
          <w:i/>
          <w:szCs w:val="24"/>
        </w:rPr>
        <w:t>Include a wider range of therapeutic inputs from a variety of health professionals.</w:t>
      </w:r>
    </w:p>
    <w:p w:rsidR="004A1C5B" w:rsidRPr="00C73F4D" w:rsidRDefault="004A1C5B" w:rsidP="00C73F4D">
      <w:pPr>
        <w:pStyle w:val="NoSpacing"/>
        <w:numPr>
          <w:ilvl w:val="0"/>
          <w:numId w:val="112"/>
        </w:numPr>
        <w:shd w:val="clear" w:color="auto" w:fill="D9D9D9" w:themeFill="background1" w:themeFillShade="D9"/>
        <w:tabs>
          <w:tab w:val="left" w:pos="5060"/>
        </w:tabs>
        <w:rPr>
          <w:rFonts w:cstheme="minorHAnsi"/>
          <w:i/>
          <w:szCs w:val="24"/>
        </w:rPr>
      </w:pPr>
      <w:r w:rsidRPr="00C73F4D">
        <w:rPr>
          <w:rFonts w:cstheme="minorHAnsi"/>
          <w:i/>
          <w:szCs w:val="24"/>
        </w:rPr>
        <w:t>Provide an opportunity to directly include the consumer in the choice of options.</w:t>
      </w:r>
    </w:p>
    <w:p w:rsidR="00351320" w:rsidRPr="008D61C7" w:rsidRDefault="00351320" w:rsidP="003745B7">
      <w:pPr>
        <w:spacing w:before="200"/>
        <w:rPr>
          <w:lang w:eastAsia="en-AU"/>
        </w:rPr>
      </w:pPr>
      <w:r>
        <w:rPr>
          <w:lang w:eastAsia="en-AU"/>
        </w:rPr>
        <w:t xml:space="preserve">As an outcome of the feedback and comments from the consultations and other input from subject matter experts, the following principles were </w:t>
      </w:r>
      <w:r w:rsidRPr="008D61C7">
        <w:rPr>
          <w:lang w:eastAsia="en-AU"/>
        </w:rPr>
        <w:t>developed to guide the design of the Therapy Program:</w:t>
      </w:r>
    </w:p>
    <w:p w:rsidR="00980F62" w:rsidRDefault="00351320" w:rsidP="00151877">
      <w:pPr>
        <w:pStyle w:val="ListParagraph"/>
        <w:numPr>
          <w:ilvl w:val="0"/>
          <w:numId w:val="70"/>
        </w:numPr>
        <w:rPr>
          <w:lang w:eastAsia="en-AU"/>
        </w:rPr>
      </w:pPr>
      <w:r w:rsidRPr="008D61C7">
        <w:rPr>
          <w:lang w:eastAsia="en-AU"/>
        </w:rPr>
        <w:t>Therapy programs should encompass a broad range of physical therapy interventions to ensure (where relevant) inclusion of a maintenance of general wellness and a restorative approach</w:t>
      </w:r>
      <w:r w:rsidR="008A4578">
        <w:rPr>
          <w:lang w:eastAsia="en-AU"/>
        </w:rPr>
        <w:t>.</w:t>
      </w:r>
    </w:p>
    <w:p w:rsidR="00351320" w:rsidRPr="008D61C7" w:rsidRDefault="00351320" w:rsidP="00151877">
      <w:pPr>
        <w:pStyle w:val="ListParagraph"/>
        <w:numPr>
          <w:ilvl w:val="0"/>
          <w:numId w:val="70"/>
        </w:numPr>
        <w:rPr>
          <w:lang w:eastAsia="en-AU"/>
        </w:rPr>
      </w:pPr>
      <w:r w:rsidRPr="008D61C7">
        <w:rPr>
          <w:lang w:eastAsia="en-AU"/>
        </w:rPr>
        <w:t>Therapy Programs should have an evidence-based underpinning and approach</w:t>
      </w:r>
      <w:r w:rsidR="008A4578">
        <w:rPr>
          <w:lang w:eastAsia="en-AU"/>
        </w:rPr>
        <w:t>.</w:t>
      </w:r>
    </w:p>
    <w:p w:rsidR="00980F62" w:rsidRDefault="00351320" w:rsidP="00151877">
      <w:pPr>
        <w:pStyle w:val="ListParagraph"/>
        <w:numPr>
          <w:ilvl w:val="0"/>
          <w:numId w:val="70"/>
        </w:numPr>
        <w:rPr>
          <w:lang w:eastAsia="en-AU"/>
        </w:rPr>
      </w:pPr>
      <w:r w:rsidRPr="008D61C7">
        <w:rPr>
          <w:lang w:eastAsia="en-AU"/>
        </w:rPr>
        <w:lastRenderedPageBreak/>
        <w:t xml:space="preserve">The Programs should </w:t>
      </w:r>
      <w:r>
        <w:rPr>
          <w:lang w:eastAsia="en-AU"/>
        </w:rPr>
        <w:t>i</w:t>
      </w:r>
      <w:r w:rsidRPr="008D61C7">
        <w:rPr>
          <w:lang w:eastAsia="en-AU"/>
        </w:rPr>
        <w:t>nclude a wide range of therapeutic inputs from a variety of health professionals</w:t>
      </w:r>
      <w:r w:rsidR="008A4578">
        <w:rPr>
          <w:lang w:eastAsia="en-AU"/>
        </w:rPr>
        <w:t>.</w:t>
      </w:r>
    </w:p>
    <w:p w:rsidR="00980F62" w:rsidRDefault="00351320" w:rsidP="00151877">
      <w:pPr>
        <w:pStyle w:val="ListParagraph"/>
        <w:numPr>
          <w:ilvl w:val="0"/>
          <w:numId w:val="70"/>
        </w:numPr>
        <w:rPr>
          <w:rFonts w:cstheme="minorHAnsi"/>
          <w:bCs/>
          <w:szCs w:val="24"/>
        </w:rPr>
      </w:pPr>
      <w:r w:rsidRPr="008D61C7">
        <w:rPr>
          <w:rFonts w:cstheme="minorHAnsi"/>
          <w:bCs/>
          <w:szCs w:val="24"/>
        </w:rPr>
        <w:t xml:space="preserve">Therapy Programs </w:t>
      </w:r>
      <w:r w:rsidR="004A2235">
        <w:rPr>
          <w:rFonts w:cstheme="minorHAnsi"/>
          <w:bCs/>
          <w:szCs w:val="24"/>
        </w:rPr>
        <w:t>should</w:t>
      </w:r>
      <w:r w:rsidRPr="008D61C7">
        <w:rPr>
          <w:rFonts w:cstheme="minorHAnsi"/>
          <w:bCs/>
          <w:szCs w:val="24"/>
        </w:rPr>
        <w:t xml:space="preserve"> be designed and delivered as 1:1 or group activities</w:t>
      </w:r>
      <w:r w:rsidR="008A4578">
        <w:rPr>
          <w:rFonts w:cstheme="minorHAnsi"/>
          <w:bCs/>
          <w:szCs w:val="24"/>
        </w:rPr>
        <w:t>.</w:t>
      </w:r>
    </w:p>
    <w:p w:rsidR="00980F62" w:rsidRDefault="00351320" w:rsidP="00151877">
      <w:pPr>
        <w:pStyle w:val="ListParagraph"/>
        <w:numPr>
          <w:ilvl w:val="0"/>
          <w:numId w:val="70"/>
        </w:numPr>
        <w:rPr>
          <w:lang w:eastAsia="en-AU"/>
        </w:rPr>
      </w:pPr>
      <w:r w:rsidRPr="008D61C7">
        <w:rPr>
          <w:lang w:eastAsia="en-AU"/>
        </w:rPr>
        <w:t>Consumers should be provided with opportunities to directly influence the type and features of any program designed for them</w:t>
      </w:r>
      <w:r w:rsidR="008A4578">
        <w:rPr>
          <w:lang w:eastAsia="en-AU"/>
        </w:rPr>
        <w:t>.</w:t>
      </w:r>
    </w:p>
    <w:p w:rsidR="00351320" w:rsidRPr="008D61C7" w:rsidRDefault="00351320" w:rsidP="00151877">
      <w:pPr>
        <w:pStyle w:val="ListParagraph"/>
        <w:numPr>
          <w:ilvl w:val="0"/>
          <w:numId w:val="70"/>
        </w:numPr>
        <w:rPr>
          <w:lang w:eastAsia="en-AU"/>
        </w:rPr>
      </w:pPr>
      <w:r w:rsidRPr="008D61C7">
        <w:rPr>
          <w:lang w:eastAsia="en-AU"/>
        </w:rPr>
        <w:t>The Therapy Program will incorporate an Accountability Framework</w:t>
      </w:r>
      <w:r w:rsidR="008A4578">
        <w:rPr>
          <w:lang w:eastAsia="en-AU"/>
        </w:rPr>
        <w:t>.</w:t>
      </w:r>
    </w:p>
    <w:p w:rsidR="00351320" w:rsidRPr="008D61C7" w:rsidRDefault="00351320" w:rsidP="00595387">
      <w:pPr>
        <w:pStyle w:val="ListParagraph"/>
        <w:numPr>
          <w:ilvl w:val="0"/>
          <w:numId w:val="70"/>
        </w:numPr>
        <w:rPr>
          <w:lang w:eastAsia="en-AU"/>
        </w:rPr>
      </w:pPr>
      <w:r w:rsidRPr="008D61C7">
        <w:rPr>
          <w:lang w:eastAsia="en-AU"/>
        </w:rPr>
        <w:t>All residents of aged care facilities will be eligible for the Therapy Program</w:t>
      </w:r>
      <w:r w:rsidR="008A4578">
        <w:rPr>
          <w:lang w:eastAsia="en-AU"/>
        </w:rPr>
        <w:t>.</w:t>
      </w:r>
    </w:p>
    <w:p w:rsidR="00980F62" w:rsidRDefault="00351320" w:rsidP="00595387">
      <w:pPr>
        <w:pStyle w:val="ListParagraph"/>
        <w:numPr>
          <w:ilvl w:val="0"/>
          <w:numId w:val="70"/>
        </w:numPr>
        <w:rPr>
          <w:lang w:eastAsia="en-AU"/>
        </w:rPr>
      </w:pPr>
      <w:r w:rsidRPr="008D61C7">
        <w:rPr>
          <w:lang w:eastAsia="en-AU"/>
        </w:rPr>
        <w:t>Funding will be available to support all residents in a facility</w:t>
      </w:r>
      <w:r w:rsidR="008A4578">
        <w:rPr>
          <w:lang w:eastAsia="en-AU"/>
        </w:rPr>
        <w:t>.</w:t>
      </w:r>
    </w:p>
    <w:p w:rsidR="003501D2" w:rsidRPr="00BA7728" w:rsidRDefault="003501D2" w:rsidP="003501D2">
      <w:pPr>
        <w:rPr>
          <w:rFonts w:cstheme="minorHAnsi"/>
          <w:szCs w:val="24"/>
        </w:rPr>
      </w:pPr>
      <w:r w:rsidRPr="00BA7728">
        <w:rPr>
          <w:rFonts w:cstheme="minorHAnsi"/>
          <w:szCs w:val="24"/>
        </w:rPr>
        <w:t>T</w:t>
      </w:r>
      <w:r>
        <w:rPr>
          <w:rFonts w:cstheme="minorHAnsi"/>
          <w:szCs w:val="24"/>
        </w:rPr>
        <w:t>he recommended Therapy Program options</w:t>
      </w:r>
      <w:r w:rsidRPr="00BA7728">
        <w:rPr>
          <w:rFonts w:cstheme="minorHAnsi"/>
          <w:szCs w:val="24"/>
        </w:rPr>
        <w:t xml:space="preserve"> </w:t>
      </w:r>
      <w:r>
        <w:rPr>
          <w:rFonts w:cstheme="minorHAnsi"/>
          <w:szCs w:val="24"/>
        </w:rPr>
        <w:t xml:space="preserve">to be funded </w:t>
      </w:r>
      <w:r w:rsidRPr="00BA7728">
        <w:rPr>
          <w:rFonts w:cstheme="minorHAnsi"/>
          <w:szCs w:val="24"/>
        </w:rPr>
        <w:t>are:</w:t>
      </w:r>
    </w:p>
    <w:p w:rsidR="00980F62" w:rsidRDefault="003501D2" w:rsidP="00557DB1">
      <w:pPr>
        <w:pStyle w:val="ListParagraph"/>
        <w:numPr>
          <w:ilvl w:val="0"/>
          <w:numId w:val="44"/>
        </w:numPr>
        <w:ind w:left="360"/>
        <w:contextualSpacing w:val="0"/>
        <w:rPr>
          <w:lang w:eastAsia="en-AU"/>
        </w:rPr>
      </w:pPr>
      <w:r w:rsidRPr="00BA7728">
        <w:rPr>
          <w:b/>
          <w:lang w:eastAsia="en-AU"/>
        </w:rPr>
        <w:t>Option A:</w:t>
      </w:r>
      <w:r w:rsidRPr="00BA7728">
        <w:rPr>
          <w:lang w:eastAsia="en-AU"/>
        </w:rPr>
        <w:t xml:space="preserve"> </w:t>
      </w:r>
      <w:r>
        <w:rPr>
          <w:lang w:eastAsia="en-AU"/>
        </w:rPr>
        <w:t xml:space="preserve">One (1) </w:t>
      </w:r>
      <w:r w:rsidRPr="00BA7728">
        <w:rPr>
          <w:lang w:eastAsia="en-AU"/>
        </w:rPr>
        <w:t>individual physical therapy session</w:t>
      </w:r>
      <w:r>
        <w:rPr>
          <w:lang w:eastAsia="en-AU"/>
        </w:rPr>
        <w:t xml:space="preserve"> and three</w:t>
      </w:r>
      <w:r w:rsidRPr="00BA7728">
        <w:rPr>
          <w:lang w:eastAsia="en-AU"/>
        </w:rPr>
        <w:t xml:space="preserve"> </w:t>
      </w:r>
      <w:r>
        <w:rPr>
          <w:lang w:eastAsia="en-AU"/>
        </w:rPr>
        <w:t xml:space="preserve">(3) small group sessions </w:t>
      </w:r>
      <w:r w:rsidRPr="00BA7728">
        <w:rPr>
          <w:lang w:eastAsia="en-AU"/>
        </w:rPr>
        <w:t xml:space="preserve">with a total requirement of </w:t>
      </w:r>
      <w:r>
        <w:rPr>
          <w:lang w:eastAsia="en-AU"/>
        </w:rPr>
        <w:t>180</w:t>
      </w:r>
      <w:r w:rsidRPr="00BA7728">
        <w:rPr>
          <w:lang w:eastAsia="en-AU"/>
        </w:rPr>
        <w:t xml:space="preserve"> minutes of physical therapy per week.</w:t>
      </w:r>
    </w:p>
    <w:p w:rsidR="00980F62" w:rsidRDefault="003501D2" w:rsidP="00557DB1">
      <w:pPr>
        <w:pStyle w:val="ListParagraph"/>
        <w:numPr>
          <w:ilvl w:val="0"/>
          <w:numId w:val="44"/>
        </w:numPr>
        <w:ind w:left="360"/>
        <w:contextualSpacing w:val="0"/>
        <w:rPr>
          <w:lang w:eastAsia="en-AU"/>
        </w:rPr>
      </w:pPr>
      <w:r w:rsidRPr="00BA7728">
        <w:rPr>
          <w:b/>
          <w:lang w:eastAsia="en-AU"/>
        </w:rPr>
        <w:t>Option B:</w:t>
      </w:r>
      <w:r w:rsidRPr="00BA7728">
        <w:rPr>
          <w:lang w:eastAsia="en-AU"/>
        </w:rPr>
        <w:t xml:space="preserve"> Two </w:t>
      </w:r>
      <w:r>
        <w:rPr>
          <w:lang w:eastAsia="en-AU"/>
        </w:rPr>
        <w:t xml:space="preserve">(2) </w:t>
      </w:r>
      <w:r w:rsidRPr="00BA7728">
        <w:rPr>
          <w:lang w:eastAsia="en-AU"/>
        </w:rPr>
        <w:t xml:space="preserve">individual physical therapy sessions and </w:t>
      </w:r>
      <w:r>
        <w:rPr>
          <w:lang w:eastAsia="en-AU"/>
        </w:rPr>
        <w:t>two (2)</w:t>
      </w:r>
      <w:r w:rsidRPr="00BA7728">
        <w:rPr>
          <w:lang w:eastAsia="en-AU"/>
        </w:rPr>
        <w:t xml:space="preserve"> small group session</w:t>
      </w:r>
      <w:r>
        <w:rPr>
          <w:lang w:eastAsia="en-AU"/>
        </w:rPr>
        <w:t>s</w:t>
      </w:r>
      <w:r w:rsidRPr="00BA7728">
        <w:rPr>
          <w:lang w:eastAsia="en-AU"/>
        </w:rPr>
        <w:t xml:space="preserve"> with a total requirement of </w:t>
      </w:r>
      <w:r>
        <w:rPr>
          <w:lang w:eastAsia="en-AU"/>
        </w:rPr>
        <w:t>140</w:t>
      </w:r>
      <w:r w:rsidRPr="00BA7728">
        <w:rPr>
          <w:lang w:eastAsia="en-AU"/>
        </w:rPr>
        <w:t xml:space="preserve"> minutes of therapy per week.</w:t>
      </w:r>
    </w:p>
    <w:p w:rsidR="00980F62" w:rsidRDefault="003501D2" w:rsidP="00557DB1">
      <w:pPr>
        <w:pStyle w:val="ListParagraph"/>
        <w:numPr>
          <w:ilvl w:val="0"/>
          <w:numId w:val="44"/>
        </w:numPr>
        <w:ind w:left="360"/>
        <w:contextualSpacing w:val="0"/>
        <w:rPr>
          <w:lang w:eastAsia="en-AU"/>
        </w:rPr>
      </w:pPr>
      <w:r w:rsidRPr="00BA7728">
        <w:rPr>
          <w:b/>
          <w:lang w:eastAsia="en-AU"/>
        </w:rPr>
        <w:t>Option C:</w:t>
      </w:r>
      <w:r w:rsidRPr="00BA7728">
        <w:rPr>
          <w:lang w:eastAsia="en-AU"/>
        </w:rPr>
        <w:t xml:space="preserve"> </w:t>
      </w:r>
      <w:r>
        <w:rPr>
          <w:lang w:eastAsia="en-AU"/>
        </w:rPr>
        <w:t>Three (3)</w:t>
      </w:r>
      <w:r w:rsidRPr="00BA7728">
        <w:rPr>
          <w:lang w:eastAsia="en-AU"/>
        </w:rPr>
        <w:t xml:space="preserve"> individual physical therapy sessions with a total requirement of </w:t>
      </w:r>
      <w:r>
        <w:rPr>
          <w:lang w:eastAsia="en-AU"/>
        </w:rPr>
        <w:t>60</w:t>
      </w:r>
      <w:r w:rsidR="008A4578">
        <w:rPr>
          <w:lang w:eastAsia="en-AU"/>
        </w:rPr>
        <w:t> </w:t>
      </w:r>
      <w:r w:rsidRPr="00BA7728">
        <w:rPr>
          <w:lang w:eastAsia="en-AU"/>
        </w:rPr>
        <w:t>minutes of therapy per week.</w:t>
      </w:r>
    </w:p>
    <w:p w:rsidR="00BB731D" w:rsidRPr="003668EC" w:rsidRDefault="00BB731D" w:rsidP="00BB731D">
      <w:pPr>
        <w:rPr>
          <w:lang w:val="en-CA"/>
        </w:rPr>
      </w:pPr>
      <w:r w:rsidRPr="003668EC">
        <w:rPr>
          <w:lang w:eastAsia="en-AU"/>
        </w:rPr>
        <w:t>The Therapy Program will be funded at one level only. It is expected that at any one time</w:t>
      </w:r>
      <w:r>
        <w:rPr>
          <w:lang w:eastAsia="en-AU"/>
        </w:rPr>
        <w:t>,</w:t>
      </w:r>
      <w:r w:rsidRPr="003668EC">
        <w:rPr>
          <w:lang w:eastAsia="en-AU"/>
        </w:rPr>
        <w:t xml:space="preserve"> at least 75</w:t>
      </w:r>
      <w:r w:rsidR="00C947E9">
        <w:rPr>
          <w:lang w:eastAsia="en-AU"/>
        </w:rPr>
        <w:t xml:space="preserve"> per cent</w:t>
      </w:r>
      <w:r w:rsidRPr="003668EC">
        <w:rPr>
          <w:lang w:eastAsia="en-AU"/>
        </w:rPr>
        <w:t xml:space="preserve"> of residents in a facility will be funded under the program. The Therapy Program will be funded through the R-ACFI system and follow the usual ACFI submission and </w:t>
      </w:r>
      <w:r w:rsidR="008A4578">
        <w:rPr>
          <w:lang w:eastAsia="en-AU"/>
        </w:rPr>
        <w:br/>
      </w:r>
      <w:r w:rsidRPr="003668EC">
        <w:rPr>
          <w:lang w:eastAsia="en-AU"/>
        </w:rPr>
        <w:t xml:space="preserve">re-appraisal rules. The Therapy Program will not expire but will need to be re-submitted if appropriate when the ACFI is updated. </w:t>
      </w:r>
      <w:r w:rsidRPr="003668EC">
        <w:t xml:space="preserve">The Therapy Program will not be prescriptive about the type of services that will be covered, but it will prescribe minimum time requirements and who can undertake assessment, </w:t>
      </w:r>
      <w:r>
        <w:t xml:space="preserve">an evidence base, </w:t>
      </w:r>
      <w:r w:rsidRPr="003668EC">
        <w:t>care planning and program delivery.</w:t>
      </w:r>
    </w:p>
    <w:p w:rsidR="00BB731D" w:rsidRDefault="00BB731D" w:rsidP="00BB731D">
      <w:r>
        <w:t>The quality of a Therapy P</w:t>
      </w:r>
      <w:r w:rsidRPr="00586FA2">
        <w:t xml:space="preserve">rogram could be audited </w:t>
      </w:r>
      <w:r>
        <w:t xml:space="preserve">by either the Quality Agency and, for funding accountability </w:t>
      </w:r>
      <w:r w:rsidRPr="00586FA2">
        <w:t>purposes</w:t>
      </w:r>
      <w:r>
        <w:t xml:space="preserve">, via the usual validation activities. Audit criteria for the Therapy Program </w:t>
      </w:r>
      <w:r w:rsidRPr="00586FA2">
        <w:t>could include</w:t>
      </w:r>
      <w:r>
        <w:t>:</w:t>
      </w:r>
    </w:p>
    <w:p w:rsidR="00BB731D" w:rsidRDefault="00BB731D" w:rsidP="00557DB1">
      <w:pPr>
        <w:pStyle w:val="ListParagraph"/>
        <w:numPr>
          <w:ilvl w:val="0"/>
          <w:numId w:val="40"/>
        </w:numPr>
      </w:pPr>
      <w:r>
        <w:t>Evidence-based assessments</w:t>
      </w:r>
    </w:p>
    <w:p w:rsidR="00BB731D" w:rsidRDefault="00BB731D" w:rsidP="00557DB1">
      <w:pPr>
        <w:pStyle w:val="ListParagraph"/>
        <w:numPr>
          <w:ilvl w:val="0"/>
          <w:numId w:val="40"/>
        </w:numPr>
      </w:pPr>
      <w:r>
        <w:rPr>
          <w:szCs w:val="24"/>
        </w:rPr>
        <w:t>I</w:t>
      </w:r>
      <w:r w:rsidRPr="002F2C10">
        <w:rPr>
          <w:szCs w:val="24"/>
        </w:rPr>
        <w:t xml:space="preserve">ndividualised Therapy Programs </w:t>
      </w:r>
      <w:r>
        <w:rPr>
          <w:szCs w:val="24"/>
        </w:rPr>
        <w:t>including detailed directives</w:t>
      </w:r>
    </w:p>
    <w:p w:rsidR="00BB731D" w:rsidRDefault="00BB731D" w:rsidP="00557DB1">
      <w:pPr>
        <w:pStyle w:val="ListParagraph"/>
        <w:numPr>
          <w:ilvl w:val="0"/>
          <w:numId w:val="40"/>
        </w:numPr>
      </w:pPr>
      <w:r>
        <w:t>Clearly defined goals that include measurable therapy outcomes and personalised resident goals</w:t>
      </w:r>
    </w:p>
    <w:p w:rsidR="00BB731D" w:rsidRDefault="00BB731D" w:rsidP="00557DB1">
      <w:pPr>
        <w:pStyle w:val="ListParagraph"/>
        <w:numPr>
          <w:ilvl w:val="0"/>
          <w:numId w:val="40"/>
        </w:numPr>
      </w:pPr>
      <w:r>
        <w:t>R</w:t>
      </w:r>
      <w:r w:rsidRPr="00C44A5B">
        <w:t>ecords of treatment to be</w:t>
      </w:r>
      <w:r w:rsidRPr="00586FA2">
        <w:t xml:space="preserve"> maintained to demons</w:t>
      </w:r>
      <w:r>
        <w:t>trate delivery</w:t>
      </w:r>
    </w:p>
    <w:p w:rsidR="00BB731D" w:rsidRPr="003668EC" w:rsidRDefault="00BB731D" w:rsidP="00557DB1">
      <w:pPr>
        <w:pStyle w:val="ListParagraph"/>
        <w:numPr>
          <w:ilvl w:val="0"/>
          <w:numId w:val="40"/>
        </w:numPr>
      </w:pPr>
      <w:r>
        <w:t>On request,</w:t>
      </w:r>
      <w:r w:rsidRPr="003668EC">
        <w:t xml:space="preserve"> the availability of regular </w:t>
      </w:r>
      <w:r w:rsidR="00E851F7">
        <w:t>three</w:t>
      </w:r>
      <w:r w:rsidRPr="003668EC">
        <w:t xml:space="preserve">-monthly evaluations of the program effectiveness with documented measurement-based outcomes and </w:t>
      </w:r>
      <w:r w:rsidRPr="003668EC">
        <w:rPr>
          <w:rFonts w:cstheme="minorHAnsi"/>
          <w:szCs w:val="24"/>
        </w:rPr>
        <w:t>clinician observations, and feedback from residents and their families</w:t>
      </w:r>
    </w:p>
    <w:p w:rsidR="003745B7" w:rsidRPr="00EB5572" w:rsidRDefault="00BB731D" w:rsidP="00557DB1">
      <w:pPr>
        <w:pStyle w:val="ListParagraph"/>
        <w:numPr>
          <w:ilvl w:val="0"/>
          <w:numId w:val="40"/>
        </w:numPr>
        <w:spacing w:after="200"/>
        <w:rPr>
          <w:b/>
          <w:color w:val="000000" w:themeColor="text1"/>
          <w:lang w:eastAsia="en-AU"/>
        </w:rPr>
      </w:pPr>
      <w:r w:rsidRPr="003668EC">
        <w:t>Evidence of consumer involvement</w:t>
      </w:r>
      <w:r>
        <w:t>.</w:t>
      </w:r>
    </w:p>
    <w:p w:rsidR="004269B6" w:rsidRPr="003745B7" w:rsidRDefault="004269B6" w:rsidP="003745B7">
      <w:pPr>
        <w:rPr>
          <w:lang w:eastAsia="en-AU"/>
        </w:rPr>
      </w:pPr>
      <w:r w:rsidRPr="003745B7">
        <w:rPr>
          <w:lang w:eastAsia="en-AU"/>
        </w:rPr>
        <w:br w:type="page"/>
      </w:r>
    </w:p>
    <w:p w:rsidR="00EB5572" w:rsidRDefault="00EB5572" w:rsidP="00EB5572">
      <w:pPr>
        <w:pStyle w:val="Caption"/>
        <w:keepNext/>
      </w:pPr>
      <w:bookmarkStart w:id="32" w:name="_Toc495415449"/>
      <w:r>
        <w:lastRenderedPageBreak/>
        <w:t xml:space="preserve">Table </w:t>
      </w:r>
      <w:r w:rsidR="009A3F5A">
        <w:fldChar w:fldCharType="begin"/>
      </w:r>
      <w:r w:rsidR="009A3F5A">
        <w:instrText xml:space="preserve"> SEQ Table \* ARABIC </w:instrText>
      </w:r>
      <w:r w:rsidR="009A3F5A">
        <w:fldChar w:fldCharType="separate"/>
      </w:r>
      <w:r w:rsidR="00856E49">
        <w:rPr>
          <w:noProof/>
        </w:rPr>
        <w:t>1</w:t>
      </w:r>
      <w:r w:rsidR="009A3F5A">
        <w:rPr>
          <w:noProof/>
        </w:rPr>
        <w:fldChar w:fldCharType="end"/>
      </w:r>
      <w:r>
        <w:t xml:space="preserve">: </w:t>
      </w:r>
      <w:r w:rsidRPr="00137C8D">
        <w:t>‘R-ACFI at a glance’</w:t>
      </w:r>
      <w:r w:rsidR="00334762">
        <w:t xml:space="preserve"> for General Questions and the Therapy Program</w:t>
      </w:r>
      <w:bookmarkEnd w:id="32"/>
    </w:p>
    <w:tbl>
      <w:tblPr>
        <w:tblStyle w:val="TableGrid"/>
        <w:tblW w:w="9214" w:type="dxa"/>
        <w:tblInd w:w="85"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57" w:type="dxa"/>
          <w:left w:w="85" w:type="dxa"/>
          <w:right w:w="85" w:type="dxa"/>
        </w:tblCellMar>
        <w:tblLook w:val="04A0" w:firstRow="1" w:lastRow="0" w:firstColumn="1" w:lastColumn="0" w:noHBand="0" w:noVBand="1"/>
        <w:tblDescription w:val="Table 1 is a list of appraisal evidence requirements for general questions and the Therapy Program under the Revised-Aged Care Funding Instrument (R-ACFI). This table is to be read left to right, top to bottom."/>
      </w:tblPr>
      <w:tblGrid>
        <w:gridCol w:w="4253"/>
        <w:gridCol w:w="4961"/>
      </w:tblGrid>
      <w:tr w:rsidR="00044FD8" w:rsidRPr="00044FD8" w:rsidTr="00334762">
        <w:trPr>
          <w:tblHeader/>
        </w:trPr>
        <w:tc>
          <w:tcPr>
            <w:tcW w:w="4253" w:type="dxa"/>
            <w:shd w:val="clear" w:color="auto" w:fill="5B9BD5" w:themeFill="accent5"/>
          </w:tcPr>
          <w:p w:rsidR="00044FD8" w:rsidRPr="00044FD8" w:rsidRDefault="00044FD8" w:rsidP="00044FD8">
            <w:pPr>
              <w:pStyle w:val="Tabletype"/>
              <w:spacing w:after="0"/>
              <w:jc w:val="left"/>
              <w:rPr>
                <w:rFonts w:asciiTheme="minorHAnsi" w:hAnsiTheme="minorHAnsi" w:cstheme="minorHAnsi"/>
                <w:b/>
                <w:color w:val="FFFFFF" w:themeColor="background1"/>
                <w:sz w:val="20"/>
                <w:szCs w:val="20"/>
              </w:rPr>
            </w:pPr>
            <w:r w:rsidRPr="00044FD8">
              <w:rPr>
                <w:rFonts w:asciiTheme="minorHAnsi" w:hAnsiTheme="minorHAnsi" w:cstheme="minorHAnsi"/>
                <w:b/>
                <w:color w:val="FFFFFF" w:themeColor="background1"/>
                <w:sz w:val="20"/>
                <w:szCs w:val="20"/>
              </w:rPr>
              <w:t>Question</w:t>
            </w:r>
          </w:p>
        </w:tc>
        <w:tc>
          <w:tcPr>
            <w:tcW w:w="4961" w:type="dxa"/>
            <w:shd w:val="clear" w:color="auto" w:fill="5B9BD5" w:themeFill="accent5"/>
          </w:tcPr>
          <w:p w:rsidR="00044FD8" w:rsidRPr="00044FD8" w:rsidRDefault="00044FD8" w:rsidP="00044FD8">
            <w:pPr>
              <w:pStyle w:val="Tabletype"/>
              <w:spacing w:after="0"/>
              <w:jc w:val="left"/>
              <w:rPr>
                <w:rFonts w:asciiTheme="minorHAnsi" w:hAnsiTheme="minorHAnsi" w:cstheme="minorHAnsi"/>
                <w:b/>
                <w:color w:val="FFFFFF" w:themeColor="background1"/>
                <w:sz w:val="20"/>
                <w:szCs w:val="20"/>
              </w:rPr>
            </w:pPr>
            <w:r w:rsidRPr="00044FD8">
              <w:rPr>
                <w:rFonts w:asciiTheme="minorHAnsi" w:hAnsiTheme="minorHAnsi" w:cstheme="minorHAnsi"/>
                <w:b/>
                <w:color w:val="FFFFFF" w:themeColor="background1"/>
                <w:sz w:val="20"/>
                <w:szCs w:val="20"/>
              </w:rPr>
              <w:t>Appraisal Evidence Requirements</w:t>
            </w:r>
          </w:p>
        </w:tc>
      </w:tr>
      <w:tr w:rsidR="00044FD8" w:rsidRPr="00EB5572" w:rsidTr="00334762">
        <w:tc>
          <w:tcPr>
            <w:tcW w:w="4253" w:type="dxa"/>
          </w:tcPr>
          <w:p w:rsidR="00044FD8" w:rsidRPr="00EB5572" w:rsidRDefault="00044FD8" w:rsidP="00EB5572">
            <w:pPr>
              <w:pStyle w:val="Tabletype"/>
              <w:spacing w:after="0"/>
              <w:jc w:val="left"/>
              <w:rPr>
                <w:rFonts w:asciiTheme="minorHAnsi" w:hAnsiTheme="minorHAnsi" w:cstheme="minorHAnsi"/>
                <w:sz w:val="20"/>
                <w:szCs w:val="20"/>
              </w:rPr>
            </w:pPr>
            <w:r w:rsidRPr="00EB5572">
              <w:rPr>
                <w:rFonts w:asciiTheme="minorHAnsi" w:hAnsiTheme="minorHAnsi" w:cstheme="minorHAnsi"/>
                <w:sz w:val="20"/>
                <w:szCs w:val="20"/>
              </w:rPr>
              <w:t>Mental and Behavioural Diagnosis</w:t>
            </w:r>
          </w:p>
        </w:tc>
        <w:tc>
          <w:tcPr>
            <w:tcW w:w="4961" w:type="dxa"/>
            <w:vMerge w:val="restart"/>
          </w:tcPr>
          <w:p w:rsidR="00044FD8" w:rsidRPr="00EB5572" w:rsidRDefault="00044FD8"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Disorders/ diagnosis checklists</w:t>
            </w:r>
          </w:p>
          <w:p w:rsidR="00044FD8" w:rsidRPr="00EB5572" w:rsidRDefault="00044FD8"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Source materials checklists</w:t>
            </w:r>
          </w:p>
          <w:p w:rsidR="00044FD8" w:rsidRPr="00EB5572" w:rsidRDefault="00044FD8"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Copies of source materials e.g. NSAF, ACCR, GP comprehensive medical assessment, other medical practitioner assessments or notes</w:t>
            </w:r>
          </w:p>
        </w:tc>
      </w:tr>
      <w:tr w:rsidR="00044FD8" w:rsidRPr="00EB5572" w:rsidTr="00334762">
        <w:tc>
          <w:tcPr>
            <w:tcW w:w="4253" w:type="dxa"/>
          </w:tcPr>
          <w:p w:rsidR="00044FD8" w:rsidRPr="00EB5572" w:rsidRDefault="00044FD8" w:rsidP="00EB5572">
            <w:pPr>
              <w:pStyle w:val="Tabletype"/>
              <w:spacing w:after="0"/>
              <w:jc w:val="left"/>
              <w:rPr>
                <w:rFonts w:asciiTheme="minorHAnsi" w:hAnsiTheme="minorHAnsi" w:cstheme="minorHAnsi"/>
                <w:sz w:val="20"/>
                <w:szCs w:val="20"/>
              </w:rPr>
            </w:pPr>
            <w:r w:rsidRPr="00EB5572">
              <w:rPr>
                <w:rFonts w:asciiTheme="minorHAnsi" w:hAnsiTheme="minorHAnsi" w:cstheme="minorHAnsi"/>
                <w:sz w:val="20"/>
                <w:szCs w:val="20"/>
              </w:rPr>
              <w:t>Medical Diagnosis</w:t>
            </w:r>
          </w:p>
        </w:tc>
        <w:tc>
          <w:tcPr>
            <w:tcW w:w="4961" w:type="dxa"/>
            <w:vMerge/>
          </w:tcPr>
          <w:p w:rsidR="00044FD8" w:rsidRPr="00EB5572" w:rsidRDefault="00044FD8" w:rsidP="00EB5572">
            <w:pPr>
              <w:pStyle w:val="Tabletype"/>
              <w:spacing w:after="0"/>
              <w:ind w:left="170" w:hanging="170"/>
              <w:jc w:val="left"/>
              <w:rPr>
                <w:rFonts w:asciiTheme="minorHAnsi" w:hAnsiTheme="minorHAnsi" w:cstheme="minorHAnsi"/>
                <w:sz w:val="20"/>
                <w:szCs w:val="20"/>
              </w:rPr>
            </w:pPr>
          </w:p>
        </w:tc>
      </w:tr>
      <w:tr w:rsidR="00044FD8" w:rsidRPr="00EB5572" w:rsidTr="00334762">
        <w:tc>
          <w:tcPr>
            <w:tcW w:w="4253" w:type="dxa"/>
          </w:tcPr>
          <w:p w:rsidR="00044FD8" w:rsidRPr="00EB5572" w:rsidRDefault="00044FD8" w:rsidP="00EB5572">
            <w:pPr>
              <w:pStyle w:val="Tabletype"/>
              <w:spacing w:after="0"/>
              <w:jc w:val="left"/>
              <w:rPr>
                <w:rFonts w:asciiTheme="minorHAnsi" w:hAnsiTheme="minorHAnsi" w:cstheme="minorHAnsi"/>
                <w:b/>
                <w:sz w:val="20"/>
                <w:szCs w:val="20"/>
              </w:rPr>
            </w:pPr>
            <w:r w:rsidRPr="00EB5572">
              <w:rPr>
                <w:rFonts w:asciiTheme="minorHAnsi" w:hAnsiTheme="minorHAnsi" w:cstheme="minorHAnsi"/>
                <w:b/>
                <w:sz w:val="20"/>
                <w:szCs w:val="20"/>
              </w:rPr>
              <w:t>Therapy Program</w:t>
            </w:r>
          </w:p>
          <w:p w:rsidR="00044FD8" w:rsidRPr="00EB5572" w:rsidRDefault="00044FD8" w:rsidP="00EB5572">
            <w:pPr>
              <w:pStyle w:val="Tabletype"/>
              <w:spacing w:after="0"/>
              <w:jc w:val="left"/>
              <w:rPr>
                <w:rFonts w:asciiTheme="minorHAnsi" w:hAnsiTheme="minorHAnsi" w:cstheme="minorHAnsi"/>
                <w:sz w:val="20"/>
                <w:szCs w:val="20"/>
              </w:rPr>
            </w:pPr>
            <w:r w:rsidRPr="00EB5572">
              <w:rPr>
                <w:rFonts w:asciiTheme="minorHAnsi" w:hAnsiTheme="minorHAnsi" w:cstheme="minorHAnsi"/>
                <w:sz w:val="20"/>
                <w:szCs w:val="20"/>
              </w:rPr>
              <w:t>Available for all residents at any level of care need. Consumer involvement - consent, developing goals and therapy options, sign off on Therapy Care Plan, evaluation feedback. Therapy service- delivered for 60/140/180 minutes /week on 3 -4 days of the week. Time depends on mix of mode. Therapy service mode: One-to-one or small group (max of 5 residents)</w:t>
            </w:r>
          </w:p>
        </w:tc>
        <w:tc>
          <w:tcPr>
            <w:tcW w:w="4961" w:type="dxa"/>
          </w:tcPr>
          <w:p w:rsidR="00044FD8" w:rsidRPr="00EB5572" w:rsidRDefault="00044FD8" w:rsidP="00EB5572">
            <w:pPr>
              <w:pStyle w:val="Tabletype"/>
              <w:numPr>
                <w:ilvl w:val="0"/>
                <w:numId w:val="111"/>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Evidence-based assessment tools by defined list of HP</w:t>
            </w:r>
          </w:p>
          <w:p w:rsidR="00044FD8" w:rsidRPr="00EB5572" w:rsidRDefault="00044FD8" w:rsidP="00EB5572">
            <w:pPr>
              <w:pStyle w:val="Tabletype"/>
              <w:numPr>
                <w:ilvl w:val="0"/>
                <w:numId w:val="111"/>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Therapy Care Plan developed by defined list of AHP</w:t>
            </w:r>
          </w:p>
          <w:p w:rsidR="00044FD8" w:rsidRPr="00EB5572" w:rsidRDefault="00044FD8" w:rsidP="00EB5572">
            <w:pPr>
              <w:pStyle w:val="Tabletype"/>
              <w:numPr>
                <w:ilvl w:val="0"/>
                <w:numId w:val="111"/>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Directive: developed by defined list of AHP lists the activities to achieve the goals, what is to be delivered, resources needed, who delivers it (by defined list of AHP) and the program timelines</w:t>
            </w:r>
          </w:p>
          <w:p w:rsidR="00044FD8" w:rsidRPr="00EB5572" w:rsidRDefault="00044FD8" w:rsidP="00EB5572">
            <w:pPr>
              <w:pStyle w:val="Tabletype"/>
              <w:numPr>
                <w:ilvl w:val="0"/>
                <w:numId w:val="111"/>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Record of Treatment is maintained</w:t>
            </w:r>
          </w:p>
          <w:p w:rsidR="00044FD8" w:rsidRPr="00EB5572" w:rsidRDefault="00044FD8" w:rsidP="00EB5572">
            <w:pPr>
              <w:pStyle w:val="Tabletype"/>
              <w:numPr>
                <w:ilvl w:val="0"/>
                <w:numId w:val="111"/>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3 monthly evaluation of measurable outcomes, observed outcomes and resident goals</w:t>
            </w:r>
          </w:p>
        </w:tc>
      </w:tr>
    </w:tbl>
    <w:p w:rsidR="009E0DB3" w:rsidRDefault="009E0DB3" w:rsidP="009E0DB3">
      <w:pPr>
        <w:pStyle w:val="Caption"/>
        <w:keepNext/>
      </w:pPr>
      <w:bookmarkStart w:id="33" w:name="_Toc495415459"/>
      <w:r>
        <w:t>Table 1</w:t>
      </w:r>
      <w:r w:rsidR="009A3F5A">
        <w:fldChar w:fldCharType="begin"/>
      </w:r>
      <w:r w:rsidR="009A3F5A">
        <w:instrText xml:space="preserve"> SEQ Table_1 \* alphabetic </w:instrText>
      </w:r>
      <w:r w:rsidR="009A3F5A">
        <w:fldChar w:fldCharType="separate"/>
      </w:r>
      <w:r w:rsidR="00856E49">
        <w:rPr>
          <w:noProof/>
        </w:rPr>
        <w:t>a</w:t>
      </w:r>
      <w:r w:rsidR="009A3F5A">
        <w:rPr>
          <w:noProof/>
        </w:rPr>
        <w:fldChar w:fldCharType="end"/>
      </w:r>
      <w:r>
        <w:t xml:space="preserve">: </w:t>
      </w:r>
      <w:r w:rsidRPr="00EF42FB">
        <w:t>R-ACFI at a glance’ for the Activities of Daily Living (ADL) Domain</w:t>
      </w:r>
      <w:bookmarkEnd w:id="33"/>
    </w:p>
    <w:tbl>
      <w:tblPr>
        <w:tblStyle w:val="TableGrid"/>
        <w:tblW w:w="9214" w:type="dxa"/>
        <w:tblInd w:w="85"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57" w:type="dxa"/>
          <w:left w:w="85" w:type="dxa"/>
          <w:right w:w="85" w:type="dxa"/>
        </w:tblCellMar>
        <w:tblLook w:val="04A0" w:firstRow="1" w:lastRow="0" w:firstColumn="1" w:lastColumn="0" w:noHBand="0" w:noVBand="1"/>
        <w:tblDescription w:val="Table 1a is a list of appraisal evidence requirements for activities of daily living (ADL) domain questions under the Revised-Aged Care Funding Instrument (R-ACFI). This table is to be read left to right, top to bottom."/>
      </w:tblPr>
      <w:tblGrid>
        <w:gridCol w:w="492"/>
        <w:gridCol w:w="3979"/>
        <w:gridCol w:w="4743"/>
      </w:tblGrid>
      <w:tr w:rsidR="00334762" w:rsidRPr="00334762" w:rsidTr="00334762">
        <w:trPr>
          <w:tblHeader/>
        </w:trPr>
        <w:tc>
          <w:tcPr>
            <w:tcW w:w="492" w:type="dxa"/>
            <w:shd w:val="clear" w:color="auto" w:fill="5B9BD5" w:themeFill="accent5"/>
          </w:tcPr>
          <w:p w:rsidR="00EB5572" w:rsidRPr="00334762" w:rsidRDefault="00EB5572" w:rsidP="00EB5572">
            <w:pPr>
              <w:pStyle w:val="Tableheader"/>
              <w:spacing w:after="0"/>
              <w:jc w:val="center"/>
              <w:rPr>
                <w:rFonts w:asciiTheme="minorHAnsi" w:hAnsiTheme="minorHAnsi"/>
                <w:color w:val="FFFFFF" w:themeColor="background1"/>
                <w:szCs w:val="20"/>
              </w:rPr>
            </w:pPr>
            <w:r w:rsidRPr="00334762">
              <w:rPr>
                <w:rFonts w:asciiTheme="minorHAnsi" w:hAnsiTheme="minorHAnsi"/>
                <w:color w:val="FFFFFF" w:themeColor="background1"/>
                <w:szCs w:val="20"/>
              </w:rPr>
              <w:t>No.</w:t>
            </w:r>
          </w:p>
        </w:tc>
        <w:tc>
          <w:tcPr>
            <w:tcW w:w="3979" w:type="dxa"/>
            <w:shd w:val="clear" w:color="auto" w:fill="5B9BD5" w:themeFill="accent5"/>
          </w:tcPr>
          <w:p w:rsidR="00EB5572" w:rsidRPr="00334762" w:rsidRDefault="00EB5572" w:rsidP="00EB5572">
            <w:pPr>
              <w:pStyle w:val="Tableheader"/>
              <w:spacing w:after="0"/>
              <w:jc w:val="left"/>
              <w:rPr>
                <w:rFonts w:asciiTheme="minorHAnsi" w:hAnsiTheme="minorHAnsi" w:cstheme="minorHAnsi"/>
                <w:color w:val="FFFFFF" w:themeColor="background1"/>
                <w:szCs w:val="20"/>
              </w:rPr>
            </w:pPr>
            <w:r w:rsidRPr="00334762">
              <w:rPr>
                <w:rFonts w:asciiTheme="minorHAnsi" w:hAnsiTheme="minorHAnsi" w:cstheme="minorHAnsi"/>
                <w:color w:val="FFFFFF" w:themeColor="background1"/>
                <w:szCs w:val="20"/>
              </w:rPr>
              <w:t>Question</w:t>
            </w:r>
          </w:p>
        </w:tc>
        <w:tc>
          <w:tcPr>
            <w:tcW w:w="4743" w:type="dxa"/>
            <w:shd w:val="clear" w:color="auto" w:fill="5B9BD5" w:themeFill="accent5"/>
          </w:tcPr>
          <w:p w:rsidR="00EB5572" w:rsidRPr="00334762" w:rsidRDefault="00EB5572" w:rsidP="00EB5572">
            <w:pPr>
              <w:pStyle w:val="Tableheader"/>
              <w:spacing w:after="0"/>
              <w:rPr>
                <w:rFonts w:asciiTheme="minorHAnsi" w:hAnsiTheme="minorHAnsi" w:cstheme="minorHAnsi"/>
                <w:color w:val="FFFFFF" w:themeColor="background1"/>
                <w:szCs w:val="20"/>
              </w:rPr>
            </w:pPr>
            <w:r w:rsidRPr="00334762">
              <w:rPr>
                <w:rFonts w:asciiTheme="minorHAnsi" w:hAnsiTheme="minorHAnsi" w:cstheme="minorHAnsi"/>
                <w:color w:val="FFFFFF" w:themeColor="background1"/>
                <w:szCs w:val="20"/>
              </w:rPr>
              <w:t>Appraisal Evidence Requirements</w:t>
            </w:r>
          </w:p>
        </w:tc>
      </w:tr>
      <w:tr w:rsidR="00EB5572" w:rsidRPr="00EB5572" w:rsidTr="00334762">
        <w:tc>
          <w:tcPr>
            <w:tcW w:w="492" w:type="dxa"/>
          </w:tcPr>
          <w:p w:rsidR="00EB5572" w:rsidRPr="00EB5572" w:rsidRDefault="00EB5572" w:rsidP="00EB5572">
            <w:pPr>
              <w:pStyle w:val="Tabletype"/>
              <w:jc w:val="center"/>
              <w:rPr>
                <w:rFonts w:asciiTheme="minorHAnsi" w:hAnsiTheme="minorHAnsi"/>
                <w:b/>
                <w:sz w:val="20"/>
                <w:szCs w:val="20"/>
              </w:rPr>
            </w:pPr>
            <w:r w:rsidRPr="00EB5572">
              <w:rPr>
                <w:rFonts w:asciiTheme="minorHAnsi" w:hAnsiTheme="minorHAnsi"/>
                <w:b/>
                <w:sz w:val="20"/>
                <w:szCs w:val="20"/>
              </w:rPr>
              <w:t>1</w:t>
            </w:r>
          </w:p>
        </w:tc>
        <w:tc>
          <w:tcPr>
            <w:tcW w:w="3979" w:type="dxa"/>
          </w:tcPr>
          <w:p w:rsidR="00EB5572" w:rsidRPr="00EB5572" w:rsidRDefault="00EB5572" w:rsidP="00EB5572">
            <w:pPr>
              <w:pStyle w:val="Tabletype"/>
              <w:spacing w:after="0"/>
              <w:jc w:val="left"/>
              <w:rPr>
                <w:rFonts w:asciiTheme="minorHAnsi" w:hAnsiTheme="minorHAnsi" w:cstheme="minorHAnsi"/>
                <w:b/>
                <w:bCs/>
                <w:sz w:val="20"/>
                <w:szCs w:val="20"/>
              </w:rPr>
            </w:pPr>
            <w:r w:rsidRPr="00EB5572">
              <w:rPr>
                <w:rFonts w:asciiTheme="minorHAnsi" w:hAnsiTheme="minorHAnsi" w:cstheme="minorHAnsi"/>
                <w:b/>
                <w:bCs/>
                <w:sz w:val="20"/>
                <w:szCs w:val="20"/>
              </w:rPr>
              <w:t>Nutrition</w:t>
            </w:r>
          </w:p>
          <w:p w:rsidR="00EB5572" w:rsidRPr="00EB5572" w:rsidRDefault="00EB5572" w:rsidP="00EB5572">
            <w:pPr>
              <w:pStyle w:val="Tabletype"/>
              <w:spacing w:after="0"/>
              <w:jc w:val="left"/>
              <w:rPr>
                <w:rFonts w:asciiTheme="minorHAnsi" w:hAnsiTheme="minorHAnsi" w:cstheme="minorHAnsi"/>
                <w:sz w:val="20"/>
                <w:szCs w:val="20"/>
              </w:rPr>
            </w:pPr>
            <w:r w:rsidRPr="00EB5572">
              <w:rPr>
                <w:rFonts w:asciiTheme="minorHAnsi" w:hAnsiTheme="minorHAnsi" w:cstheme="minorHAnsi"/>
                <w:sz w:val="20"/>
                <w:szCs w:val="20"/>
              </w:rPr>
              <w:t xml:space="preserve">Care need: </w:t>
            </w:r>
            <w:r w:rsidRPr="00EB5572">
              <w:rPr>
                <w:rFonts w:asciiTheme="minorHAnsi" w:hAnsiTheme="minorHAnsi" w:cstheme="minorHAnsi"/>
                <w:i/>
                <w:sz w:val="20"/>
                <w:szCs w:val="20"/>
              </w:rPr>
              <w:t>Eating activities</w:t>
            </w:r>
          </w:p>
          <w:p w:rsidR="00EB5572" w:rsidRPr="00EB5572" w:rsidRDefault="00EB5572" w:rsidP="00EB5572">
            <w:pPr>
              <w:pStyle w:val="Tabletype"/>
              <w:spacing w:after="0"/>
              <w:jc w:val="left"/>
              <w:rPr>
                <w:rFonts w:asciiTheme="minorHAnsi" w:hAnsiTheme="minorHAnsi" w:cstheme="minorHAnsi"/>
                <w:sz w:val="20"/>
                <w:szCs w:val="20"/>
              </w:rPr>
            </w:pPr>
            <w:r w:rsidRPr="00EB5572">
              <w:rPr>
                <w:rFonts w:asciiTheme="minorHAnsi" w:hAnsiTheme="minorHAnsi" w:cstheme="minorHAnsi"/>
                <w:sz w:val="20"/>
                <w:szCs w:val="20"/>
              </w:rPr>
              <w:t>Assistance level = Standard Care OR Monitoring OR Moderate Assistance OR Full Assistance</w:t>
            </w:r>
          </w:p>
        </w:tc>
        <w:tc>
          <w:tcPr>
            <w:tcW w:w="4743" w:type="dxa"/>
          </w:tcPr>
          <w:p w:rsidR="00980F6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Mini Nutritional Assessment (MNA-short)</w:t>
            </w:r>
          </w:p>
          <w:p w:rsidR="00EB5572" w:rsidRPr="00EB557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Nutrition Assessment Summary</w:t>
            </w:r>
          </w:p>
          <w:p w:rsidR="00EB5572" w:rsidRPr="00EB557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Nutrition Checklist</w:t>
            </w:r>
          </w:p>
        </w:tc>
      </w:tr>
      <w:tr w:rsidR="00EB5572" w:rsidRPr="00EB5572" w:rsidTr="00334762">
        <w:tc>
          <w:tcPr>
            <w:tcW w:w="492" w:type="dxa"/>
          </w:tcPr>
          <w:p w:rsidR="00EB5572" w:rsidRPr="00EB5572" w:rsidRDefault="00EB5572" w:rsidP="00EB5572">
            <w:pPr>
              <w:pStyle w:val="Tabletype"/>
              <w:jc w:val="center"/>
              <w:rPr>
                <w:rFonts w:asciiTheme="minorHAnsi" w:hAnsiTheme="minorHAnsi"/>
                <w:b/>
                <w:sz w:val="20"/>
                <w:szCs w:val="20"/>
              </w:rPr>
            </w:pPr>
            <w:r w:rsidRPr="00EB5572">
              <w:rPr>
                <w:rFonts w:asciiTheme="minorHAnsi" w:hAnsiTheme="minorHAnsi"/>
                <w:b/>
                <w:sz w:val="20"/>
                <w:szCs w:val="20"/>
              </w:rPr>
              <w:t>2</w:t>
            </w:r>
          </w:p>
        </w:tc>
        <w:tc>
          <w:tcPr>
            <w:tcW w:w="3979" w:type="dxa"/>
          </w:tcPr>
          <w:p w:rsidR="00EB5572" w:rsidRPr="00EB5572" w:rsidRDefault="00EB5572" w:rsidP="00EB5572">
            <w:pPr>
              <w:pStyle w:val="Tabletype"/>
              <w:spacing w:after="0"/>
              <w:jc w:val="left"/>
              <w:rPr>
                <w:rFonts w:asciiTheme="minorHAnsi" w:hAnsiTheme="minorHAnsi" w:cstheme="minorHAnsi"/>
                <w:b/>
                <w:bCs/>
                <w:sz w:val="20"/>
                <w:szCs w:val="20"/>
              </w:rPr>
            </w:pPr>
            <w:r w:rsidRPr="00EB5572">
              <w:rPr>
                <w:rFonts w:asciiTheme="minorHAnsi" w:hAnsiTheme="minorHAnsi" w:cstheme="minorHAnsi"/>
                <w:b/>
                <w:bCs/>
                <w:sz w:val="20"/>
                <w:szCs w:val="20"/>
              </w:rPr>
              <w:t>Mobility</w:t>
            </w:r>
          </w:p>
          <w:p w:rsidR="00EB5572" w:rsidRPr="00EB5572" w:rsidRDefault="00EB5572" w:rsidP="00EB5572">
            <w:pPr>
              <w:pStyle w:val="Tabletype"/>
              <w:spacing w:after="0"/>
              <w:jc w:val="left"/>
              <w:rPr>
                <w:rFonts w:asciiTheme="minorHAnsi" w:hAnsiTheme="minorHAnsi" w:cstheme="minorHAnsi"/>
                <w:sz w:val="20"/>
                <w:szCs w:val="20"/>
              </w:rPr>
            </w:pPr>
            <w:r w:rsidRPr="00EB5572">
              <w:rPr>
                <w:rFonts w:asciiTheme="minorHAnsi" w:hAnsiTheme="minorHAnsi" w:cstheme="minorHAnsi"/>
                <w:sz w:val="20"/>
                <w:szCs w:val="20"/>
              </w:rPr>
              <w:t>Care needs</w:t>
            </w:r>
            <w:r w:rsidRPr="00EB5572">
              <w:rPr>
                <w:rFonts w:asciiTheme="minorHAnsi" w:hAnsiTheme="minorHAnsi" w:cstheme="minorHAnsi"/>
                <w:i/>
                <w:sz w:val="20"/>
                <w:szCs w:val="20"/>
              </w:rPr>
              <w:t>: Transfers / Locomotion</w:t>
            </w:r>
          </w:p>
          <w:p w:rsidR="00EB5572" w:rsidRPr="00EB5572" w:rsidRDefault="00EB5572" w:rsidP="00EB5572">
            <w:pPr>
              <w:pStyle w:val="Tabletype"/>
              <w:spacing w:after="0"/>
              <w:jc w:val="left"/>
              <w:rPr>
                <w:rFonts w:asciiTheme="minorHAnsi" w:hAnsiTheme="minorHAnsi" w:cstheme="minorHAnsi"/>
                <w:sz w:val="20"/>
                <w:szCs w:val="20"/>
              </w:rPr>
            </w:pPr>
            <w:r w:rsidRPr="00EB5572">
              <w:rPr>
                <w:rFonts w:asciiTheme="minorHAnsi" w:hAnsiTheme="minorHAnsi" w:cstheme="minorHAnsi"/>
                <w:sz w:val="20"/>
                <w:szCs w:val="20"/>
              </w:rPr>
              <w:t>Assistance level = Standard Care OR Moderate Assistance OR Full Assistance OR Mechanical lifting</w:t>
            </w:r>
          </w:p>
        </w:tc>
        <w:tc>
          <w:tcPr>
            <w:tcW w:w="4743" w:type="dxa"/>
          </w:tcPr>
          <w:p w:rsidR="00EB5572" w:rsidRPr="00EB557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PMS &amp; FRAT Assessment</w:t>
            </w:r>
          </w:p>
          <w:p w:rsidR="00EB5572" w:rsidRPr="00EB557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Mobility Assessment Summary</w:t>
            </w:r>
          </w:p>
          <w:p w:rsidR="00EB5572" w:rsidRPr="00EB557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Mobility Checklists</w:t>
            </w:r>
          </w:p>
        </w:tc>
      </w:tr>
      <w:tr w:rsidR="00EB5572" w:rsidRPr="00EB5572" w:rsidTr="00334762">
        <w:tc>
          <w:tcPr>
            <w:tcW w:w="492" w:type="dxa"/>
          </w:tcPr>
          <w:p w:rsidR="00EB5572" w:rsidRPr="00EB5572" w:rsidRDefault="00EB5572" w:rsidP="00EB5572">
            <w:pPr>
              <w:pStyle w:val="Tabletype"/>
              <w:jc w:val="center"/>
              <w:rPr>
                <w:rFonts w:asciiTheme="minorHAnsi" w:hAnsiTheme="minorHAnsi"/>
                <w:b/>
                <w:sz w:val="20"/>
                <w:szCs w:val="20"/>
              </w:rPr>
            </w:pPr>
            <w:r w:rsidRPr="00EB5572">
              <w:rPr>
                <w:rFonts w:asciiTheme="minorHAnsi" w:hAnsiTheme="minorHAnsi"/>
                <w:b/>
                <w:sz w:val="20"/>
                <w:szCs w:val="20"/>
              </w:rPr>
              <w:t>3</w:t>
            </w:r>
          </w:p>
        </w:tc>
        <w:tc>
          <w:tcPr>
            <w:tcW w:w="3979" w:type="dxa"/>
          </w:tcPr>
          <w:p w:rsidR="00EB5572" w:rsidRPr="00EB5572" w:rsidRDefault="00EB5572" w:rsidP="00EB5572">
            <w:pPr>
              <w:pStyle w:val="Tabletype"/>
              <w:spacing w:after="0"/>
              <w:jc w:val="left"/>
              <w:rPr>
                <w:rFonts w:asciiTheme="minorHAnsi" w:hAnsiTheme="minorHAnsi" w:cstheme="minorHAnsi"/>
                <w:b/>
                <w:bCs/>
                <w:sz w:val="20"/>
                <w:szCs w:val="20"/>
              </w:rPr>
            </w:pPr>
            <w:r w:rsidRPr="00EB5572">
              <w:rPr>
                <w:rFonts w:asciiTheme="minorHAnsi" w:hAnsiTheme="minorHAnsi" w:cstheme="minorHAnsi"/>
                <w:b/>
                <w:bCs/>
                <w:sz w:val="20"/>
                <w:szCs w:val="20"/>
              </w:rPr>
              <w:t>Personal Hygiene</w:t>
            </w:r>
          </w:p>
          <w:p w:rsidR="00980F62" w:rsidRDefault="00EB5572" w:rsidP="00EB5572">
            <w:pPr>
              <w:pStyle w:val="Tabletype"/>
              <w:spacing w:after="0"/>
              <w:jc w:val="left"/>
              <w:rPr>
                <w:rFonts w:asciiTheme="minorHAnsi" w:hAnsiTheme="minorHAnsi" w:cstheme="minorHAnsi"/>
                <w:i/>
                <w:sz w:val="20"/>
                <w:szCs w:val="20"/>
              </w:rPr>
            </w:pPr>
            <w:r w:rsidRPr="00EB5572">
              <w:rPr>
                <w:rFonts w:asciiTheme="minorHAnsi" w:hAnsiTheme="minorHAnsi" w:cstheme="minorHAnsi"/>
                <w:sz w:val="20"/>
                <w:szCs w:val="20"/>
              </w:rPr>
              <w:t xml:space="preserve">Care needs: </w:t>
            </w:r>
            <w:r w:rsidRPr="00EB5572">
              <w:rPr>
                <w:rFonts w:asciiTheme="minorHAnsi" w:hAnsiTheme="minorHAnsi" w:cstheme="minorHAnsi"/>
                <w:i/>
                <w:sz w:val="20"/>
                <w:szCs w:val="20"/>
              </w:rPr>
              <w:t>Dressing / Washing</w:t>
            </w:r>
          </w:p>
          <w:p w:rsidR="00EB5572" w:rsidRPr="00EB5572" w:rsidRDefault="00EB5572" w:rsidP="00EB5572">
            <w:pPr>
              <w:pStyle w:val="Tabletype"/>
              <w:spacing w:after="0"/>
              <w:jc w:val="left"/>
              <w:rPr>
                <w:rFonts w:asciiTheme="minorHAnsi" w:hAnsiTheme="minorHAnsi" w:cstheme="minorHAnsi"/>
                <w:sz w:val="20"/>
                <w:szCs w:val="20"/>
              </w:rPr>
            </w:pPr>
            <w:r w:rsidRPr="00EB5572">
              <w:rPr>
                <w:rFonts w:asciiTheme="minorHAnsi" w:hAnsiTheme="minorHAnsi" w:cstheme="minorHAnsi"/>
                <w:sz w:val="20"/>
                <w:szCs w:val="20"/>
              </w:rPr>
              <w:t xml:space="preserve">Assistance level = Standard Care OR Moderate Assistance OR Full Assistance </w:t>
            </w:r>
          </w:p>
        </w:tc>
        <w:tc>
          <w:tcPr>
            <w:tcW w:w="4743" w:type="dxa"/>
          </w:tcPr>
          <w:p w:rsidR="00EB5572" w:rsidRPr="00EB557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Assessment</w:t>
            </w:r>
          </w:p>
          <w:p w:rsidR="00EB5572" w:rsidRPr="00EB557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Personal Hygiene Checklists</w:t>
            </w:r>
          </w:p>
          <w:p w:rsidR="00EB5572" w:rsidRPr="00EB557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PMS &amp; FRAT Assessment</w:t>
            </w:r>
          </w:p>
        </w:tc>
      </w:tr>
      <w:tr w:rsidR="00EB5572" w:rsidRPr="00EB5572" w:rsidTr="00334762">
        <w:tc>
          <w:tcPr>
            <w:tcW w:w="492" w:type="dxa"/>
          </w:tcPr>
          <w:p w:rsidR="00EB5572" w:rsidRPr="00EB5572" w:rsidRDefault="00EB5572" w:rsidP="00EB5572">
            <w:pPr>
              <w:pStyle w:val="Tabletype"/>
              <w:jc w:val="center"/>
              <w:rPr>
                <w:rFonts w:asciiTheme="minorHAnsi" w:hAnsiTheme="minorHAnsi"/>
                <w:b/>
                <w:sz w:val="20"/>
                <w:szCs w:val="20"/>
              </w:rPr>
            </w:pPr>
            <w:r w:rsidRPr="00EB5572">
              <w:rPr>
                <w:rFonts w:asciiTheme="minorHAnsi" w:hAnsiTheme="minorHAnsi"/>
                <w:b/>
                <w:sz w:val="20"/>
                <w:szCs w:val="20"/>
              </w:rPr>
              <w:t>4</w:t>
            </w:r>
          </w:p>
        </w:tc>
        <w:tc>
          <w:tcPr>
            <w:tcW w:w="3979" w:type="dxa"/>
          </w:tcPr>
          <w:p w:rsidR="00EB5572" w:rsidRPr="00EB5572" w:rsidRDefault="00EB5572" w:rsidP="00EB5572">
            <w:pPr>
              <w:pStyle w:val="Tabletype"/>
              <w:spacing w:after="0"/>
              <w:jc w:val="left"/>
              <w:rPr>
                <w:rFonts w:asciiTheme="minorHAnsi" w:hAnsiTheme="minorHAnsi" w:cstheme="minorHAnsi"/>
                <w:b/>
                <w:bCs/>
                <w:sz w:val="20"/>
                <w:szCs w:val="20"/>
              </w:rPr>
            </w:pPr>
            <w:r w:rsidRPr="00EB5572">
              <w:rPr>
                <w:rFonts w:asciiTheme="minorHAnsi" w:hAnsiTheme="minorHAnsi" w:cstheme="minorHAnsi"/>
                <w:b/>
                <w:bCs/>
                <w:sz w:val="20"/>
                <w:szCs w:val="20"/>
              </w:rPr>
              <w:t>Toileting</w:t>
            </w:r>
          </w:p>
          <w:p w:rsidR="00EB5572" w:rsidRPr="00EB5572" w:rsidRDefault="00EB5572" w:rsidP="00EB5572">
            <w:pPr>
              <w:pStyle w:val="Tabletype"/>
              <w:spacing w:after="0"/>
              <w:jc w:val="left"/>
              <w:rPr>
                <w:rFonts w:asciiTheme="minorHAnsi" w:hAnsiTheme="minorHAnsi" w:cstheme="minorHAnsi"/>
                <w:sz w:val="20"/>
                <w:szCs w:val="20"/>
              </w:rPr>
            </w:pPr>
            <w:r w:rsidRPr="00EB5572">
              <w:rPr>
                <w:rFonts w:asciiTheme="minorHAnsi" w:hAnsiTheme="minorHAnsi" w:cstheme="minorHAnsi"/>
                <w:sz w:val="20"/>
                <w:szCs w:val="20"/>
              </w:rPr>
              <w:t xml:space="preserve">Care needs: </w:t>
            </w:r>
            <w:r w:rsidRPr="00EB5572">
              <w:rPr>
                <w:rFonts w:asciiTheme="minorHAnsi" w:hAnsiTheme="minorHAnsi" w:cstheme="minorHAnsi"/>
                <w:i/>
                <w:sz w:val="20"/>
                <w:szCs w:val="20"/>
              </w:rPr>
              <w:t>Use of toilet / Toilet completion</w:t>
            </w:r>
          </w:p>
          <w:p w:rsidR="00EB5572" w:rsidRPr="00EB5572" w:rsidRDefault="00EB5572" w:rsidP="00EB5572">
            <w:pPr>
              <w:pStyle w:val="Tabletype"/>
              <w:spacing w:after="0"/>
              <w:jc w:val="left"/>
              <w:rPr>
                <w:rFonts w:asciiTheme="minorHAnsi" w:hAnsiTheme="minorHAnsi" w:cstheme="minorHAnsi"/>
                <w:sz w:val="20"/>
                <w:szCs w:val="20"/>
              </w:rPr>
            </w:pPr>
            <w:r w:rsidRPr="00EB5572">
              <w:rPr>
                <w:rFonts w:asciiTheme="minorHAnsi" w:hAnsiTheme="minorHAnsi" w:cstheme="minorHAnsi"/>
                <w:sz w:val="20"/>
                <w:szCs w:val="20"/>
              </w:rPr>
              <w:t xml:space="preserve">Assistance level = Standard Care OR Moderate Assistance OR Full Assistance </w:t>
            </w:r>
          </w:p>
        </w:tc>
        <w:tc>
          <w:tcPr>
            <w:tcW w:w="4743" w:type="dxa"/>
          </w:tcPr>
          <w:p w:rsidR="00EB5572" w:rsidRPr="00EB557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Assessment</w:t>
            </w:r>
          </w:p>
          <w:p w:rsidR="00EB5572" w:rsidRPr="00EB557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Toileting Checklists</w:t>
            </w:r>
          </w:p>
          <w:p w:rsidR="00EB5572" w:rsidRPr="00EB557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PMS &amp; FRAT Assessment</w:t>
            </w:r>
          </w:p>
        </w:tc>
      </w:tr>
      <w:tr w:rsidR="00EB5572" w:rsidRPr="00EB5572" w:rsidTr="00334762">
        <w:tc>
          <w:tcPr>
            <w:tcW w:w="492" w:type="dxa"/>
          </w:tcPr>
          <w:p w:rsidR="00EB5572" w:rsidRPr="00EB5572" w:rsidRDefault="00EB5572" w:rsidP="00EB5572">
            <w:pPr>
              <w:pStyle w:val="Tabletype"/>
              <w:jc w:val="center"/>
              <w:rPr>
                <w:rFonts w:asciiTheme="minorHAnsi" w:hAnsiTheme="minorHAnsi"/>
                <w:b/>
                <w:sz w:val="20"/>
                <w:szCs w:val="20"/>
              </w:rPr>
            </w:pPr>
            <w:r w:rsidRPr="00EB5572">
              <w:rPr>
                <w:rFonts w:asciiTheme="minorHAnsi" w:hAnsiTheme="minorHAnsi"/>
                <w:b/>
                <w:sz w:val="20"/>
                <w:szCs w:val="20"/>
              </w:rPr>
              <w:t>5</w:t>
            </w:r>
          </w:p>
        </w:tc>
        <w:tc>
          <w:tcPr>
            <w:tcW w:w="3979" w:type="dxa"/>
          </w:tcPr>
          <w:p w:rsidR="00EB5572" w:rsidRPr="00EB5572" w:rsidRDefault="00EB5572" w:rsidP="00EB5572">
            <w:pPr>
              <w:pStyle w:val="Tabletype"/>
              <w:spacing w:after="0"/>
              <w:jc w:val="left"/>
              <w:rPr>
                <w:rFonts w:asciiTheme="minorHAnsi" w:hAnsiTheme="minorHAnsi" w:cstheme="minorHAnsi"/>
                <w:b/>
                <w:bCs/>
                <w:sz w:val="20"/>
                <w:szCs w:val="20"/>
              </w:rPr>
            </w:pPr>
            <w:r w:rsidRPr="00EB5572">
              <w:rPr>
                <w:rFonts w:asciiTheme="minorHAnsi" w:hAnsiTheme="minorHAnsi" w:cstheme="minorHAnsi"/>
                <w:b/>
                <w:bCs/>
                <w:sz w:val="20"/>
                <w:szCs w:val="20"/>
              </w:rPr>
              <w:t>Continence</w:t>
            </w:r>
          </w:p>
          <w:p w:rsidR="00EB5572" w:rsidRPr="00EB5572" w:rsidRDefault="00EB5572" w:rsidP="00EB5572">
            <w:pPr>
              <w:pStyle w:val="Tabletype"/>
              <w:spacing w:after="0"/>
              <w:jc w:val="left"/>
              <w:rPr>
                <w:rFonts w:asciiTheme="minorHAnsi" w:hAnsiTheme="minorHAnsi" w:cstheme="minorHAnsi"/>
                <w:sz w:val="20"/>
                <w:szCs w:val="20"/>
              </w:rPr>
            </w:pPr>
            <w:r w:rsidRPr="00EB5572">
              <w:rPr>
                <w:rFonts w:asciiTheme="minorHAnsi" w:hAnsiTheme="minorHAnsi" w:cstheme="minorHAnsi"/>
                <w:sz w:val="20"/>
                <w:szCs w:val="20"/>
              </w:rPr>
              <w:t>Urinary continence/Faecal continence</w:t>
            </w:r>
          </w:p>
          <w:p w:rsidR="00EB5572" w:rsidRPr="00EB5572" w:rsidRDefault="00EB5572" w:rsidP="00EB5572">
            <w:pPr>
              <w:pStyle w:val="Tabletype"/>
              <w:spacing w:after="0"/>
              <w:jc w:val="left"/>
              <w:rPr>
                <w:rFonts w:asciiTheme="minorHAnsi" w:hAnsiTheme="minorHAnsi" w:cstheme="minorHAnsi"/>
                <w:sz w:val="20"/>
                <w:szCs w:val="20"/>
              </w:rPr>
            </w:pPr>
            <w:r w:rsidRPr="00EB5572">
              <w:rPr>
                <w:rFonts w:asciiTheme="minorHAnsi" w:hAnsiTheme="minorHAnsi" w:cstheme="minorHAnsi"/>
                <w:sz w:val="20"/>
                <w:szCs w:val="20"/>
              </w:rPr>
              <w:t>Measurement = frequency</w:t>
            </w:r>
          </w:p>
          <w:p w:rsidR="00EB5572" w:rsidRPr="00EB5572" w:rsidRDefault="00EB5572" w:rsidP="00EB5572">
            <w:pPr>
              <w:pStyle w:val="Tabletype"/>
              <w:spacing w:after="0"/>
              <w:jc w:val="left"/>
              <w:rPr>
                <w:rFonts w:asciiTheme="minorHAnsi" w:hAnsiTheme="minorHAnsi" w:cstheme="minorHAnsi"/>
                <w:sz w:val="20"/>
                <w:szCs w:val="20"/>
              </w:rPr>
            </w:pPr>
            <w:r w:rsidRPr="00EB5572">
              <w:rPr>
                <w:rFonts w:asciiTheme="minorHAnsi" w:hAnsiTheme="minorHAnsi" w:cstheme="minorHAnsi"/>
                <w:sz w:val="20"/>
                <w:szCs w:val="20"/>
              </w:rPr>
              <w:t>(*Note: Other types of logs or diaries may be used to complete the continence record providing they contain all the required information).</w:t>
            </w:r>
          </w:p>
        </w:tc>
        <w:tc>
          <w:tcPr>
            <w:tcW w:w="4743" w:type="dxa"/>
          </w:tcPr>
          <w:p w:rsidR="00EB5572" w:rsidRPr="00EB557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Continence Records*</w:t>
            </w:r>
          </w:p>
          <w:p w:rsidR="00EB5572" w:rsidRPr="00EB557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Diagnosis of urine/faecal incontinence or Assessment completed (Continence Assessment Form and Care Plan)</w:t>
            </w:r>
          </w:p>
          <w:p w:rsidR="00EB5572" w:rsidRPr="00EB557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Continence Assessment Summary</w:t>
            </w:r>
          </w:p>
          <w:p w:rsidR="00EB5572" w:rsidRPr="00EB557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Continence Checklists</w:t>
            </w:r>
          </w:p>
        </w:tc>
      </w:tr>
      <w:tr w:rsidR="00EB5572" w:rsidRPr="00EB5572" w:rsidTr="00334762">
        <w:tc>
          <w:tcPr>
            <w:tcW w:w="492" w:type="dxa"/>
          </w:tcPr>
          <w:p w:rsidR="00EB5572" w:rsidRPr="00EB5572" w:rsidRDefault="00EB5572" w:rsidP="00EB5572">
            <w:pPr>
              <w:pStyle w:val="Tabletype"/>
              <w:spacing w:after="0"/>
              <w:rPr>
                <w:rFonts w:asciiTheme="minorHAnsi" w:hAnsiTheme="minorHAnsi"/>
                <w:sz w:val="20"/>
                <w:szCs w:val="20"/>
              </w:rPr>
            </w:pPr>
            <w:r w:rsidRPr="00EB5572">
              <w:rPr>
                <w:rFonts w:asciiTheme="minorHAnsi" w:hAnsiTheme="minorHAnsi"/>
                <w:i/>
                <w:sz w:val="20"/>
                <w:szCs w:val="20"/>
              </w:rPr>
              <w:t>NA</w:t>
            </w:r>
          </w:p>
        </w:tc>
        <w:tc>
          <w:tcPr>
            <w:tcW w:w="3979" w:type="dxa"/>
          </w:tcPr>
          <w:p w:rsidR="00EB5572" w:rsidRPr="00EB5572" w:rsidRDefault="00EB5572" w:rsidP="00EB5572">
            <w:pPr>
              <w:pStyle w:val="Tabletype"/>
              <w:spacing w:after="0"/>
              <w:jc w:val="left"/>
              <w:rPr>
                <w:rFonts w:asciiTheme="minorHAnsi" w:hAnsiTheme="minorHAnsi" w:cstheme="minorHAnsi"/>
                <w:b/>
                <w:bCs/>
                <w:sz w:val="20"/>
                <w:szCs w:val="20"/>
              </w:rPr>
            </w:pPr>
            <w:r w:rsidRPr="00EB5572">
              <w:rPr>
                <w:rFonts w:asciiTheme="minorHAnsi" w:hAnsiTheme="minorHAnsi" w:cstheme="minorHAnsi"/>
                <w:b/>
                <w:bCs/>
                <w:sz w:val="20"/>
                <w:szCs w:val="20"/>
              </w:rPr>
              <w:t>Reason for Assistance with ADLs</w:t>
            </w:r>
          </w:p>
        </w:tc>
        <w:tc>
          <w:tcPr>
            <w:tcW w:w="4743" w:type="dxa"/>
          </w:tcPr>
          <w:p w:rsidR="00EB5572" w:rsidRPr="00EB5572" w:rsidRDefault="00EB5572" w:rsidP="00EB5572">
            <w:pPr>
              <w:pStyle w:val="Tabletype"/>
              <w:numPr>
                <w:ilvl w:val="0"/>
                <w:numId w:val="9"/>
              </w:numPr>
              <w:spacing w:after="0"/>
              <w:ind w:left="170" w:hanging="170"/>
              <w:rPr>
                <w:rFonts w:asciiTheme="minorHAnsi" w:hAnsiTheme="minorHAnsi" w:cstheme="minorHAnsi"/>
                <w:sz w:val="20"/>
                <w:szCs w:val="20"/>
              </w:rPr>
            </w:pPr>
            <w:r w:rsidRPr="00EB5572">
              <w:rPr>
                <w:rFonts w:asciiTheme="minorHAnsi" w:hAnsiTheme="minorHAnsi" w:cstheme="minorHAnsi"/>
                <w:sz w:val="20"/>
                <w:szCs w:val="20"/>
              </w:rPr>
              <w:t>ADL Checklist</w:t>
            </w:r>
          </w:p>
        </w:tc>
      </w:tr>
    </w:tbl>
    <w:p w:rsidR="00EB5572" w:rsidRDefault="00EB5572" w:rsidP="00EB5572">
      <w:r>
        <w:br w:type="page"/>
      </w:r>
    </w:p>
    <w:p w:rsidR="009E0DB3" w:rsidRDefault="009E0DB3" w:rsidP="009E0DB3">
      <w:pPr>
        <w:pStyle w:val="Caption"/>
        <w:keepNext/>
      </w:pPr>
      <w:bookmarkStart w:id="34" w:name="_Toc495415460"/>
      <w:r>
        <w:lastRenderedPageBreak/>
        <w:t>Table 1</w:t>
      </w:r>
      <w:r w:rsidR="009A3F5A">
        <w:fldChar w:fldCharType="begin"/>
      </w:r>
      <w:r w:rsidR="009A3F5A">
        <w:instrText xml:space="preserve"> SEQ Table_1 \* alphabetic </w:instrText>
      </w:r>
      <w:r w:rsidR="009A3F5A">
        <w:fldChar w:fldCharType="separate"/>
      </w:r>
      <w:r w:rsidR="00856E49">
        <w:rPr>
          <w:noProof/>
        </w:rPr>
        <w:t>b</w:t>
      </w:r>
      <w:r w:rsidR="009A3F5A">
        <w:rPr>
          <w:noProof/>
        </w:rPr>
        <w:fldChar w:fldCharType="end"/>
      </w:r>
      <w:r>
        <w:t xml:space="preserve">: </w:t>
      </w:r>
      <w:r w:rsidRPr="00EF42FB">
        <w:t>R-ACFI at a glance’ for the Behaviour Domain</w:t>
      </w:r>
      <w:bookmarkEnd w:id="34"/>
    </w:p>
    <w:tbl>
      <w:tblPr>
        <w:tblStyle w:val="TableGrid"/>
        <w:tblW w:w="9214" w:type="dxa"/>
        <w:tblInd w:w="85"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57" w:type="dxa"/>
          <w:left w:w="85" w:type="dxa"/>
          <w:right w:w="85" w:type="dxa"/>
        </w:tblCellMar>
        <w:tblLook w:val="04A0" w:firstRow="1" w:lastRow="0" w:firstColumn="1" w:lastColumn="0" w:noHBand="0" w:noVBand="1"/>
        <w:tblDescription w:val="Table 1b is a list of appraisal evidence requirements for behaviour domain questions under the Revised-Aged Care Funding Instrument (R-ACFI). This table is to be read left to right, top to bottom."/>
      </w:tblPr>
      <w:tblGrid>
        <w:gridCol w:w="463"/>
        <w:gridCol w:w="3982"/>
        <w:gridCol w:w="4769"/>
      </w:tblGrid>
      <w:tr w:rsidR="00334762" w:rsidRPr="00334762" w:rsidTr="00334762">
        <w:trPr>
          <w:tblHeader/>
        </w:trPr>
        <w:tc>
          <w:tcPr>
            <w:tcW w:w="463" w:type="dxa"/>
            <w:shd w:val="clear" w:color="auto" w:fill="5B9BD5" w:themeFill="accent5"/>
          </w:tcPr>
          <w:p w:rsidR="00EB5572" w:rsidRPr="00334762" w:rsidRDefault="00EB5572" w:rsidP="00EB5572">
            <w:pPr>
              <w:pStyle w:val="Tableheader"/>
              <w:spacing w:after="0"/>
              <w:jc w:val="center"/>
              <w:rPr>
                <w:rFonts w:asciiTheme="minorHAnsi" w:hAnsiTheme="minorHAnsi"/>
                <w:color w:val="FFFFFF" w:themeColor="background1"/>
                <w:szCs w:val="20"/>
              </w:rPr>
            </w:pPr>
            <w:r w:rsidRPr="00334762">
              <w:rPr>
                <w:rFonts w:asciiTheme="minorHAnsi" w:hAnsiTheme="minorHAnsi"/>
                <w:color w:val="FFFFFF" w:themeColor="background1"/>
                <w:szCs w:val="20"/>
              </w:rPr>
              <w:t>No.</w:t>
            </w:r>
          </w:p>
        </w:tc>
        <w:tc>
          <w:tcPr>
            <w:tcW w:w="3982" w:type="dxa"/>
            <w:shd w:val="clear" w:color="auto" w:fill="5B9BD5" w:themeFill="accent5"/>
          </w:tcPr>
          <w:p w:rsidR="00EB5572" w:rsidRPr="00334762" w:rsidRDefault="00EB5572" w:rsidP="00EB5572">
            <w:pPr>
              <w:pStyle w:val="Tableheader"/>
              <w:spacing w:after="0"/>
              <w:jc w:val="left"/>
              <w:rPr>
                <w:rFonts w:asciiTheme="minorHAnsi" w:hAnsiTheme="minorHAnsi" w:cstheme="minorHAnsi"/>
                <w:color w:val="FFFFFF" w:themeColor="background1"/>
                <w:szCs w:val="20"/>
              </w:rPr>
            </w:pPr>
            <w:r w:rsidRPr="00334762">
              <w:rPr>
                <w:rFonts w:asciiTheme="minorHAnsi" w:hAnsiTheme="minorHAnsi" w:cstheme="minorHAnsi"/>
                <w:color w:val="FFFFFF" w:themeColor="background1"/>
                <w:szCs w:val="20"/>
              </w:rPr>
              <w:t>Question</w:t>
            </w:r>
          </w:p>
        </w:tc>
        <w:tc>
          <w:tcPr>
            <w:tcW w:w="4769" w:type="dxa"/>
            <w:shd w:val="clear" w:color="auto" w:fill="5B9BD5" w:themeFill="accent5"/>
          </w:tcPr>
          <w:p w:rsidR="00EB5572" w:rsidRPr="00334762" w:rsidRDefault="00EB5572" w:rsidP="00EB5572">
            <w:pPr>
              <w:pStyle w:val="Tableheader"/>
              <w:spacing w:after="0"/>
              <w:rPr>
                <w:rFonts w:asciiTheme="minorHAnsi" w:hAnsiTheme="minorHAnsi" w:cstheme="minorHAnsi"/>
                <w:color w:val="FFFFFF" w:themeColor="background1"/>
                <w:szCs w:val="20"/>
              </w:rPr>
            </w:pPr>
            <w:r w:rsidRPr="00334762">
              <w:rPr>
                <w:rFonts w:asciiTheme="minorHAnsi" w:hAnsiTheme="minorHAnsi" w:cstheme="minorHAnsi"/>
                <w:color w:val="FFFFFF" w:themeColor="background1"/>
                <w:szCs w:val="20"/>
              </w:rPr>
              <w:t>Appraisal Evidence Requirements</w:t>
            </w:r>
          </w:p>
        </w:tc>
      </w:tr>
      <w:tr w:rsidR="00EB5572" w:rsidRPr="00EB5572" w:rsidTr="00334762">
        <w:tc>
          <w:tcPr>
            <w:tcW w:w="463" w:type="dxa"/>
          </w:tcPr>
          <w:p w:rsidR="00EB5572" w:rsidRPr="00EB5572" w:rsidRDefault="00EB5572" w:rsidP="00EB5572">
            <w:pPr>
              <w:pStyle w:val="Tabletype"/>
              <w:jc w:val="center"/>
              <w:rPr>
                <w:rFonts w:asciiTheme="minorHAnsi" w:hAnsiTheme="minorHAnsi"/>
                <w:b/>
                <w:sz w:val="20"/>
                <w:szCs w:val="20"/>
              </w:rPr>
            </w:pPr>
            <w:r w:rsidRPr="00EB5572">
              <w:rPr>
                <w:rFonts w:asciiTheme="minorHAnsi" w:hAnsiTheme="minorHAnsi"/>
                <w:b/>
                <w:sz w:val="20"/>
                <w:szCs w:val="20"/>
              </w:rPr>
              <w:t>6</w:t>
            </w:r>
          </w:p>
        </w:tc>
        <w:tc>
          <w:tcPr>
            <w:tcW w:w="3982" w:type="dxa"/>
          </w:tcPr>
          <w:p w:rsidR="00EB5572" w:rsidRPr="00EB5572" w:rsidRDefault="00EB5572" w:rsidP="00EB5572">
            <w:pPr>
              <w:pStyle w:val="Tabletype"/>
              <w:spacing w:after="0"/>
              <w:jc w:val="left"/>
              <w:rPr>
                <w:rFonts w:asciiTheme="minorHAnsi" w:hAnsiTheme="minorHAnsi" w:cstheme="minorHAnsi"/>
                <w:b/>
                <w:bCs/>
                <w:sz w:val="20"/>
                <w:szCs w:val="20"/>
              </w:rPr>
            </w:pPr>
            <w:r w:rsidRPr="00EB5572">
              <w:rPr>
                <w:rFonts w:asciiTheme="minorHAnsi" w:hAnsiTheme="minorHAnsi" w:cstheme="minorHAnsi"/>
                <w:b/>
                <w:bCs/>
                <w:sz w:val="20"/>
                <w:szCs w:val="20"/>
              </w:rPr>
              <w:t>Cognitive Skills</w:t>
            </w:r>
          </w:p>
          <w:p w:rsidR="00EB5572" w:rsidRPr="00EB5572" w:rsidRDefault="00EB5572" w:rsidP="00EB5572">
            <w:pPr>
              <w:pStyle w:val="Tabletype"/>
              <w:spacing w:after="0"/>
              <w:jc w:val="left"/>
              <w:rPr>
                <w:rFonts w:asciiTheme="minorHAnsi" w:hAnsiTheme="minorHAnsi" w:cstheme="minorHAnsi"/>
                <w:sz w:val="20"/>
                <w:szCs w:val="20"/>
              </w:rPr>
            </w:pPr>
            <w:r w:rsidRPr="00EB5572">
              <w:rPr>
                <w:rFonts w:asciiTheme="minorHAnsi" w:hAnsiTheme="minorHAnsi" w:cstheme="minorHAnsi"/>
                <w:sz w:val="20"/>
                <w:szCs w:val="20"/>
              </w:rPr>
              <w:t>Care needs: needs arising from cognitive impairment</w:t>
            </w:r>
          </w:p>
          <w:p w:rsidR="00EB5572" w:rsidRPr="00EB5572" w:rsidRDefault="00EB5572" w:rsidP="00EB5572">
            <w:pPr>
              <w:pStyle w:val="Tabletype"/>
              <w:spacing w:after="0"/>
              <w:jc w:val="left"/>
              <w:rPr>
                <w:rFonts w:asciiTheme="minorHAnsi" w:hAnsiTheme="minorHAnsi" w:cstheme="minorHAnsi"/>
                <w:sz w:val="20"/>
                <w:szCs w:val="20"/>
              </w:rPr>
            </w:pPr>
            <w:r w:rsidRPr="00EB5572">
              <w:rPr>
                <w:rFonts w:asciiTheme="minorHAnsi" w:hAnsiTheme="minorHAnsi" w:cstheme="minorHAnsi"/>
                <w:sz w:val="20"/>
                <w:szCs w:val="20"/>
              </w:rPr>
              <w:t>Measurement = none, mild, moderate, severe</w:t>
            </w:r>
          </w:p>
        </w:tc>
        <w:tc>
          <w:tcPr>
            <w:tcW w:w="4769" w:type="dxa"/>
          </w:tcPr>
          <w:p w:rsidR="00EB5572" w:rsidRPr="00EB557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SMMSE if appropriate</w:t>
            </w:r>
          </w:p>
          <w:p w:rsidR="00EB5572" w:rsidRPr="00EB557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Cognitive Skills Assessment Summary</w:t>
            </w:r>
          </w:p>
          <w:p w:rsidR="00EB5572" w:rsidRPr="00EB557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Cognitive Skills Checklist</w:t>
            </w:r>
          </w:p>
          <w:p w:rsidR="00EB5572" w:rsidRPr="00EB5572" w:rsidRDefault="00EB5572" w:rsidP="00EB5572">
            <w:pPr>
              <w:pStyle w:val="Tabletype"/>
              <w:spacing w:before="60" w:after="0"/>
              <w:jc w:val="left"/>
              <w:rPr>
                <w:rFonts w:asciiTheme="minorHAnsi" w:hAnsiTheme="minorHAnsi" w:cstheme="minorHAnsi"/>
                <w:sz w:val="20"/>
                <w:szCs w:val="20"/>
              </w:rPr>
            </w:pPr>
            <w:r w:rsidRPr="00EB5572">
              <w:rPr>
                <w:rFonts w:asciiTheme="minorHAnsi" w:hAnsiTheme="minorHAnsi" w:cstheme="minorHAnsi"/>
                <w:sz w:val="20"/>
                <w:szCs w:val="20"/>
              </w:rPr>
              <w:t>(Note: Evidence is required if SMMSE is not completed e.g. a clinical report may be attached to provide supporting evidence)</w:t>
            </w:r>
          </w:p>
        </w:tc>
      </w:tr>
      <w:tr w:rsidR="00EB5572" w:rsidRPr="00EB5572" w:rsidTr="00334762">
        <w:tc>
          <w:tcPr>
            <w:tcW w:w="463" w:type="dxa"/>
            <w:shd w:val="clear" w:color="auto" w:fill="auto"/>
          </w:tcPr>
          <w:p w:rsidR="00EB5572" w:rsidRPr="00EB5572" w:rsidRDefault="00EB5572" w:rsidP="00EB5572">
            <w:pPr>
              <w:pStyle w:val="Tabletype"/>
              <w:jc w:val="center"/>
              <w:rPr>
                <w:rFonts w:asciiTheme="minorHAnsi" w:hAnsiTheme="minorHAnsi"/>
                <w:b/>
                <w:sz w:val="20"/>
                <w:szCs w:val="20"/>
              </w:rPr>
            </w:pPr>
            <w:r w:rsidRPr="00EB5572">
              <w:rPr>
                <w:rFonts w:asciiTheme="minorHAnsi" w:hAnsiTheme="minorHAnsi"/>
                <w:b/>
                <w:sz w:val="20"/>
                <w:szCs w:val="20"/>
              </w:rPr>
              <w:t>7</w:t>
            </w:r>
          </w:p>
        </w:tc>
        <w:tc>
          <w:tcPr>
            <w:tcW w:w="3982" w:type="dxa"/>
            <w:shd w:val="clear" w:color="auto" w:fill="auto"/>
          </w:tcPr>
          <w:p w:rsidR="00EB5572" w:rsidRPr="00EB5572" w:rsidRDefault="00EB5572" w:rsidP="00EB5572">
            <w:pPr>
              <w:pStyle w:val="Tabletype"/>
              <w:spacing w:after="0"/>
              <w:jc w:val="left"/>
              <w:rPr>
                <w:rFonts w:asciiTheme="minorHAnsi" w:hAnsiTheme="minorHAnsi" w:cstheme="minorHAnsi"/>
                <w:b/>
                <w:bCs/>
                <w:sz w:val="20"/>
                <w:szCs w:val="20"/>
              </w:rPr>
            </w:pPr>
            <w:r w:rsidRPr="00EB5572">
              <w:rPr>
                <w:rFonts w:asciiTheme="minorHAnsi" w:hAnsiTheme="minorHAnsi" w:cstheme="minorHAnsi"/>
                <w:b/>
                <w:bCs/>
                <w:sz w:val="20"/>
                <w:szCs w:val="20"/>
              </w:rPr>
              <w:t>Behaviour</w:t>
            </w:r>
          </w:p>
          <w:p w:rsidR="00980F62" w:rsidRDefault="00EB5572" w:rsidP="00EB5572">
            <w:pPr>
              <w:pStyle w:val="Tabletype"/>
              <w:spacing w:after="0"/>
              <w:jc w:val="left"/>
              <w:rPr>
                <w:rFonts w:asciiTheme="minorHAnsi" w:hAnsiTheme="minorHAnsi" w:cstheme="minorHAnsi"/>
                <w:sz w:val="20"/>
                <w:szCs w:val="20"/>
              </w:rPr>
            </w:pPr>
            <w:r w:rsidRPr="00EB5572">
              <w:rPr>
                <w:rFonts w:asciiTheme="minorHAnsi" w:hAnsiTheme="minorHAnsi" w:cstheme="minorHAnsi"/>
                <w:sz w:val="20"/>
                <w:szCs w:val="20"/>
              </w:rPr>
              <w:t>Care need: 7 behaviour types</w:t>
            </w:r>
          </w:p>
          <w:p w:rsidR="00EB5572" w:rsidRPr="00EB5572" w:rsidRDefault="00EB5572" w:rsidP="00EB5572">
            <w:pPr>
              <w:pStyle w:val="Tabletype"/>
              <w:spacing w:after="0"/>
              <w:jc w:val="left"/>
              <w:rPr>
                <w:rFonts w:asciiTheme="minorHAnsi" w:hAnsiTheme="minorHAnsi" w:cstheme="minorHAnsi"/>
                <w:sz w:val="20"/>
                <w:szCs w:val="20"/>
              </w:rPr>
            </w:pPr>
            <w:r w:rsidRPr="00EB5572">
              <w:rPr>
                <w:rFonts w:asciiTheme="minorHAnsi" w:hAnsiTheme="minorHAnsi" w:cstheme="minorHAnsi"/>
                <w:sz w:val="20"/>
                <w:szCs w:val="20"/>
              </w:rPr>
              <w:t>Measurement 1= Frequency (less than daily; daily; two times per day; more than two times per day)</w:t>
            </w:r>
          </w:p>
          <w:p w:rsidR="00EB5572" w:rsidRPr="00EB5572" w:rsidRDefault="00EB5572" w:rsidP="00EB5572">
            <w:pPr>
              <w:pStyle w:val="Tabletype"/>
              <w:spacing w:after="0"/>
              <w:jc w:val="left"/>
              <w:rPr>
                <w:rFonts w:asciiTheme="minorHAnsi" w:hAnsiTheme="minorHAnsi" w:cstheme="minorHAnsi"/>
                <w:sz w:val="20"/>
                <w:szCs w:val="20"/>
              </w:rPr>
            </w:pPr>
            <w:r w:rsidRPr="00EB5572">
              <w:rPr>
                <w:rFonts w:asciiTheme="minorHAnsi" w:hAnsiTheme="minorHAnsi" w:cstheme="minorHAnsi"/>
                <w:sz w:val="20"/>
                <w:szCs w:val="20"/>
              </w:rPr>
              <w:t>Measurement 2 = Disruptiveness (mildly; moderately; severely; extremely)</w:t>
            </w:r>
          </w:p>
          <w:p w:rsidR="00EB5572" w:rsidRPr="00EB5572" w:rsidRDefault="00EB5572" w:rsidP="00EB5572">
            <w:pPr>
              <w:pStyle w:val="Tabletype"/>
              <w:spacing w:after="0"/>
              <w:jc w:val="left"/>
              <w:rPr>
                <w:rFonts w:asciiTheme="minorHAnsi" w:hAnsiTheme="minorHAnsi" w:cstheme="minorHAnsi"/>
                <w:sz w:val="20"/>
                <w:szCs w:val="20"/>
                <w:highlight w:val="yellow"/>
              </w:rPr>
            </w:pPr>
            <w:r w:rsidRPr="00EB5572">
              <w:rPr>
                <w:rFonts w:asciiTheme="minorHAnsi" w:hAnsiTheme="minorHAnsi" w:cstheme="minorHAnsi"/>
                <w:sz w:val="20"/>
                <w:szCs w:val="20"/>
              </w:rPr>
              <w:t>Individualised Behaviour Descriptions</w:t>
            </w:r>
          </w:p>
        </w:tc>
        <w:tc>
          <w:tcPr>
            <w:tcW w:w="4769" w:type="dxa"/>
          </w:tcPr>
          <w:p w:rsidR="00EB5572" w:rsidRPr="00EB557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Wandering/verbal/physical behaviour records*</w:t>
            </w:r>
          </w:p>
          <w:p w:rsidR="00EB5572" w:rsidRPr="00EB557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Behaviour Assessment Summary</w:t>
            </w:r>
          </w:p>
          <w:p w:rsidR="00EB5572" w:rsidRPr="00EB5572" w:rsidRDefault="00EB5572" w:rsidP="00EB5572">
            <w:pPr>
              <w:pStyle w:val="Tabletype"/>
              <w:spacing w:before="60" w:after="0"/>
              <w:jc w:val="left"/>
              <w:rPr>
                <w:rFonts w:asciiTheme="minorHAnsi" w:hAnsiTheme="minorHAnsi" w:cstheme="minorHAnsi"/>
                <w:sz w:val="20"/>
                <w:szCs w:val="20"/>
              </w:rPr>
            </w:pPr>
            <w:r w:rsidRPr="00EB5572">
              <w:rPr>
                <w:rFonts w:asciiTheme="minorHAnsi" w:hAnsiTheme="minorHAnsi" w:cstheme="minorHAnsi"/>
                <w:sz w:val="20"/>
                <w:szCs w:val="20"/>
              </w:rPr>
              <w:t>(Note: Other types of logs or diaries may be used to complete the behaviour records. Copies of these records can also be included in the ACFI Answer Appraisal Pack to provide further supporting evidence)</w:t>
            </w:r>
          </w:p>
        </w:tc>
      </w:tr>
      <w:tr w:rsidR="00EB5572" w:rsidRPr="00EB5572" w:rsidTr="00334762">
        <w:tc>
          <w:tcPr>
            <w:tcW w:w="463" w:type="dxa"/>
          </w:tcPr>
          <w:p w:rsidR="00EB5572" w:rsidRPr="00EB5572" w:rsidRDefault="00EB5572" w:rsidP="00EB5572">
            <w:pPr>
              <w:pStyle w:val="Tabletype"/>
              <w:rPr>
                <w:rFonts w:asciiTheme="minorHAnsi" w:hAnsiTheme="minorHAnsi"/>
                <w:sz w:val="20"/>
                <w:szCs w:val="20"/>
              </w:rPr>
            </w:pPr>
            <w:r w:rsidRPr="00EB5572">
              <w:rPr>
                <w:rFonts w:asciiTheme="minorHAnsi" w:hAnsiTheme="minorHAnsi"/>
                <w:i/>
                <w:sz w:val="20"/>
                <w:szCs w:val="20"/>
              </w:rPr>
              <w:t>NA</w:t>
            </w:r>
          </w:p>
        </w:tc>
        <w:tc>
          <w:tcPr>
            <w:tcW w:w="3982" w:type="dxa"/>
          </w:tcPr>
          <w:p w:rsidR="00EB5572" w:rsidRPr="00EB5572" w:rsidRDefault="00EB5572" w:rsidP="00EB5572">
            <w:pPr>
              <w:pStyle w:val="Tabletype"/>
              <w:spacing w:after="0"/>
              <w:jc w:val="left"/>
              <w:rPr>
                <w:rFonts w:asciiTheme="minorHAnsi" w:hAnsiTheme="minorHAnsi" w:cstheme="minorHAnsi"/>
                <w:b/>
                <w:bCs/>
                <w:sz w:val="20"/>
                <w:szCs w:val="20"/>
              </w:rPr>
            </w:pPr>
            <w:r w:rsidRPr="00EB5572">
              <w:rPr>
                <w:rFonts w:asciiTheme="minorHAnsi" w:hAnsiTheme="minorHAnsi" w:cstheme="minorHAnsi"/>
                <w:b/>
                <w:bCs/>
                <w:sz w:val="20"/>
                <w:szCs w:val="20"/>
              </w:rPr>
              <w:t>Requirement for a High BEH Domain claim:</w:t>
            </w:r>
          </w:p>
        </w:tc>
        <w:tc>
          <w:tcPr>
            <w:tcW w:w="4769" w:type="dxa"/>
          </w:tcPr>
          <w:p w:rsidR="00980F62" w:rsidRDefault="00EB5572" w:rsidP="00EB5572">
            <w:pPr>
              <w:pStyle w:val="Tabletype"/>
              <w:numPr>
                <w:ilvl w:val="0"/>
                <w:numId w:val="9"/>
              </w:numPr>
              <w:spacing w:after="0"/>
              <w:ind w:left="170" w:hanging="170"/>
              <w:jc w:val="left"/>
              <w:rPr>
                <w:rFonts w:asciiTheme="minorHAnsi" w:hAnsiTheme="minorHAnsi" w:cstheme="minorHAnsi"/>
                <w:bCs/>
                <w:sz w:val="20"/>
                <w:szCs w:val="20"/>
              </w:rPr>
            </w:pPr>
            <w:r w:rsidRPr="00EB5572">
              <w:rPr>
                <w:rFonts w:asciiTheme="minorHAnsi" w:hAnsiTheme="minorHAnsi" w:cstheme="minorHAnsi"/>
                <w:bCs/>
                <w:sz w:val="20"/>
                <w:szCs w:val="20"/>
              </w:rPr>
              <w:t>Mental and Behavioural diagnosis (excluding Depression)</w:t>
            </w:r>
          </w:p>
          <w:p w:rsidR="00EB5572" w:rsidRPr="00EB5572" w:rsidRDefault="00EB5572" w:rsidP="00EB5572">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 xml:space="preserve">Behaviour Referral &amp; Review by Behaviour Specialist (e.g. DBMAS; Psychiatrist; Psychologist) and Behaviour Care Plan </w:t>
            </w:r>
          </w:p>
        </w:tc>
      </w:tr>
    </w:tbl>
    <w:p w:rsidR="009E0DB3" w:rsidRDefault="009E0DB3" w:rsidP="009E0DB3">
      <w:pPr>
        <w:pStyle w:val="Caption"/>
        <w:keepNext/>
      </w:pPr>
      <w:bookmarkStart w:id="35" w:name="_Toc495415461"/>
      <w:r>
        <w:t>Table 1</w:t>
      </w:r>
      <w:r w:rsidR="009A3F5A">
        <w:fldChar w:fldCharType="begin"/>
      </w:r>
      <w:r w:rsidR="009A3F5A">
        <w:instrText xml:space="preserve"> SEQ Table_1 \* alphabetic </w:instrText>
      </w:r>
      <w:r w:rsidR="009A3F5A">
        <w:fldChar w:fldCharType="separate"/>
      </w:r>
      <w:r w:rsidR="00856E49">
        <w:rPr>
          <w:noProof/>
        </w:rPr>
        <w:t>c</w:t>
      </w:r>
      <w:r w:rsidR="009A3F5A">
        <w:rPr>
          <w:noProof/>
        </w:rPr>
        <w:fldChar w:fldCharType="end"/>
      </w:r>
      <w:r>
        <w:t xml:space="preserve">: </w:t>
      </w:r>
      <w:r w:rsidRPr="00137C8D">
        <w:t>R-ACFI at a glance’</w:t>
      </w:r>
      <w:r>
        <w:t xml:space="preserve"> for the Complex Health Care (CHC) Domain</w:t>
      </w:r>
      <w:bookmarkEnd w:id="35"/>
    </w:p>
    <w:tbl>
      <w:tblPr>
        <w:tblStyle w:val="TableGrid"/>
        <w:tblW w:w="9214" w:type="dxa"/>
        <w:tblInd w:w="85"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57" w:type="dxa"/>
          <w:left w:w="85" w:type="dxa"/>
          <w:right w:w="85" w:type="dxa"/>
        </w:tblCellMar>
        <w:tblLook w:val="04A0" w:firstRow="1" w:lastRow="0" w:firstColumn="1" w:lastColumn="0" w:noHBand="0" w:noVBand="1"/>
        <w:tblDescription w:val="Table 1a is a list of appraisal evidence requirements for complex health care (CHC) domain questions under the Revised-Aged Care Funding Instrument (R-ACFI). This table is to be read left to right, top to bottom."/>
      </w:tblPr>
      <w:tblGrid>
        <w:gridCol w:w="567"/>
        <w:gridCol w:w="3988"/>
        <w:gridCol w:w="4659"/>
      </w:tblGrid>
      <w:tr w:rsidR="00334762" w:rsidRPr="00334762" w:rsidTr="00334762">
        <w:trPr>
          <w:tblHeader/>
        </w:trPr>
        <w:tc>
          <w:tcPr>
            <w:tcW w:w="567" w:type="dxa"/>
            <w:shd w:val="clear" w:color="auto" w:fill="5B9BD5" w:themeFill="accent5"/>
          </w:tcPr>
          <w:p w:rsidR="008A4578" w:rsidRPr="00334762" w:rsidRDefault="00334762" w:rsidP="00324AAE">
            <w:pPr>
              <w:pStyle w:val="Tableheader"/>
              <w:spacing w:after="0"/>
              <w:jc w:val="center"/>
              <w:rPr>
                <w:rFonts w:asciiTheme="minorHAnsi" w:hAnsiTheme="minorHAnsi"/>
                <w:color w:val="FFFFFF" w:themeColor="background1"/>
                <w:szCs w:val="20"/>
              </w:rPr>
            </w:pPr>
            <w:r>
              <w:rPr>
                <w:rFonts w:asciiTheme="minorHAnsi" w:hAnsiTheme="minorHAnsi"/>
                <w:color w:val="FFFFFF" w:themeColor="background1"/>
                <w:szCs w:val="20"/>
              </w:rPr>
              <w:t>No.</w:t>
            </w:r>
          </w:p>
        </w:tc>
        <w:tc>
          <w:tcPr>
            <w:tcW w:w="3988" w:type="dxa"/>
            <w:shd w:val="clear" w:color="auto" w:fill="5B9BD5" w:themeFill="accent5"/>
          </w:tcPr>
          <w:p w:rsidR="008A4578" w:rsidRPr="00334762" w:rsidRDefault="008A4578" w:rsidP="00A269A5">
            <w:pPr>
              <w:pStyle w:val="Tableheader"/>
              <w:spacing w:after="0"/>
              <w:jc w:val="left"/>
              <w:rPr>
                <w:rFonts w:asciiTheme="minorHAnsi" w:hAnsiTheme="minorHAnsi" w:cstheme="minorHAnsi"/>
                <w:color w:val="FFFFFF" w:themeColor="background1"/>
                <w:szCs w:val="20"/>
              </w:rPr>
            </w:pPr>
            <w:r w:rsidRPr="00334762">
              <w:rPr>
                <w:rFonts w:asciiTheme="minorHAnsi" w:hAnsiTheme="minorHAnsi" w:cstheme="minorHAnsi"/>
                <w:color w:val="FFFFFF" w:themeColor="background1"/>
                <w:szCs w:val="20"/>
              </w:rPr>
              <w:t>Question</w:t>
            </w:r>
          </w:p>
        </w:tc>
        <w:tc>
          <w:tcPr>
            <w:tcW w:w="4659" w:type="dxa"/>
            <w:shd w:val="clear" w:color="auto" w:fill="5B9BD5" w:themeFill="accent5"/>
          </w:tcPr>
          <w:p w:rsidR="008A4578" w:rsidRPr="00334762" w:rsidRDefault="008A4578" w:rsidP="00324AAE">
            <w:pPr>
              <w:pStyle w:val="Tableheader"/>
              <w:spacing w:after="0"/>
              <w:rPr>
                <w:rFonts w:asciiTheme="minorHAnsi" w:hAnsiTheme="minorHAnsi" w:cstheme="minorHAnsi"/>
                <w:color w:val="FFFFFF" w:themeColor="background1"/>
                <w:szCs w:val="20"/>
              </w:rPr>
            </w:pPr>
            <w:r w:rsidRPr="00334762">
              <w:rPr>
                <w:rFonts w:asciiTheme="minorHAnsi" w:hAnsiTheme="minorHAnsi" w:cstheme="minorHAnsi"/>
                <w:color w:val="FFFFFF" w:themeColor="background1"/>
                <w:szCs w:val="20"/>
              </w:rPr>
              <w:t>Appraisal Evidence Requirements</w:t>
            </w:r>
          </w:p>
        </w:tc>
      </w:tr>
      <w:tr w:rsidR="008A4578" w:rsidRPr="00EB5572" w:rsidTr="00334762">
        <w:tc>
          <w:tcPr>
            <w:tcW w:w="567" w:type="dxa"/>
          </w:tcPr>
          <w:p w:rsidR="008A4578" w:rsidRPr="00EB5572" w:rsidRDefault="008A4578" w:rsidP="0089181B">
            <w:pPr>
              <w:pStyle w:val="Tabletype"/>
              <w:jc w:val="center"/>
              <w:rPr>
                <w:rFonts w:asciiTheme="minorHAnsi" w:hAnsiTheme="minorHAnsi"/>
                <w:b/>
                <w:sz w:val="20"/>
                <w:szCs w:val="20"/>
              </w:rPr>
            </w:pPr>
            <w:r w:rsidRPr="00EB5572">
              <w:rPr>
                <w:rFonts w:asciiTheme="minorHAnsi" w:hAnsiTheme="minorHAnsi"/>
                <w:b/>
                <w:sz w:val="20"/>
                <w:szCs w:val="20"/>
              </w:rPr>
              <w:t>8</w:t>
            </w:r>
          </w:p>
        </w:tc>
        <w:tc>
          <w:tcPr>
            <w:tcW w:w="3988" w:type="dxa"/>
          </w:tcPr>
          <w:p w:rsidR="008A4578" w:rsidRPr="00EB5572" w:rsidRDefault="008A4578" w:rsidP="00A269A5">
            <w:pPr>
              <w:pStyle w:val="Tabletype"/>
              <w:spacing w:after="0"/>
              <w:jc w:val="left"/>
              <w:rPr>
                <w:rFonts w:asciiTheme="minorHAnsi" w:hAnsiTheme="minorHAnsi" w:cstheme="minorHAnsi"/>
                <w:b/>
                <w:bCs/>
                <w:sz w:val="20"/>
                <w:szCs w:val="20"/>
              </w:rPr>
            </w:pPr>
            <w:r w:rsidRPr="00EB5572">
              <w:rPr>
                <w:rFonts w:asciiTheme="minorHAnsi" w:hAnsiTheme="minorHAnsi" w:cstheme="minorHAnsi"/>
                <w:b/>
                <w:bCs/>
                <w:sz w:val="20"/>
                <w:szCs w:val="20"/>
              </w:rPr>
              <w:t>Complex Health Care</w:t>
            </w:r>
          </w:p>
          <w:p w:rsidR="008A4578" w:rsidRPr="00EB5572" w:rsidRDefault="008A4578" w:rsidP="00A269A5">
            <w:pPr>
              <w:pStyle w:val="Tabletype"/>
              <w:spacing w:after="0"/>
              <w:jc w:val="left"/>
              <w:rPr>
                <w:rFonts w:asciiTheme="minorHAnsi" w:hAnsiTheme="minorHAnsi" w:cstheme="minorHAnsi"/>
                <w:sz w:val="20"/>
                <w:szCs w:val="20"/>
              </w:rPr>
            </w:pPr>
            <w:r w:rsidRPr="00EB5572">
              <w:rPr>
                <w:rFonts w:asciiTheme="minorHAnsi" w:hAnsiTheme="minorHAnsi" w:cstheme="minorHAnsi"/>
                <w:sz w:val="20"/>
                <w:szCs w:val="20"/>
              </w:rPr>
              <w:t>Care need: 15 complex health care procedures.</w:t>
            </w:r>
          </w:p>
          <w:p w:rsidR="008A4578" w:rsidRPr="00EB5572" w:rsidRDefault="008A4578" w:rsidP="00A269A5">
            <w:pPr>
              <w:pStyle w:val="Tabletype"/>
              <w:spacing w:after="0"/>
              <w:jc w:val="left"/>
              <w:rPr>
                <w:rFonts w:asciiTheme="minorHAnsi" w:hAnsiTheme="minorHAnsi" w:cstheme="minorHAnsi"/>
                <w:sz w:val="20"/>
                <w:szCs w:val="20"/>
              </w:rPr>
            </w:pPr>
            <w:r w:rsidRPr="00EB5572">
              <w:rPr>
                <w:rFonts w:asciiTheme="minorHAnsi" w:hAnsiTheme="minorHAnsi" w:cstheme="minorHAnsi"/>
                <w:sz w:val="20"/>
                <w:szCs w:val="20"/>
              </w:rPr>
              <w:t>Measurement = complexity and frequency</w:t>
            </w:r>
          </w:p>
        </w:tc>
        <w:tc>
          <w:tcPr>
            <w:tcW w:w="4659" w:type="dxa"/>
          </w:tcPr>
          <w:p w:rsidR="008A4578" w:rsidRPr="00EB5572" w:rsidRDefault="008A4578" w:rsidP="00A269A5">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Complex Health Care Procedures Checklist</w:t>
            </w:r>
          </w:p>
          <w:p w:rsidR="008A4578" w:rsidRPr="00EB5572" w:rsidRDefault="008A4578" w:rsidP="00A269A5">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Diagnoses, assessments, directives and Records of Treatment as specified</w:t>
            </w:r>
          </w:p>
          <w:p w:rsidR="008A4578" w:rsidRPr="00EB5572" w:rsidRDefault="008A4578" w:rsidP="00A269A5">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Palliative Care Claims mandatory re-appraisal</w:t>
            </w:r>
          </w:p>
        </w:tc>
      </w:tr>
      <w:tr w:rsidR="008A4578" w:rsidRPr="00EB5572" w:rsidTr="00334762">
        <w:tc>
          <w:tcPr>
            <w:tcW w:w="567" w:type="dxa"/>
          </w:tcPr>
          <w:p w:rsidR="008A4578" w:rsidRPr="00EB5572" w:rsidRDefault="008A4578" w:rsidP="003A0471">
            <w:pPr>
              <w:pStyle w:val="Tabletype"/>
              <w:spacing w:after="0"/>
              <w:rPr>
                <w:rFonts w:asciiTheme="minorHAnsi" w:hAnsiTheme="minorHAnsi"/>
                <w:sz w:val="20"/>
                <w:szCs w:val="20"/>
              </w:rPr>
            </w:pPr>
            <w:r w:rsidRPr="00EB5572">
              <w:rPr>
                <w:rFonts w:asciiTheme="minorHAnsi" w:hAnsiTheme="minorHAnsi"/>
                <w:i/>
                <w:sz w:val="20"/>
                <w:szCs w:val="20"/>
              </w:rPr>
              <w:t>NA</w:t>
            </w:r>
          </w:p>
        </w:tc>
        <w:tc>
          <w:tcPr>
            <w:tcW w:w="3988" w:type="dxa"/>
          </w:tcPr>
          <w:p w:rsidR="008A4578" w:rsidRPr="00EB5572" w:rsidRDefault="008A4578" w:rsidP="00334762">
            <w:pPr>
              <w:pStyle w:val="Tabletype"/>
              <w:spacing w:after="0"/>
              <w:jc w:val="left"/>
              <w:rPr>
                <w:rFonts w:asciiTheme="minorHAnsi" w:hAnsiTheme="minorHAnsi" w:cstheme="minorHAnsi"/>
                <w:b/>
                <w:bCs/>
                <w:sz w:val="20"/>
                <w:szCs w:val="20"/>
              </w:rPr>
            </w:pPr>
            <w:r w:rsidRPr="00EB5572">
              <w:rPr>
                <w:rFonts w:asciiTheme="minorHAnsi" w:hAnsiTheme="minorHAnsi" w:cstheme="minorHAnsi"/>
                <w:b/>
                <w:bCs/>
                <w:sz w:val="20"/>
                <w:szCs w:val="20"/>
              </w:rPr>
              <w:t>Requirement for any CHC Domain item claim</w:t>
            </w:r>
          </w:p>
        </w:tc>
        <w:tc>
          <w:tcPr>
            <w:tcW w:w="4659" w:type="dxa"/>
          </w:tcPr>
          <w:p w:rsidR="008A4578" w:rsidRPr="00EB5572" w:rsidRDefault="008A4578" w:rsidP="00A269A5">
            <w:pPr>
              <w:pStyle w:val="Tabletype"/>
              <w:numPr>
                <w:ilvl w:val="0"/>
                <w:numId w:val="9"/>
              </w:numPr>
              <w:spacing w:after="0"/>
              <w:ind w:left="170" w:hanging="170"/>
              <w:jc w:val="left"/>
              <w:rPr>
                <w:rFonts w:asciiTheme="minorHAnsi" w:hAnsiTheme="minorHAnsi" w:cstheme="minorHAnsi"/>
                <w:sz w:val="20"/>
                <w:szCs w:val="20"/>
              </w:rPr>
            </w:pPr>
            <w:r w:rsidRPr="00EB5572">
              <w:rPr>
                <w:rFonts w:asciiTheme="minorHAnsi" w:hAnsiTheme="minorHAnsi" w:cstheme="minorHAnsi"/>
                <w:sz w:val="20"/>
                <w:szCs w:val="20"/>
              </w:rPr>
              <w:t>3-monthly comprehensive health assessment (RN)</w:t>
            </w:r>
          </w:p>
        </w:tc>
      </w:tr>
    </w:tbl>
    <w:p w:rsidR="0015173E" w:rsidRDefault="0015173E" w:rsidP="00BE2954">
      <w:pPr>
        <w:pStyle w:val="Heading2"/>
      </w:pPr>
      <w:bookmarkStart w:id="36" w:name="_Toc491426017"/>
      <w:bookmarkEnd w:id="18"/>
      <w:r>
        <w:t>R-ACFI Funding Distribution Analysis</w:t>
      </w:r>
      <w:bookmarkEnd w:id="36"/>
    </w:p>
    <w:p w:rsidR="00980F62" w:rsidRDefault="0015173E" w:rsidP="0015173E">
      <w:r w:rsidRPr="000B73FE">
        <w:t>The ACFI has been re-weighted and re-structured. A summary of the overall distribution of the new R-ACFI funding outcomes is shown in the Table</w:t>
      </w:r>
      <w:r w:rsidR="000B73FE" w:rsidRPr="000B73FE">
        <w:t xml:space="preserve"> 2</w:t>
      </w:r>
      <w:r w:rsidRPr="000B73FE">
        <w:t xml:space="preserve"> and Figure</w:t>
      </w:r>
      <w:r w:rsidR="000B73FE" w:rsidRPr="000B73FE">
        <w:t xml:space="preserve"> 1</w:t>
      </w:r>
      <w:r w:rsidRPr="000B73FE">
        <w:t xml:space="preserve"> below.</w:t>
      </w:r>
      <w:r w:rsidR="007A576E" w:rsidRPr="000B73FE">
        <w:t xml:space="preserve"> </w:t>
      </w:r>
      <w:r w:rsidRPr="000B73FE">
        <w:t>The R-ACFI has 48</w:t>
      </w:r>
      <w:r w:rsidR="008A4578" w:rsidRPr="000B73FE">
        <w:t> </w:t>
      </w:r>
      <w:r w:rsidRPr="000B73FE">
        <w:t>funding R-ACFI combinations compared to the current 64 ACFI payment categories.</w:t>
      </w:r>
      <w:r>
        <w:t xml:space="preserve"> Any</w:t>
      </w:r>
      <w:r w:rsidR="008A4578">
        <w:t> </w:t>
      </w:r>
      <w:r>
        <w:t>changes to the ACFI system were to be cost neutral and the average overall funding is the same at $172.02 for both the ACFI and R-ACFI as at June 30, 2016.</w:t>
      </w:r>
    </w:p>
    <w:p w:rsidR="00595387" w:rsidRDefault="00595387">
      <w:pPr>
        <w:spacing w:after="200"/>
        <w:jc w:val="left"/>
      </w:pPr>
      <w:r>
        <w:br w:type="page"/>
      </w:r>
    </w:p>
    <w:p w:rsidR="00EB5572" w:rsidRDefault="00EB5572" w:rsidP="00EB5572">
      <w:pPr>
        <w:pStyle w:val="Caption"/>
        <w:keepNext/>
      </w:pPr>
      <w:bookmarkStart w:id="37" w:name="_Toc495415450"/>
      <w:r>
        <w:lastRenderedPageBreak/>
        <w:t xml:space="preserve">Table </w:t>
      </w:r>
      <w:r w:rsidR="009A3F5A">
        <w:fldChar w:fldCharType="begin"/>
      </w:r>
      <w:r w:rsidR="009A3F5A">
        <w:instrText xml:space="preserve"> SEQ Table \* ARABIC </w:instrText>
      </w:r>
      <w:r w:rsidR="009A3F5A">
        <w:fldChar w:fldCharType="separate"/>
      </w:r>
      <w:r w:rsidR="00856E49">
        <w:rPr>
          <w:noProof/>
        </w:rPr>
        <w:t>2</w:t>
      </w:r>
      <w:r w:rsidR="009A3F5A">
        <w:rPr>
          <w:noProof/>
        </w:rPr>
        <w:fldChar w:fldCharType="end"/>
      </w:r>
      <w:r w:rsidR="00595387">
        <w:t xml:space="preserve">: </w:t>
      </w:r>
      <w:r w:rsidR="00595387" w:rsidRPr="00595387">
        <w:t>R-ACFI Funding Distribution by Categories</w:t>
      </w:r>
      <w:bookmarkEnd w:id="37"/>
    </w:p>
    <w:tbl>
      <w:tblPr>
        <w:tblStyle w:val="ListTable3-Accent515"/>
        <w:tblW w:w="0" w:type="auto"/>
        <w:tblInd w:w="108" w:type="dxa"/>
        <w:tblBorders>
          <w:insideH w:val="single" w:sz="4" w:space="0" w:color="5B9BD5" w:themeColor="accent5"/>
          <w:insideV w:val="single" w:sz="4" w:space="0" w:color="5B9BD5" w:themeColor="accent5"/>
        </w:tblBorders>
        <w:tblLayout w:type="fixed"/>
        <w:tblLook w:val="01E0" w:firstRow="1" w:lastRow="1" w:firstColumn="1" w:lastColumn="1" w:noHBand="0" w:noVBand="0"/>
        <w:tblDescription w:val="Table 2 is a list of the frequency and proposed funding amounts for the domains (activities of daily living, behaviour, complex health care and the Therapy program) under the Revised-Aged Care Funding Instrument (R-ACFI), as summarised in the text prior to this table. This table is to be read left to right, top to bottom, noting the highest possible funding across the domains including the Therapy Program is $225.56 (as noted in the last row of the table)."/>
      </w:tblPr>
      <w:tblGrid>
        <w:gridCol w:w="2835"/>
        <w:gridCol w:w="1276"/>
        <w:gridCol w:w="2693"/>
      </w:tblGrid>
      <w:tr w:rsidR="00090516" w:rsidRPr="00B9667C" w:rsidTr="00E166D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35" w:type="dxa"/>
          </w:tcPr>
          <w:p w:rsidR="0015173E" w:rsidRPr="00B9667C" w:rsidRDefault="0015173E" w:rsidP="004239D7">
            <w:pPr>
              <w:spacing w:after="0"/>
              <w:jc w:val="left"/>
              <w:rPr>
                <w:rFonts w:ascii="Calibri" w:eastAsia="Times New Roman" w:hAnsi="Calibri" w:cs="Times New Roman"/>
                <w:sz w:val="20"/>
                <w:szCs w:val="20"/>
                <w:lang w:val="en-US"/>
              </w:rPr>
            </w:pPr>
            <w:r w:rsidRPr="00B9667C">
              <w:rPr>
                <w:rFonts w:ascii="Calibri" w:eastAsia="Times New Roman" w:hAnsi="Calibri" w:cs="Times New Roman"/>
                <w:sz w:val="20"/>
                <w:szCs w:val="20"/>
                <w:lang w:val="en-US"/>
              </w:rPr>
              <w:t>ADL</w:t>
            </w:r>
            <w:r w:rsidR="004239D7" w:rsidRPr="00B9667C">
              <w:rPr>
                <w:rFonts w:ascii="Calibri" w:eastAsia="Times New Roman" w:hAnsi="Calibri" w:cs="Times New Roman"/>
                <w:sz w:val="20"/>
                <w:szCs w:val="20"/>
                <w:lang w:val="en-US"/>
              </w:rPr>
              <w:t xml:space="preserve"> Domain</w:t>
            </w:r>
          </w:p>
        </w:tc>
        <w:tc>
          <w:tcPr>
            <w:cnfStyle w:val="000010000000" w:firstRow="0" w:lastRow="0" w:firstColumn="0" w:lastColumn="0" w:oddVBand="1" w:evenVBand="0" w:oddHBand="0" w:evenHBand="0" w:firstRowFirstColumn="0" w:firstRowLastColumn="0" w:lastRowFirstColumn="0" w:lastRowLastColumn="0"/>
            <w:tcW w:w="1276" w:type="dxa"/>
          </w:tcPr>
          <w:p w:rsidR="0015173E" w:rsidRPr="00B9667C" w:rsidRDefault="004239D7" w:rsidP="00B9667C">
            <w:pPr>
              <w:spacing w:after="0"/>
              <w:jc w:val="center"/>
              <w:rPr>
                <w:rFonts w:ascii="Calibri" w:eastAsia="Times New Roman" w:hAnsi="Calibri" w:cs="Times New Roman"/>
                <w:sz w:val="20"/>
                <w:szCs w:val="20"/>
                <w:lang w:val="en-US"/>
              </w:rPr>
            </w:pPr>
            <w:r w:rsidRPr="00B9667C">
              <w:rPr>
                <w:rFonts w:ascii="Calibri" w:eastAsia="Times New Roman" w:hAnsi="Calibri" w:cs="Times New Roman"/>
                <w:sz w:val="20"/>
                <w:szCs w:val="20"/>
                <w:lang w:val="en-US"/>
              </w:rPr>
              <w:t>Frequency</w:t>
            </w:r>
          </w:p>
        </w:tc>
        <w:tc>
          <w:tcPr>
            <w:cnfStyle w:val="000100001000" w:firstRow="0" w:lastRow="0" w:firstColumn="0" w:lastColumn="1" w:oddVBand="0" w:evenVBand="0" w:oddHBand="0" w:evenHBand="0" w:firstRowFirstColumn="0" w:firstRowLastColumn="1" w:lastRowFirstColumn="0" w:lastRowLastColumn="0"/>
            <w:tcW w:w="2693" w:type="dxa"/>
          </w:tcPr>
          <w:p w:rsidR="0015173E" w:rsidRPr="00B9667C" w:rsidRDefault="004239D7" w:rsidP="00B9667C">
            <w:pPr>
              <w:spacing w:after="0"/>
              <w:jc w:val="center"/>
              <w:rPr>
                <w:rFonts w:ascii="Calibri" w:eastAsia="Times New Roman" w:hAnsi="Calibri" w:cs="Times New Roman"/>
                <w:sz w:val="20"/>
                <w:szCs w:val="20"/>
                <w:lang w:val="en-US"/>
              </w:rPr>
            </w:pPr>
            <w:r w:rsidRPr="00B9667C">
              <w:rPr>
                <w:rFonts w:ascii="Calibri" w:eastAsia="Times New Roman" w:hAnsi="Calibri" w:cs="Times New Roman"/>
                <w:sz w:val="20"/>
                <w:szCs w:val="20"/>
                <w:lang w:val="en-US"/>
              </w:rPr>
              <w:t>Proposed Funding (</w:t>
            </w:r>
            <w:r w:rsidR="0015173E" w:rsidRPr="00B9667C">
              <w:rPr>
                <w:rFonts w:ascii="Calibri" w:eastAsia="Times New Roman" w:hAnsi="Calibri" w:cs="Times New Roman"/>
                <w:sz w:val="20"/>
                <w:szCs w:val="20"/>
                <w:lang w:val="en-US"/>
              </w:rPr>
              <w:t>$ Per Day</w:t>
            </w:r>
            <w:r w:rsidRPr="00B9667C">
              <w:rPr>
                <w:rFonts w:ascii="Calibri" w:eastAsia="Times New Roman" w:hAnsi="Calibri" w:cs="Times New Roman"/>
                <w:sz w:val="20"/>
                <w:szCs w:val="20"/>
                <w:lang w:val="en-US"/>
              </w:rPr>
              <w:t>)</w:t>
            </w:r>
          </w:p>
        </w:tc>
      </w:tr>
      <w:tr w:rsidR="004239D7" w:rsidRPr="00B9667C" w:rsidTr="00AE5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rsidR="0015173E" w:rsidRPr="00B9667C" w:rsidRDefault="0015173E" w:rsidP="00AE5EFB">
            <w:pPr>
              <w:spacing w:after="0"/>
              <w:jc w:val="left"/>
              <w:rPr>
                <w:rFonts w:ascii="Calibri" w:eastAsia="Times New Roman" w:hAnsi="Calibri" w:cs="Times New Roman"/>
                <w:b w:val="0"/>
                <w:sz w:val="20"/>
                <w:szCs w:val="20"/>
                <w:lang w:val="en-US"/>
              </w:rPr>
            </w:pPr>
            <w:r w:rsidRPr="00B9667C">
              <w:rPr>
                <w:rFonts w:ascii="Calibri" w:eastAsia="Times New Roman" w:hAnsi="Calibri" w:cs="Times New Roman"/>
                <w:b w:val="0"/>
                <w:sz w:val="20"/>
                <w:szCs w:val="20"/>
                <w:lang w:val="en-US"/>
              </w:rPr>
              <w:t>1 Low</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15173E" w:rsidRPr="00B9667C" w:rsidRDefault="0015173E" w:rsidP="00AE5EFB">
            <w:pPr>
              <w:spacing w:after="0"/>
              <w:jc w:val="center"/>
              <w:rPr>
                <w:rFonts w:ascii="Calibri" w:hAnsi="Calibri"/>
                <w:sz w:val="20"/>
                <w:szCs w:val="20"/>
              </w:rPr>
            </w:pPr>
            <w:r w:rsidRPr="00B9667C">
              <w:rPr>
                <w:rFonts w:ascii="Calibri" w:eastAsia="Times New Roman" w:hAnsi="Calibri" w:cs="Times New Roman"/>
                <w:sz w:val="20"/>
                <w:szCs w:val="20"/>
                <w:lang w:val="en-US"/>
              </w:rPr>
              <w:t>10.0%</w:t>
            </w:r>
          </w:p>
        </w:tc>
        <w:tc>
          <w:tcPr>
            <w:cnfStyle w:val="000100000000" w:firstRow="0" w:lastRow="0" w:firstColumn="0" w:lastColumn="1" w:oddVBand="0" w:evenVBand="0" w:oddHBand="0" w:evenHBand="0" w:firstRowFirstColumn="0" w:firstRowLastColumn="0" w:lastRowFirstColumn="0" w:lastRowLastColumn="0"/>
            <w:tcW w:w="2693" w:type="dxa"/>
            <w:vAlign w:val="center"/>
          </w:tcPr>
          <w:p w:rsidR="0015173E" w:rsidRPr="00B9667C" w:rsidRDefault="0015173E" w:rsidP="00AE5EFB">
            <w:pPr>
              <w:spacing w:after="0"/>
              <w:jc w:val="center"/>
              <w:rPr>
                <w:rFonts w:ascii="Calibri" w:eastAsia="Times New Roman" w:hAnsi="Calibri" w:cs="Times New Roman"/>
                <w:bCs w:val="0"/>
                <w:sz w:val="20"/>
                <w:szCs w:val="20"/>
                <w:lang w:val="en-US"/>
              </w:rPr>
            </w:pPr>
            <w:r w:rsidRPr="00B9667C">
              <w:rPr>
                <w:rFonts w:ascii="Calibri" w:eastAsia="Times New Roman" w:hAnsi="Calibri" w:cs="Times New Roman"/>
                <w:bCs w:val="0"/>
                <w:sz w:val="20"/>
                <w:szCs w:val="20"/>
                <w:lang w:val="en-US"/>
              </w:rPr>
              <w:t>$44.54</w:t>
            </w:r>
          </w:p>
        </w:tc>
      </w:tr>
      <w:tr w:rsidR="004239D7" w:rsidRPr="00B9667C" w:rsidTr="00AE5EFB">
        <w:tc>
          <w:tcPr>
            <w:cnfStyle w:val="001000000000" w:firstRow="0" w:lastRow="0" w:firstColumn="1" w:lastColumn="0" w:oddVBand="0" w:evenVBand="0" w:oddHBand="0" w:evenHBand="0" w:firstRowFirstColumn="0" w:firstRowLastColumn="0" w:lastRowFirstColumn="0" w:lastRowLastColumn="0"/>
            <w:tcW w:w="2835" w:type="dxa"/>
            <w:vAlign w:val="center"/>
          </w:tcPr>
          <w:p w:rsidR="0015173E" w:rsidRPr="00B9667C" w:rsidRDefault="0015173E" w:rsidP="00AE5EFB">
            <w:pPr>
              <w:spacing w:after="0"/>
              <w:jc w:val="left"/>
              <w:rPr>
                <w:rFonts w:ascii="Calibri" w:eastAsia="Times New Roman" w:hAnsi="Calibri" w:cs="Times New Roman"/>
                <w:b w:val="0"/>
                <w:sz w:val="20"/>
                <w:szCs w:val="20"/>
                <w:lang w:val="en-US"/>
              </w:rPr>
            </w:pPr>
            <w:r w:rsidRPr="00B9667C">
              <w:rPr>
                <w:rFonts w:ascii="Calibri" w:eastAsia="Times New Roman" w:hAnsi="Calibri" w:cs="Times New Roman"/>
                <w:b w:val="0"/>
                <w:sz w:val="20"/>
                <w:szCs w:val="20"/>
                <w:lang w:val="en-US"/>
              </w:rPr>
              <w:t>2 Medium</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15173E" w:rsidRPr="00B9667C" w:rsidRDefault="0015173E" w:rsidP="00AE5EFB">
            <w:pPr>
              <w:spacing w:after="0"/>
              <w:jc w:val="center"/>
              <w:rPr>
                <w:rFonts w:ascii="Calibri" w:hAnsi="Calibri"/>
                <w:sz w:val="20"/>
                <w:szCs w:val="20"/>
              </w:rPr>
            </w:pPr>
            <w:r w:rsidRPr="00B9667C">
              <w:rPr>
                <w:rFonts w:ascii="Calibri" w:eastAsia="Times New Roman" w:hAnsi="Calibri" w:cs="Times New Roman"/>
                <w:sz w:val="20"/>
                <w:szCs w:val="20"/>
                <w:lang w:val="en-US"/>
              </w:rPr>
              <w:t>29.8%</w:t>
            </w:r>
          </w:p>
        </w:tc>
        <w:tc>
          <w:tcPr>
            <w:cnfStyle w:val="000100000000" w:firstRow="0" w:lastRow="0" w:firstColumn="0" w:lastColumn="1" w:oddVBand="0" w:evenVBand="0" w:oddHBand="0" w:evenHBand="0" w:firstRowFirstColumn="0" w:firstRowLastColumn="0" w:lastRowFirstColumn="0" w:lastRowLastColumn="0"/>
            <w:tcW w:w="2693" w:type="dxa"/>
            <w:vAlign w:val="center"/>
          </w:tcPr>
          <w:p w:rsidR="0015173E" w:rsidRPr="00B9667C" w:rsidRDefault="0015173E" w:rsidP="00AE5EFB">
            <w:pPr>
              <w:spacing w:after="0"/>
              <w:jc w:val="center"/>
              <w:rPr>
                <w:rFonts w:ascii="Calibri" w:eastAsia="Times New Roman" w:hAnsi="Calibri" w:cs="Times New Roman"/>
                <w:bCs w:val="0"/>
                <w:sz w:val="20"/>
                <w:szCs w:val="20"/>
                <w:lang w:val="en-US"/>
              </w:rPr>
            </w:pPr>
            <w:r w:rsidRPr="00B9667C">
              <w:rPr>
                <w:rFonts w:ascii="Calibri" w:eastAsia="Times New Roman" w:hAnsi="Calibri" w:cs="Times New Roman"/>
                <w:bCs w:val="0"/>
                <w:sz w:val="20"/>
                <w:szCs w:val="20"/>
                <w:lang w:val="en-US"/>
              </w:rPr>
              <w:t>$71.27</w:t>
            </w:r>
          </w:p>
        </w:tc>
      </w:tr>
      <w:tr w:rsidR="004239D7" w:rsidRPr="00B9667C" w:rsidTr="00AE5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rsidR="0015173E" w:rsidRPr="00B9667C" w:rsidRDefault="0015173E" w:rsidP="00AE5EFB">
            <w:pPr>
              <w:spacing w:after="0"/>
              <w:jc w:val="left"/>
              <w:rPr>
                <w:rFonts w:ascii="Calibri" w:eastAsia="Times New Roman" w:hAnsi="Calibri" w:cs="Times New Roman"/>
                <w:b w:val="0"/>
                <w:sz w:val="20"/>
                <w:szCs w:val="20"/>
                <w:lang w:val="en-US"/>
              </w:rPr>
            </w:pPr>
            <w:r w:rsidRPr="00B9667C">
              <w:rPr>
                <w:rFonts w:ascii="Calibri" w:eastAsia="Times New Roman" w:hAnsi="Calibri" w:cs="Times New Roman"/>
                <w:b w:val="0"/>
                <w:sz w:val="20"/>
                <w:szCs w:val="20"/>
                <w:lang w:val="en-US"/>
              </w:rPr>
              <w:t>3 High</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15173E" w:rsidRPr="00B9667C" w:rsidRDefault="0015173E" w:rsidP="00AE5EFB">
            <w:pPr>
              <w:spacing w:after="0"/>
              <w:jc w:val="center"/>
              <w:rPr>
                <w:rFonts w:ascii="Calibri" w:hAnsi="Calibri"/>
                <w:sz w:val="20"/>
                <w:szCs w:val="20"/>
              </w:rPr>
            </w:pPr>
            <w:r w:rsidRPr="00B9667C">
              <w:rPr>
                <w:rFonts w:ascii="Calibri" w:eastAsia="Times New Roman" w:hAnsi="Calibri" w:cs="Times New Roman"/>
                <w:sz w:val="20"/>
                <w:szCs w:val="20"/>
                <w:lang w:val="en-US"/>
              </w:rPr>
              <w:t>38.0%</w:t>
            </w:r>
          </w:p>
        </w:tc>
        <w:tc>
          <w:tcPr>
            <w:cnfStyle w:val="000100000000" w:firstRow="0" w:lastRow="0" w:firstColumn="0" w:lastColumn="1" w:oddVBand="0" w:evenVBand="0" w:oddHBand="0" w:evenHBand="0" w:firstRowFirstColumn="0" w:firstRowLastColumn="0" w:lastRowFirstColumn="0" w:lastRowLastColumn="0"/>
            <w:tcW w:w="2693" w:type="dxa"/>
            <w:vAlign w:val="center"/>
          </w:tcPr>
          <w:p w:rsidR="0015173E" w:rsidRPr="00B9667C" w:rsidRDefault="0015173E" w:rsidP="00AE5EFB">
            <w:pPr>
              <w:spacing w:after="0"/>
              <w:jc w:val="center"/>
              <w:rPr>
                <w:rFonts w:ascii="Calibri" w:eastAsia="Times New Roman" w:hAnsi="Calibri" w:cs="Times New Roman"/>
                <w:bCs w:val="0"/>
                <w:sz w:val="20"/>
                <w:szCs w:val="20"/>
                <w:lang w:val="en-US"/>
              </w:rPr>
            </w:pPr>
            <w:r w:rsidRPr="00B9667C">
              <w:rPr>
                <w:rFonts w:ascii="Calibri" w:eastAsia="Times New Roman" w:hAnsi="Calibri" w:cs="Times New Roman"/>
                <w:bCs w:val="0"/>
                <w:sz w:val="20"/>
                <w:szCs w:val="20"/>
                <w:lang w:val="en-US"/>
              </w:rPr>
              <w:t>$98.00</w:t>
            </w:r>
          </w:p>
        </w:tc>
      </w:tr>
      <w:tr w:rsidR="004239D7" w:rsidRPr="00B9667C" w:rsidTr="00AE5EFB">
        <w:tc>
          <w:tcPr>
            <w:cnfStyle w:val="001000000000" w:firstRow="0" w:lastRow="0" w:firstColumn="1" w:lastColumn="0" w:oddVBand="0" w:evenVBand="0" w:oddHBand="0" w:evenHBand="0" w:firstRowFirstColumn="0" w:firstRowLastColumn="0" w:lastRowFirstColumn="0" w:lastRowLastColumn="0"/>
            <w:tcW w:w="2835" w:type="dxa"/>
            <w:vAlign w:val="center"/>
          </w:tcPr>
          <w:p w:rsidR="0015173E" w:rsidRPr="00B9667C" w:rsidRDefault="0015173E" w:rsidP="00AE5EFB">
            <w:pPr>
              <w:spacing w:after="0"/>
              <w:jc w:val="left"/>
              <w:rPr>
                <w:rFonts w:ascii="Calibri" w:eastAsia="Times New Roman" w:hAnsi="Calibri" w:cs="Times New Roman"/>
                <w:b w:val="0"/>
                <w:sz w:val="20"/>
                <w:szCs w:val="20"/>
                <w:lang w:val="en-US"/>
              </w:rPr>
            </w:pPr>
            <w:r w:rsidRPr="00B9667C">
              <w:rPr>
                <w:rFonts w:ascii="Calibri" w:eastAsia="Times New Roman" w:hAnsi="Calibri" w:cs="Times New Roman"/>
                <w:b w:val="0"/>
                <w:sz w:val="20"/>
                <w:szCs w:val="20"/>
                <w:lang w:val="en-US"/>
              </w:rPr>
              <w:t>4 Very High</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15173E" w:rsidRPr="00B9667C" w:rsidRDefault="0015173E" w:rsidP="00AE5EFB">
            <w:pPr>
              <w:spacing w:after="0"/>
              <w:jc w:val="center"/>
              <w:rPr>
                <w:rFonts w:ascii="Calibri" w:hAnsi="Calibri"/>
                <w:sz w:val="20"/>
                <w:szCs w:val="20"/>
              </w:rPr>
            </w:pPr>
            <w:r w:rsidRPr="00B9667C">
              <w:rPr>
                <w:rFonts w:ascii="Calibri" w:eastAsia="Times New Roman" w:hAnsi="Calibri" w:cs="Times New Roman"/>
                <w:sz w:val="20"/>
                <w:szCs w:val="20"/>
                <w:lang w:val="en-US"/>
              </w:rPr>
              <w:t>22.2%</w:t>
            </w:r>
          </w:p>
        </w:tc>
        <w:tc>
          <w:tcPr>
            <w:cnfStyle w:val="000100000000" w:firstRow="0" w:lastRow="0" w:firstColumn="0" w:lastColumn="1" w:oddVBand="0" w:evenVBand="0" w:oddHBand="0" w:evenHBand="0" w:firstRowFirstColumn="0" w:firstRowLastColumn="0" w:lastRowFirstColumn="0" w:lastRowLastColumn="0"/>
            <w:tcW w:w="2693" w:type="dxa"/>
            <w:vAlign w:val="center"/>
          </w:tcPr>
          <w:p w:rsidR="0015173E" w:rsidRPr="00B9667C" w:rsidRDefault="0015173E" w:rsidP="00AE5EFB">
            <w:pPr>
              <w:spacing w:after="0"/>
              <w:jc w:val="center"/>
              <w:rPr>
                <w:rFonts w:ascii="Calibri" w:eastAsia="Times New Roman" w:hAnsi="Calibri" w:cs="Times New Roman"/>
                <w:bCs w:val="0"/>
                <w:sz w:val="20"/>
                <w:szCs w:val="20"/>
                <w:lang w:val="en-US"/>
              </w:rPr>
            </w:pPr>
            <w:r w:rsidRPr="00B9667C">
              <w:rPr>
                <w:rFonts w:ascii="Calibri" w:eastAsia="Times New Roman" w:hAnsi="Calibri" w:cs="Times New Roman"/>
                <w:bCs w:val="0"/>
                <w:sz w:val="20"/>
                <w:szCs w:val="20"/>
                <w:lang w:val="en-US"/>
              </w:rPr>
              <w:t>$124.73</w:t>
            </w:r>
          </w:p>
        </w:tc>
      </w:tr>
      <w:tr w:rsidR="004239D7" w:rsidRPr="00B9667C" w:rsidTr="00B96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5B9BD5" w:themeFill="accent5"/>
          </w:tcPr>
          <w:p w:rsidR="004239D7" w:rsidRPr="00B9667C" w:rsidRDefault="004239D7" w:rsidP="004239D7">
            <w:pPr>
              <w:spacing w:after="0"/>
              <w:jc w:val="left"/>
              <w:rPr>
                <w:rFonts w:ascii="Calibri" w:eastAsia="Times New Roman" w:hAnsi="Calibri" w:cs="Times New Roman"/>
                <w:color w:val="FFFFFF" w:themeColor="background1"/>
                <w:sz w:val="20"/>
                <w:szCs w:val="20"/>
                <w:lang w:val="en-US"/>
              </w:rPr>
            </w:pPr>
            <w:r w:rsidRPr="00B9667C">
              <w:rPr>
                <w:rFonts w:ascii="Calibri" w:eastAsia="Times New Roman" w:hAnsi="Calibri" w:cs="Times New Roman"/>
                <w:color w:val="FFFFFF" w:themeColor="background1"/>
                <w:sz w:val="20"/>
                <w:szCs w:val="20"/>
                <w:lang w:val="en-US"/>
              </w:rPr>
              <w:t>Behaviour Domain</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5B9BD5" w:themeFill="accent5"/>
          </w:tcPr>
          <w:p w:rsidR="004239D7" w:rsidRPr="001B6A8C" w:rsidRDefault="004239D7" w:rsidP="00B9667C">
            <w:pPr>
              <w:spacing w:after="0"/>
              <w:jc w:val="center"/>
              <w:rPr>
                <w:rFonts w:ascii="Calibri" w:eastAsia="Times New Roman" w:hAnsi="Calibri" w:cs="Times New Roman"/>
                <w:b/>
                <w:color w:val="FFFFFF" w:themeColor="background1"/>
                <w:sz w:val="20"/>
                <w:szCs w:val="20"/>
                <w:lang w:val="en-US"/>
              </w:rPr>
            </w:pPr>
            <w:r w:rsidRPr="001B6A8C">
              <w:rPr>
                <w:rFonts w:ascii="Calibri" w:eastAsia="Times New Roman" w:hAnsi="Calibri" w:cs="Times New Roman"/>
                <w:b/>
                <w:color w:val="FFFFFF" w:themeColor="background1"/>
                <w:sz w:val="20"/>
                <w:szCs w:val="20"/>
                <w:lang w:val="en-US"/>
              </w:rPr>
              <w:t>Frequency</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5B9BD5" w:themeFill="accent5"/>
          </w:tcPr>
          <w:p w:rsidR="004239D7" w:rsidRPr="00B9667C" w:rsidRDefault="004239D7" w:rsidP="00B9667C">
            <w:pPr>
              <w:spacing w:after="0"/>
              <w:jc w:val="center"/>
              <w:rPr>
                <w:rFonts w:ascii="Calibri" w:eastAsia="Times New Roman" w:hAnsi="Calibri" w:cs="Times New Roman"/>
                <w:color w:val="FFFFFF" w:themeColor="background1"/>
                <w:sz w:val="20"/>
                <w:szCs w:val="20"/>
                <w:lang w:val="en-US"/>
              </w:rPr>
            </w:pPr>
            <w:r w:rsidRPr="00B9667C">
              <w:rPr>
                <w:rFonts w:ascii="Calibri" w:eastAsia="Times New Roman" w:hAnsi="Calibri" w:cs="Times New Roman"/>
                <w:color w:val="FFFFFF" w:themeColor="background1"/>
                <w:sz w:val="20"/>
                <w:szCs w:val="20"/>
                <w:lang w:val="en-US"/>
              </w:rPr>
              <w:t>Proposed Funding ($ Per Day)</w:t>
            </w:r>
          </w:p>
        </w:tc>
      </w:tr>
      <w:tr w:rsidR="004239D7" w:rsidRPr="00B9667C" w:rsidTr="00AE5EFB">
        <w:tc>
          <w:tcPr>
            <w:cnfStyle w:val="001000000000" w:firstRow="0" w:lastRow="0" w:firstColumn="1" w:lastColumn="0" w:oddVBand="0" w:evenVBand="0" w:oddHBand="0" w:evenHBand="0" w:firstRowFirstColumn="0" w:firstRowLastColumn="0" w:lastRowFirstColumn="0" w:lastRowLastColumn="0"/>
            <w:tcW w:w="2835" w:type="dxa"/>
            <w:vAlign w:val="center"/>
          </w:tcPr>
          <w:p w:rsidR="004239D7" w:rsidRPr="00B9667C" w:rsidRDefault="004239D7" w:rsidP="00AE5EFB">
            <w:pPr>
              <w:spacing w:after="0"/>
              <w:jc w:val="left"/>
              <w:rPr>
                <w:rFonts w:ascii="Calibri" w:eastAsia="Times New Roman" w:hAnsi="Calibri" w:cs="Times New Roman"/>
                <w:b w:val="0"/>
                <w:sz w:val="20"/>
                <w:szCs w:val="20"/>
                <w:lang w:val="en-US"/>
              </w:rPr>
            </w:pPr>
            <w:r w:rsidRPr="00B9667C">
              <w:rPr>
                <w:rFonts w:ascii="Calibri" w:eastAsia="Times New Roman" w:hAnsi="Calibri" w:cs="Times New Roman"/>
                <w:b w:val="0"/>
                <w:sz w:val="20"/>
                <w:szCs w:val="20"/>
                <w:lang w:val="en-US"/>
              </w:rPr>
              <w:t>0 Base</w:t>
            </w:r>
            <w:r w:rsidRPr="00B9667C">
              <w:rPr>
                <w:rFonts w:cs="Tahoma"/>
                <w:b w:val="0"/>
                <w:sz w:val="20"/>
                <w:szCs w:val="20"/>
                <w:vertAlign w:val="superscript"/>
              </w:rPr>
              <w:t>1</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4239D7" w:rsidRPr="00B9667C" w:rsidRDefault="004239D7" w:rsidP="00AE5EFB">
            <w:pPr>
              <w:spacing w:after="0"/>
              <w:jc w:val="center"/>
              <w:rPr>
                <w:rFonts w:ascii="Calibri" w:hAnsi="Calibri"/>
                <w:sz w:val="20"/>
                <w:szCs w:val="20"/>
              </w:rPr>
            </w:pPr>
            <w:r w:rsidRPr="00B9667C">
              <w:rPr>
                <w:rFonts w:ascii="Calibri" w:eastAsia="Times New Roman" w:hAnsi="Calibri" w:cs="Times New Roman"/>
                <w:sz w:val="20"/>
                <w:szCs w:val="20"/>
                <w:lang w:val="en-US"/>
              </w:rPr>
              <w:t>9.9%</w:t>
            </w:r>
          </w:p>
        </w:tc>
        <w:tc>
          <w:tcPr>
            <w:cnfStyle w:val="000100000000" w:firstRow="0" w:lastRow="0" w:firstColumn="0" w:lastColumn="1" w:oddVBand="0" w:evenVBand="0" w:oddHBand="0" w:evenHBand="0" w:firstRowFirstColumn="0" w:firstRowLastColumn="0" w:lastRowFirstColumn="0" w:lastRowLastColumn="0"/>
            <w:tcW w:w="2693" w:type="dxa"/>
            <w:vAlign w:val="center"/>
          </w:tcPr>
          <w:p w:rsidR="004239D7" w:rsidRPr="00B9667C" w:rsidRDefault="004239D7" w:rsidP="00AE5EFB">
            <w:pPr>
              <w:spacing w:after="0"/>
              <w:jc w:val="center"/>
              <w:rPr>
                <w:rFonts w:ascii="Calibri" w:eastAsia="Times New Roman" w:hAnsi="Calibri" w:cs="Times New Roman"/>
                <w:sz w:val="20"/>
                <w:szCs w:val="20"/>
                <w:lang w:val="en-US"/>
              </w:rPr>
            </w:pPr>
            <w:r w:rsidRPr="00B9667C">
              <w:rPr>
                <w:rFonts w:ascii="Calibri" w:eastAsia="Times New Roman" w:hAnsi="Calibri" w:cs="Times New Roman"/>
                <w:bCs w:val="0"/>
                <w:sz w:val="20"/>
                <w:szCs w:val="20"/>
                <w:lang w:val="en-US"/>
              </w:rPr>
              <w:t>$0.00</w:t>
            </w:r>
          </w:p>
        </w:tc>
      </w:tr>
      <w:tr w:rsidR="004239D7" w:rsidRPr="00B9667C" w:rsidTr="00AE5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rsidR="004239D7" w:rsidRPr="00B9667C" w:rsidRDefault="004239D7" w:rsidP="00AE5EFB">
            <w:pPr>
              <w:spacing w:after="0"/>
              <w:jc w:val="left"/>
              <w:rPr>
                <w:rFonts w:ascii="Calibri" w:eastAsia="Times New Roman" w:hAnsi="Calibri" w:cs="Times New Roman"/>
                <w:b w:val="0"/>
                <w:sz w:val="20"/>
                <w:szCs w:val="20"/>
                <w:lang w:val="en-US"/>
              </w:rPr>
            </w:pPr>
            <w:r w:rsidRPr="00B9667C">
              <w:rPr>
                <w:rFonts w:ascii="Calibri" w:eastAsia="Times New Roman" w:hAnsi="Calibri" w:cs="Times New Roman"/>
                <w:b w:val="0"/>
                <w:sz w:val="20"/>
                <w:szCs w:val="20"/>
                <w:lang w:val="en-US"/>
              </w:rPr>
              <w:t>1 Moderate</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4239D7" w:rsidRPr="00B9667C" w:rsidRDefault="004239D7" w:rsidP="00AE5EFB">
            <w:pPr>
              <w:spacing w:after="0"/>
              <w:jc w:val="center"/>
              <w:rPr>
                <w:rFonts w:ascii="Calibri" w:hAnsi="Calibri"/>
                <w:sz w:val="20"/>
                <w:szCs w:val="20"/>
              </w:rPr>
            </w:pPr>
            <w:r w:rsidRPr="00B9667C">
              <w:rPr>
                <w:rFonts w:ascii="Calibri" w:eastAsia="Times New Roman" w:hAnsi="Calibri" w:cs="Times New Roman"/>
                <w:sz w:val="20"/>
                <w:szCs w:val="20"/>
                <w:lang w:val="en-US"/>
              </w:rPr>
              <w:t>29.2%</w:t>
            </w:r>
          </w:p>
        </w:tc>
        <w:tc>
          <w:tcPr>
            <w:cnfStyle w:val="000100000000" w:firstRow="0" w:lastRow="0" w:firstColumn="0" w:lastColumn="1" w:oddVBand="0" w:evenVBand="0" w:oddHBand="0" w:evenHBand="0" w:firstRowFirstColumn="0" w:firstRowLastColumn="0" w:lastRowFirstColumn="0" w:lastRowLastColumn="0"/>
            <w:tcW w:w="2693" w:type="dxa"/>
            <w:vAlign w:val="center"/>
          </w:tcPr>
          <w:p w:rsidR="004239D7" w:rsidRPr="00B9667C" w:rsidRDefault="004239D7" w:rsidP="00AE5EFB">
            <w:pPr>
              <w:spacing w:after="0"/>
              <w:jc w:val="center"/>
              <w:rPr>
                <w:rFonts w:ascii="Calibri" w:eastAsia="Times New Roman" w:hAnsi="Calibri" w:cs="Times New Roman"/>
                <w:sz w:val="20"/>
                <w:szCs w:val="20"/>
                <w:lang w:val="en-US"/>
              </w:rPr>
            </w:pPr>
            <w:r w:rsidRPr="00B9667C">
              <w:rPr>
                <w:rFonts w:ascii="Calibri" w:eastAsia="Times New Roman" w:hAnsi="Calibri" w:cs="Times New Roman"/>
                <w:bCs w:val="0"/>
                <w:sz w:val="20"/>
                <w:szCs w:val="20"/>
                <w:lang w:val="en-US"/>
              </w:rPr>
              <w:t>$17.51</w:t>
            </w:r>
          </w:p>
        </w:tc>
      </w:tr>
      <w:tr w:rsidR="004239D7" w:rsidRPr="00B9667C" w:rsidTr="00AE5EFB">
        <w:tc>
          <w:tcPr>
            <w:cnfStyle w:val="001000000000" w:firstRow="0" w:lastRow="0" w:firstColumn="1" w:lastColumn="0" w:oddVBand="0" w:evenVBand="0" w:oddHBand="0" w:evenHBand="0" w:firstRowFirstColumn="0" w:firstRowLastColumn="0" w:lastRowFirstColumn="0" w:lastRowLastColumn="0"/>
            <w:tcW w:w="2835" w:type="dxa"/>
            <w:vAlign w:val="center"/>
          </w:tcPr>
          <w:p w:rsidR="004239D7" w:rsidRPr="00B9667C" w:rsidRDefault="004239D7" w:rsidP="00AE5EFB">
            <w:pPr>
              <w:spacing w:after="0"/>
              <w:jc w:val="left"/>
              <w:rPr>
                <w:rFonts w:ascii="Calibri" w:eastAsia="Times New Roman" w:hAnsi="Calibri" w:cs="Times New Roman"/>
                <w:b w:val="0"/>
                <w:sz w:val="20"/>
                <w:szCs w:val="20"/>
                <w:lang w:val="en-US"/>
              </w:rPr>
            </w:pPr>
            <w:r w:rsidRPr="00B9667C">
              <w:rPr>
                <w:rFonts w:ascii="Calibri" w:eastAsia="Times New Roman" w:hAnsi="Calibri" w:cs="Times New Roman"/>
                <w:b w:val="0"/>
                <w:sz w:val="20"/>
                <w:szCs w:val="20"/>
                <w:lang w:val="en-US"/>
              </w:rPr>
              <w:t>2 High</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4239D7" w:rsidRPr="00B9667C" w:rsidRDefault="004239D7" w:rsidP="00AE5EFB">
            <w:pPr>
              <w:spacing w:after="0"/>
              <w:jc w:val="center"/>
              <w:rPr>
                <w:rFonts w:ascii="Calibri" w:hAnsi="Calibri"/>
                <w:sz w:val="20"/>
                <w:szCs w:val="20"/>
              </w:rPr>
            </w:pPr>
            <w:r w:rsidRPr="00B9667C">
              <w:rPr>
                <w:rFonts w:ascii="Calibri" w:eastAsia="Times New Roman" w:hAnsi="Calibri" w:cs="Times New Roman"/>
                <w:sz w:val="20"/>
                <w:szCs w:val="20"/>
                <w:lang w:val="en-US"/>
              </w:rPr>
              <w:t>60.9%</w:t>
            </w:r>
          </w:p>
        </w:tc>
        <w:tc>
          <w:tcPr>
            <w:cnfStyle w:val="000100000000" w:firstRow="0" w:lastRow="0" w:firstColumn="0" w:lastColumn="1" w:oddVBand="0" w:evenVBand="0" w:oddHBand="0" w:evenHBand="0" w:firstRowFirstColumn="0" w:firstRowLastColumn="0" w:lastRowFirstColumn="0" w:lastRowLastColumn="0"/>
            <w:tcW w:w="2693" w:type="dxa"/>
            <w:vAlign w:val="center"/>
          </w:tcPr>
          <w:p w:rsidR="004239D7" w:rsidRPr="00B9667C" w:rsidRDefault="004239D7" w:rsidP="00AE5EFB">
            <w:pPr>
              <w:spacing w:after="0"/>
              <w:jc w:val="center"/>
              <w:rPr>
                <w:rFonts w:ascii="Calibri" w:eastAsia="Times New Roman" w:hAnsi="Calibri" w:cs="Times New Roman"/>
                <w:sz w:val="20"/>
                <w:szCs w:val="20"/>
                <w:lang w:val="en-US"/>
              </w:rPr>
            </w:pPr>
            <w:r w:rsidRPr="00B9667C">
              <w:rPr>
                <w:rFonts w:ascii="Calibri" w:eastAsia="Times New Roman" w:hAnsi="Calibri" w:cs="Times New Roman"/>
                <w:bCs w:val="0"/>
                <w:sz w:val="20"/>
                <w:szCs w:val="20"/>
                <w:lang w:val="en-US"/>
              </w:rPr>
              <w:t>$30.65</w:t>
            </w:r>
          </w:p>
        </w:tc>
      </w:tr>
      <w:tr w:rsidR="004239D7" w:rsidRPr="00B9667C" w:rsidTr="00B96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5B9BD5" w:themeFill="accent5"/>
          </w:tcPr>
          <w:p w:rsidR="004239D7" w:rsidRPr="00B9667C" w:rsidRDefault="004239D7" w:rsidP="004239D7">
            <w:pPr>
              <w:spacing w:after="0"/>
              <w:jc w:val="left"/>
              <w:rPr>
                <w:rFonts w:ascii="Calibri" w:eastAsia="Times New Roman" w:hAnsi="Calibri" w:cs="Times New Roman"/>
                <w:color w:val="FFFFFF" w:themeColor="background1"/>
                <w:sz w:val="20"/>
                <w:szCs w:val="20"/>
                <w:lang w:val="en-US"/>
              </w:rPr>
            </w:pPr>
            <w:r w:rsidRPr="00B9667C">
              <w:rPr>
                <w:rFonts w:ascii="Calibri" w:eastAsia="Times New Roman" w:hAnsi="Calibri" w:cs="Times New Roman"/>
                <w:color w:val="FFFFFF" w:themeColor="background1"/>
                <w:sz w:val="20"/>
                <w:szCs w:val="20"/>
                <w:lang w:val="en-US"/>
              </w:rPr>
              <w:t>Complex Health Care Domain</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5B9BD5" w:themeFill="accent5"/>
          </w:tcPr>
          <w:p w:rsidR="004239D7" w:rsidRPr="001B6A8C" w:rsidRDefault="004239D7" w:rsidP="00B9667C">
            <w:pPr>
              <w:spacing w:after="0"/>
              <w:jc w:val="center"/>
              <w:rPr>
                <w:rFonts w:ascii="Calibri" w:eastAsia="Times New Roman" w:hAnsi="Calibri" w:cs="Times New Roman"/>
                <w:b/>
                <w:color w:val="FFFFFF" w:themeColor="background1"/>
                <w:sz w:val="20"/>
                <w:szCs w:val="20"/>
                <w:lang w:val="en-US"/>
              </w:rPr>
            </w:pPr>
            <w:r w:rsidRPr="001B6A8C">
              <w:rPr>
                <w:rFonts w:ascii="Calibri" w:eastAsia="Times New Roman" w:hAnsi="Calibri" w:cs="Times New Roman"/>
                <w:b/>
                <w:color w:val="FFFFFF" w:themeColor="background1"/>
                <w:sz w:val="20"/>
                <w:szCs w:val="20"/>
                <w:lang w:val="en-US"/>
              </w:rPr>
              <w:t>Frequency</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5B9BD5" w:themeFill="accent5"/>
          </w:tcPr>
          <w:p w:rsidR="004239D7" w:rsidRPr="00B9667C" w:rsidRDefault="004239D7" w:rsidP="00B9667C">
            <w:pPr>
              <w:spacing w:after="0"/>
              <w:jc w:val="center"/>
              <w:rPr>
                <w:rFonts w:ascii="Calibri" w:eastAsia="Times New Roman" w:hAnsi="Calibri" w:cs="Times New Roman"/>
                <w:color w:val="FFFFFF" w:themeColor="background1"/>
                <w:sz w:val="20"/>
                <w:szCs w:val="20"/>
                <w:lang w:val="en-US"/>
              </w:rPr>
            </w:pPr>
            <w:r w:rsidRPr="00B9667C">
              <w:rPr>
                <w:rFonts w:ascii="Calibri" w:eastAsia="Times New Roman" w:hAnsi="Calibri" w:cs="Times New Roman"/>
                <w:color w:val="FFFFFF" w:themeColor="background1"/>
                <w:sz w:val="20"/>
                <w:szCs w:val="20"/>
                <w:lang w:val="en-US"/>
              </w:rPr>
              <w:t>Proposed Funding ($ Per Day)</w:t>
            </w:r>
          </w:p>
        </w:tc>
      </w:tr>
      <w:tr w:rsidR="004239D7" w:rsidRPr="00B9667C" w:rsidTr="00AE5EFB">
        <w:tc>
          <w:tcPr>
            <w:cnfStyle w:val="001000000000" w:firstRow="0" w:lastRow="0" w:firstColumn="1" w:lastColumn="0" w:oddVBand="0" w:evenVBand="0" w:oddHBand="0" w:evenHBand="0" w:firstRowFirstColumn="0" w:firstRowLastColumn="0" w:lastRowFirstColumn="0" w:lastRowLastColumn="0"/>
            <w:tcW w:w="2835" w:type="dxa"/>
            <w:vAlign w:val="center"/>
          </w:tcPr>
          <w:p w:rsidR="004239D7" w:rsidRPr="00B9667C" w:rsidRDefault="004239D7" w:rsidP="00AE5EFB">
            <w:pPr>
              <w:spacing w:after="0"/>
              <w:jc w:val="left"/>
              <w:rPr>
                <w:rFonts w:ascii="Calibri" w:eastAsia="Times New Roman" w:hAnsi="Calibri" w:cs="Times New Roman"/>
                <w:b w:val="0"/>
                <w:sz w:val="20"/>
                <w:szCs w:val="20"/>
                <w:lang w:val="en-US"/>
              </w:rPr>
            </w:pPr>
            <w:r w:rsidRPr="00B9667C">
              <w:rPr>
                <w:rFonts w:ascii="Calibri" w:eastAsia="Times New Roman" w:hAnsi="Calibri" w:cs="Times New Roman"/>
                <w:b w:val="0"/>
                <w:sz w:val="20"/>
                <w:szCs w:val="20"/>
                <w:lang w:val="en-US"/>
              </w:rPr>
              <w:t>0 Base</w:t>
            </w:r>
            <w:r w:rsidRPr="00B9667C">
              <w:rPr>
                <w:rFonts w:cs="Tahoma"/>
                <w:b w:val="0"/>
                <w:sz w:val="20"/>
                <w:szCs w:val="20"/>
                <w:vertAlign w:val="superscript"/>
              </w:rPr>
              <w:t>1</w:t>
            </w:r>
            <w:r w:rsidRPr="00B9667C">
              <w:rPr>
                <w:rFonts w:ascii="Calibri" w:eastAsia="Times New Roman" w:hAnsi="Calibri" w:cs="Times New Roman"/>
                <w:b w:val="0"/>
                <w:sz w:val="20"/>
                <w:szCs w:val="20"/>
                <w:lang w:val="en-US"/>
              </w:rPr>
              <w:t xml:space="preserve"> </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4239D7" w:rsidRPr="00B9667C" w:rsidRDefault="004239D7" w:rsidP="00AE5EFB">
            <w:pPr>
              <w:spacing w:after="0"/>
              <w:jc w:val="center"/>
              <w:rPr>
                <w:rFonts w:ascii="Calibri" w:hAnsi="Calibri"/>
                <w:sz w:val="20"/>
                <w:szCs w:val="20"/>
              </w:rPr>
            </w:pPr>
            <w:r w:rsidRPr="00B9667C">
              <w:rPr>
                <w:rFonts w:ascii="Calibri" w:eastAsia="Times New Roman" w:hAnsi="Calibri" w:cs="Times New Roman"/>
                <w:sz w:val="20"/>
                <w:szCs w:val="20"/>
                <w:lang w:val="en-US"/>
              </w:rPr>
              <w:t>1.0%</w:t>
            </w:r>
          </w:p>
        </w:tc>
        <w:tc>
          <w:tcPr>
            <w:cnfStyle w:val="000100000000" w:firstRow="0" w:lastRow="0" w:firstColumn="0" w:lastColumn="1" w:oddVBand="0" w:evenVBand="0" w:oddHBand="0" w:evenHBand="0" w:firstRowFirstColumn="0" w:firstRowLastColumn="0" w:lastRowFirstColumn="0" w:lastRowLastColumn="0"/>
            <w:tcW w:w="2693" w:type="dxa"/>
            <w:vAlign w:val="center"/>
          </w:tcPr>
          <w:p w:rsidR="004239D7" w:rsidRPr="00B9667C" w:rsidRDefault="004239D7" w:rsidP="00AE5EFB">
            <w:pPr>
              <w:spacing w:after="0"/>
              <w:jc w:val="center"/>
              <w:rPr>
                <w:rFonts w:ascii="Calibri" w:eastAsia="Times New Roman" w:hAnsi="Calibri" w:cs="Times New Roman"/>
                <w:sz w:val="20"/>
                <w:szCs w:val="20"/>
                <w:lang w:val="en-US"/>
              </w:rPr>
            </w:pPr>
            <w:r w:rsidRPr="00B9667C">
              <w:rPr>
                <w:rFonts w:ascii="Calibri" w:eastAsia="Times New Roman" w:hAnsi="Calibri" w:cs="Times New Roman"/>
                <w:bCs w:val="0"/>
                <w:sz w:val="20"/>
                <w:szCs w:val="20"/>
                <w:lang w:val="en-US"/>
              </w:rPr>
              <w:t>$0.00</w:t>
            </w:r>
          </w:p>
        </w:tc>
      </w:tr>
      <w:tr w:rsidR="004239D7" w:rsidRPr="00B9667C" w:rsidTr="00AE5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rsidR="004239D7" w:rsidRPr="00B9667C" w:rsidRDefault="004239D7" w:rsidP="00AE5EFB">
            <w:pPr>
              <w:spacing w:after="0"/>
              <w:jc w:val="left"/>
              <w:rPr>
                <w:rFonts w:ascii="Calibri" w:eastAsia="Times New Roman" w:hAnsi="Calibri" w:cs="Times New Roman"/>
                <w:b w:val="0"/>
                <w:sz w:val="20"/>
                <w:szCs w:val="20"/>
                <w:lang w:val="en-US"/>
              </w:rPr>
            </w:pPr>
            <w:r w:rsidRPr="00B9667C">
              <w:rPr>
                <w:rFonts w:ascii="Calibri" w:eastAsia="Times New Roman" w:hAnsi="Calibri" w:cs="Times New Roman"/>
                <w:b w:val="0"/>
                <w:sz w:val="20"/>
                <w:szCs w:val="20"/>
                <w:lang w:val="en-US"/>
              </w:rPr>
              <w:t>1 Low</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4239D7" w:rsidRPr="00B9667C" w:rsidRDefault="004239D7" w:rsidP="00AE5EFB">
            <w:pPr>
              <w:spacing w:after="0"/>
              <w:jc w:val="center"/>
              <w:rPr>
                <w:rFonts w:ascii="Calibri" w:hAnsi="Calibri"/>
                <w:sz w:val="20"/>
                <w:szCs w:val="20"/>
              </w:rPr>
            </w:pPr>
            <w:r w:rsidRPr="00B9667C">
              <w:rPr>
                <w:rFonts w:ascii="Calibri" w:eastAsia="Times New Roman" w:hAnsi="Calibri" w:cs="Times New Roman"/>
                <w:sz w:val="20"/>
                <w:szCs w:val="20"/>
                <w:lang w:val="en-US"/>
              </w:rPr>
              <w:t>24.0%</w:t>
            </w:r>
          </w:p>
        </w:tc>
        <w:tc>
          <w:tcPr>
            <w:cnfStyle w:val="000100000000" w:firstRow="0" w:lastRow="0" w:firstColumn="0" w:lastColumn="1" w:oddVBand="0" w:evenVBand="0" w:oddHBand="0" w:evenHBand="0" w:firstRowFirstColumn="0" w:firstRowLastColumn="0" w:lastRowFirstColumn="0" w:lastRowLastColumn="0"/>
            <w:tcW w:w="2693" w:type="dxa"/>
            <w:vAlign w:val="center"/>
          </w:tcPr>
          <w:p w:rsidR="004239D7" w:rsidRPr="00B9667C" w:rsidRDefault="004239D7" w:rsidP="00AE5EFB">
            <w:pPr>
              <w:spacing w:after="0"/>
              <w:jc w:val="center"/>
              <w:rPr>
                <w:rFonts w:ascii="Calibri" w:eastAsia="Times New Roman" w:hAnsi="Calibri" w:cs="Times New Roman"/>
                <w:sz w:val="20"/>
                <w:szCs w:val="20"/>
                <w:lang w:val="en-US"/>
              </w:rPr>
            </w:pPr>
            <w:r w:rsidRPr="00B9667C">
              <w:rPr>
                <w:rFonts w:ascii="Calibri" w:eastAsia="Times New Roman" w:hAnsi="Calibri" w:cs="Times New Roman"/>
                <w:bCs w:val="0"/>
                <w:sz w:val="20"/>
                <w:szCs w:val="20"/>
                <w:lang w:val="en-US"/>
              </w:rPr>
              <w:t>$33.11</w:t>
            </w:r>
          </w:p>
        </w:tc>
      </w:tr>
      <w:tr w:rsidR="004239D7" w:rsidRPr="00B9667C" w:rsidTr="00AE5EFB">
        <w:tc>
          <w:tcPr>
            <w:cnfStyle w:val="001000000000" w:firstRow="0" w:lastRow="0" w:firstColumn="1" w:lastColumn="0" w:oddVBand="0" w:evenVBand="0" w:oddHBand="0" w:evenHBand="0" w:firstRowFirstColumn="0" w:firstRowLastColumn="0" w:lastRowFirstColumn="0" w:lastRowLastColumn="0"/>
            <w:tcW w:w="2835" w:type="dxa"/>
            <w:vAlign w:val="center"/>
          </w:tcPr>
          <w:p w:rsidR="004239D7" w:rsidRPr="00B9667C" w:rsidRDefault="004239D7" w:rsidP="00AE5EFB">
            <w:pPr>
              <w:spacing w:after="0"/>
              <w:jc w:val="left"/>
              <w:rPr>
                <w:rFonts w:ascii="Calibri" w:eastAsia="Times New Roman" w:hAnsi="Calibri" w:cs="Times New Roman"/>
                <w:b w:val="0"/>
                <w:sz w:val="20"/>
                <w:szCs w:val="20"/>
                <w:lang w:val="en-US"/>
              </w:rPr>
            </w:pPr>
            <w:r w:rsidRPr="00B9667C">
              <w:rPr>
                <w:rFonts w:ascii="Calibri" w:eastAsia="Times New Roman" w:hAnsi="Calibri" w:cs="Times New Roman"/>
                <w:b w:val="0"/>
                <w:sz w:val="20"/>
                <w:szCs w:val="20"/>
                <w:lang w:val="en-US"/>
              </w:rPr>
              <w:t>2 Medium</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4239D7" w:rsidRPr="00B9667C" w:rsidRDefault="004239D7" w:rsidP="00AE5EFB">
            <w:pPr>
              <w:spacing w:after="0"/>
              <w:jc w:val="center"/>
              <w:rPr>
                <w:rFonts w:ascii="Calibri" w:hAnsi="Calibri"/>
                <w:sz w:val="20"/>
                <w:szCs w:val="20"/>
              </w:rPr>
            </w:pPr>
            <w:r w:rsidRPr="00B9667C">
              <w:rPr>
                <w:rFonts w:ascii="Calibri" w:eastAsia="Times New Roman" w:hAnsi="Calibri" w:cs="Times New Roman"/>
                <w:sz w:val="20"/>
                <w:szCs w:val="20"/>
                <w:lang w:val="en-US"/>
              </w:rPr>
              <w:t>60.9%</w:t>
            </w:r>
          </w:p>
        </w:tc>
        <w:tc>
          <w:tcPr>
            <w:cnfStyle w:val="000100000000" w:firstRow="0" w:lastRow="0" w:firstColumn="0" w:lastColumn="1" w:oddVBand="0" w:evenVBand="0" w:oddHBand="0" w:evenHBand="0" w:firstRowFirstColumn="0" w:firstRowLastColumn="0" w:lastRowFirstColumn="0" w:lastRowLastColumn="0"/>
            <w:tcW w:w="2693" w:type="dxa"/>
            <w:vAlign w:val="center"/>
          </w:tcPr>
          <w:p w:rsidR="004239D7" w:rsidRPr="00B9667C" w:rsidRDefault="004239D7" w:rsidP="00AE5EFB">
            <w:pPr>
              <w:spacing w:after="0"/>
              <w:jc w:val="center"/>
              <w:rPr>
                <w:rFonts w:ascii="Calibri" w:eastAsia="Times New Roman" w:hAnsi="Calibri" w:cs="Times New Roman"/>
                <w:sz w:val="20"/>
                <w:szCs w:val="20"/>
                <w:lang w:val="en-US"/>
              </w:rPr>
            </w:pPr>
            <w:r w:rsidRPr="00B9667C">
              <w:rPr>
                <w:rFonts w:ascii="Calibri" w:eastAsia="Times New Roman" w:hAnsi="Calibri" w:cs="Times New Roman"/>
                <w:bCs w:val="0"/>
                <w:sz w:val="20"/>
                <w:szCs w:val="20"/>
                <w:lang w:val="en-US"/>
              </w:rPr>
              <w:t>$44.15</w:t>
            </w:r>
          </w:p>
        </w:tc>
      </w:tr>
      <w:tr w:rsidR="004239D7" w:rsidRPr="00B9667C" w:rsidTr="00AE5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rsidR="004239D7" w:rsidRPr="00B9667C" w:rsidRDefault="004239D7" w:rsidP="00AE5EFB">
            <w:pPr>
              <w:spacing w:after="0"/>
              <w:jc w:val="left"/>
              <w:rPr>
                <w:rFonts w:ascii="Calibri" w:eastAsia="Times New Roman" w:hAnsi="Calibri" w:cs="Times New Roman"/>
                <w:b w:val="0"/>
                <w:sz w:val="20"/>
                <w:szCs w:val="20"/>
                <w:lang w:val="en-US"/>
              </w:rPr>
            </w:pPr>
            <w:r w:rsidRPr="00B9667C">
              <w:rPr>
                <w:rFonts w:ascii="Calibri" w:eastAsia="Times New Roman" w:hAnsi="Calibri" w:cs="Times New Roman"/>
                <w:b w:val="0"/>
                <w:sz w:val="20"/>
                <w:szCs w:val="20"/>
                <w:lang w:val="en-US"/>
              </w:rPr>
              <w:t>3 High</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4239D7" w:rsidRPr="00B9667C" w:rsidRDefault="004239D7" w:rsidP="00AE5EFB">
            <w:pPr>
              <w:spacing w:after="0"/>
              <w:jc w:val="center"/>
              <w:rPr>
                <w:rFonts w:ascii="Calibri" w:hAnsi="Calibri"/>
                <w:sz w:val="20"/>
                <w:szCs w:val="20"/>
              </w:rPr>
            </w:pPr>
            <w:r w:rsidRPr="00B9667C">
              <w:rPr>
                <w:rFonts w:ascii="Calibri" w:eastAsia="Times New Roman" w:hAnsi="Calibri" w:cs="Times New Roman"/>
                <w:sz w:val="20"/>
                <w:szCs w:val="20"/>
                <w:lang w:val="en-US"/>
              </w:rPr>
              <w:t>14.1%</w:t>
            </w:r>
          </w:p>
        </w:tc>
        <w:tc>
          <w:tcPr>
            <w:cnfStyle w:val="000100000000" w:firstRow="0" w:lastRow="0" w:firstColumn="0" w:lastColumn="1" w:oddVBand="0" w:evenVBand="0" w:oddHBand="0" w:evenHBand="0" w:firstRowFirstColumn="0" w:firstRowLastColumn="0" w:lastRowFirstColumn="0" w:lastRowLastColumn="0"/>
            <w:tcW w:w="2693" w:type="dxa"/>
            <w:vAlign w:val="center"/>
          </w:tcPr>
          <w:p w:rsidR="004239D7" w:rsidRPr="00B9667C" w:rsidRDefault="004239D7" w:rsidP="00AE5EFB">
            <w:pPr>
              <w:spacing w:after="0"/>
              <w:jc w:val="center"/>
              <w:rPr>
                <w:rFonts w:ascii="Calibri" w:eastAsia="Times New Roman" w:hAnsi="Calibri" w:cs="Times New Roman"/>
                <w:sz w:val="20"/>
                <w:szCs w:val="20"/>
                <w:lang w:val="en-US"/>
              </w:rPr>
            </w:pPr>
            <w:r w:rsidRPr="00B9667C">
              <w:rPr>
                <w:rFonts w:ascii="Calibri" w:eastAsia="Times New Roman" w:hAnsi="Calibri" w:cs="Times New Roman"/>
                <w:bCs w:val="0"/>
                <w:sz w:val="20"/>
                <w:szCs w:val="20"/>
                <w:lang w:val="en-US"/>
              </w:rPr>
              <w:t>$55.19</w:t>
            </w:r>
          </w:p>
        </w:tc>
      </w:tr>
      <w:tr w:rsidR="001B6A8C" w:rsidRPr="00B9667C" w:rsidTr="00557203">
        <w:tc>
          <w:tcPr>
            <w:cnfStyle w:val="001000000000" w:firstRow="0" w:lastRow="0" w:firstColumn="1" w:lastColumn="0" w:oddVBand="0" w:evenVBand="0" w:oddHBand="0" w:evenHBand="0" w:firstRowFirstColumn="0" w:firstRowLastColumn="0" w:lastRowFirstColumn="0" w:lastRowLastColumn="0"/>
            <w:tcW w:w="2835" w:type="dxa"/>
            <w:shd w:val="clear" w:color="auto" w:fill="5B9BD5" w:themeFill="accent5"/>
          </w:tcPr>
          <w:p w:rsidR="001B6A8C" w:rsidRPr="00B9667C" w:rsidRDefault="001B6A8C" w:rsidP="004239D7">
            <w:pPr>
              <w:spacing w:after="0"/>
              <w:jc w:val="left"/>
              <w:rPr>
                <w:rFonts w:ascii="Calibri" w:eastAsia="Times New Roman" w:hAnsi="Calibri" w:cs="Times New Roman"/>
                <w:color w:val="FFFFFF" w:themeColor="background1"/>
                <w:sz w:val="20"/>
                <w:szCs w:val="20"/>
                <w:lang w:val="en-US"/>
              </w:rPr>
            </w:pPr>
            <w:r w:rsidRPr="00B9667C">
              <w:rPr>
                <w:rFonts w:ascii="Calibri" w:eastAsia="Times New Roman" w:hAnsi="Calibri" w:cs="Times New Roman"/>
                <w:color w:val="FFFFFF" w:themeColor="background1"/>
                <w:sz w:val="20"/>
                <w:szCs w:val="20"/>
                <w:lang w:val="en-US"/>
              </w:rPr>
              <w:t>Therapy Program Domain</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5B9BD5" w:themeFill="accent5"/>
          </w:tcPr>
          <w:p w:rsidR="001B6A8C" w:rsidRPr="001B6A8C" w:rsidRDefault="001B6A8C" w:rsidP="00B9667C">
            <w:pPr>
              <w:spacing w:after="0"/>
              <w:jc w:val="center"/>
              <w:rPr>
                <w:rFonts w:ascii="Calibri" w:eastAsia="Times New Roman" w:hAnsi="Calibri" w:cs="Times New Roman"/>
                <w:b/>
                <w:color w:val="FFFFFF" w:themeColor="background1"/>
                <w:sz w:val="20"/>
                <w:szCs w:val="20"/>
                <w:lang w:val="en-US"/>
              </w:rPr>
            </w:pPr>
            <w:r w:rsidRPr="001B6A8C">
              <w:rPr>
                <w:rFonts w:ascii="Calibri" w:eastAsia="Times New Roman" w:hAnsi="Calibri" w:cs="Times New Roman"/>
                <w:b/>
                <w:color w:val="FFFFFF" w:themeColor="background1"/>
                <w:sz w:val="20"/>
                <w:szCs w:val="20"/>
                <w:lang w:val="en-US"/>
              </w:rPr>
              <w:t>Frequency</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5B9BD5" w:themeFill="accent5"/>
          </w:tcPr>
          <w:p w:rsidR="001B6A8C" w:rsidRPr="00B9667C" w:rsidRDefault="001B6A8C" w:rsidP="00B9667C">
            <w:pPr>
              <w:spacing w:after="0"/>
              <w:jc w:val="center"/>
              <w:rPr>
                <w:rFonts w:ascii="Calibri" w:eastAsia="Times New Roman" w:hAnsi="Calibri" w:cs="Times New Roman"/>
                <w:color w:val="FFFFFF" w:themeColor="background1"/>
                <w:sz w:val="20"/>
                <w:szCs w:val="20"/>
                <w:lang w:val="en-US"/>
              </w:rPr>
            </w:pPr>
            <w:r w:rsidRPr="00B9667C">
              <w:rPr>
                <w:rFonts w:ascii="Calibri" w:eastAsia="Times New Roman" w:hAnsi="Calibri" w:cs="Times New Roman"/>
                <w:color w:val="FFFFFF" w:themeColor="background1"/>
                <w:sz w:val="20"/>
                <w:szCs w:val="20"/>
                <w:lang w:val="en-US"/>
              </w:rPr>
              <w:t>Proposed Funding ($ Per Day)</w:t>
            </w:r>
          </w:p>
        </w:tc>
      </w:tr>
      <w:tr w:rsidR="001B6A8C" w:rsidRPr="00B9667C" w:rsidTr="00AE5EF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835" w:type="dxa"/>
            <w:tcBorders>
              <w:top w:val="single" w:sz="4" w:space="0" w:color="5B9BD5" w:themeColor="accent5"/>
            </w:tcBorders>
            <w:vAlign w:val="center"/>
          </w:tcPr>
          <w:p w:rsidR="001B6A8C" w:rsidRPr="00B9667C" w:rsidRDefault="001B6A8C" w:rsidP="003F0727">
            <w:pPr>
              <w:spacing w:after="0"/>
              <w:jc w:val="left"/>
              <w:rPr>
                <w:rFonts w:ascii="Calibri" w:eastAsia="Times New Roman" w:hAnsi="Calibri" w:cs="Times New Roman"/>
                <w:b w:val="0"/>
                <w:sz w:val="20"/>
                <w:szCs w:val="20"/>
                <w:lang w:val="en-US"/>
              </w:rPr>
            </w:pPr>
            <w:r w:rsidRPr="00B9667C">
              <w:rPr>
                <w:rFonts w:ascii="Calibri" w:eastAsia="Times New Roman" w:hAnsi="Calibri" w:cs="Times New Roman"/>
                <w:b w:val="0"/>
                <w:sz w:val="20"/>
                <w:szCs w:val="20"/>
                <w:lang w:val="en-US"/>
              </w:rPr>
              <w:t>Highest Funding Possible</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5B9BD5" w:themeColor="accent5"/>
            </w:tcBorders>
            <w:vAlign w:val="center"/>
          </w:tcPr>
          <w:p w:rsidR="001B6A8C" w:rsidRPr="00B9667C" w:rsidRDefault="001B6A8C" w:rsidP="00AE5EFB">
            <w:pPr>
              <w:spacing w:after="0"/>
              <w:jc w:val="center"/>
              <w:rPr>
                <w:rFonts w:ascii="Calibri" w:eastAsia="Times New Roman" w:hAnsi="Calibri" w:cs="Times New Roman"/>
                <w:b w:val="0"/>
                <w:sz w:val="20"/>
                <w:szCs w:val="20"/>
                <w:lang w:val="en-US"/>
              </w:rPr>
            </w:pPr>
            <w:r>
              <w:rPr>
                <w:rFonts w:ascii="Calibri" w:eastAsia="Times New Roman" w:hAnsi="Calibri" w:cs="Times New Roman"/>
                <w:b w:val="0"/>
                <w:sz w:val="20"/>
                <w:szCs w:val="20"/>
                <w:lang w:val="en-US"/>
              </w:rPr>
              <w:t>100%</w:t>
            </w:r>
          </w:p>
        </w:tc>
        <w:tc>
          <w:tcPr>
            <w:cnfStyle w:val="000100000010" w:firstRow="0" w:lastRow="0" w:firstColumn="0" w:lastColumn="1" w:oddVBand="0" w:evenVBand="0" w:oddHBand="0" w:evenHBand="0" w:firstRowFirstColumn="0" w:firstRowLastColumn="0" w:lastRowFirstColumn="0" w:lastRowLastColumn="1"/>
            <w:tcW w:w="2693" w:type="dxa"/>
            <w:tcBorders>
              <w:top w:val="single" w:sz="4" w:space="0" w:color="5B9BD5" w:themeColor="accent5"/>
            </w:tcBorders>
            <w:vAlign w:val="center"/>
          </w:tcPr>
          <w:p w:rsidR="001B6A8C" w:rsidRPr="00B9667C" w:rsidRDefault="001B6A8C" w:rsidP="00AE5EFB">
            <w:pPr>
              <w:spacing w:after="0"/>
              <w:jc w:val="center"/>
              <w:rPr>
                <w:rFonts w:ascii="Calibri" w:eastAsia="Times New Roman" w:hAnsi="Calibri" w:cs="Times New Roman"/>
                <w:b w:val="0"/>
                <w:sz w:val="20"/>
                <w:szCs w:val="20"/>
                <w:lang w:val="en-US"/>
              </w:rPr>
            </w:pPr>
            <w:r w:rsidRPr="00B9667C">
              <w:rPr>
                <w:rFonts w:ascii="Calibri" w:eastAsia="Times New Roman" w:hAnsi="Calibri" w:cs="Times New Roman"/>
                <w:b w:val="0"/>
                <w:bCs w:val="0"/>
                <w:sz w:val="20"/>
                <w:szCs w:val="20"/>
                <w:lang w:val="en-US"/>
              </w:rPr>
              <w:t>$225.56</w:t>
            </w:r>
          </w:p>
        </w:tc>
      </w:tr>
    </w:tbl>
    <w:p w:rsidR="0015173E" w:rsidRDefault="0015173E" w:rsidP="00B9667C">
      <w:pPr>
        <w:pStyle w:val="BodyText"/>
        <w:spacing w:after="240"/>
        <w:rPr>
          <w:rFonts w:asciiTheme="minorHAnsi" w:hAnsiTheme="minorHAnsi" w:cs="Tahoma"/>
          <w:sz w:val="18"/>
          <w:szCs w:val="18"/>
        </w:rPr>
      </w:pPr>
      <w:r w:rsidRPr="006F22F3">
        <w:rPr>
          <w:rFonts w:cs="Tahoma"/>
          <w:b/>
          <w:sz w:val="18"/>
          <w:szCs w:val="18"/>
          <w:vertAlign w:val="superscript"/>
        </w:rPr>
        <w:t>1</w:t>
      </w:r>
      <w:r w:rsidRPr="006F22F3">
        <w:rPr>
          <w:rFonts w:asciiTheme="minorHAnsi" w:hAnsiTheme="minorHAnsi" w:cs="Tahoma"/>
          <w:sz w:val="18"/>
          <w:szCs w:val="18"/>
        </w:rPr>
        <w:t>Base = all assessed care needs must be provided as per Specialised Care &amp; Services &amp; Quality of Care Principles</w:t>
      </w:r>
    </w:p>
    <w:p w:rsidR="00595387" w:rsidRDefault="00595387" w:rsidP="00595387">
      <w:pPr>
        <w:pStyle w:val="Caption"/>
        <w:keepNext/>
      </w:pPr>
      <w:bookmarkStart w:id="38" w:name="_Toc494462010"/>
      <w:bookmarkStart w:id="39" w:name="_Toc495415909"/>
      <w:r>
        <w:t xml:space="preserve">Figure </w:t>
      </w:r>
      <w:r w:rsidR="009A3F5A">
        <w:fldChar w:fldCharType="begin"/>
      </w:r>
      <w:r w:rsidR="009A3F5A">
        <w:instrText xml:space="preserve"> SEQ Figure \* ARABIC </w:instrText>
      </w:r>
      <w:r w:rsidR="009A3F5A">
        <w:fldChar w:fldCharType="separate"/>
      </w:r>
      <w:r w:rsidR="00856E49">
        <w:rPr>
          <w:noProof/>
        </w:rPr>
        <w:t>1</w:t>
      </w:r>
      <w:r w:rsidR="009A3F5A">
        <w:rPr>
          <w:noProof/>
        </w:rPr>
        <w:fldChar w:fldCharType="end"/>
      </w:r>
      <w:r>
        <w:t xml:space="preserve">: </w:t>
      </w:r>
      <w:r w:rsidRPr="00595387">
        <w:t>ACFI and R-ACFI Funding Distributions by R-ACFI Categories (48)</w:t>
      </w:r>
      <w:bookmarkEnd w:id="38"/>
      <w:bookmarkEnd w:id="39"/>
    </w:p>
    <w:p w:rsidR="0027557C" w:rsidRDefault="0027557C" w:rsidP="00527184">
      <w:pPr>
        <w:spacing w:after="200"/>
        <w:rPr>
          <w:rFonts w:cstheme="minorHAnsi"/>
          <w:b/>
        </w:rPr>
      </w:pPr>
      <w:r>
        <w:rPr>
          <w:rFonts w:cstheme="minorHAnsi"/>
          <w:b/>
          <w:noProof/>
          <w:lang w:eastAsia="en-AU"/>
        </w:rPr>
        <w:drawing>
          <wp:inline distT="0" distB="0" distL="0" distR="0" wp14:anchorId="45E17DB9" wp14:editId="76A105B5">
            <wp:extent cx="5523230" cy="3322320"/>
            <wp:effectExtent l="0" t="0" r="1270" b="0"/>
            <wp:docPr id="16" name="Picture 16" descr="Figure 1 is a line diagram illustrating the comparison of funding distribution for the current aged care funding instrument (ACFI) and revised aged care funding instrument (R-ACFI) under the 48 subsid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3230" cy="3322320"/>
                    </a:xfrm>
                    <a:prstGeom prst="rect">
                      <a:avLst/>
                    </a:prstGeom>
                    <a:noFill/>
                  </pic:spPr>
                </pic:pic>
              </a:graphicData>
            </a:graphic>
          </wp:inline>
        </w:drawing>
      </w:r>
    </w:p>
    <w:p w:rsidR="00595387" w:rsidRDefault="00595387">
      <w:pPr>
        <w:spacing w:after="200"/>
        <w:jc w:val="left"/>
        <w:rPr>
          <w:rFonts w:cstheme="minorHAnsi"/>
          <w:b/>
        </w:rPr>
      </w:pPr>
      <w:r>
        <w:rPr>
          <w:rFonts w:cstheme="minorHAnsi"/>
          <w:b/>
        </w:rPr>
        <w:br w:type="page"/>
      </w:r>
    </w:p>
    <w:p w:rsidR="0015173E" w:rsidRPr="003F0F6E" w:rsidRDefault="0015173E" w:rsidP="00BE2954">
      <w:pPr>
        <w:pStyle w:val="Heading2"/>
      </w:pPr>
      <w:bookmarkStart w:id="40" w:name="_Toc491426018"/>
      <w:r>
        <w:lastRenderedPageBreak/>
        <w:t>External Assessment</w:t>
      </w:r>
      <w:bookmarkEnd w:id="40"/>
    </w:p>
    <w:p w:rsidR="00980F62" w:rsidRDefault="0015173E" w:rsidP="0015173E">
      <w:pPr>
        <w:rPr>
          <w:lang w:eastAsia="en-AU"/>
        </w:rPr>
      </w:pPr>
      <w:r>
        <w:rPr>
          <w:lang w:eastAsia="en-AU"/>
        </w:rPr>
        <w:t xml:space="preserve">Funding volatility and the lack of predictability with the aged care forward budget estimates has been a major issue for both the Government and the Sector. Consultations with representatives of the sector have supported the notion that the rate of the ACFI care subsidy increases has been unsustainable and peak bodies agreed that some corrective action was needed. However, subsequent action by </w:t>
      </w:r>
      <w:r w:rsidR="00965386">
        <w:rPr>
          <w:lang w:eastAsia="en-AU"/>
        </w:rPr>
        <w:t>G</w:t>
      </w:r>
      <w:r>
        <w:rPr>
          <w:lang w:eastAsia="en-AU"/>
        </w:rPr>
        <w:t>overnment to slow the growth have created uncertainty (e.g. will it happen again, soon?) producing a destabilised environment for aged care providers.</w:t>
      </w:r>
    </w:p>
    <w:p w:rsidR="00980F62" w:rsidRDefault="0015173E" w:rsidP="0015173E">
      <w:pPr>
        <w:rPr>
          <w:lang w:eastAsia="en-AU"/>
        </w:rPr>
      </w:pPr>
      <w:r>
        <w:rPr>
          <w:lang w:eastAsia="en-AU"/>
        </w:rPr>
        <w:t>Reductions in funding by government are often seen by the industry as summary reductions. Additionally, any action to cut funding tends to affect all providers, not just those that have benefited more from the increased subsidy income. This has the effect of creating a lack of confidence and trust which can then impact on future reforms where both parties need to play a constructive role.</w:t>
      </w:r>
    </w:p>
    <w:p w:rsidR="0015173E" w:rsidRDefault="0015173E" w:rsidP="0015173E">
      <w:pPr>
        <w:rPr>
          <w:lang w:eastAsia="en-AU"/>
        </w:rPr>
      </w:pPr>
      <w:r w:rsidRPr="00445EF5">
        <w:rPr>
          <w:lang w:eastAsia="en-AU"/>
        </w:rPr>
        <w:t xml:space="preserve">For these reasons, it </w:t>
      </w:r>
      <w:r>
        <w:rPr>
          <w:lang w:eastAsia="en-AU"/>
        </w:rPr>
        <w:t>is</w:t>
      </w:r>
      <w:r w:rsidRPr="00445EF5">
        <w:rPr>
          <w:lang w:eastAsia="en-AU"/>
        </w:rPr>
        <w:t xml:space="preserve"> necessary to address the </w:t>
      </w:r>
      <w:r>
        <w:rPr>
          <w:lang w:eastAsia="en-AU"/>
        </w:rPr>
        <w:t xml:space="preserve">issue of funding volatility. </w:t>
      </w:r>
      <w:r w:rsidRPr="00445EF5">
        <w:t xml:space="preserve">While the ACFI changes described in </w:t>
      </w:r>
      <w:r>
        <w:t xml:space="preserve">this report </w:t>
      </w:r>
      <w:r w:rsidRPr="00445EF5">
        <w:t xml:space="preserve">will make the ACFI more contemporary, clearer in the question intent, more reliable and less susceptible to up scoring, experience from previous aged care funding tools introduced in Australia </w:t>
      </w:r>
      <w:r>
        <w:t xml:space="preserve">and internationally </w:t>
      </w:r>
      <w:r w:rsidRPr="00445EF5">
        <w:t>has shown that an improved scale alone</w:t>
      </w:r>
      <w:r>
        <w:t xml:space="preserve"> will only go part way to ensuring</w:t>
      </w:r>
      <w:r w:rsidRPr="00445EF5">
        <w:t xml:space="preserve"> the integrity of the system </w:t>
      </w:r>
      <w:r>
        <w:t>in the longer term.</w:t>
      </w:r>
      <w:r w:rsidR="007A576E">
        <w:t xml:space="preserve"> </w:t>
      </w:r>
      <w:r>
        <w:rPr>
          <w:lang w:eastAsia="en-AU"/>
        </w:rPr>
        <w:t>When funding is determined by a provider ‘self-assessment’, it is reasonable to expect that the incentive to maximise the funding overly influences the outcome and widespread up-scoring occurs.</w:t>
      </w:r>
      <w:r w:rsidR="007A576E">
        <w:rPr>
          <w:lang w:eastAsia="en-AU"/>
        </w:rPr>
        <w:t xml:space="preserve"> </w:t>
      </w:r>
      <w:r>
        <w:rPr>
          <w:lang w:eastAsia="en-AU"/>
        </w:rPr>
        <w:t xml:space="preserve">This project has therefore also researched the options for improving the current audit system in addition to the consideration of </w:t>
      </w:r>
      <w:r w:rsidR="00965386">
        <w:rPr>
          <w:lang w:eastAsia="en-AU"/>
        </w:rPr>
        <w:t>external assessment options</w:t>
      </w:r>
      <w:r>
        <w:rPr>
          <w:lang w:eastAsia="en-AU"/>
        </w:rPr>
        <w:t>.</w:t>
      </w:r>
    </w:p>
    <w:p w:rsidR="00980F62" w:rsidRDefault="0015173E" w:rsidP="0015173E">
      <w:pPr>
        <w:rPr>
          <w:lang w:eastAsia="en-AU"/>
        </w:rPr>
      </w:pPr>
      <w:r>
        <w:rPr>
          <w:lang w:eastAsia="en-AU"/>
        </w:rPr>
        <w:t>The following options have been proposed as viable options for consideration:</w:t>
      </w:r>
    </w:p>
    <w:p w:rsidR="0015173E" w:rsidRPr="001F0E8E" w:rsidRDefault="0015173E" w:rsidP="004160DB">
      <w:pPr>
        <w:ind w:left="1077" w:hanging="1077"/>
        <w:rPr>
          <w:rFonts w:cstheme="minorHAnsi"/>
          <w:szCs w:val="24"/>
        </w:rPr>
      </w:pPr>
      <w:r w:rsidRPr="004160DB">
        <w:rPr>
          <w:rFonts w:cstheme="minorHAnsi"/>
          <w:b/>
          <w:szCs w:val="24"/>
        </w:rPr>
        <w:t>Option 1</w:t>
      </w:r>
      <w:r w:rsidRPr="008229C1">
        <w:rPr>
          <w:rFonts w:cstheme="minorHAnsi"/>
          <w:szCs w:val="24"/>
        </w:rPr>
        <w:t>:</w:t>
      </w:r>
      <w:r w:rsidRPr="001F0E8E">
        <w:rPr>
          <w:rFonts w:cstheme="minorHAnsi"/>
          <w:szCs w:val="24"/>
        </w:rPr>
        <w:t xml:space="preserve"> The present system, using R-ACFI assessments made by ACAT staff as part of residential care approval or at entry, providers making R-ACFI assessments for entrants and reassessments, and with review officers making site visits for 10</w:t>
      </w:r>
      <w:r w:rsidR="002965F2">
        <w:rPr>
          <w:rFonts w:cstheme="minorHAnsi"/>
          <w:szCs w:val="24"/>
        </w:rPr>
        <w:t xml:space="preserve"> per cent</w:t>
      </w:r>
      <w:r w:rsidRPr="001F0E8E">
        <w:rPr>
          <w:rFonts w:cstheme="minorHAnsi"/>
          <w:szCs w:val="24"/>
        </w:rPr>
        <w:t xml:space="preserve"> of entrants and reassessments, selected by data analytics</w:t>
      </w:r>
      <w:r w:rsidR="00B265CE">
        <w:rPr>
          <w:rFonts w:cstheme="minorHAnsi"/>
          <w:szCs w:val="24"/>
        </w:rPr>
        <w:t>.</w:t>
      </w:r>
    </w:p>
    <w:p w:rsidR="0015173E" w:rsidRPr="001F0E8E" w:rsidRDefault="0015173E" w:rsidP="004160DB">
      <w:pPr>
        <w:ind w:left="1077" w:hanging="1077"/>
        <w:rPr>
          <w:rFonts w:cstheme="minorHAnsi"/>
          <w:szCs w:val="24"/>
        </w:rPr>
      </w:pPr>
      <w:r w:rsidRPr="004160DB">
        <w:rPr>
          <w:rFonts w:cstheme="minorHAnsi"/>
          <w:b/>
          <w:szCs w:val="24"/>
        </w:rPr>
        <w:t>Option 2</w:t>
      </w:r>
      <w:r w:rsidRPr="008229C1">
        <w:rPr>
          <w:rFonts w:cstheme="minorHAnsi"/>
          <w:szCs w:val="24"/>
        </w:rPr>
        <w:t>:</w:t>
      </w:r>
      <w:r>
        <w:rPr>
          <w:rFonts w:cstheme="minorHAnsi"/>
          <w:szCs w:val="24"/>
        </w:rPr>
        <w:t xml:space="preserve"> Care </w:t>
      </w:r>
      <w:r w:rsidRPr="001F0E8E">
        <w:rPr>
          <w:rFonts w:cstheme="minorHAnsi"/>
          <w:szCs w:val="24"/>
        </w:rPr>
        <w:t>subsidies based on R-ACFI assessments made by ACAT staff as part of residential care approval or at entry, with providers having a right of appeal. ACAT staff will also make R-ACFI assessments for a minimum of 25</w:t>
      </w:r>
      <w:r w:rsidR="00C947E9">
        <w:rPr>
          <w:rFonts w:cstheme="minorHAnsi"/>
          <w:szCs w:val="24"/>
        </w:rPr>
        <w:t xml:space="preserve"> per cent</w:t>
      </w:r>
      <w:r w:rsidRPr="001F0E8E">
        <w:rPr>
          <w:rFonts w:cstheme="minorHAnsi"/>
          <w:szCs w:val="24"/>
        </w:rPr>
        <w:t xml:space="preserve"> of resident reappraisals, selected by data analytics</w:t>
      </w:r>
      <w:r w:rsidR="00B265CE">
        <w:rPr>
          <w:rFonts w:cstheme="minorHAnsi"/>
          <w:szCs w:val="24"/>
        </w:rPr>
        <w:t>.</w:t>
      </w:r>
    </w:p>
    <w:p w:rsidR="0015173E" w:rsidRPr="001F0E8E" w:rsidRDefault="0015173E" w:rsidP="004160DB">
      <w:pPr>
        <w:ind w:left="1077" w:hanging="1077"/>
        <w:rPr>
          <w:rFonts w:cstheme="minorHAnsi"/>
          <w:szCs w:val="24"/>
        </w:rPr>
      </w:pPr>
      <w:r w:rsidRPr="004160DB">
        <w:rPr>
          <w:rFonts w:cstheme="minorHAnsi"/>
          <w:b/>
          <w:szCs w:val="24"/>
        </w:rPr>
        <w:t>Option 3</w:t>
      </w:r>
      <w:r w:rsidRPr="00487DBD">
        <w:rPr>
          <w:rFonts w:cstheme="minorHAnsi"/>
          <w:szCs w:val="24"/>
        </w:rPr>
        <w:t>:</w:t>
      </w:r>
      <w:r w:rsidRPr="001F0E8E">
        <w:rPr>
          <w:rFonts w:cstheme="minorHAnsi"/>
          <w:szCs w:val="24"/>
        </w:rPr>
        <w:t xml:space="preserve"> </w:t>
      </w:r>
      <w:r w:rsidR="004160DB">
        <w:rPr>
          <w:rFonts w:cstheme="minorHAnsi"/>
          <w:szCs w:val="24"/>
        </w:rPr>
        <w:t xml:space="preserve"> </w:t>
      </w:r>
      <w:r w:rsidRPr="001F0E8E">
        <w:rPr>
          <w:rFonts w:cstheme="minorHAnsi"/>
          <w:szCs w:val="24"/>
        </w:rPr>
        <w:t xml:space="preserve">Using Specialist Assessment Agency (SAA) assessors to make site visits to make </w:t>
      </w:r>
      <w:r w:rsidR="004160DB">
        <w:rPr>
          <w:rFonts w:cstheme="minorHAnsi"/>
          <w:szCs w:val="24"/>
        </w:rPr>
        <w:br/>
      </w:r>
      <w:r w:rsidRPr="001F0E8E">
        <w:rPr>
          <w:rFonts w:cstheme="minorHAnsi"/>
          <w:szCs w:val="24"/>
        </w:rPr>
        <w:t>R-ACFI assessments for 100</w:t>
      </w:r>
      <w:r w:rsidR="00C947E9">
        <w:rPr>
          <w:rFonts w:cstheme="minorHAnsi"/>
          <w:szCs w:val="24"/>
        </w:rPr>
        <w:t xml:space="preserve"> per</w:t>
      </w:r>
      <w:r w:rsidR="002965F2">
        <w:rPr>
          <w:rFonts w:cstheme="minorHAnsi"/>
          <w:szCs w:val="24"/>
        </w:rPr>
        <w:t xml:space="preserve"> </w:t>
      </w:r>
      <w:r w:rsidR="00C947E9">
        <w:rPr>
          <w:rFonts w:cstheme="minorHAnsi"/>
          <w:szCs w:val="24"/>
        </w:rPr>
        <w:t xml:space="preserve">cent </w:t>
      </w:r>
      <w:r w:rsidRPr="001F0E8E">
        <w:rPr>
          <w:rFonts w:cstheme="minorHAnsi"/>
          <w:szCs w:val="24"/>
        </w:rPr>
        <w:t>of new residents and a minimum of 25</w:t>
      </w:r>
      <w:r w:rsidR="00C947E9">
        <w:rPr>
          <w:rFonts w:cstheme="minorHAnsi"/>
          <w:szCs w:val="24"/>
        </w:rPr>
        <w:t xml:space="preserve"> per cent</w:t>
      </w:r>
      <w:r w:rsidRPr="001F0E8E">
        <w:rPr>
          <w:rFonts w:cstheme="minorHAnsi"/>
          <w:szCs w:val="24"/>
        </w:rPr>
        <w:t xml:space="preserve"> of reappraisals, selected by data analytics.</w:t>
      </w:r>
    </w:p>
    <w:p w:rsidR="0015173E" w:rsidRPr="00487DBD" w:rsidRDefault="0015173E" w:rsidP="0015173E">
      <w:pPr>
        <w:spacing w:after="0"/>
        <w:contextualSpacing/>
        <w:rPr>
          <w:lang w:eastAsia="en-AU"/>
        </w:rPr>
      </w:pPr>
      <w:r w:rsidRPr="00487DBD">
        <w:rPr>
          <w:lang w:eastAsia="en-AU"/>
        </w:rPr>
        <w:t>A more detailed description is provided in the following Table.</w:t>
      </w:r>
    </w:p>
    <w:p w:rsidR="0015173E" w:rsidRDefault="0015173E" w:rsidP="003745B7"/>
    <w:p w:rsidR="00F57A3F" w:rsidRDefault="00F57A3F" w:rsidP="003745B7">
      <w:pPr>
        <w:rPr>
          <w:rFonts w:eastAsia="Times New Roman" w:cstheme="minorHAnsi"/>
          <w:lang w:eastAsia="en-AU"/>
        </w:rPr>
        <w:sectPr w:rsidR="00F57A3F" w:rsidSect="00A41C69">
          <w:type w:val="continuous"/>
          <w:pgSz w:w="11906" w:h="16838"/>
          <w:pgMar w:top="1440" w:right="1440" w:bottom="1440" w:left="1440" w:header="709" w:footer="529" w:gutter="0"/>
          <w:cols w:space="708"/>
          <w:docGrid w:linePitch="360"/>
        </w:sectPr>
      </w:pPr>
    </w:p>
    <w:p w:rsidR="00595387" w:rsidRDefault="00595387" w:rsidP="00595387">
      <w:pPr>
        <w:pStyle w:val="Caption"/>
        <w:keepNext/>
      </w:pPr>
      <w:bookmarkStart w:id="41" w:name="_Toc495415451"/>
      <w:r>
        <w:lastRenderedPageBreak/>
        <w:t xml:space="preserve">Table </w:t>
      </w:r>
      <w:r w:rsidR="009A3F5A">
        <w:fldChar w:fldCharType="begin"/>
      </w:r>
      <w:r w:rsidR="009A3F5A">
        <w:instrText xml:space="preserve"> SEQ Table \* ARABIC </w:instrText>
      </w:r>
      <w:r w:rsidR="009A3F5A">
        <w:fldChar w:fldCharType="separate"/>
      </w:r>
      <w:r w:rsidR="00856E49">
        <w:rPr>
          <w:noProof/>
        </w:rPr>
        <w:t>3</w:t>
      </w:r>
      <w:r w:rsidR="009A3F5A">
        <w:rPr>
          <w:noProof/>
        </w:rPr>
        <w:fldChar w:fldCharType="end"/>
      </w:r>
      <w:r>
        <w:t xml:space="preserve">: </w:t>
      </w:r>
      <w:r w:rsidRPr="00595387">
        <w:t>Comparison of the Current System and New Funding Options</w:t>
      </w:r>
      <w:bookmarkEnd w:id="41"/>
    </w:p>
    <w:tbl>
      <w:tblPr>
        <w:tblStyle w:val="CV12"/>
        <w:tblW w:w="0" w:type="auto"/>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able 3 is a list of details for comparing the three assessment options against the current assessment model, as summarised in the text prior to this table. This table is to be read left to right, top to bottom."/>
      </w:tblPr>
      <w:tblGrid>
        <w:gridCol w:w="2605"/>
        <w:gridCol w:w="2700"/>
        <w:gridCol w:w="2700"/>
        <w:gridCol w:w="2970"/>
        <w:gridCol w:w="2970"/>
      </w:tblGrid>
      <w:tr w:rsidR="00B9667C" w:rsidRPr="00B9667C" w:rsidTr="00177F1E">
        <w:trPr>
          <w:tblHeader/>
        </w:trPr>
        <w:tc>
          <w:tcPr>
            <w:tcW w:w="2605" w:type="dxa"/>
            <w:shd w:val="clear" w:color="auto" w:fill="5B9BD5" w:themeFill="accent5"/>
          </w:tcPr>
          <w:p w:rsidR="009C513B" w:rsidRPr="00B9667C" w:rsidRDefault="009C513B" w:rsidP="0089181B">
            <w:pPr>
              <w:spacing w:after="0"/>
              <w:rPr>
                <w:rFonts w:eastAsia="Times New Roman" w:cstheme="minorHAnsi"/>
                <w:b/>
                <w:color w:val="FFFFFF" w:themeColor="background1"/>
                <w:sz w:val="20"/>
                <w:szCs w:val="20"/>
                <w:lang w:eastAsia="en-AU"/>
              </w:rPr>
            </w:pPr>
            <w:r w:rsidRPr="00B9667C">
              <w:rPr>
                <w:rFonts w:eastAsia="Times New Roman" w:cstheme="minorHAnsi"/>
                <w:b/>
                <w:color w:val="FFFFFF" w:themeColor="background1"/>
                <w:sz w:val="20"/>
                <w:szCs w:val="20"/>
                <w:lang w:eastAsia="en-AU"/>
              </w:rPr>
              <w:t>Aspect</w:t>
            </w:r>
          </w:p>
        </w:tc>
        <w:tc>
          <w:tcPr>
            <w:tcW w:w="2700" w:type="dxa"/>
            <w:shd w:val="clear" w:color="auto" w:fill="5B9BD5" w:themeFill="accent5"/>
          </w:tcPr>
          <w:p w:rsidR="009C513B" w:rsidRPr="00B9667C" w:rsidRDefault="009C513B" w:rsidP="0089181B">
            <w:pPr>
              <w:spacing w:after="0"/>
              <w:jc w:val="center"/>
              <w:rPr>
                <w:rFonts w:eastAsia="Times New Roman" w:cstheme="minorHAnsi"/>
                <w:b/>
                <w:color w:val="FFFFFF" w:themeColor="background1"/>
                <w:sz w:val="20"/>
                <w:szCs w:val="20"/>
                <w:lang w:eastAsia="en-AU"/>
              </w:rPr>
            </w:pPr>
            <w:r w:rsidRPr="00B9667C">
              <w:rPr>
                <w:rFonts w:eastAsia="Times New Roman" w:cstheme="minorHAnsi"/>
                <w:b/>
                <w:color w:val="FFFFFF" w:themeColor="background1"/>
                <w:sz w:val="20"/>
                <w:szCs w:val="20"/>
                <w:lang w:eastAsia="en-AU"/>
              </w:rPr>
              <w:t>Current System</w:t>
            </w:r>
          </w:p>
        </w:tc>
        <w:tc>
          <w:tcPr>
            <w:tcW w:w="2700" w:type="dxa"/>
            <w:shd w:val="clear" w:color="auto" w:fill="5B9BD5" w:themeFill="accent5"/>
          </w:tcPr>
          <w:p w:rsidR="009C513B" w:rsidRPr="00B9667C" w:rsidRDefault="009C513B" w:rsidP="0089181B">
            <w:pPr>
              <w:spacing w:after="0"/>
              <w:jc w:val="center"/>
              <w:rPr>
                <w:rFonts w:eastAsia="Times New Roman" w:cstheme="minorHAnsi"/>
                <w:b/>
                <w:color w:val="FFFFFF" w:themeColor="background1"/>
                <w:sz w:val="20"/>
                <w:szCs w:val="20"/>
                <w:lang w:eastAsia="en-AU"/>
              </w:rPr>
            </w:pPr>
            <w:r w:rsidRPr="00B9667C">
              <w:rPr>
                <w:rFonts w:eastAsia="Times New Roman" w:cstheme="minorHAnsi"/>
                <w:b/>
                <w:color w:val="FFFFFF" w:themeColor="background1"/>
                <w:sz w:val="20"/>
                <w:szCs w:val="20"/>
                <w:lang w:eastAsia="en-AU"/>
              </w:rPr>
              <w:t>Option 1 – Modified Current</w:t>
            </w:r>
          </w:p>
        </w:tc>
        <w:tc>
          <w:tcPr>
            <w:tcW w:w="2970" w:type="dxa"/>
            <w:shd w:val="clear" w:color="auto" w:fill="5B9BD5" w:themeFill="accent5"/>
          </w:tcPr>
          <w:p w:rsidR="009C513B" w:rsidRPr="00B9667C" w:rsidRDefault="009C513B" w:rsidP="0089181B">
            <w:pPr>
              <w:spacing w:after="0"/>
              <w:jc w:val="center"/>
              <w:rPr>
                <w:rFonts w:eastAsia="Times New Roman" w:cstheme="minorHAnsi"/>
                <w:b/>
                <w:color w:val="FFFFFF" w:themeColor="background1"/>
                <w:sz w:val="20"/>
                <w:szCs w:val="20"/>
                <w:lang w:eastAsia="en-AU"/>
              </w:rPr>
            </w:pPr>
            <w:r w:rsidRPr="00B9667C">
              <w:rPr>
                <w:rFonts w:eastAsia="Times New Roman" w:cstheme="minorHAnsi"/>
                <w:b/>
                <w:color w:val="FFFFFF" w:themeColor="background1"/>
                <w:sz w:val="20"/>
                <w:szCs w:val="20"/>
                <w:lang w:eastAsia="en-AU"/>
              </w:rPr>
              <w:t>Option 2 - ACAT</w:t>
            </w:r>
          </w:p>
        </w:tc>
        <w:tc>
          <w:tcPr>
            <w:tcW w:w="2970" w:type="dxa"/>
            <w:shd w:val="clear" w:color="auto" w:fill="5B9BD5" w:themeFill="accent5"/>
          </w:tcPr>
          <w:p w:rsidR="009C513B" w:rsidRPr="00B9667C" w:rsidRDefault="009C513B" w:rsidP="0089181B">
            <w:pPr>
              <w:spacing w:after="0"/>
              <w:jc w:val="center"/>
              <w:rPr>
                <w:rFonts w:eastAsia="Times New Roman" w:cstheme="minorHAnsi"/>
                <w:b/>
                <w:color w:val="FFFFFF" w:themeColor="background1"/>
                <w:sz w:val="20"/>
                <w:szCs w:val="20"/>
                <w:lang w:eastAsia="en-AU"/>
              </w:rPr>
            </w:pPr>
            <w:r w:rsidRPr="00B9667C">
              <w:rPr>
                <w:rFonts w:eastAsia="Times New Roman" w:cstheme="minorHAnsi"/>
                <w:b/>
                <w:color w:val="FFFFFF" w:themeColor="background1"/>
                <w:sz w:val="20"/>
                <w:szCs w:val="20"/>
                <w:lang w:eastAsia="en-AU"/>
              </w:rPr>
              <w:t>Option 3 - SAA</w:t>
            </w:r>
          </w:p>
        </w:tc>
      </w:tr>
      <w:tr w:rsidR="009C513B" w:rsidRPr="00326BE2" w:rsidTr="00177F1E">
        <w:tc>
          <w:tcPr>
            <w:tcW w:w="2605" w:type="dxa"/>
          </w:tcPr>
          <w:p w:rsidR="009C513B" w:rsidRPr="00326BE2" w:rsidRDefault="009C513B" w:rsidP="00B9667C">
            <w:pPr>
              <w:spacing w:after="0"/>
              <w:jc w:val="left"/>
              <w:rPr>
                <w:rFonts w:eastAsia="Times New Roman" w:cstheme="minorHAnsi"/>
                <w:b/>
                <w:sz w:val="20"/>
                <w:szCs w:val="20"/>
                <w:lang w:eastAsia="en-AU"/>
              </w:rPr>
            </w:pPr>
            <w:r w:rsidRPr="00326BE2">
              <w:rPr>
                <w:rFonts w:eastAsia="Times New Roman" w:cstheme="minorHAnsi"/>
                <w:b/>
                <w:sz w:val="20"/>
                <w:szCs w:val="20"/>
                <w:lang w:eastAsia="en-AU"/>
              </w:rPr>
              <w:t>Funding Model</w:t>
            </w:r>
          </w:p>
        </w:tc>
        <w:tc>
          <w:tcPr>
            <w:tcW w:w="2700" w:type="dxa"/>
          </w:tcPr>
          <w:p w:rsidR="009C513B" w:rsidRPr="00326BE2" w:rsidRDefault="009C513B" w:rsidP="00B9667C">
            <w:pPr>
              <w:spacing w:after="0"/>
              <w:jc w:val="left"/>
              <w:rPr>
                <w:rFonts w:eastAsia="Times New Roman" w:cstheme="minorHAnsi"/>
                <w:sz w:val="20"/>
                <w:szCs w:val="20"/>
                <w:lang w:eastAsia="en-AU"/>
              </w:rPr>
            </w:pPr>
            <w:r w:rsidRPr="00326BE2">
              <w:rPr>
                <w:rFonts w:eastAsia="Times New Roman" w:cstheme="minorHAnsi"/>
                <w:sz w:val="20"/>
                <w:szCs w:val="20"/>
                <w:lang w:eastAsia="en-AU"/>
              </w:rPr>
              <w:t>Provider self-assessment</w:t>
            </w:r>
          </w:p>
        </w:tc>
        <w:tc>
          <w:tcPr>
            <w:tcW w:w="2700" w:type="dxa"/>
          </w:tcPr>
          <w:p w:rsidR="009C513B" w:rsidRPr="00326BE2" w:rsidRDefault="009C513B" w:rsidP="00B9667C">
            <w:pPr>
              <w:spacing w:after="0"/>
              <w:jc w:val="left"/>
              <w:rPr>
                <w:rFonts w:eastAsia="Times New Roman" w:cstheme="minorHAnsi"/>
                <w:sz w:val="20"/>
                <w:szCs w:val="20"/>
                <w:lang w:eastAsia="en-AU"/>
              </w:rPr>
            </w:pPr>
            <w:r w:rsidRPr="00326BE2">
              <w:rPr>
                <w:rFonts w:eastAsia="Times New Roman" w:cstheme="minorHAnsi"/>
                <w:sz w:val="20"/>
                <w:szCs w:val="20"/>
                <w:lang w:eastAsia="en-AU"/>
              </w:rPr>
              <w:t>Provider self -assessment</w:t>
            </w:r>
          </w:p>
        </w:tc>
        <w:tc>
          <w:tcPr>
            <w:tcW w:w="2970" w:type="dxa"/>
          </w:tcPr>
          <w:p w:rsidR="009C513B" w:rsidRPr="00326BE2" w:rsidRDefault="009C513B" w:rsidP="00B9667C">
            <w:pPr>
              <w:spacing w:after="0"/>
              <w:jc w:val="left"/>
              <w:rPr>
                <w:rFonts w:eastAsia="Times New Roman" w:cstheme="minorHAnsi"/>
                <w:sz w:val="20"/>
                <w:szCs w:val="20"/>
                <w:lang w:eastAsia="en-AU"/>
              </w:rPr>
            </w:pPr>
            <w:r w:rsidRPr="00326BE2">
              <w:rPr>
                <w:rFonts w:eastAsia="Times New Roman" w:cstheme="minorHAnsi"/>
                <w:sz w:val="20"/>
                <w:szCs w:val="20"/>
                <w:lang w:eastAsia="en-AU"/>
              </w:rPr>
              <w:t>ACAT (RN/AHP)</w:t>
            </w:r>
          </w:p>
        </w:tc>
        <w:tc>
          <w:tcPr>
            <w:tcW w:w="2970" w:type="dxa"/>
          </w:tcPr>
          <w:p w:rsidR="009C513B" w:rsidRPr="00326BE2" w:rsidRDefault="009C513B" w:rsidP="00B9667C">
            <w:pPr>
              <w:spacing w:after="0"/>
              <w:jc w:val="left"/>
              <w:rPr>
                <w:rFonts w:eastAsia="Times New Roman" w:cstheme="minorHAnsi"/>
                <w:sz w:val="20"/>
                <w:szCs w:val="20"/>
                <w:lang w:eastAsia="en-AU"/>
              </w:rPr>
            </w:pPr>
            <w:r>
              <w:rPr>
                <w:rFonts w:eastAsia="Times New Roman" w:cstheme="minorHAnsi"/>
                <w:sz w:val="20"/>
                <w:szCs w:val="20"/>
                <w:lang w:eastAsia="en-AU"/>
              </w:rPr>
              <w:t>SAA assessor</w:t>
            </w:r>
          </w:p>
        </w:tc>
      </w:tr>
      <w:tr w:rsidR="009C513B" w:rsidRPr="00326BE2" w:rsidTr="00177F1E">
        <w:tc>
          <w:tcPr>
            <w:tcW w:w="2605" w:type="dxa"/>
          </w:tcPr>
          <w:p w:rsidR="009C513B" w:rsidRPr="003F0F6E" w:rsidRDefault="009C513B" w:rsidP="00B9667C">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New Resident - $ assess</w:t>
            </w:r>
          </w:p>
        </w:tc>
        <w:tc>
          <w:tcPr>
            <w:tcW w:w="2700" w:type="dxa"/>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Facility</w:t>
            </w:r>
          </w:p>
        </w:tc>
        <w:tc>
          <w:tcPr>
            <w:tcW w:w="2700" w:type="dxa"/>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Facility</w:t>
            </w:r>
          </w:p>
        </w:tc>
        <w:tc>
          <w:tcPr>
            <w:tcW w:w="2970" w:type="dxa"/>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Pre-admission; home, hospital, respite</w:t>
            </w:r>
          </w:p>
        </w:tc>
        <w:tc>
          <w:tcPr>
            <w:tcW w:w="2970" w:type="dxa"/>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Facility</w:t>
            </w:r>
          </w:p>
        </w:tc>
      </w:tr>
      <w:tr w:rsidR="009C513B" w:rsidRPr="00326BE2" w:rsidTr="00177F1E">
        <w:tc>
          <w:tcPr>
            <w:tcW w:w="2605" w:type="dxa"/>
          </w:tcPr>
          <w:p w:rsidR="009C513B" w:rsidRPr="003F0F6E" w:rsidRDefault="009C513B" w:rsidP="00B9667C">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ACAT changes?</w:t>
            </w:r>
          </w:p>
        </w:tc>
        <w:tc>
          <w:tcPr>
            <w:tcW w:w="2700" w:type="dxa"/>
            <w:shd w:val="clear" w:color="auto" w:fill="auto"/>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No: no R-ACFI pre-entry, no $ role</w:t>
            </w:r>
          </w:p>
        </w:tc>
        <w:tc>
          <w:tcPr>
            <w:tcW w:w="2700" w:type="dxa"/>
            <w:shd w:val="clear" w:color="auto" w:fill="auto"/>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Yes: 3 months R-ACFI pre-entry, no $ role</w:t>
            </w:r>
          </w:p>
        </w:tc>
        <w:tc>
          <w:tcPr>
            <w:tcW w:w="2970" w:type="dxa"/>
            <w:shd w:val="clear" w:color="auto" w:fill="auto"/>
          </w:tcPr>
          <w:p w:rsidR="00980F62"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Yes: 3 months R-ACFI pre-entry,</w:t>
            </w:r>
          </w:p>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sets $, review role</w:t>
            </w:r>
          </w:p>
        </w:tc>
        <w:tc>
          <w:tcPr>
            <w:tcW w:w="2970" w:type="dxa"/>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No: no R-ACFI pre-entry, no $ role</w:t>
            </w:r>
          </w:p>
        </w:tc>
      </w:tr>
      <w:tr w:rsidR="009C513B" w:rsidRPr="00326BE2" w:rsidTr="00177F1E">
        <w:tc>
          <w:tcPr>
            <w:tcW w:w="2605" w:type="dxa"/>
            <w:shd w:val="clear" w:color="auto" w:fill="auto"/>
          </w:tcPr>
          <w:p w:rsidR="009C513B" w:rsidRPr="003F0F6E" w:rsidRDefault="009C513B" w:rsidP="00B9667C">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R-ACFI Users</w:t>
            </w:r>
          </w:p>
        </w:tc>
        <w:tc>
          <w:tcPr>
            <w:tcW w:w="2700" w:type="dxa"/>
            <w:shd w:val="clear" w:color="auto" w:fill="auto"/>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Provider</w:t>
            </w:r>
          </w:p>
        </w:tc>
        <w:tc>
          <w:tcPr>
            <w:tcW w:w="2700" w:type="dxa"/>
            <w:shd w:val="clear" w:color="auto" w:fill="auto"/>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ACAT &amp; Provider</w:t>
            </w:r>
          </w:p>
        </w:tc>
        <w:tc>
          <w:tcPr>
            <w:tcW w:w="2970" w:type="dxa"/>
            <w:shd w:val="clear" w:color="auto" w:fill="auto"/>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ACAT &amp; Provider</w:t>
            </w:r>
          </w:p>
        </w:tc>
        <w:tc>
          <w:tcPr>
            <w:tcW w:w="2970" w:type="dxa"/>
            <w:shd w:val="clear" w:color="auto" w:fill="auto"/>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 xml:space="preserve">Provider &amp; </w:t>
            </w:r>
            <w:r w:rsidR="00B265CE" w:rsidRPr="003F0F6E">
              <w:rPr>
                <w:rFonts w:eastAsia="Times New Roman" w:cstheme="minorHAnsi"/>
                <w:sz w:val="20"/>
                <w:szCs w:val="20"/>
                <w:lang w:eastAsia="en-AU"/>
              </w:rPr>
              <w:t>S</w:t>
            </w:r>
            <w:r w:rsidR="00B265CE">
              <w:rPr>
                <w:rFonts w:eastAsia="Times New Roman" w:cstheme="minorHAnsi"/>
                <w:sz w:val="20"/>
                <w:szCs w:val="20"/>
                <w:lang w:eastAsia="en-AU"/>
              </w:rPr>
              <w:t>A</w:t>
            </w:r>
            <w:r w:rsidR="00B265CE" w:rsidRPr="003F0F6E">
              <w:rPr>
                <w:rFonts w:eastAsia="Times New Roman" w:cstheme="minorHAnsi"/>
                <w:sz w:val="20"/>
                <w:szCs w:val="20"/>
                <w:lang w:eastAsia="en-AU"/>
              </w:rPr>
              <w:t>A</w:t>
            </w:r>
          </w:p>
        </w:tc>
      </w:tr>
      <w:tr w:rsidR="009C513B" w:rsidRPr="00326BE2" w:rsidTr="00177F1E">
        <w:tc>
          <w:tcPr>
            <w:tcW w:w="2605" w:type="dxa"/>
            <w:shd w:val="clear" w:color="auto" w:fill="auto"/>
          </w:tcPr>
          <w:p w:rsidR="009C513B" w:rsidRPr="003F0F6E" w:rsidRDefault="009C513B" w:rsidP="00B9667C">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Review by</w:t>
            </w:r>
          </w:p>
        </w:tc>
        <w:tc>
          <w:tcPr>
            <w:tcW w:w="2700" w:type="dxa"/>
            <w:shd w:val="clear" w:color="auto" w:fill="auto"/>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Review Officers (RO)</w:t>
            </w:r>
          </w:p>
        </w:tc>
        <w:tc>
          <w:tcPr>
            <w:tcW w:w="2700" w:type="dxa"/>
            <w:shd w:val="clear" w:color="auto" w:fill="auto"/>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Review Officers (RO)</w:t>
            </w:r>
          </w:p>
        </w:tc>
        <w:tc>
          <w:tcPr>
            <w:tcW w:w="2970" w:type="dxa"/>
            <w:shd w:val="clear" w:color="auto" w:fill="auto"/>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ACAT (RN/AHP)</w:t>
            </w:r>
          </w:p>
        </w:tc>
        <w:tc>
          <w:tcPr>
            <w:tcW w:w="2970" w:type="dxa"/>
            <w:shd w:val="clear" w:color="auto" w:fill="auto"/>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SAA assessor</w:t>
            </w:r>
          </w:p>
        </w:tc>
      </w:tr>
      <w:tr w:rsidR="00B9667C" w:rsidRPr="00B9667C" w:rsidTr="00177F1E">
        <w:tc>
          <w:tcPr>
            <w:tcW w:w="2605" w:type="dxa"/>
            <w:shd w:val="clear" w:color="auto" w:fill="DEEAF6" w:themeFill="accent5" w:themeFillTint="33"/>
          </w:tcPr>
          <w:p w:rsidR="009C513B" w:rsidRPr="00B9667C" w:rsidRDefault="009C513B" w:rsidP="00B9667C">
            <w:pPr>
              <w:spacing w:after="0"/>
              <w:jc w:val="left"/>
              <w:rPr>
                <w:rFonts w:eastAsia="Times New Roman" w:cstheme="minorHAnsi"/>
                <w:b/>
                <w:sz w:val="20"/>
                <w:szCs w:val="20"/>
                <w:lang w:eastAsia="en-AU"/>
              </w:rPr>
            </w:pPr>
            <w:r w:rsidRPr="00B9667C">
              <w:rPr>
                <w:rFonts w:eastAsia="Times New Roman" w:cstheme="minorHAnsi"/>
                <w:b/>
                <w:sz w:val="20"/>
                <w:szCs w:val="20"/>
                <w:lang w:eastAsia="en-AU"/>
              </w:rPr>
              <w:t>New Residents: audit %</w:t>
            </w:r>
          </w:p>
        </w:tc>
        <w:tc>
          <w:tcPr>
            <w:tcW w:w="2700" w:type="dxa"/>
            <w:shd w:val="clear" w:color="auto" w:fill="DEEAF6" w:themeFill="accent5" w:themeFillTint="33"/>
          </w:tcPr>
          <w:p w:rsidR="009C513B" w:rsidRPr="00B9667C" w:rsidRDefault="009C513B" w:rsidP="00B9667C">
            <w:pPr>
              <w:spacing w:after="0"/>
              <w:jc w:val="left"/>
              <w:rPr>
                <w:rFonts w:eastAsia="Times New Roman" w:cstheme="minorHAnsi"/>
                <w:sz w:val="20"/>
                <w:szCs w:val="20"/>
                <w:lang w:eastAsia="en-AU"/>
              </w:rPr>
            </w:pPr>
            <w:r w:rsidRPr="00B9667C">
              <w:rPr>
                <w:rFonts w:eastAsia="Times New Roman" w:cstheme="minorHAnsi"/>
                <w:sz w:val="20"/>
                <w:szCs w:val="20"/>
                <w:lang w:eastAsia="en-AU"/>
              </w:rPr>
              <w:t>10% (assess)</w:t>
            </w:r>
          </w:p>
        </w:tc>
        <w:tc>
          <w:tcPr>
            <w:tcW w:w="2700" w:type="dxa"/>
            <w:shd w:val="clear" w:color="auto" w:fill="DEEAF6" w:themeFill="accent5" w:themeFillTint="33"/>
          </w:tcPr>
          <w:p w:rsidR="009C513B" w:rsidRPr="00B9667C" w:rsidRDefault="009C513B" w:rsidP="00B9667C">
            <w:pPr>
              <w:spacing w:after="0"/>
              <w:jc w:val="left"/>
              <w:rPr>
                <w:rFonts w:eastAsia="Times New Roman" w:cstheme="minorHAnsi"/>
                <w:sz w:val="20"/>
                <w:szCs w:val="20"/>
                <w:lang w:eastAsia="en-AU"/>
              </w:rPr>
            </w:pPr>
            <w:r w:rsidRPr="00B9667C">
              <w:rPr>
                <w:rFonts w:eastAsia="Times New Roman" w:cstheme="minorHAnsi"/>
                <w:sz w:val="20"/>
                <w:szCs w:val="20"/>
                <w:lang w:eastAsia="en-AU"/>
              </w:rPr>
              <w:t>10% visit audit; 90% data</w:t>
            </w:r>
          </w:p>
        </w:tc>
        <w:tc>
          <w:tcPr>
            <w:tcW w:w="2970" w:type="dxa"/>
            <w:shd w:val="clear" w:color="auto" w:fill="DEEAF6" w:themeFill="accent5" w:themeFillTint="33"/>
          </w:tcPr>
          <w:p w:rsidR="009C513B" w:rsidRPr="00B9667C" w:rsidRDefault="009C513B" w:rsidP="00B9667C">
            <w:pPr>
              <w:spacing w:after="0"/>
              <w:jc w:val="left"/>
              <w:rPr>
                <w:rFonts w:eastAsia="Times New Roman" w:cstheme="minorHAnsi"/>
                <w:sz w:val="20"/>
                <w:szCs w:val="20"/>
                <w:lang w:eastAsia="en-AU"/>
              </w:rPr>
            </w:pPr>
            <w:r w:rsidRPr="00B9667C">
              <w:rPr>
                <w:rFonts w:eastAsia="Times New Roman" w:cstheme="minorHAnsi"/>
                <w:sz w:val="20"/>
                <w:szCs w:val="20"/>
                <w:lang w:eastAsia="en-AU"/>
              </w:rPr>
              <w:t>100% assessment pre/post entry</w:t>
            </w:r>
          </w:p>
        </w:tc>
        <w:tc>
          <w:tcPr>
            <w:tcW w:w="2970" w:type="dxa"/>
            <w:shd w:val="clear" w:color="auto" w:fill="DEEAF6" w:themeFill="accent5" w:themeFillTint="33"/>
          </w:tcPr>
          <w:p w:rsidR="009C513B" w:rsidRPr="00B9667C" w:rsidRDefault="009C513B" w:rsidP="00B9667C">
            <w:pPr>
              <w:spacing w:after="0"/>
              <w:jc w:val="left"/>
              <w:rPr>
                <w:rFonts w:eastAsia="Times New Roman" w:cstheme="minorHAnsi"/>
                <w:sz w:val="20"/>
                <w:szCs w:val="20"/>
                <w:lang w:eastAsia="en-AU"/>
              </w:rPr>
            </w:pPr>
            <w:r w:rsidRPr="00B9667C">
              <w:rPr>
                <w:rFonts w:eastAsia="Times New Roman" w:cstheme="minorHAnsi"/>
                <w:sz w:val="20"/>
                <w:szCs w:val="20"/>
                <w:lang w:eastAsia="en-AU"/>
              </w:rPr>
              <w:t>Up to 100% via visit assessment</w:t>
            </w:r>
          </w:p>
        </w:tc>
      </w:tr>
      <w:tr w:rsidR="009C513B" w:rsidRPr="00326BE2" w:rsidTr="00177F1E">
        <w:trPr>
          <w:trHeight w:val="1503"/>
        </w:trPr>
        <w:tc>
          <w:tcPr>
            <w:tcW w:w="2605" w:type="dxa"/>
          </w:tcPr>
          <w:p w:rsidR="009C513B" w:rsidRPr="003F0F6E" w:rsidRDefault="009C513B" w:rsidP="00B9667C">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Funding Determination - review process.</w:t>
            </w:r>
          </w:p>
        </w:tc>
        <w:tc>
          <w:tcPr>
            <w:tcW w:w="2700" w:type="dxa"/>
          </w:tcPr>
          <w:p w:rsidR="009C513B" w:rsidRPr="003F0F6E" w:rsidRDefault="009C513B" w:rsidP="00B9667C">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Provider R-ACFI used for $</w:t>
            </w:r>
          </w:p>
          <w:p w:rsidR="009C513B" w:rsidRPr="003F0F6E" w:rsidRDefault="009C513B" w:rsidP="00B9667C">
            <w:pPr>
              <w:spacing w:after="0"/>
              <w:jc w:val="left"/>
              <w:rPr>
                <w:rFonts w:eastAsia="Times New Roman" w:cstheme="minorHAnsi"/>
                <w:sz w:val="20"/>
                <w:szCs w:val="20"/>
                <w:lang w:eastAsia="en-AU"/>
              </w:rPr>
            </w:pPr>
            <w:r>
              <w:rPr>
                <w:rFonts w:eastAsia="Times New Roman" w:cstheme="minorHAnsi"/>
                <w:sz w:val="20"/>
                <w:szCs w:val="20"/>
                <w:lang w:eastAsia="en-AU"/>
              </w:rPr>
              <w:t>RO audits sample (10</w:t>
            </w:r>
            <w:r w:rsidRPr="003F0F6E">
              <w:rPr>
                <w:rFonts w:eastAsia="Times New Roman" w:cstheme="minorHAnsi"/>
                <w:sz w:val="20"/>
                <w:szCs w:val="20"/>
                <w:lang w:eastAsia="en-AU"/>
              </w:rPr>
              <w:t>%) after payment using care provided</w:t>
            </w:r>
            <w:r>
              <w:rPr>
                <w:rFonts w:eastAsia="Times New Roman" w:cstheme="minorHAnsi"/>
                <w:sz w:val="20"/>
                <w:szCs w:val="20"/>
                <w:lang w:eastAsia="en-AU"/>
              </w:rPr>
              <w:t>, resident review, documentation, staff discussions</w:t>
            </w:r>
          </w:p>
        </w:tc>
        <w:tc>
          <w:tcPr>
            <w:tcW w:w="2700" w:type="dxa"/>
          </w:tcPr>
          <w:p w:rsidR="009C513B" w:rsidRPr="003F0F6E" w:rsidRDefault="009C513B" w:rsidP="00B9667C">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Provider R-ACFI used for $</w:t>
            </w:r>
          </w:p>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RO audits 100% after payment using: Matching (ACAT/</w:t>
            </w:r>
            <w:r w:rsidR="00177F1E">
              <w:rPr>
                <w:rFonts w:eastAsia="Times New Roman" w:cstheme="minorHAnsi"/>
                <w:sz w:val="20"/>
                <w:szCs w:val="20"/>
                <w:lang w:eastAsia="en-AU"/>
              </w:rPr>
              <w:t xml:space="preserve"> </w:t>
            </w:r>
            <w:r w:rsidRPr="003F0F6E">
              <w:rPr>
                <w:rFonts w:eastAsia="Times New Roman" w:cstheme="minorHAnsi"/>
                <w:sz w:val="20"/>
                <w:szCs w:val="20"/>
                <w:lang w:eastAsia="en-AU"/>
              </w:rPr>
              <w:t xml:space="preserve">Provider), data analytics, </w:t>
            </w:r>
            <w:r w:rsidR="00177F1E">
              <w:rPr>
                <w:rFonts w:eastAsia="Times New Roman" w:cstheme="minorHAnsi"/>
                <w:sz w:val="20"/>
                <w:szCs w:val="20"/>
                <w:lang w:eastAsia="en-AU"/>
              </w:rPr>
              <w:br/>
            </w:r>
            <w:r w:rsidRPr="003F0F6E">
              <w:rPr>
                <w:rFonts w:eastAsia="Times New Roman" w:cstheme="minorHAnsi"/>
                <w:sz w:val="20"/>
                <w:szCs w:val="20"/>
                <w:lang w:eastAsia="en-AU"/>
              </w:rPr>
              <w:t>e-audit, site visits</w:t>
            </w:r>
            <w:r>
              <w:rPr>
                <w:rFonts w:eastAsia="Times New Roman" w:cstheme="minorHAnsi"/>
                <w:sz w:val="20"/>
                <w:szCs w:val="20"/>
                <w:lang w:eastAsia="en-AU"/>
              </w:rPr>
              <w:t xml:space="preserve"> for around 10% of submissions.</w:t>
            </w:r>
          </w:p>
        </w:tc>
        <w:tc>
          <w:tcPr>
            <w:tcW w:w="2970" w:type="dxa"/>
          </w:tcPr>
          <w:p w:rsidR="009C513B" w:rsidRPr="003F0F6E" w:rsidRDefault="009C513B" w:rsidP="00B9667C">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 xml:space="preserve">ACAT R-ACFI used for </w:t>
            </w:r>
            <w:r>
              <w:rPr>
                <w:rFonts w:eastAsia="Times New Roman" w:cstheme="minorHAnsi"/>
                <w:b/>
                <w:sz w:val="20"/>
                <w:szCs w:val="20"/>
                <w:lang w:eastAsia="en-AU"/>
              </w:rPr>
              <w:t xml:space="preserve">funding </w:t>
            </w:r>
            <w:r w:rsidRPr="003F0F6E">
              <w:rPr>
                <w:rFonts w:eastAsia="Times New Roman" w:cstheme="minorHAnsi"/>
                <w:b/>
                <w:sz w:val="20"/>
                <w:szCs w:val="20"/>
                <w:lang w:eastAsia="en-AU"/>
              </w:rPr>
              <w:t>$</w:t>
            </w:r>
            <w:r>
              <w:rPr>
                <w:rFonts w:eastAsia="Times New Roman" w:cstheme="minorHAnsi"/>
                <w:b/>
                <w:sz w:val="20"/>
                <w:szCs w:val="20"/>
                <w:lang w:eastAsia="en-AU"/>
              </w:rPr>
              <w:t>s</w:t>
            </w:r>
          </w:p>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ACAT assessor sets funding pre-entry. No review if accepted.</w:t>
            </w:r>
          </w:p>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Contested R-ACFI process – Matching data analytics, e-audit, site visits</w:t>
            </w:r>
            <w:r w:rsidRPr="003F0F6E" w:rsidDel="002F5D4B">
              <w:rPr>
                <w:rFonts w:eastAsia="Times New Roman" w:cstheme="minorHAnsi"/>
                <w:sz w:val="20"/>
                <w:szCs w:val="20"/>
                <w:lang w:eastAsia="en-AU"/>
              </w:rPr>
              <w:t xml:space="preserve"> </w:t>
            </w:r>
            <w:r w:rsidRPr="003F0F6E">
              <w:rPr>
                <w:rFonts w:eastAsia="Times New Roman" w:cstheme="minorHAnsi"/>
                <w:sz w:val="20"/>
                <w:szCs w:val="20"/>
                <w:lang w:eastAsia="en-AU"/>
              </w:rPr>
              <w:t>and assess</w:t>
            </w:r>
            <w:r>
              <w:rPr>
                <w:rFonts w:eastAsia="Times New Roman" w:cstheme="minorHAnsi"/>
                <w:sz w:val="20"/>
                <w:szCs w:val="20"/>
                <w:lang w:eastAsia="en-AU"/>
              </w:rPr>
              <w:t>.</w:t>
            </w:r>
            <w:r w:rsidRPr="003F0F6E">
              <w:rPr>
                <w:rFonts w:eastAsia="Times New Roman" w:cstheme="minorHAnsi"/>
                <w:sz w:val="20"/>
                <w:szCs w:val="20"/>
                <w:lang w:eastAsia="en-AU"/>
              </w:rPr>
              <w:t xml:space="preserve"> </w:t>
            </w:r>
          </w:p>
        </w:tc>
        <w:tc>
          <w:tcPr>
            <w:tcW w:w="2970" w:type="dxa"/>
          </w:tcPr>
          <w:p w:rsidR="009C513B" w:rsidRPr="00090920" w:rsidRDefault="009C513B" w:rsidP="00B9667C">
            <w:pPr>
              <w:spacing w:after="0"/>
              <w:jc w:val="left"/>
              <w:rPr>
                <w:rFonts w:eastAsia="Times New Roman" w:cstheme="minorHAnsi"/>
                <w:sz w:val="20"/>
                <w:szCs w:val="20"/>
                <w:lang w:eastAsia="en-AU"/>
              </w:rPr>
            </w:pPr>
            <w:r w:rsidRPr="00090920">
              <w:rPr>
                <w:rFonts w:eastAsia="Times New Roman" w:cstheme="minorHAnsi"/>
                <w:b/>
                <w:sz w:val="20"/>
                <w:szCs w:val="20"/>
                <w:lang w:eastAsia="en-AU"/>
              </w:rPr>
              <w:t>Provide</w:t>
            </w:r>
            <w:r>
              <w:rPr>
                <w:rFonts w:eastAsia="Times New Roman" w:cstheme="minorHAnsi"/>
                <w:b/>
                <w:sz w:val="20"/>
                <w:szCs w:val="20"/>
                <w:lang w:eastAsia="en-AU"/>
              </w:rPr>
              <w:t xml:space="preserve">r R-ACFI used for initial </w:t>
            </w:r>
            <w:r w:rsidRPr="00090920">
              <w:rPr>
                <w:rFonts w:eastAsia="Times New Roman" w:cstheme="minorHAnsi"/>
                <w:b/>
                <w:sz w:val="20"/>
                <w:szCs w:val="20"/>
                <w:lang w:eastAsia="en-AU"/>
              </w:rPr>
              <w:t>funding determination</w:t>
            </w:r>
            <w:r>
              <w:rPr>
                <w:rFonts w:eastAsia="Times New Roman" w:cstheme="minorHAnsi"/>
                <w:sz w:val="20"/>
                <w:szCs w:val="20"/>
                <w:lang w:eastAsia="en-AU"/>
              </w:rPr>
              <w:t xml:space="preserve"> </w:t>
            </w:r>
            <w:r w:rsidRPr="00090920">
              <w:rPr>
                <w:rFonts w:eastAsia="Times New Roman" w:cstheme="minorHAnsi"/>
                <w:sz w:val="20"/>
                <w:szCs w:val="20"/>
                <w:lang w:eastAsia="en-AU"/>
              </w:rPr>
              <w:t>but SAA assessor c</w:t>
            </w:r>
            <w:r>
              <w:rPr>
                <w:rFonts w:eastAsia="Times New Roman" w:cstheme="minorHAnsi"/>
                <w:sz w:val="20"/>
                <w:szCs w:val="20"/>
                <w:lang w:eastAsia="en-AU"/>
              </w:rPr>
              <w:t>onfirms</w:t>
            </w:r>
            <w:r w:rsidRPr="00090920">
              <w:rPr>
                <w:rFonts w:eastAsia="Times New Roman" w:cstheme="minorHAnsi"/>
                <w:sz w:val="20"/>
                <w:szCs w:val="20"/>
                <w:lang w:eastAsia="en-AU"/>
              </w:rPr>
              <w:t xml:space="preserve"> for up to 100% of R-ACFI submissions</w:t>
            </w:r>
            <w:r>
              <w:rPr>
                <w:rFonts w:eastAsia="Times New Roman" w:cstheme="minorHAnsi"/>
                <w:sz w:val="20"/>
                <w:szCs w:val="20"/>
                <w:lang w:eastAsia="en-AU"/>
              </w:rPr>
              <w:t xml:space="preserve"> via joint determination approach.</w:t>
            </w:r>
          </w:p>
          <w:p w:rsidR="009C513B" w:rsidRPr="003F0F6E" w:rsidRDefault="009C513B" w:rsidP="00B9667C">
            <w:pPr>
              <w:spacing w:after="0"/>
              <w:jc w:val="left"/>
              <w:rPr>
                <w:rFonts w:eastAsia="Times New Roman" w:cstheme="minorHAnsi"/>
                <w:sz w:val="20"/>
                <w:szCs w:val="20"/>
                <w:lang w:eastAsia="en-AU"/>
              </w:rPr>
            </w:pPr>
            <w:r>
              <w:rPr>
                <w:rFonts w:eastAsia="Times New Roman" w:cstheme="minorHAnsi"/>
                <w:sz w:val="20"/>
                <w:szCs w:val="20"/>
                <w:lang w:eastAsia="en-AU"/>
              </w:rPr>
              <w:t xml:space="preserve">SAA/DoH also checks claims using </w:t>
            </w:r>
            <w:r w:rsidRPr="003F0F6E">
              <w:rPr>
                <w:rFonts w:eastAsia="Times New Roman" w:cstheme="minorHAnsi"/>
                <w:sz w:val="20"/>
                <w:szCs w:val="20"/>
                <w:lang w:eastAsia="en-AU"/>
              </w:rPr>
              <w:t>data analytics, e-audit</w:t>
            </w:r>
            <w:r>
              <w:rPr>
                <w:rFonts w:eastAsia="Times New Roman" w:cstheme="minorHAnsi"/>
                <w:sz w:val="20"/>
                <w:szCs w:val="20"/>
                <w:lang w:eastAsia="en-AU"/>
              </w:rPr>
              <w:t>.</w:t>
            </w:r>
            <w:r w:rsidRPr="003F0F6E">
              <w:rPr>
                <w:rFonts w:eastAsia="Times New Roman" w:cstheme="minorHAnsi"/>
                <w:sz w:val="20"/>
                <w:szCs w:val="20"/>
                <w:lang w:eastAsia="en-AU"/>
              </w:rPr>
              <w:t xml:space="preserve"> </w:t>
            </w:r>
          </w:p>
        </w:tc>
      </w:tr>
      <w:tr w:rsidR="009C513B" w:rsidRPr="00326BE2" w:rsidTr="00177F1E">
        <w:tc>
          <w:tcPr>
            <w:tcW w:w="2605" w:type="dxa"/>
          </w:tcPr>
          <w:p w:rsidR="009C513B" w:rsidRPr="003F0F6E" w:rsidRDefault="009C513B" w:rsidP="00B9667C">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Funding certainty &amp; Audits</w:t>
            </w:r>
          </w:p>
        </w:tc>
        <w:tc>
          <w:tcPr>
            <w:tcW w:w="2700" w:type="dxa"/>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Audit: unrestricted time period</w:t>
            </w:r>
          </w:p>
        </w:tc>
        <w:tc>
          <w:tcPr>
            <w:tcW w:w="2700" w:type="dxa"/>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 xml:space="preserve">Audit: restricted to </w:t>
            </w:r>
            <w:r>
              <w:rPr>
                <w:rFonts w:eastAsia="Times New Roman" w:cstheme="minorHAnsi"/>
                <w:sz w:val="20"/>
                <w:szCs w:val="20"/>
                <w:lang w:eastAsia="en-AU"/>
              </w:rPr>
              <w:t>12</w:t>
            </w:r>
            <w:r w:rsidRPr="003F0F6E">
              <w:rPr>
                <w:rFonts w:eastAsia="Times New Roman" w:cstheme="minorHAnsi"/>
                <w:sz w:val="20"/>
                <w:szCs w:val="20"/>
                <w:lang w:eastAsia="en-AU"/>
              </w:rPr>
              <w:t xml:space="preserve"> months</w:t>
            </w:r>
          </w:p>
        </w:tc>
        <w:tc>
          <w:tcPr>
            <w:tcW w:w="2970" w:type="dxa"/>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 xml:space="preserve">Not contested: Payment on admission. If contested: Payment </w:t>
            </w:r>
            <w:r>
              <w:rPr>
                <w:rFonts w:eastAsia="Times New Roman" w:cstheme="minorHAnsi"/>
                <w:sz w:val="20"/>
                <w:szCs w:val="20"/>
                <w:lang w:eastAsia="en-AU"/>
              </w:rPr>
              <w:t xml:space="preserve">review </w:t>
            </w:r>
            <w:r w:rsidRPr="003F0F6E">
              <w:rPr>
                <w:rFonts w:eastAsia="Times New Roman" w:cstheme="minorHAnsi"/>
                <w:sz w:val="20"/>
                <w:szCs w:val="20"/>
                <w:lang w:eastAsia="en-AU"/>
              </w:rPr>
              <w:t xml:space="preserve">within one month. </w:t>
            </w:r>
          </w:p>
        </w:tc>
        <w:tc>
          <w:tcPr>
            <w:tcW w:w="2970" w:type="dxa"/>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Payment</w:t>
            </w:r>
            <w:r>
              <w:rPr>
                <w:rFonts w:eastAsia="Times New Roman" w:cstheme="minorHAnsi"/>
                <w:sz w:val="20"/>
                <w:szCs w:val="20"/>
                <w:lang w:eastAsia="en-AU"/>
              </w:rPr>
              <w:t xml:space="preserve"> 2 months after admission. Assessment audits up to 12 months.</w:t>
            </w:r>
          </w:p>
        </w:tc>
      </w:tr>
      <w:tr w:rsidR="009C513B" w:rsidRPr="00326BE2" w:rsidTr="00177F1E">
        <w:tc>
          <w:tcPr>
            <w:tcW w:w="2605" w:type="dxa"/>
          </w:tcPr>
          <w:p w:rsidR="009C513B" w:rsidRPr="003F0F6E" w:rsidRDefault="009C513B" w:rsidP="00B9667C">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When full funding paid?</w:t>
            </w:r>
            <w:r w:rsidR="007A576E">
              <w:rPr>
                <w:rFonts w:eastAsia="Times New Roman" w:cstheme="minorHAnsi"/>
                <w:b/>
                <w:sz w:val="20"/>
                <w:szCs w:val="20"/>
                <w:lang w:eastAsia="en-AU"/>
              </w:rPr>
              <w:t xml:space="preserve"> </w:t>
            </w:r>
          </w:p>
        </w:tc>
        <w:tc>
          <w:tcPr>
            <w:tcW w:w="2700" w:type="dxa"/>
          </w:tcPr>
          <w:p w:rsidR="009C513B" w:rsidRPr="003F0F6E" w:rsidRDefault="009C513B" w:rsidP="00B9667C">
            <w:pPr>
              <w:spacing w:after="0"/>
              <w:jc w:val="left"/>
              <w:rPr>
                <w:rFonts w:eastAsia="Times New Roman" w:cstheme="minorHAnsi"/>
                <w:sz w:val="20"/>
                <w:szCs w:val="20"/>
                <w:lang w:eastAsia="en-AU"/>
              </w:rPr>
            </w:pPr>
            <w:r>
              <w:rPr>
                <w:rFonts w:eastAsia="Times New Roman" w:cstheme="minorHAnsi"/>
                <w:sz w:val="20"/>
                <w:szCs w:val="20"/>
                <w:lang w:eastAsia="en-AU"/>
              </w:rPr>
              <w:t xml:space="preserve">Within </w:t>
            </w:r>
            <w:r w:rsidRPr="003F0F6E">
              <w:rPr>
                <w:rFonts w:eastAsia="Times New Roman" w:cstheme="minorHAnsi"/>
                <w:sz w:val="20"/>
                <w:szCs w:val="20"/>
                <w:lang w:eastAsia="en-AU"/>
              </w:rPr>
              <w:t xml:space="preserve">2 months </w:t>
            </w:r>
            <w:r>
              <w:rPr>
                <w:rFonts w:eastAsia="Times New Roman" w:cstheme="minorHAnsi"/>
                <w:sz w:val="20"/>
                <w:szCs w:val="20"/>
                <w:lang w:eastAsia="en-AU"/>
              </w:rPr>
              <w:t xml:space="preserve">of </w:t>
            </w:r>
            <w:r w:rsidRPr="003F0F6E">
              <w:rPr>
                <w:rFonts w:eastAsia="Times New Roman" w:cstheme="minorHAnsi"/>
                <w:sz w:val="20"/>
                <w:szCs w:val="20"/>
                <w:lang w:eastAsia="en-AU"/>
              </w:rPr>
              <w:t>admission</w:t>
            </w:r>
          </w:p>
        </w:tc>
        <w:tc>
          <w:tcPr>
            <w:tcW w:w="2700" w:type="dxa"/>
          </w:tcPr>
          <w:p w:rsidR="009C513B" w:rsidRPr="003F0F6E" w:rsidRDefault="009C513B" w:rsidP="00B9667C">
            <w:pPr>
              <w:spacing w:after="0"/>
              <w:jc w:val="left"/>
              <w:rPr>
                <w:rFonts w:eastAsia="Times New Roman" w:cstheme="minorHAnsi"/>
                <w:sz w:val="20"/>
                <w:szCs w:val="20"/>
                <w:lang w:eastAsia="en-AU"/>
              </w:rPr>
            </w:pPr>
            <w:r>
              <w:rPr>
                <w:rFonts w:eastAsia="Times New Roman" w:cstheme="minorHAnsi"/>
                <w:sz w:val="20"/>
                <w:szCs w:val="20"/>
                <w:lang w:eastAsia="en-AU"/>
              </w:rPr>
              <w:t xml:space="preserve">Within </w:t>
            </w:r>
            <w:r w:rsidRPr="003F0F6E">
              <w:rPr>
                <w:rFonts w:eastAsia="Times New Roman" w:cstheme="minorHAnsi"/>
                <w:sz w:val="20"/>
                <w:szCs w:val="20"/>
                <w:lang w:eastAsia="en-AU"/>
              </w:rPr>
              <w:t xml:space="preserve">2 months </w:t>
            </w:r>
            <w:r>
              <w:rPr>
                <w:rFonts w:eastAsia="Times New Roman" w:cstheme="minorHAnsi"/>
                <w:sz w:val="20"/>
                <w:szCs w:val="20"/>
                <w:lang w:eastAsia="en-AU"/>
              </w:rPr>
              <w:t xml:space="preserve">of </w:t>
            </w:r>
            <w:r w:rsidRPr="003F0F6E">
              <w:rPr>
                <w:rFonts w:eastAsia="Times New Roman" w:cstheme="minorHAnsi"/>
                <w:sz w:val="20"/>
                <w:szCs w:val="20"/>
                <w:lang w:eastAsia="en-AU"/>
              </w:rPr>
              <w:t>admission</w:t>
            </w:r>
          </w:p>
        </w:tc>
        <w:tc>
          <w:tcPr>
            <w:tcW w:w="2970" w:type="dxa"/>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On admission. Contest: 1 month</w:t>
            </w:r>
          </w:p>
        </w:tc>
        <w:tc>
          <w:tcPr>
            <w:tcW w:w="2970" w:type="dxa"/>
          </w:tcPr>
          <w:p w:rsidR="009C513B" w:rsidRPr="003F0F6E" w:rsidRDefault="009C513B" w:rsidP="00B9667C">
            <w:pPr>
              <w:spacing w:after="0"/>
              <w:jc w:val="left"/>
              <w:rPr>
                <w:rFonts w:eastAsia="Times New Roman" w:cstheme="minorHAnsi"/>
                <w:sz w:val="20"/>
                <w:szCs w:val="20"/>
                <w:lang w:eastAsia="en-AU"/>
              </w:rPr>
            </w:pPr>
            <w:r>
              <w:rPr>
                <w:rFonts w:eastAsia="Times New Roman" w:cstheme="minorHAnsi"/>
                <w:sz w:val="20"/>
                <w:szCs w:val="20"/>
                <w:lang w:eastAsia="en-AU"/>
              </w:rPr>
              <w:t xml:space="preserve">Within </w:t>
            </w:r>
            <w:r w:rsidRPr="003F0F6E">
              <w:rPr>
                <w:rFonts w:eastAsia="Times New Roman" w:cstheme="minorHAnsi"/>
                <w:sz w:val="20"/>
                <w:szCs w:val="20"/>
                <w:lang w:eastAsia="en-AU"/>
              </w:rPr>
              <w:t xml:space="preserve">2 months </w:t>
            </w:r>
            <w:r>
              <w:rPr>
                <w:rFonts w:eastAsia="Times New Roman" w:cstheme="minorHAnsi"/>
                <w:sz w:val="20"/>
                <w:szCs w:val="20"/>
                <w:lang w:eastAsia="en-AU"/>
              </w:rPr>
              <w:t xml:space="preserve">of </w:t>
            </w:r>
            <w:r w:rsidRPr="003F0F6E">
              <w:rPr>
                <w:rFonts w:eastAsia="Times New Roman" w:cstheme="minorHAnsi"/>
                <w:sz w:val="20"/>
                <w:szCs w:val="20"/>
                <w:lang w:eastAsia="en-AU"/>
              </w:rPr>
              <w:t>admission</w:t>
            </w:r>
          </w:p>
        </w:tc>
      </w:tr>
      <w:tr w:rsidR="009C513B" w:rsidRPr="00326BE2" w:rsidTr="00177F1E">
        <w:tc>
          <w:tcPr>
            <w:tcW w:w="2605" w:type="dxa"/>
          </w:tcPr>
          <w:p w:rsidR="009C513B" w:rsidRPr="003F0F6E" w:rsidRDefault="009C513B" w:rsidP="00B9667C">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Provider does R-ACFI in…</w:t>
            </w:r>
          </w:p>
        </w:tc>
        <w:tc>
          <w:tcPr>
            <w:tcW w:w="2700" w:type="dxa"/>
          </w:tcPr>
          <w:p w:rsidR="009C513B" w:rsidRPr="003F0F6E" w:rsidRDefault="009C513B" w:rsidP="00B9667C">
            <w:pPr>
              <w:spacing w:after="0"/>
              <w:jc w:val="left"/>
              <w:rPr>
                <w:rFonts w:eastAsia="Times New Roman" w:cstheme="minorHAnsi"/>
                <w:sz w:val="20"/>
                <w:szCs w:val="20"/>
                <w:lang w:eastAsia="en-AU"/>
              </w:rPr>
            </w:pPr>
            <w:r>
              <w:rPr>
                <w:rFonts w:eastAsia="Times New Roman" w:cstheme="minorHAnsi"/>
                <w:sz w:val="20"/>
                <w:szCs w:val="20"/>
                <w:lang w:eastAsia="en-AU"/>
              </w:rPr>
              <w:t xml:space="preserve">With </w:t>
            </w:r>
            <w:r w:rsidRPr="003F0F6E">
              <w:rPr>
                <w:rFonts w:eastAsia="Times New Roman" w:cstheme="minorHAnsi"/>
                <w:sz w:val="20"/>
                <w:szCs w:val="20"/>
                <w:lang w:eastAsia="en-AU"/>
              </w:rPr>
              <w:t>2 months</w:t>
            </w:r>
          </w:p>
        </w:tc>
        <w:tc>
          <w:tcPr>
            <w:tcW w:w="2700" w:type="dxa"/>
          </w:tcPr>
          <w:p w:rsidR="009C513B" w:rsidRPr="003F0F6E" w:rsidRDefault="009C513B" w:rsidP="00B9667C">
            <w:pPr>
              <w:spacing w:after="0"/>
              <w:jc w:val="left"/>
              <w:rPr>
                <w:rFonts w:eastAsia="Times New Roman" w:cstheme="minorHAnsi"/>
                <w:sz w:val="20"/>
                <w:szCs w:val="20"/>
                <w:lang w:eastAsia="en-AU"/>
              </w:rPr>
            </w:pPr>
            <w:r>
              <w:rPr>
                <w:rFonts w:eastAsia="Times New Roman" w:cstheme="minorHAnsi"/>
                <w:sz w:val="20"/>
                <w:szCs w:val="20"/>
                <w:lang w:eastAsia="en-AU"/>
              </w:rPr>
              <w:t>Within 2</w:t>
            </w:r>
            <w:r w:rsidRPr="003F0F6E">
              <w:rPr>
                <w:rFonts w:eastAsia="Times New Roman" w:cstheme="minorHAnsi"/>
                <w:sz w:val="20"/>
                <w:szCs w:val="20"/>
                <w:lang w:eastAsia="en-AU"/>
              </w:rPr>
              <w:t xml:space="preserve"> months</w:t>
            </w:r>
          </w:p>
        </w:tc>
        <w:tc>
          <w:tcPr>
            <w:tcW w:w="2970" w:type="dxa"/>
          </w:tcPr>
          <w:p w:rsidR="009C513B" w:rsidRPr="003F0F6E" w:rsidRDefault="009C513B" w:rsidP="00B9667C">
            <w:pPr>
              <w:spacing w:after="0"/>
              <w:jc w:val="left"/>
              <w:rPr>
                <w:rFonts w:eastAsia="Times New Roman" w:cstheme="minorHAnsi"/>
                <w:sz w:val="20"/>
                <w:szCs w:val="20"/>
                <w:lang w:eastAsia="en-AU"/>
              </w:rPr>
            </w:pPr>
            <w:r>
              <w:rPr>
                <w:rFonts w:eastAsia="Times New Roman" w:cstheme="minorHAnsi"/>
                <w:sz w:val="20"/>
                <w:szCs w:val="20"/>
                <w:lang w:eastAsia="en-AU"/>
              </w:rPr>
              <w:t>Within 1</w:t>
            </w:r>
            <w:r w:rsidRPr="003F0F6E">
              <w:rPr>
                <w:rFonts w:eastAsia="Times New Roman" w:cstheme="minorHAnsi"/>
                <w:sz w:val="20"/>
                <w:szCs w:val="20"/>
                <w:lang w:eastAsia="en-AU"/>
              </w:rPr>
              <w:t xml:space="preserve"> month but not for $</w:t>
            </w:r>
            <w:r>
              <w:rPr>
                <w:rFonts w:eastAsia="Times New Roman" w:cstheme="minorHAnsi"/>
                <w:sz w:val="20"/>
                <w:szCs w:val="20"/>
                <w:lang w:eastAsia="en-AU"/>
              </w:rPr>
              <w:t>s</w:t>
            </w:r>
          </w:p>
        </w:tc>
        <w:tc>
          <w:tcPr>
            <w:tcW w:w="2970" w:type="dxa"/>
          </w:tcPr>
          <w:p w:rsidR="009C513B" w:rsidRPr="003F0F6E" w:rsidRDefault="009C513B" w:rsidP="00B9667C">
            <w:pPr>
              <w:spacing w:after="0"/>
              <w:jc w:val="left"/>
              <w:rPr>
                <w:rFonts w:eastAsia="Times New Roman" w:cstheme="minorHAnsi"/>
                <w:sz w:val="20"/>
                <w:szCs w:val="20"/>
                <w:lang w:eastAsia="en-AU"/>
              </w:rPr>
            </w:pPr>
            <w:r>
              <w:rPr>
                <w:rFonts w:eastAsia="Times New Roman" w:cstheme="minorHAnsi"/>
                <w:sz w:val="20"/>
                <w:szCs w:val="20"/>
                <w:lang w:eastAsia="en-AU"/>
              </w:rPr>
              <w:t xml:space="preserve">Within 2 months </w:t>
            </w:r>
            <w:r w:rsidRPr="003F0F6E">
              <w:rPr>
                <w:rFonts w:eastAsia="Times New Roman" w:cstheme="minorHAnsi"/>
                <w:sz w:val="20"/>
                <w:szCs w:val="20"/>
                <w:lang w:eastAsia="en-AU"/>
              </w:rPr>
              <w:t>used for $</w:t>
            </w:r>
            <w:r>
              <w:rPr>
                <w:rFonts w:eastAsia="Times New Roman" w:cstheme="minorHAnsi"/>
                <w:sz w:val="20"/>
                <w:szCs w:val="20"/>
                <w:lang w:eastAsia="en-AU"/>
              </w:rPr>
              <w:t>s</w:t>
            </w:r>
          </w:p>
        </w:tc>
      </w:tr>
      <w:tr w:rsidR="00B9667C" w:rsidRPr="00B9667C" w:rsidTr="00177F1E">
        <w:tc>
          <w:tcPr>
            <w:tcW w:w="2605" w:type="dxa"/>
            <w:shd w:val="clear" w:color="auto" w:fill="DEEAF6" w:themeFill="accent5" w:themeFillTint="33"/>
          </w:tcPr>
          <w:p w:rsidR="009C513B" w:rsidRPr="00B9667C" w:rsidRDefault="009C513B" w:rsidP="00B9667C">
            <w:pPr>
              <w:spacing w:after="0"/>
              <w:jc w:val="left"/>
              <w:rPr>
                <w:rFonts w:eastAsia="Times New Roman" w:cstheme="minorHAnsi"/>
                <w:b/>
                <w:sz w:val="20"/>
                <w:szCs w:val="20"/>
                <w:lang w:eastAsia="en-AU"/>
              </w:rPr>
            </w:pPr>
            <w:r w:rsidRPr="00B9667C">
              <w:rPr>
                <w:rFonts w:eastAsia="Times New Roman" w:cstheme="minorHAnsi"/>
                <w:b/>
                <w:sz w:val="20"/>
                <w:szCs w:val="20"/>
                <w:lang w:eastAsia="en-AU"/>
              </w:rPr>
              <w:t>Re-appraisals: audit assess</w:t>
            </w:r>
          </w:p>
        </w:tc>
        <w:tc>
          <w:tcPr>
            <w:tcW w:w="2700" w:type="dxa"/>
            <w:shd w:val="clear" w:color="auto" w:fill="DEEAF6" w:themeFill="accent5" w:themeFillTint="33"/>
          </w:tcPr>
          <w:p w:rsidR="009C513B" w:rsidRPr="00B9667C" w:rsidRDefault="009C513B" w:rsidP="00B9667C">
            <w:pPr>
              <w:spacing w:after="0"/>
              <w:jc w:val="left"/>
              <w:rPr>
                <w:rFonts w:eastAsia="Times New Roman" w:cstheme="minorHAnsi"/>
                <w:sz w:val="20"/>
                <w:szCs w:val="20"/>
                <w:lang w:eastAsia="en-AU"/>
              </w:rPr>
            </w:pPr>
            <w:r w:rsidRPr="00B9667C">
              <w:rPr>
                <w:rFonts w:eastAsia="Times New Roman" w:cstheme="minorHAnsi"/>
                <w:sz w:val="20"/>
                <w:szCs w:val="20"/>
                <w:lang w:eastAsia="en-AU"/>
              </w:rPr>
              <w:t>10% (assess)</w:t>
            </w:r>
          </w:p>
        </w:tc>
        <w:tc>
          <w:tcPr>
            <w:tcW w:w="2700" w:type="dxa"/>
            <w:shd w:val="clear" w:color="auto" w:fill="DEEAF6" w:themeFill="accent5" w:themeFillTint="33"/>
          </w:tcPr>
          <w:p w:rsidR="009C513B" w:rsidRPr="00B9667C" w:rsidRDefault="009C513B" w:rsidP="00B9667C">
            <w:pPr>
              <w:spacing w:after="0"/>
              <w:jc w:val="left"/>
              <w:rPr>
                <w:rFonts w:eastAsia="Times New Roman" w:cstheme="minorHAnsi"/>
                <w:sz w:val="20"/>
                <w:szCs w:val="20"/>
                <w:lang w:eastAsia="en-AU"/>
              </w:rPr>
            </w:pPr>
            <w:r w:rsidRPr="00B9667C">
              <w:rPr>
                <w:rFonts w:eastAsia="Times New Roman" w:cstheme="minorHAnsi"/>
                <w:sz w:val="20"/>
                <w:szCs w:val="20"/>
                <w:lang w:eastAsia="en-AU"/>
              </w:rPr>
              <w:t>10% visit audit; 90% data</w:t>
            </w:r>
          </w:p>
        </w:tc>
        <w:tc>
          <w:tcPr>
            <w:tcW w:w="2970" w:type="dxa"/>
            <w:shd w:val="clear" w:color="auto" w:fill="DEEAF6" w:themeFill="accent5" w:themeFillTint="33"/>
          </w:tcPr>
          <w:p w:rsidR="009C513B" w:rsidRPr="00B9667C" w:rsidRDefault="009C513B" w:rsidP="00B9667C">
            <w:pPr>
              <w:spacing w:after="0"/>
              <w:jc w:val="left"/>
              <w:rPr>
                <w:rFonts w:eastAsia="Times New Roman" w:cstheme="minorHAnsi"/>
                <w:sz w:val="20"/>
                <w:szCs w:val="20"/>
                <w:lang w:eastAsia="en-AU"/>
              </w:rPr>
            </w:pPr>
            <w:r w:rsidRPr="00B9667C">
              <w:rPr>
                <w:rFonts w:eastAsia="Times New Roman" w:cstheme="minorHAnsi"/>
                <w:sz w:val="20"/>
                <w:szCs w:val="20"/>
                <w:lang w:eastAsia="en-AU"/>
              </w:rPr>
              <w:t>25% visit assessment; 75% data</w:t>
            </w:r>
          </w:p>
        </w:tc>
        <w:tc>
          <w:tcPr>
            <w:tcW w:w="2970" w:type="dxa"/>
            <w:shd w:val="clear" w:color="auto" w:fill="DEEAF6" w:themeFill="accent5" w:themeFillTint="33"/>
          </w:tcPr>
          <w:p w:rsidR="009C513B" w:rsidRPr="00B9667C" w:rsidRDefault="009C513B" w:rsidP="00B9667C">
            <w:pPr>
              <w:spacing w:after="0"/>
              <w:jc w:val="left"/>
              <w:rPr>
                <w:rFonts w:eastAsia="Times New Roman" w:cstheme="minorHAnsi"/>
                <w:sz w:val="20"/>
                <w:szCs w:val="20"/>
                <w:lang w:eastAsia="en-AU"/>
              </w:rPr>
            </w:pPr>
            <w:r w:rsidRPr="00B9667C">
              <w:rPr>
                <w:rFonts w:eastAsia="Times New Roman" w:cstheme="minorHAnsi"/>
                <w:sz w:val="20"/>
                <w:szCs w:val="20"/>
                <w:lang w:eastAsia="en-AU"/>
              </w:rPr>
              <w:t>25% visit assessment; 75% data</w:t>
            </w:r>
          </w:p>
        </w:tc>
      </w:tr>
      <w:tr w:rsidR="009C513B" w:rsidRPr="00326BE2" w:rsidTr="00177F1E">
        <w:tc>
          <w:tcPr>
            <w:tcW w:w="2605" w:type="dxa"/>
          </w:tcPr>
          <w:p w:rsidR="009C513B" w:rsidRPr="003F0F6E" w:rsidRDefault="009C513B" w:rsidP="00B9667C">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Funding Determination Process</w:t>
            </w:r>
          </w:p>
        </w:tc>
        <w:tc>
          <w:tcPr>
            <w:tcW w:w="2700" w:type="dxa"/>
          </w:tcPr>
          <w:p w:rsidR="009C513B" w:rsidRPr="003F0F6E" w:rsidRDefault="009C513B" w:rsidP="00B9667C">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Provider R-ACFI used for $</w:t>
            </w:r>
          </w:p>
          <w:p w:rsidR="009C513B" w:rsidRPr="003F0F6E" w:rsidRDefault="009C513B" w:rsidP="00B9667C">
            <w:pPr>
              <w:spacing w:after="0"/>
              <w:jc w:val="left"/>
              <w:rPr>
                <w:rFonts w:eastAsia="Times New Roman" w:cstheme="minorHAnsi"/>
                <w:sz w:val="20"/>
                <w:szCs w:val="20"/>
                <w:lang w:eastAsia="en-AU"/>
              </w:rPr>
            </w:pPr>
            <w:r>
              <w:rPr>
                <w:rFonts w:eastAsia="Times New Roman" w:cstheme="minorHAnsi"/>
                <w:sz w:val="20"/>
                <w:szCs w:val="20"/>
                <w:lang w:eastAsia="en-AU"/>
              </w:rPr>
              <w:t>RO checks sample (10%) as per new resident checks.</w:t>
            </w:r>
          </w:p>
        </w:tc>
        <w:tc>
          <w:tcPr>
            <w:tcW w:w="2700" w:type="dxa"/>
          </w:tcPr>
          <w:p w:rsidR="009C513B" w:rsidRPr="003F0F6E" w:rsidRDefault="009C513B" w:rsidP="00B9667C">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Provider R-ACFI give $s</w:t>
            </w:r>
          </w:p>
          <w:p w:rsidR="009C513B" w:rsidRPr="003F0F6E" w:rsidRDefault="009C513B" w:rsidP="00B9667C">
            <w:pPr>
              <w:spacing w:after="0"/>
              <w:jc w:val="left"/>
              <w:rPr>
                <w:rFonts w:eastAsia="Times New Roman" w:cstheme="minorHAnsi"/>
                <w:sz w:val="20"/>
                <w:szCs w:val="20"/>
                <w:lang w:eastAsia="en-AU"/>
              </w:rPr>
            </w:pPr>
            <w:r>
              <w:rPr>
                <w:rFonts w:eastAsia="Times New Roman" w:cstheme="minorHAnsi"/>
                <w:sz w:val="20"/>
                <w:szCs w:val="20"/>
                <w:lang w:eastAsia="en-AU"/>
              </w:rPr>
              <w:t xml:space="preserve">RO checks </w:t>
            </w:r>
            <w:r w:rsidRPr="003F0F6E">
              <w:rPr>
                <w:rFonts w:eastAsia="Times New Roman" w:cstheme="minorHAnsi"/>
                <w:sz w:val="20"/>
                <w:szCs w:val="20"/>
                <w:lang w:eastAsia="en-AU"/>
              </w:rPr>
              <w:t>after payment using: data analytics, e-a</w:t>
            </w:r>
            <w:r>
              <w:rPr>
                <w:rFonts w:eastAsia="Times New Roman" w:cstheme="minorHAnsi"/>
                <w:sz w:val="20"/>
                <w:szCs w:val="20"/>
                <w:lang w:eastAsia="en-AU"/>
              </w:rPr>
              <w:t>udit, site visits for around 10% of submissions</w:t>
            </w:r>
            <w:r w:rsidRPr="003F0F6E">
              <w:rPr>
                <w:rFonts w:eastAsia="Times New Roman" w:cstheme="minorHAnsi"/>
                <w:sz w:val="20"/>
                <w:szCs w:val="20"/>
                <w:lang w:eastAsia="en-AU"/>
              </w:rPr>
              <w:t xml:space="preserve">. </w:t>
            </w:r>
          </w:p>
        </w:tc>
        <w:tc>
          <w:tcPr>
            <w:tcW w:w="2970" w:type="dxa"/>
          </w:tcPr>
          <w:p w:rsidR="009C513B" w:rsidRPr="003F0F6E" w:rsidRDefault="009C513B" w:rsidP="00B9667C">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Provider &amp; ACAT R-ACFI give $s</w:t>
            </w:r>
          </w:p>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 xml:space="preserve">ACAT checks </w:t>
            </w:r>
            <w:r>
              <w:rPr>
                <w:rFonts w:eastAsia="Times New Roman" w:cstheme="minorHAnsi"/>
                <w:sz w:val="20"/>
                <w:szCs w:val="20"/>
                <w:lang w:eastAsia="en-AU"/>
              </w:rPr>
              <w:t>after</w:t>
            </w:r>
            <w:r w:rsidRPr="003F0F6E">
              <w:rPr>
                <w:rFonts w:eastAsia="Times New Roman" w:cstheme="minorHAnsi"/>
                <w:sz w:val="20"/>
                <w:szCs w:val="20"/>
                <w:lang w:eastAsia="en-AU"/>
              </w:rPr>
              <w:t xml:space="preserve"> payment</w:t>
            </w:r>
            <w:r>
              <w:rPr>
                <w:rFonts w:eastAsia="Times New Roman" w:cstheme="minorHAnsi"/>
                <w:sz w:val="20"/>
                <w:szCs w:val="20"/>
                <w:lang w:eastAsia="en-AU"/>
              </w:rPr>
              <w:t xml:space="preserve"> using: data analytics, e-audit. </w:t>
            </w:r>
            <w:r w:rsidRPr="00651A50">
              <w:rPr>
                <w:rFonts w:eastAsia="Times New Roman" w:cstheme="minorHAnsi"/>
                <w:b/>
                <w:sz w:val="20"/>
                <w:szCs w:val="20"/>
                <w:lang w:eastAsia="en-AU"/>
              </w:rPr>
              <w:t>Site assessment checks for 25% - 50% of R-ACFI submissions</w:t>
            </w:r>
          </w:p>
        </w:tc>
        <w:tc>
          <w:tcPr>
            <w:tcW w:w="2970" w:type="dxa"/>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b/>
                <w:sz w:val="20"/>
                <w:szCs w:val="20"/>
                <w:lang w:eastAsia="en-AU"/>
              </w:rPr>
              <w:t xml:space="preserve">Provider &amp; SAA R-ACFI give $s </w:t>
            </w:r>
            <w:r w:rsidRPr="003F0F6E">
              <w:rPr>
                <w:rFonts w:eastAsia="Times New Roman" w:cstheme="minorHAnsi"/>
                <w:sz w:val="20"/>
                <w:szCs w:val="20"/>
                <w:lang w:eastAsia="en-AU"/>
              </w:rPr>
              <w:t xml:space="preserve">SAA assessor checks </w:t>
            </w:r>
            <w:r>
              <w:rPr>
                <w:rFonts w:eastAsia="Times New Roman" w:cstheme="minorHAnsi"/>
                <w:sz w:val="20"/>
                <w:szCs w:val="20"/>
                <w:lang w:eastAsia="en-AU"/>
              </w:rPr>
              <w:t xml:space="preserve">after </w:t>
            </w:r>
            <w:r w:rsidRPr="003F0F6E">
              <w:rPr>
                <w:rFonts w:eastAsia="Times New Roman" w:cstheme="minorHAnsi"/>
                <w:sz w:val="20"/>
                <w:szCs w:val="20"/>
                <w:lang w:eastAsia="en-AU"/>
              </w:rPr>
              <w:t>payment usi</w:t>
            </w:r>
            <w:r>
              <w:rPr>
                <w:rFonts w:eastAsia="Times New Roman" w:cstheme="minorHAnsi"/>
                <w:sz w:val="20"/>
                <w:szCs w:val="20"/>
                <w:lang w:eastAsia="en-AU"/>
              </w:rPr>
              <w:t>ng: data analytics, e-audit.</w:t>
            </w:r>
            <w:r w:rsidRPr="003F0F6E">
              <w:rPr>
                <w:rFonts w:eastAsia="Times New Roman" w:cstheme="minorHAnsi"/>
                <w:sz w:val="20"/>
                <w:szCs w:val="20"/>
                <w:lang w:eastAsia="en-AU"/>
              </w:rPr>
              <w:t xml:space="preserve"> </w:t>
            </w:r>
            <w:r w:rsidRPr="00651A50">
              <w:rPr>
                <w:rFonts w:eastAsia="Times New Roman" w:cstheme="minorHAnsi"/>
                <w:b/>
                <w:sz w:val="20"/>
                <w:szCs w:val="20"/>
                <w:lang w:eastAsia="en-AU"/>
              </w:rPr>
              <w:t>Site assessment checks for 25% - 50% of R-ACFI submissions</w:t>
            </w:r>
          </w:p>
        </w:tc>
      </w:tr>
      <w:tr w:rsidR="009C513B" w:rsidRPr="00326BE2" w:rsidTr="00177F1E">
        <w:tc>
          <w:tcPr>
            <w:tcW w:w="2605" w:type="dxa"/>
          </w:tcPr>
          <w:p w:rsidR="009C513B" w:rsidRPr="003F0F6E" w:rsidRDefault="009C513B" w:rsidP="00B9667C">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When full funding paid?</w:t>
            </w:r>
            <w:r w:rsidR="007A576E">
              <w:rPr>
                <w:rFonts w:eastAsia="Times New Roman" w:cstheme="minorHAnsi"/>
                <w:b/>
                <w:sz w:val="20"/>
                <w:szCs w:val="20"/>
                <w:lang w:eastAsia="en-AU"/>
              </w:rPr>
              <w:t xml:space="preserve"> </w:t>
            </w:r>
            <w:r w:rsidRPr="003F0F6E">
              <w:rPr>
                <w:rFonts w:eastAsia="Times New Roman" w:cstheme="minorHAnsi"/>
                <w:b/>
                <w:sz w:val="20"/>
                <w:szCs w:val="20"/>
                <w:lang w:eastAsia="en-AU"/>
              </w:rPr>
              <w:t>Funding certainty &amp; Audit</w:t>
            </w:r>
          </w:p>
        </w:tc>
        <w:tc>
          <w:tcPr>
            <w:tcW w:w="2700" w:type="dxa"/>
          </w:tcPr>
          <w:p w:rsidR="009C513B" w:rsidRPr="003F0F6E" w:rsidRDefault="009C513B" w:rsidP="00B9667C">
            <w:pPr>
              <w:spacing w:after="0"/>
              <w:jc w:val="left"/>
              <w:rPr>
                <w:rFonts w:eastAsia="Times New Roman" w:cstheme="minorHAnsi"/>
                <w:sz w:val="20"/>
                <w:szCs w:val="20"/>
                <w:lang w:eastAsia="en-AU"/>
              </w:rPr>
            </w:pPr>
            <w:r>
              <w:rPr>
                <w:rFonts w:eastAsia="Times New Roman" w:cstheme="minorHAnsi"/>
                <w:sz w:val="20"/>
                <w:szCs w:val="20"/>
                <w:lang w:eastAsia="en-AU"/>
              </w:rPr>
              <w:t>O</w:t>
            </w:r>
            <w:r w:rsidRPr="003F0F6E">
              <w:rPr>
                <w:rFonts w:eastAsia="Times New Roman" w:cstheme="minorHAnsi"/>
                <w:sz w:val="20"/>
                <w:szCs w:val="20"/>
                <w:lang w:eastAsia="en-AU"/>
              </w:rPr>
              <w:t>n submission</w:t>
            </w:r>
            <w:r>
              <w:rPr>
                <w:rFonts w:eastAsia="Times New Roman" w:cstheme="minorHAnsi"/>
                <w:sz w:val="20"/>
                <w:szCs w:val="20"/>
                <w:lang w:eastAsia="en-AU"/>
              </w:rPr>
              <w:t xml:space="preserve"> </w:t>
            </w:r>
            <w:r w:rsidRPr="003F0F6E">
              <w:rPr>
                <w:rFonts w:eastAsia="Times New Roman" w:cstheme="minorHAnsi"/>
                <w:sz w:val="20"/>
                <w:szCs w:val="20"/>
                <w:lang w:eastAsia="en-AU"/>
              </w:rPr>
              <w:t>but subject to audit</w:t>
            </w:r>
            <w:r>
              <w:rPr>
                <w:rFonts w:eastAsia="Times New Roman" w:cstheme="minorHAnsi"/>
                <w:sz w:val="20"/>
                <w:szCs w:val="20"/>
                <w:lang w:eastAsia="en-AU"/>
              </w:rPr>
              <w:t>, no time limit</w:t>
            </w:r>
          </w:p>
        </w:tc>
        <w:tc>
          <w:tcPr>
            <w:tcW w:w="2700" w:type="dxa"/>
          </w:tcPr>
          <w:p w:rsidR="009C513B" w:rsidRPr="003F0F6E" w:rsidRDefault="009C513B" w:rsidP="00B9667C">
            <w:pPr>
              <w:spacing w:after="0"/>
              <w:jc w:val="left"/>
              <w:rPr>
                <w:rFonts w:eastAsia="Times New Roman" w:cstheme="minorHAnsi"/>
                <w:sz w:val="20"/>
                <w:szCs w:val="20"/>
                <w:lang w:eastAsia="en-AU"/>
              </w:rPr>
            </w:pPr>
            <w:r>
              <w:rPr>
                <w:rFonts w:eastAsia="Times New Roman" w:cstheme="minorHAnsi"/>
                <w:sz w:val="20"/>
                <w:szCs w:val="20"/>
                <w:lang w:eastAsia="en-AU"/>
              </w:rPr>
              <w:t>O</w:t>
            </w:r>
            <w:r w:rsidRPr="003F0F6E">
              <w:rPr>
                <w:rFonts w:eastAsia="Times New Roman" w:cstheme="minorHAnsi"/>
                <w:sz w:val="20"/>
                <w:szCs w:val="20"/>
                <w:lang w:eastAsia="en-AU"/>
              </w:rPr>
              <w:t>n submission</w:t>
            </w:r>
            <w:r>
              <w:rPr>
                <w:rFonts w:eastAsia="Times New Roman" w:cstheme="minorHAnsi"/>
                <w:sz w:val="20"/>
                <w:szCs w:val="20"/>
                <w:lang w:eastAsia="en-AU"/>
              </w:rPr>
              <w:t xml:space="preserve"> </w:t>
            </w:r>
            <w:r w:rsidRPr="003F0F6E">
              <w:rPr>
                <w:rFonts w:eastAsia="Times New Roman" w:cstheme="minorHAnsi"/>
                <w:sz w:val="20"/>
                <w:szCs w:val="20"/>
                <w:lang w:eastAsia="en-AU"/>
              </w:rPr>
              <w:t>but subject to audit</w:t>
            </w:r>
            <w:r>
              <w:rPr>
                <w:rFonts w:eastAsia="Times New Roman" w:cstheme="minorHAnsi"/>
                <w:sz w:val="20"/>
                <w:szCs w:val="20"/>
                <w:lang w:eastAsia="en-AU"/>
              </w:rPr>
              <w:t xml:space="preserve"> for 12months</w:t>
            </w:r>
          </w:p>
        </w:tc>
        <w:tc>
          <w:tcPr>
            <w:tcW w:w="2970" w:type="dxa"/>
          </w:tcPr>
          <w:p w:rsidR="009C513B" w:rsidRPr="003F0F6E" w:rsidRDefault="009C513B" w:rsidP="00B9667C">
            <w:pPr>
              <w:spacing w:after="0"/>
              <w:jc w:val="left"/>
              <w:rPr>
                <w:rFonts w:eastAsia="Times New Roman" w:cstheme="minorHAnsi"/>
                <w:sz w:val="20"/>
                <w:szCs w:val="20"/>
                <w:lang w:eastAsia="en-AU"/>
              </w:rPr>
            </w:pPr>
            <w:r>
              <w:rPr>
                <w:rFonts w:eastAsia="Times New Roman" w:cstheme="minorHAnsi"/>
                <w:sz w:val="20"/>
                <w:szCs w:val="20"/>
                <w:lang w:eastAsia="en-AU"/>
              </w:rPr>
              <w:t>On submission but can have assessments checked up to 12m</w:t>
            </w:r>
          </w:p>
        </w:tc>
        <w:tc>
          <w:tcPr>
            <w:tcW w:w="2970" w:type="dxa"/>
          </w:tcPr>
          <w:p w:rsidR="009C513B" w:rsidRPr="003F0F6E" w:rsidRDefault="009C513B" w:rsidP="00B9667C">
            <w:pPr>
              <w:spacing w:after="0"/>
              <w:jc w:val="left"/>
              <w:rPr>
                <w:rFonts w:eastAsia="Times New Roman" w:cstheme="minorHAnsi"/>
                <w:sz w:val="20"/>
                <w:szCs w:val="20"/>
                <w:lang w:eastAsia="en-AU"/>
              </w:rPr>
            </w:pPr>
            <w:r>
              <w:rPr>
                <w:rFonts w:eastAsia="Times New Roman" w:cstheme="minorHAnsi"/>
                <w:sz w:val="20"/>
                <w:szCs w:val="20"/>
                <w:lang w:eastAsia="en-AU"/>
              </w:rPr>
              <w:t>On submission but can have assessments checked up to 12m</w:t>
            </w:r>
          </w:p>
        </w:tc>
      </w:tr>
      <w:tr w:rsidR="009C513B" w:rsidRPr="00326BE2" w:rsidTr="00177F1E">
        <w:tc>
          <w:tcPr>
            <w:tcW w:w="2605" w:type="dxa"/>
          </w:tcPr>
          <w:p w:rsidR="009C513B" w:rsidRPr="003F0F6E" w:rsidRDefault="009C513B" w:rsidP="00B9667C">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Method Used to Audit $</w:t>
            </w:r>
          </w:p>
        </w:tc>
        <w:tc>
          <w:tcPr>
            <w:tcW w:w="2700" w:type="dxa"/>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 xml:space="preserve">Assessed care + Care provided </w:t>
            </w:r>
          </w:p>
        </w:tc>
        <w:tc>
          <w:tcPr>
            <w:tcW w:w="2700" w:type="dxa"/>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 xml:space="preserve">Assessed care + Care provided </w:t>
            </w:r>
          </w:p>
        </w:tc>
        <w:tc>
          <w:tcPr>
            <w:tcW w:w="2970" w:type="dxa"/>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Assessed care need</w:t>
            </w:r>
          </w:p>
        </w:tc>
        <w:tc>
          <w:tcPr>
            <w:tcW w:w="2970" w:type="dxa"/>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Assessed care need</w:t>
            </w:r>
          </w:p>
        </w:tc>
      </w:tr>
      <w:tr w:rsidR="009C513B" w:rsidRPr="00326BE2" w:rsidTr="00177F1E">
        <w:tc>
          <w:tcPr>
            <w:tcW w:w="2605" w:type="dxa"/>
          </w:tcPr>
          <w:p w:rsidR="009C513B" w:rsidRPr="003F0F6E" w:rsidRDefault="009C513B" w:rsidP="00B9667C">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Stable funding</w:t>
            </w:r>
          </w:p>
        </w:tc>
        <w:tc>
          <w:tcPr>
            <w:tcW w:w="2700" w:type="dxa"/>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Low</w:t>
            </w:r>
          </w:p>
        </w:tc>
        <w:tc>
          <w:tcPr>
            <w:tcW w:w="2700" w:type="dxa"/>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Medium</w:t>
            </w:r>
          </w:p>
        </w:tc>
        <w:tc>
          <w:tcPr>
            <w:tcW w:w="2970" w:type="dxa"/>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High</w:t>
            </w:r>
          </w:p>
        </w:tc>
        <w:tc>
          <w:tcPr>
            <w:tcW w:w="2970" w:type="dxa"/>
          </w:tcPr>
          <w:p w:rsidR="009C513B" w:rsidRPr="003F0F6E" w:rsidRDefault="009C513B" w:rsidP="00B9667C">
            <w:pPr>
              <w:spacing w:after="0"/>
              <w:jc w:val="left"/>
              <w:rPr>
                <w:rFonts w:eastAsia="Times New Roman" w:cstheme="minorHAnsi"/>
                <w:sz w:val="20"/>
                <w:szCs w:val="20"/>
                <w:lang w:eastAsia="en-AU"/>
              </w:rPr>
            </w:pPr>
            <w:r w:rsidRPr="003F0F6E">
              <w:rPr>
                <w:rFonts w:eastAsia="Times New Roman" w:cstheme="minorHAnsi"/>
                <w:sz w:val="20"/>
                <w:szCs w:val="20"/>
                <w:lang w:eastAsia="en-AU"/>
              </w:rPr>
              <w:t>Medium-High</w:t>
            </w:r>
          </w:p>
        </w:tc>
      </w:tr>
      <w:tr w:rsidR="009C513B" w:rsidRPr="00326BE2" w:rsidTr="00177F1E">
        <w:tc>
          <w:tcPr>
            <w:tcW w:w="2605" w:type="dxa"/>
          </w:tcPr>
          <w:p w:rsidR="009C513B" w:rsidRPr="00A0213A" w:rsidRDefault="00122389" w:rsidP="00B9667C">
            <w:pPr>
              <w:spacing w:after="0"/>
              <w:jc w:val="left"/>
              <w:rPr>
                <w:rFonts w:eastAsia="Times New Roman" w:cstheme="minorHAnsi"/>
                <w:b/>
                <w:sz w:val="18"/>
                <w:szCs w:val="18"/>
                <w:lang w:eastAsia="en-AU"/>
              </w:rPr>
            </w:pPr>
            <w:r>
              <w:rPr>
                <w:rFonts w:eastAsia="Times New Roman" w:cstheme="minorHAnsi"/>
                <w:b/>
                <w:sz w:val="18"/>
                <w:szCs w:val="18"/>
                <w:lang w:eastAsia="en-AU"/>
              </w:rPr>
              <w:t>Growth Reduction: 2018-</w:t>
            </w:r>
            <w:r w:rsidRPr="00A0213A">
              <w:rPr>
                <w:rFonts w:eastAsia="Times New Roman" w:cstheme="minorHAnsi"/>
                <w:b/>
                <w:sz w:val="18"/>
                <w:szCs w:val="18"/>
                <w:lang w:eastAsia="en-AU"/>
              </w:rPr>
              <w:t>22 FYE</w:t>
            </w:r>
          </w:p>
        </w:tc>
        <w:tc>
          <w:tcPr>
            <w:tcW w:w="2700" w:type="dxa"/>
          </w:tcPr>
          <w:p w:rsidR="009C513B" w:rsidRPr="00E76A02" w:rsidRDefault="009C513B" w:rsidP="00B9667C">
            <w:pPr>
              <w:spacing w:after="0"/>
              <w:jc w:val="left"/>
              <w:rPr>
                <w:rFonts w:eastAsia="Times New Roman" w:cstheme="minorHAnsi"/>
                <w:b/>
                <w:sz w:val="20"/>
                <w:szCs w:val="20"/>
                <w:lang w:eastAsia="en-AU"/>
              </w:rPr>
            </w:pPr>
            <w:r>
              <w:rPr>
                <w:rFonts w:eastAsia="Times New Roman" w:cstheme="minorHAnsi"/>
                <w:b/>
                <w:sz w:val="20"/>
                <w:szCs w:val="20"/>
                <w:lang w:eastAsia="en-AU"/>
              </w:rPr>
              <w:t>NA</w:t>
            </w:r>
          </w:p>
        </w:tc>
        <w:tc>
          <w:tcPr>
            <w:tcW w:w="2700" w:type="dxa"/>
          </w:tcPr>
          <w:p w:rsidR="009C513B" w:rsidRPr="00E76A02" w:rsidRDefault="009C513B" w:rsidP="00B9667C">
            <w:pPr>
              <w:spacing w:after="0"/>
              <w:jc w:val="left"/>
              <w:rPr>
                <w:rFonts w:eastAsia="Times New Roman" w:cstheme="minorHAnsi"/>
                <w:sz w:val="20"/>
                <w:szCs w:val="20"/>
                <w:lang w:eastAsia="en-AU"/>
              </w:rPr>
            </w:pPr>
            <w:r w:rsidRPr="00E76A02">
              <w:rPr>
                <w:rFonts w:ascii="Calibri" w:hAnsi="Calibri"/>
                <w:b/>
                <w:bCs/>
                <w:sz w:val="20"/>
                <w:szCs w:val="20"/>
              </w:rPr>
              <w:t>$3,619M</w:t>
            </w:r>
          </w:p>
        </w:tc>
        <w:tc>
          <w:tcPr>
            <w:tcW w:w="2970" w:type="dxa"/>
          </w:tcPr>
          <w:p w:rsidR="009C513B" w:rsidRPr="00E76A02" w:rsidRDefault="009C513B" w:rsidP="00B9667C">
            <w:pPr>
              <w:spacing w:after="0"/>
              <w:jc w:val="left"/>
              <w:rPr>
                <w:rFonts w:eastAsia="Times New Roman" w:cstheme="minorHAnsi"/>
                <w:b/>
                <w:sz w:val="20"/>
                <w:szCs w:val="20"/>
                <w:lang w:eastAsia="en-AU"/>
              </w:rPr>
            </w:pPr>
            <w:r w:rsidRPr="00E76A02">
              <w:rPr>
                <w:rFonts w:eastAsia="Times New Roman" w:cstheme="minorHAnsi"/>
                <w:b/>
                <w:sz w:val="20"/>
                <w:szCs w:val="20"/>
                <w:lang w:eastAsia="en-AU"/>
              </w:rPr>
              <w:t>$5,753M</w:t>
            </w:r>
          </w:p>
        </w:tc>
        <w:tc>
          <w:tcPr>
            <w:tcW w:w="2970" w:type="dxa"/>
          </w:tcPr>
          <w:p w:rsidR="009C513B" w:rsidRPr="00E76A02" w:rsidRDefault="009C513B" w:rsidP="00B9667C">
            <w:pPr>
              <w:spacing w:after="0"/>
              <w:jc w:val="left"/>
              <w:rPr>
                <w:rFonts w:eastAsia="Times New Roman" w:cstheme="minorHAnsi"/>
                <w:b/>
                <w:sz w:val="20"/>
                <w:szCs w:val="20"/>
                <w:lang w:eastAsia="en-AU"/>
              </w:rPr>
            </w:pPr>
            <w:r w:rsidRPr="00E76A02">
              <w:rPr>
                <w:rFonts w:eastAsia="Times New Roman" w:cstheme="minorHAnsi"/>
                <w:b/>
                <w:sz w:val="20"/>
                <w:szCs w:val="20"/>
                <w:lang w:eastAsia="en-AU"/>
              </w:rPr>
              <w:t>$5,372M</w:t>
            </w:r>
          </w:p>
        </w:tc>
      </w:tr>
    </w:tbl>
    <w:p w:rsidR="002F08C5" w:rsidRDefault="002F08C5">
      <w:pPr>
        <w:spacing w:after="200"/>
        <w:rPr>
          <w:rFonts w:eastAsia="Times New Roman" w:cstheme="minorHAnsi"/>
          <w:lang w:eastAsia="en-AU"/>
        </w:rPr>
        <w:sectPr w:rsidR="002F08C5" w:rsidSect="00F57A3F">
          <w:headerReference w:type="default" r:id="rId14"/>
          <w:footerReference w:type="default" r:id="rId15"/>
          <w:pgSz w:w="16838" w:h="11906" w:orient="landscape"/>
          <w:pgMar w:top="1440" w:right="1440" w:bottom="1440" w:left="1440" w:header="709" w:footer="709" w:gutter="0"/>
          <w:cols w:space="708"/>
          <w:docGrid w:linePitch="360"/>
        </w:sectPr>
      </w:pPr>
    </w:p>
    <w:p w:rsidR="002F08C5" w:rsidRPr="00B766F0" w:rsidRDefault="002F08C5" w:rsidP="00BE2954">
      <w:pPr>
        <w:pStyle w:val="Heading2"/>
      </w:pPr>
      <w:bookmarkStart w:id="42" w:name="_Toc491426019"/>
      <w:r w:rsidRPr="00B766F0">
        <w:lastRenderedPageBreak/>
        <w:t>Model Comparisons – Recommendations</w:t>
      </w:r>
      <w:bookmarkEnd w:id="42"/>
    </w:p>
    <w:p w:rsidR="002F08C5" w:rsidRDefault="002F08C5" w:rsidP="002F08C5">
      <w:pPr>
        <w:rPr>
          <w:rFonts w:cstheme="minorHAnsi"/>
          <w:szCs w:val="24"/>
        </w:rPr>
      </w:pPr>
      <w:r w:rsidRPr="00690E8B">
        <w:t xml:space="preserve">There are several reasons to </w:t>
      </w:r>
      <w:r>
        <w:t>consider changing</w:t>
      </w:r>
      <w:r w:rsidRPr="00690E8B">
        <w:t xml:space="preserve"> the </w:t>
      </w:r>
      <w:r>
        <w:t xml:space="preserve">way funding is determined in the </w:t>
      </w:r>
      <w:r w:rsidRPr="00690E8B">
        <w:t xml:space="preserve">current aged care funding system. Modifying the system is important to ensure the stability and sustainability of the system but also to ensure that the system remains one where evidence based assessment results in the best possible care </w:t>
      </w:r>
      <w:r>
        <w:t xml:space="preserve">for residents with appropriate funding for providers to enable the delivery of the care. </w:t>
      </w:r>
      <w:r w:rsidR="00EC3F6E">
        <w:t xml:space="preserve">It should be noted that an </w:t>
      </w:r>
      <w:r w:rsidR="009C7EAA">
        <w:rPr>
          <w:rFonts w:cstheme="minorHAnsi"/>
          <w:szCs w:val="24"/>
        </w:rPr>
        <w:t>e</w:t>
      </w:r>
      <w:r w:rsidR="00EC3F6E" w:rsidRPr="00AA5EDF">
        <w:rPr>
          <w:rFonts w:cstheme="minorHAnsi"/>
          <w:szCs w:val="24"/>
        </w:rPr>
        <w:t xml:space="preserve">xternal </w:t>
      </w:r>
      <w:r w:rsidR="009C7EAA">
        <w:rPr>
          <w:rFonts w:cstheme="minorHAnsi"/>
          <w:szCs w:val="24"/>
        </w:rPr>
        <w:t>a</w:t>
      </w:r>
      <w:r w:rsidR="00EC3F6E" w:rsidRPr="00AA5EDF">
        <w:rPr>
          <w:rFonts w:cstheme="minorHAnsi"/>
          <w:szCs w:val="24"/>
        </w:rPr>
        <w:t xml:space="preserve">ssessor model would be </w:t>
      </w:r>
      <w:r w:rsidR="00EC3F6E">
        <w:rPr>
          <w:rFonts w:cstheme="minorHAnsi"/>
          <w:szCs w:val="24"/>
        </w:rPr>
        <w:t xml:space="preserve">targeted on the subsidy growth aspect and adjustment to the base subsidies </w:t>
      </w:r>
      <w:r w:rsidR="00E81D32">
        <w:rPr>
          <w:rFonts w:cstheme="minorHAnsi"/>
          <w:szCs w:val="24"/>
        </w:rPr>
        <w:t>may</w:t>
      </w:r>
      <w:r w:rsidR="00EC3F6E">
        <w:rPr>
          <w:rFonts w:cstheme="minorHAnsi"/>
          <w:szCs w:val="24"/>
        </w:rPr>
        <w:t xml:space="preserve"> be required if the introduction lowered average subsidy payments on a system wide basis as is </w:t>
      </w:r>
      <w:r w:rsidR="00BC2EED">
        <w:rPr>
          <w:rFonts w:cstheme="minorHAnsi"/>
          <w:szCs w:val="24"/>
        </w:rPr>
        <w:t xml:space="preserve">projected </w:t>
      </w:r>
      <w:r w:rsidR="00EC3F6E">
        <w:rPr>
          <w:rFonts w:cstheme="minorHAnsi"/>
          <w:szCs w:val="24"/>
        </w:rPr>
        <w:t>in this modelling exercise</w:t>
      </w:r>
      <w:r w:rsidR="00EC3F6E" w:rsidRPr="00AA5EDF">
        <w:rPr>
          <w:rFonts w:cstheme="minorHAnsi"/>
          <w:szCs w:val="24"/>
        </w:rPr>
        <w:t>.</w:t>
      </w:r>
    </w:p>
    <w:p w:rsidR="002F08C5" w:rsidRPr="00690E8B" w:rsidRDefault="002F08C5" w:rsidP="002F08C5">
      <w:r w:rsidRPr="00690E8B">
        <w:t xml:space="preserve">The aim of changing the current R-ACFI assessment and review system </w:t>
      </w:r>
      <w:r>
        <w:t xml:space="preserve">to an </w:t>
      </w:r>
      <w:r w:rsidR="009C7EAA">
        <w:t>e</w:t>
      </w:r>
      <w:r>
        <w:t xml:space="preserve">xternal </w:t>
      </w:r>
      <w:r w:rsidR="009C7EAA">
        <w:t>a</w:t>
      </w:r>
      <w:r>
        <w:t xml:space="preserve">ssessment approach </w:t>
      </w:r>
      <w:r w:rsidRPr="00690E8B">
        <w:t>is to:</w:t>
      </w:r>
    </w:p>
    <w:p w:rsidR="002F08C5" w:rsidRPr="008D4A2F" w:rsidRDefault="002F08C5" w:rsidP="00C34261">
      <w:pPr>
        <w:pStyle w:val="Heading3"/>
      </w:pPr>
      <w:r w:rsidRPr="008D4A2F">
        <w:t>Improve the equity and fairness of the system</w:t>
      </w:r>
    </w:p>
    <w:p w:rsidR="002F08C5" w:rsidRDefault="002F08C5" w:rsidP="002F08C5">
      <w:r>
        <w:t>The basic requirement of any aged care funding system is that residents with similar levels of care needs attract the same amount of Government funding irrespective of the aged care service they are living in. At present some providers are receiving significantly more funding and others less funding for the same resident’s due to variations in claiming practices.</w:t>
      </w:r>
      <w:r w:rsidR="007A576E">
        <w:t xml:space="preserve"> </w:t>
      </w:r>
      <w:r>
        <w:t>While making the funding tool less susceptible to gaming will help, ultimately the ability to provide a more standardised basis for the decision about the residents funding assessment will provide the most equitable outcomes.</w:t>
      </w:r>
      <w:r w:rsidR="007A576E">
        <w:t xml:space="preserve"> </w:t>
      </w:r>
      <w:r>
        <w:t>It is important that any increases in Government expenditure on aged care residents are related to changes in resident acuity and numbers of residents rather than anomalies in claiming behaviour.</w:t>
      </w:r>
    </w:p>
    <w:p w:rsidR="002F08C5" w:rsidRPr="008D4A2F" w:rsidRDefault="002F08C5" w:rsidP="00C34261">
      <w:pPr>
        <w:pStyle w:val="Heading3"/>
      </w:pPr>
      <w:r w:rsidRPr="008D4A2F">
        <w:t>Improve the surety, stability and predictability of provider income and government expenditure</w:t>
      </w:r>
    </w:p>
    <w:p w:rsidR="00980F62" w:rsidRDefault="002F08C5" w:rsidP="002F08C5">
      <w:r>
        <w:t xml:space="preserve">Most of residential aged care in Australia is undertaken by private businesses. It is important that they have funding surety, stability and predictability in their income stream so they are able to run effective and efficient businesses. It is also important that </w:t>
      </w:r>
      <w:r w:rsidR="009C7EAA">
        <w:t>G</w:t>
      </w:r>
      <w:r>
        <w:t>overnment can prepare budgets that allow for appropriate funding growth for residential care subsidies and be confident that increases in the budget are overwhelmingly due to an increase in the care needs of residents as the population ages.</w:t>
      </w:r>
    </w:p>
    <w:p w:rsidR="00980F62" w:rsidRDefault="002F08C5" w:rsidP="002F08C5">
      <w:r>
        <w:t>The External Assessment Options 2 and 3 are almost certain to bring about a lasting change to the pattern of unpredictable growth in residential care subsidies.</w:t>
      </w:r>
      <w:r w:rsidR="007A576E">
        <w:t xml:space="preserve"> </w:t>
      </w:r>
      <w:r>
        <w:t xml:space="preserve">The </w:t>
      </w:r>
      <w:r w:rsidRPr="007F4BB0">
        <w:t xml:space="preserve">ACAT </w:t>
      </w:r>
      <w:r>
        <w:t>option</w:t>
      </w:r>
      <w:r w:rsidRPr="007F4BB0">
        <w:t xml:space="preserve"> is likely to bring the most benefits overall but </w:t>
      </w:r>
      <w:r>
        <w:t xml:space="preserve">it </w:t>
      </w:r>
      <w:r w:rsidRPr="007F4BB0">
        <w:t>will also be the most disruptive change in the short term</w:t>
      </w:r>
      <w:r>
        <w:t xml:space="preserve"> compared to Option 3, which is also viable and perhaps easier to introduce in the shorter term</w:t>
      </w:r>
      <w:r w:rsidRPr="007F4BB0">
        <w:t>.</w:t>
      </w:r>
      <w:r w:rsidR="007A576E">
        <w:t xml:space="preserve"> </w:t>
      </w:r>
      <w:r>
        <w:t xml:space="preserve">While a structural change will be required to introduce a national program based on a modified ACAT </w:t>
      </w:r>
      <w:r w:rsidR="009C7EAA">
        <w:t>e</w:t>
      </w:r>
      <w:r>
        <w:t xml:space="preserve">xternal </w:t>
      </w:r>
      <w:r w:rsidR="009C7EAA">
        <w:t>a</w:t>
      </w:r>
      <w:r>
        <w:t xml:space="preserve">ssessment model, it is viewed as having benefits beyond better control of care subsidies as it will also lead to a fairer and more equitable way to fund the care </w:t>
      </w:r>
      <w:r>
        <w:lastRenderedPageBreak/>
        <w:t>needs of people needing aged care services whether it is to be in the community or residential care.</w:t>
      </w:r>
    </w:p>
    <w:p w:rsidR="002F08C5" w:rsidRPr="00106F13" w:rsidRDefault="002F08C5" w:rsidP="00525474">
      <w:r w:rsidRPr="00106F13">
        <w:t xml:space="preserve">An </w:t>
      </w:r>
      <w:r>
        <w:t xml:space="preserve">ACAT based </w:t>
      </w:r>
      <w:r w:rsidR="009C7EAA">
        <w:t>e</w:t>
      </w:r>
      <w:r w:rsidRPr="00106F13">
        <w:t xml:space="preserve">xternal </w:t>
      </w:r>
      <w:r w:rsidR="009C7EAA">
        <w:t>a</w:t>
      </w:r>
      <w:r w:rsidRPr="00106F13">
        <w:t xml:space="preserve">ssessment model </w:t>
      </w:r>
      <w:r>
        <w:t xml:space="preserve">also </w:t>
      </w:r>
      <w:r w:rsidRPr="00106F13">
        <w:t xml:space="preserve">gives the opportunity to consolidate assessment and funding in high level community care programs and residential care. </w:t>
      </w:r>
      <w:r>
        <w:t>D</w:t>
      </w:r>
      <w:r w:rsidRPr="00106F13">
        <w:t>irect comparison of R-ACFI payment and Community Care Package or CHSP funding will be possible as a person living in the community will also have an R-ACFI funding rating. This will give the basis for the single instrument and funding model in community and residential care. The External Assessor models will also enable accurate monitoring of the changes in care needs over time in the community and residential care populations and give information to drive research to inform government planning.</w:t>
      </w:r>
      <w:r w:rsidR="007A576E">
        <w:t xml:space="preserve"> </w:t>
      </w:r>
      <w:r w:rsidRPr="00106F13">
        <w:t>The Government can more accurately analyse disability trends and compare residential and community care client profiles to measure unmet demand for aged care which is a statutory government obligation.</w:t>
      </w:r>
    </w:p>
    <w:p w:rsidR="002F08C5" w:rsidRDefault="002F08C5" w:rsidP="00525474">
      <w:r>
        <w:t>Investment in the changes now would potentially result in a more streamlined system for all of Australia’s aged population that can grow with the ageing population.</w:t>
      </w:r>
    </w:p>
    <w:p w:rsidR="002F08C5" w:rsidRDefault="002F08C5" w:rsidP="00525474">
      <w:r>
        <w:t>Investment in IT and training now will ensure the system is robust and resilient into the future with costs contained to those relating to resident/care recipient acuity rather than business processes.</w:t>
      </w:r>
    </w:p>
    <w:p w:rsidR="002F08C5" w:rsidRPr="008D4A2F" w:rsidRDefault="002F08C5" w:rsidP="00C34261">
      <w:pPr>
        <w:pStyle w:val="Heading3"/>
      </w:pPr>
      <w:r>
        <w:t>Options Comparisons – Costs and Benefits</w:t>
      </w:r>
    </w:p>
    <w:p w:rsidR="00980F62" w:rsidRDefault="002F08C5" w:rsidP="00525474">
      <w:pPr>
        <w:rPr>
          <w:lang w:val="en-US"/>
        </w:rPr>
      </w:pPr>
      <w:r>
        <w:rPr>
          <w:lang w:val="en-US"/>
        </w:rPr>
        <w:t>A modelling exercise was undertaken to provide a</w:t>
      </w:r>
      <w:r w:rsidR="00C86B67">
        <w:rPr>
          <w:lang w:val="en-US"/>
        </w:rPr>
        <w:t>n</w:t>
      </w:r>
      <w:r>
        <w:rPr>
          <w:lang w:val="en-US"/>
        </w:rPr>
        <w:t xml:space="preserve"> indication of the likely costs and benefits of the three proposed options. </w:t>
      </w:r>
      <w:r w:rsidRPr="00EE1901">
        <w:rPr>
          <w:lang w:val="en-US"/>
        </w:rPr>
        <w:t xml:space="preserve">All options show a significant reduction in </w:t>
      </w:r>
      <w:r>
        <w:rPr>
          <w:lang w:val="en-US"/>
        </w:rPr>
        <w:t xml:space="preserve">care subsidy </w:t>
      </w:r>
      <w:r w:rsidRPr="00EE1901">
        <w:rPr>
          <w:lang w:val="en-US"/>
        </w:rPr>
        <w:t>growth after costs compared to the current system.</w:t>
      </w:r>
      <w:r w:rsidR="007A576E">
        <w:rPr>
          <w:lang w:val="en-US"/>
        </w:rPr>
        <w:t xml:space="preserve"> </w:t>
      </w:r>
      <w:r w:rsidRPr="00EE1901">
        <w:rPr>
          <w:lang w:val="en-US"/>
        </w:rPr>
        <w:t>The differences are significant from year 1 (2018-19) and the cumulative impact over the projected period is significant</w:t>
      </w:r>
      <w:r>
        <w:rPr>
          <w:lang w:val="en-US"/>
        </w:rPr>
        <w:t xml:space="preserve"> for all options</w:t>
      </w:r>
      <w:r w:rsidRPr="00EE1901">
        <w:rPr>
          <w:lang w:val="en-US"/>
        </w:rPr>
        <w:t>.</w:t>
      </w:r>
      <w:r w:rsidR="007A576E">
        <w:rPr>
          <w:lang w:val="en-US"/>
        </w:rPr>
        <w:t xml:space="preserve"> </w:t>
      </w:r>
      <w:r w:rsidRPr="00EE1901">
        <w:rPr>
          <w:lang w:val="en-US"/>
        </w:rPr>
        <w:t>While the specific amounts estimated in this exercise are indicative</w:t>
      </w:r>
      <w:r>
        <w:rPr>
          <w:lang w:val="en-US"/>
        </w:rPr>
        <w:t xml:space="preserve"> and open to debate regarding the specific amounts</w:t>
      </w:r>
      <w:r w:rsidRPr="00EE1901">
        <w:rPr>
          <w:lang w:val="en-US"/>
        </w:rPr>
        <w:t xml:space="preserve">, </w:t>
      </w:r>
      <w:r>
        <w:rPr>
          <w:lang w:val="en-US"/>
        </w:rPr>
        <w:t xml:space="preserve">the </w:t>
      </w:r>
      <w:r w:rsidRPr="00EE1901">
        <w:rPr>
          <w:lang w:val="en-US"/>
        </w:rPr>
        <w:t xml:space="preserve">reductions in </w:t>
      </w:r>
      <w:r>
        <w:rPr>
          <w:lang w:val="en-US"/>
        </w:rPr>
        <w:t xml:space="preserve">the care subsidy </w:t>
      </w:r>
      <w:r w:rsidRPr="00EE1901">
        <w:rPr>
          <w:lang w:val="en-US"/>
        </w:rPr>
        <w:t xml:space="preserve">growth </w:t>
      </w:r>
      <w:r>
        <w:rPr>
          <w:lang w:val="en-US"/>
        </w:rPr>
        <w:t xml:space="preserve">will be significant, particularly for the </w:t>
      </w:r>
      <w:r w:rsidR="009C7EAA">
        <w:rPr>
          <w:lang w:val="en-US"/>
        </w:rPr>
        <w:t>e</w:t>
      </w:r>
      <w:r>
        <w:rPr>
          <w:lang w:val="en-US"/>
        </w:rPr>
        <w:t xml:space="preserve">xternal </w:t>
      </w:r>
      <w:r w:rsidR="009C7EAA">
        <w:rPr>
          <w:lang w:val="en-US"/>
        </w:rPr>
        <w:t>a</w:t>
      </w:r>
      <w:r>
        <w:rPr>
          <w:lang w:val="en-US"/>
        </w:rPr>
        <w:t>ssessor Options 2 and 3.</w:t>
      </w:r>
      <w:r w:rsidR="007A576E">
        <w:rPr>
          <w:lang w:val="en-US"/>
        </w:rPr>
        <w:t xml:space="preserve"> </w:t>
      </w:r>
      <w:r>
        <w:rPr>
          <w:lang w:val="en-US"/>
        </w:rPr>
        <w:t xml:space="preserve">The estimated reduction in growth over the 4-year period from July 2018 to June 2022 </w:t>
      </w:r>
      <w:r w:rsidRPr="00EE1901">
        <w:rPr>
          <w:lang w:val="en-US"/>
        </w:rPr>
        <w:t xml:space="preserve">compared to the current system </w:t>
      </w:r>
      <w:r>
        <w:rPr>
          <w:lang w:val="en-US"/>
        </w:rPr>
        <w:t>is</w:t>
      </w:r>
      <w:r w:rsidRPr="00EE1901">
        <w:rPr>
          <w:lang w:val="en-US"/>
        </w:rPr>
        <w:t xml:space="preserve"> $3,</w:t>
      </w:r>
      <w:r w:rsidR="009A1A91">
        <w:rPr>
          <w:lang w:val="en-US"/>
        </w:rPr>
        <w:t>328</w:t>
      </w:r>
      <w:r w:rsidR="00C93392">
        <w:rPr>
          <w:lang w:val="en-US"/>
        </w:rPr>
        <w:t xml:space="preserve"> million</w:t>
      </w:r>
      <w:r w:rsidRPr="00EE1901">
        <w:rPr>
          <w:lang w:val="en-US"/>
        </w:rPr>
        <w:t xml:space="preserve"> for Option 1 (modified current), $5,</w:t>
      </w:r>
      <w:r w:rsidR="009A1A91">
        <w:rPr>
          <w:lang w:val="en-US"/>
        </w:rPr>
        <w:t>851</w:t>
      </w:r>
      <w:r w:rsidR="00C93392">
        <w:rPr>
          <w:lang w:val="en-US"/>
        </w:rPr>
        <w:t xml:space="preserve"> million</w:t>
      </w:r>
      <w:r w:rsidRPr="00EE1901">
        <w:rPr>
          <w:lang w:val="en-US"/>
        </w:rPr>
        <w:t xml:space="preserve"> for the ACAT Option 2 and $5,</w:t>
      </w:r>
      <w:r w:rsidR="009A1A91">
        <w:rPr>
          <w:lang w:val="en-US"/>
        </w:rPr>
        <w:t>476</w:t>
      </w:r>
      <w:r w:rsidR="00C93392">
        <w:rPr>
          <w:lang w:val="en-US"/>
        </w:rPr>
        <w:t xml:space="preserve"> million</w:t>
      </w:r>
      <w:r w:rsidRPr="00EE1901">
        <w:rPr>
          <w:lang w:val="en-US"/>
        </w:rPr>
        <w:t xml:space="preserve"> for the Specialist Assessment Agency Option 3.</w:t>
      </w:r>
    </w:p>
    <w:p w:rsidR="00291A6C" w:rsidRDefault="00291A6C" w:rsidP="00291A6C">
      <w:pPr>
        <w:pStyle w:val="Caption"/>
        <w:keepNext/>
      </w:pPr>
      <w:bookmarkStart w:id="43" w:name="_Toc495415452"/>
      <w:r>
        <w:t xml:space="preserve">Table </w:t>
      </w:r>
      <w:r w:rsidR="009A3F5A">
        <w:fldChar w:fldCharType="begin"/>
      </w:r>
      <w:r w:rsidR="009A3F5A">
        <w:instrText xml:space="preserve"> SEQ Table \* ARABIC </w:instrText>
      </w:r>
      <w:r w:rsidR="009A3F5A">
        <w:fldChar w:fldCharType="separate"/>
      </w:r>
      <w:r w:rsidR="00856E49">
        <w:rPr>
          <w:noProof/>
        </w:rPr>
        <w:t>4</w:t>
      </w:r>
      <w:r w:rsidR="009A3F5A">
        <w:rPr>
          <w:noProof/>
        </w:rPr>
        <w:fldChar w:fldCharType="end"/>
      </w:r>
      <w:r>
        <w:t xml:space="preserve">: </w:t>
      </w:r>
      <w:r w:rsidRPr="00291A6C">
        <w:t>Reductions in Growth Relative to the Current Funding System</w:t>
      </w:r>
      <w:bookmarkEnd w:id="43"/>
    </w:p>
    <w:tbl>
      <w:tblPr>
        <w:tblStyle w:val="ListTable3-Accent515"/>
        <w:tblW w:w="7797"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4 is a list of expected reductions in of care subsidy growth for options one, two and three from 2019 to 2022, as summarised in the text prior to this table (note amount in millions). This table is to be read left to right, top to bottom."/>
      </w:tblPr>
      <w:tblGrid>
        <w:gridCol w:w="1620"/>
        <w:gridCol w:w="2916"/>
        <w:gridCol w:w="1701"/>
        <w:gridCol w:w="1560"/>
      </w:tblGrid>
      <w:tr w:rsidR="002F08C5" w:rsidRPr="0055648B" w:rsidTr="004022C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620" w:type="dxa"/>
            <w:tcBorders>
              <w:bottom w:val="none" w:sz="0" w:space="0" w:color="auto"/>
              <w:right w:val="none" w:sz="0" w:space="0" w:color="auto"/>
            </w:tcBorders>
            <w:noWrap/>
            <w:vAlign w:val="center"/>
            <w:hideMark/>
          </w:tcPr>
          <w:p w:rsidR="002F08C5" w:rsidRPr="0055648B" w:rsidRDefault="002F08C5" w:rsidP="004022C5">
            <w:pPr>
              <w:spacing w:after="0"/>
              <w:jc w:val="left"/>
              <w:rPr>
                <w:rFonts w:ascii="Calibri" w:eastAsia="Times New Roman" w:hAnsi="Calibri" w:cs="Times New Roman"/>
                <w:sz w:val="22"/>
                <w:lang w:val="en-US"/>
              </w:rPr>
            </w:pPr>
            <w:r w:rsidRPr="0055648B">
              <w:rPr>
                <w:rFonts w:ascii="Calibri" w:eastAsia="Times New Roman" w:hAnsi="Calibri" w:cs="Times New Roman"/>
                <w:sz w:val="22"/>
                <w:lang w:val="en-US"/>
              </w:rPr>
              <w:t>Year to</w:t>
            </w:r>
            <w:r w:rsidRPr="0055648B">
              <w:rPr>
                <w:rFonts w:ascii="Calibri" w:eastAsia="Times New Roman" w:hAnsi="Calibri" w:cs="Times New Roman"/>
                <w:b w:val="0"/>
                <w:bCs w:val="0"/>
                <w:sz w:val="22"/>
                <w:lang w:val="en-US"/>
              </w:rPr>
              <w:t xml:space="preserve"> </w:t>
            </w:r>
            <w:r w:rsidRPr="0055648B">
              <w:rPr>
                <w:rFonts w:ascii="Calibri" w:eastAsia="Times New Roman" w:hAnsi="Calibri" w:cs="Times New Roman"/>
                <w:sz w:val="22"/>
                <w:lang w:val="en-US"/>
              </w:rPr>
              <w:t>30 June</w:t>
            </w:r>
          </w:p>
        </w:tc>
        <w:tc>
          <w:tcPr>
            <w:cnfStyle w:val="000010000000" w:firstRow="0" w:lastRow="0" w:firstColumn="0" w:lastColumn="0" w:oddVBand="1" w:evenVBand="0" w:oddHBand="0" w:evenHBand="0" w:firstRowFirstColumn="0" w:firstRowLastColumn="0" w:lastRowFirstColumn="0" w:lastRowLastColumn="0"/>
            <w:tcW w:w="2916" w:type="dxa"/>
            <w:tcBorders>
              <w:left w:val="none" w:sz="0" w:space="0" w:color="auto"/>
              <w:right w:val="none" w:sz="0" w:space="0" w:color="auto"/>
            </w:tcBorders>
            <w:noWrap/>
            <w:vAlign w:val="center"/>
            <w:hideMark/>
          </w:tcPr>
          <w:p w:rsidR="002F08C5" w:rsidRPr="0055648B" w:rsidRDefault="002F08C5" w:rsidP="004022C5">
            <w:pPr>
              <w:spacing w:after="0"/>
              <w:jc w:val="center"/>
              <w:rPr>
                <w:rFonts w:ascii="Calibri" w:eastAsia="Times New Roman" w:hAnsi="Calibri" w:cs="Times New Roman"/>
                <w:sz w:val="22"/>
                <w:lang w:val="en-US"/>
              </w:rPr>
            </w:pPr>
            <w:r w:rsidRPr="0055648B">
              <w:rPr>
                <w:rFonts w:ascii="Calibri" w:eastAsia="Times New Roman" w:hAnsi="Calibri" w:cs="Times New Roman"/>
                <w:sz w:val="22"/>
                <w:lang w:val="en-US"/>
              </w:rPr>
              <w:t>Option 1</w:t>
            </w:r>
            <w:r w:rsidR="00C34261">
              <w:rPr>
                <w:rFonts w:ascii="Calibri" w:eastAsia="Times New Roman" w:hAnsi="Calibri" w:cs="Times New Roman"/>
                <w:sz w:val="22"/>
                <w:lang w:val="en-US"/>
              </w:rPr>
              <w:br/>
            </w:r>
            <w:r w:rsidRPr="0055648B">
              <w:rPr>
                <w:rFonts w:ascii="Calibri" w:eastAsia="Times New Roman" w:hAnsi="Calibri" w:cs="Times New Roman"/>
                <w:sz w:val="22"/>
                <w:lang w:val="en-US"/>
              </w:rPr>
              <w:t>ACAT</w:t>
            </w:r>
            <w:r w:rsidR="00C34261">
              <w:rPr>
                <w:rFonts w:ascii="Calibri" w:eastAsia="Times New Roman" w:hAnsi="Calibri" w:cs="Times New Roman"/>
                <w:sz w:val="22"/>
                <w:lang w:val="en-US"/>
              </w:rPr>
              <w:t xml:space="preserve"> </w:t>
            </w:r>
            <w:r w:rsidRPr="0055648B">
              <w:rPr>
                <w:rFonts w:ascii="Calibri" w:eastAsia="Times New Roman" w:hAnsi="Calibri" w:cs="Times New Roman"/>
                <w:sz w:val="22"/>
                <w:lang w:val="en-US"/>
              </w:rPr>
              <w:t>/</w:t>
            </w:r>
            <w:r w:rsidR="00C34261">
              <w:rPr>
                <w:rFonts w:ascii="Calibri" w:eastAsia="Times New Roman" w:hAnsi="Calibri" w:cs="Times New Roman"/>
                <w:sz w:val="22"/>
                <w:lang w:val="en-US"/>
              </w:rPr>
              <w:t xml:space="preserve"> </w:t>
            </w:r>
            <w:r w:rsidRPr="0055648B">
              <w:rPr>
                <w:rFonts w:ascii="Calibri" w:eastAsia="Times New Roman" w:hAnsi="Calibri" w:cs="Times New Roman"/>
                <w:sz w:val="22"/>
                <w:lang w:val="en-US"/>
              </w:rPr>
              <w:t>R</w:t>
            </w:r>
            <w:r>
              <w:rPr>
                <w:rFonts w:ascii="Calibri" w:eastAsia="Times New Roman" w:hAnsi="Calibri" w:cs="Times New Roman"/>
                <w:sz w:val="22"/>
                <w:lang w:val="en-US"/>
              </w:rPr>
              <w:t xml:space="preserve">eview </w:t>
            </w:r>
            <w:r w:rsidRPr="0055648B">
              <w:rPr>
                <w:rFonts w:ascii="Calibri" w:eastAsia="Times New Roman" w:hAnsi="Calibri" w:cs="Times New Roman"/>
                <w:sz w:val="22"/>
                <w:lang w:val="en-US"/>
              </w:rPr>
              <w:t>O</w:t>
            </w:r>
            <w:r>
              <w:rPr>
                <w:rFonts w:ascii="Calibri" w:eastAsia="Times New Roman" w:hAnsi="Calibri" w:cs="Times New Roman"/>
                <w:sz w:val="22"/>
                <w:lang w:val="en-US"/>
              </w:rPr>
              <w:t>fficer</w:t>
            </w:r>
            <w:r w:rsidRPr="0055648B">
              <w:rPr>
                <w:rFonts w:ascii="Calibri" w:eastAsia="Times New Roman" w:hAnsi="Calibri" w:cs="Times New Roman"/>
                <w:b w:val="0"/>
                <w:bCs w:val="0"/>
                <w:sz w:val="22"/>
                <w:lang w:val="en-US"/>
              </w:rPr>
              <w:t xml:space="preserve"> </w:t>
            </w:r>
            <w:r w:rsidRPr="0055648B">
              <w:rPr>
                <w:rFonts w:ascii="Calibri" w:eastAsia="Times New Roman" w:hAnsi="Calibri" w:cs="Times New Roman"/>
                <w:sz w:val="22"/>
                <w:lang w:val="en-US"/>
              </w:rPr>
              <w:t>$</w:t>
            </w:r>
            <w:r w:rsidR="00EB49E2">
              <w:rPr>
                <w:rFonts w:ascii="Calibri" w:eastAsia="Times New Roman" w:hAnsi="Calibri" w:cs="Times New Roman"/>
                <w:sz w:val="22"/>
                <w:lang w:val="en-US"/>
              </w:rPr>
              <w:t>M</w:t>
            </w:r>
          </w:p>
        </w:tc>
        <w:tc>
          <w:tcPr>
            <w:tcW w:w="1701" w:type="dxa"/>
            <w:noWrap/>
            <w:vAlign w:val="center"/>
            <w:hideMark/>
          </w:tcPr>
          <w:p w:rsidR="002F08C5" w:rsidRPr="0055648B" w:rsidRDefault="002F08C5" w:rsidP="004022C5">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US"/>
              </w:rPr>
            </w:pPr>
            <w:r w:rsidRPr="0055648B">
              <w:rPr>
                <w:rFonts w:ascii="Calibri" w:eastAsia="Times New Roman" w:hAnsi="Calibri" w:cs="Times New Roman"/>
                <w:sz w:val="22"/>
                <w:lang w:val="en-US"/>
              </w:rPr>
              <w:t>Option 2</w:t>
            </w:r>
            <w:r w:rsidR="00C34261">
              <w:rPr>
                <w:rFonts w:ascii="Calibri" w:eastAsia="Times New Roman" w:hAnsi="Calibri" w:cs="Times New Roman"/>
                <w:sz w:val="22"/>
                <w:lang w:val="en-US"/>
              </w:rPr>
              <w:br/>
            </w:r>
            <w:r w:rsidRPr="0055648B">
              <w:rPr>
                <w:rFonts w:ascii="Calibri" w:eastAsia="Times New Roman" w:hAnsi="Calibri" w:cs="Times New Roman"/>
                <w:sz w:val="22"/>
                <w:lang w:val="en-US"/>
              </w:rPr>
              <w:t>ACAT</w:t>
            </w:r>
            <w:r w:rsidRPr="0055648B">
              <w:rPr>
                <w:rFonts w:ascii="Calibri" w:eastAsia="Times New Roman" w:hAnsi="Calibri" w:cs="Times New Roman"/>
                <w:b w:val="0"/>
                <w:bCs w:val="0"/>
                <w:sz w:val="22"/>
                <w:lang w:val="en-US"/>
              </w:rPr>
              <w:t xml:space="preserve"> </w:t>
            </w:r>
            <w:r w:rsidRPr="0055648B">
              <w:rPr>
                <w:rFonts w:ascii="Calibri" w:eastAsia="Times New Roman" w:hAnsi="Calibri" w:cs="Times New Roman"/>
                <w:sz w:val="22"/>
                <w:lang w:val="en-US"/>
              </w:rPr>
              <w:t>$</w:t>
            </w:r>
            <w:r w:rsidR="00EB49E2">
              <w:rPr>
                <w:rFonts w:ascii="Calibri" w:eastAsia="Times New Roman" w:hAnsi="Calibri" w:cs="Times New Roman"/>
                <w:sz w:val="22"/>
                <w:lang w:val="en-US"/>
              </w:rPr>
              <w:t>M</w:t>
            </w:r>
          </w:p>
        </w:tc>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noWrap/>
            <w:vAlign w:val="center"/>
            <w:hideMark/>
          </w:tcPr>
          <w:p w:rsidR="002F08C5" w:rsidRPr="0055648B" w:rsidRDefault="002F08C5" w:rsidP="004022C5">
            <w:pPr>
              <w:spacing w:after="0"/>
              <w:jc w:val="center"/>
              <w:rPr>
                <w:rFonts w:ascii="Calibri" w:eastAsia="Times New Roman" w:hAnsi="Calibri" w:cs="Times New Roman"/>
                <w:sz w:val="22"/>
                <w:lang w:val="en-US"/>
              </w:rPr>
            </w:pPr>
            <w:r w:rsidRPr="0055648B">
              <w:rPr>
                <w:rFonts w:ascii="Calibri" w:eastAsia="Times New Roman" w:hAnsi="Calibri" w:cs="Times New Roman"/>
                <w:sz w:val="22"/>
                <w:lang w:val="en-US"/>
              </w:rPr>
              <w:t>Option 3</w:t>
            </w:r>
            <w:r w:rsidR="00C34261">
              <w:rPr>
                <w:rFonts w:ascii="Calibri" w:eastAsia="Times New Roman" w:hAnsi="Calibri" w:cs="Times New Roman"/>
                <w:sz w:val="22"/>
                <w:lang w:val="en-US"/>
              </w:rPr>
              <w:br/>
            </w:r>
            <w:r w:rsidRPr="0055648B">
              <w:rPr>
                <w:rFonts w:ascii="Calibri" w:eastAsia="Times New Roman" w:hAnsi="Calibri" w:cs="Times New Roman"/>
                <w:sz w:val="22"/>
                <w:lang w:val="en-US"/>
              </w:rPr>
              <w:t>SAA</w:t>
            </w:r>
            <w:r w:rsidRPr="0055648B">
              <w:rPr>
                <w:rFonts w:ascii="Calibri" w:eastAsia="Times New Roman" w:hAnsi="Calibri" w:cs="Times New Roman"/>
                <w:b w:val="0"/>
                <w:bCs w:val="0"/>
                <w:sz w:val="22"/>
                <w:lang w:val="en-US"/>
              </w:rPr>
              <w:t xml:space="preserve"> </w:t>
            </w:r>
            <w:r w:rsidRPr="0055648B">
              <w:rPr>
                <w:rFonts w:ascii="Calibri" w:eastAsia="Times New Roman" w:hAnsi="Calibri" w:cs="Times New Roman"/>
                <w:sz w:val="22"/>
                <w:lang w:val="en-US"/>
              </w:rPr>
              <w:t>$</w:t>
            </w:r>
            <w:r w:rsidR="00EB49E2">
              <w:rPr>
                <w:rFonts w:ascii="Calibri" w:eastAsia="Times New Roman" w:hAnsi="Calibri" w:cs="Times New Roman"/>
                <w:sz w:val="22"/>
                <w:lang w:val="en-US"/>
              </w:rPr>
              <w:t>M</w:t>
            </w:r>
          </w:p>
        </w:tc>
      </w:tr>
      <w:tr w:rsidR="009A1A91" w:rsidRPr="0055648B" w:rsidTr="00402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Borders>
              <w:top w:val="none" w:sz="0" w:space="0" w:color="auto"/>
              <w:bottom w:val="none" w:sz="0" w:space="0" w:color="auto"/>
              <w:right w:val="none" w:sz="0" w:space="0" w:color="auto"/>
            </w:tcBorders>
            <w:noWrap/>
            <w:hideMark/>
          </w:tcPr>
          <w:p w:rsidR="009A1A91" w:rsidRPr="0055648B" w:rsidRDefault="009A1A91" w:rsidP="009A1A91">
            <w:pPr>
              <w:spacing w:after="0"/>
              <w:rPr>
                <w:rFonts w:ascii="Calibri" w:eastAsia="Times New Roman" w:hAnsi="Calibri" w:cs="Times New Roman"/>
                <w:color w:val="000000"/>
                <w:sz w:val="22"/>
                <w:lang w:val="en-US"/>
              </w:rPr>
            </w:pPr>
            <w:r w:rsidRPr="0055648B">
              <w:rPr>
                <w:rFonts w:ascii="Calibri" w:eastAsia="Times New Roman" w:hAnsi="Calibri" w:cs="Times New Roman"/>
                <w:color w:val="000000"/>
                <w:sz w:val="22"/>
                <w:lang w:val="en-US"/>
              </w:rPr>
              <w:t>2019</w:t>
            </w:r>
          </w:p>
        </w:tc>
        <w:tc>
          <w:tcPr>
            <w:cnfStyle w:val="000010000000" w:firstRow="0" w:lastRow="0" w:firstColumn="0" w:lastColumn="0" w:oddVBand="1" w:evenVBand="0" w:oddHBand="0" w:evenHBand="0" w:firstRowFirstColumn="0" w:firstRowLastColumn="0" w:lastRowFirstColumn="0" w:lastRowLastColumn="0"/>
            <w:tcW w:w="2916" w:type="dxa"/>
            <w:tcBorders>
              <w:top w:val="none" w:sz="0" w:space="0" w:color="auto"/>
              <w:left w:val="none" w:sz="0" w:space="0" w:color="auto"/>
              <w:bottom w:val="none" w:sz="0" w:space="0" w:color="auto"/>
              <w:right w:val="none" w:sz="0" w:space="0" w:color="auto"/>
            </w:tcBorders>
            <w:noWrap/>
            <w:vAlign w:val="bottom"/>
            <w:hideMark/>
          </w:tcPr>
          <w:p w:rsidR="009A1A91" w:rsidRPr="0055648B" w:rsidRDefault="009A1A91" w:rsidP="00C34261">
            <w:pPr>
              <w:spacing w:after="0"/>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293</w:t>
            </w:r>
          </w:p>
        </w:tc>
        <w:tc>
          <w:tcPr>
            <w:tcW w:w="1701" w:type="dxa"/>
            <w:tcBorders>
              <w:top w:val="none" w:sz="0" w:space="0" w:color="auto"/>
              <w:bottom w:val="none" w:sz="0" w:space="0" w:color="auto"/>
            </w:tcBorders>
            <w:noWrap/>
            <w:vAlign w:val="bottom"/>
            <w:hideMark/>
          </w:tcPr>
          <w:p w:rsidR="009A1A91" w:rsidRPr="0055648B" w:rsidRDefault="009A1A91" w:rsidP="00C3426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546</w:t>
            </w:r>
          </w:p>
        </w:tc>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noWrap/>
            <w:vAlign w:val="bottom"/>
            <w:hideMark/>
          </w:tcPr>
          <w:p w:rsidR="009A1A91" w:rsidRPr="0055648B" w:rsidRDefault="009A1A91" w:rsidP="00C34261">
            <w:pPr>
              <w:spacing w:after="0"/>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494</w:t>
            </w:r>
          </w:p>
        </w:tc>
      </w:tr>
      <w:tr w:rsidR="009A1A91" w:rsidRPr="0055648B" w:rsidTr="004022C5">
        <w:trPr>
          <w:trHeight w:val="300"/>
        </w:trPr>
        <w:tc>
          <w:tcPr>
            <w:cnfStyle w:val="001000000000" w:firstRow="0" w:lastRow="0" w:firstColumn="1" w:lastColumn="0" w:oddVBand="0" w:evenVBand="0" w:oddHBand="0" w:evenHBand="0" w:firstRowFirstColumn="0" w:firstRowLastColumn="0" w:lastRowFirstColumn="0" w:lastRowLastColumn="0"/>
            <w:tcW w:w="1620" w:type="dxa"/>
            <w:tcBorders>
              <w:right w:val="none" w:sz="0" w:space="0" w:color="auto"/>
            </w:tcBorders>
            <w:noWrap/>
            <w:hideMark/>
          </w:tcPr>
          <w:p w:rsidR="009A1A91" w:rsidRPr="0055648B" w:rsidRDefault="009A1A91" w:rsidP="009A1A91">
            <w:pPr>
              <w:spacing w:after="0"/>
              <w:rPr>
                <w:rFonts w:ascii="Calibri" w:eastAsia="Times New Roman" w:hAnsi="Calibri" w:cs="Times New Roman"/>
                <w:color w:val="000000"/>
                <w:sz w:val="22"/>
                <w:lang w:val="en-US"/>
              </w:rPr>
            </w:pPr>
            <w:r w:rsidRPr="0055648B">
              <w:rPr>
                <w:rFonts w:ascii="Calibri" w:eastAsia="Times New Roman" w:hAnsi="Calibri" w:cs="Times New Roman"/>
                <w:color w:val="000000"/>
                <w:sz w:val="22"/>
                <w:lang w:val="en-US"/>
              </w:rPr>
              <w:t>2020</w:t>
            </w:r>
          </w:p>
        </w:tc>
        <w:tc>
          <w:tcPr>
            <w:cnfStyle w:val="000010000000" w:firstRow="0" w:lastRow="0" w:firstColumn="0" w:lastColumn="0" w:oddVBand="1" w:evenVBand="0" w:oddHBand="0" w:evenHBand="0" w:firstRowFirstColumn="0" w:firstRowLastColumn="0" w:lastRowFirstColumn="0" w:lastRowLastColumn="0"/>
            <w:tcW w:w="2916" w:type="dxa"/>
            <w:tcBorders>
              <w:left w:val="none" w:sz="0" w:space="0" w:color="auto"/>
              <w:right w:val="none" w:sz="0" w:space="0" w:color="auto"/>
            </w:tcBorders>
            <w:noWrap/>
            <w:vAlign w:val="bottom"/>
            <w:hideMark/>
          </w:tcPr>
          <w:p w:rsidR="009A1A91" w:rsidRPr="0055648B" w:rsidRDefault="009A1A91" w:rsidP="00C34261">
            <w:pPr>
              <w:spacing w:after="0"/>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802</w:t>
            </w:r>
          </w:p>
        </w:tc>
        <w:tc>
          <w:tcPr>
            <w:tcW w:w="1701" w:type="dxa"/>
            <w:noWrap/>
            <w:vAlign w:val="bottom"/>
            <w:hideMark/>
          </w:tcPr>
          <w:p w:rsidR="009A1A91" w:rsidRPr="0055648B" w:rsidRDefault="009A1A91" w:rsidP="00C34261">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1410</w:t>
            </w:r>
          </w:p>
        </w:tc>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noWrap/>
            <w:vAlign w:val="bottom"/>
            <w:hideMark/>
          </w:tcPr>
          <w:p w:rsidR="009A1A91" w:rsidRPr="0055648B" w:rsidRDefault="009A1A91" w:rsidP="00C34261">
            <w:pPr>
              <w:spacing w:after="0"/>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1307</w:t>
            </w:r>
          </w:p>
        </w:tc>
      </w:tr>
      <w:tr w:rsidR="009A1A91" w:rsidRPr="0055648B" w:rsidTr="00402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Borders>
              <w:top w:val="none" w:sz="0" w:space="0" w:color="auto"/>
              <w:bottom w:val="none" w:sz="0" w:space="0" w:color="auto"/>
              <w:right w:val="none" w:sz="0" w:space="0" w:color="auto"/>
            </w:tcBorders>
            <w:noWrap/>
            <w:hideMark/>
          </w:tcPr>
          <w:p w:rsidR="009A1A91" w:rsidRPr="0055648B" w:rsidRDefault="009A1A91" w:rsidP="009A1A91">
            <w:pPr>
              <w:spacing w:after="0"/>
              <w:rPr>
                <w:rFonts w:ascii="Calibri" w:eastAsia="Times New Roman" w:hAnsi="Calibri" w:cs="Times New Roman"/>
                <w:color w:val="000000"/>
                <w:sz w:val="22"/>
                <w:lang w:val="en-US"/>
              </w:rPr>
            </w:pPr>
            <w:r w:rsidRPr="0055648B">
              <w:rPr>
                <w:rFonts w:ascii="Calibri" w:eastAsia="Times New Roman" w:hAnsi="Calibri" w:cs="Times New Roman"/>
                <w:color w:val="000000"/>
                <w:sz w:val="22"/>
                <w:lang w:val="en-US"/>
              </w:rPr>
              <w:t>2021</w:t>
            </w:r>
          </w:p>
        </w:tc>
        <w:tc>
          <w:tcPr>
            <w:cnfStyle w:val="000010000000" w:firstRow="0" w:lastRow="0" w:firstColumn="0" w:lastColumn="0" w:oddVBand="1" w:evenVBand="0" w:oddHBand="0" w:evenHBand="0" w:firstRowFirstColumn="0" w:firstRowLastColumn="0" w:lastRowFirstColumn="0" w:lastRowLastColumn="0"/>
            <w:tcW w:w="2916" w:type="dxa"/>
            <w:tcBorders>
              <w:top w:val="none" w:sz="0" w:space="0" w:color="auto"/>
              <w:left w:val="none" w:sz="0" w:space="0" w:color="auto"/>
              <w:bottom w:val="none" w:sz="0" w:space="0" w:color="auto"/>
              <w:right w:val="none" w:sz="0" w:space="0" w:color="auto"/>
            </w:tcBorders>
            <w:noWrap/>
            <w:vAlign w:val="bottom"/>
            <w:hideMark/>
          </w:tcPr>
          <w:p w:rsidR="009A1A91" w:rsidRPr="0055648B" w:rsidRDefault="009A1A91" w:rsidP="00C34261">
            <w:pPr>
              <w:spacing w:after="0"/>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1060</w:t>
            </w:r>
          </w:p>
        </w:tc>
        <w:tc>
          <w:tcPr>
            <w:tcW w:w="1701" w:type="dxa"/>
            <w:tcBorders>
              <w:top w:val="none" w:sz="0" w:space="0" w:color="auto"/>
              <w:bottom w:val="none" w:sz="0" w:space="0" w:color="auto"/>
            </w:tcBorders>
            <w:noWrap/>
            <w:vAlign w:val="bottom"/>
            <w:hideMark/>
          </w:tcPr>
          <w:p w:rsidR="009A1A91" w:rsidRPr="0055648B" w:rsidRDefault="009A1A91" w:rsidP="00C3426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1832</w:t>
            </w:r>
          </w:p>
        </w:tc>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noWrap/>
            <w:vAlign w:val="bottom"/>
            <w:hideMark/>
          </w:tcPr>
          <w:p w:rsidR="009A1A91" w:rsidRPr="0055648B" w:rsidRDefault="009A1A91" w:rsidP="00C34261">
            <w:pPr>
              <w:spacing w:after="0"/>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1725</w:t>
            </w:r>
          </w:p>
        </w:tc>
      </w:tr>
      <w:tr w:rsidR="009A1A91" w:rsidRPr="0055648B" w:rsidTr="004022C5">
        <w:trPr>
          <w:trHeight w:val="300"/>
        </w:trPr>
        <w:tc>
          <w:tcPr>
            <w:cnfStyle w:val="001000000000" w:firstRow="0" w:lastRow="0" w:firstColumn="1" w:lastColumn="0" w:oddVBand="0" w:evenVBand="0" w:oddHBand="0" w:evenHBand="0" w:firstRowFirstColumn="0" w:firstRowLastColumn="0" w:lastRowFirstColumn="0" w:lastRowLastColumn="0"/>
            <w:tcW w:w="1620" w:type="dxa"/>
            <w:tcBorders>
              <w:right w:val="none" w:sz="0" w:space="0" w:color="auto"/>
            </w:tcBorders>
            <w:noWrap/>
            <w:hideMark/>
          </w:tcPr>
          <w:p w:rsidR="009A1A91" w:rsidRPr="0055648B" w:rsidRDefault="009A1A91" w:rsidP="009A1A91">
            <w:pPr>
              <w:spacing w:after="0"/>
              <w:rPr>
                <w:rFonts w:ascii="Calibri" w:eastAsia="Times New Roman" w:hAnsi="Calibri" w:cs="Times New Roman"/>
                <w:color w:val="000000"/>
                <w:sz w:val="22"/>
                <w:lang w:val="en-US"/>
              </w:rPr>
            </w:pPr>
            <w:r w:rsidRPr="0055648B">
              <w:rPr>
                <w:rFonts w:ascii="Calibri" w:eastAsia="Times New Roman" w:hAnsi="Calibri" w:cs="Times New Roman"/>
                <w:color w:val="000000"/>
                <w:sz w:val="22"/>
                <w:lang w:val="en-US"/>
              </w:rPr>
              <w:t>2022</w:t>
            </w:r>
          </w:p>
        </w:tc>
        <w:tc>
          <w:tcPr>
            <w:cnfStyle w:val="000010000000" w:firstRow="0" w:lastRow="0" w:firstColumn="0" w:lastColumn="0" w:oddVBand="1" w:evenVBand="0" w:oddHBand="0" w:evenHBand="0" w:firstRowFirstColumn="0" w:firstRowLastColumn="0" w:lastRowFirstColumn="0" w:lastRowLastColumn="0"/>
            <w:tcW w:w="2916" w:type="dxa"/>
            <w:tcBorders>
              <w:left w:val="none" w:sz="0" w:space="0" w:color="auto"/>
              <w:right w:val="none" w:sz="0" w:space="0" w:color="auto"/>
            </w:tcBorders>
            <w:noWrap/>
            <w:vAlign w:val="bottom"/>
            <w:hideMark/>
          </w:tcPr>
          <w:p w:rsidR="009A1A91" w:rsidRPr="0055648B" w:rsidRDefault="009A1A91" w:rsidP="00C34261">
            <w:pPr>
              <w:spacing w:after="0"/>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1173</w:t>
            </w:r>
          </w:p>
        </w:tc>
        <w:tc>
          <w:tcPr>
            <w:tcW w:w="1701" w:type="dxa"/>
            <w:noWrap/>
            <w:vAlign w:val="bottom"/>
            <w:hideMark/>
          </w:tcPr>
          <w:p w:rsidR="009A1A91" w:rsidRPr="0055648B" w:rsidRDefault="009A1A91" w:rsidP="00C34261">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Pr>
                <w:rFonts w:ascii="Calibri" w:eastAsia="Times New Roman" w:hAnsi="Calibri" w:cs="Times New Roman"/>
                <w:color w:val="000000"/>
                <w:sz w:val="22"/>
                <w:lang w:val="en-US"/>
              </w:rPr>
              <w:t>2063</w:t>
            </w:r>
          </w:p>
        </w:tc>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noWrap/>
            <w:vAlign w:val="bottom"/>
            <w:hideMark/>
          </w:tcPr>
          <w:p w:rsidR="009A1A91" w:rsidRPr="0055648B" w:rsidRDefault="009A1A91" w:rsidP="00C34261">
            <w:pPr>
              <w:spacing w:after="0"/>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1950</w:t>
            </w:r>
          </w:p>
        </w:tc>
      </w:tr>
      <w:tr w:rsidR="009A1A91" w:rsidRPr="0055648B" w:rsidTr="00402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Borders>
              <w:top w:val="none" w:sz="0" w:space="0" w:color="auto"/>
              <w:bottom w:val="none" w:sz="0" w:space="0" w:color="auto"/>
              <w:right w:val="none" w:sz="0" w:space="0" w:color="auto"/>
            </w:tcBorders>
            <w:noWrap/>
            <w:hideMark/>
          </w:tcPr>
          <w:p w:rsidR="009A1A91" w:rsidRPr="0055648B" w:rsidRDefault="009A1A91" w:rsidP="009A1A91">
            <w:pPr>
              <w:spacing w:after="0"/>
              <w:rPr>
                <w:rFonts w:ascii="Calibri" w:eastAsia="Times New Roman" w:hAnsi="Calibri" w:cs="Times New Roman"/>
                <w:color w:val="000000"/>
                <w:sz w:val="22"/>
                <w:lang w:val="en-US"/>
              </w:rPr>
            </w:pPr>
            <w:r w:rsidRPr="0055648B">
              <w:rPr>
                <w:rFonts w:ascii="Calibri" w:eastAsia="Times New Roman" w:hAnsi="Calibri" w:cs="Times New Roman"/>
                <w:color w:val="000000"/>
                <w:sz w:val="22"/>
                <w:lang w:val="en-US"/>
              </w:rPr>
              <w:t>Total</w:t>
            </w:r>
          </w:p>
        </w:tc>
        <w:tc>
          <w:tcPr>
            <w:cnfStyle w:val="000010000000" w:firstRow="0" w:lastRow="0" w:firstColumn="0" w:lastColumn="0" w:oddVBand="1" w:evenVBand="0" w:oddHBand="0" w:evenHBand="0" w:firstRowFirstColumn="0" w:firstRowLastColumn="0" w:lastRowFirstColumn="0" w:lastRowLastColumn="0"/>
            <w:tcW w:w="2916" w:type="dxa"/>
            <w:tcBorders>
              <w:top w:val="none" w:sz="0" w:space="0" w:color="auto"/>
              <w:left w:val="none" w:sz="0" w:space="0" w:color="auto"/>
              <w:bottom w:val="none" w:sz="0" w:space="0" w:color="auto"/>
              <w:right w:val="none" w:sz="0" w:space="0" w:color="auto"/>
            </w:tcBorders>
            <w:noWrap/>
            <w:vAlign w:val="bottom"/>
            <w:hideMark/>
          </w:tcPr>
          <w:p w:rsidR="009A1A91" w:rsidRPr="0055648B" w:rsidRDefault="009A1A91" w:rsidP="00C34261">
            <w:pPr>
              <w:spacing w:after="0"/>
              <w:jc w:val="center"/>
              <w:rPr>
                <w:rFonts w:ascii="Calibri" w:eastAsia="Times New Roman" w:hAnsi="Calibri" w:cs="Times New Roman"/>
                <w:b/>
                <w:bCs/>
                <w:color w:val="000000"/>
                <w:sz w:val="22"/>
                <w:lang w:val="en-US"/>
              </w:rPr>
            </w:pPr>
            <w:r>
              <w:rPr>
                <w:rFonts w:ascii="Calibri" w:eastAsia="Times New Roman" w:hAnsi="Calibri" w:cs="Times New Roman"/>
                <w:b/>
                <w:bCs/>
                <w:color w:val="000000"/>
                <w:sz w:val="22"/>
                <w:lang w:val="en-US"/>
              </w:rPr>
              <w:t>3,328</w:t>
            </w:r>
          </w:p>
        </w:tc>
        <w:tc>
          <w:tcPr>
            <w:tcW w:w="1701" w:type="dxa"/>
            <w:tcBorders>
              <w:top w:val="none" w:sz="0" w:space="0" w:color="auto"/>
              <w:bottom w:val="none" w:sz="0" w:space="0" w:color="auto"/>
            </w:tcBorders>
            <w:noWrap/>
            <w:vAlign w:val="bottom"/>
            <w:hideMark/>
          </w:tcPr>
          <w:p w:rsidR="009A1A91" w:rsidRPr="0055648B" w:rsidRDefault="009A1A91" w:rsidP="00C3426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lang w:val="en-US"/>
              </w:rPr>
            </w:pPr>
            <w:r>
              <w:rPr>
                <w:rFonts w:ascii="Calibri" w:eastAsia="Times New Roman" w:hAnsi="Calibri" w:cs="Times New Roman"/>
                <w:b/>
                <w:bCs/>
                <w:color w:val="000000"/>
                <w:sz w:val="22"/>
                <w:lang w:val="en-US"/>
              </w:rPr>
              <w:t>5,851</w:t>
            </w:r>
          </w:p>
        </w:tc>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noWrap/>
            <w:vAlign w:val="bottom"/>
            <w:hideMark/>
          </w:tcPr>
          <w:p w:rsidR="009A1A91" w:rsidRPr="0055648B" w:rsidRDefault="009A1A91" w:rsidP="00C34261">
            <w:pPr>
              <w:spacing w:after="0"/>
              <w:jc w:val="center"/>
              <w:rPr>
                <w:rFonts w:ascii="Calibri" w:eastAsia="Times New Roman" w:hAnsi="Calibri" w:cs="Times New Roman"/>
                <w:b/>
                <w:bCs/>
                <w:color w:val="000000"/>
                <w:sz w:val="22"/>
                <w:lang w:val="en-US"/>
              </w:rPr>
            </w:pPr>
            <w:r>
              <w:rPr>
                <w:rFonts w:ascii="Calibri" w:eastAsia="Times New Roman" w:hAnsi="Calibri" w:cs="Times New Roman"/>
                <w:b/>
                <w:bCs/>
                <w:color w:val="000000"/>
                <w:sz w:val="22"/>
                <w:lang w:val="en-US"/>
              </w:rPr>
              <w:t>5,476</w:t>
            </w:r>
          </w:p>
        </w:tc>
      </w:tr>
    </w:tbl>
    <w:p w:rsidR="002F08C5" w:rsidRDefault="002F08C5" w:rsidP="00C34261">
      <w:pPr>
        <w:pStyle w:val="Heading3"/>
        <w:rPr>
          <w:lang w:eastAsia="en-AU"/>
        </w:rPr>
      </w:pPr>
      <w:r>
        <w:rPr>
          <w:lang w:eastAsia="en-AU"/>
        </w:rPr>
        <w:lastRenderedPageBreak/>
        <w:t>Conclusion</w:t>
      </w:r>
    </w:p>
    <w:p w:rsidR="005A3AA5" w:rsidRPr="00C42C82" w:rsidRDefault="002F08C5" w:rsidP="00525474">
      <w:pPr>
        <w:spacing w:after="200"/>
      </w:pPr>
      <w:r>
        <w:rPr>
          <w:color w:val="000000" w:themeColor="text1"/>
        </w:rPr>
        <w:t xml:space="preserve">There are several reasons to modify the current aged care funding system to prepare it for </w:t>
      </w:r>
      <w:r>
        <w:rPr>
          <w:lang w:eastAsia="en-AU"/>
        </w:rPr>
        <w:t xml:space="preserve">the future. Ageing of the population will put pressure on the system that will need to be scalable as the industry grows. The changes made to ACFI will support system stability, sustainability and cost containment. Importantly, it also ensures that the system uses a thorough evidence based assessment approach which puts in place, for all residents, the foundations for the provision of appropriate, effective and efficient care planning which will then underpin the best possible care for residents of aged care facilities. </w:t>
      </w:r>
      <w:r w:rsidR="005A3AA5">
        <w:rPr>
          <w:rFonts w:eastAsia="Times New Roman" w:cstheme="minorHAnsi"/>
          <w:lang w:eastAsia="en-AU"/>
        </w:rPr>
        <w:br w:type="page"/>
      </w:r>
    </w:p>
    <w:p w:rsidR="00F57A3F" w:rsidRDefault="00F57A3F" w:rsidP="005A3AA5">
      <w:pPr>
        <w:pStyle w:val="Heading1"/>
        <w:rPr>
          <w:rFonts w:eastAsia="Times New Roman" w:cstheme="minorHAnsi"/>
          <w:lang w:eastAsia="en-AU"/>
        </w:rPr>
        <w:sectPr w:rsidR="00F57A3F" w:rsidSect="002F08C5">
          <w:headerReference w:type="default" r:id="rId16"/>
          <w:footerReference w:type="default" r:id="rId17"/>
          <w:pgSz w:w="11906" w:h="16838"/>
          <w:pgMar w:top="1440" w:right="1440" w:bottom="1440" w:left="1440" w:header="709" w:footer="709" w:gutter="0"/>
          <w:cols w:space="708"/>
          <w:docGrid w:linePitch="360"/>
        </w:sectPr>
      </w:pPr>
    </w:p>
    <w:p w:rsidR="00557FD2" w:rsidRDefault="00557FD2" w:rsidP="00557203">
      <w:pPr>
        <w:pStyle w:val="Heading1-Chapters"/>
      </w:pPr>
      <w:bookmarkStart w:id="44" w:name="_Toc491426020"/>
      <w:bookmarkStart w:id="45" w:name="Ch01"/>
      <w:r>
        <w:lastRenderedPageBreak/>
        <w:t>ACFI Review Report</w:t>
      </w:r>
      <w:r w:rsidRPr="00AE1C10">
        <w:t xml:space="preserve"> Introduction</w:t>
      </w:r>
      <w:bookmarkEnd w:id="16"/>
      <w:bookmarkEnd w:id="17"/>
      <w:bookmarkEnd w:id="44"/>
    </w:p>
    <w:bookmarkEnd w:id="45"/>
    <w:p w:rsidR="00980F62" w:rsidRDefault="003745B7" w:rsidP="00A76B75">
      <w:pPr>
        <w:shd w:val="clear" w:color="auto" w:fill="DEEAF6" w:themeFill="accent5" w:themeFillTint="33"/>
        <w:spacing w:before="120"/>
        <w:rPr>
          <w:rStyle w:val="Strong"/>
        </w:rPr>
      </w:pPr>
      <w:r w:rsidRPr="00C14F1D">
        <w:rPr>
          <w:rStyle w:val="Strong"/>
        </w:rPr>
        <w:t>This Chapter covers the following topics:</w:t>
      </w:r>
    </w:p>
    <w:p w:rsidR="003745B7" w:rsidRDefault="003745B7" w:rsidP="00557DB1">
      <w:pPr>
        <w:pStyle w:val="ListParagraph"/>
        <w:numPr>
          <w:ilvl w:val="0"/>
          <w:numId w:val="12"/>
        </w:numPr>
        <w:shd w:val="clear" w:color="auto" w:fill="DEEAF6" w:themeFill="accent5" w:themeFillTint="33"/>
      </w:pPr>
      <w:r>
        <w:t>A historical overview to p</w:t>
      </w:r>
      <w:r w:rsidR="00832A2B">
        <w:t>rovide context for this project.</w:t>
      </w:r>
    </w:p>
    <w:p w:rsidR="003745B7" w:rsidRDefault="003745B7" w:rsidP="00557DB1">
      <w:pPr>
        <w:pStyle w:val="ListParagraph"/>
        <w:numPr>
          <w:ilvl w:val="0"/>
          <w:numId w:val="12"/>
        </w:numPr>
        <w:shd w:val="clear" w:color="auto" w:fill="DEEAF6" w:themeFill="accent5" w:themeFillTint="33"/>
      </w:pPr>
      <w:r>
        <w:t>Briefly describes the funding classification approaches used in A</w:t>
      </w:r>
      <w:r w:rsidR="00832A2B">
        <w:t>ustralia over the past 40 years.</w:t>
      </w:r>
    </w:p>
    <w:p w:rsidR="003745B7" w:rsidRDefault="003745B7" w:rsidP="00557DB1">
      <w:pPr>
        <w:pStyle w:val="ListParagraph"/>
        <w:numPr>
          <w:ilvl w:val="0"/>
          <w:numId w:val="12"/>
        </w:numPr>
        <w:shd w:val="clear" w:color="auto" w:fill="DEEAF6" w:themeFill="accent5" w:themeFillTint="33"/>
      </w:pPr>
      <w:r>
        <w:t>The Department Evaluation of the ACFI conducted on 2011</w:t>
      </w:r>
      <w:r w:rsidR="00832A2B">
        <w:t>.</w:t>
      </w:r>
    </w:p>
    <w:p w:rsidR="003745B7" w:rsidRDefault="003745B7" w:rsidP="00557DB1">
      <w:pPr>
        <w:pStyle w:val="ListParagraph"/>
        <w:numPr>
          <w:ilvl w:val="0"/>
          <w:numId w:val="12"/>
        </w:numPr>
        <w:shd w:val="clear" w:color="auto" w:fill="DEEAF6" w:themeFill="accent5" w:themeFillTint="33"/>
      </w:pPr>
      <w:r>
        <w:t>The Growth on the ACFI care subsidy</w:t>
      </w:r>
      <w:r w:rsidR="00832A2B">
        <w:t>.</w:t>
      </w:r>
    </w:p>
    <w:p w:rsidR="003745B7" w:rsidRDefault="003745B7" w:rsidP="00557DB1">
      <w:pPr>
        <w:pStyle w:val="ListParagraph"/>
        <w:numPr>
          <w:ilvl w:val="0"/>
          <w:numId w:val="12"/>
        </w:numPr>
        <w:shd w:val="clear" w:color="auto" w:fill="DEEAF6" w:themeFill="accent5" w:themeFillTint="33"/>
      </w:pPr>
      <w:r>
        <w:t>Project Terms of Reference and Deliverables</w:t>
      </w:r>
      <w:r w:rsidR="00832A2B">
        <w:t>.</w:t>
      </w:r>
    </w:p>
    <w:p w:rsidR="003745B7" w:rsidRPr="001B1702" w:rsidRDefault="003745B7" w:rsidP="00A76B75">
      <w:pPr>
        <w:pStyle w:val="ListParagraph"/>
        <w:numPr>
          <w:ilvl w:val="0"/>
          <w:numId w:val="12"/>
        </w:numPr>
        <w:shd w:val="clear" w:color="auto" w:fill="DEEAF6" w:themeFill="accent5" w:themeFillTint="33"/>
        <w:ind w:left="357" w:hanging="357"/>
      </w:pPr>
      <w:r>
        <w:t>Structure of the report</w:t>
      </w:r>
      <w:r w:rsidR="00832A2B">
        <w:t>.</w:t>
      </w:r>
    </w:p>
    <w:p w:rsidR="00557FD2" w:rsidRPr="00A4479D" w:rsidRDefault="00E344D3" w:rsidP="00B6508F">
      <w:pPr>
        <w:pStyle w:val="Heading2-Chapter1"/>
      </w:pPr>
      <w:bookmarkStart w:id="46" w:name="_Toc486599956"/>
      <w:bookmarkStart w:id="47" w:name="_Toc486602999"/>
      <w:bookmarkStart w:id="48" w:name="_Toc491426021"/>
      <w:r>
        <w:t>A</w:t>
      </w:r>
      <w:r w:rsidR="009E1F0E">
        <w:t>ged care funding</w:t>
      </w:r>
      <w:r>
        <w:t xml:space="preserve"> tools used</w:t>
      </w:r>
      <w:r w:rsidR="009E1F0E">
        <w:t xml:space="preserve"> in Australia</w:t>
      </w:r>
      <w:bookmarkEnd w:id="46"/>
      <w:bookmarkEnd w:id="47"/>
      <w:bookmarkEnd w:id="48"/>
    </w:p>
    <w:p w:rsidR="00980F62" w:rsidRDefault="00B712EC" w:rsidP="005A3AA5">
      <w:r>
        <w:t>V</w:t>
      </w:r>
      <w:r w:rsidR="009E1F0E" w:rsidRPr="00A47D14">
        <w:t xml:space="preserve">arious systems of classification of resident </w:t>
      </w:r>
      <w:r w:rsidR="009E1F0E">
        <w:t xml:space="preserve">dependency </w:t>
      </w:r>
      <w:r w:rsidR="00E344D3">
        <w:t xml:space="preserve">and funding tools </w:t>
      </w:r>
      <w:r w:rsidR="009E1F0E" w:rsidRPr="00A47D14">
        <w:t xml:space="preserve">have provided </w:t>
      </w:r>
      <w:r w:rsidR="00E344D3">
        <w:t>the</w:t>
      </w:r>
      <w:r w:rsidR="009E1F0E" w:rsidRPr="00A47D14">
        <w:t xml:space="preserve"> basis for national </w:t>
      </w:r>
      <w:r w:rsidR="00E344D3">
        <w:t xml:space="preserve">residential </w:t>
      </w:r>
      <w:r>
        <w:t xml:space="preserve">aged care </w:t>
      </w:r>
      <w:r w:rsidR="009E1F0E" w:rsidRPr="00A47D14">
        <w:t>funding for nearly 40 years.</w:t>
      </w:r>
    </w:p>
    <w:p w:rsidR="00980F62" w:rsidRDefault="00B712EC" w:rsidP="005A3AA5">
      <w:r>
        <w:t xml:space="preserve">The tools used have been </w:t>
      </w:r>
      <w:r w:rsidR="009E1F0E" w:rsidRPr="00A47D14">
        <w:t>similar to dependency assessments used internationally (e.g.</w:t>
      </w:r>
      <w:r w:rsidR="008A4578">
        <w:t> </w:t>
      </w:r>
      <w:r w:rsidR="009E1F0E" w:rsidRPr="00A47D14">
        <w:t>R</w:t>
      </w:r>
      <w:r w:rsidR="0005109F">
        <w:t xml:space="preserve">esource </w:t>
      </w:r>
      <w:r w:rsidR="009E1F0E" w:rsidRPr="00A47D14">
        <w:t>U</w:t>
      </w:r>
      <w:r w:rsidR="0005109F">
        <w:t xml:space="preserve">tilisation </w:t>
      </w:r>
      <w:r w:rsidR="009E1F0E" w:rsidRPr="00A47D14">
        <w:t>G</w:t>
      </w:r>
      <w:r w:rsidR="0005109F">
        <w:t>roups (RUGs</w:t>
      </w:r>
      <w:r w:rsidR="009E1F0E" w:rsidRPr="00A47D14">
        <w:t>)</w:t>
      </w:r>
      <w:r w:rsidR="0005109F">
        <w:t>)</w:t>
      </w:r>
      <w:r w:rsidR="009E1F0E" w:rsidRPr="00A47D14">
        <w:t>, with items assessing care needs in areas such as mob</w:t>
      </w:r>
      <w:r>
        <w:t xml:space="preserve">ility, continence, bathing, dressing, </w:t>
      </w:r>
      <w:r w:rsidR="009E1F0E" w:rsidRPr="00A47D14">
        <w:t xml:space="preserve">cognitive ability, behaviour, and nursing </w:t>
      </w:r>
      <w:r w:rsidR="009E1F0E">
        <w:t xml:space="preserve">procedures and </w:t>
      </w:r>
      <w:r w:rsidR="009E1F0E" w:rsidRPr="00A47D14">
        <w:t xml:space="preserve">treatments. The following discussion is based on the research paper </w:t>
      </w:r>
      <w:r w:rsidR="009E1F0E">
        <w:t>‘</w:t>
      </w:r>
      <w:r w:rsidR="009E1F0E" w:rsidRPr="00A47D14">
        <w:t>Australian approaches to resident classification and quality assurance in residential care</w:t>
      </w:r>
      <w:r w:rsidR="009E1F0E">
        <w:t>’</w:t>
      </w:r>
      <w:r w:rsidR="009E1F0E" w:rsidRPr="00A47D14">
        <w:t xml:space="preserve"> (Rosewarne,</w:t>
      </w:r>
      <w:r w:rsidR="001A40C9">
        <w:t> </w:t>
      </w:r>
      <w:r w:rsidR="009E1F0E" w:rsidRPr="00A47D14">
        <w:t>2002)</w:t>
      </w:r>
      <w:r>
        <w:t xml:space="preserve"> and government publications</w:t>
      </w:r>
      <w:r w:rsidR="009E1F0E" w:rsidRPr="00A47D14">
        <w:t>.</w:t>
      </w:r>
    </w:p>
    <w:p w:rsidR="00557FD2" w:rsidRPr="00940C6F" w:rsidRDefault="00E22CCA" w:rsidP="00730D08">
      <w:pPr>
        <w:pStyle w:val="Heading3-Chapter11"/>
      </w:pPr>
      <w:bookmarkStart w:id="49" w:name="_Toc486599957"/>
      <w:bookmarkStart w:id="50" w:name="_Toc486603000"/>
      <w:bookmarkStart w:id="51" w:name="_Toc486604760"/>
      <w:r>
        <w:t>A</w:t>
      </w:r>
      <w:r w:rsidR="009E1F0E">
        <w:t>ged care funding</w:t>
      </w:r>
      <w:r w:rsidR="00557FD2" w:rsidRPr="00940C6F">
        <w:t xml:space="preserve"> </w:t>
      </w:r>
      <w:r w:rsidR="009E1F0E">
        <w:t>–</w:t>
      </w:r>
      <w:r w:rsidR="00557FD2" w:rsidRPr="00940C6F">
        <w:t xml:space="preserve"> </w:t>
      </w:r>
      <w:r w:rsidR="009E1F0E">
        <w:t>High care</w:t>
      </w:r>
      <w:bookmarkEnd w:id="49"/>
      <w:bookmarkEnd w:id="50"/>
      <w:bookmarkEnd w:id="51"/>
    </w:p>
    <w:p w:rsidR="00980F62" w:rsidRDefault="009E1F0E" w:rsidP="005A3AA5">
      <w:r>
        <w:t xml:space="preserve">Commonwealth </w:t>
      </w:r>
      <w:r w:rsidRPr="00A47D14">
        <w:t xml:space="preserve">funding for nursing home care </w:t>
      </w:r>
      <w:r>
        <w:t xml:space="preserve">commenced in 1963 and </w:t>
      </w:r>
      <w:r w:rsidRPr="00A47D14">
        <w:t xml:space="preserve">was </w:t>
      </w:r>
      <w:r>
        <w:t xml:space="preserve">divided into two levels, </w:t>
      </w:r>
      <w:r w:rsidRPr="00A47D14">
        <w:t>ordinary</w:t>
      </w:r>
      <w:r>
        <w:t xml:space="preserve"> and </w:t>
      </w:r>
      <w:r w:rsidRPr="00A47D14">
        <w:t>extensive care.</w:t>
      </w:r>
      <w:r>
        <w:t xml:space="preserve"> This was followed, in 1969, by t</w:t>
      </w:r>
      <w:r w:rsidRPr="00A47D14">
        <w:t>he first funding classification of nursing home residents</w:t>
      </w:r>
      <w:r>
        <w:t>.</w:t>
      </w:r>
      <w:r w:rsidRPr="00A47D14">
        <w:t xml:space="preserve"> The aged care provider, using basic criteria, </w:t>
      </w:r>
      <w:r>
        <w:t>clas</w:t>
      </w:r>
      <w:r w:rsidR="00DE5D5C">
        <w:t xml:space="preserve">sified residents and </w:t>
      </w:r>
      <w:r w:rsidR="00B712EC">
        <w:t xml:space="preserve">determined </w:t>
      </w:r>
      <w:r>
        <w:t xml:space="preserve">which residents would </w:t>
      </w:r>
      <w:r w:rsidRPr="00A47D14">
        <w:t xml:space="preserve">attract additional government funding </w:t>
      </w:r>
      <w:r>
        <w:t>due to their need for extensive</w:t>
      </w:r>
      <w:r w:rsidR="00DE5D5C">
        <w:t xml:space="preserve"> </w:t>
      </w:r>
      <w:r>
        <w:t>care.</w:t>
      </w:r>
      <w:r w:rsidRPr="00A47D14">
        <w:t xml:space="preserve"> Without pre-admission screening (national ACAT eligibility screening for residential aged care was implemented in the mid 1980’s), there was a tendency for facilities to </w:t>
      </w:r>
      <w:r w:rsidR="00DE5D5C">
        <w:t>admit</w:t>
      </w:r>
      <w:r>
        <w:t xml:space="preserve"> </w:t>
      </w:r>
      <w:r w:rsidRPr="00A47D14">
        <w:t>resident</w:t>
      </w:r>
      <w:r>
        <w:t>s</w:t>
      </w:r>
      <w:r w:rsidR="00B712EC">
        <w:t xml:space="preserve"> with the lowest </w:t>
      </w:r>
      <w:r w:rsidRPr="00A47D14">
        <w:t xml:space="preserve">care needs </w:t>
      </w:r>
      <w:r w:rsidR="00DE5D5C">
        <w:t xml:space="preserve">possible to allow a </w:t>
      </w:r>
      <w:r w:rsidRPr="00A47D14">
        <w:t xml:space="preserve">claim </w:t>
      </w:r>
      <w:r w:rsidR="00DE5D5C">
        <w:t xml:space="preserve">at </w:t>
      </w:r>
      <w:r w:rsidRPr="00A47D14">
        <w:t xml:space="preserve">the </w:t>
      </w:r>
      <w:r w:rsidR="00B712EC">
        <w:t>highest government funding</w:t>
      </w:r>
      <w:r w:rsidR="00DE5D5C">
        <w:t xml:space="preserve"> level</w:t>
      </w:r>
      <w:r w:rsidR="00B712EC">
        <w:t xml:space="preserve"> (</w:t>
      </w:r>
      <w:r w:rsidRPr="00A47D14">
        <w:t>extensive care benefit</w:t>
      </w:r>
      <w:r w:rsidR="00B712EC">
        <w:t>)</w:t>
      </w:r>
      <w:r w:rsidRPr="00A47D14">
        <w:t>.</w:t>
      </w:r>
    </w:p>
    <w:p w:rsidR="00980F62" w:rsidRDefault="009E1F0E" w:rsidP="005A3AA5">
      <w:r>
        <w:t>N</w:t>
      </w:r>
      <w:r w:rsidRPr="00A47D14">
        <w:t>ursing home reforms introduced by the joint Commonwealth-State Working party on Nursing Home Standards (the Working Party) in 1987</w:t>
      </w:r>
      <w:r>
        <w:t xml:space="preserve">, resulted in the implementation of </w:t>
      </w:r>
      <w:r w:rsidRPr="00A47D14">
        <w:t>the more objective Resident Classification Instrument (RCI) in 1992.</w:t>
      </w:r>
      <w:r>
        <w:t xml:space="preserve"> </w:t>
      </w:r>
      <w:r w:rsidRPr="00A47D14">
        <w:t xml:space="preserve">The RCI introduction was </w:t>
      </w:r>
      <w:r>
        <w:t>a component of</w:t>
      </w:r>
      <w:r w:rsidRPr="00A47D14">
        <w:t xml:space="preserve"> a suite of changes, including the introduction of Care Aggregate Module linked to the RCI levels </w:t>
      </w:r>
      <w:r>
        <w:t>(</w:t>
      </w:r>
      <w:r w:rsidRPr="00A47D14">
        <w:t>CAM</w:t>
      </w:r>
      <w:r>
        <w:t>)</w:t>
      </w:r>
      <w:r w:rsidRPr="00A47D14">
        <w:t xml:space="preserve"> and the Standard Aggregated Module </w:t>
      </w:r>
      <w:r>
        <w:t xml:space="preserve">(SAM) </w:t>
      </w:r>
      <w:r w:rsidRPr="00A47D14">
        <w:t>for subsidising the infrastructure costs of non-government nursing homes</w:t>
      </w:r>
      <w:r>
        <w:t>.</w:t>
      </w:r>
      <w:r w:rsidRPr="00A47D14">
        <w:t xml:space="preserve"> The RCI provided funding for five categories of nursing home residents using a 14-item scale, with rating</w:t>
      </w:r>
      <w:r>
        <w:t>s</w:t>
      </w:r>
      <w:r w:rsidRPr="00A47D14">
        <w:t xml:space="preserve"> at four levels of dependency on each item. On the basis of the RCI category assigned to each resident, CAM funding was </w:t>
      </w:r>
      <w:r>
        <w:t xml:space="preserve">provided </w:t>
      </w:r>
      <w:r w:rsidRPr="00A47D14">
        <w:t>to cover the cost of employing a specified standard level of nursing and personal care staff to care for nursing home residents.</w:t>
      </w:r>
    </w:p>
    <w:p w:rsidR="00980F62" w:rsidRDefault="009E1F0E" w:rsidP="005A3AA5">
      <w:r w:rsidRPr="00A47D14">
        <w:t xml:space="preserve">The </w:t>
      </w:r>
      <w:r>
        <w:t>CAM scale</w:t>
      </w:r>
      <w:r w:rsidRPr="00A47D14">
        <w:t xml:space="preserve"> was calibrated and the items weighted via factor analytic and regression methods to determine question importance in allocating funding. Large scale trials were conducted with the RCI assessment tool and the distribution was divided into five categories, with cut-off points calculated to constrain bracket creep and therefore funding growth.</w:t>
      </w:r>
    </w:p>
    <w:p w:rsidR="00557FD2" w:rsidRPr="00940C6F" w:rsidRDefault="00E22CCA" w:rsidP="00730D08">
      <w:pPr>
        <w:pStyle w:val="Heading3-Chapter11"/>
      </w:pPr>
      <w:r>
        <w:t>A</w:t>
      </w:r>
      <w:r w:rsidR="009E1F0E">
        <w:t>ged care funding – Low care</w:t>
      </w:r>
    </w:p>
    <w:p w:rsidR="00980F62" w:rsidRDefault="009E1F0E" w:rsidP="005A3AA5">
      <w:r w:rsidRPr="00A47D14">
        <w:t xml:space="preserve">In 1969, </w:t>
      </w:r>
      <w:r>
        <w:t>a two-tiered system of recurrent funding was introduced for Hostel (low) care. R</w:t>
      </w:r>
      <w:r w:rsidRPr="00A47D14">
        <w:t xml:space="preserve">esidents </w:t>
      </w:r>
      <w:r>
        <w:t xml:space="preserve">requiring basic </w:t>
      </w:r>
      <w:r w:rsidRPr="00A47D14">
        <w:t>hostel care</w:t>
      </w:r>
      <w:r>
        <w:t xml:space="preserve">, </w:t>
      </w:r>
      <w:r w:rsidRPr="00A47D14">
        <w:t xml:space="preserve">(no nursing or personal care assistance) paid </w:t>
      </w:r>
      <w:r w:rsidR="00E22CCA">
        <w:t xml:space="preserve">fees to cover board and lodging and the level </w:t>
      </w:r>
      <w:r w:rsidRPr="00A47D14">
        <w:t>was linked to the Age Pension</w:t>
      </w:r>
      <w:r>
        <w:t xml:space="preserve">. Residents requiring </w:t>
      </w:r>
      <w:r w:rsidRPr="00A47D14">
        <w:t xml:space="preserve">personal care </w:t>
      </w:r>
      <w:r>
        <w:t xml:space="preserve">attracted </w:t>
      </w:r>
      <w:r w:rsidRPr="00A47D14">
        <w:t xml:space="preserve">the </w:t>
      </w:r>
      <w:r w:rsidR="00E22CCA">
        <w:t xml:space="preserve">government funded </w:t>
      </w:r>
      <w:r w:rsidRPr="00A47D14">
        <w:t>Personal Care Subsidy.</w:t>
      </w:r>
    </w:p>
    <w:p w:rsidR="00980F62" w:rsidRDefault="009E1F0E" w:rsidP="005A3AA5">
      <w:r>
        <w:t xml:space="preserve">In 1992, the system was changed and the </w:t>
      </w:r>
      <w:r w:rsidRPr="00A47D14">
        <w:t>Personal Care Assessment Instrument (PCAI), classification tool</w:t>
      </w:r>
      <w:r>
        <w:t xml:space="preserve"> was introduced</w:t>
      </w:r>
      <w:r w:rsidRPr="00A47D14">
        <w:t>. The PCAI was a 16-item assessment tool that placed residents into payment levels of Personal Care High, Medium, and Low, with those not requiring personal care classified into Hostel Care. This tool was maintained until it was replaced by the Resident Classification Scale (RCS) in 1997, when hostels and nursing homes were reclassified into a single system of residential care under an ageing in place model.</w:t>
      </w:r>
    </w:p>
    <w:p w:rsidR="00557FD2" w:rsidRPr="00730D08" w:rsidRDefault="00557FD2" w:rsidP="00730D08">
      <w:pPr>
        <w:pStyle w:val="Heading3-Chapter11"/>
      </w:pPr>
      <w:bookmarkStart w:id="52" w:name="_Toc486599960"/>
      <w:bookmarkStart w:id="53" w:name="_Toc486603003"/>
      <w:bookmarkStart w:id="54" w:name="_Toc486604763"/>
      <w:r w:rsidRPr="00730D08">
        <w:t>Bringing Nursing Home</w:t>
      </w:r>
      <w:r w:rsidR="009E1F0E" w:rsidRPr="00730D08">
        <w:t>s</w:t>
      </w:r>
      <w:r w:rsidRPr="00730D08">
        <w:t xml:space="preserve"> and Hostels Together – Ageing in Place</w:t>
      </w:r>
      <w:bookmarkEnd w:id="52"/>
      <w:bookmarkEnd w:id="53"/>
      <w:bookmarkEnd w:id="54"/>
    </w:p>
    <w:p w:rsidR="009E1F0E" w:rsidRPr="00A47D14" w:rsidRDefault="009E1F0E" w:rsidP="005A3AA5">
      <w:r w:rsidRPr="00A47D14">
        <w:t xml:space="preserve">The nursing home </w:t>
      </w:r>
      <w:r>
        <w:t xml:space="preserve">and </w:t>
      </w:r>
      <w:r w:rsidRPr="00A47D14">
        <w:t>hostel systems developed separately from the early 1970’s but there was evidence that around 20</w:t>
      </w:r>
      <w:r w:rsidR="00C947E9">
        <w:t xml:space="preserve"> per cent</w:t>
      </w:r>
      <w:r w:rsidRPr="00A47D14">
        <w:t xml:space="preserve"> of people living in hostels </w:t>
      </w:r>
      <w:r>
        <w:t xml:space="preserve">were more dependent in terms of their care needs, than </w:t>
      </w:r>
      <w:r w:rsidR="006A5352">
        <w:t xml:space="preserve">many </w:t>
      </w:r>
      <w:r>
        <w:t>nursing home residents</w:t>
      </w:r>
      <w:r w:rsidRPr="00A47D14">
        <w:t xml:space="preserve"> (Duckett 1995; Australian Institu</w:t>
      </w:r>
      <w:r>
        <w:t xml:space="preserve">te of Health and Welfare </w:t>
      </w:r>
      <w:r w:rsidR="007971CF">
        <w:t xml:space="preserve">(AIHW) </w:t>
      </w:r>
      <w:r>
        <w:t xml:space="preserve">1997. </w:t>
      </w:r>
      <w:r w:rsidRPr="00A47D14">
        <w:t xml:space="preserve">These findings and the desire to create an </w:t>
      </w:r>
      <w:r>
        <w:t>‘</w:t>
      </w:r>
      <w:r w:rsidRPr="00A47D14">
        <w:t>ageing in place</w:t>
      </w:r>
      <w:r>
        <w:t>’</w:t>
      </w:r>
      <w:r w:rsidRPr="00A47D14">
        <w:t xml:space="preserve"> </w:t>
      </w:r>
      <w:r>
        <w:t>environment</w:t>
      </w:r>
      <w:r w:rsidRPr="00A47D14">
        <w:t xml:space="preserve"> led to the introduction of the Commonwealth Aged Care Act, </w:t>
      </w:r>
      <w:r>
        <w:t xml:space="preserve">in </w:t>
      </w:r>
      <w:r w:rsidRPr="00A47D14">
        <w:t xml:space="preserve">1997. The </w:t>
      </w:r>
      <w:r>
        <w:t>‘</w:t>
      </w:r>
      <w:r w:rsidRPr="00A47D14">
        <w:t>Ageing in place</w:t>
      </w:r>
      <w:r>
        <w:t>’</w:t>
      </w:r>
      <w:r w:rsidRPr="00A47D14">
        <w:t xml:space="preserve"> policy was designed to allow hostel residents to remain in the</w:t>
      </w:r>
      <w:r>
        <w:t>ir</w:t>
      </w:r>
      <w:r w:rsidRPr="00A47D14">
        <w:t xml:space="preserve"> </w:t>
      </w:r>
      <w:r>
        <w:t xml:space="preserve">hostel instead of </w:t>
      </w:r>
      <w:r w:rsidRPr="00A47D14">
        <w:t xml:space="preserve">having to move to a nursing home when their care needs increased </w:t>
      </w:r>
      <w:r w:rsidR="00354973">
        <w:br/>
      </w:r>
      <w:r w:rsidRPr="00A47D14">
        <w:t>(AIHW: Gibson D, Rowland F, Braun P &amp; Angus P 2002).</w:t>
      </w:r>
    </w:p>
    <w:p w:rsidR="00980F62" w:rsidRDefault="009E1F0E" w:rsidP="005A3AA5">
      <w:r w:rsidRPr="00A47D14">
        <w:t>To achieve the objective of integrating hostels and nursing homes into a single residential care</w:t>
      </w:r>
      <w:r>
        <w:t xml:space="preserve"> system</w:t>
      </w:r>
      <w:r w:rsidRPr="00A47D14">
        <w:t xml:space="preserve">, </w:t>
      </w:r>
      <w:r>
        <w:t xml:space="preserve">a </w:t>
      </w:r>
      <w:r w:rsidRPr="00A47D14">
        <w:t xml:space="preserve">new </w:t>
      </w:r>
      <w:r>
        <w:t xml:space="preserve">care </w:t>
      </w:r>
      <w:r w:rsidRPr="00A47D14">
        <w:t xml:space="preserve">classification </w:t>
      </w:r>
      <w:r>
        <w:t>and funding model</w:t>
      </w:r>
      <w:r w:rsidRPr="00A47D14">
        <w:t xml:space="preserve"> </w:t>
      </w:r>
      <w:r>
        <w:t>was required</w:t>
      </w:r>
      <w:r w:rsidRPr="00A47D14">
        <w:t xml:space="preserve">. The new system </w:t>
      </w:r>
      <w:r>
        <w:t xml:space="preserve">needed to objectively classify </w:t>
      </w:r>
      <w:r w:rsidRPr="00A47D14">
        <w:t xml:space="preserve">residents </w:t>
      </w:r>
      <w:r>
        <w:t xml:space="preserve">needing </w:t>
      </w:r>
      <w:r w:rsidRPr="00A47D14">
        <w:t>low levels of personal care, through to those with intensive nursing care needs, on a nationally consistent scale.</w:t>
      </w:r>
    </w:p>
    <w:p w:rsidR="00EE0118" w:rsidRDefault="00EE0118" w:rsidP="005A3AA5">
      <w:pPr>
        <w:rPr>
          <w:rFonts w:eastAsia="Times New Roman" w:cstheme="minorHAnsi"/>
          <w:b/>
          <w:szCs w:val="20"/>
        </w:rPr>
      </w:pPr>
      <w:bookmarkStart w:id="55" w:name="_Toc486599961"/>
      <w:bookmarkStart w:id="56" w:name="_Toc486603004"/>
      <w:bookmarkStart w:id="57" w:name="_Toc486604764"/>
      <w:r>
        <w:rPr>
          <w:rFonts w:eastAsia="Times New Roman" w:cstheme="minorHAnsi"/>
        </w:rPr>
        <w:t>It should be noted that w</w:t>
      </w:r>
      <w:r>
        <w:t>hile there were criticisms of the RCI and PCAI</w:t>
      </w:r>
      <w:r w:rsidR="00EB1F50">
        <w:t xml:space="preserve"> covering hostels and nursing homes</w:t>
      </w:r>
      <w:r>
        <w:t>, the tools did mark a significant improvement in the measurement of care needs producing a more equitable, consistent method of distributing Government aged care funding.</w:t>
      </w:r>
      <w:r w:rsidR="007A576E">
        <w:t xml:space="preserve"> </w:t>
      </w:r>
      <w:r>
        <w:t>Systems designed to determine and distribute aged care funding have always been subject to criticism and review. As noted by Hindle (1996 p. 4) when referring to the RCI and PCAI “It is important to recognise there would have been criticisms of any approach, no matter how sophisticated.</w:t>
      </w:r>
      <w:r w:rsidR="007A576E">
        <w:t xml:space="preserve"> </w:t>
      </w:r>
      <w:r>
        <w:t xml:space="preserve">This is simply because the underlying problems are not capable of resolution to the satisfaction of all parties. In addition to the significant technical problems of classification of a highly heterogeneous population, there is the virtually unmanageable </w:t>
      </w:r>
      <w:r>
        <w:lastRenderedPageBreak/>
        <w:t>difficulty of ensuring there are adequate resources in the face of growing needs and expectations for care”.</w:t>
      </w:r>
    </w:p>
    <w:p w:rsidR="00557FD2" w:rsidRDefault="00557FD2" w:rsidP="00730D08">
      <w:pPr>
        <w:pStyle w:val="Heading3-Chapter11"/>
      </w:pPr>
      <w:r>
        <w:t>T</w:t>
      </w:r>
      <w:r w:rsidRPr="006C5BEA">
        <w:t>he Resident Classification Scale</w:t>
      </w:r>
      <w:bookmarkEnd w:id="55"/>
      <w:bookmarkEnd w:id="56"/>
      <w:bookmarkEnd w:id="57"/>
    </w:p>
    <w:p w:rsidR="00980F62" w:rsidRDefault="009E1F0E" w:rsidP="005A3AA5">
      <w:r w:rsidRPr="00A47D14">
        <w:t xml:space="preserve">The </w:t>
      </w:r>
      <w:r>
        <w:t>Resident Classification Scale (</w:t>
      </w:r>
      <w:r w:rsidRPr="00A47D14">
        <w:t>RCS</w:t>
      </w:r>
      <w:r>
        <w:t>)</w:t>
      </w:r>
      <w:r w:rsidRPr="00A47D14">
        <w:t xml:space="preserve"> </w:t>
      </w:r>
      <w:r w:rsidR="00EE0118">
        <w:t xml:space="preserve">replaced the PCAI and RCI and </w:t>
      </w:r>
      <w:r w:rsidRPr="00A47D14">
        <w:t xml:space="preserve">included questions about </w:t>
      </w:r>
      <w:r>
        <w:t xml:space="preserve">each </w:t>
      </w:r>
      <w:r w:rsidRPr="00A47D14">
        <w:t>resident’s care needs across activities of daily living</w:t>
      </w:r>
      <w:r>
        <w:t xml:space="preserve"> (ADLs)</w:t>
      </w:r>
      <w:r w:rsidRPr="00A47D14">
        <w:t xml:space="preserve">, behaviours, medication, nursing, and therapy. Each question had four possible levels with weightings related to their importance in determining the cost of care </w:t>
      </w:r>
      <w:r>
        <w:t>which w</w:t>
      </w:r>
      <w:r w:rsidRPr="00A47D14">
        <w:t>as established through a costing study. The sum of the weights gave an overall score for each resident that was then allocated to eight categories on the RCS. The RCS was phased in from October 1997.</w:t>
      </w:r>
    </w:p>
    <w:p w:rsidR="00A76B75" w:rsidRDefault="00A76B75" w:rsidP="00C00594">
      <w:pPr>
        <w:shd w:val="clear" w:color="auto" w:fill="D9D9D9" w:themeFill="background1" w:themeFillShade="D9"/>
        <w:spacing w:before="120"/>
        <w:rPr>
          <w:rFonts w:eastAsia="Times New Roman" w:cstheme="minorHAnsi"/>
          <w:i/>
          <w:szCs w:val="20"/>
        </w:rPr>
      </w:pPr>
      <w:r>
        <w:rPr>
          <w:rFonts w:eastAsia="Times New Roman" w:cstheme="minorHAnsi"/>
          <w:i/>
          <w:szCs w:val="20"/>
        </w:rPr>
        <w:t>How was the RCS developed?</w:t>
      </w:r>
    </w:p>
    <w:p w:rsidR="00980F62" w:rsidRDefault="00A76B75" w:rsidP="00C00594">
      <w:pPr>
        <w:shd w:val="clear" w:color="auto" w:fill="D9D9D9" w:themeFill="background1" w:themeFillShade="D9"/>
        <w:rPr>
          <w:rFonts w:eastAsia="Times New Roman" w:cstheme="minorHAnsi"/>
          <w:i/>
          <w:szCs w:val="20"/>
        </w:rPr>
      </w:pPr>
      <w:r w:rsidRPr="00B95C50">
        <w:rPr>
          <w:rFonts w:eastAsia="Times New Roman" w:cstheme="minorHAnsi"/>
          <w:i/>
          <w:szCs w:val="20"/>
        </w:rPr>
        <w:t>The development of the new classification scale was the subject of detailed technical investigation reviews, consultations with providers, large-scale field trials, and extensive statistical analysis, and these activities have been</w:t>
      </w:r>
      <w:r w:rsidRPr="008975D4">
        <w:rPr>
          <w:rFonts w:eastAsia="Times New Roman" w:cstheme="minorHAnsi"/>
          <w:i/>
          <w:szCs w:val="20"/>
        </w:rPr>
        <w:t xml:space="preserve"> well documented (</w:t>
      </w:r>
      <w:r w:rsidRPr="00B95C50">
        <w:rPr>
          <w:rFonts w:eastAsia="Times New Roman" w:cstheme="minorHAnsi"/>
          <w:i/>
          <w:szCs w:val="20"/>
        </w:rPr>
        <w:t>Rhys Hearn, 1997).</w:t>
      </w:r>
    </w:p>
    <w:p w:rsidR="00A76B75" w:rsidRPr="008975D4" w:rsidRDefault="00A76B75" w:rsidP="00C00594">
      <w:pPr>
        <w:shd w:val="clear" w:color="auto" w:fill="D9D9D9" w:themeFill="background1" w:themeFillShade="D9"/>
        <w:rPr>
          <w:rFonts w:eastAsia="Times New Roman" w:cstheme="minorHAnsi"/>
          <w:i/>
          <w:szCs w:val="20"/>
        </w:rPr>
      </w:pPr>
      <w:r w:rsidRPr="00B95C50">
        <w:rPr>
          <w:rFonts w:eastAsia="Times New Roman" w:cstheme="minorHAnsi"/>
          <w:i/>
          <w:szCs w:val="20"/>
        </w:rPr>
        <w:t>The first step was the selection of resident characteristics that were highly related to the cost of care. This selection was made by canvassing staff in aged care facilities about resident characteristics they felt were most strongly related to the cost of care and examination of existing information on cost-related resident characteristics. A cost/time variable was also developed from a study that examined staff costs, staff time spent on resident care, and the cost of consumables such as dressings, continence products, etc.</w:t>
      </w:r>
      <w:r>
        <w:rPr>
          <w:rFonts w:eastAsia="Times New Roman" w:cstheme="minorHAnsi"/>
          <w:i/>
          <w:szCs w:val="20"/>
        </w:rPr>
        <w:t xml:space="preserve"> </w:t>
      </w:r>
      <w:r w:rsidRPr="00B95C50">
        <w:rPr>
          <w:rFonts w:eastAsia="Times New Roman" w:cstheme="minorHAnsi"/>
          <w:i/>
          <w:szCs w:val="20"/>
        </w:rPr>
        <w:t xml:space="preserve">Relationships between the time/cost variable and data on activities of daily living, behavioural care, nursing care, and social needs were then analysed to determine which of these data items were most highly related to the </w:t>
      </w:r>
      <w:r>
        <w:rPr>
          <w:rFonts w:eastAsia="Times New Roman" w:cstheme="minorHAnsi"/>
          <w:i/>
          <w:szCs w:val="20"/>
        </w:rPr>
        <w:t>‘</w:t>
      </w:r>
      <w:r w:rsidRPr="00B95C50">
        <w:rPr>
          <w:rFonts w:eastAsia="Times New Roman" w:cstheme="minorHAnsi"/>
          <w:i/>
          <w:szCs w:val="20"/>
        </w:rPr>
        <w:t>cost</w:t>
      </w:r>
      <w:r>
        <w:rPr>
          <w:rFonts w:eastAsia="Times New Roman" w:cstheme="minorHAnsi"/>
          <w:i/>
          <w:szCs w:val="20"/>
        </w:rPr>
        <w:t>’</w:t>
      </w:r>
      <w:r w:rsidRPr="00B95C50">
        <w:rPr>
          <w:rFonts w:eastAsia="Times New Roman" w:cstheme="minorHAnsi"/>
          <w:i/>
          <w:szCs w:val="20"/>
        </w:rPr>
        <w:t xml:space="preserve"> of care.</w:t>
      </w:r>
    </w:p>
    <w:p w:rsidR="00A76B75" w:rsidRDefault="00A76B75" w:rsidP="00C00594">
      <w:pPr>
        <w:shd w:val="clear" w:color="auto" w:fill="D9D9D9" w:themeFill="background1" w:themeFillShade="D9"/>
        <w:rPr>
          <w:rFonts w:eastAsia="Times New Roman" w:cstheme="minorHAnsi"/>
          <w:i/>
          <w:szCs w:val="20"/>
        </w:rPr>
      </w:pPr>
      <w:r w:rsidRPr="00B95C50">
        <w:rPr>
          <w:rFonts w:eastAsia="Times New Roman" w:cstheme="minorHAnsi"/>
          <w:i/>
          <w:szCs w:val="20"/>
        </w:rPr>
        <w:t>Once the set of candidate predictor items were developed, a draft scale was trialled in a survey of 20,000 residents. Extensive analyses of the data collected in these trial</w:t>
      </w:r>
      <w:r>
        <w:rPr>
          <w:rFonts w:eastAsia="Times New Roman" w:cstheme="minorHAnsi"/>
          <w:i/>
          <w:szCs w:val="20"/>
        </w:rPr>
        <w:t>s</w:t>
      </w:r>
      <w:r w:rsidRPr="00B95C50">
        <w:rPr>
          <w:rFonts w:eastAsia="Times New Roman" w:cstheme="minorHAnsi"/>
          <w:i/>
          <w:szCs w:val="20"/>
        </w:rPr>
        <w:t xml:space="preserve"> informed decisions about key aspects of the new scale, namely:</w:t>
      </w:r>
    </w:p>
    <w:p w:rsidR="00A76B75" w:rsidRPr="00B95C50" w:rsidRDefault="00A76B75" w:rsidP="00C00594">
      <w:pPr>
        <w:widowControl w:val="0"/>
        <w:numPr>
          <w:ilvl w:val="0"/>
          <w:numId w:val="11"/>
        </w:numPr>
        <w:shd w:val="clear" w:color="auto" w:fill="D9D9D9" w:themeFill="background1" w:themeFillShade="D9"/>
        <w:spacing w:after="0"/>
        <w:rPr>
          <w:rFonts w:eastAsia="Times New Roman" w:cstheme="minorHAnsi"/>
          <w:i/>
          <w:szCs w:val="20"/>
        </w:rPr>
      </w:pPr>
      <w:r w:rsidRPr="00B95C50">
        <w:rPr>
          <w:rFonts w:eastAsia="Times New Roman" w:cstheme="minorHAnsi"/>
          <w:i/>
          <w:szCs w:val="20"/>
        </w:rPr>
        <w:t xml:space="preserve">Whether an additive multiple regression model (like the old RCI) or a branching model </w:t>
      </w:r>
      <w:r w:rsidR="00354973">
        <w:rPr>
          <w:rFonts w:eastAsia="Times New Roman" w:cstheme="minorHAnsi"/>
          <w:i/>
          <w:szCs w:val="20"/>
        </w:rPr>
        <w:br/>
      </w:r>
      <w:r w:rsidRPr="00B95C50">
        <w:rPr>
          <w:rFonts w:eastAsia="Times New Roman" w:cstheme="minorHAnsi"/>
          <w:i/>
          <w:szCs w:val="20"/>
        </w:rPr>
        <w:t>(a regression tree like RUGs or DRGs) should be used to determine level or membership of a payment class;</w:t>
      </w:r>
    </w:p>
    <w:p w:rsidR="00A76B75" w:rsidRPr="00B95C50" w:rsidRDefault="00A76B75" w:rsidP="00C00594">
      <w:pPr>
        <w:widowControl w:val="0"/>
        <w:numPr>
          <w:ilvl w:val="0"/>
          <w:numId w:val="11"/>
        </w:numPr>
        <w:shd w:val="clear" w:color="auto" w:fill="D9D9D9" w:themeFill="background1" w:themeFillShade="D9"/>
        <w:spacing w:after="0"/>
        <w:rPr>
          <w:rFonts w:eastAsia="Times New Roman" w:cstheme="minorHAnsi"/>
          <w:i/>
          <w:szCs w:val="20"/>
        </w:rPr>
      </w:pPr>
      <w:r w:rsidRPr="00B95C50">
        <w:rPr>
          <w:rFonts w:eastAsia="Times New Roman" w:cstheme="minorHAnsi"/>
          <w:i/>
          <w:szCs w:val="20"/>
        </w:rPr>
        <w:t>Whether bands or funding groups should be used if an additive model was selected or whether continuously varying scores would be allowed; and</w:t>
      </w:r>
    </w:p>
    <w:p w:rsidR="00A76B75" w:rsidRPr="00B95C50" w:rsidRDefault="00A76B75" w:rsidP="00354973">
      <w:pPr>
        <w:widowControl w:val="0"/>
        <w:numPr>
          <w:ilvl w:val="0"/>
          <w:numId w:val="11"/>
        </w:numPr>
        <w:shd w:val="clear" w:color="auto" w:fill="D9D9D9" w:themeFill="background1" w:themeFillShade="D9"/>
        <w:ind w:left="357" w:hanging="357"/>
        <w:rPr>
          <w:rFonts w:eastAsia="Times New Roman" w:cstheme="minorHAnsi"/>
          <w:i/>
          <w:szCs w:val="20"/>
        </w:rPr>
      </w:pPr>
      <w:r w:rsidRPr="00B95C50">
        <w:rPr>
          <w:rFonts w:eastAsia="Times New Roman" w:cstheme="minorHAnsi"/>
          <w:i/>
          <w:szCs w:val="20"/>
        </w:rPr>
        <w:t>How the payment rate per band/group would be determined.</w:t>
      </w:r>
    </w:p>
    <w:p w:rsidR="00A76B75" w:rsidRDefault="00A76B75" w:rsidP="00C00594">
      <w:pPr>
        <w:shd w:val="clear" w:color="auto" w:fill="D9D9D9" w:themeFill="background1" w:themeFillShade="D9"/>
        <w:rPr>
          <w:rFonts w:eastAsia="Times New Roman" w:cstheme="minorHAnsi"/>
          <w:i/>
          <w:szCs w:val="20"/>
        </w:rPr>
      </w:pPr>
      <w:r w:rsidRPr="00B95C50">
        <w:rPr>
          <w:rFonts w:eastAsia="Times New Roman" w:cstheme="minorHAnsi"/>
          <w:i/>
          <w:szCs w:val="20"/>
        </w:rPr>
        <w:t xml:space="preserve">It was decided that an additive approach was most appropriate on both methodological and practical grounds. </w:t>
      </w:r>
      <w:r>
        <w:rPr>
          <w:rFonts w:eastAsia="Times New Roman" w:cstheme="minorHAnsi"/>
          <w:i/>
          <w:szCs w:val="20"/>
        </w:rPr>
        <w:t xml:space="preserve">The </w:t>
      </w:r>
      <w:r w:rsidRPr="00B95C50">
        <w:rPr>
          <w:rFonts w:eastAsia="Times New Roman" w:cstheme="minorHAnsi"/>
          <w:i/>
          <w:szCs w:val="20"/>
        </w:rPr>
        <w:t xml:space="preserve">additive model </w:t>
      </w:r>
      <w:r>
        <w:rPr>
          <w:rFonts w:eastAsia="Times New Roman" w:cstheme="minorHAnsi"/>
          <w:i/>
          <w:szCs w:val="20"/>
        </w:rPr>
        <w:t>wa</w:t>
      </w:r>
      <w:r w:rsidRPr="00B95C50">
        <w:rPr>
          <w:rFonts w:eastAsia="Times New Roman" w:cstheme="minorHAnsi"/>
          <w:i/>
          <w:szCs w:val="20"/>
        </w:rPr>
        <w:t xml:space="preserve">s seen as a better predictor of cost where a continuous distribution is used to determine payment classes. Whereas patients in acute care settings differ in the kind of care they need and receive, and can be grouped accordingly, residents in aged care facilities have largely common areas of dependency in which their degree of dependency differs, so that their care need in each area can be rated on a continuous or ordinal scale and summed across all areas. The additive model was also found to explain </w:t>
      </w:r>
      <w:r w:rsidRPr="00B95C50">
        <w:rPr>
          <w:rFonts w:eastAsia="Times New Roman" w:cstheme="minorHAnsi"/>
          <w:i/>
          <w:szCs w:val="20"/>
        </w:rPr>
        <w:lastRenderedPageBreak/>
        <w:t>slightly more of the variance in the cost/time variable</w:t>
      </w:r>
      <w:r w:rsidRPr="008975D4">
        <w:rPr>
          <w:rFonts w:eastAsia="Times New Roman" w:cstheme="minorHAnsi"/>
          <w:i/>
          <w:szCs w:val="20"/>
        </w:rPr>
        <w:t xml:space="preserve"> </w:t>
      </w:r>
      <w:r>
        <w:rPr>
          <w:rFonts w:eastAsia="Times New Roman" w:cstheme="minorHAnsi"/>
          <w:i/>
          <w:szCs w:val="20"/>
        </w:rPr>
        <w:t xml:space="preserve">when </w:t>
      </w:r>
      <w:r w:rsidRPr="008975D4">
        <w:rPr>
          <w:rFonts w:eastAsia="Times New Roman" w:cstheme="minorHAnsi"/>
          <w:i/>
          <w:szCs w:val="20"/>
        </w:rPr>
        <w:t xml:space="preserve">compared </w:t>
      </w:r>
      <w:r>
        <w:rPr>
          <w:rFonts w:eastAsia="Times New Roman" w:cstheme="minorHAnsi"/>
          <w:i/>
          <w:szCs w:val="20"/>
        </w:rPr>
        <w:t>to</w:t>
      </w:r>
      <w:r w:rsidRPr="008975D4">
        <w:rPr>
          <w:rFonts w:eastAsia="Times New Roman" w:cstheme="minorHAnsi"/>
          <w:i/>
          <w:szCs w:val="20"/>
        </w:rPr>
        <w:t xml:space="preserve"> the branching model</w:t>
      </w:r>
      <w:r w:rsidRPr="00B95C50">
        <w:rPr>
          <w:rFonts w:eastAsia="Times New Roman" w:cstheme="minorHAnsi"/>
          <w:i/>
          <w:szCs w:val="20"/>
        </w:rPr>
        <w:t>. It was also considered</w:t>
      </w:r>
      <w:r>
        <w:rPr>
          <w:rFonts w:eastAsia="Times New Roman" w:cstheme="minorHAnsi"/>
          <w:i/>
          <w:szCs w:val="20"/>
        </w:rPr>
        <w:t xml:space="preserve"> an easier transition </w:t>
      </w:r>
      <w:r w:rsidRPr="00B95C50">
        <w:rPr>
          <w:rFonts w:eastAsia="Times New Roman" w:cstheme="minorHAnsi"/>
          <w:i/>
          <w:szCs w:val="20"/>
        </w:rPr>
        <w:t>for staff and providers to from the existing scales to the single new RCS.</w:t>
      </w:r>
      <w:r>
        <w:rPr>
          <w:rFonts w:eastAsia="Times New Roman" w:cstheme="minorHAnsi"/>
          <w:i/>
          <w:szCs w:val="20"/>
        </w:rPr>
        <w:t xml:space="preserve"> </w:t>
      </w:r>
      <w:r w:rsidRPr="00B95C50">
        <w:rPr>
          <w:rFonts w:eastAsia="Times New Roman" w:cstheme="minorHAnsi"/>
          <w:i/>
          <w:szCs w:val="20"/>
        </w:rPr>
        <w:t>The familiar four level ratings were retained for most items.</w:t>
      </w:r>
      <w:r w:rsidRPr="00D50FAB">
        <w:rPr>
          <w:rFonts w:eastAsia="Times New Roman" w:cstheme="minorHAnsi"/>
          <w:i/>
          <w:szCs w:val="20"/>
        </w:rPr>
        <w:t xml:space="preserve"> (Rosewarne, R.C, 2002)</w:t>
      </w:r>
    </w:p>
    <w:p w:rsidR="00557FD2" w:rsidRPr="00617254" w:rsidRDefault="00557FD2" w:rsidP="00730D08">
      <w:pPr>
        <w:pStyle w:val="Heading3-Chapter11"/>
      </w:pPr>
      <w:bookmarkStart w:id="58" w:name="_Toc486599962"/>
      <w:bookmarkStart w:id="59" w:name="_Toc486603005"/>
      <w:bookmarkStart w:id="60" w:name="_Toc486604765"/>
      <w:r w:rsidRPr="00617254">
        <w:t>Commonwealth Auditing Reviews of RCS Claims</w:t>
      </w:r>
      <w:bookmarkEnd w:id="58"/>
      <w:bookmarkEnd w:id="59"/>
      <w:bookmarkEnd w:id="60"/>
    </w:p>
    <w:p w:rsidR="00D74A60" w:rsidRDefault="009E1F0E" w:rsidP="005A3AA5">
      <w:r w:rsidRPr="00A47D14">
        <w:rPr>
          <w:bCs/>
        </w:rPr>
        <w:t xml:space="preserve">The </w:t>
      </w:r>
      <w:r w:rsidR="00926175">
        <w:rPr>
          <w:bCs/>
        </w:rPr>
        <w:t xml:space="preserve">Department </w:t>
      </w:r>
      <w:r w:rsidRPr="00A47D14">
        <w:rPr>
          <w:bCs/>
        </w:rPr>
        <w:t xml:space="preserve">review program for the RCS was </w:t>
      </w:r>
      <w:r w:rsidRPr="00A47D14">
        <w:t xml:space="preserve">reliant on </w:t>
      </w:r>
      <w:r w:rsidR="003041FD">
        <w:t xml:space="preserve">auditing </w:t>
      </w:r>
      <w:r w:rsidRPr="00A47D14">
        <w:t xml:space="preserve">care plan documentation </w:t>
      </w:r>
      <w:r>
        <w:t>(developed by car</w:t>
      </w:r>
      <w:r w:rsidR="002638C3">
        <w:t xml:space="preserve">e staff) as the basis </w:t>
      </w:r>
      <w:r w:rsidR="00926175">
        <w:t>for</w:t>
      </w:r>
      <w:r w:rsidR="002638C3">
        <w:t xml:space="preserve"> claims</w:t>
      </w:r>
      <w:r>
        <w:t xml:space="preserve"> </w:t>
      </w:r>
      <w:r w:rsidRPr="00A47D14">
        <w:t xml:space="preserve">as residents were not assessed directly by a Review Officer. There was </w:t>
      </w:r>
      <w:r w:rsidR="00926175">
        <w:t xml:space="preserve">however </w:t>
      </w:r>
      <w:r w:rsidRPr="00A47D14">
        <w:t xml:space="preserve">concern that </w:t>
      </w:r>
      <w:r w:rsidR="0069136C">
        <w:t xml:space="preserve">using </w:t>
      </w:r>
      <w:r w:rsidRPr="00A47D14">
        <w:t xml:space="preserve">the </w:t>
      </w:r>
      <w:r w:rsidR="0069136C">
        <w:t xml:space="preserve">providers RCS documentation for funding audits </w:t>
      </w:r>
      <w:r w:rsidRPr="00A47D14">
        <w:t xml:space="preserve">had </w:t>
      </w:r>
      <w:r>
        <w:t xml:space="preserve">resulted </w:t>
      </w:r>
      <w:r w:rsidR="00307A15">
        <w:t>in care plans being designed with the main aim of supporting the funding claim</w:t>
      </w:r>
      <w:r w:rsidR="00926175">
        <w:t>,</w:t>
      </w:r>
      <w:r w:rsidR="00307A15">
        <w:t xml:space="preserve"> </w:t>
      </w:r>
      <w:r w:rsidR="00F00954">
        <w:t xml:space="preserve">resulting in </w:t>
      </w:r>
      <w:r w:rsidR="00926175">
        <w:t xml:space="preserve">a </w:t>
      </w:r>
      <w:r w:rsidR="00307A15">
        <w:t xml:space="preserve">reduced focus on </w:t>
      </w:r>
      <w:r w:rsidR="00F00954">
        <w:t>broader comprehensive care documentation</w:t>
      </w:r>
      <w:r w:rsidRPr="00BD6695">
        <w:t>.</w:t>
      </w:r>
      <w:r w:rsidR="00623F39" w:rsidRPr="00BD6695">
        <w:t xml:space="preserve"> </w:t>
      </w:r>
      <w:r w:rsidR="00143C82">
        <w:t>Provision of f</w:t>
      </w:r>
      <w:r w:rsidR="00143C82" w:rsidRPr="00A47D14">
        <w:t xml:space="preserve">unding for </w:t>
      </w:r>
      <w:r w:rsidR="00143C82">
        <w:t>‘</w:t>
      </w:r>
      <w:r w:rsidR="00143C82" w:rsidRPr="00A47D14">
        <w:t>care provided</w:t>
      </w:r>
      <w:r w:rsidR="00143C82">
        <w:t>’</w:t>
      </w:r>
      <w:r w:rsidR="00143C82" w:rsidRPr="00A47D14">
        <w:t xml:space="preserve"> that could be designed</w:t>
      </w:r>
      <w:r w:rsidR="00143C82">
        <w:t xml:space="preserve">/manipulated </w:t>
      </w:r>
      <w:r w:rsidR="002638C3">
        <w:t xml:space="preserve">via documentation </w:t>
      </w:r>
      <w:r w:rsidR="00143C82" w:rsidRPr="00A47D14">
        <w:t xml:space="preserve">to attract the higher levels of funding, led to resident care </w:t>
      </w:r>
      <w:r w:rsidR="00143C82">
        <w:t xml:space="preserve">plans </w:t>
      </w:r>
      <w:r w:rsidR="00143C82" w:rsidRPr="00A47D14">
        <w:t>being directly influenced by the RCS funding model.</w:t>
      </w:r>
      <w:r w:rsidR="007A576E">
        <w:t xml:space="preserve"> </w:t>
      </w:r>
      <w:r w:rsidR="00F00954">
        <w:t>It was also believed that the RCS approach which relied on care provided documentation</w:t>
      </w:r>
      <w:r w:rsidR="002638C3">
        <w:t>,</w:t>
      </w:r>
      <w:r w:rsidR="00F00954">
        <w:t xml:space="preserve"> was leading to a high level of funding volatility and manipulation. </w:t>
      </w:r>
      <w:r w:rsidR="00305650">
        <w:t xml:space="preserve">As reported </w:t>
      </w:r>
      <w:r w:rsidR="00143C82">
        <w:t xml:space="preserve">by </w:t>
      </w:r>
      <w:r w:rsidR="00623F39">
        <w:t>Department of Health and Ageing (2011</w:t>
      </w:r>
      <w:r w:rsidR="00305650">
        <w:t>; pp24-25</w:t>
      </w:r>
      <w:r w:rsidR="00623F39">
        <w:t>)</w:t>
      </w:r>
      <w:r w:rsidR="00143C82">
        <w:t>, the Hogan</w:t>
      </w:r>
      <w:r w:rsidR="00D74A60" w:rsidRPr="00BD6695">
        <w:t xml:space="preserve"> </w:t>
      </w:r>
      <w:r w:rsidR="00143C82">
        <w:t xml:space="preserve">review of pricing arrangements in 2004 </w:t>
      </w:r>
      <w:r w:rsidR="00D74A60" w:rsidRPr="00BD6695">
        <w:t xml:space="preserve">found that the </w:t>
      </w:r>
      <w:r w:rsidR="00143C82">
        <w:t>“</w:t>
      </w:r>
      <w:r w:rsidR="00D74A60" w:rsidRPr="00BD6695">
        <w:t>three main disadvantages of the RCS arrangements were: the administrative burden inherent in the RCS; the adequacy of funding arrangements to appropriately compensate for care needs of particular groups of residents; and the volatility of the RCS, including its susceptibility to manipulation and the potential for residents with similar care needs to be classified into different categories</w:t>
      </w:r>
      <w:r w:rsidR="00623F39" w:rsidRPr="00BD6695">
        <w:t>.</w:t>
      </w:r>
      <w:r w:rsidR="00143C82">
        <w:t>”</w:t>
      </w:r>
    </w:p>
    <w:p w:rsidR="00980F62" w:rsidRDefault="009E1F0E" w:rsidP="005A3AA5">
      <w:r>
        <w:t xml:space="preserve">An </w:t>
      </w:r>
      <w:r w:rsidRPr="00A47D14">
        <w:t xml:space="preserve">integrated residential care system with </w:t>
      </w:r>
      <w:r>
        <w:t xml:space="preserve">the full spread of resident dependencies </w:t>
      </w:r>
      <w:r w:rsidRPr="00A47D14">
        <w:t xml:space="preserve">included in the </w:t>
      </w:r>
      <w:r w:rsidR="00655F4B">
        <w:t xml:space="preserve">RCS </w:t>
      </w:r>
      <w:r w:rsidRPr="00A47D14">
        <w:t xml:space="preserve">funding model, </w:t>
      </w:r>
      <w:r w:rsidR="00926175">
        <w:t xml:space="preserve">also </w:t>
      </w:r>
      <w:r>
        <w:t xml:space="preserve">meant that </w:t>
      </w:r>
      <w:r w:rsidRPr="00A47D14">
        <w:t xml:space="preserve">the number of residents for whom higher levels </w:t>
      </w:r>
      <w:r>
        <w:t xml:space="preserve">of funding could be claimed </w:t>
      </w:r>
      <w:r w:rsidRPr="00A47D14">
        <w:t xml:space="preserve">increased significantly. The RCS Review Audit program was expanded to address this issue, as without controls to prevent the documentation of </w:t>
      </w:r>
      <w:r>
        <w:t xml:space="preserve">ever </w:t>
      </w:r>
      <w:r w:rsidRPr="00A47D14">
        <w:t xml:space="preserve">rising care needs, systematic increases in RCS claims had the potential </w:t>
      </w:r>
      <w:r>
        <w:t xml:space="preserve">to </w:t>
      </w:r>
      <w:r w:rsidR="00592015">
        <w:t xml:space="preserve">significantly </w:t>
      </w:r>
      <w:r w:rsidRPr="00A47D14">
        <w:t xml:space="preserve">increase government expenditure. </w:t>
      </w:r>
      <w:r>
        <w:t xml:space="preserve">Over time, </w:t>
      </w:r>
      <w:r w:rsidRPr="00A47D14">
        <w:t>RCS claims did rise significantly</w:t>
      </w:r>
      <w:r w:rsidR="00592015">
        <w:t xml:space="preserve"> with </w:t>
      </w:r>
      <w:r w:rsidR="00592015" w:rsidRPr="00A47D14">
        <w:t xml:space="preserve">the majority of </w:t>
      </w:r>
      <w:r w:rsidR="00592015">
        <w:t xml:space="preserve">aged care </w:t>
      </w:r>
      <w:r w:rsidR="00592015" w:rsidRPr="00A47D14">
        <w:t xml:space="preserve">residents </w:t>
      </w:r>
      <w:r w:rsidR="00592015">
        <w:t>being classified as needing the highest levels of</w:t>
      </w:r>
      <w:r w:rsidR="00592015" w:rsidRPr="00A47D14">
        <w:t xml:space="preserve"> funding</w:t>
      </w:r>
      <w:r w:rsidR="00592015">
        <w:t xml:space="preserve"> </w:t>
      </w:r>
      <w:r w:rsidR="00354973">
        <w:br/>
      </w:r>
      <w:r w:rsidR="00592015">
        <w:t>(RCS 1 and 2),</w:t>
      </w:r>
      <w:r w:rsidR="00592015" w:rsidRPr="00A47D14">
        <w:t xml:space="preserve"> outcomes which </w:t>
      </w:r>
      <w:r w:rsidR="00592015">
        <w:t xml:space="preserve">significantly </w:t>
      </w:r>
      <w:r w:rsidR="00592015" w:rsidRPr="00A47D14">
        <w:t xml:space="preserve">impacted on the relativities in the </w:t>
      </w:r>
      <w:r w:rsidR="00592015">
        <w:t xml:space="preserve">original </w:t>
      </w:r>
      <w:r w:rsidR="00592015" w:rsidRPr="00A47D14">
        <w:t>scale</w:t>
      </w:r>
      <w:r w:rsidR="00592015">
        <w:t xml:space="preserve"> design and government expenditure</w:t>
      </w:r>
      <w:r w:rsidR="00926175">
        <w:t>,</w:t>
      </w:r>
      <w:r w:rsidR="00592015">
        <w:t xml:space="preserve"> which increased beyond budget projections</w:t>
      </w:r>
      <w:r w:rsidR="00592015" w:rsidRPr="00A47D14">
        <w:t>.</w:t>
      </w:r>
    </w:p>
    <w:p w:rsidR="002D6FE6" w:rsidRDefault="009E1F0E" w:rsidP="005A3AA5">
      <w:pPr>
        <w:rPr>
          <w:sz w:val="22"/>
        </w:rPr>
      </w:pPr>
      <w:r>
        <w:t>C</w:t>
      </w:r>
      <w:r w:rsidRPr="00A47D14">
        <w:t xml:space="preserve">laims </w:t>
      </w:r>
      <w:r w:rsidR="00592015">
        <w:t xml:space="preserve">also </w:t>
      </w:r>
      <w:r w:rsidRPr="00A47D14">
        <w:t xml:space="preserve">became harder to </w:t>
      </w:r>
      <w:r>
        <w:t xml:space="preserve">audit </w:t>
      </w:r>
      <w:r w:rsidRPr="00A47D14">
        <w:t>effectively</w:t>
      </w:r>
      <w:r w:rsidR="00592015">
        <w:t xml:space="preserve"> with a high proportion of Departmental review decisions being challenged</w:t>
      </w:r>
      <w:r w:rsidR="002D6FE6">
        <w:t>.</w:t>
      </w:r>
      <w:r w:rsidR="007A576E">
        <w:t xml:space="preserve"> </w:t>
      </w:r>
      <w:r w:rsidR="002D6FE6">
        <w:t>For example</w:t>
      </w:r>
      <w:r w:rsidR="00592015">
        <w:t>,</w:t>
      </w:r>
      <w:r w:rsidR="002D6FE6">
        <w:t xml:space="preserve"> during 2008-09, 12,548 reviews of RCS appraisals were completed. Of those reviews, 3,749 or 30 per cent resulted in reductions of funding, of which 350 or 9.3 per cent were appealed</w:t>
      </w:r>
      <w:r w:rsidR="00592015">
        <w:t xml:space="preserve"> by providers</w:t>
      </w:r>
      <w:r w:rsidR="002D6FE6">
        <w:t>. In approximately 43.7 per cent of appealed cases, the original classiﬁcation by the home was reinstated (</w:t>
      </w:r>
      <w:r w:rsidR="00592015" w:rsidRPr="009420EE">
        <w:rPr>
          <w:rFonts w:eastAsia="Times New Roman" w:cs="Times New Roman"/>
        </w:rPr>
        <w:t>Commonwealth of Australia 2009</w:t>
      </w:r>
      <w:r w:rsidR="00592015">
        <w:t>)</w:t>
      </w:r>
      <w:r w:rsidR="002D6FE6">
        <w:t>.</w:t>
      </w:r>
    </w:p>
    <w:p w:rsidR="00557FD2" w:rsidRDefault="00557FD2" w:rsidP="00B6508F">
      <w:pPr>
        <w:pStyle w:val="Heading2-Chapter1"/>
      </w:pPr>
      <w:bookmarkStart w:id="61" w:name="_Toc486599963"/>
      <w:bookmarkStart w:id="62" w:name="_Toc486603006"/>
      <w:bookmarkStart w:id="63" w:name="_Toc491426022"/>
      <w:r w:rsidRPr="006C5BEA">
        <w:t>Development of the ACFI</w:t>
      </w:r>
      <w:bookmarkEnd w:id="61"/>
      <w:bookmarkEnd w:id="62"/>
      <w:bookmarkEnd w:id="63"/>
    </w:p>
    <w:p w:rsidR="00980F62" w:rsidRDefault="00BE6CFE" w:rsidP="00C42C82">
      <w:r w:rsidRPr="001A7179">
        <w:t xml:space="preserve">In response to concerns about the perceived burden resulting from the administrative and documentation requirements of the </w:t>
      </w:r>
      <w:r w:rsidR="00EE0118">
        <w:t>RCS</w:t>
      </w:r>
      <w:r w:rsidRPr="001A7179">
        <w:t xml:space="preserve"> assessment tool and a financial growth at a higher </w:t>
      </w:r>
      <w:r w:rsidRPr="001A7179">
        <w:lastRenderedPageBreak/>
        <w:t>level than expected by Government, four reviews were undertaken and culminated in a project to develop and implement the ACFI.</w:t>
      </w:r>
    </w:p>
    <w:p w:rsidR="00980F62" w:rsidRDefault="00BE6CFE" w:rsidP="005A3AA5">
      <w:pPr>
        <w:spacing w:after="0"/>
        <w:rPr>
          <w:rStyle w:val="Strong"/>
        </w:rPr>
      </w:pPr>
      <w:r w:rsidRPr="00C14F1D">
        <w:rPr>
          <w:rStyle w:val="Strong"/>
        </w:rPr>
        <w:t>The ACFI and Assessed Care Needs</w:t>
      </w:r>
    </w:p>
    <w:p w:rsidR="00A027C0" w:rsidRDefault="00655F4B" w:rsidP="00C42C82">
      <w:r>
        <w:t xml:space="preserve">Resulting from the learnings associated with the RCS </w:t>
      </w:r>
      <w:r w:rsidR="00EE0118">
        <w:t>operation</w:t>
      </w:r>
      <w:r>
        <w:t xml:space="preserve"> it was seen as </w:t>
      </w:r>
      <w:r w:rsidRPr="00A47D14">
        <w:t>more appropriate to build future funding system</w:t>
      </w:r>
      <w:r>
        <w:t>s</w:t>
      </w:r>
      <w:r w:rsidRPr="00A47D14">
        <w:t xml:space="preserve"> around assessed care need</w:t>
      </w:r>
      <w:r>
        <w:t xml:space="preserve"> as</w:t>
      </w:r>
      <w:r w:rsidR="00A027C0">
        <w:t>:</w:t>
      </w:r>
    </w:p>
    <w:p w:rsidR="00F06EC6" w:rsidRDefault="00A027C0" w:rsidP="00F02312">
      <w:pPr>
        <w:pStyle w:val="ListParagraph"/>
        <w:numPr>
          <w:ilvl w:val="0"/>
          <w:numId w:val="74"/>
        </w:numPr>
      </w:pPr>
      <w:r>
        <w:t xml:space="preserve">It </w:t>
      </w:r>
      <w:r w:rsidR="002C4E8B">
        <w:t>would</w:t>
      </w:r>
      <w:r w:rsidR="00655F4B">
        <w:t xml:space="preserve"> provide</w:t>
      </w:r>
      <w:r w:rsidR="00EE0118">
        <w:t xml:space="preserve"> for </w:t>
      </w:r>
      <w:r w:rsidR="00655F4B">
        <w:t>a standardised basis for</w:t>
      </w:r>
      <w:r>
        <w:t xml:space="preserve"> funding system determinations</w:t>
      </w:r>
      <w:r w:rsidR="00502A78">
        <w:t xml:space="preserve"> wherever a person was supported, including community care</w:t>
      </w:r>
      <w:r w:rsidR="000E389F">
        <w:t>.</w:t>
      </w:r>
    </w:p>
    <w:p w:rsidR="00980F62" w:rsidRDefault="00A027C0" w:rsidP="00F02312">
      <w:pPr>
        <w:pStyle w:val="ListParagraph"/>
        <w:numPr>
          <w:ilvl w:val="0"/>
          <w:numId w:val="74"/>
        </w:numPr>
      </w:pPr>
      <w:r>
        <w:t>P</w:t>
      </w:r>
      <w:r w:rsidR="00655F4B">
        <w:t>roviders could build flexible care models to address the assessed care needs</w:t>
      </w:r>
      <w:r w:rsidR="00502A78">
        <w:t xml:space="preserve"> without having the care provided aspect dictated by a funding mechanism.</w:t>
      </w:r>
    </w:p>
    <w:p w:rsidR="00C6031E" w:rsidRDefault="00C6031E" w:rsidP="00F02312">
      <w:pPr>
        <w:pStyle w:val="ListParagraph"/>
        <w:numPr>
          <w:ilvl w:val="0"/>
          <w:numId w:val="74"/>
        </w:numPr>
      </w:pPr>
      <w:r>
        <w:t>It would allow more flexible ‘care provided’ responses by providers to resident desires and preferences (promotes consumer directed care)</w:t>
      </w:r>
      <w:r w:rsidR="000E389F">
        <w:t>.</w:t>
      </w:r>
    </w:p>
    <w:p w:rsidR="00A027C0" w:rsidRDefault="00502A78" w:rsidP="00F02312">
      <w:pPr>
        <w:pStyle w:val="ListParagraph"/>
        <w:numPr>
          <w:ilvl w:val="0"/>
          <w:numId w:val="74"/>
        </w:numPr>
      </w:pPr>
      <w:r>
        <w:t xml:space="preserve">Care provided is a quality of care </w:t>
      </w:r>
      <w:r w:rsidR="00C6031E">
        <w:t>matter</w:t>
      </w:r>
      <w:r>
        <w:t xml:space="preserve"> that is </w:t>
      </w:r>
      <w:r w:rsidR="00C6031E">
        <w:t xml:space="preserve">better </w:t>
      </w:r>
      <w:r>
        <w:t xml:space="preserve">covered </w:t>
      </w:r>
      <w:r w:rsidR="00C6031E">
        <w:t xml:space="preserve">separately </w:t>
      </w:r>
      <w:r>
        <w:t>by the Specified Care and Services requirements and the Quality Agency</w:t>
      </w:r>
      <w:r w:rsidR="000E389F">
        <w:t>.</w:t>
      </w:r>
    </w:p>
    <w:p w:rsidR="00980F62" w:rsidRDefault="00A027C0" w:rsidP="00F02312">
      <w:pPr>
        <w:pStyle w:val="ListParagraph"/>
        <w:numPr>
          <w:ilvl w:val="0"/>
          <w:numId w:val="74"/>
        </w:numPr>
      </w:pPr>
      <w:r>
        <w:t xml:space="preserve">It </w:t>
      </w:r>
      <w:r w:rsidR="00655F4B" w:rsidRPr="00A47D14">
        <w:t>allow</w:t>
      </w:r>
      <w:r w:rsidR="006C4493">
        <w:t>ed</w:t>
      </w:r>
      <w:r w:rsidR="00655F4B" w:rsidRPr="00A47D14">
        <w:t xml:space="preserve"> for </w:t>
      </w:r>
      <w:r w:rsidR="00C6031E">
        <w:t xml:space="preserve">the introduction of an </w:t>
      </w:r>
      <w:r w:rsidR="00EE0118">
        <w:t>External A</w:t>
      </w:r>
      <w:r w:rsidR="00655F4B" w:rsidRPr="00A47D14">
        <w:t xml:space="preserve">ssessment </w:t>
      </w:r>
      <w:r w:rsidR="00C6031E">
        <w:t xml:space="preserve">model </w:t>
      </w:r>
      <w:r w:rsidR="00655F4B" w:rsidRPr="00A47D14">
        <w:t xml:space="preserve">and funding </w:t>
      </w:r>
      <w:r w:rsidR="00655F4B">
        <w:t>determination</w:t>
      </w:r>
      <w:r w:rsidR="00EE0118">
        <w:t xml:space="preserve"> if required at a future time</w:t>
      </w:r>
      <w:r w:rsidR="000E389F">
        <w:t>.</w:t>
      </w:r>
    </w:p>
    <w:p w:rsidR="00A027C0" w:rsidRDefault="00A027C0" w:rsidP="00F02312">
      <w:pPr>
        <w:pStyle w:val="ListParagraph"/>
        <w:numPr>
          <w:ilvl w:val="0"/>
          <w:numId w:val="74"/>
        </w:numPr>
      </w:pPr>
      <w:r>
        <w:t>It</w:t>
      </w:r>
      <w:r w:rsidR="001D1DF9">
        <w:t xml:space="preserve"> fitted</w:t>
      </w:r>
      <w:r>
        <w:t xml:space="preserve"> better with the residential aged care environment</w:t>
      </w:r>
      <w:r w:rsidR="00C6031E">
        <w:t xml:space="preserve"> where there are many possible </w:t>
      </w:r>
      <w:r w:rsidR="003223B4">
        <w:t xml:space="preserve">appropriate </w:t>
      </w:r>
      <w:r w:rsidR="00C6031E">
        <w:t>responses to a</w:t>
      </w:r>
      <w:r w:rsidR="003223B4">
        <w:t>n identified</w:t>
      </w:r>
      <w:r w:rsidR="00C6031E">
        <w:t xml:space="preserve"> care need.</w:t>
      </w:r>
      <w:r w:rsidR="007A576E">
        <w:t xml:space="preserve"> </w:t>
      </w:r>
      <w:r w:rsidR="00C6031E">
        <w:t xml:space="preserve">This is in contrast to a hospital or sub-acute environment where the response to the care need is </w:t>
      </w:r>
      <w:r w:rsidR="00EE0118">
        <w:t xml:space="preserve">more </w:t>
      </w:r>
      <w:r w:rsidR="003223B4">
        <w:t>clearly defined</w:t>
      </w:r>
      <w:r w:rsidR="00EE0118">
        <w:t xml:space="preserve"> allowing funding to be determined on the basis of the activity</w:t>
      </w:r>
      <w:r w:rsidR="000E389F">
        <w:t>.</w:t>
      </w:r>
    </w:p>
    <w:p w:rsidR="00980F62" w:rsidRDefault="00BE6CFE" w:rsidP="002B542A">
      <w:pPr>
        <w:spacing w:before="120" w:after="0" w:line="240" w:lineRule="auto"/>
        <w:rPr>
          <w:rStyle w:val="Strong"/>
        </w:rPr>
      </w:pPr>
      <w:r w:rsidRPr="00C14F1D">
        <w:rPr>
          <w:rStyle w:val="Strong"/>
        </w:rPr>
        <w:t>ACFI Design Principles</w:t>
      </w:r>
    </w:p>
    <w:p w:rsidR="00980F62" w:rsidRDefault="00BE6CFE" w:rsidP="00C42C82">
      <w:r>
        <w:t>T</w:t>
      </w:r>
      <w:r w:rsidR="009E1F0E" w:rsidRPr="00A47D14">
        <w:t xml:space="preserve">he change from the RCS to the ACFI was guided by a number of underlying principles </w:t>
      </w:r>
      <w:r w:rsidR="009E1F0E">
        <w:t xml:space="preserve">which were </w:t>
      </w:r>
      <w:r w:rsidR="009E1F0E" w:rsidRPr="00A47D14">
        <w:t>determ</w:t>
      </w:r>
      <w:r w:rsidR="004F4A26">
        <w:t>ined in consultation with an Industry Reference G</w:t>
      </w:r>
      <w:r w:rsidR="009E1F0E" w:rsidRPr="00A47D14">
        <w:t xml:space="preserve">roup. </w:t>
      </w:r>
      <w:r>
        <w:t>T</w:t>
      </w:r>
      <w:r w:rsidR="009E1F0E" w:rsidRPr="00A47D14">
        <w:t>he principles included:</w:t>
      </w:r>
    </w:p>
    <w:p w:rsidR="00980F62" w:rsidRDefault="009E1F0E" w:rsidP="00F02312">
      <w:pPr>
        <w:pStyle w:val="ListParagraph"/>
        <w:numPr>
          <w:ilvl w:val="0"/>
          <w:numId w:val="74"/>
        </w:numPr>
      </w:pPr>
      <w:r w:rsidRPr="00C42C82">
        <w:t xml:space="preserve">A reduced question set which </w:t>
      </w:r>
      <w:r w:rsidR="004F4A26" w:rsidRPr="00C42C82">
        <w:t>identified key resource drivers</w:t>
      </w:r>
      <w:r w:rsidR="009E6F01" w:rsidRPr="00C42C82">
        <w:t>.</w:t>
      </w:r>
    </w:p>
    <w:p w:rsidR="009E1F0E" w:rsidRPr="00C42C82" w:rsidRDefault="004F4A26" w:rsidP="00F02312">
      <w:pPr>
        <w:pStyle w:val="ListParagraph"/>
        <w:numPr>
          <w:ilvl w:val="0"/>
          <w:numId w:val="74"/>
        </w:numPr>
      </w:pPr>
      <w:r w:rsidRPr="00C42C82">
        <w:t xml:space="preserve">These key resource drivers or indicator questions </w:t>
      </w:r>
      <w:r w:rsidR="00105B10" w:rsidRPr="00C42C82">
        <w:t xml:space="preserve">were </w:t>
      </w:r>
      <w:r w:rsidRPr="00C42C82">
        <w:t xml:space="preserve">to determine the funding which was to cover all care need areas as described in </w:t>
      </w:r>
      <w:r w:rsidR="009E1F0E" w:rsidRPr="00C42C82">
        <w:t xml:space="preserve">the specified care and services </w:t>
      </w:r>
      <w:r w:rsidRPr="00C42C82">
        <w:t>legislated requirements. The funding was not provided to just cover the areas specified in the ACFI tool</w:t>
      </w:r>
      <w:r w:rsidR="009E6F01" w:rsidRPr="00C42C82">
        <w:t>.</w:t>
      </w:r>
    </w:p>
    <w:p w:rsidR="009E1F0E" w:rsidRPr="00C42C82" w:rsidRDefault="009E1F0E" w:rsidP="00F02312">
      <w:pPr>
        <w:pStyle w:val="ListParagraph"/>
        <w:numPr>
          <w:ilvl w:val="0"/>
          <w:numId w:val="74"/>
        </w:numPr>
      </w:pPr>
      <w:r w:rsidRPr="00C42C82">
        <w:t>An assessment approach that measured the need for care and not care provided</w:t>
      </w:r>
      <w:r w:rsidR="009E6F01" w:rsidRPr="00C42C82">
        <w:t>.</w:t>
      </w:r>
    </w:p>
    <w:p w:rsidR="009E1F0E" w:rsidRPr="00C42C82" w:rsidRDefault="004F4A26" w:rsidP="00F02312">
      <w:pPr>
        <w:pStyle w:val="ListParagraph"/>
        <w:numPr>
          <w:ilvl w:val="0"/>
          <w:numId w:val="74"/>
        </w:numPr>
      </w:pPr>
      <w:r w:rsidRPr="00C42C82">
        <w:t xml:space="preserve">Development of clear question descriptions and guidelines to reduce disagreement between providers and Departmental auditors </w:t>
      </w:r>
      <w:r w:rsidR="009E1F0E" w:rsidRPr="00C42C82">
        <w:t>(i.e. wording refinements, single focussed questions form the minimum data set, consistent rating approach across ADLs)</w:t>
      </w:r>
      <w:r w:rsidR="009E6F01" w:rsidRPr="00C42C82">
        <w:t>.</w:t>
      </w:r>
    </w:p>
    <w:p w:rsidR="009E1F0E" w:rsidRPr="00C42C82" w:rsidRDefault="009E1F0E" w:rsidP="00F02312">
      <w:pPr>
        <w:pStyle w:val="ListParagraph"/>
        <w:numPr>
          <w:ilvl w:val="0"/>
          <w:numId w:val="74"/>
        </w:numPr>
      </w:pPr>
      <w:r w:rsidRPr="00C42C82">
        <w:t xml:space="preserve">Specifying the evidence required for </w:t>
      </w:r>
      <w:r w:rsidR="00105B10" w:rsidRPr="00C42C82">
        <w:t xml:space="preserve">a claim in </w:t>
      </w:r>
      <w:r w:rsidRPr="00C42C82">
        <w:t>each domain - excluding care plans and nursing notes (i.e. assessments, clinical reports, diagnoses, written directives by health professionals), and modifying the RCS domains of medication and complex nursing.</w:t>
      </w:r>
    </w:p>
    <w:p w:rsidR="009E1F0E" w:rsidRDefault="009E1F0E" w:rsidP="00C42C82">
      <w:r>
        <w:t xml:space="preserve">Additionally, </w:t>
      </w:r>
      <w:r w:rsidRPr="00A47D14">
        <w:t xml:space="preserve">in contrast to the RCS that had eight categories of funding with no identifiable resident types, the new funding model was to allow description of identifiable </w:t>
      </w:r>
      <w:r>
        <w:t>‘</w:t>
      </w:r>
      <w:r w:rsidRPr="00A47D14">
        <w:t>case types</w:t>
      </w:r>
      <w:r>
        <w:t>’</w:t>
      </w:r>
      <w:r w:rsidR="00BE6CFE">
        <w:t>.</w:t>
      </w:r>
      <w:r w:rsidR="007A576E">
        <w:t xml:space="preserve"> </w:t>
      </w:r>
      <w:r w:rsidRPr="00A47D14">
        <w:t xml:space="preserve">These case types were to be based on the three major care domains inherent in any aged care support system (personal care, health/nursing, behaviour/dementia). The case </w:t>
      </w:r>
      <w:r>
        <w:t>type</w:t>
      </w:r>
      <w:r w:rsidR="00BE6CFE">
        <w:t xml:space="preserve">s developed </w:t>
      </w:r>
      <w:r>
        <w:t xml:space="preserve">allowed </w:t>
      </w:r>
      <w:r w:rsidRPr="00A47D14">
        <w:t>classifi</w:t>
      </w:r>
      <w:r>
        <w:t xml:space="preserve">cation of </w:t>
      </w:r>
      <w:r w:rsidRPr="00A47D14">
        <w:t xml:space="preserve">individuals into clinically meaningful categories such as </w:t>
      </w:r>
      <w:r w:rsidR="00BE6CFE">
        <w:t xml:space="preserve">for </w:t>
      </w:r>
      <w:r w:rsidR="00BE6CFE">
        <w:lastRenderedPageBreak/>
        <w:t xml:space="preserve">example, </w:t>
      </w:r>
      <w:r w:rsidRPr="00A47D14">
        <w:t>low personal care needs, moderate behaviour care needs and low health/nursing care needs</w:t>
      </w:r>
      <w:r w:rsidR="00BE6CFE">
        <w:t xml:space="preserve"> to assist staff understanding of resident support requirements</w:t>
      </w:r>
      <w:r w:rsidRPr="00A47D14">
        <w:t>.</w:t>
      </w:r>
    </w:p>
    <w:p w:rsidR="00980F62" w:rsidRDefault="009E1F0E" w:rsidP="00C42C82">
      <w:pPr>
        <w:rPr>
          <w:rFonts w:cstheme="minorHAnsi"/>
        </w:rPr>
      </w:pPr>
      <w:r>
        <w:rPr>
          <w:rFonts w:cstheme="minorHAnsi"/>
        </w:rPr>
        <w:t>An e</w:t>
      </w:r>
      <w:r w:rsidRPr="00A47D14">
        <w:rPr>
          <w:rFonts w:cstheme="minorHAnsi"/>
        </w:rPr>
        <w:t xml:space="preserve">xtensive national trial </w:t>
      </w:r>
      <w:r>
        <w:rPr>
          <w:rFonts w:cstheme="minorHAnsi"/>
        </w:rPr>
        <w:t xml:space="preserve">was undertaken and resulted in the </w:t>
      </w:r>
      <w:r w:rsidRPr="00A47D14">
        <w:rPr>
          <w:rFonts w:cstheme="minorHAnsi"/>
        </w:rPr>
        <w:t xml:space="preserve">ACFI </w:t>
      </w:r>
      <w:r>
        <w:rPr>
          <w:rFonts w:cstheme="minorHAnsi"/>
        </w:rPr>
        <w:t xml:space="preserve">being </w:t>
      </w:r>
      <w:r w:rsidRPr="00A47D14">
        <w:rPr>
          <w:rFonts w:cstheme="minorHAnsi"/>
        </w:rPr>
        <w:t>focused on questions that varied accor</w:t>
      </w:r>
      <w:r w:rsidR="00105B10">
        <w:rPr>
          <w:rFonts w:cstheme="minorHAnsi"/>
        </w:rPr>
        <w:t xml:space="preserve">ding to resident dependency that </w:t>
      </w:r>
      <w:r w:rsidRPr="00A47D14">
        <w:rPr>
          <w:rFonts w:cstheme="minorHAnsi"/>
        </w:rPr>
        <w:t xml:space="preserve">best discriminated care needs between residents. RCS questions such as </w:t>
      </w:r>
      <w:r>
        <w:rPr>
          <w:rFonts w:cstheme="minorHAnsi"/>
        </w:rPr>
        <w:t>those about s</w:t>
      </w:r>
      <w:r w:rsidRPr="00A47D14">
        <w:rPr>
          <w:rFonts w:cstheme="minorHAnsi"/>
        </w:rPr>
        <w:t xml:space="preserve">ocial and </w:t>
      </w:r>
      <w:r>
        <w:rPr>
          <w:rFonts w:cstheme="minorHAnsi"/>
        </w:rPr>
        <w:t>h</w:t>
      </w:r>
      <w:r w:rsidRPr="00A47D14">
        <w:rPr>
          <w:rFonts w:cstheme="minorHAnsi"/>
        </w:rPr>
        <w:t xml:space="preserve">uman </w:t>
      </w:r>
      <w:r>
        <w:rPr>
          <w:rFonts w:cstheme="minorHAnsi"/>
        </w:rPr>
        <w:t>n</w:t>
      </w:r>
      <w:r w:rsidRPr="00A47D14">
        <w:rPr>
          <w:rFonts w:cstheme="minorHAnsi"/>
        </w:rPr>
        <w:t xml:space="preserve">eeds </w:t>
      </w:r>
      <w:r>
        <w:rPr>
          <w:rFonts w:cstheme="minorHAnsi"/>
        </w:rPr>
        <w:t>a</w:t>
      </w:r>
      <w:r w:rsidRPr="00A47D14">
        <w:rPr>
          <w:rFonts w:cstheme="minorHAnsi"/>
        </w:rPr>
        <w:t xml:space="preserve">nd </w:t>
      </w:r>
      <w:r>
        <w:rPr>
          <w:rFonts w:cstheme="minorHAnsi"/>
        </w:rPr>
        <w:t>f</w:t>
      </w:r>
      <w:r w:rsidRPr="00A47D14">
        <w:rPr>
          <w:rFonts w:cstheme="minorHAnsi"/>
        </w:rPr>
        <w:t xml:space="preserve">amily </w:t>
      </w:r>
      <w:r>
        <w:rPr>
          <w:rFonts w:cstheme="minorHAnsi"/>
        </w:rPr>
        <w:t>s</w:t>
      </w:r>
      <w:r w:rsidRPr="00A47D14">
        <w:rPr>
          <w:rFonts w:cstheme="minorHAnsi"/>
        </w:rPr>
        <w:t xml:space="preserve">upport, while </w:t>
      </w:r>
      <w:r>
        <w:rPr>
          <w:rFonts w:cstheme="minorHAnsi"/>
        </w:rPr>
        <w:t>obviously important aspects of care</w:t>
      </w:r>
      <w:r w:rsidRPr="00A47D14">
        <w:rPr>
          <w:rFonts w:cstheme="minorHAnsi"/>
        </w:rPr>
        <w:t xml:space="preserve">, were not areas that varied greatly between residents with different levels of care need (impairments and dependency). </w:t>
      </w:r>
      <w:r w:rsidR="00354973">
        <w:rPr>
          <w:rFonts w:cstheme="minorHAnsi"/>
        </w:rPr>
        <w:br/>
      </w:r>
      <w:r w:rsidRPr="00A47D14">
        <w:rPr>
          <w:rFonts w:cstheme="minorHAnsi"/>
        </w:rPr>
        <w:t xml:space="preserve">These areas of support were considered a relatively ‘constant’ part of everyday care, and </w:t>
      </w:r>
      <w:r>
        <w:rPr>
          <w:rFonts w:cstheme="minorHAnsi"/>
        </w:rPr>
        <w:t>were</w:t>
      </w:r>
      <w:r w:rsidRPr="00A47D14">
        <w:rPr>
          <w:rFonts w:cstheme="minorHAnsi"/>
        </w:rPr>
        <w:t xml:space="preserve"> included in the ‘specified care and services’ that all facilities were expected to provide.</w:t>
      </w:r>
    </w:p>
    <w:p w:rsidR="00980F62" w:rsidRDefault="009E1F0E" w:rsidP="00C42C82">
      <w:r w:rsidRPr="00A47D14">
        <w:t xml:space="preserve">More detailed discussion </w:t>
      </w:r>
      <w:r>
        <w:t>about ACFI syst</w:t>
      </w:r>
      <w:r w:rsidRPr="00A47D14">
        <w:t xml:space="preserve">em </w:t>
      </w:r>
      <w:r>
        <w:t>development</w:t>
      </w:r>
      <w:r w:rsidR="00354973">
        <w:t>,</w:t>
      </w:r>
      <w:r>
        <w:t xml:space="preserve"> including </w:t>
      </w:r>
      <w:r w:rsidRPr="00A47D14">
        <w:t xml:space="preserve">the funding model, is </w:t>
      </w:r>
      <w:r>
        <w:t>included</w:t>
      </w:r>
      <w:r w:rsidRPr="00A47D14">
        <w:t xml:space="preserve"> in </w:t>
      </w:r>
      <w:hyperlink w:anchor="Ch03" w:history="1">
        <w:r w:rsidRPr="00CF7AFA">
          <w:rPr>
            <w:rStyle w:val="Hyperlink"/>
          </w:rPr>
          <w:t>Chapter 3</w:t>
        </w:r>
      </w:hyperlink>
      <w:r w:rsidRPr="00A47D14">
        <w:t xml:space="preserve">. Statistical analyses of the ACFI domains and funding growth is </w:t>
      </w:r>
      <w:r>
        <w:t xml:space="preserve">provided </w:t>
      </w:r>
      <w:r w:rsidRPr="00A47D14">
        <w:t>in Chapters 4-6, 8 and 9.</w:t>
      </w:r>
    </w:p>
    <w:p w:rsidR="009E1F0E" w:rsidRPr="001A7179" w:rsidRDefault="009E1F0E" w:rsidP="005A3AA5">
      <w:pPr>
        <w:rPr>
          <w:lang w:val="en-US"/>
        </w:rPr>
      </w:pPr>
      <w:r>
        <w:t>In summary, t</w:t>
      </w:r>
      <w:r w:rsidRPr="001A7179">
        <w:t>he ACFI which was implemented on 20 March 2008 was designed to deliver:</w:t>
      </w:r>
    </w:p>
    <w:p w:rsidR="009E1F0E" w:rsidRPr="001A197B" w:rsidRDefault="009E1F0E" w:rsidP="00F02312">
      <w:pPr>
        <w:pStyle w:val="ListParagraph"/>
        <w:numPr>
          <w:ilvl w:val="0"/>
          <w:numId w:val="74"/>
        </w:numPr>
      </w:pPr>
      <w:r w:rsidRPr="000873BB">
        <w:t>An approach that measured the need for care, not care provided when determining funding but where some elements remained (Q11, Q12)</w:t>
      </w:r>
      <w:r w:rsidR="0049588F">
        <w:t>.</w:t>
      </w:r>
    </w:p>
    <w:p w:rsidR="009E1F0E" w:rsidRPr="00C42C82" w:rsidRDefault="009E1F0E" w:rsidP="00F02312">
      <w:pPr>
        <w:pStyle w:val="ListParagraph"/>
        <w:numPr>
          <w:ilvl w:val="0"/>
          <w:numId w:val="74"/>
        </w:numPr>
      </w:pPr>
      <w:r w:rsidRPr="00A47D14">
        <w:t xml:space="preserve">A funding model with identifiable </w:t>
      </w:r>
      <w:r>
        <w:t>‘</w:t>
      </w:r>
      <w:r w:rsidRPr="00A47D14">
        <w:t>case types</w:t>
      </w:r>
      <w:r>
        <w:t>’</w:t>
      </w:r>
      <w:r w:rsidR="0049588F">
        <w:t>.</w:t>
      </w:r>
    </w:p>
    <w:p w:rsidR="00980F62" w:rsidRDefault="009E1F0E" w:rsidP="00F02312">
      <w:pPr>
        <w:pStyle w:val="ListParagraph"/>
        <w:numPr>
          <w:ilvl w:val="0"/>
          <w:numId w:val="74"/>
        </w:numPr>
      </w:pPr>
      <w:r w:rsidRPr="00C42C82">
        <w:t>A funding redistribution from lower care to higher care levels to provide more funding to those residents with higher staff resource demands</w:t>
      </w:r>
      <w:r w:rsidR="0049588F" w:rsidRPr="00C42C82">
        <w:t>.</w:t>
      </w:r>
    </w:p>
    <w:p w:rsidR="009E1F0E" w:rsidRPr="00C42C82" w:rsidRDefault="009E1F0E" w:rsidP="00F02312">
      <w:pPr>
        <w:pStyle w:val="ListParagraph"/>
        <w:numPr>
          <w:ilvl w:val="0"/>
          <w:numId w:val="74"/>
        </w:numPr>
      </w:pPr>
      <w:r w:rsidRPr="00C42C82">
        <w:t>Funding to enable new care programs focusing on pain management</w:t>
      </w:r>
      <w:r w:rsidR="0049588F" w:rsidRPr="00C42C82">
        <w:t>.</w:t>
      </w:r>
    </w:p>
    <w:p w:rsidR="00980F62" w:rsidRDefault="009E1F0E" w:rsidP="00F02312">
      <w:pPr>
        <w:pStyle w:val="ListParagraph"/>
        <w:numPr>
          <w:ilvl w:val="0"/>
          <w:numId w:val="74"/>
        </w:numPr>
      </w:pPr>
      <w:r w:rsidRPr="00C42C82">
        <w:t xml:space="preserve">Transparency in the subsidy </w:t>
      </w:r>
      <w:r w:rsidR="00177F1E">
        <w:t>amount</w:t>
      </w:r>
      <w:r w:rsidR="00177F1E" w:rsidRPr="00C42C82">
        <w:t xml:space="preserve"> </w:t>
      </w:r>
      <w:r w:rsidRPr="00C42C82">
        <w:t>paid for the key care domain (ADL) with Behaviour &amp; Complex Health Care payments included as ‘supplements’</w:t>
      </w:r>
      <w:r w:rsidR="0049588F" w:rsidRPr="00C42C82">
        <w:t>.</w:t>
      </w:r>
    </w:p>
    <w:p w:rsidR="009E1F0E" w:rsidRPr="00C42C82" w:rsidRDefault="009E1F0E" w:rsidP="00F02312">
      <w:pPr>
        <w:pStyle w:val="ListParagraph"/>
        <w:numPr>
          <w:ilvl w:val="0"/>
          <w:numId w:val="74"/>
        </w:numPr>
      </w:pPr>
      <w:r w:rsidRPr="00C42C82">
        <w:t>Funding allocation between the care domains to be modified if, in future, the standard care costs can be demonstrated to necessitate a change in relativities.</w:t>
      </w:r>
    </w:p>
    <w:p w:rsidR="00557FD2" w:rsidRPr="006C5BEA" w:rsidRDefault="00557FD2" w:rsidP="00112D2F">
      <w:pPr>
        <w:pStyle w:val="Heading3-Chapter12"/>
      </w:pPr>
      <w:bookmarkStart w:id="64" w:name="_Toc486599964"/>
      <w:bookmarkStart w:id="65" w:name="_Toc486603007"/>
      <w:r w:rsidRPr="006C5BEA">
        <w:t>Departmental Review of the ACFI</w:t>
      </w:r>
      <w:bookmarkEnd w:id="64"/>
      <w:bookmarkEnd w:id="65"/>
    </w:p>
    <w:p w:rsidR="00980F62" w:rsidRDefault="009E1F0E" w:rsidP="005A3AA5">
      <w:r w:rsidRPr="00A47D14">
        <w:t>A Department</w:t>
      </w:r>
      <w:r>
        <w:t>al</w:t>
      </w:r>
      <w:r w:rsidRPr="00A47D14">
        <w:t xml:space="preserve"> Review </w:t>
      </w:r>
      <w:r>
        <w:t xml:space="preserve">of the ACFI </w:t>
      </w:r>
      <w:r w:rsidRPr="00A47D14">
        <w:t>was conducted in 2011</w:t>
      </w:r>
      <w:r>
        <w:t xml:space="preserve">. The review </w:t>
      </w:r>
      <w:r w:rsidRPr="00A47D14">
        <w:t xml:space="preserve">included extensive consultations with the </w:t>
      </w:r>
      <w:r>
        <w:t xml:space="preserve">aged care </w:t>
      </w:r>
      <w:r w:rsidRPr="00A47D14">
        <w:t xml:space="preserve">sector and data analysis of the first 34 months of operation of the ACFI (Australian Government Department of Health and Ageing, 2011). </w:t>
      </w:r>
      <w:r>
        <w:t xml:space="preserve">The review found </w:t>
      </w:r>
      <w:r w:rsidRPr="00A47D14">
        <w:t xml:space="preserve">that the ACFI was functioning as intended but </w:t>
      </w:r>
      <w:r>
        <w:t xml:space="preserve">required </w:t>
      </w:r>
      <w:r w:rsidR="003A2675">
        <w:t xml:space="preserve">modification </w:t>
      </w:r>
      <w:r>
        <w:t xml:space="preserve">in </w:t>
      </w:r>
      <w:r w:rsidR="00105B10">
        <w:t>some areas</w:t>
      </w:r>
      <w:r w:rsidRPr="00A47D14">
        <w:t>.</w:t>
      </w:r>
    </w:p>
    <w:p w:rsidR="00980F62" w:rsidRDefault="009E1F0E" w:rsidP="005A3AA5">
      <w:r w:rsidRPr="00A47D14">
        <w:t>The recommendations of most relevance to th</w:t>
      </w:r>
      <w:r>
        <w:t>e</w:t>
      </w:r>
      <w:r w:rsidRPr="00A47D14">
        <w:t xml:space="preserve"> current project were:</w:t>
      </w:r>
    </w:p>
    <w:p w:rsidR="00980F62" w:rsidRDefault="009E1F0E" w:rsidP="00F02312">
      <w:pPr>
        <w:pStyle w:val="ListParagraph"/>
        <w:numPr>
          <w:ilvl w:val="1"/>
          <w:numId w:val="154"/>
        </w:numPr>
        <w:spacing w:after="200"/>
        <w:ind w:left="357" w:hanging="357"/>
        <w:rPr>
          <w:rFonts w:cstheme="minorHAnsi"/>
        </w:rPr>
      </w:pPr>
      <w:r w:rsidRPr="00C42C82">
        <w:rPr>
          <w:rFonts w:cstheme="minorHAnsi"/>
        </w:rPr>
        <w:t>Complex Health C</w:t>
      </w:r>
      <w:r w:rsidR="00DE2806" w:rsidRPr="00C42C82">
        <w:rPr>
          <w:rFonts w:cstheme="minorHAnsi"/>
        </w:rPr>
        <w:t>are Pain Management Items Q12. I</w:t>
      </w:r>
      <w:r w:rsidRPr="00C42C82">
        <w:rPr>
          <w:rFonts w:cstheme="minorHAnsi"/>
        </w:rPr>
        <w:t>tems 3 and 4:</w:t>
      </w:r>
    </w:p>
    <w:p w:rsidR="009E1F0E" w:rsidRPr="00C42C82" w:rsidRDefault="009E1F0E" w:rsidP="00354973">
      <w:pPr>
        <w:pStyle w:val="ListParagraph"/>
        <w:numPr>
          <w:ilvl w:val="1"/>
          <w:numId w:val="74"/>
        </w:numPr>
        <w:ind w:left="924" w:hanging="357"/>
      </w:pPr>
      <w:r w:rsidRPr="00C42C82">
        <w:t xml:space="preserve">Should be modified to remove the focus from specific interventions </w:t>
      </w:r>
      <w:r>
        <w:t>to allow a broader intervention approach</w:t>
      </w:r>
      <w:r w:rsidRPr="00C42C82">
        <w:t>. Therapeutic massage and application of heat packs are too narrow and not consistent with contemporary practice</w:t>
      </w:r>
      <w:r w:rsidR="0049588F" w:rsidRPr="00C42C82">
        <w:t>.</w:t>
      </w:r>
    </w:p>
    <w:p w:rsidR="009E1F0E" w:rsidRPr="00C42C82" w:rsidRDefault="009E1F0E" w:rsidP="00354973">
      <w:pPr>
        <w:pStyle w:val="ListParagraph"/>
        <w:numPr>
          <w:ilvl w:val="1"/>
          <w:numId w:val="74"/>
        </w:numPr>
        <w:ind w:left="924" w:hanging="357"/>
      </w:pPr>
      <w:r w:rsidRPr="00C42C82">
        <w:t>Other care modalities could be included such as exercise (strengthening interventions are also an effective way to reduce musculoskeletal pain)</w:t>
      </w:r>
      <w:r w:rsidR="0049588F" w:rsidRPr="00C42C82">
        <w:t>.</w:t>
      </w:r>
    </w:p>
    <w:p w:rsidR="009E1F0E" w:rsidRPr="00C42C82" w:rsidRDefault="009E1F0E" w:rsidP="00354973">
      <w:pPr>
        <w:pStyle w:val="ListParagraph"/>
        <w:numPr>
          <w:ilvl w:val="1"/>
          <w:numId w:val="74"/>
        </w:numPr>
        <w:ind w:left="924" w:hanging="357"/>
      </w:pPr>
      <w:r w:rsidRPr="00C42C82">
        <w:t>The list of allied health professionals that can provide directives and interventions is too restrictive and should be broadened</w:t>
      </w:r>
      <w:r w:rsidR="0049588F" w:rsidRPr="00C42C82">
        <w:t>.</w:t>
      </w:r>
    </w:p>
    <w:p w:rsidR="009E1F0E" w:rsidRPr="00C42C82" w:rsidRDefault="009E1F0E" w:rsidP="00354973">
      <w:pPr>
        <w:pStyle w:val="ListParagraph"/>
        <w:numPr>
          <w:ilvl w:val="1"/>
          <w:numId w:val="74"/>
        </w:numPr>
        <w:ind w:left="924" w:hanging="357"/>
        <w:contextualSpacing w:val="0"/>
      </w:pPr>
      <w:r w:rsidRPr="00C42C82">
        <w:lastRenderedPageBreak/>
        <w:t>It should be noted that when the ACFI was developed, the Department strongly believed that some specific activities had to be included or the provider would take the funding and deliver the least costly option.</w:t>
      </w:r>
    </w:p>
    <w:p w:rsidR="009E1F0E" w:rsidRPr="00C42C82" w:rsidRDefault="009E1F0E" w:rsidP="00F02312">
      <w:pPr>
        <w:pStyle w:val="ListParagraph"/>
        <w:numPr>
          <w:ilvl w:val="1"/>
          <w:numId w:val="154"/>
        </w:numPr>
        <w:spacing w:after="200"/>
        <w:ind w:left="357" w:hanging="357"/>
        <w:rPr>
          <w:rFonts w:cstheme="minorHAnsi"/>
        </w:rPr>
      </w:pPr>
      <w:r w:rsidRPr="00A47D14">
        <w:rPr>
          <w:rFonts w:cstheme="minorHAnsi"/>
        </w:rPr>
        <w:t>The Department, in consultation with the Ageing Consultative Committee, should continue to carefully monitor expenditure trends under the ACFI, with emphasis on achieving an appropriate balance between:</w:t>
      </w:r>
    </w:p>
    <w:p w:rsidR="009E1F0E" w:rsidRPr="00C42C82" w:rsidRDefault="009E1F0E" w:rsidP="00F02312">
      <w:pPr>
        <w:pStyle w:val="ListParagraph"/>
        <w:numPr>
          <w:ilvl w:val="2"/>
          <w:numId w:val="155"/>
        </w:numPr>
        <w:ind w:left="924" w:hanging="357"/>
        <w:rPr>
          <w:rFonts w:cstheme="minorHAnsi"/>
        </w:rPr>
      </w:pPr>
      <w:r w:rsidRPr="00C42C82">
        <w:rPr>
          <w:rFonts w:cstheme="minorHAnsi"/>
        </w:rPr>
        <w:t>The extent to which overall expenditure growth rates are contained within a sustainable range over the longer term</w:t>
      </w:r>
      <w:r w:rsidR="00354973">
        <w:rPr>
          <w:rFonts w:cstheme="minorHAnsi"/>
        </w:rPr>
        <w:t>.</w:t>
      </w:r>
    </w:p>
    <w:p w:rsidR="009E1F0E" w:rsidRPr="00C42C82" w:rsidRDefault="009E1F0E" w:rsidP="00F02312">
      <w:pPr>
        <w:pStyle w:val="ListParagraph"/>
        <w:numPr>
          <w:ilvl w:val="2"/>
          <w:numId w:val="155"/>
        </w:numPr>
        <w:ind w:left="924" w:hanging="357"/>
        <w:rPr>
          <w:rFonts w:cstheme="minorHAnsi"/>
        </w:rPr>
      </w:pPr>
      <w:r w:rsidRPr="00C42C82">
        <w:rPr>
          <w:rFonts w:cstheme="minorHAnsi"/>
        </w:rPr>
        <w:t>The distributional impact of the introduction of the ACFI across providers</w:t>
      </w:r>
      <w:r w:rsidR="00354973">
        <w:rPr>
          <w:rFonts w:cstheme="minorHAnsi"/>
        </w:rPr>
        <w:t>.</w:t>
      </w:r>
    </w:p>
    <w:p w:rsidR="009E1F0E" w:rsidRPr="00C42C82" w:rsidRDefault="009E1F0E" w:rsidP="00F02312">
      <w:pPr>
        <w:pStyle w:val="ListParagraph"/>
        <w:numPr>
          <w:ilvl w:val="2"/>
          <w:numId w:val="155"/>
        </w:numPr>
        <w:ind w:left="924" w:hanging="357"/>
        <w:rPr>
          <w:rFonts w:cstheme="minorHAnsi"/>
        </w:rPr>
      </w:pPr>
      <w:r w:rsidRPr="00EA3DF2">
        <w:rPr>
          <w:rFonts w:cstheme="minorHAnsi"/>
        </w:rPr>
        <w:t xml:space="preserve">The Department should undertake further work, in consultation with the Ageing Consultative Committee, to </w:t>
      </w:r>
      <w:r w:rsidRPr="00C42C82">
        <w:rPr>
          <w:rFonts w:cstheme="minorHAnsi"/>
        </w:rPr>
        <w:t>enhance the integration of the funding and classification systems with the assessment and quality assurance arrangements across residential and community car</w:t>
      </w:r>
      <w:r w:rsidRPr="00EA3DF2">
        <w:rPr>
          <w:rFonts w:cstheme="minorHAnsi"/>
        </w:rPr>
        <w:t>e</w:t>
      </w:r>
      <w:r w:rsidR="00354973">
        <w:rPr>
          <w:rFonts w:cstheme="minorHAnsi"/>
        </w:rPr>
        <w:t>.</w:t>
      </w:r>
    </w:p>
    <w:p w:rsidR="00980F62" w:rsidRDefault="00FC59E1" w:rsidP="00965B53">
      <w:r w:rsidRPr="00A47D14">
        <w:t>Failure to implement the above reco</w:t>
      </w:r>
      <w:r w:rsidR="00EA3DF2">
        <w:t>mmendations from the</w:t>
      </w:r>
      <w:r w:rsidRPr="00A47D14">
        <w:t xml:space="preserve"> 2011 Report would have implications for the future performance of the ACFI care subsidy payment system.</w:t>
      </w:r>
    </w:p>
    <w:p w:rsidR="00557FD2" w:rsidRPr="006C5BEA" w:rsidRDefault="00557FD2" w:rsidP="00112D2F">
      <w:pPr>
        <w:pStyle w:val="Heading3-Chapter12"/>
      </w:pPr>
      <w:bookmarkStart w:id="66" w:name="_Toc486599965"/>
      <w:bookmarkStart w:id="67" w:name="_Toc486603008"/>
      <w:r>
        <w:t>Care Subsidy Growth under ACFI</w:t>
      </w:r>
      <w:bookmarkEnd w:id="66"/>
      <w:bookmarkEnd w:id="67"/>
    </w:p>
    <w:p w:rsidR="00980F62" w:rsidRDefault="009E1F0E" w:rsidP="005A3AA5">
      <w:pPr>
        <w:spacing w:after="200"/>
      </w:pPr>
      <w:r>
        <w:rPr>
          <w:rFonts w:cstheme="minorHAnsi"/>
          <w:bCs/>
        </w:rPr>
        <w:t xml:space="preserve">While the Department’s 2011 Review found that the ACFI matched </w:t>
      </w:r>
      <w:r>
        <w:rPr>
          <w:i/>
        </w:rPr>
        <w:t>funding to care needs by identifying the significant drivers of relative costs</w:t>
      </w:r>
      <w:r>
        <w:rPr>
          <w:rFonts w:cstheme="minorHAnsi"/>
          <w:bCs/>
        </w:rPr>
        <w:t xml:space="preserve"> and that the industry was largely happy with the tool, business rules and claim requirements, the concern was that </w:t>
      </w:r>
      <w:r w:rsidR="002A2AFA" w:rsidRPr="002A2AFA">
        <w:rPr>
          <w:i/>
        </w:rPr>
        <w:t>a</w:t>
      </w:r>
      <w:r>
        <w:rPr>
          <w:i/>
        </w:rPr>
        <w:t>verage basic subsidi</w:t>
      </w:r>
      <w:r w:rsidR="002A2AFA">
        <w:rPr>
          <w:i/>
        </w:rPr>
        <w:t>es for most aged care homes had</w:t>
      </w:r>
      <w:r>
        <w:rPr>
          <w:i/>
        </w:rPr>
        <w:t xml:space="preserve"> increased significantly in real terms since the introduction of the ACFI</w:t>
      </w:r>
      <w:r>
        <w:t xml:space="preserve"> (Key Finding 3, p 11).</w:t>
      </w:r>
    </w:p>
    <w:p w:rsidR="009E1F0E" w:rsidRPr="006F5104" w:rsidRDefault="009E1F0E" w:rsidP="005A3AA5">
      <w:pPr>
        <w:spacing w:after="200"/>
        <w:rPr>
          <w:rFonts w:cstheme="minorHAnsi"/>
          <w:lang w:val="en-US"/>
        </w:rPr>
      </w:pPr>
      <w:r>
        <w:rPr>
          <w:rFonts w:cstheme="minorHAnsi"/>
          <w:bCs/>
        </w:rPr>
        <w:t>The variable c</w:t>
      </w:r>
      <w:r w:rsidRPr="008E70A0">
        <w:rPr>
          <w:rFonts w:cstheme="minorHAnsi"/>
          <w:bCs/>
        </w:rPr>
        <w:t xml:space="preserve">are subsidies </w:t>
      </w:r>
      <w:r>
        <w:rPr>
          <w:rFonts w:cstheme="minorHAnsi"/>
          <w:bCs/>
        </w:rPr>
        <w:t>used in the Australian aged care funding systems over the years have been of</w:t>
      </w:r>
      <w:r w:rsidRPr="008E70A0">
        <w:rPr>
          <w:rFonts w:cstheme="minorHAnsi"/>
          <w:bCs/>
        </w:rPr>
        <w:t xml:space="preserve"> special interest</w:t>
      </w:r>
      <w:r>
        <w:rPr>
          <w:rFonts w:cstheme="minorHAnsi"/>
          <w:bCs/>
        </w:rPr>
        <w:t xml:space="preserve"> to the government as they </w:t>
      </w:r>
      <w:r>
        <w:rPr>
          <w:rFonts w:cstheme="minorHAnsi"/>
        </w:rPr>
        <w:t>comprise a significant r</w:t>
      </w:r>
      <w:r w:rsidRPr="006F5104">
        <w:rPr>
          <w:rFonts w:cstheme="minorHAnsi"/>
        </w:rPr>
        <w:t xml:space="preserve">isk for the </w:t>
      </w:r>
      <w:r>
        <w:rPr>
          <w:rFonts w:cstheme="minorHAnsi"/>
        </w:rPr>
        <w:t>budget position as:</w:t>
      </w:r>
    </w:p>
    <w:p w:rsidR="009E1F0E" w:rsidRPr="00C42C82" w:rsidRDefault="009E1F0E" w:rsidP="00F02312">
      <w:pPr>
        <w:pStyle w:val="ListParagraph"/>
        <w:numPr>
          <w:ilvl w:val="0"/>
          <w:numId w:val="74"/>
        </w:numPr>
      </w:pPr>
      <w:r w:rsidRPr="00C42C82">
        <w:t>Funding increases year on year if more than predicted impact on budget forward estimates and, as there is no actual limit on the global budget, the risk is high</w:t>
      </w:r>
      <w:r w:rsidR="00CD1DB3" w:rsidRPr="00C42C82">
        <w:t>.</w:t>
      </w:r>
    </w:p>
    <w:p w:rsidR="00980F62" w:rsidRDefault="009E1F0E" w:rsidP="00F02312">
      <w:pPr>
        <w:pStyle w:val="ListParagraph"/>
        <w:numPr>
          <w:ilvl w:val="0"/>
          <w:numId w:val="74"/>
        </w:numPr>
      </w:pPr>
      <w:r w:rsidRPr="00C42C82">
        <w:t>The Department’s ability to ‘restrain’ the increases via their audit program has been limited in the past although more effective of recent times</w:t>
      </w:r>
      <w:r w:rsidR="00CD1DB3" w:rsidRPr="00C42C82">
        <w:t>.</w:t>
      </w:r>
    </w:p>
    <w:p w:rsidR="009E1F0E" w:rsidRPr="00A1011A" w:rsidRDefault="009E1F0E" w:rsidP="00F02312">
      <w:pPr>
        <w:pStyle w:val="ListParagraph"/>
        <w:numPr>
          <w:ilvl w:val="0"/>
          <w:numId w:val="74"/>
        </w:numPr>
        <w:rPr>
          <w:rFonts w:cstheme="minorHAnsi"/>
          <w:lang w:val="en-US"/>
        </w:rPr>
      </w:pPr>
      <w:r w:rsidRPr="00C42C82">
        <w:t>While</w:t>
      </w:r>
      <w:r w:rsidRPr="00A1011A">
        <w:rPr>
          <w:rFonts w:cstheme="minorHAnsi"/>
        </w:rPr>
        <w:t xml:space="preserve"> the care subsidy determined by the ACFI is means tested and the Government may have been expecting a significant contribution from residents, </w:t>
      </w:r>
      <w:r w:rsidRPr="00F0486B">
        <w:rPr>
          <w:rFonts w:cstheme="minorHAnsi"/>
        </w:rPr>
        <w:t xml:space="preserve">this has not been the reality and </w:t>
      </w:r>
      <w:r w:rsidRPr="001033B7">
        <w:rPr>
          <w:rFonts w:cstheme="minorHAnsi"/>
        </w:rPr>
        <w:t xml:space="preserve">the majority of the ACFI subsidy is </w:t>
      </w:r>
      <w:r w:rsidR="003D7B8E">
        <w:rPr>
          <w:rFonts w:cstheme="minorHAnsi"/>
        </w:rPr>
        <w:t xml:space="preserve">still </w:t>
      </w:r>
      <w:r w:rsidRPr="001033B7">
        <w:rPr>
          <w:rFonts w:cstheme="minorHAnsi"/>
        </w:rPr>
        <w:t>paid by Government. Income tested fees are havi</w:t>
      </w:r>
      <w:r w:rsidRPr="00F105E3">
        <w:rPr>
          <w:rFonts w:cstheme="minorHAnsi"/>
        </w:rPr>
        <w:t>ng only a small impact in this area (</w:t>
      </w:r>
      <w:r w:rsidR="00C947E9">
        <w:rPr>
          <w:rFonts w:cstheme="minorHAnsi"/>
        </w:rPr>
        <w:t xml:space="preserve">under </w:t>
      </w:r>
      <w:r w:rsidRPr="00F105E3">
        <w:rPr>
          <w:rFonts w:cstheme="minorHAnsi"/>
        </w:rPr>
        <w:t>3</w:t>
      </w:r>
      <w:r w:rsidR="00C947E9">
        <w:rPr>
          <w:rFonts w:cstheme="minorHAnsi"/>
        </w:rPr>
        <w:t xml:space="preserve"> per cent</w:t>
      </w:r>
      <w:r w:rsidRPr="00F105E3">
        <w:rPr>
          <w:rFonts w:cstheme="minorHAnsi"/>
        </w:rPr>
        <w:t xml:space="preserve">) and this may increase far less than anticipated </w:t>
      </w:r>
      <w:r w:rsidRPr="00A1011A">
        <w:rPr>
          <w:rFonts w:cstheme="minorHAnsi"/>
        </w:rPr>
        <w:t xml:space="preserve">(Australian Government Aged Care Funding Authority, </w:t>
      </w:r>
      <w:r w:rsidRPr="00A1011A">
        <w:rPr>
          <w:rFonts w:cstheme="minorHAnsi"/>
          <w:i/>
          <w:iCs/>
        </w:rPr>
        <w:t>Third Report on the Funding and Financing of the Aged Care Sector, July 2015</w:t>
      </w:r>
      <w:r w:rsidRPr="00F0486B">
        <w:rPr>
          <w:rFonts w:cstheme="minorHAnsi"/>
        </w:rPr>
        <w:t>.</w:t>
      </w:r>
      <w:r w:rsidR="007A576E">
        <w:rPr>
          <w:rFonts w:cstheme="minorHAnsi"/>
        </w:rPr>
        <w:t xml:space="preserve"> </w:t>
      </w:r>
      <w:r w:rsidRPr="00F0486B">
        <w:rPr>
          <w:rFonts w:cstheme="minorHAnsi"/>
        </w:rPr>
        <w:t>Department of Social Services 1438.9.15.</w:t>
      </w:r>
      <w:r w:rsidR="007A576E">
        <w:rPr>
          <w:rFonts w:cstheme="minorHAnsi"/>
        </w:rPr>
        <w:t xml:space="preserve"> </w:t>
      </w:r>
      <w:r w:rsidRPr="001033B7">
        <w:rPr>
          <w:rFonts w:cstheme="minorHAnsi"/>
        </w:rPr>
        <w:t>Commonwealth of Australia.</w:t>
      </w:r>
      <w:r w:rsidR="007A576E">
        <w:rPr>
          <w:rFonts w:cstheme="minorHAnsi"/>
        </w:rPr>
        <w:t xml:space="preserve"> </w:t>
      </w:r>
      <w:r w:rsidRPr="001033B7">
        <w:rPr>
          <w:rFonts w:cstheme="minorHAnsi"/>
        </w:rPr>
        <w:t>Canberra. 2015)</w:t>
      </w:r>
      <w:r>
        <w:rPr>
          <w:rFonts w:cstheme="minorHAnsi"/>
        </w:rPr>
        <w:t>.</w:t>
      </w:r>
    </w:p>
    <w:p w:rsidR="009E1F0E" w:rsidRDefault="00473246" w:rsidP="00C42C82">
      <w:pPr>
        <w:rPr>
          <w:rFonts w:cstheme="minorHAnsi"/>
        </w:rPr>
      </w:pPr>
      <w:hyperlink w:anchor="Fig0101" w:history="1">
        <w:r w:rsidR="009E1F0E" w:rsidRPr="00BE2560">
          <w:rPr>
            <w:rStyle w:val="Hyperlink"/>
            <w:rFonts w:eastAsia="Times New Roman" w:cstheme="minorHAnsi"/>
            <w:szCs w:val="20"/>
          </w:rPr>
          <w:t>Figure 1.1</w:t>
        </w:r>
      </w:hyperlink>
      <w:r w:rsidR="009E1F0E">
        <w:rPr>
          <w:rFonts w:eastAsia="Times New Roman" w:cstheme="minorHAnsi"/>
          <w:szCs w:val="20"/>
        </w:rPr>
        <w:t xml:space="preserve"> shows the </w:t>
      </w:r>
      <w:r w:rsidR="009E1F0E" w:rsidRPr="002344F0">
        <w:rPr>
          <w:lang w:eastAsia="en-AU"/>
        </w:rPr>
        <w:t>average ACFI subsidies growth as proportion of the maximum ACFI funding year on year</w:t>
      </w:r>
      <w:r w:rsidR="009E1F0E">
        <w:rPr>
          <w:lang w:eastAsia="en-AU"/>
        </w:rPr>
        <w:t xml:space="preserve"> across the charitable, community, government and private sectors from 2009 to June 30, 2016.</w:t>
      </w:r>
    </w:p>
    <w:p w:rsidR="00291A6C" w:rsidRDefault="00291A6C" w:rsidP="00291A6C">
      <w:pPr>
        <w:pStyle w:val="Caption"/>
        <w:keepNext/>
      </w:pPr>
      <w:bookmarkStart w:id="68" w:name="_Toc495415943"/>
      <w:r>
        <w:lastRenderedPageBreak/>
        <w:t>Figure 1.</w:t>
      </w:r>
      <w:r w:rsidR="009A3F5A">
        <w:fldChar w:fldCharType="begin"/>
      </w:r>
      <w:r w:rsidR="009A3F5A">
        <w:instrText xml:space="preserve"> SEQ Figure_1. \* ARABIC </w:instrText>
      </w:r>
      <w:r w:rsidR="009A3F5A">
        <w:fldChar w:fldCharType="separate"/>
      </w:r>
      <w:r w:rsidR="00856E49">
        <w:rPr>
          <w:noProof/>
        </w:rPr>
        <w:t>1</w:t>
      </w:r>
      <w:r w:rsidR="009A3F5A">
        <w:rPr>
          <w:noProof/>
        </w:rPr>
        <w:fldChar w:fldCharType="end"/>
      </w:r>
      <w:r>
        <w:t xml:space="preserve">: </w:t>
      </w:r>
      <w:r w:rsidRPr="00291A6C">
        <w:t>Average subsidies growth as proportion of the maximum ACFI funding</w:t>
      </w:r>
      <w:bookmarkEnd w:id="68"/>
    </w:p>
    <w:p w:rsidR="00C42C82" w:rsidRDefault="0027557C" w:rsidP="00527184">
      <w:pPr>
        <w:spacing w:after="160" w:line="259" w:lineRule="auto"/>
        <w:rPr>
          <w:b/>
        </w:rPr>
      </w:pPr>
      <w:r>
        <w:rPr>
          <w:b/>
          <w:noProof/>
          <w:lang w:eastAsia="en-AU"/>
        </w:rPr>
        <w:drawing>
          <wp:inline distT="0" distB="0" distL="0" distR="0" wp14:anchorId="0039D75E" wp14:editId="4607F3FC">
            <wp:extent cx="5316220" cy="2938780"/>
            <wp:effectExtent l="0" t="0" r="0" b="0"/>
            <wp:docPr id="19" name="Picture 19" descr="Figure 1.1 is a line graph that shows the yearly average of subsidies growth for the aged care funding instrument (ACFI) across the sectors from 2009 and 2016, as summarised in the text prior to and procee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6220" cy="2938780"/>
                    </a:xfrm>
                    <a:prstGeom prst="rect">
                      <a:avLst/>
                    </a:prstGeom>
                    <a:noFill/>
                  </pic:spPr>
                </pic:pic>
              </a:graphicData>
            </a:graphic>
          </wp:inline>
        </w:drawing>
      </w:r>
    </w:p>
    <w:p w:rsidR="00980F62" w:rsidRDefault="00DE2806" w:rsidP="00354973">
      <w:pPr>
        <w:spacing w:after="200"/>
        <w:ind w:right="-188"/>
        <w:rPr>
          <w:rFonts w:cstheme="minorHAnsi"/>
          <w:bCs/>
        </w:rPr>
      </w:pPr>
      <w:r w:rsidRPr="00600F03">
        <w:rPr>
          <w:rFonts w:cstheme="minorHAnsi"/>
          <w:bCs/>
        </w:rPr>
        <w:t>ACFI funding growth was relatively controlled</w:t>
      </w:r>
      <w:r w:rsidR="003D7B8E">
        <w:rPr>
          <w:rFonts w:cstheme="minorHAnsi"/>
          <w:bCs/>
        </w:rPr>
        <w:t xml:space="preserve">, although still increasing, </w:t>
      </w:r>
      <w:r>
        <w:rPr>
          <w:rFonts w:cstheme="minorHAnsi"/>
          <w:bCs/>
        </w:rPr>
        <w:t xml:space="preserve">from 2012 until 2014. </w:t>
      </w:r>
      <w:r w:rsidRPr="00600F03">
        <w:rPr>
          <w:rFonts w:cstheme="minorHAnsi"/>
          <w:bCs/>
        </w:rPr>
        <w:t>However</w:t>
      </w:r>
      <w:r>
        <w:rPr>
          <w:rFonts w:cstheme="minorHAnsi"/>
          <w:bCs/>
        </w:rPr>
        <w:t>,</w:t>
      </w:r>
      <w:r w:rsidRPr="00600F03">
        <w:rPr>
          <w:rFonts w:cstheme="minorHAnsi"/>
          <w:bCs/>
        </w:rPr>
        <w:t xml:space="preserve"> </w:t>
      </w:r>
      <w:r>
        <w:rPr>
          <w:rFonts w:cstheme="minorHAnsi"/>
          <w:bCs/>
        </w:rPr>
        <w:t xml:space="preserve">from June 2014 </w:t>
      </w:r>
      <w:r w:rsidRPr="00600F03">
        <w:rPr>
          <w:rFonts w:cstheme="minorHAnsi"/>
          <w:bCs/>
        </w:rPr>
        <w:t>further increases beyond expectation occurred</w:t>
      </w:r>
      <w:r>
        <w:rPr>
          <w:rFonts w:cstheme="minorHAnsi"/>
          <w:bCs/>
        </w:rPr>
        <w:t xml:space="preserve">. A number of </w:t>
      </w:r>
      <w:r w:rsidR="00A164D3">
        <w:rPr>
          <w:rFonts w:cstheme="minorHAnsi"/>
          <w:bCs/>
        </w:rPr>
        <w:t xml:space="preserve">possible </w:t>
      </w:r>
      <w:r>
        <w:rPr>
          <w:rFonts w:cstheme="minorHAnsi"/>
          <w:bCs/>
        </w:rPr>
        <w:t xml:space="preserve">factors </w:t>
      </w:r>
      <w:r w:rsidR="00FC59E1">
        <w:rPr>
          <w:rFonts w:cstheme="minorHAnsi"/>
          <w:bCs/>
        </w:rPr>
        <w:t xml:space="preserve">have </w:t>
      </w:r>
      <w:r w:rsidR="00A164D3">
        <w:rPr>
          <w:rFonts w:cstheme="minorHAnsi"/>
          <w:bCs/>
        </w:rPr>
        <w:t>coalesced to influence</w:t>
      </w:r>
      <w:r>
        <w:rPr>
          <w:rFonts w:cstheme="minorHAnsi"/>
          <w:bCs/>
        </w:rPr>
        <w:t xml:space="preserve"> the funding increases</w:t>
      </w:r>
      <w:r w:rsidR="00FC59E1">
        <w:rPr>
          <w:rFonts w:cstheme="minorHAnsi"/>
          <w:bCs/>
        </w:rPr>
        <w:t xml:space="preserve"> since this time including</w:t>
      </w:r>
      <w:r w:rsidRPr="00600F03">
        <w:rPr>
          <w:rFonts w:cstheme="minorHAnsi"/>
          <w:bCs/>
        </w:rPr>
        <w:t>:</w:t>
      </w:r>
    </w:p>
    <w:p w:rsidR="00980F62" w:rsidRDefault="003D7B8E" w:rsidP="00F02312">
      <w:pPr>
        <w:pStyle w:val="ListParagraph"/>
        <w:numPr>
          <w:ilvl w:val="0"/>
          <w:numId w:val="75"/>
        </w:numPr>
        <w:spacing w:after="200"/>
        <w:rPr>
          <w:rFonts w:cstheme="minorHAnsi"/>
        </w:rPr>
      </w:pPr>
      <w:r>
        <w:rPr>
          <w:rFonts w:cstheme="minorHAnsi"/>
        </w:rPr>
        <w:t xml:space="preserve">A </w:t>
      </w:r>
      <w:r w:rsidR="00FC59E1">
        <w:rPr>
          <w:rFonts w:cstheme="minorHAnsi"/>
        </w:rPr>
        <w:t>minor i</w:t>
      </w:r>
      <w:r w:rsidR="00DE2806" w:rsidRPr="0029633D">
        <w:rPr>
          <w:rFonts w:cstheme="minorHAnsi"/>
        </w:rPr>
        <w:t>ncrease in frailty and care needs of new admissions</w:t>
      </w:r>
      <w:r w:rsidR="00CD1DB3">
        <w:rPr>
          <w:rFonts w:cstheme="minorHAnsi"/>
        </w:rPr>
        <w:t>.</w:t>
      </w:r>
    </w:p>
    <w:p w:rsidR="00980F62" w:rsidRDefault="00DE2806" w:rsidP="00F02312">
      <w:pPr>
        <w:pStyle w:val="ListParagraph"/>
        <w:numPr>
          <w:ilvl w:val="0"/>
          <w:numId w:val="75"/>
        </w:numPr>
        <w:spacing w:after="200"/>
        <w:rPr>
          <w:rFonts w:cstheme="minorHAnsi"/>
        </w:rPr>
      </w:pPr>
      <w:r w:rsidRPr="0029633D">
        <w:rPr>
          <w:rFonts w:cstheme="minorHAnsi"/>
        </w:rPr>
        <w:t xml:space="preserve">New consultancy business models developed </w:t>
      </w:r>
      <w:r w:rsidR="00FC59E1">
        <w:rPr>
          <w:rFonts w:cstheme="minorHAnsi"/>
        </w:rPr>
        <w:t xml:space="preserve">to maximise ACFI funding </w:t>
      </w:r>
      <w:r w:rsidRPr="0029633D">
        <w:rPr>
          <w:rFonts w:cstheme="minorHAnsi"/>
        </w:rPr>
        <w:t>for the sector that focus</w:t>
      </w:r>
      <w:r w:rsidR="00FC59E1">
        <w:rPr>
          <w:rFonts w:cstheme="minorHAnsi"/>
        </w:rPr>
        <w:t>ed on ‘no fee if no ACFI funding gain’</w:t>
      </w:r>
      <w:r w:rsidRPr="0029633D">
        <w:rPr>
          <w:rFonts w:cstheme="minorHAnsi"/>
        </w:rPr>
        <w:t>.</w:t>
      </w:r>
      <w:r w:rsidR="007A576E">
        <w:rPr>
          <w:rFonts w:cstheme="minorHAnsi"/>
        </w:rPr>
        <w:t xml:space="preserve"> </w:t>
      </w:r>
      <w:r w:rsidRPr="0029633D">
        <w:rPr>
          <w:rFonts w:cstheme="minorHAnsi"/>
        </w:rPr>
        <w:t xml:space="preserve">These </w:t>
      </w:r>
      <w:r w:rsidR="00FC59E1">
        <w:rPr>
          <w:rFonts w:cstheme="minorHAnsi"/>
        </w:rPr>
        <w:t xml:space="preserve">consultancy </w:t>
      </w:r>
      <w:r w:rsidRPr="0029633D">
        <w:rPr>
          <w:rFonts w:cstheme="minorHAnsi"/>
        </w:rPr>
        <w:t xml:space="preserve">models were </w:t>
      </w:r>
      <w:r w:rsidR="00A164D3">
        <w:rPr>
          <w:rFonts w:cstheme="minorHAnsi"/>
        </w:rPr>
        <w:t>successful at significantly improving average ACFI funding levels, particularly with existing residents who had not been re-appraised for some time</w:t>
      </w:r>
      <w:r w:rsidR="00CD1DB3">
        <w:rPr>
          <w:rFonts w:cstheme="minorHAnsi"/>
        </w:rPr>
        <w:t>.</w:t>
      </w:r>
    </w:p>
    <w:p w:rsidR="00980F62" w:rsidRDefault="00DE2806" w:rsidP="00F02312">
      <w:pPr>
        <w:pStyle w:val="ListParagraph"/>
        <w:numPr>
          <w:ilvl w:val="0"/>
          <w:numId w:val="75"/>
        </w:numPr>
        <w:spacing w:after="200"/>
        <w:rPr>
          <w:rFonts w:cstheme="minorHAnsi"/>
        </w:rPr>
      </w:pPr>
      <w:r w:rsidRPr="0029633D">
        <w:rPr>
          <w:rFonts w:cstheme="minorHAnsi"/>
        </w:rPr>
        <w:t xml:space="preserve">Benchmarking services became widely available </w:t>
      </w:r>
      <w:r w:rsidR="00A164D3">
        <w:rPr>
          <w:rFonts w:cstheme="minorHAnsi"/>
        </w:rPr>
        <w:t>highlighting</w:t>
      </w:r>
      <w:r w:rsidRPr="0029633D">
        <w:rPr>
          <w:rFonts w:cstheme="minorHAnsi"/>
        </w:rPr>
        <w:t xml:space="preserve"> </w:t>
      </w:r>
      <w:r w:rsidR="00A164D3">
        <w:rPr>
          <w:rFonts w:cstheme="minorHAnsi"/>
        </w:rPr>
        <w:t xml:space="preserve">providers and </w:t>
      </w:r>
      <w:r w:rsidRPr="0029633D">
        <w:rPr>
          <w:rFonts w:cstheme="minorHAnsi"/>
        </w:rPr>
        <w:t>facilities that were considered ‘below benchmark’</w:t>
      </w:r>
      <w:r w:rsidR="00CD1DB3">
        <w:rPr>
          <w:rFonts w:cstheme="minorHAnsi"/>
        </w:rPr>
        <w:t>.</w:t>
      </w:r>
    </w:p>
    <w:p w:rsidR="00980F62" w:rsidRDefault="00A164D3" w:rsidP="00F02312">
      <w:pPr>
        <w:pStyle w:val="ListParagraph"/>
        <w:numPr>
          <w:ilvl w:val="0"/>
          <w:numId w:val="75"/>
        </w:numPr>
        <w:spacing w:after="200"/>
        <w:rPr>
          <w:rFonts w:cstheme="minorHAnsi"/>
        </w:rPr>
      </w:pPr>
      <w:r>
        <w:rPr>
          <w:rFonts w:cstheme="minorHAnsi"/>
        </w:rPr>
        <w:t xml:space="preserve">There were specialised ACFI co-ordinators established in most organisations which led to better management and co-ordination of claiming reviews </w:t>
      </w:r>
      <w:r w:rsidR="003D7B8E">
        <w:rPr>
          <w:rFonts w:cstheme="minorHAnsi"/>
        </w:rPr>
        <w:t>which resulted in</w:t>
      </w:r>
      <w:r>
        <w:rPr>
          <w:rFonts w:cstheme="minorHAnsi"/>
        </w:rPr>
        <w:t xml:space="preserve"> a reduction in the number of facilities that were </w:t>
      </w:r>
      <w:r w:rsidR="00DE2806" w:rsidRPr="0029633D">
        <w:rPr>
          <w:rFonts w:cstheme="minorHAnsi"/>
        </w:rPr>
        <w:t>under-claiming</w:t>
      </w:r>
      <w:r w:rsidR="00CD1DB3">
        <w:rPr>
          <w:rFonts w:cstheme="minorHAnsi"/>
        </w:rPr>
        <w:t>.</w:t>
      </w:r>
    </w:p>
    <w:p w:rsidR="00DE2806" w:rsidRPr="0029633D" w:rsidRDefault="00DE2806" w:rsidP="00F02312">
      <w:pPr>
        <w:pStyle w:val="ListParagraph"/>
        <w:numPr>
          <w:ilvl w:val="0"/>
          <w:numId w:val="75"/>
        </w:numPr>
        <w:spacing w:after="200"/>
        <w:rPr>
          <w:rFonts w:cstheme="minorHAnsi"/>
          <w:lang w:val="en-US"/>
        </w:rPr>
      </w:pPr>
      <w:r w:rsidRPr="0029633D">
        <w:rPr>
          <w:rFonts w:cstheme="minorHAnsi"/>
        </w:rPr>
        <w:t xml:space="preserve">New aged care </w:t>
      </w:r>
      <w:r w:rsidR="00FC59E1">
        <w:rPr>
          <w:rFonts w:cstheme="minorHAnsi"/>
        </w:rPr>
        <w:t xml:space="preserve">companies entered the market </w:t>
      </w:r>
      <w:r w:rsidR="00370BFA">
        <w:rPr>
          <w:rFonts w:cstheme="minorHAnsi"/>
        </w:rPr>
        <w:t xml:space="preserve">with a focus on building scale </w:t>
      </w:r>
      <w:r w:rsidRPr="0029633D">
        <w:rPr>
          <w:rFonts w:cstheme="minorHAnsi"/>
        </w:rPr>
        <w:t xml:space="preserve">and </w:t>
      </w:r>
      <w:r w:rsidR="00370BFA">
        <w:rPr>
          <w:rFonts w:cstheme="minorHAnsi"/>
        </w:rPr>
        <w:t>using</w:t>
      </w:r>
      <w:r w:rsidR="00FC59E1">
        <w:rPr>
          <w:rFonts w:cstheme="minorHAnsi"/>
        </w:rPr>
        <w:t xml:space="preserve"> business models </w:t>
      </w:r>
      <w:r w:rsidR="00370BFA">
        <w:rPr>
          <w:rFonts w:cstheme="minorHAnsi"/>
        </w:rPr>
        <w:t xml:space="preserve">that </w:t>
      </w:r>
      <w:r w:rsidR="00FC59E1">
        <w:rPr>
          <w:rFonts w:cstheme="minorHAnsi"/>
        </w:rPr>
        <w:t xml:space="preserve">were predicated on increasing </w:t>
      </w:r>
      <w:r w:rsidRPr="0029633D">
        <w:rPr>
          <w:rFonts w:cstheme="minorHAnsi"/>
        </w:rPr>
        <w:t>revenue growth from an increase in ACFI funding year on year</w:t>
      </w:r>
      <w:r w:rsidR="00CD1DB3">
        <w:rPr>
          <w:rFonts w:cstheme="minorHAnsi"/>
        </w:rPr>
        <w:t>.</w:t>
      </w:r>
    </w:p>
    <w:p w:rsidR="00DE2806" w:rsidRPr="0029633D" w:rsidRDefault="003D7B8E" w:rsidP="00B50FFD">
      <w:pPr>
        <w:pStyle w:val="ListParagraph"/>
        <w:numPr>
          <w:ilvl w:val="0"/>
          <w:numId w:val="75"/>
        </w:numPr>
        <w:spacing w:after="200"/>
        <w:ind w:right="-46"/>
        <w:rPr>
          <w:rFonts w:cstheme="minorHAnsi"/>
          <w:lang w:val="en-US"/>
        </w:rPr>
      </w:pPr>
      <w:r>
        <w:rPr>
          <w:rFonts w:cstheme="minorHAnsi"/>
        </w:rPr>
        <w:t>There was significant g</w:t>
      </w:r>
      <w:r w:rsidR="00DE2806" w:rsidRPr="0029633D">
        <w:rPr>
          <w:rFonts w:cstheme="minorHAnsi"/>
        </w:rPr>
        <w:t xml:space="preserve">rowth in the proportion of private providers in the sector (from 2012) who </w:t>
      </w:r>
      <w:r w:rsidR="00370BFA">
        <w:rPr>
          <w:rFonts w:cstheme="minorHAnsi"/>
        </w:rPr>
        <w:t>have been historically more efficient at generating the best ACFI claim possible</w:t>
      </w:r>
      <w:r w:rsidR="00CD1DB3">
        <w:rPr>
          <w:rFonts w:cstheme="minorHAnsi"/>
        </w:rPr>
        <w:t>.</w:t>
      </w:r>
    </w:p>
    <w:p w:rsidR="00980F62" w:rsidRDefault="00DE2806" w:rsidP="00F02312">
      <w:pPr>
        <w:pStyle w:val="ListParagraph"/>
        <w:numPr>
          <w:ilvl w:val="0"/>
          <w:numId w:val="75"/>
        </w:numPr>
        <w:spacing w:after="200"/>
        <w:rPr>
          <w:rFonts w:cstheme="minorHAnsi"/>
        </w:rPr>
      </w:pPr>
      <w:r w:rsidRPr="0029633D">
        <w:rPr>
          <w:rFonts w:cstheme="minorHAnsi"/>
        </w:rPr>
        <w:t xml:space="preserve">Claims in the Complex Health Care domain pain management items </w:t>
      </w:r>
      <w:r w:rsidR="00370BFA">
        <w:rPr>
          <w:rFonts w:cstheme="minorHAnsi"/>
        </w:rPr>
        <w:t>(Q</w:t>
      </w:r>
      <w:r w:rsidRPr="0029633D">
        <w:rPr>
          <w:rFonts w:cstheme="minorHAnsi"/>
        </w:rPr>
        <w:t xml:space="preserve">12.3; </w:t>
      </w:r>
      <w:r w:rsidR="00370BFA">
        <w:rPr>
          <w:rFonts w:cstheme="minorHAnsi"/>
        </w:rPr>
        <w:t>Q</w:t>
      </w:r>
      <w:r w:rsidRPr="0029633D">
        <w:rPr>
          <w:rFonts w:cstheme="minorHAnsi"/>
        </w:rPr>
        <w:t>12.4a; 12.4b) were subj</w:t>
      </w:r>
      <w:r w:rsidR="00370BFA">
        <w:rPr>
          <w:rFonts w:cstheme="minorHAnsi"/>
        </w:rPr>
        <w:t xml:space="preserve">ect to significant growth, </w:t>
      </w:r>
      <w:r w:rsidRPr="0029633D">
        <w:rPr>
          <w:rFonts w:cstheme="minorHAnsi"/>
        </w:rPr>
        <w:t>beyond expectation</w:t>
      </w:r>
      <w:r w:rsidR="00370BFA">
        <w:rPr>
          <w:rFonts w:cstheme="minorHAnsi"/>
        </w:rPr>
        <w:t xml:space="preserve"> when the ACFI was calibrated</w:t>
      </w:r>
      <w:r w:rsidRPr="0029633D">
        <w:rPr>
          <w:rFonts w:cstheme="minorHAnsi"/>
        </w:rPr>
        <w:t>.</w:t>
      </w:r>
    </w:p>
    <w:p w:rsidR="00980F62" w:rsidRDefault="00DE2806" w:rsidP="005A3AA5">
      <w:pPr>
        <w:spacing w:after="200"/>
      </w:pPr>
      <w:r w:rsidRPr="00747CAF">
        <w:t xml:space="preserve">The two Complex Health Care domain items covering pain management interventions </w:t>
      </w:r>
      <w:r w:rsidR="00370BFA">
        <w:rPr>
          <w:rFonts w:cstheme="minorHAnsi"/>
        </w:rPr>
        <w:t>(Q</w:t>
      </w:r>
      <w:r w:rsidR="00370BFA" w:rsidRPr="0029633D">
        <w:rPr>
          <w:rFonts w:cstheme="minorHAnsi"/>
        </w:rPr>
        <w:t xml:space="preserve">12.3; </w:t>
      </w:r>
      <w:r w:rsidR="00370BFA">
        <w:rPr>
          <w:rFonts w:cstheme="minorHAnsi"/>
        </w:rPr>
        <w:t>Q</w:t>
      </w:r>
      <w:r w:rsidR="00370BFA" w:rsidRPr="0029633D">
        <w:rPr>
          <w:rFonts w:cstheme="minorHAnsi"/>
        </w:rPr>
        <w:t xml:space="preserve">12.4a; </w:t>
      </w:r>
      <w:r w:rsidR="00CD1DB3">
        <w:rPr>
          <w:rFonts w:cstheme="minorHAnsi"/>
        </w:rPr>
        <w:t>Q</w:t>
      </w:r>
      <w:r w:rsidR="00370BFA" w:rsidRPr="0029633D">
        <w:rPr>
          <w:rFonts w:cstheme="minorHAnsi"/>
        </w:rPr>
        <w:t>12.4b)</w:t>
      </w:r>
      <w:r w:rsidR="00370BFA">
        <w:rPr>
          <w:rFonts w:cstheme="minorHAnsi"/>
        </w:rPr>
        <w:t xml:space="preserve"> </w:t>
      </w:r>
      <w:r w:rsidRPr="00747CAF">
        <w:t xml:space="preserve">have had the </w:t>
      </w:r>
      <w:r w:rsidR="00370BFA">
        <w:t xml:space="preserve">single </w:t>
      </w:r>
      <w:r w:rsidRPr="00747CAF">
        <w:t>most significant impact on ACFI funding growth</w:t>
      </w:r>
      <w:r w:rsidR="00084EC4">
        <w:t xml:space="preserve"> since inception</w:t>
      </w:r>
      <w:r w:rsidRPr="00747CAF">
        <w:t xml:space="preserve"> (</w:t>
      </w:r>
      <w:hyperlink w:anchor="Fig0102" w:history="1">
        <w:r w:rsidRPr="00BE2560">
          <w:rPr>
            <w:rStyle w:val="Hyperlink"/>
          </w:rPr>
          <w:t>Figure 1.2</w:t>
        </w:r>
      </w:hyperlink>
      <w:r w:rsidRPr="00747CAF">
        <w:t>). The pain management items comprised 11.3</w:t>
      </w:r>
      <w:r w:rsidR="00C947E9">
        <w:t xml:space="preserve"> per cent</w:t>
      </w:r>
      <w:r w:rsidRPr="00747CAF">
        <w:t xml:space="preserve"> of the average </w:t>
      </w:r>
      <w:r w:rsidRPr="00747CAF">
        <w:lastRenderedPageBreak/>
        <w:t>daily subsidy by June 30, 2016</w:t>
      </w:r>
      <w:r>
        <w:t>,</w:t>
      </w:r>
      <w:r w:rsidRPr="00747CAF">
        <w:t xml:space="preserve"> </w:t>
      </w:r>
      <w:r w:rsidR="00084EC4">
        <w:t xml:space="preserve">and alone </w:t>
      </w:r>
      <w:r w:rsidRPr="00747CAF">
        <w:t>contribute</w:t>
      </w:r>
      <w:r w:rsidR="00084EC4">
        <w:t>d</w:t>
      </w:r>
      <w:r w:rsidRPr="00747CAF">
        <w:t xml:space="preserve"> $1</w:t>
      </w:r>
      <w:r w:rsidR="00370BFA">
        <w:t>,</w:t>
      </w:r>
      <w:r w:rsidRPr="00747CAF">
        <w:t>248</w:t>
      </w:r>
      <w:r w:rsidR="00A83063">
        <w:t xml:space="preserve"> </w:t>
      </w:r>
      <w:r w:rsidRPr="00747CAF">
        <w:t>m</w:t>
      </w:r>
      <w:r w:rsidR="00A83063">
        <w:t>illion</w:t>
      </w:r>
      <w:r w:rsidRPr="00747CAF">
        <w:t xml:space="preserve"> to the total ACFI funding allocation</w:t>
      </w:r>
      <w:r w:rsidR="00084EC4">
        <w:t xml:space="preserve"> by the Department</w:t>
      </w:r>
      <w:r>
        <w:t>.</w:t>
      </w:r>
    </w:p>
    <w:p w:rsidR="00291A6C" w:rsidRDefault="00291A6C" w:rsidP="00291A6C">
      <w:pPr>
        <w:pStyle w:val="Caption"/>
        <w:keepNext/>
      </w:pPr>
      <w:bookmarkStart w:id="69" w:name="_Toc495415944"/>
      <w:r>
        <w:t xml:space="preserve">Figure 1. </w:t>
      </w:r>
      <w:r w:rsidR="009A3F5A">
        <w:fldChar w:fldCharType="begin"/>
      </w:r>
      <w:r w:rsidR="009A3F5A">
        <w:instrText xml:space="preserve"> SEQ Figure_1. \* ARABIC </w:instrText>
      </w:r>
      <w:r w:rsidR="009A3F5A">
        <w:fldChar w:fldCharType="separate"/>
      </w:r>
      <w:r w:rsidR="00856E49">
        <w:rPr>
          <w:noProof/>
        </w:rPr>
        <w:t>2</w:t>
      </w:r>
      <w:r w:rsidR="009A3F5A">
        <w:rPr>
          <w:noProof/>
        </w:rPr>
        <w:fldChar w:fldCharType="end"/>
      </w:r>
      <w:r>
        <w:t xml:space="preserve">: </w:t>
      </w:r>
      <w:r w:rsidRPr="00291A6C">
        <w:t>Yearly growth in pain management funding using June 30, 2016 funding levels</w:t>
      </w:r>
      <w:bookmarkEnd w:id="69"/>
    </w:p>
    <w:p w:rsidR="0027557C" w:rsidRDefault="0027557C" w:rsidP="00527184">
      <w:pPr>
        <w:spacing w:after="200"/>
        <w:rPr>
          <w:rFonts w:cstheme="minorHAnsi"/>
        </w:rPr>
      </w:pPr>
      <w:r>
        <w:rPr>
          <w:rFonts w:cstheme="minorHAnsi"/>
          <w:noProof/>
          <w:lang w:eastAsia="en-AU"/>
        </w:rPr>
        <w:drawing>
          <wp:inline distT="0" distB="0" distL="0" distR="0" wp14:anchorId="3A27E54A" wp14:editId="27940879">
            <wp:extent cx="5602605" cy="3048000"/>
            <wp:effectExtent l="0" t="0" r="0" b="0"/>
            <wp:docPr id="26" name="Picture 26" descr="Figure 1.2 is a bar graph that shows the yearly growth of pain management funding between 2008-2009 to 2015-2016, as summaris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2605" cy="3048000"/>
                    </a:xfrm>
                    <a:prstGeom prst="rect">
                      <a:avLst/>
                    </a:prstGeom>
                    <a:noFill/>
                  </pic:spPr>
                </pic:pic>
              </a:graphicData>
            </a:graphic>
          </wp:inline>
        </w:drawing>
      </w:r>
    </w:p>
    <w:p w:rsidR="00557FD2" w:rsidRPr="00CA7E84" w:rsidRDefault="00557FD2" w:rsidP="00B6508F">
      <w:pPr>
        <w:pStyle w:val="Heading2-Chapter1"/>
      </w:pPr>
      <w:bookmarkStart w:id="70" w:name="_Toc486599966"/>
      <w:bookmarkStart w:id="71" w:name="_Toc486603009"/>
      <w:bookmarkStart w:id="72" w:name="_Toc491426023"/>
      <w:r w:rsidRPr="00CA7E84">
        <w:t>Next Steps</w:t>
      </w:r>
      <w:bookmarkEnd w:id="70"/>
      <w:bookmarkEnd w:id="71"/>
      <w:bookmarkEnd w:id="72"/>
    </w:p>
    <w:p w:rsidR="00980F62" w:rsidRDefault="00DE2806" w:rsidP="005A3AA5">
      <w:r>
        <w:t>As a result of the ongoing growth of the care subsidy budget (determined via the ACFI),</w:t>
      </w:r>
      <w:r w:rsidRPr="003F6468">
        <w:t xml:space="preserve"> </w:t>
      </w:r>
      <w:r>
        <w:t xml:space="preserve">the </w:t>
      </w:r>
      <w:r w:rsidRPr="003F6468">
        <w:t xml:space="preserve">government </w:t>
      </w:r>
      <w:r>
        <w:t xml:space="preserve">has had serious concerns regarding the </w:t>
      </w:r>
      <w:r w:rsidRPr="003F6468">
        <w:t>program sustainability</w:t>
      </w:r>
      <w:r>
        <w:t xml:space="preserve"> with the current </w:t>
      </w:r>
      <w:r w:rsidR="002C5592">
        <w:t xml:space="preserve">ACFI </w:t>
      </w:r>
      <w:r>
        <w:t xml:space="preserve">funding model. </w:t>
      </w:r>
      <w:r w:rsidRPr="003F6468">
        <w:t>On several occasions</w:t>
      </w:r>
      <w:r>
        <w:t>,</w:t>
      </w:r>
      <w:r w:rsidRPr="003F6468">
        <w:t xml:space="preserve"> expenditure for aged care has significantly outgrown projections</w:t>
      </w:r>
      <w:r w:rsidR="00370BFA">
        <w:t>, resulting in the introduction</w:t>
      </w:r>
      <w:r w:rsidRPr="003F6468">
        <w:t xml:space="preserve"> of savings measures that have been applied to the sector.</w:t>
      </w:r>
    </w:p>
    <w:p w:rsidR="00980F62" w:rsidRDefault="00DE2806" w:rsidP="005A3AA5">
      <w:pPr>
        <w:rPr>
          <w:iCs/>
        </w:rPr>
      </w:pPr>
      <w:r w:rsidRPr="003F6468">
        <w:t xml:space="preserve">The first of these occurred in the 2012‐13 budget, which saw a reduction of payments under ACFI by $1.6 billion over five years. Analysis of claims trends showed growth occurred at twice the rate of wages. </w:t>
      </w:r>
      <w:r w:rsidRPr="003F6468">
        <w:rPr>
          <w:i/>
        </w:rPr>
        <w:t>‘(G)iven that ACFI subsidies make up around 70 per cent of provider revenue and wages make up around 70 per cent of provider costs’</w:t>
      </w:r>
      <w:r w:rsidRPr="003F6468">
        <w:t xml:space="preserve"> the then Minister for Aged Care noted at the time, </w:t>
      </w:r>
      <w:r w:rsidRPr="003F6468">
        <w:rPr>
          <w:i/>
        </w:rPr>
        <w:t>‘there is clearly a disjoint between care subsidies and the cost of care</w:t>
      </w:r>
      <w:r w:rsidRPr="003F6468">
        <w:t xml:space="preserve">.’ </w:t>
      </w:r>
      <w:r w:rsidRPr="003F6468">
        <w:rPr>
          <w:iCs/>
        </w:rPr>
        <w:t>(Butler, 2012).</w:t>
      </w:r>
    </w:p>
    <w:p w:rsidR="00DE2806" w:rsidRPr="003F6468" w:rsidRDefault="00DE2806" w:rsidP="005A3AA5">
      <w:r w:rsidRPr="003F6468">
        <w:rPr>
          <w:iCs/>
        </w:rPr>
        <w:t>I</w:t>
      </w:r>
      <w:r w:rsidRPr="003F6468">
        <w:t>n 2015‐16</w:t>
      </w:r>
      <w:r>
        <w:t>,</w:t>
      </w:r>
      <w:r w:rsidRPr="003F6468">
        <w:t xml:space="preserve"> there was </w:t>
      </w:r>
      <w:r>
        <w:t xml:space="preserve">also </w:t>
      </w:r>
      <w:r w:rsidRPr="003F6468">
        <w:t>higher than anticipated claiming under the Complex Hea</w:t>
      </w:r>
      <w:r>
        <w:t>lth Care domain of the ACFI</w:t>
      </w:r>
      <w:r w:rsidRPr="003F6468">
        <w:t xml:space="preserve"> that resulted in further adjustments to the budget in 2017.</w:t>
      </w:r>
    </w:p>
    <w:p w:rsidR="00980F62" w:rsidRDefault="002C5592" w:rsidP="005A3AA5">
      <w:r>
        <w:t xml:space="preserve">This higher than predicted claiming has </w:t>
      </w:r>
      <w:r w:rsidR="00DE2806" w:rsidRPr="003F6468">
        <w:t>led to the D</w:t>
      </w:r>
      <w:r w:rsidR="00DE2806">
        <w:t xml:space="preserve">epartment </w:t>
      </w:r>
      <w:r w:rsidR="00DE2806" w:rsidRPr="003F6468">
        <w:t xml:space="preserve">undertaking various projects to review </w:t>
      </w:r>
      <w:r>
        <w:t>the current funding model</w:t>
      </w:r>
      <w:r w:rsidR="00DE2806" w:rsidRPr="003F6468">
        <w:t xml:space="preserve"> and </w:t>
      </w:r>
      <w:r>
        <w:t xml:space="preserve">to explore </w:t>
      </w:r>
      <w:r w:rsidR="00DE2806" w:rsidRPr="003F6468">
        <w:t>options for the future.</w:t>
      </w:r>
    </w:p>
    <w:p w:rsidR="00DE2806" w:rsidRPr="003F6468" w:rsidRDefault="00DE2806" w:rsidP="005A3AA5">
      <w:r>
        <w:t>This project is the result of the Department needing to address these issues</w:t>
      </w:r>
      <w:r w:rsidR="002C5592">
        <w:t>. It wa</w:t>
      </w:r>
      <w:r>
        <w:t xml:space="preserve">s </w:t>
      </w:r>
      <w:r w:rsidRPr="003F6468">
        <w:t xml:space="preserve">undertaken </w:t>
      </w:r>
      <w:r>
        <w:t>by Applied Aged Care Solutions</w:t>
      </w:r>
      <w:r w:rsidR="00370BFA">
        <w:t xml:space="preserve"> (AACS)</w:t>
      </w:r>
      <w:r>
        <w:t xml:space="preserve"> </w:t>
      </w:r>
      <w:r w:rsidRPr="003F6468">
        <w:t>with a view to</w:t>
      </w:r>
      <w:r w:rsidR="00370BFA">
        <w:t xml:space="preserve"> providing options to</w:t>
      </w:r>
      <w:r w:rsidRPr="003F6468">
        <w:t xml:space="preserve"> redes</w:t>
      </w:r>
      <w:r w:rsidR="00370BFA">
        <w:t>ign</w:t>
      </w:r>
      <w:r w:rsidRPr="003F6468">
        <w:t xml:space="preserve"> the </w:t>
      </w:r>
      <w:r>
        <w:t xml:space="preserve">current ACFI </w:t>
      </w:r>
      <w:r w:rsidRPr="003F6468">
        <w:t>funding system into a more sustainable and predictable model.</w:t>
      </w:r>
    </w:p>
    <w:p w:rsidR="00557FD2" w:rsidRDefault="00557FD2" w:rsidP="00B6508F">
      <w:pPr>
        <w:pStyle w:val="Heading2-Chapter1"/>
      </w:pPr>
      <w:bookmarkStart w:id="73" w:name="_Toc486599967"/>
      <w:bookmarkStart w:id="74" w:name="_Toc486603010"/>
      <w:bookmarkStart w:id="75" w:name="_Toc491426024"/>
      <w:r>
        <w:lastRenderedPageBreak/>
        <w:t>ACFI Review Project - Terms of Reference</w:t>
      </w:r>
      <w:bookmarkEnd w:id="73"/>
      <w:bookmarkEnd w:id="74"/>
      <w:bookmarkEnd w:id="75"/>
    </w:p>
    <w:p w:rsidR="00DE2806" w:rsidRPr="00DE2806" w:rsidRDefault="00DE2806" w:rsidP="005A3AA5">
      <w:pPr>
        <w:rPr>
          <w:lang w:eastAsia="en-AU"/>
        </w:rPr>
      </w:pPr>
      <w:r w:rsidRPr="00DE2806">
        <w:rPr>
          <w:lang w:eastAsia="en-AU"/>
        </w:rPr>
        <w:t>Under its contract with the Department of Health, AACS was engaged to review the ACFI and provide recommendations to the Department on potential modifications that could be made to the ACFI to improve its operational effectiveness and the applicability of a process where ACFI claims were prepared by an independent assessor.</w:t>
      </w:r>
    </w:p>
    <w:p w:rsidR="00645F41" w:rsidRDefault="00DE2806" w:rsidP="005A3AA5">
      <w:pPr>
        <w:rPr>
          <w:lang w:eastAsia="en-AU"/>
        </w:rPr>
      </w:pPr>
      <w:r w:rsidRPr="00DE2806">
        <w:rPr>
          <w:lang w:eastAsia="en-AU"/>
        </w:rPr>
        <w:t>The key deliverables of the project were to include</w:t>
      </w:r>
      <w:r w:rsidR="00645F41">
        <w:rPr>
          <w:lang w:eastAsia="en-AU"/>
        </w:rPr>
        <w:t>:</w:t>
      </w:r>
    </w:p>
    <w:p w:rsidR="00354973" w:rsidRPr="00C14F1D" w:rsidRDefault="00645F41" w:rsidP="00354973">
      <w:pPr>
        <w:spacing w:after="0"/>
        <w:rPr>
          <w:rStyle w:val="Strong"/>
        </w:rPr>
      </w:pPr>
      <w:r w:rsidRPr="00C14F1D">
        <w:rPr>
          <w:rStyle w:val="Strong"/>
        </w:rPr>
        <w:t>Recommendations for cost effective improvements to the ACFI that would be consistent with external assessment.</w:t>
      </w:r>
    </w:p>
    <w:p w:rsidR="00645F41" w:rsidRPr="00CA6789" w:rsidRDefault="00645F41" w:rsidP="005A3AA5">
      <w:pPr>
        <w:rPr>
          <w:rFonts w:cs="Arial"/>
        </w:rPr>
      </w:pPr>
      <w:r w:rsidRPr="00CA6789">
        <w:rPr>
          <w:rFonts w:cs="Arial"/>
        </w:rPr>
        <w:t>The recommendations should:</w:t>
      </w:r>
    </w:p>
    <w:p w:rsidR="00645F41" w:rsidRPr="00C42C82" w:rsidRDefault="00645F41" w:rsidP="00F02312">
      <w:pPr>
        <w:pStyle w:val="ListParagraph"/>
        <w:numPr>
          <w:ilvl w:val="0"/>
          <w:numId w:val="74"/>
        </w:numPr>
      </w:pPr>
      <w:r w:rsidRPr="00C42C82">
        <w:t>Reduce subjectivity in the needs assessment process;</w:t>
      </w:r>
    </w:p>
    <w:p w:rsidR="00645F41" w:rsidRPr="00C42C82" w:rsidRDefault="00645F41" w:rsidP="00F02312">
      <w:pPr>
        <w:pStyle w:val="ListParagraph"/>
        <w:numPr>
          <w:ilvl w:val="0"/>
          <w:numId w:val="74"/>
        </w:numPr>
      </w:pPr>
      <w:r w:rsidRPr="00C42C82">
        <w:t>Deliver a more accurate and reliable assessment that is not open to ‘gaming’;</w:t>
      </w:r>
    </w:p>
    <w:p w:rsidR="00980F62" w:rsidRDefault="00645F41" w:rsidP="00F02312">
      <w:pPr>
        <w:pStyle w:val="ListParagraph"/>
        <w:numPr>
          <w:ilvl w:val="0"/>
          <w:numId w:val="74"/>
        </w:numPr>
      </w:pPr>
      <w:r w:rsidRPr="00C42C82">
        <w:t>Be consistent with contemporary care practices; and</w:t>
      </w:r>
    </w:p>
    <w:p w:rsidR="00645F41" w:rsidRPr="00C42C82" w:rsidRDefault="00645F41" w:rsidP="00F02312">
      <w:pPr>
        <w:pStyle w:val="ListParagraph"/>
        <w:numPr>
          <w:ilvl w:val="0"/>
          <w:numId w:val="74"/>
        </w:numPr>
      </w:pPr>
      <w:r w:rsidRPr="00C42C82">
        <w:t>Support the assurance and validation process for ACFI claims.</w:t>
      </w:r>
    </w:p>
    <w:p w:rsidR="00645F41" w:rsidRPr="00354973" w:rsidRDefault="00645F41" w:rsidP="00354973">
      <w:pPr>
        <w:spacing w:after="0"/>
        <w:rPr>
          <w:rStyle w:val="Strong"/>
        </w:rPr>
      </w:pPr>
      <w:r w:rsidRPr="00354973">
        <w:rPr>
          <w:rStyle w:val="Strong"/>
        </w:rPr>
        <w:t>Key design considerations:</w:t>
      </w:r>
    </w:p>
    <w:p w:rsidR="00645F41" w:rsidRPr="00C42C82" w:rsidRDefault="00645F41" w:rsidP="00F02312">
      <w:pPr>
        <w:pStyle w:val="ListParagraph"/>
        <w:numPr>
          <w:ilvl w:val="0"/>
          <w:numId w:val="74"/>
        </w:numPr>
      </w:pPr>
      <w:r w:rsidRPr="00C42C82">
        <w:t>Ability of the recommendations to be implemented in a short time-frame.</w:t>
      </w:r>
    </w:p>
    <w:p w:rsidR="00645F41" w:rsidRPr="00C42C82" w:rsidRDefault="00645F41" w:rsidP="00F02312">
      <w:pPr>
        <w:pStyle w:val="ListParagraph"/>
        <w:numPr>
          <w:ilvl w:val="0"/>
          <w:numId w:val="74"/>
        </w:numPr>
      </w:pPr>
      <w:r w:rsidRPr="00C42C82">
        <w:t>That the proposed modifications are able to be integrated with existing Australian aged care client pathways and system structures i.e. Gateway (My Aged Care).</w:t>
      </w:r>
    </w:p>
    <w:p w:rsidR="00645F41" w:rsidRPr="00C42C82" w:rsidRDefault="00645F41" w:rsidP="00F02312">
      <w:pPr>
        <w:pStyle w:val="ListParagraph"/>
        <w:numPr>
          <w:ilvl w:val="0"/>
          <w:numId w:val="74"/>
        </w:numPr>
      </w:pPr>
      <w:r w:rsidRPr="00C42C82">
        <w:t>Ability of the needs assessment tool to be used by assessors from an appropriate and available workforce.</w:t>
      </w:r>
    </w:p>
    <w:p w:rsidR="00DE2806" w:rsidRPr="00354973" w:rsidRDefault="00DE2806" w:rsidP="00354973">
      <w:pPr>
        <w:spacing w:after="0"/>
        <w:rPr>
          <w:rStyle w:val="Strong"/>
        </w:rPr>
      </w:pPr>
      <w:r w:rsidRPr="00354973">
        <w:rPr>
          <w:rStyle w:val="Strong"/>
        </w:rPr>
        <w:t>The contract materials were to comprise:</w:t>
      </w:r>
    </w:p>
    <w:p w:rsidR="00DE2806" w:rsidRPr="00C42C82" w:rsidRDefault="00DE2806" w:rsidP="00F02312">
      <w:pPr>
        <w:pStyle w:val="ListParagraph"/>
        <w:numPr>
          <w:ilvl w:val="0"/>
          <w:numId w:val="74"/>
        </w:numPr>
      </w:pPr>
      <w:r w:rsidRPr="00C42C82">
        <w:t>A targeted literature review of assessment tools used in the Australian health and aged care sector with a focus on validated contemporary care practices, including but not limited to pra</w:t>
      </w:r>
      <w:r w:rsidR="00525474" w:rsidRPr="00C42C82">
        <w:t>ctices for restorative care, re</w:t>
      </w:r>
      <w:r w:rsidRPr="00C42C82">
        <w:t xml:space="preserve">ablement, dementia </w:t>
      </w:r>
      <w:r w:rsidR="00B50FFD">
        <w:t>care and consumer directed care.</w:t>
      </w:r>
    </w:p>
    <w:p w:rsidR="00DE2806" w:rsidRPr="00C42C82" w:rsidRDefault="00DE2806" w:rsidP="00F02312">
      <w:pPr>
        <w:pStyle w:val="ListParagraph"/>
        <w:numPr>
          <w:ilvl w:val="0"/>
          <w:numId w:val="74"/>
        </w:numPr>
      </w:pPr>
      <w:r w:rsidRPr="00C42C82">
        <w:t>A targeted literature review of international approaches to needs ass</w:t>
      </w:r>
      <w:r w:rsidR="00B50FFD">
        <w:t>essment and external assessment.</w:t>
      </w:r>
    </w:p>
    <w:p w:rsidR="00DE2806" w:rsidRPr="00C42C82" w:rsidRDefault="00DE2806" w:rsidP="00F02312">
      <w:pPr>
        <w:pStyle w:val="ListParagraph"/>
        <w:numPr>
          <w:ilvl w:val="0"/>
          <w:numId w:val="74"/>
        </w:numPr>
      </w:pPr>
      <w:r w:rsidRPr="00C42C82">
        <w:t>A review of the current ACFI funding model and guidelines to better discriminate care needs and supp</w:t>
      </w:r>
      <w:r w:rsidR="00B50FFD">
        <w:t>ort contemporary care practices.</w:t>
      </w:r>
    </w:p>
    <w:p w:rsidR="00DE2806" w:rsidRPr="00C42C82" w:rsidRDefault="00DE2806" w:rsidP="00F02312">
      <w:pPr>
        <w:pStyle w:val="ListParagraph"/>
        <w:numPr>
          <w:ilvl w:val="0"/>
          <w:numId w:val="74"/>
        </w:numPr>
      </w:pPr>
      <w:r w:rsidRPr="00C42C82">
        <w:t>A review of the ACFI User Guide and other operational documents to clarify areas of inconsistencies</w:t>
      </w:r>
      <w:r w:rsidR="00B50FFD">
        <w:t>.</w:t>
      </w:r>
    </w:p>
    <w:p w:rsidR="00DE2806" w:rsidRPr="00C42C82" w:rsidRDefault="00DE2806" w:rsidP="00F02312">
      <w:pPr>
        <w:pStyle w:val="ListParagraph"/>
        <w:numPr>
          <w:ilvl w:val="0"/>
          <w:numId w:val="74"/>
        </w:numPr>
      </w:pPr>
      <w:r w:rsidRPr="00C42C82">
        <w:t>Analysis of the benefits, disadvantages, system adjustments, and viable options for initial and re-appraisal assessments in the</w:t>
      </w:r>
      <w:r w:rsidR="00B50FFD">
        <w:t xml:space="preserve"> context of external assessment.</w:t>
      </w:r>
    </w:p>
    <w:p w:rsidR="00DE2806" w:rsidRPr="00C42C82" w:rsidRDefault="00DE2806" w:rsidP="00F02312">
      <w:pPr>
        <w:pStyle w:val="ListParagraph"/>
        <w:numPr>
          <w:ilvl w:val="0"/>
          <w:numId w:val="74"/>
        </w:numPr>
      </w:pPr>
      <w:r w:rsidRPr="00C42C82">
        <w:t>Statistical analysis of the ACFI questions, domains, weightings and re-calibrations.</w:t>
      </w:r>
    </w:p>
    <w:p w:rsidR="00557FD2" w:rsidRPr="007E07EA" w:rsidRDefault="00557FD2" w:rsidP="00530D56">
      <w:pPr>
        <w:pStyle w:val="Heading2-Chapter1"/>
      </w:pPr>
      <w:bookmarkStart w:id="76" w:name="_Toc163408930"/>
      <w:bookmarkStart w:id="77" w:name="_Toc486599968"/>
      <w:bookmarkStart w:id="78" w:name="_Toc486603011"/>
      <w:bookmarkStart w:id="79" w:name="_Toc491426025"/>
      <w:r w:rsidRPr="007E07EA">
        <w:t>Organisation of the Report</w:t>
      </w:r>
      <w:bookmarkEnd w:id="76"/>
      <w:bookmarkEnd w:id="77"/>
      <w:bookmarkEnd w:id="78"/>
      <w:bookmarkEnd w:id="79"/>
    </w:p>
    <w:p w:rsidR="00980F62" w:rsidRDefault="00DE2806" w:rsidP="005A3AA5">
      <w:pPr>
        <w:pStyle w:val="BodyText"/>
        <w:rPr>
          <w:rFonts w:asciiTheme="minorHAnsi" w:hAnsiTheme="minorHAnsi" w:cstheme="minorHAnsi"/>
        </w:rPr>
      </w:pPr>
      <w:r w:rsidRPr="007E07EA">
        <w:rPr>
          <w:rFonts w:asciiTheme="minorHAnsi" w:hAnsiTheme="minorHAnsi" w:cstheme="minorHAnsi"/>
        </w:rPr>
        <w:t xml:space="preserve">The report is structured in a series of chapters </w:t>
      </w:r>
      <w:r w:rsidR="00370BFA">
        <w:rPr>
          <w:rFonts w:asciiTheme="minorHAnsi" w:hAnsiTheme="minorHAnsi" w:cstheme="minorHAnsi"/>
        </w:rPr>
        <w:t>as follows:</w:t>
      </w:r>
    </w:p>
    <w:p w:rsidR="00557FD2" w:rsidRPr="00C42C82" w:rsidRDefault="00473246" w:rsidP="00C42C82">
      <w:pPr>
        <w:tabs>
          <w:tab w:val="left" w:pos="1276"/>
        </w:tabs>
        <w:rPr>
          <w:lang w:eastAsia="en-AU"/>
        </w:rPr>
      </w:pPr>
      <w:hyperlink w:anchor="Ch01" w:history="1">
        <w:r w:rsidR="00557FD2" w:rsidRPr="00CF7AFA">
          <w:rPr>
            <w:rStyle w:val="Hyperlink"/>
            <w:b/>
            <w:lang w:eastAsia="en-AU"/>
          </w:rPr>
          <w:t>Chapter 1</w:t>
        </w:r>
        <w:r w:rsidR="00557FD2" w:rsidRPr="00CF7AFA">
          <w:rPr>
            <w:rStyle w:val="Hyperlink"/>
            <w:lang w:eastAsia="en-AU"/>
          </w:rPr>
          <w:t>:</w:t>
        </w:r>
        <w:r w:rsidR="00C42C82" w:rsidRPr="00CF7AFA">
          <w:rPr>
            <w:rStyle w:val="Hyperlink"/>
            <w:lang w:eastAsia="en-AU"/>
          </w:rPr>
          <w:tab/>
        </w:r>
        <w:r w:rsidR="00557FD2" w:rsidRPr="00CF7AFA">
          <w:rPr>
            <w:rStyle w:val="Hyperlink"/>
            <w:lang w:eastAsia="en-AU"/>
          </w:rPr>
          <w:t>Report Introduction and Terms of Reference</w:t>
        </w:r>
        <w:r w:rsidR="0047473E" w:rsidRPr="00CF7AFA">
          <w:rPr>
            <w:rStyle w:val="Hyperlink"/>
            <w:lang w:eastAsia="en-AU"/>
          </w:rPr>
          <w:t>.</w:t>
        </w:r>
      </w:hyperlink>
    </w:p>
    <w:p w:rsidR="00980F62" w:rsidRDefault="00473246" w:rsidP="00C42C82">
      <w:pPr>
        <w:tabs>
          <w:tab w:val="left" w:pos="1276"/>
        </w:tabs>
        <w:rPr>
          <w:lang w:eastAsia="en-AU"/>
        </w:rPr>
      </w:pPr>
      <w:hyperlink w:anchor="Ch02" w:history="1">
        <w:r w:rsidR="00557FD2" w:rsidRPr="00F578E2">
          <w:rPr>
            <w:rStyle w:val="Hyperlink"/>
            <w:b/>
            <w:lang w:eastAsia="en-AU"/>
          </w:rPr>
          <w:t>Chapter 2</w:t>
        </w:r>
        <w:r w:rsidR="00557FD2" w:rsidRPr="00F578E2">
          <w:rPr>
            <w:rStyle w:val="Hyperlink"/>
            <w:lang w:eastAsia="en-AU"/>
          </w:rPr>
          <w:t xml:space="preserve">: </w:t>
        </w:r>
        <w:r w:rsidR="00557FD2" w:rsidRPr="00F578E2">
          <w:rPr>
            <w:rStyle w:val="Hyperlink"/>
            <w:lang w:eastAsia="en-AU"/>
          </w:rPr>
          <w:tab/>
          <w:t>Outline of the Project Methodology</w:t>
        </w:r>
        <w:r w:rsidR="0047473E" w:rsidRPr="00F578E2">
          <w:rPr>
            <w:rStyle w:val="Hyperlink"/>
            <w:lang w:eastAsia="en-AU"/>
          </w:rPr>
          <w:t>.</w:t>
        </w:r>
      </w:hyperlink>
    </w:p>
    <w:p w:rsidR="00980F62" w:rsidRDefault="00557FD2" w:rsidP="00C42C82">
      <w:pPr>
        <w:tabs>
          <w:tab w:val="left" w:pos="1276"/>
        </w:tabs>
        <w:rPr>
          <w:lang w:eastAsia="en-AU"/>
        </w:rPr>
      </w:pPr>
      <w:r w:rsidRPr="00C42C82">
        <w:rPr>
          <w:b/>
          <w:lang w:eastAsia="en-AU"/>
        </w:rPr>
        <w:t>Chapter 3</w:t>
      </w:r>
      <w:r w:rsidRPr="00C42C82">
        <w:rPr>
          <w:lang w:eastAsia="en-AU"/>
        </w:rPr>
        <w:t xml:space="preserve">: </w:t>
      </w:r>
      <w:r w:rsidRPr="00C42C82">
        <w:rPr>
          <w:lang w:eastAsia="en-AU"/>
        </w:rPr>
        <w:tab/>
        <w:t>Sets the scene for the R-ACFI Classification and Funding model</w:t>
      </w:r>
      <w:r w:rsidR="0047473E" w:rsidRPr="00C42C82">
        <w:rPr>
          <w:lang w:eastAsia="en-AU"/>
        </w:rPr>
        <w:t>.</w:t>
      </w:r>
    </w:p>
    <w:p w:rsidR="00557FD2" w:rsidRPr="00C42C82" w:rsidRDefault="00473246" w:rsidP="00C42C82">
      <w:pPr>
        <w:tabs>
          <w:tab w:val="left" w:pos="1276"/>
        </w:tabs>
        <w:rPr>
          <w:lang w:eastAsia="en-AU"/>
        </w:rPr>
      </w:pPr>
      <w:hyperlink w:anchor="Ch04" w:history="1">
        <w:r w:rsidR="00557FD2" w:rsidRPr="00CF7AFA">
          <w:rPr>
            <w:rStyle w:val="Hyperlink"/>
            <w:b/>
            <w:lang w:eastAsia="en-AU"/>
          </w:rPr>
          <w:t>Chapter 4</w:t>
        </w:r>
        <w:r w:rsidR="00557FD2" w:rsidRPr="00CF7AFA">
          <w:rPr>
            <w:rStyle w:val="Hyperlink"/>
            <w:lang w:eastAsia="en-AU"/>
          </w:rPr>
          <w:t>:</w:t>
        </w:r>
        <w:r w:rsidR="00C42C82" w:rsidRPr="00CF7AFA">
          <w:rPr>
            <w:rStyle w:val="Hyperlink"/>
            <w:lang w:eastAsia="en-AU"/>
          </w:rPr>
          <w:tab/>
        </w:r>
        <w:r w:rsidR="00557FD2" w:rsidRPr="00CF7AFA">
          <w:rPr>
            <w:rStyle w:val="Hyperlink"/>
            <w:lang w:eastAsia="en-AU"/>
          </w:rPr>
          <w:t>Describes the new R-ACFI ADL Domain</w:t>
        </w:r>
        <w:r w:rsidR="00370BFA" w:rsidRPr="00CF7AFA">
          <w:rPr>
            <w:rStyle w:val="Hyperlink"/>
            <w:lang w:eastAsia="en-AU"/>
          </w:rPr>
          <w:t xml:space="preserve"> in detail</w:t>
        </w:r>
        <w:r w:rsidR="0047473E" w:rsidRPr="00CF7AFA">
          <w:rPr>
            <w:rStyle w:val="Hyperlink"/>
            <w:lang w:eastAsia="en-AU"/>
          </w:rPr>
          <w:t>.</w:t>
        </w:r>
      </w:hyperlink>
    </w:p>
    <w:p w:rsidR="00557FD2" w:rsidRPr="00C42C82" w:rsidRDefault="00473246" w:rsidP="00C42C82">
      <w:pPr>
        <w:tabs>
          <w:tab w:val="left" w:pos="1276"/>
        </w:tabs>
        <w:rPr>
          <w:lang w:eastAsia="en-AU"/>
        </w:rPr>
      </w:pPr>
      <w:hyperlink w:anchor="Ch05" w:history="1">
        <w:r w:rsidR="00557FD2" w:rsidRPr="00CF7AFA">
          <w:rPr>
            <w:rStyle w:val="Hyperlink"/>
            <w:b/>
            <w:lang w:eastAsia="en-AU"/>
          </w:rPr>
          <w:t>Chapter 5</w:t>
        </w:r>
        <w:r w:rsidR="00557FD2" w:rsidRPr="00CF7AFA">
          <w:rPr>
            <w:rStyle w:val="Hyperlink"/>
            <w:lang w:eastAsia="en-AU"/>
          </w:rPr>
          <w:t xml:space="preserve">: </w:t>
        </w:r>
        <w:r w:rsidR="00557FD2" w:rsidRPr="00CF7AFA">
          <w:rPr>
            <w:rStyle w:val="Hyperlink"/>
            <w:lang w:eastAsia="en-AU"/>
          </w:rPr>
          <w:tab/>
          <w:t>Describes the new R-ACFI BEH Domain</w:t>
        </w:r>
        <w:r w:rsidR="00370BFA" w:rsidRPr="00CF7AFA">
          <w:rPr>
            <w:rStyle w:val="Hyperlink"/>
            <w:lang w:eastAsia="en-AU"/>
          </w:rPr>
          <w:t xml:space="preserve"> in detail</w:t>
        </w:r>
        <w:r w:rsidR="0047473E" w:rsidRPr="00CF7AFA">
          <w:rPr>
            <w:rStyle w:val="Hyperlink"/>
            <w:lang w:eastAsia="en-AU"/>
          </w:rPr>
          <w:t>.</w:t>
        </w:r>
      </w:hyperlink>
    </w:p>
    <w:p w:rsidR="00557FD2" w:rsidRPr="00C42C82" w:rsidRDefault="00473246" w:rsidP="00C42C82">
      <w:pPr>
        <w:tabs>
          <w:tab w:val="left" w:pos="1276"/>
        </w:tabs>
        <w:rPr>
          <w:lang w:eastAsia="en-AU"/>
        </w:rPr>
      </w:pPr>
      <w:hyperlink w:anchor="Ch06" w:history="1">
        <w:r w:rsidR="00557FD2" w:rsidRPr="00A91929">
          <w:rPr>
            <w:rStyle w:val="Hyperlink"/>
            <w:b/>
            <w:lang w:eastAsia="en-AU"/>
          </w:rPr>
          <w:t>Chapter 6</w:t>
        </w:r>
        <w:r w:rsidR="00557FD2" w:rsidRPr="00A91929">
          <w:rPr>
            <w:rStyle w:val="Hyperlink"/>
            <w:lang w:eastAsia="en-AU"/>
          </w:rPr>
          <w:t xml:space="preserve">: </w:t>
        </w:r>
        <w:r w:rsidR="00557FD2" w:rsidRPr="00A91929">
          <w:rPr>
            <w:rStyle w:val="Hyperlink"/>
            <w:lang w:eastAsia="en-AU"/>
          </w:rPr>
          <w:tab/>
          <w:t>Describes the new R-ACFI CHC Domain</w:t>
        </w:r>
        <w:r w:rsidR="00370BFA" w:rsidRPr="00A91929">
          <w:rPr>
            <w:rStyle w:val="Hyperlink"/>
            <w:lang w:eastAsia="en-AU"/>
          </w:rPr>
          <w:t xml:space="preserve"> in detail</w:t>
        </w:r>
        <w:r w:rsidR="0047473E" w:rsidRPr="00A91929">
          <w:rPr>
            <w:rStyle w:val="Hyperlink"/>
            <w:lang w:eastAsia="en-AU"/>
          </w:rPr>
          <w:t>.</w:t>
        </w:r>
      </w:hyperlink>
    </w:p>
    <w:p w:rsidR="00557FD2" w:rsidRPr="00C42C82" w:rsidRDefault="00473246" w:rsidP="00C42C82">
      <w:pPr>
        <w:tabs>
          <w:tab w:val="left" w:pos="1276"/>
        </w:tabs>
        <w:rPr>
          <w:lang w:eastAsia="en-AU"/>
        </w:rPr>
      </w:pPr>
      <w:hyperlink w:anchor="Ch07" w:history="1">
        <w:r w:rsidR="00557FD2" w:rsidRPr="00A91929">
          <w:rPr>
            <w:rStyle w:val="Hyperlink"/>
            <w:b/>
            <w:lang w:eastAsia="en-AU"/>
          </w:rPr>
          <w:t>Chapter 7</w:t>
        </w:r>
        <w:r w:rsidR="00557FD2" w:rsidRPr="00A91929">
          <w:rPr>
            <w:rStyle w:val="Hyperlink"/>
            <w:lang w:eastAsia="en-AU"/>
          </w:rPr>
          <w:t xml:space="preserve">: </w:t>
        </w:r>
        <w:r w:rsidR="00557FD2" w:rsidRPr="00A91929">
          <w:rPr>
            <w:rStyle w:val="Hyperlink"/>
            <w:lang w:eastAsia="en-AU"/>
          </w:rPr>
          <w:tab/>
          <w:t>Provides a description of t</w:t>
        </w:r>
        <w:r w:rsidR="00631BEE" w:rsidRPr="00A91929">
          <w:rPr>
            <w:rStyle w:val="Hyperlink"/>
            <w:lang w:eastAsia="en-AU"/>
          </w:rPr>
          <w:t>he new Therapy Program</w:t>
        </w:r>
        <w:r w:rsidR="0047473E" w:rsidRPr="00A91929">
          <w:rPr>
            <w:rStyle w:val="Hyperlink"/>
            <w:lang w:eastAsia="en-AU"/>
          </w:rPr>
          <w:t>.</w:t>
        </w:r>
      </w:hyperlink>
    </w:p>
    <w:bookmarkStart w:id="80" w:name="Ch08"/>
    <w:p w:rsidR="00557FD2" w:rsidRPr="00C42C82" w:rsidRDefault="00A91929" w:rsidP="00C42C82">
      <w:pPr>
        <w:tabs>
          <w:tab w:val="left" w:pos="1276"/>
        </w:tabs>
        <w:rPr>
          <w:lang w:eastAsia="en-AU"/>
        </w:rPr>
      </w:pPr>
      <w:r>
        <w:rPr>
          <w:b/>
          <w:lang w:eastAsia="en-AU"/>
        </w:rPr>
        <w:fldChar w:fldCharType="begin"/>
      </w:r>
      <w:r>
        <w:rPr>
          <w:b/>
          <w:lang w:eastAsia="en-AU"/>
        </w:rPr>
        <w:instrText xml:space="preserve"> HYPERLINK  \l "Ch08" </w:instrText>
      </w:r>
      <w:r>
        <w:rPr>
          <w:b/>
          <w:lang w:eastAsia="en-AU"/>
        </w:rPr>
        <w:fldChar w:fldCharType="separate"/>
      </w:r>
      <w:r w:rsidR="00557FD2" w:rsidRPr="00A91929">
        <w:rPr>
          <w:rStyle w:val="Hyperlink"/>
          <w:b/>
          <w:lang w:eastAsia="en-AU"/>
        </w:rPr>
        <w:t>Chapter 8</w:t>
      </w:r>
      <w:r w:rsidR="00557FD2" w:rsidRPr="00A91929">
        <w:rPr>
          <w:rStyle w:val="Hyperlink"/>
          <w:lang w:eastAsia="en-AU"/>
        </w:rPr>
        <w:t xml:space="preserve">: </w:t>
      </w:r>
      <w:r w:rsidR="00557FD2" w:rsidRPr="00A91929">
        <w:rPr>
          <w:rStyle w:val="Hyperlink"/>
          <w:lang w:eastAsia="en-AU"/>
        </w:rPr>
        <w:tab/>
        <w:t>Describes the R-ACFI Classification and Funding Model</w:t>
      </w:r>
      <w:r w:rsidR="00370BFA" w:rsidRPr="00A91929">
        <w:rPr>
          <w:rStyle w:val="Hyperlink"/>
          <w:lang w:eastAsia="en-AU"/>
        </w:rPr>
        <w:t xml:space="preserve"> Outcomes</w:t>
      </w:r>
      <w:r w:rsidR="0047473E" w:rsidRPr="00A91929">
        <w:rPr>
          <w:rStyle w:val="Hyperlink"/>
          <w:lang w:eastAsia="en-AU"/>
        </w:rPr>
        <w:t>.</w:t>
      </w:r>
      <w:r>
        <w:rPr>
          <w:b/>
          <w:lang w:eastAsia="en-AU"/>
        </w:rPr>
        <w:fldChar w:fldCharType="end"/>
      </w:r>
    </w:p>
    <w:bookmarkEnd w:id="80"/>
    <w:p w:rsidR="00557FD2" w:rsidRPr="00C42C82" w:rsidRDefault="00803F43" w:rsidP="00C42C82">
      <w:pPr>
        <w:tabs>
          <w:tab w:val="left" w:pos="1276"/>
        </w:tabs>
        <w:rPr>
          <w:lang w:eastAsia="en-AU"/>
        </w:rPr>
      </w:pPr>
      <w:r>
        <w:rPr>
          <w:b/>
          <w:lang w:eastAsia="en-AU"/>
        </w:rPr>
        <w:fldChar w:fldCharType="begin"/>
      </w:r>
      <w:r>
        <w:rPr>
          <w:b/>
          <w:lang w:eastAsia="en-AU"/>
        </w:rPr>
        <w:instrText xml:space="preserve"> HYPERLINK  \l "Ch09" </w:instrText>
      </w:r>
      <w:r>
        <w:rPr>
          <w:b/>
          <w:lang w:eastAsia="en-AU"/>
        </w:rPr>
        <w:fldChar w:fldCharType="separate"/>
      </w:r>
      <w:r w:rsidR="00557FD2" w:rsidRPr="00803F43">
        <w:rPr>
          <w:rStyle w:val="Hyperlink"/>
          <w:b/>
          <w:lang w:eastAsia="en-AU"/>
        </w:rPr>
        <w:t>Chapter 9</w:t>
      </w:r>
      <w:r w:rsidR="00557FD2" w:rsidRPr="00803F43">
        <w:rPr>
          <w:rStyle w:val="Hyperlink"/>
          <w:lang w:eastAsia="en-AU"/>
        </w:rPr>
        <w:t>:</w:t>
      </w:r>
      <w:r w:rsidR="00C42C82" w:rsidRPr="00803F43">
        <w:rPr>
          <w:rStyle w:val="Hyperlink"/>
          <w:lang w:eastAsia="en-AU"/>
        </w:rPr>
        <w:tab/>
      </w:r>
      <w:r w:rsidR="00144C0B" w:rsidRPr="00803F43">
        <w:rPr>
          <w:rStyle w:val="Hyperlink"/>
          <w:lang w:eastAsia="en-AU"/>
        </w:rPr>
        <w:t xml:space="preserve">Examines </w:t>
      </w:r>
      <w:r w:rsidR="00557FD2" w:rsidRPr="00803F43">
        <w:rPr>
          <w:rStyle w:val="Hyperlink"/>
          <w:lang w:eastAsia="en-AU"/>
        </w:rPr>
        <w:t>Funding Growth and Resident Acuity</w:t>
      </w:r>
      <w:r w:rsidR="0047473E" w:rsidRPr="00803F43">
        <w:rPr>
          <w:rStyle w:val="Hyperlink"/>
          <w:lang w:eastAsia="en-AU"/>
        </w:rPr>
        <w:t>.</w:t>
      </w:r>
      <w:r>
        <w:rPr>
          <w:b/>
          <w:lang w:eastAsia="en-AU"/>
        </w:rPr>
        <w:fldChar w:fldCharType="end"/>
      </w:r>
    </w:p>
    <w:p w:rsidR="00557FD2" w:rsidRPr="00C42C82" w:rsidRDefault="00473246" w:rsidP="00C42C82">
      <w:pPr>
        <w:tabs>
          <w:tab w:val="left" w:pos="1276"/>
        </w:tabs>
        <w:ind w:left="1247" w:hanging="1247"/>
        <w:rPr>
          <w:lang w:eastAsia="en-AU"/>
        </w:rPr>
      </w:pPr>
      <w:hyperlink w:anchor="Ch10" w:history="1">
        <w:r w:rsidR="00557FD2" w:rsidRPr="00803F43">
          <w:rPr>
            <w:rStyle w:val="Hyperlink"/>
            <w:b/>
            <w:lang w:eastAsia="en-AU"/>
          </w:rPr>
          <w:t>Chapter 10</w:t>
        </w:r>
        <w:r w:rsidR="00557FD2" w:rsidRPr="00803F43">
          <w:rPr>
            <w:rStyle w:val="Hyperlink"/>
            <w:lang w:eastAsia="en-AU"/>
          </w:rPr>
          <w:t xml:space="preserve">: </w:t>
        </w:r>
        <w:r w:rsidR="00557FD2" w:rsidRPr="00803F43">
          <w:rPr>
            <w:rStyle w:val="Hyperlink"/>
            <w:lang w:eastAsia="en-AU"/>
          </w:rPr>
          <w:tab/>
          <w:t>R</w:t>
        </w:r>
        <w:r w:rsidR="00144C0B" w:rsidRPr="00803F43">
          <w:rPr>
            <w:rStyle w:val="Hyperlink"/>
            <w:lang w:eastAsia="en-AU"/>
          </w:rPr>
          <w:t>eviews in brief se</w:t>
        </w:r>
        <w:r w:rsidR="002C5592" w:rsidRPr="00803F43">
          <w:rPr>
            <w:rStyle w:val="Hyperlink"/>
            <w:lang w:eastAsia="en-AU"/>
          </w:rPr>
          <w:t>lected International Aged Care S</w:t>
        </w:r>
        <w:r w:rsidR="00557FD2" w:rsidRPr="00803F43">
          <w:rPr>
            <w:rStyle w:val="Hyperlink"/>
            <w:lang w:eastAsia="en-AU"/>
          </w:rPr>
          <w:t>ystems approaches to determining and setting funding.</w:t>
        </w:r>
      </w:hyperlink>
    </w:p>
    <w:p w:rsidR="00557FD2" w:rsidRPr="00C42C82" w:rsidRDefault="00473246" w:rsidP="00C42C82">
      <w:pPr>
        <w:tabs>
          <w:tab w:val="left" w:pos="1276"/>
        </w:tabs>
        <w:ind w:left="1247" w:hanging="1247"/>
        <w:rPr>
          <w:lang w:eastAsia="en-AU"/>
        </w:rPr>
      </w:pPr>
      <w:hyperlink w:anchor="Ch11" w:history="1">
        <w:r w:rsidR="00557FD2" w:rsidRPr="00803F43">
          <w:rPr>
            <w:rStyle w:val="Hyperlink"/>
            <w:b/>
            <w:lang w:eastAsia="en-AU"/>
          </w:rPr>
          <w:t>Chapter 11</w:t>
        </w:r>
        <w:r w:rsidR="00557FD2" w:rsidRPr="00803F43">
          <w:rPr>
            <w:rStyle w:val="Hyperlink"/>
            <w:lang w:eastAsia="en-AU"/>
          </w:rPr>
          <w:t xml:space="preserve">: </w:t>
        </w:r>
        <w:r w:rsidR="00557FD2" w:rsidRPr="00803F43">
          <w:rPr>
            <w:rStyle w:val="Hyperlink"/>
            <w:lang w:eastAsia="en-AU"/>
          </w:rPr>
          <w:tab/>
          <w:t>Provides three options to consider for changes to the way assessment for funding is determined in Australian aged care facilities.</w:t>
        </w:r>
      </w:hyperlink>
    </w:p>
    <w:p w:rsidR="00525474" w:rsidRPr="00C42C82" w:rsidRDefault="00473246" w:rsidP="00C42C82">
      <w:pPr>
        <w:tabs>
          <w:tab w:val="left" w:pos="1276"/>
        </w:tabs>
        <w:ind w:left="1247" w:hanging="1247"/>
        <w:rPr>
          <w:lang w:eastAsia="en-AU"/>
        </w:rPr>
      </w:pPr>
      <w:hyperlink w:anchor="Ch12" w:history="1">
        <w:r w:rsidR="00525474" w:rsidRPr="009C2BF6">
          <w:rPr>
            <w:rStyle w:val="Hyperlink"/>
            <w:b/>
            <w:lang w:eastAsia="en-AU"/>
          </w:rPr>
          <w:t>Chapter 12</w:t>
        </w:r>
        <w:r w:rsidR="00525474" w:rsidRPr="009C2BF6">
          <w:rPr>
            <w:rStyle w:val="Hyperlink"/>
            <w:lang w:eastAsia="en-AU"/>
          </w:rPr>
          <w:t xml:space="preserve">: </w:t>
        </w:r>
        <w:r w:rsidR="00525474" w:rsidRPr="009C2BF6">
          <w:rPr>
            <w:rStyle w:val="Hyperlink"/>
            <w:lang w:eastAsia="en-AU"/>
          </w:rPr>
          <w:tab/>
          <w:t>Provides an overview of the recommended pilot studies to test the R-ACFI changes and inform on the operation of the External Assessment Options</w:t>
        </w:r>
        <w:r w:rsidR="0047473E" w:rsidRPr="009C2BF6">
          <w:rPr>
            <w:rStyle w:val="Hyperlink"/>
            <w:lang w:eastAsia="en-AU"/>
          </w:rPr>
          <w:t>.</w:t>
        </w:r>
      </w:hyperlink>
    </w:p>
    <w:p w:rsidR="00F0106F" w:rsidRDefault="00084EC4" w:rsidP="005A3AA5">
      <w:pPr>
        <w:spacing w:after="0"/>
        <w:rPr>
          <w:rFonts w:cstheme="minorHAnsi"/>
        </w:rPr>
      </w:pPr>
      <w:r w:rsidRPr="00C42C82">
        <w:rPr>
          <w:rFonts w:cstheme="minorHAnsi"/>
          <w:b/>
        </w:rPr>
        <w:t>Note</w:t>
      </w:r>
      <w:r w:rsidR="00F0106F">
        <w:rPr>
          <w:rFonts w:cstheme="minorHAnsi"/>
        </w:rPr>
        <w:t>:</w:t>
      </w:r>
      <w:r>
        <w:rPr>
          <w:rFonts w:cstheme="minorHAnsi"/>
        </w:rPr>
        <w:t xml:space="preserve"> </w:t>
      </w:r>
      <w:r w:rsidR="00F0106F">
        <w:rPr>
          <w:rFonts w:cstheme="minorHAnsi"/>
        </w:rPr>
        <w:t>The R-ACFI refers to the R</w:t>
      </w:r>
      <w:r>
        <w:rPr>
          <w:rFonts w:cstheme="minorHAnsi"/>
        </w:rPr>
        <w:t>evised ACFI</w:t>
      </w:r>
      <w:r w:rsidR="00F0106F">
        <w:rPr>
          <w:rFonts w:cstheme="minorHAnsi"/>
        </w:rPr>
        <w:t xml:space="preserve"> rather than the currently in use ACFI.</w:t>
      </w:r>
    </w:p>
    <w:p w:rsidR="00F0106F" w:rsidRDefault="00F0106F" w:rsidP="00557FD2">
      <w:pPr>
        <w:spacing w:after="0"/>
        <w:rPr>
          <w:rFonts w:cstheme="minorHAnsi"/>
        </w:rPr>
      </w:pPr>
    </w:p>
    <w:p w:rsidR="00645F41" w:rsidRDefault="00645F41" w:rsidP="00557FD2">
      <w:pPr>
        <w:spacing w:after="0"/>
        <w:rPr>
          <w:rFonts w:cstheme="minorHAnsi"/>
        </w:rPr>
        <w:sectPr w:rsidR="00645F41" w:rsidSect="00F57A3F">
          <w:pgSz w:w="11906" w:h="16838"/>
          <w:pgMar w:top="1440" w:right="1440" w:bottom="1440" w:left="1440" w:header="709" w:footer="709" w:gutter="0"/>
          <w:cols w:space="708"/>
          <w:docGrid w:linePitch="360"/>
        </w:sectPr>
      </w:pPr>
    </w:p>
    <w:p w:rsidR="00557FD2" w:rsidRDefault="00557FD2" w:rsidP="00557203">
      <w:pPr>
        <w:pStyle w:val="Heading1-Chapters"/>
      </w:pPr>
      <w:bookmarkStart w:id="81" w:name="_Toc478568232"/>
      <w:bookmarkStart w:id="82" w:name="_Toc486599969"/>
      <w:bookmarkStart w:id="83" w:name="_Toc486603012"/>
      <w:bookmarkStart w:id="84" w:name="_Toc491426026"/>
      <w:bookmarkStart w:id="85" w:name="Ch02"/>
      <w:r w:rsidRPr="00512BAB">
        <w:lastRenderedPageBreak/>
        <w:t>Method</w:t>
      </w:r>
      <w:bookmarkEnd w:id="81"/>
      <w:r>
        <w:t>s</w:t>
      </w:r>
      <w:bookmarkEnd w:id="82"/>
      <w:bookmarkEnd w:id="83"/>
      <w:bookmarkEnd w:id="84"/>
    </w:p>
    <w:p w:rsidR="00557FD2" w:rsidRPr="00103B94" w:rsidRDefault="00557FD2" w:rsidP="00530D56">
      <w:pPr>
        <w:pStyle w:val="Heading2-Chapter2"/>
      </w:pPr>
      <w:bookmarkStart w:id="86" w:name="_Toc163408932"/>
      <w:bookmarkStart w:id="87" w:name="_Toc486599970"/>
      <w:bookmarkStart w:id="88" w:name="_Toc486603013"/>
      <w:bookmarkStart w:id="89" w:name="_Toc491426027"/>
      <w:bookmarkEnd w:id="85"/>
      <w:r w:rsidRPr="00103B94">
        <w:t>Introduction</w:t>
      </w:r>
      <w:bookmarkEnd w:id="86"/>
      <w:bookmarkEnd w:id="87"/>
      <w:bookmarkEnd w:id="88"/>
      <w:bookmarkEnd w:id="89"/>
    </w:p>
    <w:p w:rsidR="00645F41" w:rsidRDefault="00645F41" w:rsidP="008A1B34">
      <w:r w:rsidRPr="00EA1B6C">
        <w:t xml:space="preserve">The </w:t>
      </w:r>
      <w:r>
        <w:t xml:space="preserve">ACFI Review Project </w:t>
      </w:r>
      <w:r w:rsidRPr="00EA1B6C">
        <w:t>c</w:t>
      </w:r>
      <w:r>
        <w:t>omprised a number of components. The review methods were focused around the two major project aspects:</w:t>
      </w:r>
    </w:p>
    <w:p w:rsidR="00645F41" w:rsidRPr="00C42C82" w:rsidRDefault="00645F41" w:rsidP="00F02312">
      <w:pPr>
        <w:pStyle w:val="ListParagraph"/>
        <w:numPr>
          <w:ilvl w:val="0"/>
          <w:numId w:val="74"/>
        </w:numPr>
        <w:ind w:left="357" w:hanging="357"/>
      </w:pPr>
      <w:r w:rsidRPr="00C42C82">
        <w:t>A review of the ACFI system covering suggestions for change and analysis of the changes using existing data</w:t>
      </w:r>
      <w:r w:rsidR="00B50FFD">
        <w:t>.</w:t>
      </w:r>
    </w:p>
    <w:p w:rsidR="00980F62" w:rsidRDefault="00645F41" w:rsidP="00F02312">
      <w:pPr>
        <w:pStyle w:val="ListParagraph"/>
        <w:numPr>
          <w:ilvl w:val="0"/>
          <w:numId w:val="74"/>
        </w:numPr>
        <w:ind w:left="357" w:hanging="357"/>
      </w:pPr>
      <w:r w:rsidRPr="00C42C82">
        <w:t xml:space="preserve">The rationale </w:t>
      </w:r>
      <w:r w:rsidR="000F6952" w:rsidRPr="00C42C82">
        <w:t xml:space="preserve">for and possible options if an </w:t>
      </w:r>
      <w:r w:rsidR="007E4EF3" w:rsidRPr="00C42C82">
        <w:t>e</w:t>
      </w:r>
      <w:r w:rsidR="000F6952" w:rsidRPr="00C42C82">
        <w:t xml:space="preserve">xternal </w:t>
      </w:r>
      <w:r w:rsidR="007E4EF3" w:rsidRPr="00C42C82">
        <w:t>a</w:t>
      </w:r>
      <w:r w:rsidRPr="00C42C82">
        <w:t xml:space="preserve">ssessment model was to be considered for the resident funding </w:t>
      </w:r>
      <w:r w:rsidR="000F6952" w:rsidRPr="00C42C82">
        <w:t>determination</w:t>
      </w:r>
      <w:r w:rsidRPr="00C42C82">
        <w:t>.</w:t>
      </w:r>
    </w:p>
    <w:p w:rsidR="00980F62" w:rsidRDefault="00473246" w:rsidP="008A1B34">
      <w:pPr>
        <w:rPr>
          <w:lang w:eastAsia="en-AU"/>
        </w:rPr>
      </w:pPr>
      <w:hyperlink w:anchor="Tab0201" w:history="1">
        <w:r w:rsidR="00557FD2" w:rsidRPr="00904246">
          <w:rPr>
            <w:rStyle w:val="Hyperlink"/>
            <w:lang w:eastAsia="en-AU"/>
          </w:rPr>
          <w:t>Table 2.1</w:t>
        </w:r>
      </w:hyperlink>
      <w:r w:rsidR="00557FD2">
        <w:rPr>
          <w:lang w:eastAsia="en-AU"/>
        </w:rPr>
        <w:t xml:space="preserve"> provides an overview of the ACFI Review </w:t>
      </w:r>
      <w:r w:rsidR="00163436">
        <w:rPr>
          <w:lang w:eastAsia="en-AU"/>
        </w:rPr>
        <w:t xml:space="preserve">Project </w:t>
      </w:r>
      <w:r w:rsidR="00557FD2">
        <w:rPr>
          <w:lang w:eastAsia="en-AU"/>
        </w:rPr>
        <w:t xml:space="preserve">tasks and methods. Subsequent sections provide more </w:t>
      </w:r>
      <w:r w:rsidR="00163436">
        <w:rPr>
          <w:lang w:eastAsia="en-AU"/>
        </w:rPr>
        <w:t xml:space="preserve">detailed </w:t>
      </w:r>
      <w:r w:rsidR="00557FD2">
        <w:rPr>
          <w:lang w:eastAsia="en-AU"/>
        </w:rPr>
        <w:t>information on the project activities.</w:t>
      </w:r>
    </w:p>
    <w:p w:rsidR="00291A6C" w:rsidRDefault="00291A6C" w:rsidP="00291A6C">
      <w:pPr>
        <w:pStyle w:val="Caption"/>
        <w:keepNext/>
      </w:pPr>
      <w:bookmarkStart w:id="90" w:name="_Toc495415629"/>
      <w:bookmarkStart w:id="91" w:name="_Toc495474268"/>
      <w:bookmarkStart w:id="92" w:name="Tab0201"/>
      <w:r>
        <w:t>Table 2.</w:t>
      </w:r>
      <w:r w:rsidR="009A3F5A">
        <w:fldChar w:fldCharType="begin"/>
      </w:r>
      <w:r w:rsidR="009A3F5A">
        <w:instrText xml:space="preserve"> SEQ Table_2. \* ARABIC </w:instrText>
      </w:r>
      <w:r w:rsidR="009A3F5A">
        <w:fldChar w:fldCharType="separate"/>
      </w:r>
      <w:r w:rsidR="00856E49">
        <w:rPr>
          <w:noProof/>
        </w:rPr>
        <w:t>1</w:t>
      </w:r>
      <w:r w:rsidR="009A3F5A">
        <w:rPr>
          <w:noProof/>
        </w:rPr>
        <w:fldChar w:fldCharType="end"/>
      </w:r>
      <w:r>
        <w:t xml:space="preserve">: </w:t>
      </w:r>
      <w:r w:rsidRPr="00291A6C">
        <w:t>ACFI Review Framework &amp; Methods</w:t>
      </w:r>
      <w:bookmarkEnd w:id="90"/>
      <w:bookmarkEnd w:id="91"/>
    </w:p>
    <w:tbl>
      <w:tblPr>
        <w:tblStyle w:val="GridTable4-Accent51"/>
        <w:tblW w:w="5505" w:type="pct"/>
        <w:tblInd w:w="-31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6A0" w:firstRow="1" w:lastRow="0" w:firstColumn="1" w:lastColumn="0" w:noHBand="1" w:noVBand="1"/>
        <w:tblDescription w:val="Table 2.1 is a detailed list of the tasks undertaken during the Aged Care Funding Instrument (ACFI) review. This table is to be read left to right, top to bottom."/>
      </w:tblPr>
      <w:tblGrid>
        <w:gridCol w:w="2904"/>
        <w:gridCol w:w="2214"/>
        <w:gridCol w:w="1396"/>
        <w:gridCol w:w="1785"/>
        <w:gridCol w:w="1628"/>
      </w:tblGrid>
      <w:tr w:rsidR="008A1B34" w:rsidRPr="003E2FE0" w:rsidTr="003E2F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 w:type="pct"/>
            <w:tcBorders>
              <w:top w:val="none" w:sz="0" w:space="0" w:color="auto"/>
              <w:left w:val="none" w:sz="0" w:space="0" w:color="auto"/>
              <w:bottom w:val="none" w:sz="0" w:space="0" w:color="auto"/>
              <w:right w:val="none" w:sz="0" w:space="0" w:color="auto"/>
            </w:tcBorders>
            <w:vAlign w:val="center"/>
            <w:hideMark/>
          </w:tcPr>
          <w:p w:rsidR="00557FD2" w:rsidRPr="003E2FE0" w:rsidRDefault="00557FD2" w:rsidP="008A1B34">
            <w:pPr>
              <w:spacing w:before="60" w:after="60"/>
              <w:jc w:val="left"/>
              <w:rPr>
                <w:rFonts w:eastAsia="Times New Roman" w:cs="Calibri"/>
                <w:b w:val="0"/>
                <w:bCs w:val="0"/>
                <w:sz w:val="22"/>
                <w:lang w:eastAsia="en-AU"/>
              </w:rPr>
            </w:pPr>
            <w:bookmarkStart w:id="93" w:name="_Toc478568234"/>
            <w:bookmarkEnd w:id="92"/>
            <w:r w:rsidRPr="003E2FE0">
              <w:rPr>
                <w:rFonts w:eastAsia="Times New Roman" w:cs="Calibri"/>
                <w:sz w:val="22"/>
                <w:lang w:eastAsia="en-AU"/>
              </w:rPr>
              <w:t>Tasks</w:t>
            </w:r>
          </w:p>
        </w:tc>
        <w:tc>
          <w:tcPr>
            <w:tcW w:w="1115" w:type="pct"/>
            <w:tcBorders>
              <w:top w:val="none" w:sz="0" w:space="0" w:color="auto"/>
              <w:left w:val="none" w:sz="0" w:space="0" w:color="auto"/>
              <w:bottom w:val="none" w:sz="0" w:space="0" w:color="auto"/>
              <w:right w:val="none" w:sz="0" w:space="0" w:color="auto"/>
            </w:tcBorders>
            <w:noWrap/>
            <w:vAlign w:val="center"/>
            <w:hideMark/>
          </w:tcPr>
          <w:p w:rsidR="00557FD2" w:rsidRPr="003E2FE0" w:rsidRDefault="00557FD2" w:rsidP="008A1B34">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22"/>
                <w:lang w:eastAsia="en-AU"/>
              </w:rPr>
            </w:pPr>
            <w:r w:rsidRPr="003E2FE0">
              <w:rPr>
                <w:rFonts w:eastAsia="Times New Roman" w:cs="Calibri"/>
                <w:sz w:val="22"/>
                <w:lang w:eastAsia="en-AU"/>
              </w:rPr>
              <w:t>Identify ACFI Issues</w:t>
            </w:r>
          </w:p>
        </w:tc>
        <w:tc>
          <w:tcPr>
            <w:tcW w:w="703" w:type="pct"/>
            <w:tcBorders>
              <w:top w:val="none" w:sz="0" w:space="0" w:color="auto"/>
              <w:left w:val="none" w:sz="0" w:space="0" w:color="auto"/>
              <w:bottom w:val="none" w:sz="0" w:space="0" w:color="auto"/>
              <w:right w:val="none" w:sz="0" w:space="0" w:color="auto"/>
            </w:tcBorders>
            <w:vAlign w:val="center"/>
            <w:hideMark/>
          </w:tcPr>
          <w:p w:rsidR="00557FD2" w:rsidRPr="003E2FE0" w:rsidRDefault="00557FD2" w:rsidP="008A1B34">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2"/>
                <w:lang w:eastAsia="en-AU"/>
              </w:rPr>
            </w:pPr>
            <w:r w:rsidRPr="003E2FE0">
              <w:rPr>
                <w:rFonts w:eastAsia="Times New Roman" w:cs="Times New Roman"/>
                <w:sz w:val="22"/>
                <w:lang w:eastAsia="en-AU"/>
              </w:rPr>
              <w:t>Practical modification</w:t>
            </w:r>
          </w:p>
        </w:tc>
        <w:tc>
          <w:tcPr>
            <w:tcW w:w="899" w:type="pct"/>
            <w:tcBorders>
              <w:top w:val="none" w:sz="0" w:space="0" w:color="auto"/>
              <w:left w:val="none" w:sz="0" w:space="0" w:color="auto"/>
              <w:bottom w:val="none" w:sz="0" w:space="0" w:color="auto"/>
              <w:right w:val="none" w:sz="0" w:space="0" w:color="auto"/>
            </w:tcBorders>
            <w:noWrap/>
            <w:vAlign w:val="center"/>
            <w:hideMark/>
          </w:tcPr>
          <w:p w:rsidR="00557FD2" w:rsidRPr="003E2FE0" w:rsidRDefault="00557FD2" w:rsidP="008A1B34">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22"/>
                <w:lang w:eastAsia="en-AU"/>
              </w:rPr>
            </w:pPr>
            <w:r w:rsidRPr="003E2FE0">
              <w:rPr>
                <w:rFonts w:eastAsia="Times New Roman" w:cs="Times New Roman"/>
                <w:sz w:val="22"/>
                <w:lang w:eastAsia="en-AU"/>
              </w:rPr>
              <w:t>Develop modified ACFI</w:t>
            </w:r>
          </w:p>
        </w:tc>
        <w:tc>
          <w:tcPr>
            <w:tcW w:w="820" w:type="pct"/>
            <w:tcBorders>
              <w:top w:val="none" w:sz="0" w:space="0" w:color="auto"/>
              <w:left w:val="none" w:sz="0" w:space="0" w:color="auto"/>
              <w:bottom w:val="none" w:sz="0" w:space="0" w:color="auto"/>
              <w:right w:val="none" w:sz="0" w:space="0" w:color="auto"/>
            </w:tcBorders>
            <w:noWrap/>
            <w:vAlign w:val="center"/>
            <w:hideMark/>
          </w:tcPr>
          <w:p w:rsidR="00557FD2" w:rsidRPr="003E2FE0" w:rsidRDefault="00557FD2" w:rsidP="008A1B34">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2"/>
                <w:lang w:eastAsia="en-AU"/>
              </w:rPr>
            </w:pPr>
            <w:r w:rsidRPr="003E2FE0">
              <w:rPr>
                <w:rFonts w:eastAsia="Times New Roman" w:cs="Times New Roman"/>
                <w:sz w:val="22"/>
                <w:lang w:eastAsia="en-AU"/>
              </w:rPr>
              <w:t>External Assessment</w:t>
            </w:r>
          </w:p>
        </w:tc>
      </w:tr>
      <w:tr w:rsidR="008A1B34" w:rsidRPr="003E2FE0" w:rsidTr="003E2FE0">
        <w:tc>
          <w:tcPr>
            <w:cnfStyle w:val="001000000000" w:firstRow="0" w:lastRow="0" w:firstColumn="1" w:lastColumn="0" w:oddVBand="0" w:evenVBand="0" w:oddHBand="0" w:evenHBand="0" w:firstRowFirstColumn="0" w:firstRowLastColumn="0" w:lastRowFirstColumn="0" w:lastRowLastColumn="0"/>
            <w:tcW w:w="1462" w:type="pct"/>
            <w:hideMark/>
          </w:tcPr>
          <w:p w:rsidR="00557FD2" w:rsidRPr="003E2FE0" w:rsidRDefault="00557FD2" w:rsidP="008A1B34">
            <w:pPr>
              <w:spacing w:before="60" w:after="60"/>
              <w:jc w:val="left"/>
              <w:rPr>
                <w:rFonts w:eastAsia="Times New Roman" w:cs="Calibri"/>
                <w:b w:val="0"/>
                <w:sz w:val="20"/>
                <w:szCs w:val="20"/>
                <w:lang w:eastAsia="en-AU"/>
              </w:rPr>
            </w:pPr>
            <w:r w:rsidRPr="003E2FE0">
              <w:rPr>
                <w:rFonts w:eastAsia="Times New Roman" w:cs="Calibri"/>
                <w:sz w:val="20"/>
                <w:szCs w:val="20"/>
                <w:lang w:eastAsia="en-AU"/>
              </w:rPr>
              <w:t xml:space="preserve">Review assessment tools used in Australian health and aged care sector, including validated contemporary care practices (e.g. restorative care, </w:t>
            </w:r>
            <w:r w:rsidR="001F0125" w:rsidRPr="003E2FE0">
              <w:rPr>
                <w:rFonts w:eastAsia="Times New Roman" w:cs="Calibri"/>
                <w:sz w:val="20"/>
                <w:szCs w:val="20"/>
                <w:lang w:eastAsia="en-AU"/>
              </w:rPr>
              <w:t>reablement</w:t>
            </w:r>
            <w:r w:rsidRPr="003E2FE0">
              <w:rPr>
                <w:rFonts w:eastAsia="Times New Roman" w:cs="Calibri"/>
                <w:sz w:val="20"/>
                <w:szCs w:val="20"/>
                <w:lang w:eastAsia="en-AU"/>
              </w:rPr>
              <w:t>, dementia care, CDC)</w:t>
            </w:r>
          </w:p>
        </w:tc>
        <w:tc>
          <w:tcPr>
            <w:tcW w:w="1115" w:type="pct"/>
            <w:hideMark/>
          </w:tcPr>
          <w:p w:rsidR="00557FD2" w:rsidRPr="003E2FE0" w:rsidRDefault="00557FD2" w:rsidP="002C1CC9">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3E2FE0">
              <w:rPr>
                <w:rFonts w:eastAsia="Times New Roman" w:cs="Calibri"/>
                <w:sz w:val="20"/>
                <w:szCs w:val="20"/>
                <w:lang w:eastAsia="en-AU"/>
              </w:rPr>
              <w:t>Identify alternative validated assessment tools</w:t>
            </w:r>
          </w:p>
        </w:tc>
        <w:tc>
          <w:tcPr>
            <w:tcW w:w="703" w:type="pct"/>
          </w:tcPr>
          <w:p w:rsidR="00557FD2" w:rsidRPr="003E2FE0" w:rsidRDefault="00557FD2" w:rsidP="008A1B34">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3E2FE0">
              <w:rPr>
                <w:rFonts w:eastAsia="Times New Roman" w:cs="Calibri"/>
                <w:sz w:val="20"/>
                <w:szCs w:val="20"/>
                <w:lang w:eastAsia="en-AU"/>
              </w:rPr>
              <w:t>Stakeholder interviews</w:t>
            </w:r>
          </w:p>
        </w:tc>
        <w:tc>
          <w:tcPr>
            <w:tcW w:w="899" w:type="pct"/>
            <w:hideMark/>
          </w:tcPr>
          <w:p w:rsidR="00557FD2" w:rsidRPr="003E2FE0" w:rsidRDefault="00557FD2" w:rsidP="004022C5">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3E2FE0">
              <w:rPr>
                <w:rFonts w:eastAsia="Times New Roman" w:cs="Calibri"/>
                <w:sz w:val="20"/>
                <w:szCs w:val="20"/>
                <w:lang w:eastAsia="en-AU"/>
              </w:rPr>
              <w:t>Consider use of Australian aged care</w:t>
            </w:r>
            <w:r w:rsidR="004022C5" w:rsidRPr="003E2FE0">
              <w:rPr>
                <w:rFonts w:eastAsia="Times New Roman" w:cs="Calibri"/>
                <w:sz w:val="20"/>
                <w:szCs w:val="20"/>
                <w:lang w:eastAsia="en-AU"/>
              </w:rPr>
              <w:t xml:space="preserve"> </w:t>
            </w:r>
            <w:r w:rsidRPr="003E2FE0">
              <w:rPr>
                <w:rFonts w:eastAsia="Times New Roman" w:cs="Calibri"/>
                <w:sz w:val="20"/>
                <w:szCs w:val="20"/>
                <w:lang w:eastAsia="en-AU"/>
              </w:rPr>
              <w:t>tools and contemporary care practices</w:t>
            </w:r>
          </w:p>
        </w:tc>
        <w:tc>
          <w:tcPr>
            <w:tcW w:w="820" w:type="pct"/>
            <w:hideMark/>
          </w:tcPr>
          <w:p w:rsidR="00557FD2" w:rsidRPr="003E2FE0" w:rsidRDefault="00557FD2" w:rsidP="004022C5">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3E2FE0">
              <w:rPr>
                <w:rFonts w:eastAsia="Times New Roman" w:cs="Calibri"/>
                <w:sz w:val="20"/>
                <w:szCs w:val="20"/>
                <w:lang w:eastAsia="en-AU"/>
              </w:rPr>
              <w:t>Consider how to fit external assessment</w:t>
            </w:r>
            <w:r w:rsidR="004022C5" w:rsidRPr="003E2FE0">
              <w:rPr>
                <w:rFonts w:eastAsia="Times New Roman" w:cs="Calibri"/>
                <w:sz w:val="20"/>
                <w:szCs w:val="20"/>
                <w:lang w:eastAsia="en-AU"/>
              </w:rPr>
              <w:t xml:space="preserve"> </w:t>
            </w:r>
            <w:r w:rsidRPr="003E2FE0">
              <w:rPr>
                <w:rFonts w:eastAsia="Times New Roman" w:cs="Calibri"/>
                <w:sz w:val="20"/>
                <w:szCs w:val="20"/>
                <w:lang w:eastAsia="en-AU"/>
              </w:rPr>
              <w:t>with Australian aged care sector</w:t>
            </w:r>
          </w:p>
        </w:tc>
      </w:tr>
      <w:tr w:rsidR="008A1B34" w:rsidRPr="003E2FE0" w:rsidTr="003E2FE0">
        <w:tc>
          <w:tcPr>
            <w:cnfStyle w:val="001000000000" w:firstRow="0" w:lastRow="0" w:firstColumn="1" w:lastColumn="0" w:oddVBand="0" w:evenVBand="0" w:oddHBand="0" w:evenHBand="0" w:firstRowFirstColumn="0" w:firstRowLastColumn="0" w:lastRowFirstColumn="0" w:lastRowLastColumn="0"/>
            <w:tcW w:w="1462" w:type="pct"/>
            <w:hideMark/>
          </w:tcPr>
          <w:p w:rsidR="00557FD2" w:rsidRPr="003E2FE0" w:rsidRDefault="00557FD2" w:rsidP="008A1B34">
            <w:pPr>
              <w:spacing w:before="60" w:after="60"/>
              <w:jc w:val="left"/>
              <w:rPr>
                <w:rFonts w:eastAsia="Times New Roman" w:cs="Calibri"/>
                <w:b w:val="0"/>
                <w:sz w:val="20"/>
                <w:szCs w:val="20"/>
                <w:lang w:eastAsia="en-AU"/>
              </w:rPr>
            </w:pPr>
            <w:r w:rsidRPr="003E2FE0">
              <w:rPr>
                <w:rFonts w:eastAsia="Times New Roman" w:cs="Calibri"/>
                <w:sz w:val="20"/>
                <w:szCs w:val="20"/>
                <w:lang w:eastAsia="en-AU"/>
              </w:rPr>
              <w:t>Targeted review of international (USA, Canada, UK and NZ residential care environments) approaches to needs assessment and external assessment</w:t>
            </w:r>
          </w:p>
        </w:tc>
        <w:tc>
          <w:tcPr>
            <w:tcW w:w="1115" w:type="pct"/>
            <w:hideMark/>
          </w:tcPr>
          <w:p w:rsidR="00557FD2" w:rsidRPr="003E2FE0" w:rsidRDefault="00557FD2" w:rsidP="008A1B34">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3E2FE0">
              <w:rPr>
                <w:rFonts w:eastAsia="Times New Roman" w:cs="Calibri"/>
                <w:sz w:val="20"/>
                <w:szCs w:val="20"/>
                <w:lang w:eastAsia="en-AU"/>
              </w:rPr>
              <w:t>Dept. document review.</w:t>
            </w:r>
          </w:p>
          <w:p w:rsidR="00557FD2" w:rsidRPr="003E2FE0" w:rsidRDefault="00557FD2" w:rsidP="008A1B34">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3E2FE0">
              <w:rPr>
                <w:rFonts w:eastAsia="Times New Roman" w:cs="Calibri"/>
                <w:sz w:val="20"/>
                <w:szCs w:val="20"/>
                <w:lang w:eastAsia="en-AU"/>
              </w:rPr>
              <w:t>Targeted literature search and personal communication on external assessments</w:t>
            </w:r>
          </w:p>
        </w:tc>
        <w:tc>
          <w:tcPr>
            <w:tcW w:w="703" w:type="pct"/>
          </w:tcPr>
          <w:p w:rsidR="00557FD2" w:rsidRPr="003E2FE0" w:rsidRDefault="00557FD2" w:rsidP="008A1B34">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3E2FE0">
              <w:rPr>
                <w:rFonts w:eastAsia="Times New Roman" w:cs="Calibri"/>
                <w:sz w:val="20"/>
                <w:szCs w:val="20"/>
                <w:lang w:eastAsia="en-AU"/>
              </w:rPr>
              <w:t>Stakeholder interviews</w:t>
            </w:r>
          </w:p>
        </w:tc>
        <w:tc>
          <w:tcPr>
            <w:tcW w:w="899" w:type="pct"/>
            <w:hideMark/>
          </w:tcPr>
          <w:p w:rsidR="00557FD2" w:rsidRPr="003E2FE0" w:rsidRDefault="00557FD2" w:rsidP="004022C5">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3E2FE0">
              <w:rPr>
                <w:rFonts w:eastAsia="Times New Roman" w:cs="Calibri"/>
                <w:sz w:val="20"/>
                <w:szCs w:val="20"/>
                <w:lang w:eastAsia="en-AU"/>
              </w:rPr>
              <w:t>Consider international approaches</w:t>
            </w:r>
            <w:r w:rsidR="004022C5" w:rsidRPr="003E2FE0">
              <w:rPr>
                <w:rFonts w:eastAsia="Times New Roman" w:cs="Calibri"/>
                <w:sz w:val="20"/>
                <w:szCs w:val="20"/>
                <w:lang w:eastAsia="en-AU"/>
              </w:rPr>
              <w:t xml:space="preserve"> </w:t>
            </w:r>
            <w:r w:rsidRPr="003E2FE0">
              <w:rPr>
                <w:rFonts w:eastAsia="Times New Roman" w:cs="Calibri"/>
                <w:sz w:val="20"/>
                <w:szCs w:val="20"/>
                <w:lang w:eastAsia="en-AU"/>
              </w:rPr>
              <w:t>&amp; tools when modifying ACFI</w:t>
            </w:r>
          </w:p>
        </w:tc>
        <w:tc>
          <w:tcPr>
            <w:tcW w:w="820" w:type="pct"/>
            <w:hideMark/>
          </w:tcPr>
          <w:p w:rsidR="00557FD2" w:rsidRPr="003E2FE0" w:rsidRDefault="00557FD2" w:rsidP="004022C5">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3E2FE0">
              <w:rPr>
                <w:rFonts w:eastAsia="Times New Roman" w:cs="Calibri"/>
                <w:sz w:val="20"/>
                <w:szCs w:val="20"/>
                <w:lang w:eastAsia="en-AU"/>
              </w:rPr>
              <w:t>Consider international approaches to external assessment</w:t>
            </w:r>
          </w:p>
        </w:tc>
      </w:tr>
      <w:tr w:rsidR="008A1B34" w:rsidRPr="003E2FE0" w:rsidTr="003E2FE0">
        <w:tc>
          <w:tcPr>
            <w:cnfStyle w:val="001000000000" w:firstRow="0" w:lastRow="0" w:firstColumn="1" w:lastColumn="0" w:oddVBand="0" w:evenVBand="0" w:oddHBand="0" w:evenHBand="0" w:firstRowFirstColumn="0" w:firstRowLastColumn="0" w:lastRowFirstColumn="0" w:lastRowLastColumn="0"/>
            <w:tcW w:w="1462" w:type="pct"/>
            <w:hideMark/>
          </w:tcPr>
          <w:p w:rsidR="00557FD2" w:rsidRPr="003E2FE0" w:rsidRDefault="00557FD2" w:rsidP="008A1B34">
            <w:pPr>
              <w:spacing w:before="60" w:after="60"/>
              <w:jc w:val="left"/>
              <w:rPr>
                <w:rFonts w:eastAsia="Times New Roman" w:cs="Calibri"/>
                <w:b w:val="0"/>
                <w:sz w:val="20"/>
                <w:szCs w:val="20"/>
                <w:lang w:eastAsia="en-AU"/>
              </w:rPr>
            </w:pPr>
            <w:r w:rsidRPr="003E2FE0">
              <w:rPr>
                <w:rFonts w:eastAsia="Times New Roman" w:cs="Calibri"/>
                <w:sz w:val="20"/>
                <w:szCs w:val="20"/>
                <w:lang w:eastAsia="en-AU"/>
              </w:rPr>
              <w:t>A review of the current ACFI funding model and guidelines to better discriminate care needs and support contemporary care practices</w:t>
            </w:r>
          </w:p>
        </w:tc>
        <w:tc>
          <w:tcPr>
            <w:tcW w:w="1115" w:type="pct"/>
          </w:tcPr>
          <w:p w:rsidR="00557FD2" w:rsidRPr="003E2FE0" w:rsidRDefault="00557FD2" w:rsidP="008A1B34">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highlight w:val="yellow"/>
                <w:lang w:eastAsia="en-AU"/>
              </w:rPr>
            </w:pPr>
            <w:r w:rsidRPr="003E2FE0">
              <w:rPr>
                <w:rFonts w:eastAsia="Times New Roman" w:cs="Calibri"/>
                <w:sz w:val="20"/>
                <w:szCs w:val="20"/>
                <w:lang w:eastAsia="en-AU"/>
              </w:rPr>
              <w:t>Stakeholder interviews</w:t>
            </w:r>
          </w:p>
        </w:tc>
        <w:tc>
          <w:tcPr>
            <w:tcW w:w="703" w:type="pct"/>
          </w:tcPr>
          <w:p w:rsidR="00557FD2" w:rsidRPr="003E2FE0" w:rsidRDefault="00557FD2" w:rsidP="008A1B34">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highlight w:val="yellow"/>
                <w:lang w:eastAsia="en-AU"/>
              </w:rPr>
            </w:pPr>
            <w:r w:rsidRPr="003E2FE0">
              <w:rPr>
                <w:rFonts w:eastAsia="Times New Roman" w:cs="Calibri"/>
                <w:sz w:val="20"/>
                <w:szCs w:val="20"/>
                <w:lang w:eastAsia="en-AU"/>
              </w:rPr>
              <w:t>Stakeholder interviews</w:t>
            </w:r>
          </w:p>
        </w:tc>
        <w:tc>
          <w:tcPr>
            <w:tcW w:w="899" w:type="pct"/>
          </w:tcPr>
          <w:p w:rsidR="00557FD2" w:rsidRPr="003E2FE0" w:rsidRDefault="00557FD2" w:rsidP="008A1B34">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highlight w:val="yellow"/>
                <w:lang w:eastAsia="en-AU"/>
              </w:rPr>
            </w:pPr>
            <w:r w:rsidRPr="003E2FE0">
              <w:rPr>
                <w:rFonts w:eastAsia="Times New Roman" w:cs="Calibri"/>
                <w:sz w:val="20"/>
                <w:szCs w:val="20"/>
                <w:lang w:eastAsia="en-AU"/>
              </w:rPr>
              <w:t>AACS analysis</w:t>
            </w:r>
          </w:p>
        </w:tc>
        <w:tc>
          <w:tcPr>
            <w:tcW w:w="820" w:type="pct"/>
          </w:tcPr>
          <w:p w:rsidR="00557FD2" w:rsidRPr="003E2FE0" w:rsidRDefault="00557FD2" w:rsidP="008A1B34">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highlight w:val="yellow"/>
                <w:lang w:eastAsia="en-AU"/>
              </w:rPr>
            </w:pPr>
            <w:r w:rsidRPr="003E2FE0">
              <w:rPr>
                <w:rFonts w:eastAsia="Times New Roman" w:cs="Calibri"/>
                <w:sz w:val="20"/>
                <w:szCs w:val="20"/>
                <w:lang w:eastAsia="en-AU"/>
              </w:rPr>
              <w:t>Stakeholder interviews</w:t>
            </w:r>
          </w:p>
        </w:tc>
      </w:tr>
      <w:tr w:rsidR="008A1B34" w:rsidRPr="003E2FE0" w:rsidTr="003E2FE0">
        <w:tc>
          <w:tcPr>
            <w:cnfStyle w:val="001000000000" w:firstRow="0" w:lastRow="0" w:firstColumn="1" w:lastColumn="0" w:oddVBand="0" w:evenVBand="0" w:oddHBand="0" w:evenHBand="0" w:firstRowFirstColumn="0" w:firstRowLastColumn="0" w:lastRowFirstColumn="0" w:lastRowLastColumn="0"/>
            <w:tcW w:w="1462" w:type="pct"/>
            <w:hideMark/>
          </w:tcPr>
          <w:p w:rsidR="00557FD2" w:rsidRPr="003E2FE0" w:rsidRDefault="00557FD2" w:rsidP="008A1B34">
            <w:pPr>
              <w:spacing w:before="60" w:after="60"/>
              <w:jc w:val="left"/>
              <w:rPr>
                <w:rFonts w:eastAsia="Times New Roman" w:cs="Calibri"/>
                <w:b w:val="0"/>
                <w:sz w:val="20"/>
                <w:szCs w:val="20"/>
                <w:lang w:eastAsia="en-AU"/>
              </w:rPr>
            </w:pPr>
            <w:r w:rsidRPr="003E2FE0">
              <w:rPr>
                <w:rFonts w:eastAsia="Times New Roman" w:cs="Calibri"/>
                <w:sz w:val="20"/>
                <w:szCs w:val="20"/>
                <w:lang w:eastAsia="en-AU"/>
              </w:rPr>
              <w:t>A review of the ACFI User Guide and other operational documents to clarify areas of inconsistenc</w:t>
            </w:r>
            <w:r w:rsidR="00163436" w:rsidRPr="003E2FE0">
              <w:rPr>
                <w:rFonts w:eastAsia="Times New Roman" w:cs="Calibri"/>
                <w:sz w:val="20"/>
                <w:szCs w:val="20"/>
                <w:lang w:eastAsia="en-AU"/>
              </w:rPr>
              <w:t>y</w:t>
            </w:r>
          </w:p>
        </w:tc>
        <w:tc>
          <w:tcPr>
            <w:tcW w:w="1115" w:type="pct"/>
            <w:hideMark/>
          </w:tcPr>
          <w:p w:rsidR="00557FD2" w:rsidRPr="003E2FE0" w:rsidRDefault="00557FD2" w:rsidP="008A1B34">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3E2FE0">
              <w:rPr>
                <w:rFonts w:eastAsia="Times New Roman" w:cs="Calibri"/>
                <w:sz w:val="20"/>
                <w:szCs w:val="20"/>
                <w:lang w:eastAsia="en-AU"/>
              </w:rPr>
              <w:t>ACFI User Guide</w:t>
            </w:r>
            <w:r w:rsidRPr="003E2FE0">
              <w:rPr>
                <w:rFonts w:eastAsia="Times New Roman" w:cs="Times New Roman"/>
                <w:sz w:val="20"/>
                <w:szCs w:val="20"/>
                <w:lang w:eastAsia="en-AU"/>
              </w:rPr>
              <w:t xml:space="preserve">; Data analysis, industry </w:t>
            </w:r>
            <w:r w:rsidRPr="003E2FE0">
              <w:rPr>
                <w:rFonts w:eastAsia="Times New Roman" w:cs="Calibri"/>
                <w:sz w:val="20"/>
                <w:szCs w:val="20"/>
                <w:lang w:eastAsia="en-AU"/>
              </w:rPr>
              <w:t>stakeholder feedback written and verbal,</w:t>
            </w:r>
            <w:r w:rsidR="002C1CC9" w:rsidRPr="003E2FE0">
              <w:rPr>
                <w:rFonts w:eastAsia="Times New Roman" w:cs="Calibri"/>
                <w:sz w:val="20"/>
                <w:szCs w:val="20"/>
                <w:lang w:eastAsia="en-AU"/>
              </w:rPr>
              <w:t xml:space="preserve"> department officials &amp; reports</w:t>
            </w:r>
          </w:p>
        </w:tc>
        <w:tc>
          <w:tcPr>
            <w:tcW w:w="703" w:type="pct"/>
          </w:tcPr>
          <w:p w:rsidR="00557FD2" w:rsidRPr="003E2FE0" w:rsidRDefault="00557FD2" w:rsidP="008A1B34">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3E2FE0">
              <w:rPr>
                <w:rFonts w:eastAsia="Times New Roman" w:cs="Calibri"/>
                <w:sz w:val="20"/>
                <w:szCs w:val="20"/>
                <w:lang w:eastAsia="en-AU"/>
              </w:rPr>
              <w:t>Stakeholder interviews</w:t>
            </w:r>
          </w:p>
        </w:tc>
        <w:tc>
          <w:tcPr>
            <w:tcW w:w="899" w:type="pct"/>
            <w:hideMark/>
          </w:tcPr>
          <w:p w:rsidR="00557FD2" w:rsidRPr="003E2FE0" w:rsidRDefault="00557FD2" w:rsidP="008A1B34">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3E2FE0">
              <w:rPr>
                <w:rFonts w:eastAsia="Times New Roman" w:cs="Times New Roman"/>
                <w:sz w:val="20"/>
                <w:szCs w:val="20"/>
                <w:lang w:eastAsia="en-AU"/>
              </w:rPr>
              <w:t>Improve supporting documentation</w:t>
            </w:r>
          </w:p>
        </w:tc>
        <w:tc>
          <w:tcPr>
            <w:tcW w:w="820" w:type="pct"/>
          </w:tcPr>
          <w:p w:rsidR="00557FD2" w:rsidRPr="003E2FE0" w:rsidRDefault="002C1CC9" w:rsidP="002C1CC9">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3E2FE0">
              <w:rPr>
                <w:rFonts w:eastAsia="Times New Roman" w:cs="Calibri"/>
                <w:i/>
                <w:sz w:val="20"/>
                <w:szCs w:val="20"/>
                <w:lang w:eastAsia="en-AU"/>
              </w:rPr>
              <w:t>No assessments noted</w:t>
            </w:r>
          </w:p>
        </w:tc>
      </w:tr>
      <w:tr w:rsidR="002C1CC9" w:rsidRPr="003E2FE0" w:rsidTr="003E2FE0">
        <w:tc>
          <w:tcPr>
            <w:cnfStyle w:val="001000000000" w:firstRow="0" w:lastRow="0" w:firstColumn="1" w:lastColumn="0" w:oddVBand="0" w:evenVBand="0" w:oddHBand="0" w:evenHBand="0" w:firstRowFirstColumn="0" w:firstRowLastColumn="0" w:lastRowFirstColumn="0" w:lastRowLastColumn="0"/>
            <w:tcW w:w="1462" w:type="pct"/>
            <w:hideMark/>
          </w:tcPr>
          <w:p w:rsidR="002C1CC9" w:rsidRPr="003E2FE0" w:rsidRDefault="002C1CC9" w:rsidP="008A1B34">
            <w:pPr>
              <w:spacing w:before="60" w:after="60"/>
              <w:jc w:val="left"/>
              <w:rPr>
                <w:rFonts w:eastAsia="Times New Roman" w:cs="Calibri"/>
                <w:b w:val="0"/>
                <w:sz w:val="20"/>
                <w:szCs w:val="20"/>
                <w:lang w:eastAsia="en-AU"/>
              </w:rPr>
            </w:pPr>
            <w:r w:rsidRPr="003E2FE0">
              <w:rPr>
                <w:rFonts w:eastAsia="Times New Roman" w:cs="Calibri"/>
                <w:sz w:val="20"/>
                <w:szCs w:val="20"/>
                <w:lang w:eastAsia="en-AU"/>
              </w:rPr>
              <w:t>Analyses of the benefits, disadvantages, system adjustments, and viable options for initial and re-appraisal assessments in the context of external assessment</w:t>
            </w:r>
          </w:p>
        </w:tc>
        <w:tc>
          <w:tcPr>
            <w:tcW w:w="1115" w:type="pct"/>
          </w:tcPr>
          <w:p w:rsidR="002C1CC9" w:rsidRPr="003E2FE0" w:rsidRDefault="002C1CC9" w:rsidP="008A1B34">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i/>
                <w:sz w:val="20"/>
                <w:szCs w:val="20"/>
                <w:lang w:eastAsia="en-AU"/>
              </w:rPr>
            </w:pPr>
            <w:r w:rsidRPr="003E2FE0">
              <w:rPr>
                <w:rFonts w:eastAsia="Times New Roman" w:cs="Calibri"/>
                <w:i/>
                <w:sz w:val="20"/>
                <w:szCs w:val="20"/>
                <w:lang w:eastAsia="en-AU"/>
              </w:rPr>
              <w:t>No issues identified</w:t>
            </w:r>
          </w:p>
        </w:tc>
        <w:tc>
          <w:tcPr>
            <w:tcW w:w="703" w:type="pct"/>
          </w:tcPr>
          <w:p w:rsidR="002C1CC9" w:rsidRPr="003E2FE0" w:rsidRDefault="002C1CC9" w:rsidP="008A1B34">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3E2FE0">
              <w:rPr>
                <w:rFonts w:eastAsia="Times New Roman" w:cs="Calibri"/>
                <w:sz w:val="20"/>
                <w:szCs w:val="20"/>
                <w:lang w:eastAsia="en-AU"/>
              </w:rPr>
              <w:t>Stakeholder interviews.</w:t>
            </w:r>
          </w:p>
          <w:p w:rsidR="002C1CC9" w:rsidRPr="003E2FE0" w:rsidRDefault="002C1CC9" w:rsidP="008A1B34">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3E2FE0">
              <w:rPr>
                <w:rFonts w:eastAsia="Times New Roman" w:cs="Calibri"/>
                <w:sz w:val="20"/>
                <w:szCs w:val="20"/>
                <w:lang w:eastAsia="en-AU"/>
              </w:rPr>
              <w:t xml:space="preserve">Data analysis </w:t>
            </w:r>
          </w:p>
        </w:tc>
        <w:tc>
          <w:tcPr>
            <w:tcW w:w="899" w:type="pct"/>
          </w:tcPr>
          <w:p w:rsidR="002C1CC9" w:rsidRPr="003E2FE0" w:rsidRDefault="002C1CC9" w:rsidP="008A1B34">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3E2FE0">
              <w:rPr>
                <w:rFonts w:eastAsia="Times New Roman" w:cs="Calibri"/>
                <w:i/>
                <w:sz w:val="20"/>
                <w:szCs w:val="20"/>
                <w:lang w:eastAsia="en-AU"/>
              </w:rPr>
              <w:t>No modifications noted</w:t>
            </w:r>
          </w:p>
        </w:tc>
        <w:tc>
          <w:tcPr>
            <w:tcW w:w="820" w:type="pct"/>
          </w:tcPr>
          <w:p w:rsidR="002C1CC9" w:rsidRPr="003E2FE0" w:rsidRDefault="002C1CC9" w:rsidP="008A1B34">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3E2FE0">
              <w:rPr>
                <w:rFonts w:eastAsia="Times New Roman" w:cs="Calibri"/>
                <w:sz w:val="20"/>
                <w:szCs w:val="20"/>
                <w:lang w:eastAsia="en-AU"/>
              </w:rPr>
              <w:t>Options for External Assessment (fully external, partially external model etc.)</w:t>
            </w:r>
          </w:p>
        </w:tc>
      </w:tr>
      <w:tr w:rsidR="002C1CC9" w:rsidRPr="003E2FE0" w:rsidTr="003E2FE0">
        <w:tc>
          <w:tcPr>
            <w:cnfStyle w:val="001000000000" w:firstRow="0" w:lastRow="0" w:firstColumn="1" w:lastColumn="0" w:oddVBand="0" w:evenVBand="0" w:oddHBand="0" w:evenHBand="0" w:firstRowFirstColumn="0" w:firstRowLastColumn="0" w:lastRowFirstColumn="0" w:lastRowLastColumn="0"/>
            <w:tcW w:w="1462" w:type="pct"/>
            <w:hideMark/>
          </w:tcPr>
          <w:p w:rsidR="002C1CC9" w:rsidRPr="003E2FE0" w:rsidRDefault="002C1CC9" w:rsidP="008A1B34">
            <w:pPr>
              <w:spacing w:before="60" w:after="60"/>
              <w:jc w:val="left"/>
              <w:rPr>
                <w:rFonts w:eastAsia="Times New Roman" w:cs="Calibri"/>
                <w:b w:val="0"/>
                <w:sz w:val="20"/>
                <w:szCs w:val="20"/>
                <w:lang w:eastAsia="en-AU"/>
              </w:rPr>
            </w:pPr>
            <w:r w:rsidRPr="003E2FE0">
              <w:rPr>
                <w:rFonts w:eastAsia="Times New Roman" w:cs="Calibri"/>
                <w:sz w:val="20"/>
                <w:szCs w:val="20"/>
                <w:lang w:eastAsia="en-AU"/>
              </w:rPr>
              <w:lastRenderedPageBreak/>
              <w:t>Statistical analysis of the ACFI questions, domains, weightings and re-calibrations</w:t>
            </w:r>
          </w:p>
        </w:tc>
        <w:tc>
          <w:tcPr>
            <w:tcW w:w="1115" w:type="pct"/>
          </w:tcPr>
          <w:p w:rsidR="002C1CC9" w:rsidRPr="003E2FE0" w:rsidRDefault="002C1CC9" w:rsidP="008A1B34">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3E2FE0">
              <w:rPr>
                <w:rFonts w:eastAsia="Times New Roman" w:cs="Calibri"/>
                <w:i/>
                <w:sz w:val="20"/>
                <w:szCs w:val="20"/>
                <w:lang w:eastAsia="en-AU"/>
              </w:rPr>
              <w:t>No issues identified</w:t>
            </w:r>
          </w:p>
        </w:tc>
        <w:tc>
          <w:tcPr>
            <w:tcW w:w="703" w:type="pct"/>
          </w:tcPr>
          <w:p w:rsidR="002C1CC9" w:rsidRPr="003E2FE0" w:rsidRDefault="002C1CC9" w:rsidP="002C1CC9">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3E2FE0">
              <w:rPr>
                <w:rFonts w:eastAsia="Times New Roman" w:cs="Calibri"/>
                <w:i/>
                <w:sz w:val="20"/>
                <w:szCs w:val="20"/>
                <w:lang w:eastAsia="en-AU"/>
              </w:rPr>
              <w:t>No modifications noted</w:t>
            </w:r>
          </w:p>
        </w:tc>
        <w:tc>
          <w:tcPr>
            <w:tcW w:w="899" w:type="pct"/>
            <w:hideMark/>
          </w:tcPr>
          <w:p w:rsidR="002C1CC9" w:rsidRPr="003E2FE0" w:rsidRDefault="002C1CC9" w:rsidP="008A1B34">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3E2FE0">
              <w:rPr>
                <w:rFonts w:eastAsia="Times New Roman" w:cs="Calibri"/>
                <w:sz w:val="20"/>
                <w:szCs w:val="20"/>
                <w:lang w:eastAsia="en-AU"/>
              </w:rPr>
              <w:t>Modified ACFI to better discriminate care needs</w:t>
            </w:r>
          </w:p>
        </w:tc>
        <w:tc>
          <w:tcPr>
            <w:tcW w:w="820" w:type="pct"/>
          </w:tcPr>
          <w:p w:rsidR="002C1CC9" w:rsidRPr="003E2FE0" w:rsidRDefault="002C1CC9" w:rsidP="008A1B34">
            <w:pPr>
              <w:spacing w:before="60" w:after="6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3E2FE0">
              <w:rPr>
                <w:rFonts w:eastAsia="Times New Roman" w:cs="Calibri"/>
                <w:i/>
                <w:sz w:val="20"/>
                <w:szCs w:val="20"/>
                <w:lang w:eastAsia="en-AU"/>
              </w:rPr>
              <w:t>No assessments noted</w:t>
            </w:r>
          </w:p>
        </w:tc>
      </w:tr>
    </w:tbl>
    <w:p w:rsidR="00557FD2" w:rsidRPr="00C42C82" w:rsidRDefault="00557FD2" w:rsidP="00530D56">
      <w:pPr>
        <w:pStyle w:val="Heading2-Chapter2"/>
      </w:pPr>
      <w:bookmarkStart w:id="94" w:name="_Toc486599971"/>
      <w:bookmarkStart w:id="95" w:name="_Toc486603014"/>
      <w:bookmarkStart w:id="96" w:name="_Toc491426028"/>
      <w:r w:rsidRPr="00C42C82">
        <w:t>Project Activities</w:t>
      </w:r>
      <w:bookmarkEnd w:id="94"/>
      <w:bookmarkEnd w:id="95"/>
      <w:bookmarkEnd w:id="96"/>
    </w:p>
    <w:p w:rsidR="00557FD2" w:rsidRPr="005E5D1B" w:rsidRDefault="00557FD2" w:rsidP="007E0DCA">
      <w:pPr>
        <w:pStyle w:val="Heading3-Chapter22"/>
      </w:pPr>
      <w:bookmarkStart w:id="97" w:name="_Toc486599972"/>
      <w:bookmarkStart w:id="98" w:name="_Toc486603015"/>
      <w:r w:rsidRPr="005E5D1B">
        <w:t>Documentation Review</w:t>
      </w:r>
      <w:bookmarkEnd w:id="97"/>
      <w:bookmarkEnd w:id="98"/>
    </w:p>
    <w:p w:rsidR="00980F62" w:rsidRDefault="00163436" w:rsidP="008A1B34">
      <w:pPr>
        <w:rPr>
          <w:lang w:eastAsia="en-AU"/>
        </w:rPr>
      </w:pPr>
      <w:r>
        <w:t xml:space="preserve">A </w:t>
      </w:r>
      <w:r w:rsidR="00557FD2">
        <w:t xml:space="preserve">documentation review </w:t>
      </w:r>
      <w:r>
        <w:t xml:space="preserve">was undertaken to </w:t>
      </w:r>
      <w:r w:rsidR="000F6952">
        <w:rPr>
          <w:lang w:eastAsia="en-AU"/>
        </w:rPr>
        <w:t>inform on ACFI issues</w:t>
      </w:r>
      <w:r w:rsidR="00557FD2">
        <w:rPr>
          <w:lang w:eastAsia="en-AU"/>
        </w:rPr>
        <w:t xml:space="preserve"> </w:t>
      </w:r>
      <w:r w:rsidR="000F6952">
        <w:rPr>
          <w:lang w:eastAsia="en-AU"/>
        </w:rPr>
        <w:t xml:space="preserve">and </w:t>
      </w:r>
      <w:r w:rsidR="00557FD2">
        <w:rPr>
          <w:lang w:eastAsia="en-AU"/>
        </w:rPr>
        <w:t>practical modifications</w:t>
      </w:r>
      <w:r w:rsidR="00D2092E">
        <w:rPr>
          <w:lang w:eastAsia="en-AU"/>
        </w:rPr>
        <w:t xml:space="preserve"> that could be made to the ACFI. The review was also designed to cover</w:t>
      </w:r>
      <w:r w:rsidR="00557FD2">
        <w:rPr>
          <w:lang w:eastAsia="en-AU"/>
        </w:rPr>
        <w:t xml:space="preserve"> how </w:t>
      </w:r>
      <w:r w:rsidR="00D2092E">
        <w:rPr>
          <w:lang w:eastAsia="en-AU"/>
        </w:rPr>
        <w:t xml:space="preserve">a </w:t>
      </w:r>
      <w:r w:rsidR="00557FD2">
        <w:rPr>
          <w:lang w:eastAsia="en-AU"/>
        </w:rPr>
        <w:t>modifie</w:t>
      </w:r>
      <w:r w:rsidR="00D2092E">
        <w:rPr>
          <w:lang w:eastAsia="en-AU"/>
        </w:rPr>
        <w:t xml:space="preserve">d ACFI might fit into </w:t>
      </w:r>
      <w:r w:rsidR="00A97ACD">
        <w:rPr>
          <w:lang w:eastAsia="en-AU"/>
        </w:rPr>
        <w:t xml:space="preserve">an </w:t>
      </w:r>
      <w:r w:rsidR="00D2092E">
        <w:rPr>
          <w:lang w:eastAsia="en-AU"/>
        </w:rPr>
        <w:t>External A</w:t>
      </w:r>
      <w:r w:rsidR="00557FD2">
        <w:rPr>
          <w:lang w:eastAsia="en-AU"/>
        </w:rPr>
        <w:t xml:space="preserve">ssessment </w:t>
      </w:r>
      <w:r w:rsidR="00D2092E">
        <w:rPr>
          <w:lang w:eastAsia="en-AU"/>
        </w:rPr>
        <w:t>approach to funding determination</w:t>
      </w:r>
      <w:r w:rsidR="00557FD2">
        <w:rPr>
          <w:lang w:eastAsia="en-AU"/>
        </w:rPr>
        <w:t xml:space="preserve">. </w:t>
      </w:r>
      <w:r w:rsidR="00FF7E1E">
        <w:rPr>
          <w:lang w:eastAsia="en-AU"/>
        </w:rPr>
        <w:br/>
      </w:r>
      <w:r w:rsidR="00557FD2">
        <w:rPr>
          <w:lang w:eastAsia="en-AU"/>
        </w:rPr>
        <w:t>The sources of information were:</w:t>
      </w:r>
    </w:p>
    <w:p w:rsidR="00557FD2" w:rsidRPr="000F6952" w:rsidRDefault="00557FD2" w:rsidP="00F02312">
      <w:pPr>
        <w:pStyle w:val="ListParagraph"/>
        <w:numPr>
          <w:ilvl w:val="0"/>
          <w:numId w:val="76"/>
        </w:numPr>
        <w:spacing w:after="200"/>
        <w:rPr>
          <w:rFonts w:cstheme="minorHAnsi"/>
        </w:rPr>
      </w:pPr>
      <w:r w:rsidRPr="000F6952">
        <w:rPr>
          <w:rFonts w:cstheme="minorHAnsi"/>
        </w:rPr>
        <w:t xml:space="preserve">Documents supplied by the Australian Department of Health (e.g. Review Officers issues logs; Technical Reference Group associated documents; </w:t>
      </w:r>
      <w:r w:rsidRPr="0029633D">
        <w:rPr>
          <w:rFonts w:cstheme="minorHAnsi"/>
        </w:rPr>
        <w:t>Australian Government compliance documents)</w:t>
      </w:r>
      <w:r w:rsidR="007C2ABB">
        <w:rPr>
          <w:rFonts w:cstheme="minorHAnsi"/>
        </w:rPr>
        <w:t>.</w:t>
      </w:r>
    </w:p>
    <w:p w:rsidR="00980F62" w:rsidRDefault="00557FD2" w:rsidP="00F02312">
      <w:pPr>
        <w:pStyle w:val="ListParagraph"/>
        <w:numPr>
          <w:ilvl w:val="0"/>
          <w:numId w:val="76"/>
        </w:numPr>
        <w:spacing w:after="200"/>
        <w:rPr>
          <w:rFonts w:cstheme="minorHAnsi"/>
        </w:rPr>
      </w:pPr>
      <w:r w:rsidRPr="000F6952">
        <w:rPr>
          <w:rFonts w:cstheme="minorHAnsi"/>
        </w:rPr>
        <w:t>Stakeholder documentation</w:t>
      </w:r>
      <w:r w:rsidR="007C2ABB">
        <w:rPr>
          <w:rFonts w:cstheme="minorHAnsi"/>
        </w:rPr>
        <w:t>.</w:t>
      </w:r>
    </w:p>
    <w:p w:rsidR="000E0B03" w:rsidRPr="000F6952" w:rsidRDefault="00557FD2" w:rsidP="00F02312">
      <w:pPr>
        <w:pStyle w:val="ListParagraph"/>
        <w:numPr>
          <w:ilvl w:val="0"/>
          <w:numId w:val="77"/>
        </w:numPr>
        <w:spacing w:after="200"/>
        <w:rPr>
          <w:rFonts w:cstheme="minorHAnsi"/>
        </w:rPr>
      </w:pPr>
      <w:r w:rsidRPr="000F6952">
        <w:rPr>
          <w:rFonts w:cstheme="minorHAnsi"/>
        </w:rPr>
        <w:t xml:space="preserve">Targeted literature searches </w:t>
      </w:r>
      <w:r w:rsidR="000E0B03" w:rsidRPr="000F6952">
        <w:rPr>
          <w:rFonts w:cstheme="minorHAnsi"/>
        </w:rPr>
        <w:t xml:space="preserve">and personal communications </w:t>
      </w:r>
      <w:r w:rsidRPr="000F6952">
        <w:rPr>
          <w:rFonts w:cstheme="minorHAnsi"/>
        </w:rPr>
        <w:t>on</w:t>
      </w:r>
      <w:r w:rsidR="000E0B03" w:rsidRPr="000F6952">
        <w:rPr>
          <w:rFonts w:cstheme="minorHAnsi"/>
        </w:rPr>
        <w:t>:</w:t>
      </w:r>
    </w:p>
    <w:p w:rsidR="00557FD2" w:rsidRPr="000F6952" w:rsidRDefault="000E0B03" w:rsidP="00B50FFD">
      <w:pPr>
        <w:pStyle w:val="ListParagraph"/>
        <w:numPr>
          <w:ilvl w:val="0"/>
          <w:numId w:val="78"/>
        </w:numPr>
        <w:spacing w:after="200"/>
        <w:ind w:left="924" w:hanging="357"/>
        <w:rPr>
          <w:rFonts w:cstheme="minorHAnsi"/>
        </w:rPr>
      </w:pPr>
      <w:r w:rsidRPr="000F6952">
        <w:rPr>
          <w:rFonts w:cstheme="minorHAnsi"/>
        </w:rPr>
        <w:t>N</w:t>
      </w:r>
      <w:r w:rsidR="00557FD2" w:rsidRPr="000F6952">
        <w:rPr>
          <w:rFonts w:cstheme="minorHAnsi"/>
        </w:rPr>
        <w:t>eeds assessment tools used in the Australian aged care sector and internationally (e.g. NSAF assessments; InterRAI)</w:t>
      </w:r>
    </w:p>
    <w:p w:rsidR="000E0B03" w:rsidRPr="000F6952" w:rsidRDefault="000E0B03" w:rsidP="00B50FFD">
      <w:pPr>
        <w:pStyle w:val="ListParagraph"/>
        <w:numPr>
          <w:ilvl w:val="0"/>
          <w:numId w:val="78"/>
        </w:numPr>
        <w:spacing w:after="200"/>
        <w:ind w:left="924" w:hanging="357"/>
        <w:rPr>
          <w:rFonts w:cstheme="minorHAnsi"/>
        </w:rPr>
      </w:pPr>
      <w:r w:rsidRPr="000F6952">
        <w:rPr>
          <w:rFonts w:cstheme="minorHAnsi"/>
        </w:rPr>
        <w:t>I</w:t>
      </w:r>
      <w:r w:rsidR="00557FD2" w:rsidRPr="000F6952">
        <w:rPr>
          <w:rFonts w:cstheme="minorHAnsi"/>
        </w:rPr>
        <w:t>nternational approaches to needs assessments</w:t>
      </w:r>
    </w:p>
    <w:p w:rsidR="000E0B03" w:rsidRPr="000F6952" w:rsidRDefault="000E0B03" w:rsidP="00B50FFD">
      <w:pPr>
        <w:pStyle w:val="ListParagraph"/>
        <w:numPr>
          <w:ilvl w:val="0"/>
          <w:numId w:val="78"/>
        </w:numPr>
        <w:spacing w:after="200"/>
        <w:ind w:left="924" w:hanging="357"/>
        <w:rPr>
          <w:rFonts w:cstheme="minorHAnsi"/>
        </w:rPr>
      </w:pPr>
      <w:r w:rsidRPr="000F6952">
        <w:rPr>
          <w:rFonts w:cstheme="minorHAnsi"/>
        </w:rPr>
        <w:t>T</w:t>
      </w:r>
      <w:r w:rsidR="00557FD2" w:rsidRPr="000F6952">
        <w:rPr>
          <w:rFonts w:cstheme="minorHAnsi"/>
        </w:rPr>
        <w:t>he inclusion of contemporary care practices</w:t>
      </w:r>
    </w:p>
    <w:p w:rsidR="00557FD2" w:rsidRPr="000F6952" w:rsidRDefault="000E0B03" w:rsidP="00B50FFD">
      <w:pPr>
        <w:pStyle w:val="ListParagraph"/>
        <w:numPr>
          <w:ilvl w:val="0"/>
          <w:numId w:val="78"/>
        </w:numPr>
        <w:spacing w:after="200"/>
        <w:ind w:left="924" w:hanging="357"/>
        <w:rPr>
          <w:rFonts w:cstheme="minorHAnsi"/>
        </w:rPr>
      </w:pPr>
      <w:r w:rsidRPr="000F6952">
        <w:rPr>
          <w:rFonts w:cstheme="minorHAnsi"/>
        </w:rPr>
        <w:t>A</w:t>
      </w:r>
      <w:r w:rsidR="00557FD2" w:rsidRPr="000F6952">
        <w:rPr>
          <w:rFonts w:cstheme="minorHAnsi"/>
        </w:rPr>
        <w:t>ssessor options</w:t>
      </w:r>
      <w:r w:rsidR="00B50FFD">
        <w:rPr>
          <w:rFonts w:cstheme="minorHAnsi"/>
        </w:rPr>
        <w:t>.</w:t>
      </w:r>
    </w:p>
    <w:p w:rsidR="00980F62" w:rsidRDefault="00557FD2" w:rsidP="00151877">
      <w:pPr>
        <w:pStyle w:val="ListParagraph"/>
        <w:numPr>
          <w:ilvl w:val="0"/>
          <w:numId w:val="68"/>
        </w:numPr>
        <w:spacing w:after="200"/>
        <w:rPr>
          <w:rFonts w:cstheme="minorHAnsi"/>
        </w:rPr>
      </w:pPr>
      <w:r w:rsidRPr="000F6952">
        <w:rPr>
          <w:rFonts w:cstheme="minorHAnsi"/>
        </w:rPr>
        <w:t xml:space="preserve">Review of the ACFI User Guide and operational documents to </w:t>
      </w:r>
      <w:r w:rsidR="0029633D">
        <w:rPr>
          <w:rFonts w:cstheme="minorHAnsi"/>
        </w:rPr>
        <w:t>identify</w:t>
      </w:r>
      <w:r w:rsidRPr="000F6952">
        <w:rPr>
          <w:rFonts w:cstheme="minorHAnsi"/>
        </w:rPr>
        <w:t xml:space="preserve"> inconsistencies</w:t>
      </w:r>
      <w:r w:rsidR="007C2ABB">
        <w:rPr>
          <w:rFonts w:cstheme="minorHAnsi"/>
        </w:rPr>
        <w:t>.</w:t>
      </w:r>
    </w:p>
    <w:p w:rsidR="00557FD2" w:rsidRPr="000F6952" w:rsidRDefault="00557FD2" w:rsidP="00730D08">
      <w:pPr>
        <w:pStyle w:val="ListParagraph"/>
        <w:numPr>
          <w:ilvl w:val="0"/>
          <w:numId w:val="68"/>
        </w:numPr>
        <w:ind w:left="300" w:hanging="357"/>
        <w:contextualSpacing w:val="0"/>
        <w:rPr>
          <w:rFonts w:cstheme="minorHAnsi"/>
        </w:rPr>
      </w:pPr>
      <w:r w:rsidRPr="000F6952">
        <w:rPr>
          <w:rFonts w:cstheme="minorHAnsi"/>
        </w:rPr>
        <w:t>Review</w:t>
      </w:r>
      <w:r w:rsidR="0029633D">
        <w:rPr>
          <w:rFonts w:cstheme="minorHAnsi"/>
        </w:rPr>
        <w:t xml:space="preserve"> of</w:t>
      </w:r>
      <w:r w:rsidRPr="000F6952">
        <w:rPr>
          <w:rFonts w:cstheme="minorHAnsi"/>
        </w:rPr>
        <w:t xml:space="preserve"> assessment tools used in the Australian health and aged care sector, including validated contemporary care practices (e.g. restorative care, reablement, Consumer Directed Care) (Appendix 2.1)</w:t>
      </w:r>
      <w:r w:rsidR="007C2ABB">
        <w:rPr>
          <w:rFonts w:cstheme="minorHAnsi"/>
        </w:rPr>
        <w:t>.</w:t>
      </w:r>
    </w:p>
    <w:p w:rsidR="00557FD2" w:rsidRDefault="00557FD2" w:rsidP="00730D08">
      <w:pPr>
        <w:rPr>
          <w:lang w:eastAsia="en-AU"/>
        </w:rPr>
      </w:pPr>
      <w:r>
        <w:rPr>
          <w:lang w:eastAsia="en-AU"/>
        </w:rPr>
        <w:t>A review framework was developed (</w:t>
      </w:r>
      <w:hyperlink w:anchor="Tab0202" w:history="1">
        <w:r w:rsidRPr="00B712D6">
          <w:rPr>
            <w:rStyle w:val="Hyperlink"/>
            <w:lang w:eastAsia="en-AU"/>
          </w:rPr>
          <w:t>Table 2.2</w:t>
        </w:r>
      </w:hyperlink>
      <w:r>
        <w:rPr>
          <w:lang w:eastAsia="en-AU"/>
        </w:rPr>
        <w:t>) to guide the approach for reviewing documents.</w:t>
      </w:r>
    </w:p>
    <w:p w:rsidR="00291A6C" w:rsidRDefault="00291A6C" w:rsidP="00730D08">
      <w:pPr>
        <w:pStyle w:val="Caption"/>
        <w:keepNext/>
      </w:pPr>
      <w:bookmarkStart w:id="99" w:name="_Toc495415630"/>
      <w:bookmarkStart w:id="100" w:name="_Toc495474269"/>
      <w:bookmarkStart w:id="101" w:name="Tab0202"/>
      <w:r>
        <w:t>Table 2.</w:t>
      </w:r>
      <w:r w:rsidR="009A3F5A">
        <w:fldChar w:fldCharType="begin"/>
      </w:r>
      <w:r w:rsidR="009A3F5A">
        <w:instrText xml:space="preserve"> SEQ Table_2. \* ARABIC </w:instrText>
      </w:r>
      <w:r w:rsidR="009A3F5A">
        <w:fldChar w:fldCharType="separate"/>
      </w:r>
      <w:r w:rsidR="00856E49">
        <w:rPr>
          <w:noProof/>
        </w:rPr>
        <w:t>2</w:t>
      </w:r>
      <w:r w:rsidR="009A3F5A">
        <w:rPr>
          <w:noProof/>
        </w:rPr>
        <w:fldChar w:fldCharType="end"/>
      </w:r>
      <w:r>
        <w:t xml:space="preserve">: </w:t>
      </w:r>
      <w:r w:rsidRPr="00291A6C">
        <w:t>Document Review Framework</w:t>
      </w:r>
      <w:bookmarkEnd w:id="99"/>
      <w:bookmarkEnd w:id="100"/>
    </w:p>
    <w:tbl>
      <w:tblPr>
        <w:tblStyle w:val="GridTable1Light-Accent51"/>
        <w:tblW w:w="9072"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6A0" w:firstRow="1" w:lastRow="0" w:firstColumn="1" w:lastColumn="0" w:noHBand="1" w:noVBand="1"/>
        <w:tblDescription w:val="Table 2.2 is a list of descriptions of the criteria identified for the Aged Care Funding Instrument (ACFI) review framework. This table is to be read left to right, top to bottom."/>
      </w:tblPr>
      <w:tblGrid>
        <w:gridCol w:w="1504"/>
        <w:gridCol w:w="7568"/>
      </w:tblGrid>
      <w:tr w:rsidR="00C82323" w:rsidRPr="00C82323" w:rsidTr="000B6A9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04" w:type="dxa"/>
            <w:tcBorders>
              <w:bottom w:val="none" w:sz="0" w:space="0" w:color="auto"/>
            </w:tcBorders>
            <w:shd w:val="clear" w:color="auto" w:fill="5B9BD5" w:themeFill="accent5"/>
            <w:vAlign w:val="center"/>
          </w:tcPr>
          <w:bookmarkEnd w:id="101"/>
          <w:p w:rsidR="00F21674" w:rsidRPr="00C82323" w:rsidRDefault="00334F72" w:rsidP="00C82323">
            <w:pPr>
              <w:jc w:val="left"/>
              <w:rPr>
                <w:color w:val="FFFFFF" w:themeColor="background1"/>
                <w:sz w:val="22"/>
              </w:rPr>
            </w:pPr>
            <w:r w:rsidRPr="00C82323">
              <w:rPr>
                <w:color w:val="FFFFFF" w:themeColor="background1"/>
                <w:sz w:val="22"/>
              </w:rPr>
              <w:t>Criteria</w:t>
            </w:r>
          </w:p>
        </w:tc>
        <w:tc>
          <w:tcPr>
            <w:tcW w:w="7568" w:type="dxa"/>
            <w:tcBorders>
              <w:bottom w:val="none" w:sz="0" w:space="0" w:color="auto"/>
            </w:tcBorders>
            <w:shd w:val="clear" w:color="auto" w:fill="5B9BD5" w:themeFill="accent5"/>
            <w:vAlign w:val="center"/>
          </w:tcPr>
          <w:p w:rsidR="00F21674" w:rsidRPr="00C82323" w:rsidRDefault="001F0125" w:rsidP="001F0125">
            <w:pPr>
              <w:spacing w:after="10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C82323">
              <w:rPr>
                <w:color w:val="FFFFFF" w:themeColor="background1"/>
                <w:sz w:val="22"/>
              </w:rPr>
              <w:t>Description</w:t>
            </w:r>
          </w:p>
        </w:tc>
      </w:tr>
      <w:tr w:rsidR="00557FD2" w:rsidRPr="008F7601" w:rsidTr="000B6A9F">
        <w:trPr>
          <w:cantSplit/>
        </w:trPr>
        <w:tc>
          <w:tcPr>
            <w:cnfStyle w:val="001000000000" w:firstRow="0" w:lastRow="0" w:firstColumn="1" w:lastColumn="0" w:oddVBand="0" w:evenVBand="0" w:oddHBand="0" w:evenHBand="0" w:firstRowFirstColumn="0" w:firstRowLastColumn="0" w:lastRowFirstColumn="0" w:lastRowLastColumn="0"/>
            <w:tcW w:w="1504" w:type="dxa"/>
          </w:tcPr>
          <w:p w:rsidR="00557FD2" w:rsidRPr="008F7601" w:rsidRDefault="00557FD2" w:rsidP="00A51750">
            <w:pPr>
              <w:rPr>
                <w:b w:val="0"/>
                <w:sz w:val="22"/>
              </w:rPr>
            </w:pPr>
            <w:r w:rsidRPr="008F7601">
              <w:rPr>
                <w:sz w:val="22"/>
              </w:rPr>
              <w:t>Assessments &amp; Diagnoses</w:t>
            </w:r>
            <w:r w:rsidR="007A576E">
              <w:rPr>
                <w:sz w:val="22"/>
              </w:rPr>
              <w:t xml:space="preserve"> </w:t>
            </w:r>
          </w:p>
        </w:tc>
        <w:tc>
          <w:tcPr>
            <w:tcW w:w="7568" w:type="dxa"/>
          </w:tcPr>
          <w:p w:rsidR="00557FD2" w:rsidRPr="00334F72" w:rsidRDefault="00557FD2" w:rsidP="008A1B34">
            <w:pPr>
              <w:spacing w:after="100"/>
              <w:jc w:val="left"/>
              <w:cnfStyle w:val="000000000000" w:firstRow="0" w:lastRow="0" w:firstColumn="0" w:lastColumn="0" w:oddVBand="0" w:evenVBand="0" w:oddHBand="0" w:evenHBand="0" w:firstRowFirstColumn="0" w:firstRowLastColumn="0" w:lastRowFirstColumn="0" w:lastRowLastColumn="0"/>
              <w:rPr>
                <w:sz w:val="22"/>
              </w:rPr>
            </w:pPr>
            <w:r w:rsidRPr="00334F72">
              <w:rPr>
                <w:sz w:val="22"/>
              </w:rPr>
              <w:t>The informa</w:t>
            </w:r>
            <w:r w:rsidR="00D531BD" w:rsidRPr="00334F72">
              <w:rPr>
                <w:sz w:val="22"/>
              </w:rPr>
              <w:t>tion/tools that will be used</w:t>
            </w:r>
            <w:r w:rsidRPr="00334F72">
              <w:rPr>
                <w:sz w:val="22"/>
              </w:rPr>
              <w:t xml:space="preserve"> for determining initial and re-appraisals; the purpose is for both care and funding; could cover ADLs, </w:t>
            </w:r>
            <w:r w:rsidR="005E34DD" w:rsidRPr="00334F72">
              <w:rPr>
                <w:sz w:val="22"/>
              </w:rPr>
              <w:t>b</w:t>
            </w:r>
            <w:r w:rsidRPr="00334F72">
              <w:rPr>
                <w:sz w:val="22"/>
              </w:rPr>
              <w:t xml:space="preserve">ehaviour/dementia, CHC, contemporary aspects such as </w:t>
            </w:r>
            <w:r w:rsidR="0029633D" w:rsidRPr="00334F72">
              <w:rPr>
                <w:sz w:val="22"/>
              </w:rPr>
              <w:t>restorative and consumer directed care (</w:t>
            </w:r>
            <w:r w:rsidRPr="00334F72">
              <w:rPr>
                <w:sz w:val="22"/>
              </w:rPr>
              <w:t>CDC</w:t>
            </w:r>
            <w:r w:rsidR="0029633D" w:rsidRPr="00334F72">
              <w:rPr>
                <w:sz w:val="22"/>
              </w:rPr>
              <w:t xml:space="preserve">) and </w:t>
            </w:r>
            <w:r w:rsidR="001F0125">
              <w:rPr>
                <w:sz w:val="22"/>
              </w:rPr>
              <w:t>reablement</w:t>
            </w:r>
            <w:r w:rsidR="0029633D" w:rsidRPr="00334F72">
              <w:rPr>
                <w:sz w:val="22"/>
              </w:rPr>
              <w:t xml:space="preserve"> approaches</w:t>
            </w:r>
            <w:r w:rsidRPr="00334F72">
              <w:rPr>
                <w:sz w:val="22"/>
              </w:rPr>
              <w:t>.</w:t>
            </w:r>
          </w:p>
        </w:tc>
      </w:tr>
      <w:tr w:rsidR="00557FD2" w:rsidRPr="008F7601" w:rsidTr="000B6A9F">
        <w:trPr>
          <w:cantSplit/>
        </w:trPr>
        <w:tc>
          <w:tcPr>
            <w:cnfStyle w:val="001000000000" w:firstRow="0" w:lastRow="0" w:firstColumn="1" w:lastColumn="0" w:oddVBand="0" w:evenVBand="0" w:oddHBand="0" w:evenHBand="0" w:firstRowFirstColumn="0" w:firstRowLastColumn="0" w:lastRowFirstColumn="0" w:lastRowLastColumn="0"/>
            <w:tcW w:w="1504" w:type="dxa"/>
          </w:tcPr>
          <w:p w:rsidR="00557FD2" w:rsidRPr="008F7601" w:rsidRDefault="00557FD2" w:rsidP="00A51750">
            <w:pPr>
              <w:rPr>
                <w:b w:val="0"/>
                <w:sz w:val="22"/>
              </w:rPr>
            </w:pPr>
            <w:r w:rsidRPr="008F7601">
              <w:rPr>
                <w:sz w:val="22"/>
              </w:rPr>
              <w:t>Summaries &amp; Classifications</w:t>
            </w:r>
          </w:p>
        </w:tc>
        <w:tc>
          <w:tcPr>
            <w:tcW w:w="7568" w:type="dxa"/>
          </w:tcPr>
          <w:p w:rsidR="00557FD2" w:rsidRPr="000E6755" w:rsidRDefault="00557FD2" w:rsidP="008A1B34">
            <w:pPr>
              <w:spacing w:after="100"/>
              <w:jc w:val="left"/>
              <w:cnfStyle w:val="000000000000" w:firstRow="0" w:lastRow="0" w:firstColumn="0" w:lastColumn="0" w:oddVBand="0" w:evenVBand="0" w:oddHBand="0" w:evenHBand="0" w:firstRowFirstColumn="0" w:firstRowLastColumn="0" w:lastRowFirstColumn="0" w:lastRowLastColumn="0"/>
              <w:rPr>
                <w:sz w:val="22"/>
              </w:rPr>
            </w:pPr>
            <w:r w:rsidRPr="000E6755">
              <w:rPr>
                <w:sz w:val="22"/>
              </w:rPr>
              <w:t>e.g. a MDS that summarises the assessment outcomes. The summaries can be used for both funding and care planning.</w:t>
            </w:r>
          </w:p>
          <w:p w:rsidR="00980F62" w:rsidRDefault="00557FD2" w:rsidP="008A1B34">
            <w:pPr>
              <w:spacing w:after="100"/>
              <w:jc w:val="left"/>
              <w:cnfStyle w:val="000000000000" w:firstRow="0" w:lastRow="0" w:firstColumn="0" w:lastColumn="0" w:oddVBand="0" w:evenVBand="0" w:oddHBand="0" w:evenHBand="0" w:firstRowFirstColumn="0" w:firstRowLastColumn="0" w:lastRowFirstColumn="0" w:lastRowLastColumn="0"/>
              <w:rPr>
                <w:sz w:val="22"/>
              </w:rPr>
            </w:pPr>
            <w:r w:rsidRPr="000E6755">
              <w:rPr>
                <w:sz w:val="22"/>
              </w:rPr>
              <w:t>e.g. ACFI questions are rated A, B, C, D in a manner that can also be used for resident profiling.</w:t>
            </w:r>
          </w:p>
          <w:p w:rsidR="00557FD2" w:rsidRPr="000E6755" w:rsidRDefault="00557FD2" w:rsidP="008A1B34">
            <w:pPr>
              <w:spacing w:after="100"/>
              <w:jc w:val="left"/>
              <w:cnfStyle w:val="000000000000" w:firstRow="0" w:lastRow="0" w:firstColumn="0" w:lastColumn="0" w:oddVBand="0" w:evenVBand="0" w:oddHBand="0" w:evenHBand="0" w:firstRowFirstColumn="0" w:firstRowLastColumn="0" w:lastRowFirstColumn="0" w:lastRowLastColumn="0"/>
              <w:rPr>
                <w:sz w:val="22"/>
              </w:rPr>
            </w:pPr>
            <w:r w:rsidRPr="000E6755">
              <w:rPr>
                <w:sz w:val="22"/>
              </w:rPr>
              <w:t>For ACFI, the Assessments, Summaries and Classifications are all detailed in the ACFI User Guide and Assessment Pack.</w:t>
            </w:r>
          </w:p>
        </w:tc>
      </w:tr>
      <w:tr w:rsidR="00557FD2" w:rsidRPr="008F7601" w:rsidTr="000B6A9F">
        <w:trPr>
          <w:cantSplit/>
        </w:trPr>
        <w:tc>
          <w:tcPr>
            <w:cnfStyle w:val="001000000000" w:firstRow="0" w:lastRow="0" w:firstColumn="1" w:lastColumn="0" w:oddVBand="0" w:evenVBand="0" w:oddHBand="0" w:evenHBand="0" w:firstRowFirstColumn="0" w:firstRowLastColumn="0" w:lastRowFirstColumn="0" w:lastRowLastColumn="0"/>
            <w:tcW w:w="1504" w:type="dxa"/>
          </w:tcPr>
          <w:p w:rsidR="00557FD2" w:rsidRPr="008F7601" w:rsidRDefault="00557FD2" w:rsidP="00A51750">
            <w:pPr>
              <w:rPr>
                <w:b w:val="0"/>
                <w:sz w:val="22"/>
              </w:rPr>
            </w:pPr>
            <w:r w:rsidRPr="008F7601">
              <w:rPr>
                <w:sz w:val="22"/>
              </w:rPr>
              <w:lastRenderedPageBreak/>
              <w:t>Funding Approach</w:t>
            </w:r>
          </w:p>
        </w:tc>
        <w:tc>
          <w:tcPr>
            <w:tcW w:w="7568" w:type="dxa"/>
          </w:tcPr>
          <w:p w:rsidR="00557FD2" w:rsidRPr="000E6755" w:rsidRDefault="00557FD2" w:rsidP="008A1B34">
            <w:pPr>
              <w:spacing w:after="100"/>
              <w:jc w:val="left"/>
              <w:cnfStyle w:val="000000000000" w:firstRow="0" w:lastRow="0" w:firstColumn="0" w:lastColumn="0" w:oddVBand="0" w:evenVBand="0" w:oddHBand="0" w:evenHBand="0" w:firstRowFirstColumn="0" w:firstRowLastColumn="0" w:lastRowFirstColumn="0" w:lastRowLastColumn="0"/>
              <w:rPr>
                <w:sz w:val="22"/>
              </w:rPr>
            </w:pPr>
            <w:r w:rsidRPr="000E6755">
              <w:rPr>
                <w:sz w:val="22"/>
              </w:rPr>
              <w:t>e.g. additive/ branching models, fixed/variable models, can be used for funding or supplement approaches for rural groups or individual care needs such as oxygen supplements; can assist to determine expected program requirements for auditing purposes.</w:t>
            </w:r>
          </w:p>
        </w:tc>
      </w:tr>
      <w:tr w:rsidR="00557FD2" w:rsidRPr="008F7601" w:rsidTr="000B6A9F">
        <w:trPr>
          <w:cantSplit/>
        </w:trPr>
        <w:tc>
          <w:tcPr>
            <w:cnfStyle w:val="001000000000" w:firstRow="0" w:lastRow="0" w:firstColumn="1" w:lastColumn="0" w:oddVBand="0" w:evenVBand="0" w:oddHBand="0" w:evenHBand="0" w:firstRowFirstColumn="0" w:firstRowLastColumn="0" w:lastRowFirstColumn="0" w:lastRowLastColumn="0"/>
            <w:tcW w:w="1504" w:type="dxa"/>
          </w:tcPr>
          <w:p w:rsidR="00557FD2" w:rsidRPr="008F7601" w:rsidRDefault="00557FD2" w:rsidP="00A51750">
            <w:pPr>
              <w:rPr>
                <w:b w:val="0"/>
                <w:sz w:val="22"/>
              </w:rPr>
            </w:pPr>
            <w:r w:rsidRPr="008F7601">
              <w:rPr>
                <w:sz w:val="22"/>
              </w:rPr>
              <w:t>Activity Measures</w:t>
            </w:r>
          </w:p>
        </w:tc>
        <w:tc>
          <w:tcPr>
            <w:tcW w:w="7568" w:type="dxa"/>
          </w:tcPr>
          <w:p w:rsidR="00557FD2" w:rsidRPr="000E6755" w:rsidRDefault="00557FD2" w:rsidP="008A1B34">
            <w:pPr>
              <w:spacing w:after="100"/>
              <w:jc w:val="left"/>
              <w:cnfStyle w:val="000000000000" w:firstRow="0" w:lastRow="0" w:firstColumn="0" w:lastColumn="0" w:oddVBand="0" w:evenVBand="0" w:oddHBand="0" w:evenHBand="0" w:firstRowFirstColumn="0" w:firstRowLastColumn="0" w:lastRowFirstColumn="0" w:lastRowLastColumn="0"/>
              <w:rPr>
                <w:sz w:val="22"/>
              </w:rPr>
            </w:pPr>
            <w:r w:rsidRPr="000E6755">
              <w:rPr>
                <w:sz w:val="22"/>
              </w:rPr>
              <w:t xml:space="preserve">e.g. Activity Based Funding </w:t>
            </w:r>
            <w:r w:rsidR="00F253FA">
              <w:rPr>
                <w:sz w:val="22"/>
              </w:rPr>
              <w:t xml:space="preserve">(ABF) </w:t>
            </w:r>
            <w:r w:rsidRPr="000E6755">
              <w:rPr>
                <w:sz w:val="22"/>
              </w:rPr>
              <w:t>or other models.</w:t>
            </w:r>
          </w:p>
          <w:p w:rsidR="00557FD2" w:rsidRPr="000E6755" w:rsidRDefault="00557FD2" w:rsidP="008A1B34">
            <w:pPr>
              <w:spacing w:after="100"/>
              <w:jc w:val="left"/>
              <w:cnfStyle w:val="000000000000" w:firstRow="0" w:lastRow="0" w:firstColumn="0" w:lastColumn="0" w:oddVBand="0" w:evenVBand="0" w:oddHBand="0" w:evenHBand="0" w:firstRowFirstColumn="0" w:firstRowLastColumn="0" w:lastRowFirstColumn="0" w:lastRowLastColumn="0"/>
              <w:rPr>
                <w:sz w:val="22"/>
              </w:rPr>
            </w:pPr>
            <w:r w:rsidRPr="000E6755">
              <w:rPr>
                <w:sz w:val="22"/>
              </w:rPr>
              <w:t xml:space="preserve">Based on care provided or assessed care needs, records of treatment, </w:t>
            </w:r>
            <w:r w:rsidR="00527184">
              <w:rPr>
                <w:sz w:val="22"/>
              </w:rPr>
              <w:br/>
            </w:r>
            <w:r w:rsidRPr="000E6755">
              <w:rPr>
                <w:sz w:val="22"/>
              </w:rPr>
              <w:t>Care Plans etc.</w:t>
            </w:r>
          </w:p>
        </w:tc>
      </w:tr>
      <w:tr w:rsidR="00557FD2" w:rsidRPr="008F7601" w:rsidTr="000B6A9F">
        <w:trPr>
          <w:cantSplit/>
        </w:trPr>
        <w:tc>
          <w:tcPr>
            <w:cnfStyle w:val="001000000000" w:firstRow="0" w:lastRow="0" w:firstColumn="1" w:lastColumn="0" w:oddVBand="0" w:evenVBand="0" w:oddHBand="0" w:evenHBand="0" w:firstRowFirstColumn="0" w:firstRowLastColumn="0" w:lastRowFirstColumn="0" w:lastRowLastColumn="0"/>
            <w:tcW w:w="1504" w:type="dxa"/>
          </w:tcPr>
          <w:p w:rsidR="00557FD2" w:rsidRPr="008F7601" w:rsidRDefault="00557FD2" w:rsidP="005E34DD">
            <w:pPr>
              <w:rPr>
                <w:b w:val="0"/>
                <w:sz w:val="22"/>
              </w:rPr>
            </w:pPr>
            <w:r w:rsidRPr="008F7601">
              <w:rPr>
                <w:sz w:val="22"/>
              </w:rPr>
              <w:t>Business Rules</w:t>
            </w:r>
          </w:p>
        </w:tc>
        <w:tc>
          <w:tcPr>
            <w:tcW w:w="7568" w:type="dxa"/>
          </w:tcPr>
          <w:p w:rsidR="00980F62" w:rsidRDefault="00557FD2" w:rsidP="008A1B34">
            <w:pPr>
              <w:spacing w:after="100"/>
              <w:jc w:val="left"/>
              <w:cnfStyle w:val="000000000000" w:firstRow="0" w:lastRow="0" w:firstColumn="0" w:lastColumn="0" w:oddVBand="0" w:evenVBand="0" w:oddHBand="0" w:evenHBand="0" w:firstRowFirstColumn="0" w:firstRowLastColumn="0" w:lastRowFirstColumn="0" w:lastRowLastColumn="0"/>
              <w:rPr>
                <w:sz w:val="22"/>
              </w:rPr>
            </w:pPr>
            <w:r w:rsidRPr="008F7601">
              <w:rPr>
                <w:sz w:val="22"/>
              </w:rPr>
              <w:t>e.g. Residential Care Manual, Government Advice and Legislation</w:t>
            </w:r>
            <w:r w:rsidR="00D361A7">
              <w:rPr>
                <w:sz w:val="22"/>
              </w:rPr>
              <w:t>.</w:t>
            </w:r>
          </w:p>
          <w:p w:rsidR="00557FD2" w:rsidRDefault="00473246" w:rsidP="008A1B34">
            <w:pPr>
              <w:spacing w:after="100"/>
              <w:jc w:val="left"/>
              <w:cnfStyle w:val="000000000000" w:firstRow="0" w:lastRow="0" w:firstColumn="0" w:lastColumn="0" w:oddVBand="0" w:evenVBand="0" w:oddHBand="0" w:evenHBand="0" w:firstRowFirstColumn="0" w:firstRowLastColumn="0" w:lastRowFirstColumn="0" w:lastRowLastColumn="0"/>
              <w:rPr>
                <w:sz w:val="22"/>
              </w:rPr>
            </w:pPr>
            <w:hyperlink r:id="rId20" w:history="1">
              <w:r w:rsidR="00204B23">
                <w:rPr>
                  <w:rStyle w:val="Hyperlink"/>
                  <w:sz w:val="22"/>
                </w:rPr>
                <w:t>link to Department of Health's Ageing and Aged Care guides/advice/policy page</w:t>
              </w:r>
            </w:hyperlink>
          </w:p>
          <w:p w:rsidR="005E34DD" w:rsidRPr="008F7601" w:rsidRDefault="00473246" w:rsidP="008A1B34">
            <w:pPr>
              <w:spacing w:after="100"/>
              <w:jc w:val="left"/>
              <w:cnfStyle w:val="000000000000" w:firstRow="0" w:lastRow="0" w:firstColumn="0" w:lastColumn="0" w:oddVBand="0" w:evenVBand="0" w:oddHBand="0" w:evenHBand="0" w:firstRowFirstColumn="0" w:firstRowLastColumn="0" w:lastRowFirstColumn="0" w:lastRowLastColumn="0"/>
              <w:rPr>
                <w:sz w:val="22"/>
              </w:rPr>
            </w:pPr>
            <w:hyperlink r:id="rId21" w:history="1">
              <w:r w:rsidR="00204B23">
                <w:rPr>
                  <w:rStyle w:val="Hyperlink"/>
                  <w:sz w:val="22"/>
                </w:rPr>
                <w:t>link to Department of Health's Ageing and Aged Care legislation page</w:t>
              </w:r>
            </w:hyperlink>
            <w:r w:rsidR="007A576E">
              <w:rPr>
                <w:sz w:val="22"/>
              </w:rPr>
              <w:t xml:space="preserve"> </w:t>
            </w:r>
          </w:p>
        </w:tc>
      </w:tr>
      <w:tr w:rsidR="00557FD2" w:rsidRPr="008F7601" w:rsidTr="000B6A9F">
        <w:trPr>
          <w:cantSplit/>
        </w:trPr>
        <w:tc>
          <w:tcPr>
            <w:cnfStyle w:val="001000000000" w:firstRow="0" w:lastRow="0" w:firstColumn="1" w:lastColumn="0" w:oddVBand="0" w:evenVBand="0" w:oddHBand="0" w:evenHBand="0" w:firstRowFirstColumn="0" w:firstRowLastColumn="0" w:lastRowFirstColumn="0" w:lastRowLastColumn="0"/>
            <w:tcW w:w="1504" w:type="dxa"/>
          </w:tcPr>
          <w:p w:rsidR="00557FD2" w:rsidRPr="008F7601" w:rsidRDefault="00557FD2" w:rsidP="00A51750">
            <w:pPr>
              <w:rPr>
                <w:b w:val="0"/>
                <w:sz w:val="22"/>
              </w:rPr>
            </w:pPr>
            <w:r w:rsidRPr="008F7601">
              <w:rPr>
                <w:sz w:val="22"/>
              </w:rPr>
              <w:t>Assessors</w:t>
            </w:r>
          </w:p>
        </w:tc>
        <w:tc>
          <w:tcPr>
            <w:tcW w:w="7568" w:type="dxa"/>
          </w:tcPr>
          <w:p w:rsidR="00980F62" w:rsidRDefault="00557FD2" w:rsidP="008A1B34">
            <w:pPr>
              <w:spacing w:after="100"/>
              <w:jc w:val="left"/>
              <w:cnfStyle w:val="000000000000" w:firstRow="0" w:lastRow="0" w:firstColumn="0" w:lastColumn="0" w:oddVBand="0" w:evenVBand="0" w:oddHBand="0" w:evenHBand="0" w:firstRowFirstColumn="0" w:firstRowLastColumn="0" w:lastRowFirstColumn="0" w:lastRowLastColumn="0"/>
              <w:rPr>
                <w:sz w:val="22"/>
              </w:rPr>
            </w:pPr>
            <w:r w:rsidRPr="000E6755">
              <w:rPr>
                <w:sz w:val="22"/>
              </w:rPr>
              <w:t>Internal/external or mixed assessment methods</w:t>
            </w:r>
            <w:r w:rsidR="005E34DD" w:rsidRPr="000E6755">
              <w:rPr>
                <w:sz w:val="22"/>
              </w:rPr>
              <w:t>.</w:t>
            </w:r>
          </w:p>
          <w:p w:rsidR="00557FD2" w:rsidRPr="000E6755" w:rsidRDefault="00557FD2" w:rsidP="008A1B34">
            <w:pPr>
              <w:spacing w:after="100"/>
              <w:jc w:val="left"/>
              <w:cnfStyle w:val="000000000000" w:firstRow="0" w:lastRow="0" w:firstColumn="0" w:lastColumn="0" w:oddVBand="0" w:evenVBand="0" w:oddHBand="0" w:evenHBand="0" w:firstRowFirstColumn="0" w:firstRowLastColumn="0" w:lastRowFirstColumn="0" w:lastRowLastColumn="0"/>
              <w:rPr>
                <w:sz w:val="22"/>
              </w:rPr>
            </w:pPr>
            <w:r w:rsidRPr="000E6755">
              <w:rPr>
                <w:sz w:val="22"/>
              </w:rPr>
              <w:t>Who undertakes the assessment</w:t>
            </w:r>
            <w:r w:rsidR="000E6755">
              <w:rPr>
                <w:sz w:val="22"/>
              </w:rPr>
              <w:t xml:space="preserve"> at entry and for re-appraisals.</w:t>
            </w:r>
          </w:p>
          <w:p w:rsidR="00557FD2" w:rsidRPr="008F7601" w:rsidRDefault="00557FD2" w:rsidP="008A1B34">
            <w:pPr>
              <w:spacing w:after="100"/>
              <w:jc w:val="left"/>
              <w:cnfStyle w:val="000000000000" w:firstRow="0" w:lastRow="0" w:firstColumn="0" w:lastColumn="0" w:oddVBand="0" w:evenVBand="0" w:oddHBand="0" w:evenHBand="0" w:firstRowFirstColumn="0" w:firstRowLastColumn="0" w:lastRowFirstColumn="0" w:lastRowLastColumn="0"/>
            </w:pPr>
            <w:r w:rsidRPr="000E6755">
              <w:rPr>
                <w:sz w:val="22"/>
              </w:rPr>
              <w:t>Who determines the assessment</w:t>
            </w:r>
            <w:r w:rsidR="000E6755">
              <w:rPr>
                <w:sz w:val="22"/>
              </w:rPr>
              <w:t xml:space="preserve"> outcomes, MDS, classifications.</w:t>
            </w:r>
          </w:p>
        </w:tc>
      </w:tr>
    </w:tbl>
    <w:p w:rsidR="00557FD2" w:rsidRPr="00512BAB" w:rsidRDefault="00557FD2" w:rsidP="007E0DCA">
      <w:pPr>
        <w:pStyle w:val="Heading3-Chapter22"/>
      </w:pPr>
      <w:bookmarkStart w:id="102" w:name="_Toc486599973"/>
      <w:bookmarkStart w:id="103" w:name="_Toc486603016"/>
      <w:r w:rsidRPr="00512BAB">
        <w:t>Consultations</w:t>
      </w:r>
      <w:bookmarkEnd w:id="93"/>
      <w:bookmarkEnd w:id="102"/>
      <w:bookmarkEnd w:id="103"/>
    </w:p>
    <w:p w:rsidR="00980F62" w:rsidRDefault="00557FD2" w:rsidP="00FF7E1E">
      <w:pPr>
        <w:rPr>
          <w:lang w:eastAsia="en-AU"/>
        </w:rPr>
      </w:pPr>
      <w:r w:rsidRPr="000E6755">
        <w:t>C</w:t>
      </w:r>
      <w:r w:rsidRPr="000E6755">
        <w:rPr>
          <w:rFonts w:cs="Times New Roman"/>
          <w:lang w:eastAsia="en-AU"/>
        </w:rPr>
        <w:t xml:space="preserve">onsultations </w:t>
      </w:r>
      <w:r w:rsidR="005E34DD" w:rsidRPr="000E6755">
        <w:rPr>
          <w:rFonts w:cs="Times New Roman"/>
          <w:lang w:eastAsia="en-AU"/>
        </w:rPr>
        <w:t xml:space="preserve">were undertaken </w:t>
      </w:r>
      <w:r w:rsidRPr="000E6755">
        <w:rPr>
          <w:rFonts w:cs="Times New Roman"/>
          <w:lang w:eastAsia="en-AU"/>
        </w:rPr>
        <w:t xml:space="preserve">with a broad range of </w:t>
      </w:r>
      <w:r w:rsidRPr="000E6755">
        <w:rPr>
          <w:lang w:eastAsia="en-AU"/>
        </w:rPr>
        <w:t xml:space="preserve">stakeholders </w:t>
      </w:r>
      <w:r w:rsidR="005E34DD" w:rsidRPr="000E6755">
        <w:rPr>
          <w:lang w:eastAsia="en-AU"/>
        </w:rPr>
        <w:t xml:space="preserve">as listed in </w:t>
      </w:r>
      <w:bookmarkStart w:id="104" w:name="Tab0203"/>
      <w:r w:rsidR="00B712D6">
        <w:rPr>
          <w:lang w:eastAsia="en-AU"/>
        </w:rPr>
        <w:fldChar w:fldCharType="begin"/>
      </w:r>
      <w:r w:rsidR="00B712D6">
        <w:rPr>
          <w:lang w:eastAsia="en-AU"/>
        </w:rPr>
        <w:instrText xml:space="preserve"> HYPERLINK  \l "Tab0203" </w:instrText>
      </w:r>
      <w:r w:rsidR="00B712D6">
        <w:rPr>
          <w:lang w:eastAsia="en-AU"/>
        </w:rPr>
        <w:fldChar w:fldCharType="separate"/>
      </w:r>
      <w:r w:rsidRPr="00B712D6">
        <w:rPr>
          <w:rStyle w:val="Hyperlink"/>
          <w:lang w:eastAsia="en-AU"/>
        </w:rPr>
        <w:t>Table 2.3</w:t>
      </w:r>
      <w:bookmarkEnd w:id="104"/>
      <w:r w:rsidR="00B712D6">
        <w:rPr>
          <w:lang w:eastAsia="en-AU"/>
        </w:rPr>
        <w:fldChar w:fldCharType="end"/>
      </w:r>
      <w:r w:rsidRPr="000E6755">
        <w:rPr>
          <w:lang w:eastAsia="en-AU"/>
        </w:rPr>
        <w:t xml:space="preserve">. </w:t>
      </w:r>
      <w:r w:rsidR="00FF7E1E">
        <w:rPr>
          <w:lang w:eastAsia="en-AU"/>
        </w:rPr>
        <w:br/>
      </w:r>
      <w:r w:rsidRPr="000E6755">
        <w:rPr>
          <w:lang w:eastAsia="en-AU"/>
        </w:rPr>
        <w:t xml:space="preserve">An agenda was prepared to provide a consistent background to the discussions </w:t>
      </w:r>
      <w:r w:rsidR="00FF7E1E">
        <w:rPr>
          <w:lang w:eastAsia="en-AU"/>
        </w:rPr>
        <w:br/>
      </w:r>
      <w:r w:rsidR="009E0A38">
        <w:rPr>
          <w:lang w:eastAsia="en-AU"/>
        </w:rPr>
        <w:t>(</w:t>
      </w:r>
      <w:r w:rsidRPr="000E6755">
        <w:rPr>
          <w:lang w:eastAsia="en-AU"/>
        </w:rPr>
        <w:t>Appendix 2.2</w:t>
      </w:r>
      <w:r w:rsidR="009E0A38">
        <w:rPr>
          <w:lang w:eastAsia="en-AU"/>
        </w:rPr>
        <w:t>)</w:t>
      </w:r>
      <w:r w:rsidRPr="000E6755">
        <w:rPr>
          <w:lang w:eastAsia="en-AU"/>
        </w:rPr>
        <w:t>.</w:t>
      </w:r>
      <w:r w:rsidR="007A576E">
        <w:rPr>
          <w:lang w:eastAsia="en-AU"/>
        </w:rPr>
        <w:t xml:space="preserve"> </w:t>
      </w:r>
      <w:r>
        <w:rPr>
          <w:lang w:eastAsia="en-AU"/>
        </w:rPr>
        <w:t>The agenda covered</w:t>
      </w:r>
      <w:r w:rsidR="00D531BD">
        <w:rPr>
          <w:lang w:eastAsia="en-AU"/>
        </w:rPr>
        <w:t xml:space="preserve"> in brief</w:t>
      </w:r>
      <w:r>
        <w:rPr>
          <w:lang w:eastAsia="en-AU"/>
        </w:rPr>
        <w:t>:</w:t>
      </w:r>
    </w:p>
    <w:p w:rsidR="00557FD2" w:rsidRPr="00730D08" w:rsidRDefault="00557FD2" w:rsidP="00730D08">
      <w:pPr>
        <w:pStyle w:val="Heading4-Chapter222"/>
        <w:rPr>
          <w:rStyle w:val="Strong"/>
          <w:b/>
        </w:rPr>
      </w:pPr>
      <w:bookmarkStart w:id="105" w:name="_Toc478568282"/>
      <w:r w:rsidRPr="00730D08">
        <w:rPr>
          <w:rStyle w:val="Strong"/>
          <w:b/>
        </w:rPr>
        <w:t>Project Background</w:t>
      </w:r>
    </w:p>
    <w:p w:rsidR="00980F62" w:rsidRDefault="00557FD2" w:rsidP="00557DB1">
      <w:pPr>
        <w:pStyle w:val="ListParagraph"/>
        <w:numPr>
          <w:ilvl w:val="0"/>
          <w:numId w:val="14"/>
        </w:numPr>
        <w:spacing w:after="200"/>
        <w:rPr>
          <w:szCs w:val="24"/>
        </w:rPr>
      </w:pPr>
      <w:r w:rsidRPr="00EB51B1">
        <w:rPr>
          <w:szCs w:val="24"/>
        </w:rPr>
        <w:t>Identify ACFI Issues</w:t>
      </w:r>
    </w:p>
    <w:p w:rsidR="00557FD2" w:rsidRPr="00EB51B1" w:rsidRDefault="00557FD2" w:rsidP="00557DB1">
      <w:pPr>
        <w:pStyle w:val="ListParagraph"/>
        <w:numPr>
          <w:ilvl w:val="0"/>
          <w:numId w:val="14"/>
        </w:numPr>
        <w:spacing w:after="200"/>
        <w:rPr>
          <w:szCs w:val="24"/>
        </w:rPr>
      </w:pPr>
      <w:r w:rsidRPr="00EB51B1">
        <w:rPr>
          <w:szCs w:val="24"/>
        </w:rPr>
        <w:t>Views on modifications</w:t>
      </w:r>
    </w:p>
    <w:p w:rsidR="00557FD2" w:rsidRPr="00EB51B1" w:rsidRDefault="00557FD2" w:rsidP="00557DB1">
      <w:pPr>
        <w:pStyle w:val="ListParagraph"/>
        <w:numPr>
          <w:ilvl w:val="0"/>
          <w:numId w:val="14"/>
        </w:numPr>
        <w:spacing w:after="200"/>
        <w:rPr>
          <w:szCs w:val="24"/>
        </w:rPr>
      </w:pPr>
      <w:r w:rsidRPr="00EB51B1">
        <w:rPr>
          <w:szCs w:val="24"/>
        </w:rPr>
        <w:t>Develop modified ACFI</w:t>
      </w:r>
    </w:p>
    <w:p w:rsidR="00557FD2" w:rsidRPr="00EB51B1" w:rsidRDefault="00557FD2" w:rsidP="00557DB1">
      <w:pPr>
        <w:pStyle w:val="ListParagraph"/>
        <w:numPr>
          <w:ilvl w:val="0"/>
          <w:numId w:val="14"/>
        </w:numPr>
        <w:spacing w:after="200"/>
        <w:rPr>
          <w:szCs w:val="24"/>
        </w:rPr>
      </w:pPr>
      <w:r w:rsidRPr="00EB51B1">
        <w:rPr>
          <w:szCs w:val="24"/>
        </w:rPr>
        <w:t>External / Independent Assessment Options</w:t>
      </w:r>
    </w:p>
    <w:p w:rsidR="00557FD2" w:rsidRPr="00730D08" w:rsidRDefault="00557FD2" w:rsidP="00730D08">
      <w:pPr>
        <w:pStyle w:val="Heading4-Chapter222"/>
        <w:rPr>
          <w:rStyle w:val="Strong"/>
          <w:b/>
        </w:rPr>
      </w:pPr>
      <w:r w:rsidRPr="00730D08">
        <w:rPr>
          <w:rStyle w:val="Strong"/>
          <w:b/>
        </w:rPr>
        <w:t>Discussion Points</w:t>
      </w:r>
    </w:p>
    <w:p w:rsidR="00557FD2" w:rsidRPr="00EB51B1" w:rsidRDefault="00557FD2" w:rsidP="00557DB1">
      <w:pPr>
        <w:pStyle w:val="ListParagraph"/>
        <w:numPr>
          <w:ilvl w:val="0"/>
          <w:numId w:val="13"/>
        </w:numPr>
        <w:spacing w:after="200"/>
        <w:rPr>
          <w:szCs w:val="24"/>
        </w:rPr>
      </w:pPr>
      <w:r w:rsidRPr="00EB51B1">
        <w:rPr>
          <w:szCs w:val="24"/>
        </w:rPr>
        <w:t>The ACFI Model</w:t>
      </w:r>
    </w:p>
    <w:p w:rsidR="00557FD2" w:rsidRPr="00EB51B1" w:rsidRDefault="00557FD2" w:rsidP="00557DB1">
      <w:pPr>
        <w:pStyle w:val="ListParagraph"/>
        <w:numPr>
          <w:ilvl w:val="0"/>
          <w:numId w:val="13"/>
        </w:numPr>
        <w:spacing w:after="200"/>
        <w:rPr>
          <w:szCs w:val="24"/>
        </w:rPr>
      </w:pPr>
      <w:r w:rsidRPr="00EB51B1">
        <w:rPr>
          <w:szCs w:val="24"/>
        </w:rPr>
        <w:t>Changing the basic model design</w:t>
      </w:r>
    </w:p>
    <w:p w:rsidR="00980F62" w:rsidRDefault="00557FD2" w:rsidP="00557DB1">
      <w:pPr>
        <w:pStyle w:val="ListParagraph"/>
        <w:numPr>
          <w:ilvl w:val="0"/>
          <w:numId w:val="13"/>
        </w:numPr>
        <w:spacing w:after="200"/>
        <w:rPr>
          <w:szCs w:val="24"/>
        </w:rPr>
      </w:pPr>
      <w:r w:rsidRPr="00EB51B1">
        <w:rPr>
          <w:szCs w:val="24"/>
        </w:rPr>
        <w:t>Number of ACFI Questions</w:t>
      </w:r>
    </w:p>
    <w:p w:rsidR="00557FD2" w:rsidRPr="00EB51B1" w:rsidRDefault="00557FD2" w:rsidP="00557DB1">
      <w:pPr>
        <w:pStyle w:val="ListParagraph"/>
        <w:numPr>
          <w:ilvl w:val="0"/>
          <w:numId w:val="13"/>
        </w:numPr>
        <w:spacing w:after="200"/>
        <w:rPr>
          <w:szCs w:val="24"/>
        </w:rPr>
      </w:pPr>
      <w:r w:rsidRPr="00EB51B1">
        <w:rPr>
          <w:szCs w:val="24"/>
        </w:rPr>
        <w:t>Assessment tools &amp; mandatory requirements</w:t>
      </w:r>
    </w:p>
    <w:p w:rsidR="00557FD2" w:rsidRPr="00EB51B1" w:rsidRDefault="00557FD2" w:rsidP="00557DB1">
      <w:pPr>
        <w:pStyle w:val="ListParagraph"/>
        <w:numPr>
          <w:ilvl w:val="0"/>
          <w:numId w:val="13"/>
        </w:numPr>
        <w:spacing w:after="200"/>
        <w:rPr>
          <w:szCs w:val="24"/>
        </w:rPr>
      </w:pPr>
      <w:r w:rsidRPr="00EB51B1">
        <w:rPr>
          <w:szCs w:val="24"/>
        </w:rPr>
        <w:t>Therapy program incentives</w:t>
      </w:r>
    </w:p>
    <w:p w:rsidR="00557FD2" w:rsidRPr="00EB51B1" w:rsidRDefault="00557FD2" w:rsidP="00557DB1">
      <w:pPr>
        <w:pStyle w:val="ListParagraph"/>
        <w:numPr>
          <w:ilvl w:val="0"/>
          <w:numId w:val="13"/>
        </w:numPr>
        <w:spacing w:after="200"/>
        <w:rPr>
          <w:szCs w:val="24"/>
        </w:rPr>
      </w:pPr>
      <w:r w:rsidRPr="00EB51B1">
        <w:rPr>
          <w:szCs w:val="24"/>
        </w:rPr>
        <w:t>ACFI question considerations</w:t>
      </w:r>
    </w:p>
    <w:p w:rsidR="00557FD2" w:rsidRPr="00EB51B1" w:rsidRDefault="00557FD2" w:rsidP="00557DB1">
      <w:pPr>
        <w:pStyle w:val="ListParagraph"/>
        <w:numPr>
          <w:ilvl w:val="0"/>
          <w:numId w:val="13"/>
        </w:numPr>
        <w:spacing w:after="200"/>
        <w:rPr>
          <w:szCs w:val="24"/>
        </w:rPr>
      </w:pPr>
      <w:r w:rsidRPr="00EB51B1">
        <w:rPr>
          <w:szCs w:val="24"/>
        </w:rPr>
        <w:t>Business Rules</w:t>
      </w:r>
    </w:p>
    <w:p w:rsidR="00557FD2" w:rsidRPr="00EB51B1" w:rsidRDefault="00557FD2" w:rsidP="00557DB1">
      <w:pPr>
        <w:pStyle w:val="ListParagraph"/>
        <w:numPr>
          <w:ilvl w:val="0"/>
          <w:numId w:val="13"/>
        </w:numPr>
        <w:spacing w:after="200"/>
        <w:rPr>
          <w:szCs w:val="24"/>
        </w:rPr>
      </w:pPr>
      <w:r w:rsidRPr="00EB51B1">
        <w:rPr>
          <w:szCs w:val="24"/>
        </w:rPr>
        <w:t>External</w:t>
      </w:r>
      <w:r w:rsidR="00B50FFD">
        <w:rPr>
          <w:szCs w:val="24"/>
        </w:rPr>
        <w:t xml:space="preserve"> </w:t>
      </w:r>
      <w:r w:rsidRPr="00EB51B1">
        <w:rPr>
          <w:szCs w:val="24"/>
        </w:rPr>
        <w:t>/</w:t>
      </w:r>
      <w:r w:rsidR="00B50FFD">
        <w:rPr>
          <w:szCs w:val="24"/>
        </w:rPr>
        <w:t xml:space="preserve"> </w:t>
      </w:r>
      <w:r w:rsidRPr="00EB51B1">
        <w:rPr>
          <w:szCs w:val="24"/>
        </w:rPr>
        <w:t>Independent Assessment</w:t>
      </w:r>
    </w:p>
    <w:p w:rsidR="00557FD2" w:rsidRPr="00EB51B1" w:rsidRDefault="00557FD2" w:rsidP="00557DB1">
      <w:pPr>
        <w:pStyle w:val="ListParagraph"/>
        <w:numPr>
          <w:ilvl w:val="0"/>
          <w:numId w:val="13"/>
        </w:numPr>
        <w:spacing w:after="200"/>
        <w:rPr>
          <w:szCs w:val="24"/>
        </w:rPr>
      </w:pPr>
      <w:r w:rsidRPr="00EB51B1">
        <w:rPr>
          <w:szCs w:val="24"/>
        </w:rPr>
        <w:t>Other Suggestions</w:t>
      </w:r>
      <w:r w:rsidR="00B50FFD">
        <w:rPr>
          <w:szCs w:val="24"/>
        </w:rPr>
        <w:t xml:space="preserve"> </w:t>
      </w:r>
      <w:r w:rsidRPr="00EB51B1">
        <w:rPr>
          <w:szCs w:val="24"/>
        </w:rPr>
        <w:t>/</w:t>
      </w:r>
      <w:r w:rsidR="00B50FFD">
        <w:rPr>
          <w:szCs w:val="24"/>
        </w:rPr>
        <w:t xml:space="preserve"> </w:t>
      </w:r>
      <w:r w:rsidRPr="00EB51B1">
        <w:rPr>
          <w:szCs w:val="24"/>
        </w:rPr>
        <w:t>Comments</w:t>
      </w:r>
    </w:p>
    <w:p w:rsidR="00291A6C" w:rsidRDefault="00291A6C" w:rsidP="00291A6C">
      <w:pPr>
        <w:pStyle w:val="Caption"/>
        <w:keepNext/>
      </w:pPr>
      <w:bookmarkStart w:id="106" w:name="_Toc495415631"/>
      <w:bookmarkStart w:id="107" w:name="_Toc495474270"/>
      <w:bookmarkEnd w:id="105"/>
      <w:r>
        <w:t>Table 2.</w:t>
      </w:r>
      <w:r w:rsidR="009A3F5A">
        <w:fldChar w:fldCharType="begin"/>
      </w:r>
      <w:r w:rsidR="009A3F5A">
        <w:instrText xml:space="preserve"> SEQ Table_2. \* ARABIC </w:instrText>
      </w:r>
      <w:r w:rsidR="009A3F5A">
        <w:fldChar w:fldCharType="separate"/>
      </w:r>
      <w:r w:rsidR="00856E49">
        <w:rPr>
          <w:noProof/>
        </w:rPr>
        <w:t>3</w:t>
      </w:r>
      <w:r w:rsidR="009A3F5A">
        <w:rPr>
          <w:noProof/>
        </w:rPr>
        <w:fldChar w:fldCharType="end"/>
      </w:r>
      <w:r>
        <w:t xml:space="preserve">: </w:t>
      </w:r>
      <w:r w:rsidRPr="00291A6C">
        <w:t>Consultations</w:t>
      </w:r>
      <w:r w:rsidR="003E2FE0">
        <w:t xml:space="preserve"> with Stakeholders – Australian System</w:t>
      </w:r>
      <w:bookmarkEnd w:id="106"/>
      <w:bookmarkEnd w:id="107"/>
    </w:p>
    <w:tbl>
      <w:tblPr>
        <w:tblStyle w:val="GridTable4-Accent51"/>
        <w:tblW w:w="8029"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6A0" w:firstRow="1" w:lastRow="0" w:firstColumn="1" w:lastColumn="0" w:noHBand="1" w:noVBand="1"/>
        <w:tblDescription w:val="Table 2.3 is a list of the communication methods undertaken for consultation with Australian stakeholders for the aged care funding instrument (ACFI) review. This table is to be read left to right, top to bottom."/>
      </w:tblPr>
      <w:tblGrid>
        <w:gridCol w:w="4820"/>
        <w:gridCol w:w="3209"/>
      </w:tblGrid>
      <w:tr w:rsidR="003E2FE0" w:rsidRPr="003E2FE0" w:rsidTr="003E2F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Pr>
          <w:p w:rsidR="004022C5" w:rsidRPr="003E2FE0" w:rsidRDefault="003E2FE0" w:rsidP="003E2FE0">
            <w:pPr>
              <w:spacing w:after="0"/>
              <w:rPr>
                <w:sz w:val="22"/>
                <w:lang w:eastAsia="en-AU"/>
              </w:rPr>
            </w:pPr>
            <w:r w:rsidRPr="003E2FE0">
              <w:rPr>
                <w:sz w:val="22"/>
                <w:lang w:eastAsia="en-AU"/>
              </w:rPr>
              <w:t>S</w:t>
            </w:r>
            <w:r w:rsidR="004022C5" w:rsidRPr="003E2FE0">
              <w:rPr>
                <w:sz w:val="22"/>
                <w:lang w:eastAsia="en-AU"/>
              </w:rPr>
              <w:t>takeholders</w:t>
            </w:r>
            <w:r w:rsidRPr="003E2FE0">
              <w:rPr>
                <w:sz w:val="22"/>
                <w:lang w:eastAsia="en-AU"/>
              </w:rPr>
              <w:t xml:space="preserve"> </w:t>
            </w:r>
            <w:r>
              <w:rPr>
                <w:sz w:val="22"/>
                <w:lang w:eastAsia="en-AU"/>
              </w:rPr>
              <w:t>c</w:t>
            </w:r>
            <w:r w:rsidRPr="003E2FE0">
              <w:rPr>
                <w:sz w:val="22"/>
                <w:lang w:eastAsia="en-AU"/>
              </w:rPr>
              <w:t xml:space="preserve">onsulted </w:t>
            </w:r>
            <w:r>
              <w:rPr>
                <w:sz w:val="22"/>
                <w:lang w:eastAsia="en-AU"/>
              </w:rPr>
              <w:t>with</w:t>
            </w:r>
          </w:p>
        </w:tc>
        <w:tc>
          <w:tcPr>
            <w:tcW w:w="3209" w:type="dxa"/>
          </w:tcPr>
          <w:p w:rsidR="004022C5" w:rsidRPr="003E2FE0" w:rsidRDefault="004022C5" w:rsidP="00BC2715">
            <w:pPr>
              <w:spacing w:after="0"/>
              <w:cnfStyle w:val="100000000000" w:firstRow="1" w:lastRow="0" w:firstColumn="0" w:lastColumn="0" w:oddVBand="0" w:evenVBand="0" w:oddHBand="0" w:evenHBand="0" w:firstRowFirstColumn="0" w:firstRowLastColumn="0" w:lastRowFirstColumn="0" w:lastRowLastColumn="0"/>
              <w:rPr>
                <w:sz w:val="22"/>
                <w:lang w:eastAsia="en-AU"/>
              </w:rPr>
            </w:pPr>
            <w:r w:rsidRPr="003E2FE0">
              <w:rPr>
                <w:sz w:val="22"/>
                <w:lang w:eastAsia="en-AU"/>
              </w:rPr>
              <w:t>Method</w:t>
            </w:r>
          </w:p>
        </w:tc>
      </w:tr>
      <w:tr w:rsidR="00557FD2" w:rsidTr="00AE6A54">
        <w:tc>
          <w:tcPr>
            <w:cnfStyle w:val="001000000000" w:firstRow="0" w:lastRow="0" w:firstColumn="1" w:lastColumn="0" w:oddVBand="0" w:evenVBand="0" w:oddHBand="0" w:evenHBand="0" w:firstRowFirstColumn="0" w:firstRowLastColumn="0" w:lastRowFirstColumn="0" w:lastRowLastColumn="0"/>
            <w:tcW w:w="4820" w:type="dxa"/>
          </w:tcPr>
          <w:p w:rsidR="00557FD2" w:rsidRPr="00E476FD" w:rsidRDefault="00557FD2" w:rsidP="009E0A38">
            <w:pPr>
              <w:spacing w:before="60" w:after="60"/>
              <w:rPr>
                <w:b w:val="0"/>
                <w:sz w:val="22"/>
                <w:lang w:eastAsia="en-AU"/>
              </w:rPr>
            </w:pPr>
            <w:r>
              <w:rPr>
                <w:b w:val="0"/>
                <w:sz w:val="22"/>
                <w:lang w:eastAsia="en-AU"/>
              </w:rPr>
              <w:t xml:space="preserve">ACFI </w:t>
            </w:r>
            <w:r w:rsidRPr="00E476FD">
              <w:rPr>
                <w:b w:val="0"/>
                <w:sz w:val="22"/>
                <w:lang w:eastAsia="en-AU"/>
              </w:rPr>
              <w:t xml:space="preserve">Technical Reference Group </w:t>
            </w:r>
            <w:r>
              <w:rPr>
                <w:b w:val="0"/>
                <w:sz w:val="22"/>
                <w:lang w:eastAsia="en-AU"/>
              </w:rPr>
              <w:t>(TRG)</w:t>
            </w:r>
          </w:p>
        </w:tc>
        <w:tc>
          <w:tcPr>
            <w:tcW w:w="3209" w:type="dxa"/>
          </w:tcPr>
          <w:p w:rsidR="00557FD2" w:rsidRPr="00E476FD" w:rsidRDefault="00557FD2" w:rsidP="009E0A38">
            <w:pPr>
              <w:spacing w:before="60" w:after="60"/>
              <w:cnfStyle w:val="000000000000" w:firstRow="0" w:lastRow="0" w:firstColumn="0" w:lastColumn="0" w:oddVBand="0" w:evenVBand="0" w:oddHBand="0" w:evenHBand="0" w:firstRowFirstColumn="0" w:firstRowLastColumn="0" w:lastRowFirstColumn="0" w:lastRowLastColumn="0"/>
              <w:rPr>
                <w:sz w:val="22"/>
                <w:lang w:eastAsia="en-AU"/>
              </w:rPr>
            </w:pPr>
            <w:r>
              <w:rPr>
                <w:sz w:val="22"/>
                <w:lang w:eastAsia="en-AU"/>
              </w:rPr>
              <w:t>Teleconference</w:t>
            </w:r>
          </w:p>
        </w:tc>
      </w:tr>
      <w:tr w:rsidR="00557FD2" w:rsidTr="00AE6A54">
        <w:tc>
          <w:tcPr>
            <w:cnfStyle w:val="001000000000" w:firstRow="0" w:lastRow="0" w:firstColumn="1" w:lastColumn="0" w:oddVBand="0" w:evenVBand="0" w:oddHBand="0" w:evenHBand="0" w:firstRowFirstColumn="0" w:firstRowLastColumn="0" w:lastRowFirstColumn="0" w:lastRowLastColumn="0"/>
            <w:tcW w:w="4820" w:type="dxa"/>
          </w:tcPr>
          <w:p w:rsidR="00980F62" w:rsidRDefault="00557FD2" w:rsidP="009E0A38">
            <w:pPr>
              <w:spacing w:before="60" w:after="60"/>
              <w:rPr>
                <w:b w:val="0"/>
                <w:sz w:val="22"/>
                <w:lang w:eastAsia="en-AU"/>
              </w:rPr>
            </w:pPr>
            <w:r>
              <w:rPr>
                <w:b w:val="0"/>
                <w:sz w:val="22"/>
                <w:lang w:eastAsia="en-AU"/>
              </w:rPr>
              <w:t>Aged &amp; Community Services Australia (</w:t>
            </w:r>
            <w:r w:rsidRPr="00E476FD">
              <w:rPr>
                <w:b w:val="0"/>
                <w:sz w:val="22"/>
                <w:lang w:eastAsia="en-AU"/>
              </w:rPr>
              <w:t>ACSA</w:t>
            </w:r>
            <w:r>
              <w:rPr>
                <w:b w:val="0"/>
                <w:sz w:val="22"/>
                <w:lang w:eastAsia="en-AU"/>
              </w:rPr>
              <w:t>)</w:t>
            </w:r>
          </w:p>
          <w:p w:rsidR="00557FD2" w:rsidRPr="00E476FD" w:rsidRDefault="00557FD2" w:rsidP="009E0A38">
            <w:pPr>
              <w:spacing w:before="60" w:after="60"/>
              <w:rPr>
                <w:b w:val="0"/>
                <w:sz w:val="22"/>
              </w:rPr>
            </w:pPr>
            <w:r>
              <w:rPr>
                <w:b w:val="0"/>
                <w:sz w:val="22"/>
                <w:lang w:eastAsia="en-AU"/>
              </w:rPr>
              <w:t>Executive &amp; Expert Panel</w:t>
            </w:r>
          </w:p>
        </w:tc>
        <w:tc>
          <w:tcPr>
            <w:tcW w:w="3209" w:type="dxa"/>
          </w:tcPr>
          <w:p w:rsidR="00557FD2" w:rsidRPr="00E476FD" w:rsidRDefault="00557FD2" w:rsidP="009E0A38">
            <w:pPr>
              <w:spacing w:before="60" w:after="60"/>
              <w:cnfStyle w:val="000000000000" w:firstRow="0" w:lastRow="0" w:firstColumn="0" w:lastColumn="0" w:oddVBand="0" w:evenVBand="0" w:oddHBand="0" w:evenHBand="0" w:firstRowFirstColumn="0" w:firstRowLastColumn="0" w:lastRowFirstColumn="0" w:lastRowLastColumn="0"/>
              <w:rPr>
                <w:sz w:val="22"/>
                <w:lang w:eastAsia="en-AU"/>
              </w:rPr>
            </w:pPr>
            <w:r>
              <w:rPr>
                <w:sz w:val="22"/>
                <w:lang w:eastAsia="en-AU"/>
              </w:rPr>
              <w:t xml:space="preserve">Teleconference </w:t>
            </w:r>
          </w:p>
        </w:tc>
      </w:tr>
      <w:tr w:rsidR="00557FD2" w:rsidTr="00AE6A54">
        <w:tc>
          <w:tcPr>
            <w:cnfStyle w:val="001000000000" w:firstRow="0" w:lastRow="0" w:firstColumn="1" w:lastColumn="0" w:oddVBand="0" w:evenVBand="0" w:oddHBand="0" w:evenHBand="0" w:firstRowFirstColumn="0" w:firstRowLastColumn="0" w:lastRowFirstColumn="0" w:lastRowLastColumn="0"/>
            <w:tcW w:w="4820" w:type="dxa"/>
          </w:tcPr>
          <w:p w:rsidR="00557FD2" w:rsidRPr="008B2C72" w:rsidRDefault="00557FD2" w:rsidP="009E0A38">
            <w:pPr>
              <w:spacing w:before="60" w:after="60"/>
              <w:rPr>
                <w:b w:val="0"/>
                <w:sz w:val="22"/>
                <w:lang w:eastAsia="en-AU"/>
              </w:rPr>
            </w:pPr>
            <w:r>
              <w:rPr>
                <w:b w:val="0"/>
                <w:sz w:val="22"/>
                <w:lang w:eastAsia="en-AU"/>
              </w:rPr>
              <w:lastRenderedPageBreak/>
              <w:t>Aged Care Guild (ACG)</w:t>
            </w:r>
          </w:p>
        </w:tc>
        <w:tc>
          <w:tcPr>
            <w:tcW w:w="3209" w:type="dxa"/>
          </w:tcPr>
          <w:p w:rsidR="00557FD2" w:rsidRPr="00E476FD" w:rsidRDefault="00557FD2" w:rsidP="009E0A38">
            <w:pPr>
              <w:spacing w:before="60" w:after="60"/>
              <w:cnfStyle w:val="000000000000" w:firstRow="0" w:lastRow="0" w:firstColumn="0" w:lastColumn="0" w:oddVBand="0" w:evenVBand="0" w:oddHBand="0" w:evenHBand="0" w:firstRowFirstColumn="0" w:firstRowLastColumn="0" w:lastRowFirstColumn="0" w:lastRowLastColumn="0"/>
              <w:rPr>
                <w:sz w:val="22"/>
                <w:lang w:eastAsia="en-AU"/>
              </w:rPr>
            </w:pPr>
            <w:r>
              <w:rPr>
                <w:sz w:val="22"/>
                <w:lang w:eastAsia="en-AU"/>
              </w:rPr>
              <w:t xml:space="preserve">Face to face </w:t>
            </w:r>
            <w:r w:rsidR="005E34DD">
              <w:rPr>
                <w:sz w:val="22"/>
                <w:lang w:eastAsia="en-AU"/>
              </w:rPr>
              <w:t>w</w:t>
            </w:r>
            <w:r>
              <w:rPr>
                <w:sz w:val="22"/>
                <w:lang w:eastAsia="en-AU"/>
              </w:rPr>
              <w:t>orkshop</w:t>
            </w:r>
          </w:p>
        </w:tc>
      </w:tr>
      <w:tr w:rsidR="00557FD2" w:rsidTr="00AE6A54">
        <w:tc>
          <w:tcPr>
            <w:cnfStyle w:val="001000000000" w:firstRow="0" w:lastRow="0" w:firstColumn="1" w:lastColumn="0" w:oddVBand="0" w:evenVBand="0" w:oddHBand="0" w:evenHBand="0" w:firstRowFirstColumn="0" w:firstRowLastColumn="0" w:lastRowFirstColumn="0" w:lastRowLastColumn="0"/>
            <w:tcW w:w="4820" w:type="dxa"/>
          </w:tcPr>
          <w:p w:rsidR="00557FD2" w:rsidRPr="009E0A38" w:rsidRDefault="00557FD2" w:rsidP="009E0A38">
            <w:pPr>
              <w:spacing w:before="60" w:after="60"/>
              <w:rPr>
                <w:b w:val="0"/>
                <w:sz w:val="22"/>
                <w:lang w:eastAsia="en-AU"/>
              </w:rPr>
            </w:pPr>
            <w:r w:rsidRPr="009E0A38">
              <w:rPr>
                <w:b w:val="0"/>
                <w:sz w:val="22"/>
                <w:lang w:eastAsia="en-AU"/>
              </w:rPr>
              <w:t>Australian Continence Foundation (ACF)</w:t>
            </w:r>
          </w:p>
        </w:tc>
        <w:tc>
          <w:tcPr>
            <w:tcW w:w="3209" w:type="dxa"/>
          </w:tcPr>
          <w:p w:rsidR="00557FD2" w:rsidRDefault="00557FD2" w:rsidP="009E0A38">
            <w:pPr>
              <w:spacing w:before="60" w:after="60"/>
              <w:cnfStyle w:val="000000000000" w:firstRow="0" w:lastRow="0" w:firstColumn="0" w:lastColumn="0" w:oddVBand="0" w:evenVBand="0" w:oddHBand="0" w:evenHBand="0" w:firstRowFirstColumn="0" w:firstRowLastColumn="0" w:lastRowFirstColumn="0" w:lastRowLastColumn="0"/>
              <w:rPr>
                <w:sz w:val="22"/>
                <w:lang w:eastAsia="en-AU"/>
              </w:rPr>
            </w:pPr>
            <w:r w:rsidRPr="00E476FD">
              <w:rPr>
                <w:sz w:val="22"/>
                <w:lang w:eastAsia="en-AU"/>
              </w:rPr>
              <w:t>Teleconference</w:t>
            </w:r>
          </w:p>
        </w:tc>
      </w:tr>
      <w:tr w:rsidR="00557FD2" w:rsidTr="00AE6A54">
        <w:tc>
          <w:tcPr>
            <w:cnfStyle w:val="001000000000" w:firstRow="0" w:lastRow="0" w:firstColumn="1" w:lastColumn="0" w:oddVBand="0" w:evenVBand="0" w:oddHBand="0" w:evenHBand="0" w:firstRowFirstColumn="0" w:firstRowLastColumn="0" w:lastRowFirstColumn="0" w:lastRowLastColumn="0"/>
            <w:tcW w:w="4820" w:type="dxa"/>
          </w:tcPr>
          <w:p w:rsidR="00557FD2" w:rsidRPr="00E476FD" w:rsidRDefault="00557FD2" w:rsidP="009E0A38">
            <w:pPr>
              <w:spacing w:before="60" w:after="60"/>
              <w:rPr>
                <w:b w:val="0"/>
                <w:sz w:val="22"/>
                <w:lang w:eastAsia="en-AU"/>
              </w:rPr>
            </w:pPr>
            <w:r>
              <w:rPr>
                <w:b w:val="0"/>
                <w:sz w:val="22"/>
                <w:lang w:eastAsia="en-AU"/>
              </w:rPr>
              <w:t>Australian G</w:t>
            </w:r>
            <w:r w:rsidRPr="00E476FD">
              <w:rPr>
                <w:b w:val="0"/>
                <w:sz w:val="22"/>
                <w:lang w:eastAsia="en-AU"/>
              </w:rPr>
              <w:t xml:space="preserve">overnment Review Officers </w:t>
            </w:r>
          </w:p>
        </w:tc>
        <w:tc>
          <w:tcPr>
            <w:tcW w:w="3209" w:type="dxa"/>
          </w:tcPr>
          <w:p w:rsidR="00557FD2" w:rsidRPr="00E476FD" w:rsidRDefault="00557FD2" w:rsidP="009E0A38">
            <w:pPr>
              <w:spacing w:before="60" w:after="60"/>
              <w:cnfStyle w:val="000000000000" w:firstRow="0" w:lastRow="0" w:firstColumn="0" w:lastColumn="0" w:oddVBand="0" w:evenVBand="0" w:oddHBand="0" w:evenHBand="0" w:firstRowFirstColumn="0" w:firstRowLastColumn="0" w:lastRowFirstColumn="0" w:lastRowLastColumn="0"/>
              <w:rPr>
                <w:sz w:val="22"/>
                <w:lang w:eastAsia="en-AU"/>
              </w:rPr>
            </w:pPr>
            <w:r>
              <w:rPr>
                <w:sz w:val="22"/>
                <w:lang w:eastAsia="en-AU"/>
              </w:rPr>
              <w:t xml:space="preserve">Videoconference </w:t>
            </w:r>
          </w:p>
        </w:tc>
      </w:tr>
      <w:tr w:rsidR="00557FD2" w:rsidTr="00AE6A54">
        <w:tc>
          <w:tcPr>
            <w:cnfStyle w:val="001000000000" w:firstRow="0" w:lastRow="0" w:firstColumn="1" w:lastColumn="0" w:oddVBand="0" w:evenVBand="0" w:oddHBand="0" w:evenHBand="0" w:firstRowFirstColumn="0" w:firstRowLastColumn="0" w:lastRowFirstColumn="0" w:lastRowLastColumn="0"/>
            <w:tcW w:w="4820" w:type="dxa"/>
          </w:tcPr>
          <w:p w:rsidR="00557FD2" w:rsidRDefault="00557FD2" w:rsidP="009E0A38">
            <w:pPr>
              <w:spacing w:before="60" w:after="60"/>
              <w:rPr>
                <w:sz w:val="22"/>
                <w:lang w:eastAsia="en-AU"/>
              </w:rPr>
            </w:pPr>
            <w:r>
              <w:rPr>
                <w:b w:val="0"/>
                <w:sz w:val="22"/>
                <w:lang w:eastAsia="en-AU"/>
              </w:rPr>
              <w:t>Australian Physiotherapy Association</w:t>
            </w:r>
          </w:p>
        </w:tc>
        <w:tc>
          <w:tcPr>
            <w:tcW w:w="3209" w:type="dxa"/>
          </w:tcPr>
          <w:p w:rsidR="00557FD2" w:rsidRPr="00E476FD" w:rsidRDefault="00557FD2" w:rsidP="009E0A38">
            <w:pPr>
              <w:spacing w:before="60" w:after="60"/>
              <w:cnfStyle w:val="000000000000" w:firstRow="0" w:lastRow="0" w:firstColumn="0" w:lastColumn="0" w:oddVBand="0" w:evenVBand="0" w:oddHBand="0" w:evenHBand="0" w:firstRowFirstColumn="0" w:firstRowLastColumn="0" w:lastRowFirstColumn="0" w:lastRowLastColumn="0"/>
              <w:rPr>
                <w:sz w:val="22"/>
                <w:lang w:eastAsia="en-AU"/>
              </w:rPr>
            </w:pPr>
            <w:r w:rsidRPr="00E476FD">
              <w:rPr>
                <w:sz w:val="22"/>
                <w:lang w:eastAsia="en-AU"/>
              </w:rPr>
              <w:t>Teleconference</w:t>
            </w:r>
            <w:r w:rsidR="007A576E">
              <w:rPr>
                <w:sz w:val="22"/>
                <w:lang w:eastAsia="en-AU"/>
              </w:rPr>
              <w:t xml:space="preserve"> </w:t>
            </w:r>
          </w:p>
        </w:tc>
      </w:tr>
      <w:tr w:rsidR="00557FD2" w:rsidTr="00AE6A54">
        <w:tc>
          <w:tcPr>
            <w:cnfStyle w:val="001000000000" w:firstRow="0" w:lastRow="0" w:firstColumn="1" w:lastColumn="0" w:oddVBand="0" w:evenVBand="0" w:oddHBand="0" w:evenHBand="0" w:firstRowFirstColumn="0" w:firstRowLastColumn="0" w:lastRowFirstColumn="0" w:lastRowLastColumn="0"/>
            <w:tcW w:w="4820" w:type="dxa"/>
          </w:tcPr>
          <w:p w:rsidR="00557FD2" w:rsidRDefault="00557FD2" w:rsidP="009E0A38">
            <w:pPr>
              <w:spacing w:before="60" w:after="60"/>
              <w:rPr>
                <w:sz w:val="22"/>
                <w:lang w:eastAsia="en-AU"/>
              </w:rPr>
            </w:pPr>
            <w:r w:rsidRPr="009B0518">
              <w:rPr>
                <w:b w:val="0"/>
                <w:lang w:eastAsia="en-AU"/>
              </w:rPr>
              <w:t xml:space="preserve">Catholic </w:t>
            </w:r>
            <w:r>
              <w:rPr>
                <w:b w:val="0"/>
                <w:lang w:eastAsia="en-AU"/>
              </w:rPr>
              <w:t>H</w:t>
            </w:r>
            <w:r w:rsidRPr="009B0518">
              <w:rPr>
                <w:b w:val="0"/>
                <w:lang w:eastAsia="en-AU"/>
              </w:rPr>
              <w:t>ealth Australia (CHA)</w:t>
            </w:r>
          </w:p>
        </w:tc>
        <w:tc>
          <w:tcPr>
            <w:tcW w:w="3209" w:type="dxa"/>
          </w:tcPr>
          <w:p w:rsidR="00557FD2" w:rsidRPr="00E476FD" w:rsidRDefault="00557FD2" w:rsidP="009E0A38">
            <w:pPr>
              <w:spacing w:before="60" w:after="60"/>
              <w:cnfStyle w:val="000000000000" w:firstRow="0" w:lastRow="0" w:firstColumn="0" w:lastColumn="0" w:oddVBand="0" w:evenVBand="0" w:oddHBand="0" w:evenHBand="0" w:firstRowFirstColumn="0" w:firstRowLastColumn="0" w:lastRowFirstColumn="0" w:lastRowLastColumn="0"/>
              <w:rPr>
                <w:sz w:val="22"/>
                <w:lang w:eastAsia="en-AU"/>
              </w:rPr>
            </w:pPr>
            <w:r w:rsidRPr="00E476FD">
              <w:rPr>
                <w:sz w:val="22"/>
                <w:lang w:eastAsia="en-AU"/>
              </w:rPr>
              <w:t>Teleconference</w:t>
            </w:r>
            <w:r w:rsidR="007A576E">
              <w:rPr>
                <w:sz w:val="22"/>
                <w:lang w:eastAsia="en-AU"/>
              </w:rPr>
              <w:t xml:space="preserve"> </w:t>
            </w:r>
          </w:p>
        </w:tc>
      </w:tr>
      <w:tr w:rsidR="00557FD2" w:rsidTr="00AE6A54">
        <w:tc>
          <w:tcPr>
            <w:cnfStyle w:val="001000000000" w:firstRow="0" w:lastRow="0" w:firstColumn="1" w:lastColumn="0" w:oddVBand="0" w:evenVBand="0" w:oddHBand="0" w:evenHBand="0" w:firstRowFirstColumn="0" w:firstRowLastColumn="0" w:lastRowFirstColumn="0" w:lastRowLastColumn="0"/>
            <w:tcW w:w="4820" w:type="dxa"/>
          </w:tcPr>
          <w:p w:rsidR="00557FD2" w:rsidRPr="00E476FD" w:rsidRDefault="00557FD2" w:rsidP="009E0A38">
            <w:pPr>
              <w:spacing w:before="60" w:after="60"/>
              <w:rPr>
                <w:b w:val="0"/>
                <w:sz w:val="22"/>
                <w:lang w:eastAsia="en-AU"/>
              </w:rPr>
            </w:pPr>
            <w:r>
              <w:rPr>
                <w:b w:val="0"/>
                <w:sz w:val="22"/>
                <w:lang w:eastAsia="en-AU"/>
              </w:rPr>
              <w:t>Council on the Ageing (COTA) - Ian Yates</w:t>
            </w:r>
          </w:p>
        </w:tc>
        <w:tc>
          <w:tcPr>
            <w:tcW w:w="3209" w:type="dxa"/>
          </w:tcPr>
          <w:p w:rsidR="00557FD2" w:rsidRPr="00E476FD" w:rsidRDefault="00557FD2" w:rsidP="009E0A38">
            <w:pPr>
              <w:spacing w:before="60" w:after="60"/>
              <w:cnfStyle w:val="000000000000" w:firstRow="0" w:lastRow="0" w:firstColumn="0" w:lastColumn="0" w:oddVBand="0" w:evenVBand="0" w:oddHBand="0" w:evenHBand="0" w:firstRowFirstColumn="0" w:firstRowLastColumn="0" w:lastRowFirstColumn="0" w:lastRowLastColumn="0"/>
              <w:rPr>
                <w:sz w:val="22"/>
                <w:lang w:eastAsia="en-AU"/>
              </w:rPr>
            </w:pPr>
            <w:r w:rsidRPr="00E476FD">
              <w:rPr>
                <w:sz w:val="22"/>
                <w:lang w:eastAsia="en-AU"/>
              </w:rPr>
              <w:t>Teleconference</w:t>
            </w:r>
            <w:r w:rsidR="007A576E">
              <w:rPr>
                <w:sz w:val="22"/>
                <w:lang w:eastAsia="en-AU"/>
              </w:rPr>
              <w:t xml:space="preserve"> </w:t>
            </w:r>
          </w:p>
        </w:tc>
      </w:tr>
      <w:tr w:rsidR="00557FD2" w:rsidTr="00AE6A54">
        <w:tc>
          <w:tcPr>
            <w:cnfStyle w:val="001000000000" w:firstRow="0" w:lastRow="0" w:firstColumn="1" w:lastColumn="0" w:oddVBand="0" w:evenVBand="0" w:oddHBand="0" w:evenHBand="0" w:firstRowFirstColumn="0" w:firstRowLastColumn="0" w:lastRowFirstColumn="0" w:lastRowLastColumn="0"/>
            <w:tcW w:w="4820" w:type="dxa"/>
          </w:tcPr>
          <w:p w:rsidR="00557FD2" w:rsidRPr="00E476FD" w:rsidRDefault="00557FD2" w:rsidP="009E0A38">
            <w:pPr>
              <w:spacing w:before="60" w:after="60"/>
              <w:rPr>
                <w:b w:val="0"/>
                <w:sz w:val="22"/>
              </w:rPr>
            </w:pPr>
            <w:r w:rsidRPr="00E476FD">
              <w:rPr>
                <w:b w:val="0"/>
                <w:sz w:val="22"/>
                <w:lang w:eastAsia="en-AU"/>
              </w:rPr>
              <w:t>Exercise Physiologist</w:t>
            </w:r>
            <w:r>
              <w:rPr>
                <w:b w:val="0"/>
                <w:sz w:val="22"/>
                <w:lang w:eastAsia="en-AU"/>
              </w:rPr>
              <w:t>s (ESSA)</w:t>
            </w:r>
          </w:p>
        </w:tc>
        <w:tc>
          <w:tcPr>
            <w:tcW w:w="3209" w:type="dxa"/>
          </w:tcPr>
          <w:p w:rsidR="00557FD2" w:rsidRPr="00E476FD" w:rsidRDefault="00557FD2" w:rsidP="009E0A38">
            <w:pPr>
              <w:spacing w:before="60" w:after="60"/>
              <w:cnfStyle w:val="000000000000" w:firstRow="0" w:lastRow="0" w:firstColumn="0" w:lastColumn="0" w:oddVBand="0" w:evenVBand="0" w:oddHBand="0" w:evenHBand="0" w:firstRowFirstColumn="0" w:firstRowLastColumn="0" w:lastRowFirstColumn="0" w:lastRowLastColumn="0"/>
              <w:rPr>
                <w:sz w:val="22"/>
                <w:lang w:eastAsia="en-AU"/>
              </w:rPr>
            </w:pPr>
            <w:r w:rsidRPr="00E476FD">
              <w:rPr>
                <w:sz w:val="22"/>
                <w:lang w:eastAsia="en-AU"/>
              </w:rPr>
              <w:t>Teleconference</w:t>
            </w:r>
            <w:r w:rsidR="007A576E">
              <w:rPr>
                <w:sz w:val="22"/>
                <w:lang w:eastAsia="en-AU"/>
              </w:rPr>
              <w:t xml:space="preserve"> </w:t>
            </w:r>
          </w:p>
        </w:tc>
      </w:tr>
      <w:tr w:rsidR="00557FD2" w:rsidTr="00AE6A54">
        <w:tc>
          <w:tcPr>
            <w:cnfStyle w:val="001000000000" w:firstRow="0" w:lastRow="0" w:firstColumn="1" w:lastColumn="0" w:oddVBand="0" w:evenVBand="0" w:oddHBand="0" w:evenHBand="0" w:firstRowFirstColumn="0" w:firstRowLastColumn="0" w:lastRowFirstColumn="0" w:lastRowLastColumn="0"/>
            <w:tcW w:w="4820" w:type="dxa"/>
          </w:tcPr>
          <w:p w:rsidR="00557FD2" w:rsidRDefault="00557FD2" w:rsidP="009E0A38">
            <w:pPr>
              <w:spacing w:before="60" w:after="60"/>
              <w:rPr>
                <w:b w:val="0"/>
                <w:sz w:val="22"/>
                <w:lang w:eastAsia="en-AU"/>
              </w:rPr>
            </w:pPr>
            <w:r>
              <w:rPr>
                <w:b w:val="0"/>
                <w:sz w:val="22"/>
                <w:lang w:eastAsia="en-AU"/>
              </w:rPr>
              <w:t>Leading Age Services Australia (</w:t>
            </w:r>
            <w:r w:rsidRPr="00E476FD">
              <w:rPr>
                <w:b w:val="0"/>
                <w:sz w:val="22"/>
                <w:lang w:eastAsia="en-AU"/>
              </w:rPr>
              <w:t>LASA</w:t>
            </w:r>
            <w:r>
              <w:rPr>
                <w:b w:val="0"/>
                <w:sz w:val="22"/>
                <w:lang w:eastAsia="en-AU"/>
              </w:rPr>
              <w:t>)</w:t>
            </w:r>
          </w:p>
          <w:p w:rsidR="00557FD2" w:rsidRPr="00E476FD" w:rsidRDefault="00557FD2" w:rsidP="009E0A38">
            <w:pPr>
              <w:spacing w:before="60" w:after="60"/>
              <w:rPr>
                <w:b w:val="0"/>
                <w:sz w:val="22"/>
              </w:rPr>
            </w:pPr>
            <w:r>
              <w:rPr>
                <w:b w:val="0"/>
                <w:sz w:val="22"/>
                <w:lang w:eastAsia="en-AU"/>
              </w:rPr>
              <w:t>Executive &amp; Expert Panel</w:t>
            </w:r>
          </w:p>
        </w:tc>
        <w:tc>
          <w:tcPr>
            <w:tcW w:w="3209" w:type="dxa"/>
          </w:tcPr>
          <w:p w:rsidR="00557FD2" w:rsidRDefault="00557FD2" w:rsidP="009E0A38">
            <w:pPr>
              <w:spacing w:before="60" w:after="60"/>
              <w:cnfStyle w:val="000000000000" w:firstRow="0" w:lastRow="0" w:firstColumn="0" w:lastColumn="0" w:oddVBand="0" w:evenVBand="0" w:oddHBand="0" w:evenHBand="0" w:firstRowFirstColumn="0" w:firstRowLastColumn="0" w:lastRowFirstColumn="0" w:lastRowLastColumn="0"/>
              <w:rPr>
                <w:sz w:val="22"/>
                <w:lang w:eastAsia="en-AU"/>
              </w:rPr>
            </w:pPr>
            <w:r>
              <w:rPr>
                <w:sz w:val="22"/>
                <w:lang w:eastAsia="en-AU"/>
              </w:rPr>
              <w:t>Teleconference</w:t>
            </w:r>
          </w:p>
          <w:p w:rsidR="00557FD2" w:rsidRPr="00E476FD" w:rsidRDefault="00557FD2" w:rsidP="009E0A38">
            <w:pPr>
              <w:spacing w:before="60" w:after="60"/>
              <w:cnfStyle w:val="000000000000" w:firstRow="0" w:lastRow="0" w:firstColumn="0" w:lastColumn="0" w:oddVBand="0" w:evenVBand="0" w:oddHBand="0" w:evenHBand="0" w:firstRowFirstColumn="0" w:firstRowLastColumn="0" w:lastRowFirstColumn="0" w:lastRowLastColumn="0"/>
              <w:rPr>
                <w:sz w:val="22"/>
                <w:lang w:eastAsia="en-AU"/>
              </w:rPr>
            </w:pPr>
            <w:r>
              <w:rPr>
                <w:sz w:val="22"/>
                <w:lang w:eastAsia="en-AU"/>
              </w:rPr>
              <w:t>Conference workshop</w:t>
            </w:r>
          </w:p>
        </w:tc>
      </w:tr>
      <w:tr w:rsidR="00557FD2" w:rsidTr="00AE6A54">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rsidR="00557FD2" w:rsidRPr="004A1EFD" w:rsidRDefault="00557FD2" w:rsidP="009E0A38">
            <w:pPr>
              <w:spacing w:before="60" w:after="60"/>
              <w:rPr>
                <w:b w:val="0"/>
                <w:sz w:val="22"/>
                <w:lang w:eastAsia="en-AU"/>
              </w:rPr>
            </w:pPr>
            <w:r w:rsidRPr="009B0518">
              <w:rPr>
                <w:b w:val="0"/>
                <w:lang w:eastAsia="en-AU"/>
              </w:rPr>
              <w:t xml:space="preserve">Victorian Aged Care </w:t>
            </w:r>
            <w:r>
              <w:rPr>
                <w:b w:val="0"/>
                <w:lang w:eastAsia="en-AU"/>
              </w:rPr>
              <w:t xml:space="preserve">Assessment </w:t>
            </w:r>
            <w:r w:rsidRPr="009B0518">
              <w:rPr>
                <w:b w:val="0"/>
                <w:lang w:eastAsia="en-AU"/>
              </w:rPr>
              <w:t>Team</w:t>
            </w:r>
          </w:p>
        </w:tc>
        <w:tc>
          <w:tcPr>
            <w:tcW w:w="3209" w:type="dxa"/>
            <w:shd w:val="clear" w:color="auto" w:fill="auto"/>
          </w:tcPr>
          <w:p w:rsidR="00557FD2" w:rsidRDefault="00557FD2" w:rsidP="009E0A38">
            <w:pPr>
              <w:spacing w:before="60" w:after="60"/>
              <w:cnfStyle w:val="000000000000" w:firstRow="0" w:lastRow="0" w:firstColumn="0" w:lastColumn="0" w:oddVBand="0" w:evenVBand="0" w:oddHBand="0" w:evenHBand="0" w:firstRowFirstColumn="0" w:firstRowLastColumn="0" w:lastRowFirstColumn="0" w:lastRowLastColumn="0"/>
              <w:rPr>
                <w:sz w:val="22"/>
                <w:lang w:eastAsia="en-AU"/>
              </w:rPr>
            </w:pPr>
            <w:r>
              <w:rPr>
                <w:sz w:val="22"/>
                <w:lang w:eastAsia="en-AU"/>
              </w:rPr>
              <w:t xml:space="preserve">Interview </w:t>
            </w:r>
          </w:p>
        </w:tc>
      </w:tr>
    </w:tbl>
    <w:p w:rsidR="00580F47" w:rsidRDefault="00580F47" w:rsidP="00580F47">
      <w:pPr>
        <w:pStyle w:val="Caption"/>
        <w:keepNext/>
      </w:pPr>
      <w:bookmarkStart w:id="108" w:name="_Toc495474367"/>
      <w:bookmarkStart w:id="109" w:name="_Toc486599974"/>
      <w:bookmarkStart w:id="110" w:name="_Toc486603017"/>
      <w:r>
        <w:t>Table 2.3</w:t>
      </w:r>
      <w:r w:rsidR="009A3F5A">
        <w:fldChar w:fldCharType="begin"/>
      </w:r>
      <w:r w:rsidR="009A3F5A">
        <w:instrText xml:space="preserve"> SEQ Table_2.3 \* alphabetic </w:instrText>
      </w:r>
      <w:r w:rsidR="009A3F5A">
        <w:fldChar w:fldCharType="separate"/>
      </w:r>
      <w:r w:rsidR="00856E49">
        <w:rPr>
          <w:noProof/>
        </w:rPr>
        <w:t>a</w:t>
      </w:r>
      <w:r w:rsidR="009A3F5A">
        <w:rPr>
          <w:noProof/>
        </w:rPr>
        <w:fldChar w:fldCharType="end"/>
      </w:r>
      <w:r>
        <w:t xml:space="preserve">: </w:t>
      </w:r>
      <w:r w:rsidRPr="00580F47">
        <w:t>Consultations with Stakeholders – International Systems</w:t>
      </w:r>
      <w:bookmarkEnd w:id="108"/>
    </w:p>
    <w:tbl>
      <w:tblPr>
        <w:tblStyle w:val="GridTable4-Accent51"/>
        <w:tblW w:w="8029"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6A0" w:firstRow="1" w:lastRow="0" w:firstColumn="1" w:lastColumn="0" w:noHBand="1" w:noVBand="1"/>
        <w:tblDescription w:val="Table 2.3a is a list of the communication methods undertaken for consultation with International stakeholders for the aged care funding instrument (ACFI) review. This table is to be read left to right, top to bottom."/>
      </w:tblPr>
      <w:tblGrid>
        <w:gridCol w:w="4820"/>
        <w:gridCol w:w="3209"/>
      </w:tblGrid>
      <w:tr w:rsidR="003E2FE0" w:rsidRPr="003E2FE0" w:rsidTr="003E2F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Pr>
          <w:p w:rsidR="003E2FE0" w:rsidRPr="003E2FE0" w:rsidRDefault="003E2FE0" w:rsidP="009D4EE0">
            <w:pPr>
              <w:spacing w:after="0"/>
              <w:rPr>
                <w:sz w:val="22"/>
                <w:lang w:eastAsia="en-AU"/>
              </w:rPr>
            </w:pPr>
            <w:r w:rsidRPr="003E2FE0">
              <w:rPr>
                <w:sz w:val="22"/>
                <w:lang w:eastAsia="en-AU"/>
              </w:rPr>
              <w:t xml:space="preserve">Stakeholders </w:t>
            </w:r>
            <w:r>
              <w:rPr>
                <w:sz w:val="22"/>
                <w:lang w:eastAsia="en-AU"/>
              </w:rPr>
              <w:t>consulted with</w:t>
            </w:r>
          </w:p>
        </w:tc>
        <w:tc>
          <w:tcPr>
            <w:tcW w:w="3209" w:type="dxa"/>
          </w:tcPr>
          <w:p w:rsidR="003E2FE0" w:rsidRPr="003E2FE0" w:rsidRDefault="003E2FE0" w:rsidP="009D4EE0">
            <w:pPr>
              <w:spacing w:after="0"/>
              <w:cnfStyle w:val="100000000000" w:firstRow="1" w:lastRow="0" w:firstColumn="0" w:lastColumn="0" w:oddVBand="0" w:evenVBand="0" w:oddHBand="0" w:evenHBand="0" w:firstRowFirstColumn="0" w:firstRowLastColumn="0" w:lastRowFirstColumn="0" w:lastRowLastColumn="0"/>
              <w:rPr>
                <w:sz w:val="22"/>
                <w:lang w:eastAsia="en-AU"/>
              </w:rPr>
            </w:pPr>
            <w:r w:rsidRPr="003E2FE0">
              <w:rPr>
                <w:sz w:val="22"/>
                <w:lang w:eastAsia="en-AU"/>
              </w:rPr>
              <w:t>Method</w:t>
            </w:r>
          </w:p>
        </w:tc>
      </w:tr>
      <w:tr w:rsidR="003E2FE0" w:rsidTr="009D4EE0">
        <w:tc>
          <w:tcPr>
            <w:cnfStyle w:val="001000000000" w:firstRow="0" w:lastRow="0" w:firstColumn="1" w:lastColumn="0" w:oddVBand="0" w:evenVBand="0" w:oddHBand="0" w:evenHBand="0" w:firstRowFirstColumn="0" w:firstRowLastColumn="0" w:lastRowFirstColumn="0" w:lastRowLastColumn="0"/>
            <w:tcW w:w="4820" w:type="dxa"/>
          </w:tcPr>
          <w:p w:rsidR="003E2FE0" w:rsidRPr="00BF51AC" w:rsidRDefault="003E2FE0" w:rsidP="009D4EE0">
            <w:pPr>
              <w:spacing w:before="60" w:after="60"/>
              <w:rPr>
                <w:rFonts w:cstheme="minorHAnsi"/>
                <w:b w:val="0"/>
                <w:sz w:val="22"/>
              </w:rPr>
            </w:pPr>
            <w:r>
              <w:rPr>
                <w:b w:val="0"/>
                <w:sz w:val="22"/>
              </w:rPr>
              <w:t>Canadian system</w:t>
            </w:r>
          </w:p>
        </w:tc>
        <w:tc>
          <w:tcPr>
            <w:tcW w:w="3209" w:type="dxa"/>
          </w:tcPr>
          <w:p w:rsidR="003E2FE0" w:rsidRPr="00E476FD" w:rsidRDefault="003E2FE0" w:rsidP="009D4EE0">
            <w:pPr>
              <w:spacing w:before="60" w:after="60"/>
              <w:cnfStyle w:val="000000000000" w:firstRow="0" w:lastRow="0" w:firstColumn="0" w:lastColumn="0" w:oddVBand="0" w:evenVBand="0" w:oddHBand="0" w:evenHBand="0" w:firstRowFirstColumn="0" w:firstRowLastColumn="0" w:lastRowFirstColumn="0" w:lastRowLastColumn="0"/>
              <w:rPr>
                <w:sz w:val="22"/>
                <w:lang w:eastAsia="en-AU"/>
              </w:rPr>
            </w:pPr>
            <w:r w:rsidRPr="00E476FD">
              <w:rPr>
                <w:sz w:val="22"/>
                <w:lang w:eastAsia="en-AU"/>
              </w:rPr>
              <w:t>Teleconference</w:t>
            </w:r>
            <w:r>
              <w:rPr>
                <w:sz w:val="22"/>
                <w:lang w:eastAsia="en-AU"/>
              </w:rPr>
              <w:t xml:space="preserve"> </w:t>
            </w:r>
          </w:p>
        </w:tc>
      </w:tr>
      <w:tr w:rsidR="003E2FE0" w:rsidTr="009D4EE0">
        <w:tc>
          <w:tcPr>
            <w:cnfStyle w:val="001000000000" w:firstRow="0" w:lastRow="0" w:firstColumn="1" w:lastColumn="0" w:oddVBand="0" w:evenVBand="0" w:oddHBand="0" w:evenHBand="0" w:firstRowFirstColumn="0" w:firstRowLastColumn="0" w:lastRowFirstColumn="0" w:lastRowLastColumn="0"/>
            <w:tcW w:w="4820" w:type="dxa"/>
          </w:tcPr>
          <w:p w:rsidR="003E2FE0" w:rsidRPr="001F582C" w:rsidRDefault="003E2FE0" w:rsidP="009D4EE0">
            <w:pPr>
              <w:spacing w:before="60" w:after="60"/>
              <w:rPr>
                <w:b w:val="0"/>
                <w:sz w:val="22"/>
                <w:lang w:eastAsia="en-AU"/>
              </w:rPr>
            </w:pPr>
            <w:r>
              <w:rPr>
                <w:b w:val="0"/>
                <w:sz w:val="22"/>
                <w:lang w:eastAsia="en-AU"/>
              </w:rPr>
              <w:t>NZ System</w:t>
            </w:r>
          </w:p>
        </w:tc>
        <w:tc>
          <w:tcPr>
            <w:tcW w:w="3209" w:type="dxa"/>
          </w:tcPr>
          <w:p w:rsidR="003E2FE0" w:rsidRPr="00E476FD" w:rsidRDefault="003E2FE0" w:rsidP="009D4EE0">
            <w:pPr>
              <w:spacing w:before="60" w:after="60"/>
              <w:cnfStyle w:val="000000000000" w:firstRow="0" w:lastRow="0" w:firstColumn="0" w:lastColumn="0" w:oddVBand="0" w:evenVBand="0" w:oddHBand="0" w:evenHBand="0" w:firstRowFirstColumn="0" w:firstRowLastColumn="0" w:lastRowFirstColumn="0" w:lastRowLastColumn="0"/>
              <w:rPr>
                <w:sz w:val="22"/>
                <w:lang w:eastAsia="en-AU"/>
              </w:rPr>
            </w:pPr>
            <w:r>
              <w:rPr>
                <w:sz w:val="22"/>
                <w:lang w:eastAsia="en-AU"/>
              </w:rPr>
              <w:t>Meetings and teleconferences</w:t>
            </w:r>
          </w:p>
        </w:tc>
      </w:tr>
      <w:tr w:rsidR="003E2FE0" w:rsidTr="009D4EE0">
        <w:tc>
          <w:tcPr>
            <w:cnfStyle w:val="001000000000" w:firstRow="0" w:lastRow="0" w:firstColumn="1" w:lastColumn="0" w:oddVBand="0" w:evenVBand="0" w:oddHBand="0" w:evenHBand="0" w:firstRowFirstColumn="0" w:firstRowLastColumn="0" w:lastRowFirstColumn="0" w:lastRowLastColumn="0"/>
            <w:tcW w:w="4820" w:type="dxa"/>
          </w:tcPr>
          <w:p w:rsidR="003E2FE0" w:rsidRPr="00E476FD" w:rsidRDefault="003E2FE0" w:rsidP="009D4EE0">
            <w:pPr>
              <w:spacing w:before="60" w:after="60"/>
              <w:rPr>
                <w:b w:val="0"/>
                <w:sz w:val="22"/>
              </w:rPr>
            </w:pPr>
            <w:r>
              <w:rPr>
                <w:b w:val="0"/>
                <w:sz w:val="22"/>
                <w:lang w:eastAsia="en-AU"/>
              </w:rPr>
              <w:t>UK system</w:t>
            </w:r>
          </w:p>
        </w:tc>
        <w:tc>
          <w:tcPr>
            <w:tcW w:w="3209" w:type="dxa"/>
          </w:tcPr>
          <w:p w:rsidR="003E2FE0" w:rsidRPr="00E476FD" w:rsidRDefault="003E2FE0" w:rsidP="009D4EE0">
            <w:pPr>
              <w:spacing w:before="60" w:after="60"/>
              <w:cnfStyle w:val="000000000000" w:firstRow="0" w:lastRow="0" w:firstColumn="0" w:lastColumn="0" w:oddVBand="0" w:evenVBand="0" w:oddHBand="0" w:evenHBand="0" w:firstRowFirstColumn="0" w:firstRowLastColumn="0" w:lastRowFirstColumn="0" w:lastRowLastColumn="0"/>
              <w:rPr>
                <w:sz w:val="22"/>
                <w:lang w:eastAsia="en-AU"/>
              </w:rPr>
            </w:pPr>
            <w:r>
              <w:rPr>
                <w:sz w:val="22"/>
                <w:lang w:eastAsia="en-AU"/>
              </w:rPr>
              <w:t>Teleconference</w:t>
            </w:r>
          </w:p>
        </w:tc>
      </w:tr>
      <w:tr w:rsidR="003E2FE0" w:rsidTr="009D4EE0">
        <w:tc>
          <w:tcPr>
            <w:cnfStyle w:val="001000000000" w:firstRow="0" w:lastRow="0" w:firstColumn="1" w:lastColumn="0" w:oddVBand="0" w:evenVBand="0" w:oddHBand="0" w:evenHBand="0" w:firstRowFirstColumn="0" w:firstRowLastColumn="0" w:lastRowFirstColumn="0" w:lastRowLastColumn="0"/>
            <w:tcW w:w="4820" w:type="dxa"/>
          </w:tcPr>
          <w:p w:rsidR="003E2FE0" w:rsidRPr="00E476FD" w:rsidRDefault="003E2FE0" w:rsidP="009D4EE0">
            <w:pPr>
              <w:spacing w:before="60" w:after="60"/>
              <w:rPr>
                <w:b w:val="0"/>
                <w:sz w:val="22"/>
                <w:lang w:eastAsia="en-AU"/>
              </w:rPr>
            </w:pPr>
            <w:r>
              <w:rPr>
                <w:b w:val="0"/>
                <w:sz w:val="22"/>
                <w:lang w:eastAsia="en-AU"/>
              </w:rPr>
              <w:t>USA system</w:t>
            </w:r>
          </w:p>
        </w:tc>
        <w:tc>
          <w:tcPr>
            <w:tcW w:w="3209" w:type="dxa"/>
          </w:tcPr>
          <w:p w:rsidR="003E2FE0" w:rsidRPr="00E476FD" w:rsidRDefault="003E2FE0" w:rsidP="009D4EE0">
            <w:pPr>
              <w:spacing w:before="60" w:after="60"/>
              <w:cnfStyle w:val="000000000000" w:firstRow="0" w:lastRow="0" w:firstColumn="0" w:lastColumn="0" w:oddVBand="0" w:evenVBand="0" w:oddHBand="0" w:evenHBand="0" w:firstRowFirstColumn="0" w:firstRowLastColumn="0" w:lastRowFirstColumn="0" w:lastRowLastColumn="0"/>
              <w:rPr>
                <w:sz w:val="22"/>
                <w:lang w:eastAsia="en-AU"/>
              </w:rPr>
            </w:pPr>
            <w:r w:rsidRPr="00E476FD">
              <w:rPr>
                <w:sz w:val="22"/>
                <w:lang w:eastAsia="en-AU"/>
              </w:rPr>
              <w:t>Teleconference</w:t>
            </w:r>
            <w:r>
              <w:rPr>
                <w:sz w:val="22"/>
                <w:lang w:eastAsia="en-AU"/>
              </w:rPr>
              <w:t xml:space="preserve"> </w:t>
            </w:r>
          </w:p>
        </w:tc>
      </w:tr>
    </w:tbl>
    <w:p w:rsidR="00557FD2" w:rsidRDefault="00087AAD" w:rsidP="007E0DCA">
      <w:pPr>
        <w:pStyle w:val="Heading3-Chapter22"/>
      </w:pPr>
      <w:r>
        <w:t>Literature review</w:t>
      </w:r>
      <w:bookmarkEnd w:id="109"/>
      <w:bookmarkEnd w:id="110"/>
    </w:p>
    <w:p w:rsidR="00557FD2" w:rsidRDefault="00557FD2" w:rsidP="00FF7E1E">
      <w:pPr>
        <w:rPr>
          <w:lang w:eastAsia="en-AU"/>
        </w:rPr>
      </w:pPr>
      <w:r w:rsidRPr="00A32893">
        <w:rPr>
          <w:lang w:eastAsia="en-AU"/>
        </w:rPr>
        <w:t xml:space="preserve">A targeted literature review of residential aged care systems </w:t>
      </w:r>
      <w:r>
        <w:rPr>
          <w:lang w:eastAsia="en-AU"/>
        </w:rPr>
        <w:t xml:space="preserve">in the </w:t>
      </w:r>
      <w:r w:rsidRPr="00A32893">
        <w:rPr>
          <w:lang w:eastAsia="en-AU"/>
        </w:rPr>
        <w:t>USA, Canada, UK and NZ</w:t>
      </w:r>
      <w:r>
        <w:rPr>
          <w:lang w:eastAsia="en-AU"/>
        </w:rPr>
        <w:t xml:space="preserve"> </w:t>
      </w:r>
      <w:r w:rsidRPr="00A32893">
        <w:rPr>
          <w:lang w:eastAsia="en-AU"/>
        </w:rPr>
        <w:t xml:space="preserve">was undertaken together with teleconferences </w:t>
      </w:r>
      <w:r w:rsidR="00087AAD">
        <w:rPr>
          <w:lang w:eastAsia="en-AU"/>
        </w:rPr>
        <w:t xml:space="preserve">with representatives from these countries </w:t>
      </w:r>
      <w:r w:rsidRPr="00A32893">
        <w:rPr>
          <w:lang w:eastAsia="en-AU"/>
        </w:rPr>
        <w:t xml:space="preserve">on </w:t>
      </w:r>
      <w:r>
        <w:rPr>
          <w:lang w:eastAsia="en-AU"/>
        </w:rPr>
        <w:t xml:space="preserve">their </w:t>
      </w:r>
      <w:r w:rsidRPr="00A32893">
        <w:rPr>
          <w:lang w:eastAsia="en-AU"/>
        </w:rPr>
        <w:t>app</w:t>
      </w:r>
      <w:r>
        <w:rPr>
          <w:lang w:eastAsia="en-AU"/>
        </w:rPr>
        <w:t>roaches.</w:t>
      </w:r>
      <w:r w:rsidR="007A576E">
        <w:rPr>
          <w:lang w:eastAsia="en-AU"/>
        </w:rPr>
        <w:t xml:space="preserve"> </w:t>
      </w:r>
      <w:r>
        <w:rPr>
          <w:lang w:eastAsia="en-AU"/>
        </w:rPr>
        <w:t>The literature reviews and teleconferences covered:</w:t>
      </w:r>
    </w:p>
    <w:p w:rsidR="00557FD2" w:rsidRDefault="00F253FA" w:rsidP="00F02312">
      <w:pPr>
        <w:pStyle w:val="ListParagraph"/>
        <w:numPr>
          <w:ilvl w:val="0"/>
          <w:numId w:val="98"/>
        </w:numPr>
        <w:spacing w:after="0" w:line="240" w:lineRule="auto"/>
        <w:rPr>
          <w:lang w:eastAsia="en-AU"/>
        </w:rPr>
      </w:pPr>
      <w:r>
        <w:rPr>
          <w:lang w:eastAsia="en-AU"/>
        </w:rPr>
        <w:t>A</w:t>
      </w:r>
      <w:r w:rsidR="00557FD2">
        <w:rPr>
          <w:lang w:eastAsia="en-AU"/>
        </w:rPr>
        <w:t>ssessment</w:t>
      </w:r>
      <w:r w:rsidR="00087AAD">
        <w:rPr>
          <w:lang w:eastAsia="en-AU"/>
        </w:rPr>
        <w:t xml:space="preserve"> needs, systems and tools</w:t>
      </w:r>
    </w:p>
    <w:p w:rsidR="00557FD2" w:rsidRDefault="00F253FA" w:rsidP="00F02312">
      <w:pPr>
        <w:pStyle w:val="ListParagraph"/>
        <w:numPr>
          <w:ilvl w:val="0"/>
          <w:numId w:val="98"/>
        </w:numPr>
        <w:spacing w:after="0" w:line="240" w:lineRule="auto"/>
        <w:rPr>
          <w:lang w:eastAsia="en-AU"/>
        </w:rPr>
      </w:pPr>
      <w:r>
        <w:rPr>
          <w:lang w:eastAsia="en-AU"/>
        </w:rPr>
        <w:t>M</w:t>
      </w:r>
      <w:r w:rsidR="00557FD2" w:rsidRPr="00A32893">
        <w:rPr>
          <w:lang w:eastAsia="en-AU"/>
        </w:rPr>
        <w:t>ethods for determining funding (DRGs, Case Mix, Activity based funding</w:t>
      </w:r>
      <w:r>
        <w:rPr>
          <w:lang w:eastAsia="en-AU"/>
        </w:rPr>
        <w:t xml:space="preserve"> (ABF)</w:t>
      </w:r>
      <w:r w:rsidR="00087AAD">
        <w:rPr>
          <w:lang w:eastAsia="en-AU"/>
        </w:rPr>
        <w:t xml:space="preserve">, </w:t>
      </w:r>
      <w:r w:rsidR="00557FD2" w:rsidRPr="00A32893">
        <w:rPr>
          <w:lang w:eastAsia="en-AU"/>
        </w:rPr>
        <w:t>assessed care need)</w:t>
      </w:r>
    </w:p>
    <w:p w:rsidR="00557FD2" w:rsidRDefault="00F253FA" w:rsidP="00F02312">
      <w:pPr>
        <w:pStyle w:val="ListParagraph"/>
        <w:numPr>
          <w:ilvl w:val="0"/>
          <w:numId w:val="98"/>
        </w:numPr>
        <w:spacing w:after="0" w:line="240" w:lineRule="auto"/>
        <w:rPr>
          <w:lang w:eastAsia="en-AU"/>
        </w:rPr>
      </w:pPr>
      <w:r>
        <w:rPr>
          <w:lang w:eastAsia="en-AU"/>
        </w:rPr>
        <w:t>A</w:t>
      </w:r>
      <w:r w:rsidRPr="00A32893">
        <w:rPr>
          <w:lang w:eastAsia="en-AU"/>
        </w:rPr>
        <w:t xml:space="preserve">pproach </w:t>
      </w:r>
      <w:r w:rsidR="00557FD2" w:rsidRPr="00A32893">
        <w:rPr>
          <w:lang w:eastAsia="en-AU"/>
        </w:rPr>
        <w:t>to wellness and rehabilitation programs</w:t>
      </w:r>
    </w:p>
    <w:p w:rsidR="00557FD2" w:rsidRDefault="00F253FA" w:rsidP="00F02312">
      <w:pPr>
        <w:pStyle w:val="ListParagraph"/>
        <w:numPr>
          <w:ilvl w:val="0"/>
          <w:numId w:val="98"/>
        </w:numPr>
        <w:spacing w:after="0" w:line="240" w:lineRule="auto"/>
        <w:rPr>
          <w:lang w:eastAsia="en-AU"/>
        </w:rPr>
      </w:pPr>
      <w:r>
        <w:rPr>
          <w:lang w:eastAsia="en-AU"/>
        </w:rPr>
        <w:t>H</w:t>
      </w:r>
      <w:r w:rsidRPr="00A32893">
        <w:rPr>
          <w:lang w:eastAsia="en-AU"/>
        </w:rPr>
        <w:t xml:space="preserve">ow </w:t>
      </w:r>
      <w:r w:rsidR="00557FD2" w:rsidRPr="00A32893">
        <w:rPr>
          <w:lang w:eastAsia="en-AU"/>
        </w:rPr>
        <w:t>funding is audited</w:t>
      </w:r>
    </w:p>
    <w:p w:rsidR="00557FD2" w:rsidRPr="00A32893" w:rsidRDefault="00F253FA" w:rsidP="00F02312">
      <w:pPr>
        <w:pStyle w:val="ListParagraph"/>
        <w:numPr>
          <w:ilvl w:val="0"/>
          <w:numId w:val="98"/>
        </w:numPr>
        <w:spacing w:after="0" w:line="240" w:lineRule="auto"/>
        <w:rPr>
          <w:rFonts w:ascii="Corbel" w:hAnsi="Corbel" w:cs="Times New Roman"/>
          <w:lang w:eastAsia="en-AU"/>
        </w:rPr>
      </w:pPr>
      <w:r>
        <w:rPr>
          <w:lang w:eastAsia="en-AU"/>
        </w:rPr>
        <w:t>W</w:t>
      </w:r>
      <w:r w:rsidR="00557FD2" w:rsidRPr="00A32893">
        <w:rPr>
          <w:lang w:eastAsia="en-AU"/>
        </w:rPr>
        <w:t>ho does the assessment</w:t>
      </w:r>
      <w:r w:rsidR="00F06915">
        <w:rPr>
          <w:lang w:eastAsia="en-AU"/>
        </w:rPr>
        <w:t xml:space="preserve"> and where is it done</w:t>
      </w:r>
    </w:p>
    <w:p w:rsidR="00980F62" w:rsidRDefault="009E0A38" w:rsidP="00F02312">
      <w:pPr>
        <w:pStyle w:val="ListParagraph"/>
        <w:numPr>
          <w:ilvl w:val="0"/>
          <w:numId w:val="98"/>
        </w:numPr>
        <w:spacing w:after="0" w:line="240" w:lineRule="auto"/>
        <w:rPr>
          <w:lang w:eastAsia="en-AU"/>
        </w:rPr>
      </w:pPr>
      <w:r>
        <w:rPr>
          <w:lang w:eastAsia="en-AU"/>
        </w:rPr>
        <w:t xml:space="preserve">The model and operation of </w:t>
      </w:r>
      <w:r w:rsidR="00F253FA">
        <w:rPr>
          <w:lang w:eastAsia="en-AU"/>
        </w:rPr>
        <w:t>E</w:t>
      </w:r>
      <w:r w:rsidR="00F253FA" w:rsidRPr="00A32893">
        <w:rPr>
          <w:lang w:eastAsia="en-AU"/>
        </w:rPr>
        <w:t xml:space="preserve">xternal </w:t>
      </w:r>
      <w:r>
        <w:rPr>
          <w:lang w:eastAsia="en-AU"/>
        </w:rPr>
        <w:t>A</w:t>
      </w:r>
      <w:r w:rsidR="00557FD2" w:rsidRPr="00A32893">
        <w:rPr>
          <w:lang w:eastAsia="en-AU"/>
        </w:rPr>
        <w:t>ssessment</w:t>
      </w:r>
      <w:r w:rsidR="00EB35E6">
        <w:rPr>
          <w:lang w:eastAsia="en-AU"/>
        </w:rPr>
        <w:t>.</w:t>
      </w:r>
    </w:p>
    <w:p w:rsidR="00557FD2" w:rsidRDefault="00557FD2" w:rsidP="00410B4F">
      <w:pPr>
        <w:spacing w:before="120" w:after="200"/>
        <w:rPr>
          <w:lang w:eastAsia="en-AU"/>
        </w:rPr>
      </w:pPr>
      <w:r>
        <w:rPr>
          <w:lang w:eastAsia="en-AU"/>
        </w:rPr>
        <w:t>Outcomes of the review and discussions are provided throughout the report in the relevant sections.</w:t>
      </w:r>
    </w:p>
    <w:p w:rsidR="00557FD2" w:rsidRDefault="00557FD2" w:rsidP="00530D56">
      <w:pPr>
        <w:pStyle w:val="Heading2-Chapter2"/>
      </w:pPr>
      <w:bookmarkStart w:id="111" w:name="_Toc486599975"/>
      <w:bookmarkStart w:id="112" w:name="_Toc486603018"/>
      <w:bookmarkStart w:id="113" w:name="_Toc491426029"/>
      <w:bookmarkStart w:id="114" w:name="Ch0203"/>
      <w:bookmarkStart w:id="115" w:name="_Toc478568242"/>
      <w:r>
        <w:t>Data Analysis</w:t>
      </w:r>
      <w:bookmarkEnd w:id="111"/>
      <w:bookmarkEnd w:id="112"/>
      <w:bookmarkEnd w:id="113"/>
    </w:p>
    <w:p w:rsidR="00557FD2" w:rsidRPr="00A94B55" w:rsidRDefault="00557FD2" w:rsidP="007E0DCA">
      <w:pPr>
        <w:pStyle w:val="Heading3-Chapter23"/>
      </w:pPr>
      <w:bookmarkStart w:id="116" w:name="_Toc486599976"/>
      <w:bookmarkStart w:id="117" w:name="_Toc486603019"/>
      <w:bookmarkStart w:id="118" w:name="_Toc478568237"/>
      <w:bookmarkStart w:id="119" w:name="_Toc478568246"/>
      <w:bookmarkStart w:id="120" w:name="_Toc482092550"/>
      <w:bookmarkStart w:id="121" w:name="_Toc482092553"/>
      <w:bookmarkEnd w:id="114"/>
      <w:r w:rsidRPr="00A94B55">
        <w:t xml:space="preserve">Data </w:t>
      </w:r>
      <w:r w:rsidR="002A68C4">
        <w:t xml:space="preserve">received </w:t>
      </w:r>
      <w:r w:rsidRPr="00A94B55">
        <w:t>on ACFI assessments and reviews</w:t>
      </w:r>
      <w:bookmarkEnd w:id="116"/>
      <w:bookmarkEnd w:id="117"/>
    </w:p>
    <w:bookmarkEnd w:id="115"/>
    <w:bookmarkEnd w:id="118"/>
    <w:bookmarkEnd w:id="119"/>
    <w:bookmarkEnd w:id="120"/>
    <w:bookmarkEnd w:id="121"/>
    <w:p w:rsidR="00557FD2" w:rsidRDefault="00323C36" w:rsidP="00557FD2">
      <w:pPr>
        <w:rPr>
          <w:lang w:eastAsia="en-AU"/>
        </w:rPr>
      </w:pPr>
      <w:r>
        <w:rPr>
          <w:lang w:eastAsia="en-AU"/>
        </w:rPr>
        <w:fldChar w:fldCharType="begin"/>
      </w:r>
      <w:r>
        <w:rPr>
          <w:lang w:eastAsia="en-AU"/>
        </w:rPr>
        <w:instrText xml:space="preserve"> HYPERLINK  \l "Tab0204" </w:instrText>
      </w:r>
      <w:r>
        <w:rPr>
          <w:lang w:eastAsia="en-AU"/>
        </w:rPr>
        <w:fldChar w:fldCharType="separate"/>
      </w:r>
      <w:r w:rsidR="00557FD2" w:rsidRPr="00323C36">
        <w:rPr>
          <w:rStyle w:val="Hyperlink"/>
          <w:lang w:eastAsia="en-AU"/>
        </w:rPr>
        <w:t>Table 2.4</w:t>
      </w:r>
      <w:r>
        <w:rPr>
          <w:lang w:eastAsia="en-AU"/>
        </w:rPr>
        <w:fldChar w:fldCharType="end"/>
      </w:r>
      <w:r w:rsidR="00557FD2">
        <w:rPr>
          <w:lang w:eastAsia="en-AU"/>
        </w:rPr>
        <w:t xml:space="preserve"> </w:t>
      </w:r>
      <w:r w:rsidR="00087AAD">
        <w:rPr>
          <w:lang w:eastAsia="en-AU"/>
        </w:rPr>
        <w:t xml:space="preserve">provides information on the </w:t>
      </w:r>
      <w:r w:rsidR="00557FD2">
        <w:rPr>
          <w:lang w:eastAsia="en-AU"/>
        </w:rPr>
        <w:t>contents of the three sets of ACFI data provided</w:t>
      </w:r>
      <w:r w:rsidR="00087AAD">
        <w:rPr>
          <w:lang w:eastAsia="en-AU"/>
        </w:rPr>
        <w:t xml:space="preserve"> by the Department</w:t>
      </w:r>
      <w:r w:rsidR="00557FD2">
        <w:rPr>
          <w:lang w:eastAsia="en-AU"/>
        </w:rPr>
        <w:t xml:space="preserve">. The initial data consisted of eight CSV files, one for each of the financial years 2008-09 to 2015-16. Each file contained details of each assessment or review current at any time during the financial year, so many records were common to more than one of the eight </w:t>
      </w:r>
      <w:r w:rsidR="00557FD2">
        <w:rPr>
          <w:lang w:eastAsia="en-AU"/>
        </w:rPr>
        <w:lastRenderedPageBreak/>
        <w:t xml:space="preserve">CSV files. All eight files were combined into a single STATA file, converting dates into numeric format. Sorting by recipient ID and assessment date, and selecting the </w:t>
      </w:r>
      <w:r w:rsidR="002A68C4">
        <w:rPr>
          <w:lang w:eastAsia="en-AU"/>
        </w:rPr>
        <w:t xml:space="preserve">most recent </w:t>
      </w:r>
      <w:r w:rsidR="00557FD2">
        <w:rPr>
          <w:lang w:eastAsia="en-AU"/>
        </w:rPr>
        <w:t xml:space="preserve">record for each combination of ID and date, </w:t>
      </w:r>
      <w:r w:rsidR="00087AAD">
        <w:rPr>
          <w:lang w:eastAsia="en-AU"/>
        </w:rPr>
        <w:t xml:space="preserve">resulted in a data set with </w:t>
      </w:r>
      <w:r w:rsidR="00557FD2">
        <w:rPr>
          <w:lang w:eastAsia="en-AU"/>
        </w:rPr>
        <w:t>a single record for each assessment or review current at any time in the</w:t>
      </w:r>
      <w:r w:rsidR="009E0A38">
        <w:rPr>
          <w:lang w:eastAsia="en-AU"/>
        </w:rPr>
        <w:t xml:space="preserve"> eight-</w:t>
      </w:r>
      <w:r w:rsidR="00557FD2">
        <w:rPr>
          <w:lang w:eastAsia="en-AU"/>
        </w:rPr>
        <w:t>year data period.</w:t>
      </w:r>
    </w:p>
    <w:p w:rsidR="00980F62" w:rsidRDefault="00557FD2" w:rsidP="00557FD2">
      <w:pPr>
        <w:rPr>
          <w:lang w:eastAsia="en-AU"/>
        </w:rPr>
      </w:pPr>
      <w:r>
        <w:rPr>
          <w:lang w:eastAsia="en-AU"/>
        </w:rPr>
        <w:t>Data checks were conducted by comparing entrants and exits in each financial year up to 2014-15, and the numbers in residential care at the end of each year, against data published by the Australian Institute of Health and Welfare</w:t>
      </w:r>
      <w:r w:rsidR="002A68C4">
        <w:rPr>
          <w:lang w:eastAsia="en-AU"/>
        </w:rPr>
        <w:t xml:space="preserve"> (AIHW)</w:t>
      </w:r>
      <w:r>
        <w:rPr>
          <w:lang w:eastAsia="en-AU"/>
        </w:rPr>
        <w:t xml:space="preserve">. The average </w:t>
      </w:r>
      <w:r w:rsidR="002A68C4">
        <w:rPr>
          <w:lang w:eastAsia="en-AU"/>
        </w:rPr>
        <w:t>time</w:t>
      </w:r>
      <w:r>
        <w:rPr>
          <w:lang w:eastAsia="en-AU"/>
        </w:rPr>
        <w:t xml:space="preserve"> from first entry to residential care to exit was also checked for consistency. In general, the completeness of data recording was high, with no </w:t>
      </w:r>
      <w:r w:rsidR="002A68C4">
        <w:rPr>
          <w:lang w:eastAsia="en-AU"/>
        </w:rPr>
        <w:t>‘</w:t>
      </w:r>
      <w:r>
        <w:rPr>
          <w:lang w:eastAsia="en-AU"/>
        </w:rPr>
        <w:t>unknown</w:t>
      </w:r>
      <w:r w:rsidR="002A68C4">
        <w:rPr>
          <w:lang w:eastAsia="en-AU"/>
        </w:rPr>
        <w:t>’</w:t>
      </w:r>
      <w:r>
        <w:rPr>
          <w:lang w:eastAsia="en-AU"/>
        </w:rPr>
        <w:t xml:space="preserve"> data. Answers to </w:t>
      </w:r>
      <w:r w:rsidR="009E0A38">
        <w:rPr>
          <w:lang w:eastAsia="en-AU"/>
        </w:rPr>
        <w:t xml:space="preserve">some </w:t>
      </w:r>
      <w:r>
        <w:rPr>
          <w:lang w:eastAsia="en-AU"/>
        </w:rPr>
        <w:t xml:space="preserve">ACFI </w:t>
      </w:r>
      <w:r w:rsidR="009E0A38">
        <w:rPr>
          <w:lang w:eastAsia="en-AU"/>
        </w:rPr>
        <w:t xml:space="preserve">checklist items </w:t>
      </w:r>
      <w:r>
        <w:rPr>
          <w:lang w:eastAsia="en-AU"/>
        </w:rPr>
        <w:t xml:space="preserve">were not available before 2010-11, and answers to five other questions were not recorded before 2009-10. In </w:t>
      </w:r>
      <w:r w:rsidR="002A68C4">
        <w:rPr>
          <w:lang w:eastAsia="en-AU"/>
        </w:rPr>
        <w:t xml:space="preserve">almost </w:t>
      </w:r>
      <w:r>
        <w:rPr>
          <w:lang w:eastAsia="en-AU"/>
        </w:rPr>
        <w:t>every case, data tabulations or model-fitting gave plausible results, consistent with expectations.</w:t>
      </w:r>
    </w:p>
    <w:p w:rsidR="00980F62" w:rsidRDefault="00C06878" w:rsidP="00557FD2">
      <w:pPr>
        <w:rPr>
          <w:lang w:eastAsia="en-AU"/>
        </w:rPr>
      </w:pPr>
      <w:r>
        <w:rPr>
          <w:lang w:eastAsia="en-AU"/>
        </w:rPr>
        <w:t>The data sets used in the project covered the period from 2008-</w:t>
      </w:r>
      <w:r w:rsidR="002C76C4">
        <w:rPr>
          <w:lang w:eastAsia="en-AU"/>
        </w:rPr>
        <w:t>0</w:t>
      </w:r>
      <w:r>
        <w:rPr>
          <w:lang w:eastAsia="en-AU"/>
        </w:rPr>
        <w:t>9 to 2015-16 (</w:t>
      </w:r>
      <w:hyperlink w:anchor="Tab0204" w:history="1">
        <w:r w:rsidRPr="00323C36">
          <w:rPr>
            <w:rStyle w:val="Hyperlink"/>
            <w:lang w:eastAsia="en-AU"/>
          </w:rPr>
          <w:t>Table 2.</w:t>
        </w:r>
      </w:hyperlink>
      <w:r w:rsidR="00C426FE">
        <w:rPr>
          <w:rStyle w:val="Hyperlink"/>
          <w:lang w:eastAsia="en-AU"/>
        </w:rPr>
        <w:t>5</w:t>
      </w:r>
      <w:r>
        <w:rPr>
          <w:lang w:eastAsia="en-AU"/>
        </w:rPr>
        <w:t>).</w:t>
      </w:r>
      <w:r w:rsidR="007A576E">
        <w:rPr>
          <w:lang w:eastAsia="en-AU"/>
        </w:rPr>
        <w:t xml:space="preserve"> </w:t>
      </w:r>
      <w:r w:rsidR="00F06915">
        <w:rPr>
          <w:lang w:eastAsia="en-AU"/>
        </w:rPr>
        <w:br/>
      </w:r>
      <w:r>
        <w:rPr>
          <w:lang w:eastAsia="en-AU"/>
        </w:rPr>
        <w:t>It was not possible to included data provided covering part of the 2016-17 period (supplied on 26</w:t>
      </w:r>
      <w:r w:rsidRPr="00C06878">
        <w:rPr>
          <w:vertAlign w:val="superscript"/>
          <w:lang w:eastAsia="en-AU"/>
        </w:rPr>
        <w:t>th</w:t>
      </w:r>
      <w:r>
        <w:rPr>
          <w:lang w:eastAsia="en-AU"/>
        </w:rPr>
        <w:t xml:space="preserve"> May 2017) due to time restraints.</w:t>
      </w:r>
    </w:p>
    <w:p w:rsidR="00291A6C" w:rsidRDefault="00291A6C" w:rsidP="00291A6C">
      <w:pPr>
        <w:pStyle w:val="Caption"/>
        <w:keepNext/>
      </w:pPr>
      <w:bookmarkStart w:id="122" w:name="_Toc495415632"/>
      <w:bookmarkStart w:id="123" w:name="_Toc495474271"/>
      <w:bookmarkStart w:id="124" w:name="Tab0204"/>
      <w:r>
        <w:t>Table 2.</w:t>
      </w:r>
      <w:r w:rsidR="009A3F5A">
        <w:fldChar w:fldCharType="begin"/>
      </w:r>
      <w:r w:rsidR="009A3F5A">
        <w:instrText xml:space="preserve"> SEQ Table_2. \* ARABIC </w:instrText>
      </w:r>
      <w:r w:rsidR="009A3F5A">
        <w:fldChar w:fldCharType="separate"/>
      </w:r>
      <w:r w:rsidR="00856E49">
        <w:rPr>
          <w:noProof/>
        </w:rPr>
        <w:t>4</w:t>
      </w:r>
      <w:r w:rsidR="009A3F5A">
        <w:rPr>
          <w:noProof/>
        </w:rPr>
        <w:fldChar w:fldCharType="end"/>
      </w:r>
      <w:r>
        <w:t xml:space="preserve">: </w:t>
      </w:r>
      <w:r w:rsidRPr="00291A6C">
        <w:t>Data supplied on ACFI assessments and reviews</w:t>
      </w:r>
      <w:bookmarkEnd w:id="122"/>
      <w:bookmarkEnd w:id="123"/>
    </w:p>
    <w:tbl>
      <w:tblPr>
        <w:tblStyle w:val="ListTable3-Accent515"/>
        <w:tblW w:w="9214" w:type="dxa"/>
        <w:tblInd w:w="108" w:type="dxa"/>
        <w:tblBorders>
          <w:insideH w:val="single" w:sz="4" w:space="0" w:color="5B9BD5" w:themeColor="accent5"/>
          <w:insideV w:val="single" w:sz="4" w:space="0" w:color="5B9BD5" w:themeColor="accent5"/>
        </w:tblBorders>
        <w:tblLayout w:type="fixed"/>
        <w:tblLook w:val="00A0" w:firstRow="1" w:lastRow="0" w:firstColumn="1" w:lastColumn="0" w:noHBand="0" w:noVBand="0"/>
        <w:tblDescription w:val="Table 2.4 is a list of specific data supplied on the Aged Care Funding Instrument (ACFI) assessments and reviews, as summarised in the text prior to this table. This table is to be read left to right, top to bottom, noting empty cells have been indicated with an NA."/>
      </w:tblPr>
      <w:tblGrid>
        <w:gridCol w:w="3227"/>
        <w:gridCol w:w="1168"/>
        <w:gridCol w:w="1219"/>
        <w:gridCol w:w="1219"/>
        <w:gridCol w:w="1219"/>
        <w:gridCol w:w="1162"/>
      </w:tblGrid>
      <w:tr w:rsidR="00430124" w:rsidRPr="00C06878" w:rsidTr="00AE6A5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27" w:type="dxa"/>
            <w:tcBorders>
              <w:bottom w:val="none" w:sz="0" w:space="0" w:color="auto"/>
              <w:right w:val="none" w:sz="0" w:space="0" w:color="auto"/>
            </w:tcBorders>
            <w:noWrap/>
            <w:hideMark/>
          </w:tcPr>
          <w:bookmarkEnd w:id="124"/>
          <w:p w:rsidR="00430124" w:rsidRPr="00C06878" w:rsidRDefault="00430124" w:rsidP="00C06878">
            <w:pPr>
              <w:spacing w:after="0"/>
              <w:rPr>
                <w:rFonts w:eastAsia="Times New Roman" w:cs="Times New Roman"/>
                <w:bCs w:val="0"/>
                <w:sz w:val="22"/>
                <w:lang w:val="en-US"/>
              </w:rPr>
            </w:pPr>
            <w:r w:rsidRPr="00C06878">
              <w:rPr>
                <w:rFonts w:eastAsia="Times New Roman" w:cs="Times New Roman"/>
                <w:bCs w:val="0"/>
                <w:sz w:val="22"/>
                <w:lang w:val="en-US"/>
              </w:rPr>
              <w:t>Data field</w:t>
            </w:r>
          </w:p>
        </w:tc>
        <w:tc>
          <w:tcPr>
            <w:cnfStyle w:val="000010000000" w:firstRow="0" w:lastRow="0" w:firstColumn="0" w:lastColumn="0" w:oddVBand="1" w:evenVBand="0" w:oddHBand="0" w:evenHBand="0" w:firstRowFirstColumn="0" w:firstRowLastColumn="0" w:lastRowFirstColumn="0" w:lastRowLastColumn="0"/>
            <w:tcW w:w="1168"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bCs w:val="0"/>
                <w:sz w:val="22"/>
                <w:lang w:val="en-US"/>
              </w:rPr>
            </w:pPr>
            <w:r w:rsidRPr="00C06878">
              <w:rPr>
                <w:rFonts w:eastAsia="Times New Roman" w:cs="Times New Roman"/>
                <w:bCs w:val="0"/>
                <w:sz w:val="22"/>
                <w:lang w:val="en-US"/>
              </w:rPr>
              <w:t>Number</w:t>
            </w:r>
            <w:r w:rsidR="00EB49E2">
              <w:rPr>
                <w:rFonts w:eastAsia="Times New Roman" w:cs="Times New Roman"/>
                <w:bCs w:val="0"/>
                <w:sz w:val="22"/>
                <w:lang w:val="en-US"/>
              </w:rPr>
              <w:t xml:space="preserve"> </w:t>
            </w:r>
            <w:r w:rsidRPr="00C06878">
              <w:rPr>
                <w:rFonts w:eastAsia="Times New Roman" w:cs="Times New Roman"/>
                <w:bCs w:val="0"/>
                <w:sz w:val="22"/>
                <w:lang w:val="en-US"/>
              </w:rPr>
              <w:t>similar</w:t>
            </w:r>
            <w:r w:rsidR="00EB49E2">
              <w:rPr>
                <w:rFonts w:eastAsia="Times New Roman" w:cs="Times New Roman"/>
                <w:bCs w:val="0"/>
                <w:sz w:val="22"/>
                <w:lang w:val="en-US"/>
              </w:rPr>
              <w:t xml:space="preserve"> </w:t>
            </w:r>
            <w:r w:rsidRPr="00C06878">
              <w:rPr>
                <w:rFonts w:eastAsia="Times New Roman" w:cs="Times New Roman"/>
                <w:bCs w:val="0"/>
                <w:sz w:val="22"/>
                <w:lang w:val="en-US"/>
              </w:rPr>
              <w:t>fields</w:t>
            </w:r>
          </w:p>
        </w:tc>
        <w:tc>
          <w:tcPr>
            <w:tcW w:w="1219" w:type="dxa"/>
            <w:noWrap/>
            <w:hideMark/>
          </w:tcPr>
          <w:p w:rsidR="00EB49E2" w:rsidRDefault="00C06878" w:rsidP="00EB49E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22"/>
                <w:lang w:val="en-US"/>
              </w:rPr>
            </w:pPr>
            <w:r w:rsidRPr="00C06878">
              <w:rPr>
                <w:rFonts w:eastAsia="Times New Roman" w:cs="Times New Roman"/>
                <w:bCs w:val="0"/>
                <w:sz w:val="22"/>
                <w:lang w:val="en-US"/>
              </w:rPr>
              <w:t>20</w:t>
            </w:r>
            <w:r w:rsidR="00430124" w:rsidRPr="00C06878">
              <w:rPr>
                <w:rFonts w:eastAsia="Times New Roman" w:cs="Times New Roman"/>
                <w:bCs w:val="0"/>
                <w:sz w:val="22"/>
                <w:lang w:val="en-US"/>
              </w:rPr>
              <w:t>08-09 to</w:t>
            </w:r>
            <w:r w:rsidR="00EB49E2">
              <w:rPr>
                <w:rFonts w:eastAsia="Times New Roman" w:cs="Times New Roman"/>
                <w:bCs w:val="0"/>
                <w:sz w:val="22"/>
                <w:lang w:val="en-US"/>
              </w:rPr>
              <w:t xml:space="preserve"> </w:t>
            </w:r>
            <w:r w:rsidRPr="00C06878">
              <w:rPr>
                <w:rFonts w:eastAsia="Times New Roman" w:cs="Times New Roman"/>
                <w:bCs w:val="0"/>
                <w:sz w:val="22"/>
                <w:lang w:val="en-US"/>
              </w:rPr>
              <w:t>20</w:t>
            </w:r>
            <w:r w:rsidR="00430124" w:rsidRPr="00C06878">
              <w:rPr>
                <w:rFonts w:eastAsia="Times New Roman" w:cs="Times New Roman"/>
                <w:bCs w:val="0"/>
                <w:sz w:val="22"/>
                <w:lang w:val="en-US"/>
              </w:rPr>
              <w:t>15-16</w:t>
            </w:r>
          </w:p>
          <w:p w:rsidR="00430124" w:rsidRPr="00C06878" w:rsidRDefault="00430124" w:rsidP="00EB49E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22"/>
                <w:lang w:val="en-US"/>
              </w:rPr>
            </w:pPr>
            <w:r w:rsidRPr="00C06878">
              <w:rPr>
                <w:rFonts w:eastAsia="Times New Roman" w:cs="Times New Roman"/>
                <w:bCs w:val="0"/>
                <w:sz w:val="22"/>
                <w:lang w:val="en-US"/>
              </w:rPr>
              <w:t>Received</w:t>
            </w:r>
            <w:r w:rsidR="00EB49E2">
              <w:rPr>
                <w:rFonts w:eastAsia="Times New Roman" w:cs="Times New Roman"/>
                <w:bCs w:val="0"/>
                <w:sz w:val="22"/>
                <w:lang w:val="en-US"/>
              </w:rPr>
              <w:t xml:space="preserve"> </w:t>
            </w:r>
            <w:r w:rsidRPr="00C06878">
              <w:rPr>
                <w:rFonts w:eastAsia="Times New Roman" w:cs="Times New Roman"/>
                <w:bCs w:val="0"/>
                <w:sz w:val="22"/>
                <w:lang w:val="en-US"/>
              </w:rPr>
              <w:t>25-02-17</w:t>
            </w:r>
          </w:p>
        </w:tc>
        <w:tc>
          <w:tcPr>
            <w:cnfStyle w:val="000010000000" w:firstRow="0" w:lastRow="0" w:firstColumn="0" w:lastColumn="0" w:oddVBand="1" w:evenVBand="0" w:oddHBand="0" w:evenHBand="0" w:firstRowFirstColumn="0" w:firstRowLastColumn="0" w:lastRowFirstColumn="0" w:lastRowLastColumn="0"/>
            <w:tcW w:w="1219" w:type="dxa"/>
            <w:tcBorders>
              <w:left w:val="none" w:sz="0" w:space="0" w:color="auto"/>
              <w:right w:val="none" w:sz="0" w:space="0" w:color="auto"/>
            </w:tcBorders>
            <w:noWrap/>
            <w:hideMark/>
          </w:tcPr>
          <w:p w:rsidR="00C06878" w:rsidRPr="00C06878" w:rsidRDefault="00C06878" w:rsidP="00EB49E2">
            <w:pPr>
              <w:spacing w:after="0"/>
              <w:jc w:val="center"/>
              <w:rPr>
                <w:rFonts w:eastAsia="Times New Roman" w:cs="Times New Roman"/>
                <w:bCs w:val="0"/>
                <w:sz w:val="22"/>
                <w:lang w:val="en-US"/>
              </w:rPr>
            </w:pPr>
            <w:r w:rsidRPr="00C06878">
              <w:rPr>
                <w:rFonts w:eastAsia="Times New Roman" w:cs="Times New Roman"/>
                <w:bCs w:val="0"/>
                <w:sz w:val="22"/>
                <w:lang w:val="en-US"/>
              </w:rPr>
              <w:t>20</w:t>
            </w:r>
            <w:r w:rsidR="00430124" w:rsidRPr="00C06878">
              <w:rPr>
                <w:rFonts w:eastAsia="Times New Roman" w:cs="Times New Roman"/>
                <w:bCs w:val="0"/>
                <w:sz w:val="22"/>
                <w:lang w:val="en-US"/>
              </w:rPr>
              <w:t>08-09 to</w:t>
            </w:r>
            <w:r w:rsidR="00EB49E2">
              <w:rPr>
                <w:rFonts w:eastAsia="Times New Roman" w:cs="Times New Roman"/>
                <w:bCs w:val="0"/>
                <w:sz w:val="22"/>
                <w:lang w:val="en-US"/>
              </w:rPr>
              <w:t xml:space="preserve"> </w:t>
            </w:r>
            <w:r w:rsidRPr="00C06878">
              <w:rPr>
                <w:rFonts w:eastAsia="Times New Roman" w:cs="Times New Roman"/>
                <w:bCs w:val="0"/>
                <w:sz w:val="22"/>
                <w:lang w:val="en-US"/>
              </w:rPr>
              <w:t>2015-16</w:t>
            </w:r>
          </w:p>
          <w:p w:rsidR="00C06878" w:rsidRPr="00C06878" w:rsidRDefault="00C06878" w:rsidP="00EB49E2">
            <w:pPr>
              <w:spacing w:after="0"/>
              <w:jc w:val="center"/>
              <w:rPr>
                <w:rFonts w:eastAsia="Times New Roman" w:cs="Times New Roman"/>
                <w:bCs w:val="0"/>
                <w:sz w:val="22"/>
                <w:lang w:val="en-US"/>
              </w:rPr>
            </w:pPr>
            <w:r w:rsidRPr="00C06878">
              <w:rPr>
                <w:rFonts w:eastAsia="Times New Roman" w:cs="Times New Roman"/>
                <w:bCs w:val="0"/>
                <w:sz w:val="22"/>
                <w:lang w:val="en-US"/>
              </w:rPr>
              <w:t>Received</w:t>
            </w:r>
            <w:r w:rsidR="00EB49E2">
              <w:rPr>
                <w:rFonts w:eastAsia="Times New Roman" w:cs="Times New Roman"/>
                <w:bCs w:val="0"/>
                <w:sz w:val="22"/>
                <w:lang w:val="en-US"/>
              </w:rPr>
              <w:t xml:space="preserve"> </w:t>
            </w:r>
            <w:r w:rsidRPr="00C06878">
              <w:rPr>
                <w:rFonts w:eastAsia="Times New Roman" w:cs="Times New Roman"/>
                <w:bCs w:val="0"/>
                <w:sz w:val="22"/>
                <w:lang w:val="en-US"/>
              </w:rPr>
              <w:t>9-03-17</w:t>
            </w:r>
          </w:p>
        </w:tc>
        <w:tc>
          <w:tcPr>
            <w:tcW w:w="1219" w:type="dxa"/>
            <w:noWrap/>
            <w:hideMark/>
          </w:tcPr>
          <w:p w:rsidR="00C06878" w:rsidRPr="00C06878" w:rsidRDefault="00C06878" w:rsidP="00EB49E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22"/>
                <w:lang w:val="en-US"/>
              </w:rPr>
            </w:pPr>
            <w:r w:rsidRPr="00C06878">
              <w:rPr>
                <w:rFonts w:eastAsia="Times New Roman" w:cs="Times New Roman"/>
                <w:bCs w:val="0"/>
                <w:sz w:val="22"/>
                <w:lang w:val="en-US"/>
              </w:rPr>
              <w:t>20</w:t>
            </w:r>
            <w:r w:rsidR="00430124" w:rsidRPr="00C06878">
              <w:rPr>
                <w:rFonts w:eastAsia="Times New Roman" w:cs="Times New Roman"/>
                <w:bCs w:val="0"/>
                <w:sz w:val="22"/>
                <w:lang w:val="en-US"/>
              </w:rPr>
              <w:t>08-09 to</w:t>
            </w:r>
            <w:r w:rsidR="00EB49E2">
              <w:rPr>
                <w:rFonts w:eastAsia="Times New Roman" w:cs="Times New Roman"/>
                <w:bCs w:val="0"/>
                <w:sz w:val="22"/>
                <w:lang w:val="en-US"/>
              </w:rPr>
              <w:t xml:space="preserve"> </w:t>
            </w:r>
            <w:r w:rsidRPr="00C06878">
              <w:rPr>
                <w:rFonts w:eastAsia="Times New Roman" w:cs="Times New Roman"/>
                <w:bCs w:val="0"/>
                <w:sz w:val="22"/>
                <w:lang w:val="en-US"/>
              </w:rPr>
              <w:t>2015-16</w:t>
            </w:r>
          </w:p>
          <w:p w:rsidR="00C06878" w:rsidRPr="00C06878" w:rsidRDefault="00C06878" w:rsidP="00EB49E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22"/>
                <w:lang w:val="en-US"/>
              </w:rPr>
            </w:pPr>
            <w:r w:rsidRPr="00C06878">
              <w:rPr>
                <w:rFonts w:eastAsia="Times New Roman" w:cs="Times New Roman"/>
                <w:bCs w:val="0"/>
                <w:sz w:val="22"/>
                <w:lang w:val="en-US"/>
              </w:rPr>
              <w:t>Received</w:t>
            </w:r>
            <w:r w:rsidR="00EB49E2">
              <w:rPr>
                <w:rFonts w:eastAsia="Times New Roman" w:cs="Times New Roman"/>
                <w:bCs w:val="0"/>
                <w:sz w:val="22"/>
                <w:lang w:val="en-US"/>
              </w:rPr>
              <w:t xml:space="preserve"> </w:t>
            </w:r>
            <w:r w:rsidRPr="00C06878">
              <w:rPr>
                <w:rFonts w:eastAsia="Times New Roman" w:cs="Times New Roman"/>
                <w:bCs w:val="0"/>
                <w:sz w:val="22"/>
                <w:lang w:val="en-US"/>
              </w:rPr>
              <w:t>12-05-17</w:t>
            </w:r>
          </w:p>
        </w:tc>
        <w:tc>
          <w:tcPr>
            <w:cnfStyle w:val="000010000000" w:firstRow="0" w:lastRow="0" w:firstColumn="0" w:lastColumn="0" w:oddVBand="1" w:evenVBand="0" w:oddHBand="0" w:evenHBand="0" w:firstRowFirstColumn="0" w:firstRowLastColumn="0" w:lastRowFirstColumn="0" w:lastRowLastColumn="0"/>
            <w:tcW w:w="1162" w:type="dxa"/>
            <w:tcBorders>
              <w:left w:val="none" w:sz="0" w:space="0" w:color="auto"/>
              <w:right w:val="none" w:sz="0" w:space="0" w:color="auto"/>
            </w:tcBorders>
            <w:noWrap/>
            <w:hideMark/>
          </w:tcPr>
          <w:p w:rsidR="00430124" w:rsidRPr="00C06878" w:rsidRDefault="00C06878" w:rsidP="00EB49E2">
            <w:pPr>
              <w:spacing w:after="0"/>
              <w:jc w:val="center"/>
              <w:rPr>
                <w:rFonts w:eastAsia="Times New Roman" w:cs="Times New Roman"/>
                <w:bCs w:val="0"/>
                <w:sz w:val="22"/>
                <w:lang w:val="en-US"/>
              </w:rPr>
            </w:pPr>
            <w:r w:rsidRPr="00C06878">
              <w:rPr>
                <w:rFonts w:eastAsia="Times New Roman" w:cs="Times New Roman"/>
                <w:bCs w:val="0"/>
                <w:sz w:val="22"/>
                <w:lang w:val="en-US"/>
              </w:rPr>
              <w:t>20</w:t>
            </w:r>
            <w:r w:rsidR="00430124" w:rsidRPr="00C06878">
              <w:rPr>
                <w:rFonts w:eastAsia="Times New Roman" w:cs="Times New Roman"/>
                <w:bCs w:val="0"/>
                <w:sz w:val="22"/>
                <w:lang w:val="en-US"/>
              </w:rPr>
              <w:t>16-17</w:t>
            </w:r>
          </w:p>
          <w:p w:rsidR="00C06878" w:rsidRPr="00C06878" w:rsidRDefault="00C06878" w:rsidP="00EB49E2">
            <w:pPr>
              <w:spacing w:after="0"/>
              <w:jc w:val="center"/>
              <w:rPr>
                <w:rFonts w:eastAsia="Times New Roman" w:cs="Times New Roman"/>
                <w:bCs w:val="0"/>
                <w:sz w:val="22"/>
                <w:lang w:val="en-US"/>
              </w:rPr>
            </w:pPr>
            <w:r w:rsidRPr="00C06878">
              <w:rPr>
                <w:rFonts w:eastAsia="Times New Roman" w:cs="Times New Roman"/>
                <w:bCs w:val="0"/>
                <w:sz w:val="22"/>
                <w:lang w:val="en-US"/>
              </w:rPr>
              <w:t>Received</w:t>
            </w:r>
            <w:r w:rsidR="00EB49E2">
              <w:rPr>
                <w:rFonts w:eastAsia="Times New Roman" w:cs="Times New Roman"/>
                <w:bCs w:val="0"/>
                <w:sz w:val="22"/>
                <w:lang w:val="en-US"/>
              </w:rPr>
              <w:t xml:space="preserve"> </w:t>
            </w:r>
            <w:r w:rsidRPr="00C06878">
              <w:rPr>
                <w:rFonts w:eastAsia="Times New Roman" w:cs="Times New Roman"/>
                <w:bCs w:val="0"/>
                <w:sz w:val="22"/>
                <w:lang w:val="en-US"/>
              </w:rPr>
              <w:t>26-05-17</w:t>
            </w:r>
          </w:p>
        </w:tc>
      </w:tr>
      <w:tr w:rsidR="00430124" w:rsidRPr="00C06878" w:rsidTr="00AE6A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bottom w:val="none" w:sz="0" w:space="0" w:color="auto"/>
              <w:right w:val="none" w:sz="0" w:space="0" w:color="auto"/>
            </w:tcBorders>
            <w:noWrap/>
            <w:hideMark/>
          </w:tcPr>
          <w:p w:rsidR="00430124" w:rsidRPr="00C06878" w:rsidRDefault="00430124" w:rsidP="00430124">
            <w:pPr>
              <w:spacing w:after="0"/>
              <w:rPr>
                <w:rFonts w:eastAsia="Times New Roman" w:cs="Times New Roman"/>
                <w:color w:val="000000"/>
                <w:sz w:val="22"/>
                <w:lang w:val="en-US"/>
              </w:rPr>
            </w:pPr>
            <w:r w:rsidRPr="00C06878">
              <w:rPr>
                <w:rFonts w:eastAsia="Times New Roman" w:cs="Times New Roman"/>
                <w:color w:val="000000"/>
                <w:sz w:val="22"/>
                <w:lang w:val="en-US"/>
              </w:rPr>
              <w:t>RECIPIENT_ID</w:t>
            </w:r>
          </w:p>
        </w:tc>
        <w:tc>
          <w:tcPr>
            <w:cnfStyle w:val="000010000000" w:firstRow="0" w:lastRow="0" w:firstColumn="0" w:lastColumn="0" w:oddVBand="1" w:evenVBand="0" w:oddHBand="0" w:evenHBand="0" w:firstRowFirstColumn="0" w:firstRowLastColumn="0" w:lastRowFirstColumn="0" w:lastRowLastColumn="0"/>
            <w:tcW w:w="1168"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1</w:t>
            </w:r>
          </w:p>
        </w:tc>
        <w:tc>
          <w:tcPr>
            <w:tcW w:w="1219" w:type="dxa"/>
            <w:tcBorders>
              <w:top w:val="none" w:sz="0" w:space="0" w:color="auto"/>
              <w:bottom w:val="none" w:sz="0" w:space="0" w:color="auto"/>
            </w:tcBorders>
            <w:noWrap/>
            <w:hideMark/>
          </w:tcPr>
          <w:p w:rsidR="00430124" w:rsidRPr="00C06878" w:rsidRDefault="00430124"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219"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c>
          <w:tcPr>
            <w:tcW w:w="1219" w:type="dxa"/>
            <w:tcBorders>
              <w:top w:val="none" w:sz="0" w:space="0" w:color="auto"/>
              <w:bottom w:val="none" w:sz="0" w:space="0" w:color="auto"/>
            </w:tcBorders>
            <w:noWrap/>
            <w:hideMark/>
          </w:tcPr>
          <w:p w:rsidR="00430124" w:rsidRPr="00C06878" w:rsidRDefault="00430124"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162"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r>
      <w:tr w:rsidR="00430124" w:rsidRPr="00C06878" w:rsidTr="00AE6A54">
        <w:trPr>
          <w:trHeight w:val="30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noWrap/>
            <w:hideMark/>
          </w:tcPr>
          <w:p w:rsidR="00430124" w:rsidRPr="00C06878" w:rsidRDefault="00430124" w:rsidP="00430124">
            <w:pPr>
              <w:spacing w:after="0"/>
              <w:rPr>
                <w:rFonts w:eastAsia="Times New Roman" w:cs="Times New Roman"/>
                <w:color w:val="000000"/>
                <w:sz w:val="22"/>
                <w:lang w:val="en-US"/>
              </w:rPr>
            </w:pPr>
            <w:r w:rsidRPr="00C06878">
              <w:rPr>
                <w:rFonts w:eastAsia="Times New Roman" w:cs="Times New Roman"/>
                <w:color w:val="000000"/>
                <w:sz w:val="22"/>
                <w:lang w:val="en-US"/>
              </w:rPr>
              <w:t>ADMISSION_DATE</w:t>
            </w:r>
          </w:p>
        </w:tc>
        <w:tc>
          <w:tcPr>
            <w:cnfStyle w:val="000010000000" w:firstRow="0" w:lastRow="0" w:firstColumn="0" w:lastColumn="0" w:oddVBand="1" w:evenVBand="0" w:oddHBand="0" w:evenHBand="0" w:firstRowFirstColumn="0" w:firstRowLastColumn="0" w:lastRowFirstColumn="0" w:lastRowLastColumn="0"/>
            <w:tcW w:w="1168"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1</w:t>
            </w:r>
          </w:p>
        </w:tc>
        <w:tc>
          <w:tcPr>
            <w:tcW w:w="1219" w:type="dxa"/>
            <w:noWrap/>
            <w:hideMark/>
          </w:tcPr>
          <w:p w:rsidR="00430124" w:rsidRPr="00C06878" w:rsidRDefault="00430124"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219"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c>
          <w:tcPr>
            <w:tcW w:w="1219" w:type="dxa"/>
            <w:noWrap/>
            <w:hideMark/>
          </w:tcPr>
          <w:p w:rsidR="00430124" w:rsidRPr="00C06878" w:rsidRDefault="00430124"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162"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r>
      <w:tr w:rsidR="00430124" w:rsidRPr="00C06878" w:rsidTr="00AE6A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bottom w:val="none" w:sz="0" w:space="0" w:color="auto"/>
              <w:right w:val="none" w:sz="0" w:space="0" w:color="auto"/>
            </w:tcBorders>
            <w:noWrap/>
            <w:hideMark/>
          </w:tcPr>
          <w:p w:rsidR="00430124" w:rsidRPr="00C06878" w:rsidRDefault="00430124" w:rsidP="00430124">
            <w:pPr>
              <w:spacing w:after="0"/>
              <w:rPr>
                <w:rFonts w:eastAsia="Times New Roman" w:cs="Times New Roman"/>
                <w:color w:val="000000"/>
                <w:sz w:val="22"/>
                <w:lang w:val="en-US"/>
              </w:rPr>
            </w:pPr>
            <w:r w:rsidRPr="00C06878">
              <w:rPr>
                <w:rFonts w:eastAsia="Times New Roman" w:cs="Times New Roman"/>
                <w:color w:val="000000"/>
                <w:sz w:val="22"/>
                <w:lang w:val="en-US"/>
              </w:rPr>
              <w:t>DISCHARGE_DATE</w:t>
            </w:r>
          </w:p>
        </w:tc>
        <w:tc>
          <w:tcPr>
            <w:cnfStyle w:val="000010000000" w:firstRow="0" w:lastRow="0" w:firstColumn="0" w:lastColumn="0" w:oddVBand="1" w:evenVBand="0" w:oddHBand="0" w:evenHBand="0" w:firstRowFirstColumn="0" w:firstRowLastColumn="0" w:lastRowFirstColumn="0" w:lastRowLastColumn="0"/>
            <w:tcW w:w="1168"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1</w:t>
            </w:r>
          </w:p>
        </w:tc>
        <w:tc>
          <w:tcPr>
            <w:tcW w:w="1219" w:type="dxa"/>
            <w:tcBorders>
              <w:top w:val="none" w:sz="0" w:space="0" w:color="auto"/>
              <w:bottom w:val="none" w:sz="0" w:space="0" w:color="auto"/>
            </w:tcBorders>
            <w:noWrap/>
            <w:hideMark/>
          </w:tcPr>
          <w:p w:rsidR="00430124" w:rsidRPr="00C06878" w:rsidRDefault="00430124"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219"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c>
          <w:tcPr>
            <w:tcW w:w="1219" w:type="dxa"/>
            <w:tcBorders>
              <w:top w:val="none" w:sz="0" w:space="0" w:color="auto"/>
              <w:bottom w:val="none" w:sz="0" w:space="0" w:color="auto"/>
            </w:tcBorders>
            <w:noWrap/>
            <w:hideMark/>
          </w:tcPr>
          <w:p w:rsidR="00430124" w:rsidRPr="00C06878" w:rsidRDefault="00430124"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162"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r>
      <w:tr w:rsidR="00430124" w:rsidRPr="00C06878" w:rsidTr="00AE6A54">
        <w:trPr>
          <w:trHeight w:val="30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noWrap/>
            <w:hideMark/>
          </w:tcPr>
          <w:p w:rsidR="00430124" w:rsidRPr="00C06878" w:rsidRDefault="00430124" w:rsidP="00430124">
            <w:pPr>
              <w:spacing w:after="0"/>
              <w:rPr>
                <w:rFonts w:eastAsia="Times New Roman" w:cs="Times New Roman"/>
                <w:color w:val="000000"/>
                <w:sz w:val="22"/>
                <w:lang w:val="en-US"/>
              </w:rPr>
            </w:pPr>
            <w:r w:rsidRPr="00C06878">
              <w:rPr>
                <w:rFonts w:eastAsia="Times New Roman" w:cs="Times New Roman"/>
                <w:color w:val="000000"/>
                <w:sz w:val="22"/>
                <w:lang w:val="en-US"/>
              </w:rPr>
              <w:t>DISCHARGE_REASON</w:t>
            </w:r>
          </w:p>
        </w:tc>
        <w:tc>
          <w:tcPr>
            <w:cnfStyle w:val="000010000000" w:firstRow="0" w:lastRow="0" w:firstColumn="0" w:lastColumn="0" w:oddVBand="1" w:evenVBand="0" w:oddHBand="0" w:evenHBand="0" w:firstRowFirstColumn="0" w:firstRowLastColumn="0" w:lastRowFirstColumn="0" w:lastRowLastColumn="0"/>
            <w:tcW w:w="1168"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1</w:t>
            </w:r>
          </w:p>
        </w:tc>
        <w:tc>
          <w:tcPr>
            <w:tcW w:w="1219" w:type="dxa"/>
            <w:noWrap/>
            <w:hideMark/>
          </w:tcPr>
          <w:p w:rsidR="00430124" w:rsidRPr="00C06878" w:rsidRDefault="00430124"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219"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c>
          <w:tcPr>
            <w:tcW w:w="1219" w:type="dxa"/>
            <w:noWrap/>
            <w:hideMark/>
          </w:tcPr>
          <w:p w:rsidR="00430124" w:rsidRPr="00C06878" w:rsidRDefault="00430124"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162"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r>
      <w:tr w:rsidR="00430124" w:rsidRPr="00C06878" w:rsidTr="00AE6A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bottom w:val="none" w:sz="0" w:space="0" w:color="auto"/>
              <w:right w:val="none" w:sz="0" w:space="0" w:color="auto"/>
            </w:tcBorders>
            <w:noWrap/>
            <w:hideMark/>
          </w:tcPr>
          <w:p w:rsidR="00430124" w:rsidRPr="00C06878" w:rsidRDefault="00430124" w:rsidP="00430124">
            <w:pPr>
              <w:spacing w:after="0"/>
              <w:rPr>
                <w:rFonts w:eastAsia="Times New Roman" w:cs="Times New Roman"/>
                <w:color w:val="000000"/>
                <w:sz w:val="22"/>
                <w:lang w:val="en-US"/>
              </w:rPr>
            </w:pPr>
            <w:r w:rsidRPr="00C06878">
              <w:rPr>
                <w:rFonts w:eastAsia="Times New Roman" w:cs="Times New Roman"/>
                <w:color w:val="000000"/>
                <w:sz w:val="22"/>
                <w:lang w:val="en-US"/>
              </w:rPr>
              <w:t>ASSESSMENT_ID</w:t>
            </w:r>
          </w:p>
        </w:tc>
        <w:tc>
          <w:tcPr>
            <w:cnfStyle w:val="000010000000" w:firstRow="0" w:lastRow="0" w:firstColumn="0" w:lastColumn="0" w:oddVBand="1" w:evenVBand="0" w:oddHBand="0" w:evenHBand="0" w:firstRowFirstColumn="0" w:firstRowLastColumn="0" w:lastRowFirstColumn="0" w:lastRowLastColumn="0"/>
            <w:tcW w:w="1168"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1</w:t>
            </w:r>
          </w:p>
        </w:tc>
        <w:tc>
          <w:tcPr>
            <w:tcW w:w="1219" w:type="dxa"/>
            <w:tcBorders>
              <w:top w:val="none" w:sz="0" w:space="0" w:color="auto"/>
              <w:bottom w:val="none" w:sz="0" w:space="0" w:color="auto"/>
            </w:tcBorders>
            <w:noWrap/>
            <w:hideMark/>
          </w:tcPr>
          <w:p w:rsidR="00430124" w:rsidRPr="00C06878" w:rsidRDefault="00430124"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219"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c>
          <w:tcPr>
            <w:tcW w:w="1219" w:type="dxa"/>
            <w:tcBorders>
              <w:top w:val="none" w:sz="0" w:space="0" w:color="auto"/>
              <w:bottom w:val="none" w:sz="0" w:space="0" w:color="auto"/>
            </w:tcBorders>
            <w:noWrap/>
            <w:hideMark/>
          </w:tcPr>
          <w:p w:rsidR="00430124" w:rsidRPr="00C06878" w:rsidRDefault="00430124"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162"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r>
      <w:tr w:rsidR="00430124" w:rsidRPr="00C06878" w:rsidTr="00AE6A54">
        <w:trPr>
          <w:trHeight w:val="30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noWrap/>
            <w:hideMark/>
          </w:tcPr>
          <w:p w:rsidR="00430124" w:rsidRPr="00C06878" w:rsidRDefault="00430124" w:rsidP="00430124">
            <w:pPr>
              <w:spacing w:after="0"/>
              <w:rPr>
                <w:rFonts w:eastAsia="Times New Roman" w:cs="Times New Roman"/>
                <w:color w:val="000000"/>
                <w:sz w:val="22"/>
                <w:lang w:val="en-US"/>
              </w:rPr>
            </w:pPr>
            <w:r w:rsidRPr="00C06878">
              <w:rPr>
                <w:rFonts w:eastAsia="Times New Roman" w:cs="Times New Roman"/>
                <w:color w:val="000000"/>
                <w:sz w:val="22"/>
                <w:lang w:val="en-US"/>
              </w:rPr>
              <w:t>ASSESSMENT_DATE</w:t>
            </w:r>
          </w:p>
        </w:tc>
        <w:tc>
          <w:tcPr>
            <w:cnfStyle w:val="000010000000" w:firstRow="0" w:lastRow="0" w:firstColumn="0" w:lastColumn="0" w:oddVBand="1" w:evenVBand="0" w:oddHBand="0" w:evenHBand="0" w:firstRowFirstColumn="0" w:firstRowLastColumn="0" w:lastRowFirstColumn="0" w:lastRowLastColumn="0"/>
            <w:tcW w:w="1168"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1</w:t>
            </w:r>
          </w:p>
        </w:tc>
        <w:tc>
          <w:tcPr>
            <w:tcW w:w="1219" w:type="dxa"/>
            <w:noWrap/>
            <w:hideMark/>
          </w:tcPr>
          <w:p w:rsidR="00430124" w:rsidRPr="00C06878" w:rsidRDefault="00430124"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219"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c>
          <w:tcPr>
            <w:tcW w:w="1219" w:type="dxa"/>
            <w:noWrap/>
            <w:hideMark/>
          </w:tcPr>
          <w:p w:rsidR="00430124" w:rsidRPr="00C06878" w:rsidRDefault="00430124"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162"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r>
      <w:tr w:rsidR="00430124" w:rsidRPr="00C06878" w:rsidTr="00AE6A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bottom w:val="none" w:sz="0" w:space="0" w:color="auto"/>
              <w:right w:val="none" w:sz="0" w:space="0" w:color="auto"/>
            </w:tcBorders>
            <w:noWrap/>
            <w:hideMark/>
          </w:tcPr>
          <w:p w:rsidR="00430124" w:rsidRPr="00C06878" w:rsidRDefault="00430124" w:rsidP="00430124">
            <w:pPr>
              <w:spacing w:after="0"/>
              <w:rPr>
                <w:rFonts w:eastAsia="Times New Roman" w:cs="Times New Roman"/>
                <w:color w:val="000000"/>
                <w:sz w:val="22"/>
                <w:lang w:val="en-US"/>
              </w:rPr>
            </w:pPr>
            <w:r w:rsidRPr="00C06878">
              <w:rPr>
                <w:rFonts w:eastAsia="Times New Roman" w:cs="Times New Roman"/>
                <w:color w:val="000000"/>
                <w:sz w:val="22"/>
                <w:lang w:val="en-US"/>
              </w:rPr>
              <w:t>ASSESSMENT_START_DATE</w:t>
            </w:r>
          </w:p>
        </w:tc>
        <w:tc>
          <w:tcPr>
            <w:cnfStyle w:val="000010000000" w:firstRow="0" w:lastRow="0" w:firstColumn="0" w:lastColumn="0" w:oddVBand="1" w:evenVBand="0" w:oddHBand="0" w:evenHBand="0" w:firstRowFirstColumn="0" w:firstRowLastColumn="0" w:lastRowFirstColumn="0" w:lastRowLastColumn="0"/>
            <w:tcW w:w="1168"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1</w:t>
            </w:r>
          </w:p>
        </w:tc>
        <w:tc>
          <w:tcPr>
            <w:tcW w:w="1219" w:type="dxa"/>
            <w:tcBorders>
              <w:top w:val="none" w:sz="0" w:space="0" w:color="auto"/>
              <w:bottom w:val="none" w:sz="0" w:space="0" w:color="auto"/>
            </w:tcBorders>
            <w:noWrap/>
            <w:hideMark/>
          </w:tcPr>
          <w:p w:rsidR="00430124" w:rsidRPr="00C06878" w:rsidRDefault="00430124"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219"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c>
          <w:tcPr>
            <w:tcW w:w="1219" w:type="dxa"/>
            <w:tcBorders>
              <w:top w:val="none" w:sz="0" w:space="0" w:color="auto"/>
              <w:bottom w:val="none" w:sz="0" w:space="0" w:color="auto"/>
            </w:tcBorders>
            <w:noWrap/>
            <w:hideMark/>
          </w:tcPr>
          <w:p w:rsidR="00430124" w:rsidRPr="00C06878" w:rsidRDefault="00430124"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162"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r>
      <w:tr w:rsidR="00430124" w:rsidRPr="00C06878" w:rsidTr="00AE6A54">
        <w:trPr>
          <w:trHeight w:val="30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noWrap/>
            <w:hideMark/>
          </w:tcPr>
          <w:p w:rsidR="00430124" w:rsidRPr="00C06878" w:rsidRDefault="00430124" w:rsidP="00430124">
            <w:pPr>
              <w:spacing w:after="0"/>
              <w:rPr>
                <w:rFonts w:eastAsia="Times New Roman" w:cs="Times New Roman"/>
                <w:color w:val="000000"/>
                <w:sz w:val="22"/>
                <w:lang w:val="en-US"/>
              </w:rPr>
            </w:pPr>
            <w:r w:rsidRPr="00C06878">
              <w:rPr>
                <w:rFonts w:eastAsia="Times New Roman" w:cs="Times New Roman"/>
                <w:color w:val="000000"/>
                <w:sz w:val="22"/>
                <w:lang w:val="en-US"/>
              </w:rPr>
              <w:t>ASSESSMENT_END_DATE</w:t>
            </w:r>
          </w:p>
        </w:tc>
        <w:tc>
          <w:tcPr>
            <w:cnfStyle w:val="000010000000" w:firstRow="0" w:lastRow="0" w:firstColumn="0" w:lastColumn="0" w:oddVBand="1" w:evenVBand="0" w:oddHBand="0" w:evenHBand="0" w:firstRowFirstColumn="0" w:firstRowLastColumn="0" w:lastRowFirstColumn="0" w:lastRowLastColumn="0"/>
            <w:tcW w:w="1168"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1</w:t>
            </w:r>
          </w:p>
        </w:tc>
        <w:tc>
          <w:tcPr>
            <w:tcW w:w="1219" w:type="dxa"/>
            <w:noWrap/>
            <w:hideMark/>
          </w:tcPr>
          <w:p w:rsidR="00430124" w:rsidRPr="00C06878" w:rsidRDefault="00430124"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219"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c>
          <w:tcPr>
            <w:tcW w:w="1219" w:type="dxa"/>
            <w:noWrap/>
            <w:hideMark/>
          </w:tcPr>
          <w:p w:rsidR="00430124" w:rsidRPr="00C06878" w:rsidRDefault="00430124"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162"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r>
      <w:tr w:rsidR="00430124" w:rsidRPr="00C06878" w:rsidTr="00AE6A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bottom w:val="none" w:sz="0" w:space="0" w:color="auto"/>
              <w:right w:val="none" w:sz="0" w:space="0" w:color="auto"/>
            </w:tcBorders>
            <w:noWrap/>
            <w:hideMark/>
          </w:tcPr>
          <w:p w:rsidR="00430124" w:rsidRPr="00C06878" w:rsidRDefault="00430124" w:rsidP="00430124">
            <w:pPr>
              <w:spacing w:after="0"/>
              <w:rPr>
                <w:rFonts w:eastAsia="Times New Roman" w:cs="Times New Roman"/>
                <w:color w:val="000000"/>
                <w:sz w:val="22"/>
                <w:lang w:val="en-US"/>
              </w:rPr>
            </w:pPr>
            <w:r w:rsidRPr="00C06878">
              <w:rPr>
                <w:rFonts w:eastAsia="Times New Roman" w:cs="Times New Roman"/>
                <w:color w:val="000000"/>
                <w:sz w:val="22"/>
                <w:lang w:val="en-US"/>
              </w:rPr>
              <w:t>ASSESSMENT_REASON</w:t>
            </w:r>
          </w:p>
        </w:tc>
        <w:tc>
          <w:tcPr>
            <w:cnfStyle w:val="000010000000" w:firstRow="0" w:lastRow="0" w:firstColumn="0" w:lastColumn="0" w:oddVBand="1" w:evenVBand="0" w:oddHBand="0" w:evenHBand="0" w:firstRowFirstColumn="0" w:firstRowLastColumn="0" w:lastRowFirstColumn="0" w:lastRowLastColumn="0"/>
            <w:tcW w:w="1168"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1</w:t>
            </w:r>
          </w:p>
        </w:tc>
        <w:tc>
          <w:tcPr>
            <w:tcW w:w="1219" w:type="dxa"/>
            <w:tcBorders>
              <w:top w:val="none" w:sz="0" w:space="0" w:color="auto"/>
              <w:bottom w:val="none" w:sz="0" w:space="0" w:color="auto"/>
            </w:tcBorders>
            <w:noWrap/>
            <w:hideMark/>
          </w:tcPr>
          <w:p w:rsidR="00430124" w:rsidRPr="00C06878" w:rsidRDefault="00430124"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no</w:t>
            </w:r>
          </w:p>
        </w:tc>
        <w:tc>
          <w:tcPr>
            <w:cnfStyle w:val="000010000000" w:firstRow="0" w:lastRow="0" w:firstColumn="0" w:lastColumn="0" w:oddVBand="1" w:evenVBand="0" w:oddHBand="0" w:evenHBand="0" w:firstRowFirstColumn="0" w:firstRowLastColumn="0" w:lastRowFirstColumn="0" w:lastRowLastColumn="0"/>
            <w:tcW w:w="1219"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c>
          <w:tcPr>
            <w:tcW w:w="1219" w:type="dxa"/>
            <w:tcBorders>
              <w:top w:val="none" w:sz="0" w:space="0" w:color="auto"/>
              <w:bottom w:val="none" w:sz="0" w:space="0" w:color="auto"/>
            </w:tcBorders>
            <w:noWrap/>
            <w:hideMark/>
          </w:tcPr>
          <w:p w:rsidR="00430124" w:rsidRPr="00C06878" w:rsidRDefault="00430124"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162"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r>
      <w:tr w:rsidR="00430124" w:rsidRPr="00C06878" w:rsidTr="00AE6A54">
        <w:trPr>
          <w:trHeight w:val="30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noWrap/>
            <w:hideMark/>
          </w:tcPr>
          <w:p w:rsidR="00430124" w:rsidRPr="00C06878" w:rsidRDefault="00430124" w:rsidP="00430124">
            <w:pPr>
              <w:spacing w:after="0"/>
              <w:rPr>
                <w:rFonts w:eastAsia="Times New Roman" w:cs="Times New Roman"/>
                <w:color w:val="000000"/>
                <w:sz w:val="22"/>
                <w:lang w:val="en-US"/>
              </w:rPr>
            </w:pPr>
            <w:r w:rsidRPr="00C06878">
              <w:rPr>
                <w:rFonts w:eastAsia="Times New Roman" w:cs="Times New Roman"/>
                <w:color w:val="000000"/>
                <w:sz w:val="22"/>
                <w:lang w:val="en-US"/>
              </w:rPr>
              <w:t>ASSESSMENT_CLASSIFICATION</w:t>
            </w:r>
          </w:p>
        </w:tc>
        <w:tc>
          <w:tcPr>
            <w:cnfStyle w:val="000010000000" w:firstRow="0" w:lastRow="0" w:firstColumn="0" w:lastColumn="0" w:oddVBand="1" w:evenVBand="0" w:oddHBand="0" w:evenHBand="0" w:firstRowFirstColumn="0" w:firstRowLastColumn="0" w:lastRowFirstColumn="0" w:lastRowLastColumn="0"/>
            <w:tcW w:w="1168"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1</w:t>
            </w:r>
          </w:p>
        </w:tc>
        <w:tc>
          <w:tcPr>
            <w:tcW w:w="1219" w:type="dxa"/>
            <w:noWrap/>
            <w:hideMark/>
          </w:tcPr>
          <w:p w:rsidR="00430124" w:rsidRPr="00C06878" w:rsidRDefault="00430124"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no</w:t>
            </w:r>
          </w:p>
        </w:tc>
        <w:tc>
          <w:tcPr>
            <w:cnfStyle w:val="000010000000" w:firstRow="0" w:lastRow="0" w:firstColumn="0" w:lastColumn="0" w:oddVBand="1" w:evenVBand="0" w:oddHBand="0" w:evenHBand="0" w:firstRowFirstColumn="0" w:firstRowLastColumn="0" w:lastRowFirstColumn="0" w:lastRowLastColumn="0"/>
            <w:tcW w:w="1219"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c>
          <w:tcPr>
            <w:tcW w:w="1219" w:type="dxa"/>
            <w:noWrap/>
            <w:hideMark/>
          </w:tcPr>
          <w:p w:rsidR="00430124" w:rsidRPr="00C06878" w:rsidRDefault="00430124"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162"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r>
      <w:tr w:rsidR="00430124" w:rsidRPr="00C06878" w:rsidTr="00AE6A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bottom w:val="none" w:sz="0" w:space="0" w:color="auto"/>
              <w:right w:val="none" w:sz="0" w:space="0" w:color="auto"/>
            </w:tcBorders>
            <w:noWrap/>
            <w:hideMark/>
          </w:tcPr>
          <w:p w:rsidR="00430124" w:rsidRPr="00C06878" w:rsidRDefault="00430124" w:rsidP="00430124">
            <w:pPr>
              <w:spacing w:after="0"/>
              <w:rPr>
                <w:rFonts w:eastAsia="Times New Roman" w:cs="Times New Roman"/>
                <w:color w:val="000000"/>
                <w:sz w:val="22"/>
                <w:lang w:val="en-US"/>
              </w:rPr>
            </w:pPr>
            <w:r w:rsidRPr="00C06878">
              <w:rPr>
                <w:rFonts w:eastAsia="Times New Roman" w:cs="Times New Roman"/>
                <w:color w:val="000000"/>
                <w:sz w:val="22"/>
                <w:lang w:val="en-US"/>
              </w:rPr>
              <w:t>REASSESSMENT_REASON</w:t>
            </w:r>
          </w:p>
        </w:tc>
        <w:tc>
          <w:tcPr>
            <w:cnfStyle w:val="000010000000" w:firstRow="0" w:lastRow="0" w:firstColumn="0" w:lastColumn="0" w:oddVBand="1" w:evenVBand="0" w:oddHBand="0" w:evenHBand="0" w:firstRowFirstColumn="0" w:firstRowLastColumn="0" w:lastRowFirstColumn="0" w:lastRowLastColumn="0"/>
            <w:tcW w:w="1168"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1</w:t>
            </w:r>
          </w:p>
        </w:tc>
        <w:tc>
          <w:tcPr>
            <w:tcW w:w="1219" w:type="dxa"/>
            <w:tcBorders>
              <w:top w:val="none" w:sz="0" w:space="0" w:color="auto"/>
              <w:bottom w:val="none" w:sz="0" w:space="0" w:color="auto"/>
            </w:tcBorders>
            <w:noWrap/>
            <w:hideMark/>
          </w:tcPr>
          <w:p w:rsidR="00430124" w:rsidRPr="00C06878" w:rsidRDefault="00430124"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219"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c>
          <w:tcPr>
            <w:tcW w:w="1219" w:type="dxa"/>
            <w:tcBorders>
              <w:top w:val="none" w:sz="0" w:space="0" w:color="auto"/>
              <w:bottom w:val="none" w:sz="0" w:space="0" w:color="auto"/>
            </w:tcBorders>
            <w:noWrap/>
            <w:hideMark/>
          </w:tcPr>
          <w:p w:rsidR="00430124" w:rsidRPr="00C06878" w:rsidRDefault="00430124"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162"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r>
      <w:tr w:rsidR="00430124" w:rsidRPr="00C06878" w:rsidTr="00AE6A54">
        <w:trPr>
          <w:trHeight w:val="30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noWrap/>
            <w:hideMark/>
          </w:tcPr>
          <w:p w:rsidR="00430124" w:rsidRPr="00C06878" w:rsidRDefault="00430124" w:rsidP="00430124">
            <w:pPr>
              <w:spacing w:after="0"/>
              <w:rPr>
                <w:rFonts w:eastAsia="Times New Roman" w:cs="Times New Roman"/>
                <w:color w:val="000000"/>
                <w:sz w:val="22"/>
                <w:lang w:val="en-US"/>
              </w:rPr>
            </w:pPr>
            <w:r w:rsidRPr="00C06878">
              <w:rPr>
                <w:rFonts w:eastAsia="Times New Roman" w:cs="Times New Roman"/>
                <w:color w:val="000000"/>
                <w:sz w:val="22"/>
                <w:lang w:val="en-US"/>
              </w:rPr>
              <w:t>ACFI_CATEGORY</w:t>
            </w:r>
          </w:p>
        </w:tc>
        <w:tc>
          <w:tcPr>
            <w:cnfStyle w:val="000010000000" w:firstRow="0" w:lastRow="0" w:firstColumn="0" w:lastColumn="0" w:oddVBand="1" w:evenVBand="0" w:oddHBand="0" w:evenHBand="0" w:firstRowFirstColumn="0" w:firstRowLastColumn="0" w:lastRowFirstColumn="0" w:lastRowLastColumn="0"/>
            <w:tcW w:w="1168"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1</w:t>
            </w:r>
          </w:p>
        </w:tc>
        <w:tc>
          <w:tcPr>
            <w:tcW w:w="1219" w:type="dxa"/>
            <w:noWrap/>
            <w:hideMark/>
          </w:tcPr>
          <w:p w:rsidR="00430124" w:rsidRPr="00C06878" w:rsidRDefault="00430124"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219"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c>
          <w:tcPr>
            <w:tcW w:w="1219" w:type="dxa"/>
            <w:noWrap/>
            <w:hideMark/>
          </w:tcPr>
          <w:p w:rsidR="00430124" w:rsidRPr="00C06878" w:rsidRDefault="00430124"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162"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r>
      <w:tr w:rsidR="00430124" w:rsidRPr="00C06878" w:rsidTr="00AE6A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bottom w:val="none" w:sz="0" w:space="0" w:color="auto"/>
              <w:right w:val="none" w:sz="0" w:space="0" w:color="auto"/>
            </w:tcBorders>
            <w:noWrap/>
            <w:hideMark/>
          </w:tcPr>
          <w:p w:rsidR="00430124" w:rsidRPr="00C06878" w:rsidRDefault="00430124" w:rsidP="00430124">
            <w:pPr>
              <w:spacing w:after="0"/>
              <w:rPr>
                <w:rFonts w:eastAsia="Times New Roman" w:cs="Times New Roman"/>
                <w:color w:val="000000"/>
                <w:sz w:val="22"/>
                <w:lang w:val="en-US"/>
              </w:rPr>
            </w:pPr>
            <w:r w:rsidRPr="00C06878">
              <w:rPr>
                <w:rFonts w:eastAsia="Times New Roman" w:cs="Times New Roman"/>
                <w:color w:val="000000"/>
                <w:sz w:val="22"/>
                <w:lang w:val="en-US"/>
              </w:rPr>
              <w:t>ORGANISATION_TYPE</w:t>
            </w:r>
          </w:p>
        </w:tc>
        <w:tc>
          <w:tcPr>
            <w:cnfStyle w:val="000010000000" w:firstRow="0" w:lastRow="0" w:firstColumn="0" w:lastColumn="0" w:oddVBand="1" w:evenVBand="0" w:oddHBand="0" w:evenHBand="0" w:firstRowFirstColumn="0" w:firstRowLastColumn="0" w:lastRowFirstColumn="0" w:lastRowLastColumn="0"/>
            <w:tcW w:w="1168"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1</w:t>
            </w:r>
          </w:p>
        </w:tc>
        <w:tc>
          <w:tcPr>
            <w:tcW w:w="1219" w:type="dxa"/>
            <w:tcBorders>
              <w:top w:val="none" w:sz="0" w:space="0" w:color="auto"/>
              <w:bottom w:val="none" w:sz="0" w:space="0" w:color="auto"/>
            </w:tcBorders>
            <w:noWrap/>
            <w:hideMark/>
          </w:tcPr>
          <w:p w:rsidR="00430124" w:rsidRPr="00C06878" w:rsidRDefault="00430124"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219"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c>
          <w:tcPr>
            <w:tcW w:w="1219" w:type="dxa"/>
            <w:tcBorders>
              <w:top w:val="none" w:sz="0" w:space="0" w:color="auto"/>
              <w:bottom w:val="none" w:sz="0" w:space="0" w:color="auto"/>
            </w:tcBorders>
            <w:noWrap/>
            <w:hideMark/>
          </w:tcPr>
          <w:p w:rsidR="00430124" w:rsidRPr="00C06878" w:rsidRDefault="00430124"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162"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r>
      <w:tr w:rsidR="00430124" w:rsidRPr="00C06878" w:rsidTr="00AE6A54">
        <w:trPr>
          <w:trHeight w:val="30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noWrap/>
            <w:hideMark/>
          </w:tcPr>
          <w:p w:rsidR="00430124" w:rsidRPr="00C06878" w:rsidRDefault="00430124" w:rsidP="00430124">
            <w:pPr>
              <w:spacing w:after="0"/>
              <w:rPr>
                <w:rFonts w:eastAsia="Times New Roman" w:cs="Times New Roman"/>
                <w:color w:val="000000"/>
                <w:sz w:val="22"/>
                <w:lang w:val="en-US"/>
              </w:rPr>
            </w:pPr>
            <w:r w:rsidRPr="00C06878">
              <w:rPr>
                <w:rFonts w:eastAsia="Times New Roman" w:cs="Times New Roman"/>
                <w:color w:val="000000"/>
                <w:sz w:val="22"/>
                <w:lang w:val="en-US"/>
              </w:rPr>
              <w:t>ABS_DESCRIPTION</w:t>
            </w:r>
          </w:p>
        </w:tc>
        <w:tc>
          <w:tcPr>
            <w:cnfStyle w:val="000010000000" w:firstRow="0" w:lastRow="0" w:firstColumn="0" w:lastColumn="0" w:oddVBand="1" w:evenVBand="0" w:oddHBand="0" w:evenHBand="0" w:firstRowFirstColumn="0" w:firstRowLastColumn="0" w:lastRowFirstColumn="0" w:lastRowLastColumn="0"/>
            <w:tcW w:w="1168"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1</w:t>
            </w:r>
          </w:p>
        </w:tc>
        <w:tc>
          <w:tcPr>
            <w:tcW w:w="1219" w:type="dxa"/>
            <w:noWrap/>
            <w:hideMark/>
          </w:tcPr>
          <w:p w:rsidR="00430124" w:rsidRPr="00C06878" w:rsidRDefault="00430124"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219"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c>
          <w:tcPr>
            <w:tcW w:w="1219" w:type="dxa"/>
            <w:noWrap/>
            <w:hideMark/>
          </w:tcPr>
          <w:p w:rsidR="00430124" w:rsidRPr="00C06878" w:rsidRDefault="00430124"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162"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r>
      <w:tr w:rsidR="00430124" w:rsidRPr="00C06878" w:rsidTr="00AE6A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bottom w:val="none" w:sz="0" w:space="0" w:color="auto"/>
              <w:right w:val="none" w:sz="0" w:space="0" w:color="auto"/>
            </w:tcBorders>
            <w:noWrap/>
            <w:hideMark/>
          </w:tcPr>
          <w:p w:rsidR="00430124" w:rsidRPr="00C06878" w:rsidRDefault="00430124" w:rsidP="00430124">
            <w:pPr>
              <w:spacing w:after="0"/>
              <w:rPr>
                <w:rFonts w:eastAsia="Times New Roman" w:cs="Times New Roman"/>
                <w:color w:val="000000"/>
                <w:sz w:val="22"/>
                <w:lang w:val="en-US"/>
              </w:rPr>
            </w:pPr>
            <w:r w:rsidRPr="00C06878">
              <w:rPr>
                <w:rFonts w:eastAsia="Times New Roman" w:cs="Times New Roman"/>
                <w:color w:val="000000"/>
                <w:sz w:val="22"/>
                <w:lang w:val="en-US"/>
              </w:rPr>
              <w:t>STATE_NAME</w:t>
            </w:r>
          </w:p>
        </w:tc>
        <w:tc>
          <w:tcPr>
            <w:cnfStyle w:val="000010000000" w:firstRow="0" w:lastRow="0" w:firstColumn="0" w:lastColumn="0" w:oddVBand="1" w:evenVBand="0" w:oddHBand="0" w:evenHBand="0" w:firstRowFirstColumn="0" w:firstRowLastColumn="0" w:lastRowFirstColumn="0" w:lastRowLastColumn="0"/>
            <w:tcW w:w="1168"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1</w:t>
            </w:r>
          </w:p>
        </w:tc>
        <w:tc>
          <w:tcPr>
            <w:tcW w:w="1219" w:type="dxa"/>
            <w:tcBorders>
              <w:top w:val="none" w:sz="0" w:space="0" w:color="auto"/>
              <w:bottom w:val="none" w:sz="0" w:space="0" w:color="auto"/>
            </w:tcBorders>
            <w:noWrap/>
            <w:hideMark/>
          </w:tcPr>
          <w:p w:rsidR="00430124" w:rsidRPr="00C06878" w:rsidRDefault="00430124"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219"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c>
          <w:tcPr>
            <w:tcW w:w="1219" w:type="dxa"/>
            <w:tcBorders>
              <w:top w:val="none" w:sz="0" w:space="0" w:color="auto"/>
              <w:bottom w:val="none" w:sz="0" w:space="0" w:color="auto"/>
            </w:tcBorders>
            <w:noWrap/>
            <w:hideMark/>
          </w:tcPr>
          <w:p w:rsidR="00430124" w:rsidRPr="00C06878" w:rsidRDefault="00430124"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162"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r>
      <w:tr w:rsidR="00430124" w:rsidRPr="00C06878" w:rsidTr="00AE6A54">
        <w:trPr>
          <w:trHeight w:val="30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noWrap/>
            <w:hideMark/>
          </w:tcPr>
          <w:p w:rsidR="00430124" w:rsidRPr="00C06878" w:rsidRDefault="00430124" w:rsidP="00430124">
            <w:pPr>
              <w:spacing w:after="0"/>
              <w:rPr>
                <w:rFonts w:eastAsia="Times New Roman" w:cs="Times New Roman"/>
                <w:color w:val="000000"/>
                <w:sz w:val="22"/>
                <w:lang w:val="en-US"/>
              </w:rPr>
            </w:pPr>
            <w:r w:rsidRPr="00C06878">
              <w:rPr>
                <w:rFonts w:eastAsia="Times New Roman" w:cs="Times New Roman"/>
                <w:color w:val="000000"/>
                <w:sz w:val="22"/>
                <w:lang w:val="en-US"/>
              </w:rPr>
              <w:t>DAYS</w:t>
            </w:r>
          </w:p>
        </w:tc>
        <w:tc>
          <w:tcPr>
            <w:cnfStyle w:val="000010000000" w:firstRow="0" w:lastRow="0" w:firstColumn="0" w:lastColumn="0" w:oddVBand="1" w:evenVBand="0" w:oddHBand="0" w:evenHBand="0" w:firstRowFirstColumn="0" w:firstRowLastColumn="0" w:lastRowFirstColumn="0" w:lastRowLastColumn="0"/>
            <w:tcW w:w="1168"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1</w:t>
            </w:r>
          </w:p>
        </w:tc>
        <w:tc>
          <w:tcPr>
            <w:tcW w:w="1219" w:type="dxa"/>
            <w:noWrap/>
            <w:hideMark/>
          </w:tcPr>
          <w:p w:rsidR="00430124" w:rsidRPr="00C06878" w:rsidRDefault="00430124"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219"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c>
          <w:tcPr>
            <w:tcW w:w="1219" w:type="dxa"/>
            <w:noWrap/>
            <w:hideMark/>
          </w:tcPr>
          <w:p w:rsidR="00430124" w:rsidRPr="00C06878" w:rsidRDefault="00430124"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162"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r>
      <w:tr w:rsidR="00430124" w:rsidRPr="00C06878" w:rsidTr="00AE6A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bottom w:val="none" w:sz="0" w:space="0" w:color="auto"/>
              <w:right w:val="none" w:sz="0" w:space="0" w:color="auto"/>
            </w:tcBorders>
            <w:noWrap/>
            <w:hideMark/>
          </w:tcPr>
          <w:p w:rsidR="00430124" w:rsidRPr="00C06878" w:rsidRDefault="00430124" w:rsidP="00430124">
            <w:pPr>
              <w:spacing w:after="0"/>
              <w:rPr>
                <w:rFonts w:eastAsia="Times New Roman" w:cs="Times New Roman"/>
                <w:color w:val="000000"/>
                <w:sz w:val="22"/>
                <w:lang w:val="en-US"/>
              </w:rPr>
            </w:pPr>
            <w:r w:rsidRPr="00C06878">
              <w:rPr>
                <w:rFonts w:eastAsia="Times New Roman" w:cs="Times New Roman"/>
                <w:color w:val="000000"/>
                <w:sz w:val="22"/>
                <w:lang w:val="en-US"/>
              </w:rPr>
              <w:t>Q01</w:t>
            </w:r>
          </w:p>
        </w:tc>
        <w:tc>
          <w:tcPr>
            <w:cnfStyle w:val="000010000000" w:firstRow="0" w:lastRow="0" w:firstColumn="0" w:lastColumn="0" w:oddVBand="1" w:evenVBand="0" w:oddHBand="0" w:evenHBand="0" w:firstRowFirstColumn="0" w:firstRowLastColumn="0" w:lastRowFirstColumn="0" w:lastRowLastColumn="0"/>
            <w:tcW w:w="1168"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12</w:t>
            </w:r>
          </w:p>
        </w:tc>
        <w:tc>
          <w:tcPr>
            <w:tcW w:w="1219" w:type="dxa"/>
            <w:tcBorders>
              <w:top w:val="none" w:sz="0" w:space="0" w:color="auto"/>
              <w:bottom w:val="none" w:sz="0" w:space="0" w:color="auto"/>
            </w:tcBorders>
            <w:noWrap/>
            <w:hideMark/>
          </w:tcPr>
          <w:p w:rsidR="00430124" w:rsidRPr="00C06878" w:rsidRDefault="00430124"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219"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c>
          <w:tcPr>
            <w:tcW w:w="1219" w:type="dxa"/>
            <w:tcBorders>
              <w:top w:val="none" w:sz="0" w:space="0" w:color="auto"/>
              <w:bottom w:val="none" w:sz="0" w:space="0" w:color="auto"/>
            </w:tcBorders>
            <w:noWrap/>
            <w:hideMark/>
          </w:tcPr>
          <w:p w:rsidR="00430124" w:rsidRPr="00C06878" w:rsidRDefault="00430124"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162"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r>
      <w:tr w:rsidR="00430124" w:rsidRPr="00C06878" w:rsidTr="00AE6A54">
        <w:trPr>
          <w:trHeight w:val="30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noWrap/>
            <w:hideMark/>
          </w:tcPr>
          <w:p w:rsidR="00430124" w:rsidRPr="00C06878" w:rsidRDefault="00430124" w:rsidP="00430124">
            <w:pPr>
              <w:spacing w:after="0"/>
              <w:rPr>
                <w:rFonts w:eastAsia="Times New Roman" w:cs="Times New Roman"/>
                <w:color w:val="000000"/>
                <w:sz w:val="22"/>
                <w:lang w:val="en-US"/>
              </w:rPr>
            </w:pPr>
            <w:r w:rsidRPr="00C06878">
              <w:rPr>
                <w:rFonts w:eastAsia="Times New Roman" w:cs="Times New Roman"/>
                <w:color w:val="000000"/>
                <w:sz w:val="22"/>
                <w:lang w:val="en-US"/>
              </w:rPr>
              <w:t>Q01-R01</w:t>
            </w:r>
          </w:p>
        </w:tc>
        <w:tc>
          <w:tcPr>
            <w:cnfStyle w:val="000010000000" w:firstRow="0" w:lastRow="0" w:firstColumn="0" w:lastColumn="0" w:oddVBand="1" w:evenVBand="0" w:oddHBand="0" w:evenHBand="0" w:firstRowFirstColumn="0" w:firstRowLastColumn="0" w:lastRowFirstColumn="0" w:lastRowLastColumn="0"/>
            <w:tcW w:w="1168"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90</w:t>
            </w:r>
          </w:p>
        </w:tc>
        <w:tc>
          <w:tcPr>
            <w:tcW w:w="1219" w:type="dxa"/>
            <w:noWrap/>
            <w:hideMark/>
          </w:tcPr>
          <w:p w:rsidR="00430124" w:rsidRPr="00C06878" w:rsidRDefault="00430124"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219"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c>
          <w:tcPr>
            <w:tcW w:w="1219" w:type="dxa"/>
            <w:noWrap/>
            <w:hideMark/>
          </w:tcPr>
          <w:p w:rsidR="00430124" w:rsidRPr="00C06878" w:rsidRDefault="00430124"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162"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r>
      <w:tr w:rsidR="00430124" w:rsidRPr="00C06878" w:rsidTr="00AE6A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bottom w:val="none" w:sz="0" w:space="0" w:color="auto"/>
              <w:right w:val="none" w:sz="0" w:space="0" w:color="auto"/>
            </w:tcBorders>
            <w:noWrap/>
            <w:hideMark/>
          </w:tcPr>
          <w:p w:rsidR="00430124" w:rsidRPr="00C06878" w:rsidRDefault="00430124" w:rsidP="00430124">
            <w:pPr>
              <w:spacing w:after="0"/>
              <w:rPr>
                <w:rFonts w:eastAsia="Times New Roman" w:cs="Times New Roman"/>
                <w:color w:val="000000"/>
                <w:sz w:val="22"/>
                <w:lang w:val="en-US"/>
              </w:rPr>
            </w:pPr>
            <w:r w:rsidRPr="00C06878">
              <w:rPr>
                <w:rFonts w:eastAsia="Times New Roman" w:cs="Times New Roman"/>
                <w:color w:val="000000"/>
                <w:sz w:val="22"/>
                <w:lang w:val="en-US"/>
              </w:rPr>
              <w:t>VALID_YN</w:t>
            </w:r>
          </w:p>
        </w:tc>
        <w:tc>
          <w:tcPr>
            <w:cnfStyle w:val="000010000000" w:firstRow="0" w:lastRow="0" w:firstColumn="0" w:lastColumn="0" w:oddVBand="1" w:evenVBand="0" w:oddHBand="0" w:evenHBand="0" w:firstRowFirstColumn="0" w:firstRowLastColumn="0" w:lastRowFirstColumn="0" w:lastRowLastColumn="0"/>
            <w:tcW w:w="1168"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1</w:t>
            </w:r>
          </w:p>
        </w:tc>
        <w:tc>
          <w:tcPr>
            <w:tcW w:w="1219" w:type="dxa"/>
            <w:tcBorders>
              <w:top w:val="none" w:sz="0" w:space="0" w:color="auto"/>
              <w:bottom w:val="none" w:sz="0" w:space="0" w:color="auto"/>
            </w:tcBorders>
            <w:noWrap/>
            <w:hideMark/>
          </w:tcPr>
          <w:p w:rsidR="00430124" w:rsidRPr="00C06878" w:rsidRDefault="00430124"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no</w:t>
            </w:r>
          </w:p>
        </w:tc>
        <w:tc>
          <w:tcPr>
            <w:cnfStyle w:val="000010000000" w:firstRow="0" w:lastRow="0" w:firstColumn="0" w:lastColumn="0" w:oddVBand="1" w:evenVBand="0" w:oddHBand="0" w:evenHBand="0" w:firstRowFirstColumn="0" w:firstRowLastColumn="0" w:lastRowFirstColumn="0" w:lastRowLastColumn="0"/>
            <w:tcW w:w="1219"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no</w:t>
            </w:r>
          </w:p>
        </w:tc>
        <w:tc>
          <w:tcPr>
            <w:tcW w:w="1219" w:type="dxa"/>
            <w:tcBorders>
              <w:top w:val="none" w:sz="0" w:space="0" w:color="auto"/>
              <w:bottom w:val="none" w:sz="0" w:space="0" w:color="auto"/>
            </w:tcBorders>
            <w:noWrap/>
            <w:hideMark/>
          </w:tcPr>
          <w:p w:rsidR="00430124" w:rsidRPr="00C06878" w:rsidRDefault="00430124"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yes</w:t>
            </w:r>
          </w:p>
        </w:tc>
        <w:tc>
          <w:tcPr>
            <w:cnfStyle w:val="000010000000" w:firstRow="0" w:lastRow="0" w:firstColumn="0" w:lastColumn="0" w:oddVBand="1" w:evenVBand="0" w:oddHBand="0" w:evenHBand="0" w:firstRowFirstColumn="0" w:firstRowLastColumn="0" w:lastRowFirstColumn="0" w:lastRowLastColumn="0"/>
            <w:tcW w:w="1162" w:type="dxa"/>
            <w:tcBorders>
              <w:top w:val="none" w:sz="0" w:space="0" w:color="auto"/>
              <w:left w:val="none" w:sz="0" w:space="0" w:color="auto"/>
              <w:bottom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yes</w:t>
            </w:r>
          </w:p>
        </w:tc>
      </w:tr>
      <w:tr w:rsidR="00430124" w:rsidRPr="00C06878" w:rsidTr="00AE6A54">
        <w:trPr>
          <w:trHeight w:val="30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noWrap/>
            <w:hideMark/>
          </w:tcPr>
          <w:p w:rsidR="00430124" w:rsidRPr="00C06878" w:rsidRDefault="00430124" w:rsidP="00430124">
            <w:pPr>
              <w:spacing w:after="0"/>
              <w:rPr>
                <w:rFonts w:eastAsia="Times New Roman" w:cs="Times New Roman"/>
                <w:color w:val="000000"/>
                <w:sz w:val="22"/>
                <w:lang w:val="en-US"/>
              </w:rPr>
            </w:pPr>
            <w:r w:rsidRPr="00C06878">
              <w:rPr>
                <w:rFonts w:eastAsia="Times New Roman" w:cs="Times New Roman"/>
                <w:color w:val="000000"/>
                <w:sz w:val="22"/>
                <w:lang w:val="en-US"/>
              </w:rPr>
              <w:t>Number CSV files</w:t>
            </w:r>
          </w:p>
        </w:tc>
        <w:tc>
          <w:tcPr>
            <w:cnfStyle w:val="000010000000" w:firstRow="0" w:lastRow="0" w:firstColumn="0" w:lastColumn="0" w:oddVBand="1" w:evenVBand="0" w:oddHBand="0" w:evenHBand="0" w:firstRowFirstColumn="0" w:firstRowLastColumn="0" w:lastRowFirstColumn="0" w:lastRowLastColumn="0"/>
            <w:tcW w:w="1168" w:type="dxa"/>
            <w:tcBorders>
              <w:left w:val="none" w:sz="0" w:space="0" w:color="auto"/>
              <w:right w:val="none" w:sz="0" w:space="0" w:color="auto"/>
            </w:tcBorders>
            <w:noWrap/>
            <w:hideMark/>
          </w:tcPr>
          <w:p w:rsidR="00430124" w:rsidRPr="00672207" w:rsidRDefault="00672207" w:rsidP="00EB49E2">
            <w:pPr>
              <w:spacing w:after="0"/>
              <w:jc w:val="center"/>
              <w:rPr>
                <w:rFonts w:eastAsia="Times New Roman" w:cs="Times New Roman"/>
                <w:i/>
                <w:color w:val="000000"/>
                <w:sz w:val="22"/>
                <w:lang w:val="en-US"/>
              </w:rPr>
            </w:pPr>
            <w:r w:rsidRPr="00672207">
              <w:rPr>
                <w:rFonts w:eastAsia="Times New Roman" w:cs="Times New Roman"/>
                <w:i/>
                <w:color w:val="000000"/>
                <w:sz w:val="22"/>
                <w:lang w:val="en-US"/>
              </w:rPr>
              <w:t>NA</w:t>
            </w:r>
          </w:p>
        </w:tc>
        <w:tc>
          <w:tcPr>
            <w:tcW w:w="1219" w:type="dxa"/>
            <w:noWrap/>
            <w:hideMark/>
          </w:tcPr>
          <w:p w:rsidR="00430124" w:rsidRPr="00C06878" w:rsidRDefault="00430124"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8</w:t>
            </w:r>
          </w:p>
        </w:tc>
        <w:tc>
          <w:tcPr>
            <w:cnfStyle w:val="000010000000" w:firstRow="0" w:lastRow="0" w:firstColumn="0" w:lastColumn="0" w:oddVBand="1" w:evenVBand="0" w:oddHBand="0" w:evenHBand="0" w:firstRowFirstColumn="0" w:firstRowLastColumn="0" w:lastRowFirstColumn="0" w:lastRowLastColumn="0"/>
            <w:tcW w:w="1219"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8</w:t>
            </w:r>
          </w:p>
        </w:tc>
        <w:tc>
          <w:tcPr>
            <w:tcW w:w="1219" w:type="dxa"/>
            <w:noWrap/>
            <w:hideMark/>
          </w:tcPr>
          <w:p w:rsidR="00430124" w:rsidRPr="00C06878" w:rsidRDefault="00430124"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8</w:t>
            </w:r>
          </w:p>
        </w:tc>
        <w:tc>
          <w:tcPr>
            <w:cnfStyle w:val="000010000000" w:firstRow="0" w:lastRow="0" w:firstColumn="0" w:lastColumn="0" w:oddVBand="1" w:evenVBand="0" w:oddHBand="0" w:evenHBand="0" w:firstRowFirstColumn="0" w:firstRowLastColumn="0" w:lastRowFirstColumn="0" w:lastRowLastColumn="0"/>
            <w:tcW w:w="1162" w:type="dxa"/>
            <w:tcBorders>
              <w:left w:val="none" w:sz="0" w:space="0" w:color="auto"/>
              <w:right w:val="none" w:sz="0" w:space="0" w:color="auto"/>
            </w:tcBorders>
            <w:noWrap/>
            <w:hideMark/>
          </w:tcPr>
          <w:p w:rsidR="00430124" w:rsidRPr="00C06878" w:rsidRDefault="00430124"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1</w:t>
            </w:r>
          </w:p>
        </w:tc>
      </w:tr>
      <w:tr w:rsidR="00672207" w:rsidRPr="00C06878" w:rsidTr="00AE6A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bottom w:val="none" w:sz="0" w:space="0" w:color="auto"/>
              <w:right w:val="none" w:sz="0" w:space="0" w:color="auto"/>
            </w:tcBorders>
            <w:noWrap/>
            <w:hideMark/>
          </w:tcPr>
          <w:p w:rsidR="00672207" w:rsidRPr="00C06878" w:rsidRDefault="00672207" w:rsidP="00430124">
            <w:pPr>
              <w:spacing w:after="0"/>
              <w:rPr>
                <w:rFonts w:eastAsia="Times New Roman" w:cs="Times New Roman"/>
                <w:color w:val="000000"/>
                <w:sz w:val="22"/>
                <w:lang w:val="en-US"/>
              </w:rPr>
            </w:pPr>
            <w:r w:rsidRPr="00C06878">
              <w:rPr>
                <w:rFonts w:eastAsia="Times New Roman" w:cs="Times New Roman"/>
                <w:color w:val="000000"/>
                <w:sz w:val="22"/>
                <w:lang w:val="en-US"/>
              </w:rPr>
              <w:t>Size combined file (MB)</w:t>
            </w:r>
          </w:p>
        </w:tc>
        <w:tc>
          <w:tcPr>
            <w:cnfStyle w:val="000010000000" w:firstRow="0" w:lastRow="0" w:firstColumn="0" w:lastColumn="0" w:oddVBand="1" w:evenVBand="0" w:oddHBand="0" w:evenHBand="0" w:firstRowFirstColumn="0" w:firstRowLastColumn="0" w:lastRowFirstColumn="0" w:lastRowLastColumn="0"/>
            <w:tcW w:w="1168" w:type="dxa"/>
            <w:tcBorders>
              <w:top w:val="none" w:sz="0" w:space="0" w:color="auto"/>
              <w:left w:val="none" w:sz="0" w:space="0" w:color="auto"/>
              <w:bottom w:val="none" w:sz="0" w:space="0" w:color="auto"/>
              <w:right w:val="none" w:sz="0" w:space="0" w:color="auto"/>
            </w:tcBorders>
            <w:noWrap/>
            <w:hideMark/>
          </w:tcPr>
          <w:p w:rsidR="00672207" w:rsidRPr="00C06878" w:rsidRDefault="00672207" w:rsidP="00EB49E2">
            <w:pPr>
              <w:spacing w:after="0"/>
              <w:jc w:val="center"/>
              <w:rPr>
                <w:rFonts w:eastAsia="Times New Roman" w:cs="Times New Roman"/>
                <w:color w:val="000000"/>
                <w:sz w:val="22"/>
                <w:lang w:val="en-US"/>
              </w:rPr>
            </w:pPr>
            <w:r w:rsidRPr="00672207">
              <w:rPr>
                <w:rFonts w:eastAsia="Times New Roman" w:cs="Times New Roman"/>
                <w:i/>
                <w:color w:val="000000"/>
                <w:sz w:val="22"/>
                <w:lang w:val="en-US"/>
              </w:rPr>
              <w:t>NA</w:t>
            </w:r>
          </w:p>
        </w:tc>
        <w:tc>
          <w:tcPr>
            <w:tcW w:w="1219" w:type="dxa"/>
            <w:tcBorders>
              <w:top w:val="none" w:sz="0" w:space="0" w:color="auto"/>
              <w:bottom w:val="none" w:sz="0" w:space="0" w:color="auto"/>
            </w:tcBorders>
            <w:noWrap/>
            <w:hideMark/>
          </w:tcPr>
          <w:p w:rsidR="00672207" w:rsidRPr="00C06878" w:rsidRDefault="00672207"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1679</w:t>
            </w:r>
          </w:p>
        </w:tc>
        <w:tc>
          <w:tcPr>
            <w:cnfStyle w:val="000010000000" w:firstRow="0" w:lastRow="0" w:firstColumn="0" w:lastColumn="0" w:oddVBand="1" w:evenVBand="0" w:oddHBand="0" w:evenHBand="0" w:firstRowFirstColumn="0" w:firstRowLastColumn="0" w:lastRowFirstColumn="0" w:lastRowLastColumn="0"/>
            <w:tcW w:w="1219" w:type="dxa"/>
            <w:tcBorders>
              <w:top w:val="none" w:sz="0" w:space="0" w:color="auto"/>
              <w:left w:val="none" w:sz="0" w:space="0" w:color="auto"/>
              <w:bottom w:val="none" w:sz="0" w:space="0" w:color="auto"/>
              <w:right w:val="none" w:sz="0" w:space="0" w:color="auto"/>
            </w:tcBorders>
            <w:noWrap/>
            <w:hideMark/>
          </w:tcPr>
          <w:p w:rsidR="00672207" w:rsidRPr="00C06878" w:rsidRDefault="00672207"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1766</w:t>
            </w:r>
          </w:p>
        </w:tc>
        <w:tc>
          <w:tcPr>
            <w:tcW w:w="1219" w:type="dxa"/>
            <w:tcBorders>
              <w:top w:val="none" w:sz="0" w:space="0" w:color="auto"/>
              <w:bottom w:val="none" w:sz="0" w:space="0" w:color="auto"/>
            </w:tcBorders>
            <w:noWrap/>
            <w:hideMark/>
          </w:tcPr>
          <w:p w:rsidR="00672207" w:rsidRPr="00C06878" w:rsidRDefault="00672207"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2647</w:t>
            </w:r>
          </w:p>
        </w:tc>
        <w:tc>
          <w:tcPr>
            <w:cnfStyle w:val="000010000000" w:firstRow="0" w:lastRow="0" w:firstColumn="0" w:lastColumn="0" w:oddVBand="1" w:evenVBand="0" w:oddHBand="0" w:evenHBand="0" w:firstRowFirstColumn="0" w:firstRowLastColumn="0" w:lastRowFirstColumn="0" w:lastRowLastColumn="0"/>
            <w:tcW w:w="1162" w:type="dxa"/>
            <w:tcBorders>
              <w:top w:val="none" w:sz="0" w:space="0" w:color="auto"/>
              <w:left w:val="none" w:sz="0" w:space="0" w:color="auto"/>
              <w:bottom w:val="none" w:sz="0" w:space="0" w:color="auto"/>
              <w:right w:val="none" w:sz="0" w:space="0" w:color="auto"/>
            </w:tcBorders>
            <w:noWrap/>
            <w:hideMark/>
          </w:tcPr>
          <w:p w:rsidR="00672207" w:rsidRPr="00C06878" w:rsidRDefault="00672207"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430</w:t>
            </w:r>
          </w:p>
        </w:tc>
      </w:tr>
      <w:tr w:rsidR="00672207" w:rsidRPr="00C06878" w:rsidTr="00AE6A54">
        <w:trPr>
          <w:trHeight w:val="30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noWrap/>
            <w:hideMark/>
          </w:tcPr>
          <w:p w:rsidR="00672207" w:rsidRPr="00C06878" w:rsidRDefault="00672207" w:rsidP="00430124">
            <w:pPr>
              <w:spacing w:after="0"/>
              <w:rPr>
                <w:rFonts w:eastAsia="Times New Roman" w:cs="Times New Roman"/>
                <w:color w:val="000000"/>
                <w:sz w:val="22"/>
                <w:lang w:val="en-US"/>
              </w:rPr>
            </w:pPr>
            <w:r w:rsidRPr="00C06878">
              <w:rPr>
                <w:rFonts w:eastAsia="Times New Roman" w:cs="Times New Roman"/>
                <w:color w:val="000000"/>
                <w:sz w:val="22"/>
                <w:lang w:val="en-US"/>
              </w:rPr>
              <w:t>Number records</w:t>
            </w:r>
          </w:p>
        </w:tc>
        <w:tc>
          <w:tcPr>
            <w:cnfStyle w:val="000010000000" w:firstRow="0" w:lastRow="0" w:firstColumn="0" w:lastColumn="0" w:oddVBand="1" w:evenVBand="0" w:oddHBand="0" w:evenHBand="0" w:firstRowFirstColumn="0" w:firstRowLastColumn="0" w:lastRowFirstColumn="0" w:lastRowLastColumn="0"/>
            <w:tcW w:w="1168" w:type="dxa"/>
            <w:tcBorders>
              <w:left w:val="none" w:sz="0" w:space="0" w:color="auto"/>
              <w:right w:val="none" w:sz="0" w:space="0" w:color="auto"/>
            </w:tcBorders>
            <w:noWrap/>
            <w:hideMark/>
          </w:tcPr>
          <w:p w:rsidR="00672207" w:rsidRPr="00C06878" w:rsidRDefault="00672207" w:rsidP="00EB49E2">
            <w:pPr>
              <w:spacing w:after="0"/>
              <w:jc w:val="center"/>
              <w:rPr>
                <w:rFonts w:eastAsia="Times New Roman" w:cs="Times New Roman"/>
                <w:color w:val="000000"/>
                <w:sz w:val="22"/>
                <w:lang w:val="en-US"/>
              </w:rPr>
            </w:pPr>
            <w:r w:rsidRPr="00672207">
              <w:rPr>
                <w:rFonts w:eastAsia="Times New Roman" w:cs="Times New Roman"/>
                <w:i/>
                <w:color w:val="000000"/>
                <w:sz w:val="22"/>
                <w:lang w:val="en-US"/>
              </w:rPr>
              <w:t>NA</w:t>
            </w:r>
          </w:p>
        </w:tc>
        <w:tc>
          <w:tcPr>
            <w:tcW w:w="1219" w:type="dxa"/>
            <w:noWrap/>
            <w:hideMark/>
          </w:tcPr>
          <w:p w:rsidR="00672207" w:rsidRPr="00C06878" w:rsidRDefault="00672207"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2446356</w:t>
            </w:r>
          </w:p>
        </w:tc>
        <w:tc>
          <w:tcPr>
            <w:cnfStyle w:val="000010000000" w:firstRow="0" w:lastRow="0" w:firstColumn="0" w:lastColumn="0" w:oddVBand="1" w:evenVBand="0" w:oddHBand="0" w:evenHBand="0" w:firstRowFirstColumn="0" w:firstRowLastColumn="0" w:lastRowFirstColumn="0" w:lastRowLastColumn="0"/>
            <w:tcW w:w="1219" w:type="dxa"/>
            <w:tcBorders>
              <w:left w:val="none" w:sz="0" w:space="0" w:color="auto"/>
              <w:right w:val="none" w:sz="0" w:space="0" w:color="auto"/>
            </w:tcBorders>
            <w:noWrap/>
            <w:hideMark/>
          </w:tcPr>
          <w:p w:rsidR="00672207" w:rsidRPr="00C06878" w:rsidRDefault="00672207"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2446921</w:t>
            </w:r>
          </w:p>
        </w:tc>
        <w:tc>
          <w:tcPr>
            <w:tcW w:w="1219" w:type="dxa"/>
            <w:noWrap/>
            <w:hideMark/>
          </w:tcPr>
          <w:p w:rsidR="00672207" w:rsidRPr="00C06878" w:rsidRDefault="00672207" w:rsidP="00EB49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3867923</w:t>
            </w:r>
          </w:p>
        </w:tc>
        <w:tc>
          <w:tcPr>
            <w:cnfStyle w:val="000010000000" w:firstRow="0" w:lastRow="0" w:firstColumn="0" w:lastColumn="0" w:oddVBand="1" w:evenVBand="0" w:oddHBand="0" w:evenHBand="0" w:firstRowFirstColumn="0" w:firstRowLastColumn="0" w:lastRowFirstColumn="0" w:lastRowLastColumn="0"/>
            <w:tcW w:w="1162" w:type="dxa"/>
            <w:tcBorders>
              <w:left w:val="none" w:sz="0" w:space="0" w:color="auto"/>
              <w:right w:val="none" w:sz="0" w:space="0" w:color="auto"/>
            </w:tcBorders>
            <w:noWrap/>
            <w:hideMark/>
          </w:tcPr>
          <w:p w:rsidR="00672207" w:rsidRPr="00C06878" w:rsidRDefault="00672207"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627437</w:t>
            </w:r>
          </w:p>
        </w:tc>
      </w:tr>
      <w:tr w:rsidR="00672207" w:rsidRPr="00C06878" w:rsidTr="00AE6A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bottom w:val="none" w:sz="0" w:space="0" w:color="auto"/>
              <w:right w:val="none" w:sz="0" w:space="0" w:color="auto"/>
            </w:tcBorders>
            <w:noWrap/>
            <w:hideMark/>
          </w:tcPr>
          <w:p w:rsidR="00672207" w:rsidRPr="00C06878" w:rsidRDefault="00672207" w:rsidP="00430124">
            <w:pPr>
              <w:spacing w:after="0"/>
              <w:rPr>
                <w:rFonts w:eastAsia="Times New Roman" w:cs="Times New Roman"/>
                <w:color w:val="000000"/>
                <w:sz w:val="22"/>
                <w:lang w:val="en-US"/>
              </w:rPr>
            </w:pPr>
            <w:r w:rsidRPr="00C06878">
              <w:rPr>
                <w:rFonts w:eastAsia="Times New Roman" w:cs="Times New Roman"/>
                <w:color w:val="000000"/>
                <w:sz w:val="22"/>
                <w:lang w:val="en-US"/>
              </w:rPr>
              <w:lastRenderedPageBreak/>
              <w:t>Latest discharge date</w:t>
            </w:r>
          </w:p>
        </w:tc>
        <w:tc>
          <w:tcPr>
            <w:cnfStyle w:val="000010000000" w:firstRow="0" w:lastRow="0" w:firstColumn="0" w:lastColumn="0" w:oddVBand="1" w:evenVBand="0" w:oddHBand="0" w:evenHBand="0" w:firstRowFirstColumn="0" w:firstRowLastColumn="0" w:lastRowFirstColumn="0" w:lastRowLastColumn="0"/>
            <w:tcW w:w="1168" w:type="dxa"/>
            <w:tcBorders>
              <w:top w:val="none" w:sz="0" w:space="0" w:color="auto"/>
              <w:left w:val="none" w:sz="0" w:space="0" w:color="auto"/>
              <w:bottom w:val="none" w:sz="0" w:space="0" w:color="auto"/>
              <w:right w:val="none" w:sz="0" w:space="0" w:color="auto"/>
            </w:tcBorders>
            <w:noWrap/>
            <w:hideMark/>
          </w:tcPr>
          <w:p w:rsidR="00672207" w:rsidRPr="00C06878" w:rsidRDefault="00672207" w:rsidP="00EB49E2">
            <w:pPr>
              <w:spacing w:after="0"/>
              <w:jc w:val="center"/>
              <w:rPr>
                <w:rFonts w:eastAsia="Times New Roman" w:cs="Times New Roman"/>
                <w:color w:val="000000"/>
                <w:sz w:val="22"/>
                <w:lang w:val="en-US"/>
              </w:rPr>
            </w:pPr>
            <w:r w:rsidRPr="00672207">
              <w:rPr>
                <w:rFonts w:eastAsia="Times New Roman" w:cs="Times New Roman"/>
                <w:i/>
                <w:color w:val="000000"/>
                <w:sz w:val="22"/>
                <w:lang w:val="en-US"/>
              </w:rPr>
              <w:t>NA</w:t>
            </w:r>
          </w:p>
        </w:tc>
        <w:tc>
          <w:tcPr>
            <w:tcW w:w="1219" w:type="dxa"/>
            <w:tcBorders>
              <w:top w:val="none" w:sz="0" w:space="0" w:color="auto"/>
              <w:bottom w:val="none" w:sz="0" w:space="0" w:color="auto"/>
            </w:tcBorders>
            <w:noWrap/>
            <w:hideMark/>
          </w:tcPr>
          <w:p w:rsidR="00672207" w:rsidRPr="00C06878" w:rsidRDefault="00672207"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11-11-16</w:t>
            </w:r>
          </w:p>
        </w:tc>
        <w:tc>
          <w:tcPr>
            <w:cnfStyle w:val="000010000000" w:firstRow="0" w:lastRow="0" w:firstColumn="0" w:lastColumn="0" w:oddVBand="1" w:evenVBand="0" w:oddHBand="0" w:evenHBand="0" w:firstRowFirstColumn="0" w:firstRowLastColumn="0" w:lastRowFirstColumn="0" w:lastRowLastColumn="0"/>
            <w:tcW w:w="1219" w:type="dxa"/>
            <w:tcBorders>
              <w:top w:val="none" w:sz="0" w:space="0" w:color="auto"/>
              <w:left w:val="none" w:sz="0" w:space="0" w:color="auto"/>
              <w:bottom w:val="none" w:sz="0" w:space="0" w:color="auto"/>
              <w:right w:val="none" w:sz="0" w:space="0" w:color="auto"/>
            </w:tcBorders>
            <w:noWrap/>
            <w:hideMark/>
          </w:tcPr>
          <w:p w:rsidR="00672207" w:rsidRPr="00C06878" w:rsidRDefault="00672207"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3-3-17</w:t>
            </w:r>
          </w:p>
        </w:tc>
        <w:tc>
          <w:tcPr>
            <w:tcW w:w="1219" w:type="dxa"/>
            <w:tcBorders>
              <w:top w:val="none" w:sz="0" w:space="0" w:color="auto"/>
              <w:bottom w:val="none" w:sz="0" w:space="0" w:color="auto"/>
            </w:tcBorders>
            <w:noWrap/>
            <w:hideMark/>
          </w:tcPr>
          <w:p w:rsidR="00672207" w:rsidRPr="00C06878" w:rsidRDefault="00672207" w:rsidP="00EB49E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US"/>
              </w:rPr>
            </w:pPr>
            <w:r w:rsidRPr="00C06878">
              <w:rPr>
                <w:rFonts w:eastAsia="Times New Roman" w:cs="Times New Roman"/>
                <w:color w:val="000000"/>
                <w:sz w:val="22"/>
                <w:lang w:val="en-US"/>
              </w:rPr>
              <w:t>12-5-17</w:t>
            </w:r>
          </w:p>
        </w:tc>
        <w:tc>
          <w:tcPr>
            <w:cnfStyle w:val="000010000000" w:firstRow="0" w:lastRow="0" w:firstColumn="0" w:lastColumn="0" w:oddVBand="1" w:evenVBand="0" w:oddHBand="0" w:evenHBand="0" w:firstRowFirstColumn="0" w:firstRowLastColumn="0" w:lastRowFirstColumn="0" w:lastRowLastColumn="0"/>
            <w:tcW w:w="1162" w:type="dxa"/>
            <w:tcBorders>
              <w:top w:val="none" w:sz="0" w:space="0" w:color="auto"/>
              <w:left w:val="none" w:sz="0" w:space="0" w:color="auto"/>
              <w:bottom w:val="none" w:sz="0" w:space="0" w:color="auto"/>
              <w:right w:val="none" w:sz="0" w:space="0" w:color="auto"/>
            </w:tcBorders>
            <w:noWrap/>
            <w:hideMark/>
          </w:tcPr>
          <w:p w:rsidR="00672207" w:rsidRPr="00C06878" w:rsidRDefault="00672207" w:rsidP="00EB49E2">
            <w:pPr>
              <w:spacing w:after="0"/>
              <w:jc w:val="center"/>
              <w:rPr>
                <w:rFonts w:eastAsia="Times New Roman" w:cs="Times New Roman"/>
                <w:color w:val="000000"/>
                <w:sz w:val="22"/>
                <w:lang w:val="en-US"/>
              </w:rPr>
            </w:pPr>
            <w:r w:rsidRPr="00C06878">
              <w:rPr>
                <w:rFonts w:eastAsia="Times New Roman" w:cs="Times New Roman"/>
                <w:color w:val="000000"/>
                <w:sz w:val="22"/>
                <w:lang w:val="en-US"/>
              </w:rPr>
              <w:t>12-5-17</w:t>
            </w:r>
          </w:p>
        </w:tc>
      </w:tr>
    </w:tbl>
    <w:p w:rsidR="00557FD2" w:rsidRPr="00A94B55" w:rsidRDefault="00557FD2" w:rsidP="007E0DCA">
      <w:pPr>
        <w:pStyle w:val="Heading3-Chapter23"/>
      </w:pPr>
      <w:bookmarkStart w:id="125" w:name="_Toc486599977"/>
      <w:bookmarkStart w:id="126" w:name="_Toc486603020"/>
      <w:r w:rsidRPr="00A94B55">
        <w:t>Analysis methods</w:t>
      </w:r>
      <w:bookmarkEnd w:id="125"/>
      <w:bookmarkEnd w:id="126"/>
    </w:p>
    <w:p w:rsidR="00980F62" w:rsidRDefault="00557FD2" w:rsidP="00FF7E1E">
      <w:pPr>
        <w:rPr>
          <w:lang w:eastAsia="en-AU"/>
        </w:rPr>
      </w:pPr>
      <w:r>
        <w:rPr>
          <w:lang w:eastAsia="en-AU"/>
        </w:rPr>
        <w:t>The data was used to:</w:t>
      </w:r>
    </w:p>
    <w:p w:rsidR="00980F62" w:rsidRDefault="00557FD2" w:rsidP="00F02312">
      <w:pPr>
        <w:pStyle w:val="ListParagraph"/>
        <w:numPr>
          <w:ilvl w:val="0"/>
          <w:numId w:val="79"/>
        </w:numPr>
        <w:spacing w:after="0"/>
        <w:contextualSpacing w:val="0"/>
        <w:rPr>
          <w:lang w:eastAsia="en-AU"/>
        </w:rPr>
      </w:pPr>
      <w:r w:rsidRPr="003C628C">
        <w:rPr>
          <w:lang w:eastAsia="en-AU"/>
        </w:rPr>
        <w:t xml:space="preserve">Analyse the current ACFI distribution </w:t>
      </w:r>
      <w:r>
        <w:rPr>
          <w:lang w:eastAsia="en-AU"/>
        </w:rPr>
        <w:t>and changes since introdu</w:t>
      </w:r>
      <w:r w:rsidRPr="003C628C">
        <w:rPr>
          <w:lang w:eastAsia="en-AU"/>
        </w:rPr>
        <w:t>ction</w:t>
      </w:r>
      <w:r w:rsidR="00EB35E6">
        <w:rPr>
          <w:lang w:eastAsia="en-AU"/>
        </w:rPr>
        <w:t>.</w:t>
      </w:r>
    </w:p>
    <w:p w:rsidR="00557FD2" w:rsidRPr="008302D8" w:rsidRDefault="00557FD2" w:rsidP="00F02312">
      <w:pPr>
        <w:pStyle w:val="ListParagraph"/>
        <w:numPr>
          <w:ilvl w:val="0"/>
          <w:numId w:val="79"/>
        </w:numPr>
        <w:spacing w:after="0"/>
        <w:contextualSpacing w:val="0"/>
        <w:rPr>
          <w:lang w:eastAsia="en-AU"/>
        </w:rPr>
      </w:pPr>
      <w:r w:rsidRPr="003C628C">
        <w:rPr>
          <w:lang w:eastAsia="en-AU"/>
        </w:rPr>
        <w:t>Conduct statistical analysis of the ACFI questions, domains, weightings and</w:t>
      </w:r>
      <w:r w:rsidR="00FF7E1E">
        <w:rPr>
          <w:lang w:eastAsia="en-AU"/>
        </w:rPr>
        <w:br/>
      </w:r>
      <w:r w:rsidRPr="003C628C">
        <w:rPr>
          <w:lang w:eastAsia="en-AU"/>
        </w:rPr>
        <w:t>re-calibrations</w:t>
      </w:r>
      <w:r w:rsidR="00EB35E6">
        <w:rPr>
          <w:lang w:eastAsia="en-AU"/>
        </w:rPr>
        <w:t>.</w:t>
      </w:r>
    </w:p>
    <w:p w:rsidR="00980F62" w:rsidRDefault="00557FD2" w:rsidP="00F02312">
      <w:pPr>
        <w:pStyle w:val="ListParagraph"/>
        <w:numPr>
          <w:ilvl w:val="0"/>
          <w:numId w:val="79"/>
        </w:numPr>
        <w:spacing w:after="0"/>
        <w:contextualSpacing w:val="0"/>
        <w:rPr>
          <w:lang w:eastAsia="en-AU"/>
        </w:rPr>
      </w:pPr>
      <w:r>
        <w:rPr>
          <w:lang w:eastAsia="en-AU"/>
        </w:rPr>
        <w:t>Conduct an analysis of the Departmental Review Program outcomes since ACFI introduction</w:t>
      </w:r>
      <w:r w:rsidR="00EB35E6">
        <w:rPr>
          <w:lang w:eastAsia="en-AU"/>
        </w:rPr>
        <w:t>.</w:t>
      </w:r>
    </w:p>
    <w:p w:rsidR="00557FD2" w:rsidRPr="003C628C" w:rsidRDefault="00557FD2" w:rsidP="00F02312">
      <w:pPr>
        <w:pStyle w:val="ListParagraph"/>
        <w:numPr>
          <w:ilvl w:val="0"/>
          <w:numId w:val="79"/>
        </w:numPr>
        <w:spacing w:after="0"/>
        <w:contextualSpacing w:val="0"/>
        <w:rPr>
          <w:rFonts w:ascii="Corbel" w:hAnsi="Corbel" w:cs="Times New Roman"/>
          <w:lang w:eastAsia="en-AU"/>
        </w:rPr>
      </w:pPr>
      <w:r>
        <w:rPr>
          <w:lang w:eastAsia="en-AU"/>
        </w:rPr>
        <w:t xml:space="preserve">Determine new cut points and weightings using distribution analysis and </w:t>
      </w:r>
      <w:r w:rsidR="002A68C4">
        <w:rPr>
          <w:lang w:eastAsia="en-AU"/>
        </w:rPr>
        <w:t>Item Response Theory (</w:t>
      </w:r>
      <w:r>
        <w:rPr>
          <w:lang w:eastAsia="en-AU"/>
        </w:rPr>
        <w:t>IRT</w:t>
      </w:r>
      <w:r w:rsidR="002A68C4">
        <w:rPr>
          <w:lang w:eastAsia="en-AU"/>
        </w:rPr>
        <w:t>)</w:t>
      </w:r>
      <w:r>
        <w:rPr>
          <w:lang w:eastAsia="en-AU"/>
        </w:rPr>
        <w:t xml:space="preserve"> models in the ACFI domains</w:t>
      </w:r>
      <w:r w:rsidR="00EB35E6">
        <w:rPr>
          <w:lang w:eastAsia="en-AU"/>
        </w:rPr>
        <w:t>.</w:t>
      </w:r>
    </w:p>
    <w:p w:rsidR="00557FD2" w:rsidRPr="003C628C" w:rsidRDefault="00557FD2" w:rsidP="00F02312">
      <w:pPr>
        <w:pStyle w:val="ListParagraph"/>
        <w:numPr>
          <w:ilvl w:val="0"/>
          <w:numId w:val="79"/>
        </w:numPr>
        <w:spacing w:after="0"/>
        <w:contextualSpacing w:val="0"/>
        <w:rPr>
          <w:rFonts w:ascii="Corbel" w:hAnsi="Corbel" w:cs="Times New Roman"/>
          <w:lang w:eastAsia="en-AU"/>
        </w:rPr>
      </w:pPr>
      <w:r w:rsidRPr="003C628C">
        <w:rPr>
          <w:lang w:eastAsia="en-AU"/>
        </w:rPr>
        <w:t>Analyse the benefits, disadvantages, system adjustments, and viable options for initial and re-appraisal assessments in the context of external asse</w:t>
      </w:r>
      <w:r>
        <w:rPr>
          <w:lang w:eastAsia="en-AU"/>
        </w:rPr>
        <w:t>ssment</w:t>
      </w:r>
      <w:r w:rsidR="002A68C4">
        <w:rPr>
          <w:lang w:eastAsia="en-AU"/>
        </w:rPr>
        <w:t>.</w:t>
      </w:r>
    </w:p>
    <w:p w:rsidR="00557FD2" w:rsidRPr="00A94B55" w:rsidRDefault="00557FD2" w:rsidP="007E0DCA">
      <w:pPr>
        <w:pStyle w:val="Heading4-Chapter232"/>
      </w:pPr>
      <w:r w:rsidRPr="00A94B55">
        <w:t>Regression and Logistic Models</w:t>
      </w:r>
    </w:p>
    <w:p w:rsidR="00557FD2" w:rsidRDefault="00557FD2" w:rsidP="00557FD2">
      <w:pPr>
        <w:rPr>
          <w:lang w:eastAsia="en-AU"/>
        </w:rPr>
      </w:pPr>
      <w:r>
        <w:rPr>
          <w:lang w:eastAsia="en-AU"/>
        </w:rPr>
        <w:t>Tables a</w:t>
      </w:r>
      <w:r w:rsidR="009E0A38">
        <w:rPr>
          <w:lang w:eastAsia="en-AU"/>
        </w:rPr>
        <w:t>nd graphs were used extensively</w:t>
      </w:r>
      <w:r>
        <w:rPr>
          <w:lang w:eastAsia="en-AU"/>
        </w:rPr>
        <w:t xml:space="preserve"> to </w:t>
      </w:r>
      <w:r w:rsidR="002A68C4">
        <w:rPr>
          <w:lang w:eastAsia="en-AU"/>
        </w:rPr>
        <w:t xml:space="preserve">explore </w:t>
      </w:r>
      <w:r w:rsidR="008302D8">
        <w:rPr>
          <w:lang w:eastAsia="en-AU"/>
        </w:rPr>
        <w:t xml:space="preserve">the </w:t>
      </w:r>
      <w:r>
        <w:rPr>
          <w:lang w:eastAsia="en-AU"/>
        </w:rPr>
        <w:t>changes that have occurred in the responses to some of the ACFI questions. The effects of proposed changes were tested with STATA analyses of all the records current at</w:t>
      </w:r>
      <w:r w:rsidR="002A68C4">
        <w:rPr>
          <w:lang w:eastAsia="en-AU"/>
        </w:rPr>
        <w:t xml:space="preserve"> June 30, 20</w:t>
      </w:r>
      <w:r>
        <w:rPr>
          <w:lang w:eastAsia="en-AU"/>
        </w:rPr>
        <w:t>16. A logistic model was used to fit the probabilities of a review resulting in a subsidy reduction, and a regression model was used to fit the size of the reduction, if a reduction occurred. EXCEL spreadsheets with interactive assumptions were used to model the effects of proposed changes.</w:t>
      </w:r>
    </w:p>
    <w:p w:rsidR="00557FD2" w:rsidRPr="00A94B55" w:rsidRDefault="00557FD2" w:rsidP="007E0DCA">
      <w:pPr>
        <w:pStyle w:val="Heading4-Chapter232"/>
      </w:pPr>
      <w:r w:rsidRPr="00A94B55">
        <w:t>Item Response Theory (IRT) Analysis</w:t>
      </w:r>
    </w:p>
    <w:p w:rsidR="00557FD2" w:rsidRDefault="00557FD2" w:rsidP="00557FD2">
      <w:r>
        <w:t xml:space="preserve">IRT was used as the measurement basis for re-weighting the revised Activities of Daily Living Domain (R-ADL). The Behaviour (BEH) domain and Complex Health </w:t>
      </w:r>
      <w:r w:rsidR="002A68C4">
        <w:t xml:space="preserve">Care (CHC) </w:t>
      </w:r>
      <w:r>
        <w:t xml:space="preserve">domains were left intact apart from the removal of some items as the existing weightings still enabled </w:t>
      </w:r>
      <w:r w:rsidR="008302D8">
        <w:t>the achievement of a</w:t>
      </w:r>
      <w:r>
        <w:t xml:space="preserve"> relative resource distribution.</w:t>
      </w:r>
    </w:p>
    <w:p w:rsidR="00980F62" w:rsidRDefault="00557FD2" w:rsidP="00557FD2">
      <w:r>
        <w:t>The IRT analysis provides the best practice method for determining the relationship between item discrimination, difficulty of an item and the level of functioning of the residents. Once the measurement of each person</w:t>
      </w:r>
      <w:r w:rsidR="002A68C4">
        <w:t xml:space="preserve">’s level of functioning </w:t>
      </w:r>
      <w:r>
        <w:t>has been accurately</w:t>
      </w:r>
      <w:r w:rsidR="00E76356">
        <w:t xml:space="preserve"> described</w:t>
      </w:r>
      <w:r>
        <w:t>, the financial aspect can be determined and assigned with confidence.</w:t>
      </w:r>
    </w:p>
    <w:p w:rsidR="00557FD2" w:rsidRDefault="00557FD2" w:rsidP="00557FD2">
      <w:r>
        <w:t xml:space="preserve">All measurement implies underlying homogenous dimensions or traits and a series of items, for example in the ADL domain, each reflect an aspect of the dimension. Once the data is obtained, an analysis </w:t>
      </w:r>
      <w:r w:rsidR="008302D8">
        <w:t>uses</w:t>
      </w:r>
      <w:r>
        <w:t xml:space="preserve"> the data to compute a single score for each person.</w:t>
      </w:r>
    </w:p>
    <w:p w:rsidR="00980F62" w:rsidRDefault="00557FD2" w:rsidP="00557FD2">
      <w:r>
        <w:t xml:space="preserve">Classical Test Theory (CTT) is not applicable to </w:t>
      </w:r>
      <w:r w:rsidR="00910F3B">
        <w:t xml:space="preserve">some aspects of the </w:t>
      </w:r>
      <w:r>
        <w:t xml:space="preserve">current ACFI dataset. Since most ACFI variables are skewed it is not valid to use correlations, and hence factor analysis, regression </w:t>
      </w:r>
      <w:r w:rsidRPr="006B512D">
        <w:t>and other parametric procedures.</w:t>
      </w:r>
    </w:p>
    <w:p w:rsidR="00C426FE" w:rsidRDefault="00C426FE" w:rsidP="00C426FE">
      <w:pPr>
        <w:shd w:val="clear" w:color="auto" w:fill="D9D9D9" w:themeFill="background1" w:themeFillShade="D9"/>
        <w:spacing w:after="0"/>
        <w:rPr>
          <w:i/>
        </w:rPr>
      </w:pPr>
      <w:r w:rsidRPr="00C426FE">
        <w:rPr>
          <w:i/>
        </w:rPr>
        <w:t>“Item response theory (IRT) has a number of potential advantages over classical test theory in assessing self-reported health outcomes. IRT models yield invariant item and latent trait estimates (within a linear transformation), standard errors conditional on trait level, and trait estimates anchored to item content. IRT also facilitates evaluation of differential item functioning, inclusion of items with different response formats in the same scale, and assessment of person fit and is ideally suited for implementing computer adaptive testing. Finally, IRT methods can be helpful in developing better health outcome measures and in assessing change over time. These issues are reviewed, along with a discussion of some of the methodological and practical challenges in applying IRT methods”. Item Response Theory and Health Outcomes Measurement in the 21st Century; Hays, R.D., Morales, L.S., &amp; Reise, S.P. (2000).</w:t>
      </w:r>
    </w:p>
    <w:p w:rsidR="00557FD2" w:rsidRPr="0002026A" w:rsidRDefault="00557FD2" w:rsidP="00965B53">
      <w:pPr>
        <w:spacing w:before="120"/>
      </w:pPr>
      <w:r w:rsidRPr="0002026A">
        <w:t xml:space="preserve">Most instruments in health measurement are now based on IRT. IRT is used for all major measurement and assessment programs in Australia and </w:t>
      </w:r>
      <w:r w:rsidR="00E76356">
        <w:t>internationally</w:t>
      </w:r>
      <w:r w:rsidRPr="0002026A">
        <w:t xml:space="preserve"> [e.g. Australia: National Assessment Program – Literacy and Numeracy (NAPLAN); US: National Assessment of Educational Progress (NAEP), College Testing Board</w:t>
      </w:r>
      <w:r>
        <w:t xml:space="preserve"> </w:t>
      </w:r>
      <w:r w:rsidRPr="0002026A">
        <w:t>(CTB)].</w:t>
      </w:r>
    </w:p>
    <w:p w:rsidR="00557FD2" w:rsidRDefault="00557FD2" w:rsidP="00557FD2">
      <w:r>
        <w:t xml:space="preserve">The essence of IRT is that you start with a set of items (e.g. ADL items) applied to a set of people (e.g. aged care </w:t>
      </w:r>
      <w:r w:rsidR="00E76356">
        <w:t xml:space="preserve">facility </w:t>
      </w:r>
      <w:r>
        <w:t>residents). Each of the ADL items is deemed to reflect some aspect of an underlying trait (e.g. functional ability or capacity) that is possessed by the resident cohort. The IRT analysis is based on a set of encounters between the ADL items of a given difficulty (e.g. transfers vs. washing and drying) and residents of a given overall functional ability. The ADL items define the trait, known as the latent trait. IRT defines a single scale with each of the ADL items (or each step of an item with several categories) located at a point in the ADL scale. Each resident in the aged care population is also located at a point in the scale.</w:t>
      </w:r>
      <w:r w:rsidR="007A576E">
        <w:t xml:space="preserve"> </w:t>
      </w:r>
      <w:r>
        <w:t>Since IRT is a probability model, it is important to be precise. An ADL item is located on the scale at the point where a resident with that value on the latent trait has a 50</w:t>
      </w:r>
      <w:r w:rsidR="00C947E9">
        <w:t xml:space="preserve"> per cent</w:t>
      </w:r>
      <w:r>
        <w:t xml:space="preserve"> probability of being rated on the item. A resident is located on the scale at the point where they have a 50</w:t>
      </w:r>
      <w:r w:rsidR="00C947E9">
        <w:t xml:space="preserve"> per cent</w:t>
      </w:r>
      <w:r>
        <w:t xml:space="preserve"> probability of scoring on an item at that point on the scale.</w:t>
      </w:r>
    </w:p>
    <w:p w:rsidR="00557FD2" w:rsidRDefault="00557FD2" w:rsidP="00557FD2">
      <w:r>
        <w:t>The IRT scale has no specific metric, and so can be scored (with a linear transformation) to suit descriptive purposes. Items and persons are referred to having a point or location on the scale. F</w:t>
      </w:r>
      <w:r w:rsidR="008302D8">
        <w:t xml:space="preserve">or these analyses, </w:t>
      </w:r>
      <w:r>
        <w:t xml:space="preserve">the person scores </w:t>
      </w:r>
      <w:r w:rsidR="008302D8">
        <w:t xml:space="preserve">were transformed </w:t>
      </w:r>
      <w:r>
        <w:t>to a 0/100 scale.</w:t>
      </w:r>
    </w:p>
    <w:p w:rsidR="00557FD2" w:rsidRDefault="00557FD2" w:rsidP="00557FD2">
      <w:r>
        <w:t>The value (position on the scale) for each item and each person has an associated error of measurement. Items and persons near the centre of the scale have smaller errors of measurement since they are based on more information because there are more items and more persons near the centre of the scale than at the extremes.</w:t>
      </w:r>
    </w:p>
    <w:p w:rsidR="00557FD2" w:rsidRDefault="00557FD2" w:rsidP="00557FD2">
      <w:r>
        <w:t>Since IRT is not an additive model, the analysis can proceed even if there are cases with missing data on some items. All that is required is a sufficient spread of items and persons across the range of the scale. However, it should be noted that a person with missing data will have a higher error of measurement.</w:t>
      </w:r>
    </w:p>
    <w:p w:rsidR="00557FD2" w:rsidRDefault="00910F3B" w:rsidP="00557FD2">
      <w:r>
        <w:lastRenderedPageBreak/>
        <w:t xml:space="preserve">CTT cannot use cases </w:t>
      </w:r>
      <w:r w:rsidR="00557FD2">
        <w:t>with such missing data since procedures like factor analysis depend on a correlation matrix (or covariance matrix) that excludes any case with data missing on any item.</w:t>
      </w:r>
    </w:p>
    <w:p w:rsidR="00557FD2" w:rsidRDefault="00557FD2" w:rsidP="007E0DCA">
      <w:pPr>
        <w:pStyle w:val="Heading4-Chapter232"/>
      </w:pPr>
      <w:r w:rsidRPr="00D5744D">
        <w:t xml:space="preserve">R-ACFI IRT Analysis </w:t>
      </w:r>
      <w:r>
        <w:t>Example</w:t>
      </w:r>
    </w:p>
    <w:p w:rsidR="00980F62" w:rsidRDefault="00557FD2" w:rsidP="00557FD2">
      <w:r>
        <w:t xml:space="preserve">The Graded Response Method (GRM) version of IRT was used as the ADL items have several categories for which it is assumed that the differences between categories vary across the ADL items. If the model converges, </w:t>
      </w:r>
      <w:r w:rsidR="008302D8">
        <w:t>there is</w:t>
      </w:r>
      <w:r w:rsidRPr="004A1EFD">
        <w:t xml:space="preserve"> a uni</w:t>
      </w:r>
      <w:r w:rsidR="00B90FB1">
        <w:t>-</w:t>
      </w:r>
      <w:r w:rsidRPr="004A1EFD">
        <w:t>dimensional set of items.</w:t>
      </w:r>
    </w:p>
    <w:p w:rsidR="00557FD2" w:rsidRDefault="00557FD2" w:rsidP="00557FD2">
      <w:r>
        <w:t>In the following example, the new R-ACFI ADL Nutrition item is used to show the IRT analysis steps. The new R-ACFI nutrition item (readiness to eat and eating are combined) was created from re-coding the current two items as follows:</w:t>
      </w:r>
    </w:p>
    <w:p w:rsidR="00557FD2" w:rsidRDefault="00557FD2" w:rsidP="00F02312">
      <w:pPr>
        <w:pStyle w:val="ListParagraph"/>
        <w:numPr>
          <w:ilvl w:val="0"/>
          <w:numId w:val="80"/>
        </w:numPr>
        <w:rPr>
          <w:lang w:eastAsia="en-AU"/>
        </w:rPr>
      </w:pPr>
      <w:r>
        <w:rPr>
          <w:lang w:eastAsia="en-AU"/>
        </w:rPr>
        <w:t>R-ACFI Nutrition = 0 (standard care) if Readiness to Eat and Eating = 0</w:t>
      </w:r>
    </w:p>
    <w:p w:rsidR="00557FD2" w:rsidRDefault="00557FD2" w:rsidP="00F02312">
      <w:pPr>
        <w:pStyle w:val="ListParagraph"/>
        <w:numPr>
          <w:ilvl w:val="0"/>
          <w:numId w:val="80"/>
        </w:numPr>
        <w:rPr>
          <w:lang w:eastAsia="en-AU"/>
        </w:rPr>
      </w:pPr>
      <w:r>
        <w:rPr>
          <w:lang w:eastAsia="en-AU"/>
        </w:rPr>
        <w:t>R-ACFI Nutrition = 1 (monitoring) if Readiness to Eat = 2 or Eating = 1</w:t>
      </w:r>
    </w:p>
    <w:p w:rsidR="00557FD2" w:rsidRDefault="00557FD2" w:rsidP="00F02312">
      <w:pPr>
        <w:pStyle w:val="ListParagraph"/>
        <w:numPr>
          <w:ilvl w:val="0"/>
          <w:numId w:val="80"/>
        </w:numPr>
        <w:rPr>
          <w:lang w:eastAsia="en-AU"/>
        </w:rPr>
      </w:pPr>
      <w:r>
        <w:rPr>
          <w:lang w:eastAsia="en-AU"/>
        </w:rPr>
        <w:t>R-ACFI Nutrition = 2 (some assistance) if Readiness to Eat = 2 and Eating = 1</w:t>
      </w:r>
    </w:p>
    <w:p w:rsidR="00557FD2" w:rsidRDefault="00557FD2" w:rsidP="00F02312">
      <w:pPr>
        <w:pStyle w:val="ListParagraph"/>
        <w:numPr>
          <w:ilvl w:val="0"/>
          <w:numId w:val="80"/>
        </w:numPr>
        <w:rPr>
          <w:lang w:eastAsia="en-AU"/>
        </w:rPr>
      </w:pPr>
      <w:r>
        <w:rPr>
          <w:lang w:eastAsia="en-AU"/>
        </w:rPr>
        <w:t>R-ACFI Nutrition = 3 (full assistance) if Eating = 2</w:t>
      </w:r>
    </w:p>
    <w:p w:rsidR="00980F62" w:rsidRDefault="00557FD2" w:rsidP="007D7D36">
      <w:r>
        <w:t>In the exce</w:t>
      </w:r>
      <w:r w:rsidR="0010458A">
        <w:t>r</w:t>
      </w:r>
      <w:r>
        <w:t xml:space="preserve">pts of analysis results below, the </w:t>
      </w:r>
      <w:r w:rsidR="002940B9">
        <w:t>‘</w:t>
      </w:r>
      <w:r>
        <w:t>difficulty coefficients</w:t>
      </w:r>
      <w:r w:rsidR="002940B9">
        <w:t>’</w:t>
      </w:r>
      <w:r>
        <w:t xml:space="preserve"> for the categories of the new nutrition item run from a low of –2.700 to +1.054. These are </w:t>
      </w:r>
      <w:r w:rsidR="002940B9">
        <w:t xml:space="preserve">the </w:t>
      </w:r>
      <w:r>
        <w:t>coefficients</w:t>
      </w:r>
      <w:r w:rsidR="00910F3B">
        <w:t xml:space="preserve"> before transformation to the 0 to </w:t>
      </w:r>
      <w:r>
        <w:t>100 scale.</w:t>
      </w:r>
    </w:p>
    <w:p w:rsidR="00980F62" w:rsidRDefault="00557FD2" w:rsidP="007D7D36">
      <w:r>
        <w:t xml:space="preserve">The cumulative difficulty coefficients are reported in </w:t>
      </w:r>
      <w:hyperlink w:anchor="Tab0205" w:history="1">
        <w:r w:rsidRPr="00323C36">
          <w:rPr>
            <w:rStyle w:val="Hyperlink"/>
          </w:rPr>
          <w:t>Table 2.</w:t>
        </w:r>
      </w:hyperlink>
      <w:r w:rsidR="00C426FE">
        <w:rPr>
          <w:rStyle w:val="Hyperlink"/>
        </w:rPr>
        <w:t>5</w:t>
      </w:r>
      <w:r>
        <w:t>.</w:t>
      </w:r>
    </w:p>
    <w:p w:rsidR="00291A6C" w:rsidRDefault="00291A6C" w:rsidP="00291A6C">
      <w:pPr>
        <w:pStyle w:val="Caption"/>
        <w:keepNext/>
      </w:pPr>
      <w:bookmarkStart w:id="127" w:name="_Toc495415633"/>
      <w:bookmarkStart w:id="128" w:name="_Toc495474272"/>
      <w:bookmarkStart w:id="129" w:name="Tab0205"/>
      <w:r>
        <w:t>Table 2.</w:t>
      </w:r>
      <w:r w:rsidR="009A3F5A">
        <w:fldChar w:fldCharType="begin"/>
      </w:r>
      <w:r w:rsidR="009A3F5A">
        <w:instrText xml:space="preserve"> SEQ Table_2. \* ARABIC </w:instrText>
      </w:r>
      <w:r w:rsidR="009A3F5A">
        <w:fldChar w:fldCharType="separate"/>
      </w:r>
      <w:r w:rsidR="00856E49">
        <w:rPr>
          <w:noProof/>
        </w:rPr>
        <w:t>5</w:t>
      </w:r>
      <w:r w:rsidR="009A3F5A">
        <w:rPr>
          <w:noProof/>
        </w:rPr>
        <w:fldChar w:fldCharType="end"/>
      </w:r>
      <w:r>
        <w:t xml:space="preserve">: </w:t>
      </w:r>
      <w:r w:rsidRPr="00291A6C">
        <w:t>Nutrition Question Difficulty Coefficients</w:t>
      </w:r>
      <w:bookmarkEnd w:id="127"/>
      <w:bookmarkEnd w:id="128"/>
    </w:p>
    <w:tbl>
      <w:tblPr>
        <w:tblStyle w:val="ListTable3-Accent515"/>
        <w:tblW w:w="0" w:type="auto"/>
        <w:tblInd w:w="108" w:type="dxa"/>
        <w:tblBorders>
          <w:insideH w:val="single" w:sz="4" w:space="0" w:color="5B9BD5" w:themeColor="accent5"/>
          <w:insideV w:val="single" w:sz="4" w:space="0" w:color="5B9BD5" w:themeColor="accent5"/>
        </w:tblBorders>
        <w:tblLook w:val="04A0" w:firstRow="1" w:lastRow="0" w:firstColumn="1" w:lastColumn="0" w:noHBand="0" w:noVBand="1"/>
        <w:tblDescription w:val="Table 2.5 is a list of the difficulty coefficients for nutrition domain questions one, two and threen under the Revised-Aged Care Funding Instrument (R-ACFI) using IRT analysis, as summarised in the text prior to and proceeding this table. This table is to be read left to right, top to bottom."/>
      </w:tblPr>
      <w:tblGrid>
        <w:gridCol w:w="2245"/>
        <w:gridCol w:w="2340"/>
      </w:tblGrid>
      <w:tr w:rsidR="00557FD2" w:rsidTr="00AE6A5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45" w:type="dxa"/>
            <w:tcBorders>
              <w:bottom w:val="none" w:sz="0" w:space="0" w:color="auto"/>
              <w:right w:val="none" w:sz="0" w:space="0" w:color="auto"/>
            </w:tcBorders>
          </w:tcPr>
          <w:bookmarkEnd w:id="129"/>
          <w:p w:rsidR="00557FD2" w:rsidRPr="00D076D3" w:rsidRDefault="00557FD2" w:rsidP="007D7D36">
            <w:pPr>
              <w:spacing w:after="0"/>
            </w:pPr>
            <w:r w:rsidRPr="00D076D3">
              <w:t>Nutrition</w:t>
            </w:r>
          </w:p>
        </w:tc>
        <w:tc>
          <w:tcPr>
            <w:tcW w:w="2340" w:type="dxa"/>
          </w:tcPr>
          <w:p w:rsidR="00557FD2" w:rsidRPr="00D076D3" w:rsidRDefault="00557FD2" w:rsidP="00EB49E2">
            <w:pPr>
              <w:spacing w:after="0"/>
              <w:jc w:val="center"/>
              <w:cnfStyle w:val="100000000000" w:firstRow="1" w:lastRow="0" w:firstColumn="0" w:lastColumn="0" w:oddVBand="0" w:evenVBand="0" w:oddHBand="0" w:evenHBand="0" w:firstRowFirstColumn="0" w:firstRowLastColumn="0" w:lastRowFirstColumn="0" w:lastRowLastColumn="0"/>
            </w:pPr>
            <w:r w:rsidRPr="00D076D3">
              <w:t>Difficulty Coefficient</w:t>
            </w:r>
          </w:p>
        </w:tc>
      </w:tr>
      <w:tr w:rsidR="00557FD2"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top w:val="none" w:sz="0" w:space="0" w:color="auto"/>
              <w:bottom w:val="none" w:sz="0" w:space="0" w:color="auto"/>
              <w:right w:val="none" w:sz="0" w:space="0" w:color="auto"/>
            </w:tcBorders>
          </w:tcPr>
          <w:p w:rsidR="00557FD2" w:rsidRPr="00D076D3" w:rsidRDefault="00557FD2" w:rsidP="0044491C">
            <w:pPr>
              <w:spacing w:after="0"/>
              <w:rPr>
                <w:b w:val="0"/>
              </w:rPr>
            </w:pPr>
            <w:r w:rsidRPr="00D076D3">
              <w:rPr>
                <w:b w:val="0"/>
              </w:rPr>
              <w:t>Nutrition</w:t>
            </w:r>
            <w:r w:rsidR="00527184">
              <w:rPr>
                <w:b w:val="0"/>
              </w:rPr>
              <w:t xml:space="preserve"> </w:t>
            </w:r>
            <w:r w:rsidRPr="00D076D3">
              <w:rPr>
                <w:b w:val="0"/>
              </w:rPr>
              <w:t>&gt;=1</w:t>
            </w:r>
          </w:p>
        </w:tc>
        <w:tc>
          <w:tcPr>
            <w:tcW w:w="2340" w:type="dxa"/>
            <w:tcBorders>
              <w:top w:val="none" w:sz="0" w:space="0" w:color="auto"/>
              <w:bottom w:val="none" w:sz="0" w:space="0" w:color="auto"/>
            </w:tcBorders>
          </w:tcPr>
          <w:p w:rsidR="00557FD2" w:rsidRDefault="00557FD2" w:rsidP="00527184">
            <w:pPr>
              <w:spacing w:after="0"/>
              <w:jc w:val="center"/>
              <w:cnfStyle w:val="000000100000" w:firstRow="0" w:lastRow="0" w:firstColumn="0" w:lastColumn="0" w:oddVBand="0" w:evenVBand="0" w:oddHBand="1" w:evenHBand="0" w:firstRowFirstColumn="0" w:firstRowLastColumn="0" w:lastRowFirstColumn="0" w:lastRowLastColumn="0"/>
            </w:pPr>
            <w:r>
              <w:t>-2.483</w:t>
            </w:r>
          </w:p>
        </w:tc>
      </w:tr>
      <w:tr w:rsidR="00557FD2" w:rsidTr="00AE6A54">
        <w:tc>
          <w:tcPr>
            <w:cnfStyle w:val="001000000000" w:firstRow="0" w:lastRow="0" w:firstColumn="1" w:lastColumn="0" w:oddVBand="0" w:evenVBand="0" w:oddHBand="0" w:evenHBand="0" w:firstRowFirstColumn="0" w:firstRowLastColumn="0" w:lastRowFirstColumn="0" w:lastRowLastColumn="0"/>
            <w:tcW w:w="2245" w:type="dxa"/>
            <w:tcBorders>
              <w:right w:val="none" w:sz="0" w:space="0" w:color="auto"/>
            </w:tcBorders>
          </w:tcPr>
          <w:p w:rsidR="00557FD2" w:rsidRPr="00D076D3" w:rsidRDefault="00557FD2" w:rsidP="0044491C">
            <w:pPr>
              <w:spacing w:after="0"/>
              <w:rPr>
                <w:b w:val="0"/>
              </w:rPr>
            </w:pPr>
            <w:r w:rsidRPr="00D076D3">
              <w:rPr>
                <w:b w:val="0"/>
              </w:rPr>
              <w:t>Nutrition &gt;=2</w:t>
            </w:r>
          </w:p>
        </w:tc>
        <w:tc>
          <w:tcPr>
            <w:tcW w:w="2340" w:type="dxa"/>
          </w:tcPr>
          <w:p w:rsidR="00557FD2" w:rsidRDefault="00557FD2" w:rsidP="00527184">
            <w:pPr>
              <w:spacing w:after="0"/>
              <w:jc w:val="center"/>
              <w:cnfStyle w:val="000000000000" w:firstRow="0" w:lastRow="0" w:firstColumn="0" w:lastColumn="0" w:oddVBand="0" w:evenVBand="0" w:oddHBand="0" w:evenHBand="0" w:firstRowFirstColumn="0" w:firstRowLastColumn="0" w:lastRowFirstColumn="0" w:lastRowLastColumn="0"/>
            </w:pPr>
            <w:r>
              <w:t>-1.267</w:t>
            </w:r>
          </w:p>
        </w:tc>
      </w:tr>
      <w:tr w:rsidR="00557FD2"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top w:val="none" w:sz="0" w:space="0" w:color="auto"/>
              <w:bottom w:val="none" w:sz="0" w:space="0" w:color="auto"/>
              <w:right w:val="none" w:sz="0" w:space="0" w:color="auto"/>
            </w:tcBorders>
          </w:tcPr>
          <w:p w:rsidR="00557FD2" w:rsidRPr="00D076D3" w:rsidRDefault="00557FD2" w:rsidP="0044491C">
            <w:pPr>
              <w:spacing w:after="0"/>
              <w:rPr>
                <w:b w:val="0"/>
              </w:rPr>
            </w:pPr>
            <w:r w:rsidRPr="00D076D3">
              <w:rPr>
                <w:b w:val="0"/>
              </w:rPr>
              <w:t>Nutrition =3</w:t>
            </w:r>
          </w:p>
        </w:tc>
        <w:tc>
          <w:tcPr>
            <w:tcW w:w="2340" w:type="dxa"/>
            <w:tcBorders>
              <w:top w:val="none" w:sz="0" w:space="0" w:color="auto"/>
              <w:bottom w:val="none" w:sz="0" w:space="0" w:color="auto"/>
            </w:tcBorders>
          </w:tcPr>
          <w:p w:rsidR="00557FD2" w:rsidRDefault="00557FD2" w:rsidP="00527184">
            <w:pPr>
              <w:spacing w:after="0"/>
              <w:jc w:val="center"/>
              <w:cnfStyle w:val="000000100000" w:firstRow="0" w:lastRow="0" w:firstColumn="0" w:lastColumn="0" w:oddVBand="0" w:evenVBand="0" w:oddHBand="1" w:evenHBand="0" w:firstRowFirstColumn="0" w:firstRowLastColumn="0" w:lastRowFirstColumn="0" w:lastRowLastColumn="0"/>
            </w:pPr>
            <w:r>
              <w:t>1.054</w:t>
            </w:r>
          </w:p>
        </w:tc>
      </w:tr>
    </w:tbl>
    <w:p w:rsidR="00980F62" w:rsidRDefault="00557FD2" w:rsidP="00F02312">
      <w:pPr>
        <w:pStyle w:val="ListParagraph"/>
        <w:numPr>
          <w:ilvl w:val="0"/>
          <w:numId w:val="81"/>
        </w:numPr>
        <w:spacing w:before="240"/>
        <w:ind w:left="357" w:hanging="357"/>
        <w:rPr>
          <w:lang w:eastAsia="en-AU"/>
        </w:rPr>
      </w:pPr>
      <w:r w:rsidRPr="00466905">
        <w:rPr>
          <w:lang w:eastAsia="en-AU"/>
        </w:rPr>
        <w:t>The first entry means that a resident with a trait value of –2.483 has a 50</w:t>
      </w:r>
      <w:r w:rsidR="00C947E9" w:rsidRPr="00466905">
        <w:rPr>
          <w:lang w:eastAsia="en-AU"/>
        </w:rPr>
        <w:t xml:space="preserve"> per cent</w:t>
      </w:r>
      <w:r w:rsidRPr="00466905">
        <w:rPr>
          <w:lang w:eastAsia="en-AU"/>
        </w:rPr>
        <w:t xml:space="preserve"> probability of being rated at 1 rather than response</w:t>
      </w:r>
      <w:r w:rsidR="00C53A80" w:rsidRPr="00466905">
        <w:rPr>
          <w:lang w:eastAsia="en-AU"/>
        </w:rPr>
        <w:t xml:space="preserve"> 0 for the R-ADL item Nutrition</w:t>
      </w:r>
      <w:r w:rsidRPr="00466905">
        <w:rPr>
          <w:lang w:eastAsia="en-AU"/>
        </w:rPr>
        <w:t>.</w:t>
      </w:r>
    </w:p>
    <w:p w:rsidR="00980F62" w:rsidRDefault="00557FD2" w:rsidP="00F02312">
      <w:pPr>
        <w:pStyle w:val="ListParagraph"/>
        <w:numPr>
          <w:ilvl w:val="0"/>
          <w:numId w:val="81"/>
        </w:numPr>
        <w:rPr>
          <w:lang w:eastAsia="en-AU"/>
        </w:rPr>
      </w:pPr>
      <w:r w:rsidRPr="00466905">
        <w:rPr>
          <w:lang w:eastAsia="en-AU"/>
        </w:rPr>
        <w:t>The second entry means that a resident with a trait value of –1.267 has a 50</w:t>
      </w:r>
      <w:r w:rsidR="00C947E9" w:rsidRPr="00466905">
        <w:rPr>
          <w:lang w:eastAsia="en-AU"/>
        </w:rPr>
        <w:t xml:space="preserve"> per cent</w:t>
      </w:r>
      <w:r w:rsidRPr="00466905">
        <w:rPr>
          <w:lang w:eastAsia="en-AU"/>
        </w:rPr>
        <w:t xml:space="preserve"> probability of being rated at 2 rather than response 0 or resp</w:t>
      </w:r>
      <w:r w:rsidR="00C53A80" w:rsidRPr="00466905">
        <w:rPr>
          <w:lang w:eastAsia="en-AU"/>
        </w:rPr>
        <w:t>onse 1 for the R-ADL item Nutrition</w:t>
      </w:r>
      <w:r w:rsidRPr="00466905">
        <w:rPr>
          <w:lang w:eastAsia="en-AU"/>
        </w:rPr>
        <w:t>.</w:t>
      </w:r>
    </w:p>
    <w:p w:rsidR="00980F62" w:rsidRDefault="00557FD2" w:rsidP="00F02312">
      <w:pPr>
        <w:pStyle w:val="ListParagraph"/>
        <w:numPr>
          <w:ilvl w:val="0"/>
          <w:numId w:val="81"/>
        </w:numPr>
        <w:rPr>
          <w:lang w:eastAsia="en-AU"/>
        </w:rPr>
      </w:pPr>
      <w:r w:rsidRPr="00466905">
        <w:rPr>
          <w:lang w:eastAsia="en-AU"/>
        </w:rPr>
        <w:t>The third entry means that a resident with a trait value of +1.054 has a 50</w:t>
      </w:r>
      <w:r w:rsidR="00C947E9" w:rsidRPr="00466905">
        <w:rPr>
          <w:lang w:eastAsia="en-AU"/>
        </w:rPr>
        <w:t xml:space="preserve"> per cent</w:t>
      </w:r>
      <w:r w:rsidRPr="00466905">
        <w:rPr>
          <w:lang w:eastAsia="en-AU"/>
        </w:rPr>
        <w:t xml:space="preserve"> probability of being rated at 3 for </w:t>
      </w:r>
      <w:r w:rsidR="00C53A80" w:rsidRPr="00466905">
        <w:rPr>
          <w:lang w:eastAsia="en-AU"/>
        </w:rPr>
        <w:t xml:space="preserve">R-ADL </w:t>
      </w:r>
      <w:r w:rsidRPr="00466905">
        <w:rPr>
          <w:lang w:eastAsia="en-AU"/>
        </w:rPr>
        <w:t xml:space="preserve">item </w:t>
      </w:r>
      <w:r w:rsidR="00C53A80" w:rsidRPr="00466905">
        <w:rPr>
          <w:lang w:eastAsia="en-AU"/>
        </w:rPr>
        <w:t>Nutrition</w:t>
      </w:r>
      <w:r w:rsidRPr="00466905">
        <w:rPr>
          <w:lang w:eastAsia="en-AU"/>
        </w:rPr>
        <w:t>.</w:t>
      </w:r>
    </w:p>
    <w:p w:rsidR="00557FD2" w:rsidRDefault="00557FD2" w:rsidP="007D7D36">
      <w:r>
        <w:t>For practical purposes, it is easier to look at the relativities, that is</w:t>
      </w:r>
      <w:r w:rsidR="002940B9">
        <w:t>:</w:t>
      </w:r>
      <w:r>
        <w:t xml:space="preserve"> how widely spaced are the categories, and </w:t>
      </w:r>
      <w:r w:rsidR="00C53A80">
        <w:t xml:space="preserve">by </w:t>
      </w:r>
      <w:r>
        <w:t>how much the high values are greater than the low</w:t>
      </w:r>
      <w:r w:rsidR="00910F3B">
        <w:t>er</w:t>
      </w:r>
      <w:r>
        <w:t xml:space="preserve"> values.</w:t>
      </w:r>
    </w:p>
    <w:p w:rsidR="00527184" w:rsidRDefault="00527184" w:rsidP="00527184">
      <w:pPr>
        <w:spacing w:after="200"/>
        <w:jc w:val="left"/>
      </w:pPr>
      <w:r>
        <w:br w:type="page"/>
      </w:r>
    </w:p>
    <w:p w:rsidR="00557FD2" w:rsidRPr="00670985" w:rsidRDefault="00557FD2" w:rsidP="007E0DCA">
      <w:pPr>
        <w:pStyle w:val="Heading4-Chapter232"/>
      </w:pPr>
      <w:r w:rsidRPr="00670985">
        <w:lastRenderedPageBreak/>
        <w:t>Looking at the item categories in terms of the IRT latent score</w:t>
      </w:r>
    </w:p>
    <w:p w:rsidR="00557FD2" w:rsidRDefault="00557FD2" w:rsidP="007D7D36">
      <w:r>
        <w:t>Another insight into the data is obtained by looking at the mean value of the IRT latent score for each category of an item (</w:t>
      </w:r>
      <w:hyperlink w:anchor="Tab0206" w:history="1">
        <w:r w:rsidRPr="003827C3">
          <w:rPr>
            <w:rStyle w:val="Hyperlink"/>
          </w:rPr>
          <w:t>Table 2.6</w:t>
        </w:r>
      </w:hyperlink>
      <w:r>
        <w:t>).</w:t>
      </w:r>
    </w:p>
    <w:p w:rsidR="00291A6C" w:rsidRDefault="00291A6C" w:rsidP="00291A6C">
      <w:pPr>
        <w:pStyle w:val="Caption"/>
        <w:keepNext/>
      </w:pPr>
      <w:bookmarkStart w:id="130" w:name="_Toc495415634"/>
      <w:bookmarkStart w:id="131" w:name="_Toc495474273"/>
      <w:bookmarkStart w:id="132" w:name="Tab0206"/>
      <w:r>
        <w:t>Table 2.</w:t>
      </w:r>
      <w:r w:rsidR="009A3F5A">
        <w:fldChar w:fldCharType="begin"/>
      </w:r>
      <w:r w:rsidR="009A3F5A">
        <w:instrText xml:space="preserve"> SEQ Table_2. \* ARABIC </w:instrText>
      </w:r>
      <w:r w:rsidR="009A3F5A">
        <w:fldChar w:fldCharType="separate"/>
      </w:r>
      <w:r w:rsidR="00856E49">
        <w:rPr>
          <w:noProof/>
        </w:rPr>
        <w:t>6</w:t>
      </w:r>
      <w:r w:rsidR="009A3F5A">
        <w:rPr>
          <w:noProof/>
        </w:rPr>
        <w:fldChar w:fldCharType="end"/>
      </w:r>
      <w:r>
        <w:t xml:space="preserve">: </w:t>
      </w:r>
      <w:r w:rsidRPr="00291A6C">
        <w:t>.6: R-ACFI Nutrition Item</w:t>
      </w:r>
      <w:bookmarkEnd w:id="130"/>
      <w:bookmarkEnd w:id="131"/>
    </w:p>
    <w:tbl>
      <w:tblPr>
        <w:tblStyle w:val="ListTable3-Accent515"/>
        <w:tblW w:w="0" w:type="auto"/>
        <w:tblInd w:w="108" w:type="dxa"/>
        <w:tblBorders>
          <w:insideH w:val="single" w:sz="4" w:space="0" w:color="5B9BD5" w:themeColor="accent5"/>
          <w:insideV w:val="single" w:sz="4" w:space="0" w:color="5B9BD5" w:themeColor="accent5"/>
        </w:tblBorders>
        <w:tblLook w:val="04A0" w:firstRow="1" w:lastRow="0" w:firstColumn="1" w:lastColumn="0" w:noHBand="0" w:noVBand="1"/>
        <w:tblDescription w:val="Table 2.6 is a list of the mean latent scores for each category of the Nutrition question under the Revised-Aged Care Funding Instrument (R-ACFI), as summarised in the text proceeding this table. This table is to be read left to right, top to bottom."/>
      </w:tblPr>
      <w:tblGrid>
        <w:gridCol w:w="2254"/>
        <w:gridCol w:w="2254"/>
        <w:gridCol w:w="2254"/>
      </w:tblGrid>
      <w:tr w:rsidR="00557FD2" w:rsidTr="00AE6A5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54" w:type="dxa"/>
            <w:tcBorders>
              <w:bottom w:val="none" w:sz="0" w:space="0" w:color="auto"/>
              <w:right w:val="none" w:sz="0" w:space="0" w:color="auto"/>
            </w:tcBorders>
          </w:tcPr>
          <w:bookmarkEnd w:id="132"/>
          <w:p w:rsidR="00557FD2" w:rsidRPr="00D076D3" w:rsidRDefault="00557FD2" w:rsidP="007D7D36">
            <w:pPr>
              <w:spacing w:after="0"/>
            </w:pPr>
            <w:r w:rsidRPr="00D076D3">
              <w:t>Category</w:t>
            </w:r>
          </w:p>
        </w:tc>
        <w:tc>
          <w:tcPr>
            <w:tcW w:w="2254" w:type="dxa"/>
          </w:tcPr>
          <w:p w:rsidR="00557FD2" w:rsidRPr="00D076D3" w:rsidRDefault="00557FD2" w:rsidP="00527184">
            <w:pPr>
              <w:spacing w:after="0"/>
              <w:jc w:val="center"/>
              <w:cnfStyle w:val="100000000000" w:firstRow="1" w:lastRow="0" w:firstColumn="0" w:lastColumn="0" w:oddVBand="0" w:evenVBand="0" w:oddHBand="0" w:evenHBand="0" w:firstRowFirstColumn="0" w:firstRowLastColumn="0" w:lastRowFirstColumn="0" w:lastRowLastColumn="0"/>
            </w:pPr>
            <w:r w:rsidRPr="00D076D3">
              <w:t>Response Code</w:t>
            </w:r>
          </w:p>
        </w:tc>
        <w:tc>
          <w:tcPr>
            <w:tcW w:w="2254" w:type="dxa"/>
          </w:tcPr>
          <w:p w:rsidR="00557FD2" w:rsidRPr="00D076D3" w:rsidRDefault="00557FD2" w:rsidP="00527184">
            <w:pPr>
              <w:spacing w:after="0"/>
              <w:jc w:val="center"/>
              <w:cnfStyle w:val="100000000000" w:firstRow="1" w:lastRow="0" w:firstColumn="0" w:lastColumn="0" w:oddVBand="0" w:evenVBand="0" w:oddHBand="0" w:evenHBand="0" w:firstRowFirstColumn="0" w:firstRowLastColumn="0" w:lastRowFirstColumn="0" w:lastRowLastColumn="0"/>
            </w:pPr>
            <w:r w:rsidRPr="00D076D3">
              <w:t>Mean Latent Score</w:t>
            </w:r>
          </w:p>
        </w:tc>
      </w:tr>
      <w:tr w:rsidR="00557FD2"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none" w:sz="0" w:space="0" w:color="auto"/>
              <w:bottom w:val="none" w:sz="0" w:space="0" w:color="auto"/>
              <w:right w:val="none" w:sz="0" w:space="0" w:color="auto"/>
            </w:tcBorders>
          </w:tcPr>
          <w:p w:rsidR="00557FD2" w:rsidRPr="005C795F" w:rsidRDefault="00557FD2" w:rsidP="007D7D36">
            <w:pPr>
              <w:spacing w:after="0"/>
              <w:rPr>
                <w:b w:val="0"/>
              </w:rPr>
            </w:pPr>
            <w:r w:rsidRPr="005C795F">
              <w:rPr>
                <w:b w:val="0"/>
              </w:rPr>
              <w:t>Standard care</w:t>
            </w:r>
          </w:p>
        </w:tc>
        <w:tc>
          <w:tcPr>
            <w:tcW w:w="2254" w:type="dxa"/>
            <w:tcBorders>
              <w:top w:val="none" w:sz="0" w:space="0" w:color="auto"/>
              <w:bottom w:val="none" w:sz="0" w:space="0" w:color="auto"/>
            </w:tcBorders>
          </w:tcPr>
          <w:p w:rsidR="00557FD2" w:rsidRDefault="00557FD2" w:rsidP="00527184">
            <w:pPr>
              <w:spacing w:after="0"/>
              <w:jc w:val="center"/>
              <w:cnfStyle w:val="000000100000" w:firstRow="0" w:lastRow="0" w:firstColumn="0" w:lastColumn="0" w:oddVBand="0" w:evenVBand="0" w:oddHBand="1" w:evenHBand="0" w:firstRowFirstColumn="0" w:firstRowLastColumn="0" w:lastRowFirstColumn="0" w:lastRowLastColumn="0"/>
            </w:pPr>
            <w:r>
              <w:t>0</w:t>
            </w:r>
          </w:p>
        </w:tc>
        <w:tc>
          <w:tcPr>
            <w:tcW w:w="2254" w:type="dxa"/>
            <w:tcBorders>
              <w:top w:val="none" w:sz="0" w:space="0" w:color="auto"/>
              <w:bottom w:val="none" w:sz="0" w:space="0" w:color="auto"/>
            </w:tcBorders>
          </w:tcPr>
          <w:p w:rsidR="00557FD2" w:rsidRDefault="00557FD2" w:rsidP="00527184">
            <w:pPr>
              <w:spacing w:after="0"/>
              <w:jc w:val="center"/>
              <w:cnfStyle w:val="000000100000" w:firstRow="0" w:lastRow="0" w:firstColumn="0" w:lastColumn="0" w:oddVBand="0" w:evenVBand="0" w:oddHBand="1" w:evenHBand="0" w:firstRowFirstColumn="0" w:firstRowLastColumn="0" w:lastRowFirstColumn="0" w:lastRowLastColumn="0"/>
            </w:pPr>
            <w:r>
              <w:t>34.74</w:t>
            </w:r>
          </w:p>
        </w:tc>
      </w:tr>
      <w:tr w:rsidR="00557FD2" w:rsidTr="00AE6A54">
        <w:tc>
          <w:tcPr>
            <w:cnfStyle w:val="001000000000" w:firstRow="0" w:lastRow="0" w:firstColumn="1" w:lastColumn="0" w:oddVBand="0" w:evenVBand="0" w:oddHBand="0" w:evenHBand="0" w:firstRowFirstColumn="0" w:firstRowLastColumn="0" w:lastRowFirstColumn="0" w:lastRowLastColumn="0"/>
            <w:tcW w:w="2254" w:type="dxa"/>
            <w:tcBorders>
              <w:right w:val="none" w:sz="0" w:space="0" w:color="auto"/>
            </w:tcBorders>
          </w:tcPr>
          <w:p w:rsidR="00557FD2" w:rsidRPr="005C795F" w:rsidRDefault="00557FD2" w:rsidP="007D7D36">
            <w:pPr>
              <w:spacing w:after="0"/>
              <w:rPr>
                <w:b w:val="0"/>
              </w:rPr>
            </w:pPr>
            <w:r w:rsidRPr="005C795F">
              <w:rPr>
                <w:b w:val="0"/>
              </w:rPr>
              <w:t>Monitoring</w:t>
            </w:r>
          </w:p>
        </w:tc>
        <w:tc>
          <w:tcPr>
            <w:tcW w:w="2254" w:type="dxa"/>
          </w:tcPr>
          <w:p w:rsidR="00557FD2" w:rsidRDefault="00557FD2" w:rsidP="00527184">
            <w:pPr>
              <w:spacing w:after="0"/>
              <w:jc w:val="center"/>
              <w:cnfStyle w:val="000000000000" w:firstRow="0" w:lastRow="0" w:firstColumn="0" w:lastColumn="0" w:oddVBand="0" w:evenVBand="0" w:oddHBand="0" w:evenHBand="0" w:firstRowFirstColumn="0" w:firstRowLastColumn="0" w:lastRowFirstColumn="0" w:lastRowLastColumn="0"/>
            </w:pPr>
            <w:r>
              <w:t>1</w:t>
            </w:r>
          </w:p>
        </w:tc>
        <w:tc>
          <w:tcPr>
            <w:tcW w:w="2254" w:type="dxa"/>
          </w:tcPr>
          <w:p w:rsidR="00557FD2" w:rsidRDefault="00557FD2" w:rsidP="00527184">
            <w:pPr>
              <w:spacing w:after="0"/>
              <w:jc w:val="center"/>
              <w:cnfStyle w:val="000000000000" w:firstRow="0" w:lastRow="0" w:firstColumn="0" w:lastColumn="0" w:oddVBand="0" w:evenVBand="0" w:oddHBand="0" w:evenHBand="0" w:firstRowFirstColumn="0" w:firstRowLastColumn="0" w:lastRowFirstColumn="0" w:lastRowLastColumn="0"/>
            </w:pPr>
            <w:r>
              <w:t>41.10</w:t>
            </w:r>
          </w:p>
        </w:tc>
      </w:tr>
      <w:tr w:rsidR="00557FD2"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none" w:sz="0" w:space="0" w:color="auto"/>
              <w:bottom w:val="none" w:sz="0" w:space="0" w:color="auto"/>
              <w:right w:val="none" w:sz="0" w:space="0" w:color="auto"/>
            </w:tcBorders>
          </w:tcPr>
          <w:p w:rsidR="00557FD2" w:rsidRPr="005C795F" w:rsidRDefault="00557FD2" w:rsidP="007D7D36">
            <w:pPr>
              <w:spacing w:after="0"/>
              <w:rPr>
                <w:b w:val="0"/>
              </w:rPr>
            </w:pPr>
            <w:r w:rsidRPr="005C795F">
              <w:rPr>
                <w:b w:val="0"/>
              </w:rPr>
              <w:t>Some assistance</w:t>
            </w:r>
          </w:p>
        </w:tc>
        <w:tc>
          <w:tcPr>
            <w:tcW w:w="2254" w:type="dxa"/>
            <w:tcBorders>
              <w:top w:val="none" w:sz="0" w:space="0" w:color="auto"/>
              <w:bottom w:val="none" w:sz="0" w:space="0" w:color="auto"/>
            </w:tcBorders>
          </w:tcPr>
          <w:p w:rsidR="00557FD2" w:rsidRDefault="00557FD2" w:rsidP="00527184">
            <w:pPr>
              <w:spacing w:after="0"/>
              <w:jc w:val="center"/>
              <w:cnfStyle w:val="000000100000" w:firstRow="0" w:lastRow="0" w:firstColumn="0" w:lastColumn="0" w:oddVBand="0" w:evenVBand="0" w:oddHBand="1" w:evenHBand="0" w:firstRowFirstColumn="0" w:firstRowLastColumn="0" w:lastRowFirstColumn="0" w:lastRowLastColumn="0"/>
            </w:pPr>
            <w:r>
              <w:t>2</w:t>
            </w:r>
          </w:p>
        </w:tc>
        <w:tc>
          <w:tcPr>
            <w:tcW w:w="2254" w:type="dxa"/>
            <w:tcBorders>
              <w:top w:val="none" w:sz="0" w:space="0" w:color="auto"/>
              <w:bottom w:val="none" w:sz="0" w:space="0" w:color="auto"/>
            </w:tcBorders>
          </w:tcPr>
          <w:p w:rsidR="00557FD2" w:rsidRDefault="00557FD2" w:rsidP="00527184">
            <w:pPr>
              <w:spacing w:after="0"/>
              <w:jc w:val="center"/>
              <w:cnfStyle w:val="000000100000" w:firstRow="0" w:lastRow="0" w:firstColumn="0" w:lastColumn="0" w:oddVBand="0" w:evenVBand="0" w:oddHBand="1" w:evenHBand="0" w:firstRowFirstColumn="0" w:firstRowLastColumn="0" w:lastRowFirstColumn="0" w:lastRowLastColumn="0"/>
            </w:pPr>
            <w:r>
              <w:t>65.73</w:t>
            </w:r>
          </w:p>
        </w:tc>
      </w:tr>
      <w:tr w:rsidR="00557FD2" w:rsidTr="00AE6A54">
        <w:tc>
          <w:tcPr>
            <w:cnfStyle w:val="001000000000" w:firstRow="0" w:lastRow="0" w:firstColumn="1" w:lastColumn="0" w:oddVBand="0" w:evenVBand="0" w:oddHBand="0" w:evenHBand="0" w:firstRowFirstColumn="0" w:firstRowLastColumn="0" w:lastRowFirstColumn="0" w:lastRowLastColumn="0"/>
            <w:tcW w:w="2254" w:type="dxa"/>
            <w:tcBorders>
              <w:right w:val="none" w:sz="0" w:space="0" w:color="auto"/>
            </w:tcBorders>
          </w:tcPr>
          <w:p w:rsidR="00557FD2" w:rsidRPr="005C795F" w:rsidRDefault="00557FD2" w:rsidP="007D7D36">
            <w:pPr>
              <w:spacing w:after="0"/>
              <w:rPr>
                <w:b w:val="0"/>
              </w:rPr>
            </w:pPr>
            <w:r w:rsidRPr="005C795F">
              <w:rPr>
                <w:b w:val="0"/>
              </w:rPr>
              <w:t>Full assistance</w:t>
            </w:r>
          </w:p>
        </w:tc>
        <w:tc>
          <w:tcPr>
            <w:tcW w:w="2254" w:type="dxa"/>
          </w:tcPr>
          <w:p w:rsidR="00557FD2" w:rsidRDefault="00557FD2" w:rsidP="00527184">
            <w:pPr>
              <w:spacing w:after="0"/>
              <w:jc w:val="center"/>
              <w:cnfStyle w:val="000000000000" w:firstRow="0" w:lastRow="0" w:firstColumn="0" w:lastColumn="0" w:oddVBand="0" w:evenVBand="0" w:oddHBand="0" w:evenHBand="0" w:firstRowFirstColumn="0" w:firstRowLastColumn="0" w:lastRowFirstColumn="0" w:lastRowLastColumn="0"/>
            </w:pPr>
            <w:r>
              <w:t>3</w:t>
            </w:r>
          </w:p>
        </w:tc>
        <w:tc>
          <w:tcPr>
            <w:tcW w:w="2254" w:type="dxa"/>
          </w:tcPr>
          <w:p w:rsidR="00557FD2" w:rsidRDefault="00557FD2" w:rsidP="00527184">
            <w:pPr>
              <w:spacing w:after="0"/>
              <w:jc w:val="center"/>
              <w:cnfStyle w:val="000000000000" w:firstRow="0" w:lastRow="0" w:firstColumn="0" w:lastColumn="0" w:oddVBand="0" w:evenVBand="0" w:oddHBand="0" w:evenHBand="0" w:firstRowFirstColumn="0" w:firstRowLastColumn="0" w:lastRowFirstColumn="0" w:lastRowLastColumn="0"/>
            </w:pPr>
            <w:r>
              <w:t>83.72</w:t>
            </w:r>
          </w:p>
        </w:tc>
      </w:tr>
      <w:tr w:rsidR="000B6A9F" w:rsidTr="00285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gridSpan w:val="2"/>
          </w:tcPr>
          <w:p w:rsidR="000B6A9F" w:rsidRPr="000B6A9F" w:rsidRDefault="000B6A9F" w:rsidP="000B6A9F">
            <w:pPr>
              <w:spacing w:after="0"/>
              <w:jc w:val="left"/>
            </w:pPr>
            <w:r>
              <w:t xml:space="preserve">Total </w:t>
            </w:r>
            <w:r w:rsidRPr="000B6A9F">
              <w:t>Mean Latent Score</w:t>
            </w:r>
          </w:p>
        </w:tc>
        <w:tc>
          <w:tcPr>
            <w:tcW w:w="2254" w:type="dxa"/>
          </w:tcPr>
          <w:p w:rsidR="000B6A9F" w:rsidRPr="000B6A9F" w:rsidRDefault="000B6A9F" w:rsidP="00527184">
            <w:pPr>
              <w:spacing w:after="0"/>
              <w:jc w:val="center"/>
              <w:cnfStyle w:val="000000100000" w:firstRow="0" w:lastRow="0" w:firstColumn="0" w:lastColumn="0" w:oddVBand="0" w:evenVBand="0" w:oddHBand="1" w:evenHBand="0" w:firstRowFirstColumn="0" w:firstRowLastColumn="0" w:lastRowFirstColumn="0" w:lastRowLastColumn="0"/>
              <w:rPr>
                <w:b/>
              </w:rPr>
            </w:pPr>
            <w:r w:rsidRPr="000B6A9F">
              <w:rPr>
                <w:b/>
              </w:rPr>
              <w:t>65.07</w:t>
            </w:r>
          </w:p>
        </w:tc>
      </w:tr>
    </w:tbl>
    <w:p w:rsidR="00980F62" w:rsidRDefault="00557FD2" w:rsidP="00FF7E1E">
      <w:pPr>
        <w:spacing w:before="200"/>
      </w:pPr>
      <w:r>
        <w:t xml:space="preserve">The </w:t>
      </w:r>
      <w:r w:rsidR="0072638F">
        <w:t xml:space="preserve">latent score has a range from 0 to </w:t>
      </w:r>
      <w:r>
        <w:t>100. The table shows that the mean latent score for the whole group of residents is 65.07. The mean latent score for the group of residents with response 0 for the R-ACFI Nutrition item is 34.74, the mean latent score for the group with response 1 for the R-ACFI Nutrition item is 41.10, etc.</w:t>
      </w:r>
    </w:p>
    <w:p w:rsidR="00557FD2" w:rsidRPr="00670985" w:rsidRDefault="00557FD2" w:rsidP="007E0DCA">
      <w:pPr>
        <w:pStyle w:val="Heading4-Chapter232"/>
      </w:pPr>
      <w:r w:rsidRPr="00670985">
        <w:t>ACFI data</w:t>
      </w:r>
    </w:p>
    <w:p w:rsidR="00557FD2" w:rsidRDefault="00557FD2" w:rsidP="007D7D36">
      <w:r>
        <w:t xml:space="preserve">The ACFI data from 2015/2016 have been used for the IRT analyses. The data includes all residents that were present in an aged care facility at some point in the 12-month period (233,996 records). Strictly, if there were new cases from a new year they should be submitted to IRT analysis to obtain their scores on the set of ACFI items. This is possible, and there is the option to anchor the parameter values, so that the new cases are scored based on the parameter values of the set of analysis data from the previous year. This would ensure consistency across years. In practice, this is </w:t>
      </w:r>
      <w:r w:rsidR="002940B9">
        <w:t xml:space="preserve">unlikely to be </w:t>
      </w:r>
      <w:r>
        <w:t>feasible, and dummy (indicator) variable regression analysis is used for this purpose.</w:t>
      </w:r>
    </w:p>
    <w:p w:rsidR="00980F62" w:rsidRDefault="00557FD2" w:rsidP="007E0DCA">
      <w:pPr>
        <w:pStyle w:val="Heading4-Chapter232"/>
      </w:pPr>
      <w:r w:rsidRPr="00670985">
        <w:t>Dummy variable regression analysis</w:t>
      </w:r>
    </w:p>
    <w:p w:rsidR="00980F62" w:rsidRDefault="00557FD2" w:rsidP="007D7D36">
      <w:r>
        <w:t>The linear regression procedure normally attempts to explain the variance in a dependent variable in terms of one or more independent variables. For the IRT analysis</w:t>
      </w:r>
      <w:r w:rsidR="00F07208">
        <w:t>,</w:t>
      </w:r>
      <w:r>
        <w:t xml:space="preserve"> a latent variable</w:t>
      </w:r>
      <w:r w:rsidRPr="00F0126E">
        <w:t xml:space="preserve"> </w:t>
      </w:r>
      <w:r>
        <w:t xml:space="preserve">was developed. </w:t>
      </w:r>
      <w:r w:rsidR="00255EED">
        <w:t>D</w:t>
      </w:r>
      <w:r>
        <w:t>ummy variable linear regression is used to explain the variance in the latent variable in terms of categories of the items used to create that latent variable</w:t>
      </w:r>
      <w:r w:rsidR="00255EED">
        <w:t xml:space="preserve"> (</w:t>
      </w:r>
      <w:hyperlink w:anchor="Tab0207" w:history="1">
        <w:r w:rsidR="00255EED" w:rsidRPr="003827C3">
          <w:rPr>
            <w:rStyle w:val="Hyperlink"/>
          </w:rPr>
          <w:t>Table 2.7</w:t>
        </w:r>
      </w:hyperlink>
      <w:r w:rsidR="00255EED">
        <w:t>)</w:t>
      </w:r>
      <w:r>
        <w:t>.</w:t>
      </w:r>
    </w:p>
    <w:p w:rsidR="00557FD2" w:rsidRDefault="00557FD2" w:rsidP="007D7D36">
      <w:r>
        <w:t>There is redundancy of using a dependent variable derived from the same variables used in the analysis, but this allows scoring of people (residents) without running through an IRT analysis. This adapted procedure will only work where there are no cases with missing data, which is the situation with the ACFI data.</w:t>
      </w:r>
    </w:p>
    <w:p w:rsidR="00527184" w:rsidRDefault="00557FD2" w:rsidP="00527184">
      <w:pPr>
        <w:spacing w:after="200"/>
        <w:jc w:val="left"/>
      </w:pPr>
      <w:r w:rsidRPr="00F07208">
        <w:t xml:space="preserve">Since this analysis </w:t>
      </w:r>
      <w:r w:rsidR="00F07208">
        <w:t>deals</w:t>
      </w:r>
      <w:r w:rsidRPr="00F07208">
        <w:t xml:space="preserve"> with variables with more than two categories, a set of dummy (indicator) variables for each category of a variable is generated by regressing the latent</w:t>
      </w:r>
      <w:r>
        <w:t xml:space="preserve"> variable (ADL Latent) against the dummy variables generated from the R-ACFI Nutrition item.</w:t>
      </w:r>
      <w:r w:rsidR="007A576E">
        <w:t xml:space="preserve"> </w:t>
      </w:r>
      <w:r w:rsidR="00527184">
        <w:br w:type="page"/>
      </w:r>
    </w:p>
    <w:p w:rsidR="00291A6C" w:rsidRDefault="00291A6C" w:rsidP="00291A6C">
      <w:pPr>
        <w:pStyle w:val="Caption"/>
        <w:keepNext/>
      </w:pPr>
      <w:bookmarkStart w:id="133" w:name="_Toc495415635"/>
      <w:bookmarkStart w:id="134" w:name="_Toc495474274"/>
      <w:bookmarkStart w:id="135" w:name="Tab0207"/>
      <w:r>
        <w:lastRenderedPageBreak/>
        <w:t>Table 2.</w:t>
      </w:r>
      <w:r w:rsidR="009A3F5A">
        <w:fldChar w:fldCharType="begin"/>
      </w:r>
      <w:r w:rsidR="009A3F5A">
        <w:instrText xml:space="preserve"> SEQ Table_2. \* ARABIC </w:instrText>
      </w:r>
      <w:r w:rsidR="009A3F5A">
        <w:fldChar w:fldCharType="separate"/>
      </w:r>
      <w:r w:rsidR="00856E49">
        <w:rPr>
          <w:noProof/>
        </w:rPr>
        <w:t>7</w:t>
      </w:r>
      <w:r w:rsidR="009A3F5A">
        <w:rPr>
          <w:noProof/>
        </w:rPr>
        <w:fldChar w:fldCharType="end"/>
      </w:r>
      <w:r>
        <w:t xml:space="preserve">: </w:t>
      </w:r>
      <w:r w:rsidRPr="00291A6C">
        <w:t>R-ACFI Nutrition</w:t>
      </w:r>
      <w:bookmarkEnd w:id="133"/>
      <w:bookmarkEnd w:id="134"/>
    </w:p>
    <w:tbl>
      <w:tblPr>
        <w:tblStyle w:val="ListTable3-Accent515"/>
        <w:tblW w:w="0" w:type="auto"/>
        <w:tblInd w:w="108" w:type="dxa"/>
        <w:tblBorders>
          <w:insideH w:val="single" w:sz="4" w:space="0" w:color="5B9BD5" w:themeColor="accent5"/>
          <w:insideV w:val="single" w:sz="4" w:space="0" w:color="5B9BD5" w:themeColor="accent5"/>
        </w:tblBorders>
        <w:tblLook w:val="04A0" w:firstRow="1" w:lastRow="0" w:firstColumn="1" w:lastColumn="0" w:noHBand="0" w:noVBand="1"/>
        <w:tblDescription w:val="Table 2.7 is a list of the regression coefficients for each category of the Nutrition question, using a dummy variable regression analysis, under the Revised-Aged Care Funding Instrument (R-ACFI) as summarised in the text prior to this table. This table is to be read left to right, top to bottom."/>
      </w:tblPr>
      <w:tblGrid>
        <w:gridCol w:w="2245"/>
        <w:gridCol w:w="2610"/>
      </w:tblGrid>
      <w:tr w:rsidR="00557FD2" w:rsidRPr="00D076D3" w:rsidTr="00AE6A5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45" w:type="dxa"/>
            <w:tcBorders>
              <w:bottom w:val="none" w:sz="0" w:space="0" w:color="auto"/>
              <w:right w:val="none" w:sz="0" w:space="0" w:color="auto"/>
            </w:tcBorders>
          </w:tcPr>
          <w:bookmarkEnd w:id="135"/>
          <w:p w:rsidR="00557FD2" w:rsidRPr="00D076D3" w:rsidRDefault="00557FD2" w:rsidP="007D7D36">
            <w:pPr>
              <w:spacing w:after="0"/>
            </w:pPr>
            <w:r w:rsidRPr="00D076D3">
              <w:t>Nutrition</w:t>
            </w:r>
          </w:p>
        </w:tc>
        <w:tc>
          <w:tcPr>
            <w:tcW w:w="2610" w:type="dxa"/>
          </w:tcPr>
          <w:p w:rsidR="00557FD2" w:rsidRPr="00D076D3" w:rsidRDefault="00557FD2" w:rsidP="00EB49E2">
            <w:pPr>
              <w:spacing w:after="0"/>
              <w:jc w:val="center"/>
              <w:cnfStyle w:val="100000000000" w:firstRow="1" w:lastRow="0" w:firstColumn="0" w:lastColumn="0" w:oddVBand="0" w:evenVBand="0" w:oddHBand="0" w:evenHBand="0" w:firstRowFirstColumn="0" w:firstRowLastColumn="0" w:lastRowFirstColumn="0" w:lastRowLastColumn="0"/>
            </w:pPr>
            <w:r>
              <w:t xml:space="preserve">Regression </w:t>
            </w:r>
            <w:r w:rsidRPr="00D076D3">
              <w:t>Coefficient</w:t>
            </w:r>
          </w:p>
        </w:tc>
      </w:tr>
      <w:tr w:rsidR="00557FD2"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top w:val="none" w:sz="0" w:space="0" w:color="auto"/>
              <w:bottom w:val="none" w:sz="0" w:space="0" w:color="auto"/>
              <w:right w:val="none" w:sz="0" w:space="0" w:color="auto"/>
            </w:tcBorders>
          </w:tcPr>
          <w:p w:rsidR="00557FD2" w:rsidRPr="005C795F" w:rsidRDefault="00557FD2" w:rsidP="007D7D36">
            <w:pPr>
              <w:spacing w:after="0"/>
              <w:rPr>
                <w:b w:val="0"/>
              </w:rPr>
            </w:pPr>
            <w:r>
              <w:rPr>
                <w:b w:val="0"/>
              </w:rPr>
              <w:t>General care</w:t>
            </w:r>
          </w:p>
        </w:tc>
        <w:tc>
          <w:tcPr>
            <w:tcW w:w="2610" w:type="dxa"/>
            <w:tcBorders>
              <w:top w:val="none" w:sz="0" w:space="0" w:color="auto"/>
              <w:bottom w:val="none" w:sz="0" w:space="0" w:color="auto"/>
            </w:tcBorders>
          </w:tcPr>
          <w:p w:rsidR="00557FD2" w:rsidRDefault="00557FD2" w:rsidP="00527184">
            <w:pPr>
              <w:spacing w:after="0"/>
              <w:jc w:val="center"/>
              <w:cnfStyle w:val="000000100000" w:firstRow="0" w:lastRow="0" w:firstColumn="0" w:lastColumn="0" w:oddVBand="0" w:evenVBand="0" w:oddHBand="1" w:evenHBand="0" w:firstRowFirstColumn="0" w:firstRowLastColumn="0" w:lastRowFirstColumn="0" w:lastRowLastColumn="0"/>
            </w:pPr>
            <w:r>
              <w:t>0</w:t>
            </w:r>
          </w:p>
        </w:tc>
      </w:tr>
      <w:tr w:rsidR="00557FD2" w:rsidTr="00AE6A54">
        <w:tc>
          <w:tcPr>
            <w:cnfStyle w:val="001000000000" w:firstRow="0" w:lastRow="0" w:firstColumn="1" w:lastColumn="0" w:oddVBand="0" w:evenVBand="0" w:oddHBand="0" w:evenHBand="0" w:firstRowFirstColumn="0" w:firstRowLastColumn="0" w:lastRowFirstColumn="0" w:lastRowLastColumn="0"/>
            <w:tcW w:w="2245" w:type="dxa"/>
            <w:tcBorders>
              <w:right w:val="none" w:sz="0" w:space="0" w:color="auto"/>
            </w:tcBorders>
          </w:tcPr>
          <w:p w:rsidR="00557FD2" w:rsidRPr="00D076D3" w:rsidRDefault="00557FD2" w:rsidP="007D7D36">
            <w:pPr>
              <w:spacing w:after="0"/>
              <w:rPr>
                <w:b w:val="0"/>
              </w:rPr>
            </w:pPr>
            <w:r w:rsidRPr="005C795F">
              <w:rPr>
                <w:b w:val="0"/>
              </w:rPr>
              <w:t>Monitoring</w:t>
            </w:r>
          </w:p>
        </w:tc>
        <w:tc>
          <w:tcPr>
            <w:tcW w:w="2610" w:type="dxa"/>
          </w:tcPr>
          <w:p w:rsidR="00557FD2" w:rsidRDefault="00557FD2" w:rsidP="00527184">
            <w:pPr>
              <w:spacing w:after="0"/>
              <w:jc w:val="center"/>
              <w:cnfStyle w:val="000000000000" w:firstRow="0" w:lastRow="0" w:firstColumn="0" w:lastColumn="0" w:oddVBand="0" w:evenVBand="0" w:oddHBand="0" w:evenHBand="0" w:firstRowFirstColumn="0" w:firstRowLastColumn="0" w:lastRowFirstColumn="0" w:lastRowLastColumn="0"/>
            </w:pPr>
            <w:r>
              <w:t>1.20</w:t>
            </w:r>
          </w:p>
        </w:tc>
      </w:tr>
      <w:tr w:rsidR="00557FD2"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top w:val="none" w:sz="0" w:space="0" w:color="auto"/>
              <w:bottom w:val="none" w:sz="0" w:space="0" w:color="auto"/>
              <w:right w:val="none" w:sz="0" w:space="0" w:color="auto"/>
            </w:tcBorders>
          </w:tcPr>
          <w:p w:rsidR="00557FD2" w:rsidRPr="00D076D3" w:rsidRDefault="00557FD2" w:rsidP="007D7D36">
            <w:pPr>
              <w:spacing w:after="0"/>
              <w:rPr>
                <w:b w:val="0"/>
              </w:rPr>
            </w:pPr>
            <w:r w:rsidRPr="005C795F">
              <w:rPr>
                <w:b w:val="0"/>
              </w:rPr>
              <w:t>Some assistance</w:t>
            </w:r>
          </w:p>
        </w:tc>
        <w:tc>
          <w:tcPr>
            <w:tcW w:w="2610" w:type="dxa"/>
            <w:tcBorders>
              <w:top w:val="none" w:sz="0" w:space="0" w:color="auto"/>
              <w:bottom w:val="none" w:sz="0" w:space="0" w:color="auto"/>
            </w:tcBorders>
          </w:tcPr>
          <w:p w:rsidR="00557FD2" w:rsidRDefault="00557FD2" w:rsidP="00527184">
            <w:pPr>
              <w:spacing w:after="0"/>
              <w:jc w:val="center"/>
              <w:cnfStyle w:val="000000100000" w:firstRow="0" w:lastRow="0" w:firstColumn="0" w:lastColumn="0" w:oddVBand="0" w:evenVBand="0" w:oddHBand="1" w:evenHBand="0" w:firstRowFirstColumn="0" w:firstRowLastColumn="0" w:lastRowFirstColumn="0" w:lastRowLastColumn="0"/>
            </w:pPr>
            <w:r>
              <w:t>3.43</w:t>
            </w:r>
          </w:p>
        </w:tc>
      </w:tr>
      <w:tr w:rsidR="00557FD2" w:rsidTr="00AE6A54">
        <w:tc>
          <w:tcPr>
            <w:cnfStyle w:val="001000000000" w:firstRow="0" w:lastRow="0" w:firstColumn="1" w:lastColumn="0" w:oddVBand="0" w:evenVBand="0" w:oddHBand="0" w:evenHBand="0" w:firstRowFirstColumn="0" w:firstRowLastColumn="0" w:lastRowFirstColumn="0" w:lastRowLastColumn="0"/>
            <w:tcW w:w="2245" w:type="dxa"/>
            <w:tcBorders>
              <w:right w:val="none" w:sz="0" w:space="0" w:color="auto"/>
            </w:tcBorders>
          </w:tcPr>
          <w:p w:rsidR="00557FD2" w:rsidRPr="00D076D3" w:rsidRDefault="00557FD2" w:rsidP="007D7D36">
            <w:pPr>
              <w:spacing w:after="0"/>
              <w:rPr>
                <w:b w:val="0"/>
              </w:rPr>
            </w:pPr>
            <w:r w:rsidRPr="005C795F">
              <w:rPr>
                <w:b w:val="0"/>
              </w:rPr>
              <w:t>Full assistance</w:t>
            </w:r>
          </w:p>
        </w:tc>
        <w:tc>
          <w:tcPr>
            <w:tcW w:w="2610" w:type="dxa"/>
          </w:tcPr>
          <w:p w:rsidR="00557FD2" w:rsidRDefault="00557FD2" w:rsidP="00527184">
            <w:pPr>
              <w:spacing w:after="0"/>
              <w:jc w:val="center"/>
              <w:cnfStyle w:val="000000000000" w:firstRow="0" w:lastRow="0" w:firstColumn="0" w:lastColumn="0" w:oddVBand="0" w:evenVBand="0" w:oddHBand="0" w:evenHBand="0" w:firstRowFirstColumn="0" w:firstRowLastColumn="0" w:lastRowFirstColumn="0" w:lastRowLastColumn="0"/>
            </w:pPr>
            <w:r>
              <w:t>10.23</w:t>
            </w:r>
          </w:p>
        </w:tc>
      </w:tr>
    </w:tbl>
    <w:p w:rsidR="00557FD2" w:rsidRPr="00FF7E1E" w:rsidRDefault="00557FD2" w:rsidP="007E0DCA">
      <w:pPr>
        <w:pStyle w:val="Heading4-Chapter232"/>
      </w:pPr>
      <w:r w:rsidRPr="00FF7E1E">
        <w:t>R-ACFI ADL Domain Total Score Calculations</w:t>
      </w:r>
    </w:p>
    <w:p w:rsidR="00557FD2" w:rsidRDefault="00557FD2" w:rsidP="007D7D36">
      <w:r>
        <w:t xml:space="preserve">The total score on the R-ADL domain is determined by summing the relevant regression coefficients across all the ADL item checklists (e.g. nutrition, transfers, locomotion, etc) to compute a total score for each resident. A resident can only </w:t>
      </w:r>
      <w:r w:rsidR="00F07208">
        <w:t>have</w:t>
      </w:r>
      <w:r>
        <w:t xml:space="preserve"> one of these values for each item. A resident with a response of 0 to all ADL checklist items would get a total score of 0. A resident with the maximum response (e.g. physical assistance</w:t>
      </w:r>
      <w:r w:rsidR="00C53A80">
        <w:t xml:space="preserve"> and lifting device</w:t>
      </w:r>
      <w:r>
        <w:t>) to all ADL checklist items would get a total score of 100.</w:t>
      </w:r>
    </w:p>
    <w:p w:rsidR="00557FD2" w:rsidRDefault="00557FD2" w:rsidP="007D7D36">
      <w:r>
        <w:t>For the Nutrition example:</w:t>
      </w:r>
    </w:p>
    <w:p w:rsidR="00557FD2" w:rsidRDefault="00557FD2" w:rsidP="00F02312">
      <w:pPr>
        <w:pStyle w:val="ListParagraph"/>
        <w:numPr>
          <w:ilvl w:val="0"/>
          <w:numId w:val="82"/>
        </w:numPr>
        <w:rPr>
          <w:lang w:eastAsia="en-AU"/>
        </w:rPr>
      </w:pPr>
      <w:r>
        <w:rPr>
          <w:lang w:eastAsia="en-AU"/>
        </w:rPr>
        <w:t>For response 0, add 0.00</w:t>
      </w:r>
    </w:p>
    <w:p w:rsidR="00557FD2" w:rsidRDefault="00557FD2" w:rsidP="00F02312">
      <w:pPr>
        <w:pStyle w:val="ListParagraph"/>
        <w:numPr>
          <w:ilvl w:val="0"/>
          <w:numId w:val="82"/>
        </w:numPr>
        <w:rPr>
          <w:lang w:eastAsia="en-AU"/>
        </w:rPr>
      </w:pPr>
      <w:r>
        <w:rPr>
          <w:lang w:eastAsia="en-AU"/>
        </w:rPr>
        <w:t>For response 1, add 1.20</w:t>
      </w:r>
    </w:p>
    <w:p w:rsidR="00557FD2" w:rsidRDefault="00557FD2" w:rsidP="00F02312">
      <w:pPr>
        <w:pStyle w:val="ListParagraph"/>
        <w:numPr>
          <w:ilvl w:val="0"/>
          <w:numId w:val="82"/>
        </w:numPr>
        <w:rPr>
          <w:lang w:eastAsia="en-AU"/>
        </w:rPr>
      </w:pPr>
      <w:r>
        <w:rPr>
          <w:lang w:eastAsia="en-AU"/>
        </w:rPr>
        <w:t>For response 2, add 3.43</w:t>
      </w:r>
    </w:p>
    <w:p w:rsidR="00557FD2" w:rsidRDefault="00557FD2" w:rsidP="00F02312">
      <w:pPr>
        <w:pStyle w:val="ListParagraph"/>
        <w:numPr>
          <w:ilvl w:val="0"/>
          <w:numId w:val="82"/>
        </w:numPr>
        <w:rPr>
          <w:lang w:eastAsia="en-AU"/>
        </w:rPr>
      </w:pPr>
      <w:r>
        <w:rPr>
          <w:lang w:eastAsia="en-AU"/>
        </w:rPr>
        <w:t>For response 3, add 10.23</w:t>
      </w:r>
    </w:p>
    <w:p w:rsidR="00557FD2" w:rsidRDefault="00557FD2" w:rsidP="00557FD2">
      <w:pPr>
        <w:rPr>
          <w:lang w:eastAsia="en-AU"/>
        </w:rPr>
      </w:pPr>
    </w:p>
    <w:p w:rsidR="00F07208" w:rsidRDefault="00F07208" w:rsidP="00557FD2">
      <w:pPr>
        <w:rPr>
          <w:lang w:eastAsia="en-AU"/>
        </w:rPr>
        <w:sectPr w:rsidR="00F07208" w:rsidSect="00645F41">
          <w:pgSz w:w="11906" w:h="16838"/>
          <w:pgMar w:top="1440" w:right="1440" w:bottom="1440" w:left="1440" w:header="709" w:footer="709" w:gutter="0"/>
          <w:cols w:space="708"/>
          <w:docGrid w:linePitch="360"/>
        </w:sectPr>
      </w:pPr>
    </w:p>
    <w:p w:rsidR="00557FD2" w:rsidRDefault="00557FD2" w:rsidP="00557203">
      <w:pPr>
        <w:pStyle w:val="Heading1-Chapters"/>
      </w:pPr>
      <w:bookmarkStart w:id="136" w:name="_Toc486423825"/>
      <w:bookmarkStart w:id="137" w:name="_Toc486601529"/>
      <w:bookmarkStart w:id="138" w:name="_Toc486603021"/>
      <w:bookmarkStart w:id="139" w:name="_Toc491426030"/>
      <w:bookmarkStart w:id="140" w:name="Ch03"/>
      <w:r>
        <w:lastRenderedPageBreak/>
        <w:t>Setting the Scene - the R-ACFI Model</w:t>
      </w:r>
      <w:bookmarkEnd w:id="136"/>
      <w:bookmarkEnd w:id="137"/>
      <w:bookmarkEnd w:id="138"/>
      <w:bookmarkEnd w:id="139"/>
    </w:p>
    <w:bookmarkEnd w:id="140"/>
    <w:p w:rsidR="00503BCA" w:rsidRDefault="00503BCA" w:rsidP="00503BCA">
      <w:pPr>
        <w:shd w:val="clear" w:color="auto" w:fill="DEEAF6" w:themeFill="accent5" w:themeFillTint="33"/>
        <w:spacing w:line="240" w:lineRule="auto"/>
      </w:pPr>
      <w:r>
        <w:t>This Chapter covers:</w:t>
      </w:r>
    </w:p>
    <w:p w:rsidR="00503BCA" w:rsidRPr="00C14F1D" w:rsidRDefault="00503BCA" w:rsidP="00730D08">
      <w:pPr>
        <w:shd w:val="clear" w:color="auto" w:fill="DEEAF6" w:themeFill="accent5" w:themeFillTint="33"/>
        <w:spacing w:before="120" w:after="0" w:line="240" w:lineRule="auto"/>
        <w:rPr>
          <w:rStyle w:val="Strong"/>
        </w:rPr>
      </w:pPr>
      <w:r w:rsidRPr="00C14F1D">
        <w:rPr>
          <w:rStyle w:val="Strong"/>
        </w:rPr>
        <w:t>Background information on the ACFI &amp; R-ACFI Funding Models</w:t>
      </w:r>
    </w:p>
    <w:p w:rsidR="00503BCA" w:rsidRDefault="00503BCA" w:rsidP="00503BCA">
      <w:pPr>
        <w:pStyle w:val="ListParagraph"/>
        <w:numPr>
          <w:ilvl w:val="0"/>
          <w:numId w:val="12"/>
        </w:numPr>
        <w:shd w:val="clear" w:color="auto" w:fill="DEEAF6" w:themeFill="accent5" w:themeFillTint="33"/>
        <w:spacing w:line="240" w:lineRule="auto"/>
      </w:pPr>
      <w:r w:rsidRPr="002F669A">
        <w:t>ACFI &amp; Cost of</w:t>
      </w:r>
      <w:r w:rsidR="0056221C">
        <w:t xml:space="preserve"> Care using Pricing Review Data.</w:t>
      </w:r>
    </w:p>
    <w:p w:rsidR="00980F62" w:rsidRDefault="00503BCA" w:rsidP="00503BCA">
      <w:pPr>
        <w:pStyle w:val="ListParagraph"/>
        <w:numPr>
          <w:ilvl w:val="0"/>
          <w:numId w:val="12"/>
        </w:numPr>
        <w:shd w:val="clear" w:color="auto" w:fill="DEEAF6" w:themeFill="accent5" w:themeFillTint="33"/>
        <w:spacing w:line="240" w:lineRule="auto"/>
      </w:pPr>
      <w:bookmarkStart w:id="141" w:name="_Toc486403612"/>
      <w:r w:rsidRPr="00B91B61">
        <w:t>Do ACFI Profiles relate to Aged Care Staffing Models?</w:t>
      </w:r>
      <w:bookmarkEnd w:id="141"/>
    </w:p>
    <w:p w:rsidR="00503BCA" w:rsidRDefault="00503BCA" w:rsidP="00503BCA">
      <w:pPr>
        <w:pStyle w:val="ListParagraph"/>
        <w:numPr>
          <w:ilvl w:val="0"/>
          <w:numId w:val="12"/>
        </w:numPr>
        <w:shd w:val="clear" w:color="auto" w:fill="DEEAF6" w:themeFill="accent5" w:themeFillTint="33"/>
        <w:spacing w:line="240" w:lineRule="auto"/>
      </w:pPr>
      <w:r>
        <w:t>Statistical Underpinnings of the R-ACFI</w:t>
      </w:r>
      <w:r w:rsidR="0056221C">
        <w:t>.</w:t>
      </w:r>
    </w:p>
    <w:p w:rsidR="00503BCA" w:rsidRDefault="00503BCA" w:rsidP="00503BCA">
      <w:pPr>
        <w:pStyle w:val="ListParagraph"/>
        <w:numPr>
          <w:ilvl w:val="0"/>
          <w:numId w:val="12"/>
        </w:numPr>
        <w:shd w:val="clear" w:color="auto" w:fill="DEEAF6" w:themeFill="accent5" w:themeFillTint="33"/>
        <w:spacing w:line="240" w:lineRule="auto"/>
      </w:pPr>
      <w:r>
        <w:t>Additive vs. Branching Models Considerations</w:t>
      </w:r>
      <w:r w:rsidR="0056221C">
        <w:t>.</w:t>
      </w:r>
    </w:p>
    <w:p w:rsidR="00503BCA" w:rsidRPr="00C14F1D" w:rsidRDefault="00503BCA" w:rsidP="00730D08">
      <w:pPr>
        <w:shd w:val="clear" w:color="auto" w:fill="DEEAF6" w:themeFill="accent5" w:themeFillTint="33"/>
        <w:spacing w:before="120" w:after="0" w:line="240" w:lineRule="auto"/>
        <w:rPr>
          <w:rStyle w:val="Strong"/>
        </w:rPr>
      </w:pPr>
      <w:r w:rsidRPr="00C14F1D">
        <w:rPr>
          <w:rStyle w:val="Strong"/>
        </w:rPr>
        <w:t>R-ACFI Principles</w:t>
      </w:r>
    </w:p>
    <w:p w:rsidR="00503BCA" w:rsidRDefault="00503BCA" w:rsidP="00503BCA">
      <w:pPr>
        <w:pStyle w:val="ListParagraph"/>
        <w:numPr>
          <w:ilvl w:val="0"/>
          <w:numId w:val="12"/>
        </w:numPr>
        <w:shd w:val="clear" w:color="auto" w:fill="DEEAF6" w:themeFill="accent5" w:themeFillTint="33"/>
        <w:spacing w:line="240" w:lineRule="auto"/>
      </w:pPr>
      <w:r w:rsidRPr="002F669A">
        <w:t>What does the R-ACFI Fund?</w:t>
      </w:r>
    </w:p>
    <w:p w:rsidR="00503BCA" w:rsidRDefault="00503BCA" w:rsidP="00503BCA">
      <w:pPr>
        <w:pStyle w:val="ListParagraph"/>
        <w:numPr>
          <w:ilvl w:val="0"/>
          <w:numId w:val="12"/>
        </w:numPr>
        <w:shd w:val="clear" w:color="auto" w:fill="DEEAF6" w:themeFill="accent5" w:themeFillTint="33"/>
        <w:spacing w:line="240" w:lineRule="auto"/>
      </w:pPr>
      <w:r>
        <w:t xml:space="preserve">The R-ACFI Focuses on </w:t>
      </w:r>
      <w:r w:rsidR="0056221C">
        <w:t>Assessed Care Need.</w:t>
      </w:r>
    </w:p>
    <w:p w:rsidR="00503BCA" w:rsidRDefault="00503BCA" w:rsidP="00503BCA">
      <w:pPr>
        <w:pStyle w:val="ListParagraph"/>
        <w:numPr>
          <w:ilvl w:val="0"/>
          <w:numId w:val="12"/>
        </w:numPr>
        <w:shd w:val="clear" w:color="auto" w:fill="DEEAF6" w:themeFill="accent5" w:themeFillTint="33"/>
        <w:spacing w:line="240" w:lineRule="auto"/>
      </w:pPr>
      <w:r>
        <w:t>The R-ACFI Rewards Improved Resident Functioning</w:t>
      </w:r>
      <w:r w:rsidR="0056221C">
        <w:t>.</w:t>
      </w:r>
    </w:p>
    <w:p w:rsidR="00503BCA" w:rsidRDefault="00503BCA" w:rsidP="00503BCA">
      <w:pPr>
        <w:pStyle w:val="ListParagraph"/>
        <w:numPr>
          <w:ilvl w:val="0"/>
          <w:numId w:val="12"/>
        </w:numPr>
        <w:shd w:val="clear" w:color="auto" w:fill="DEEAF6" w:themeFill="accent5" w:themeFillTint="33"/>
        <w:spacing w:line="240" w:lineRule="auto"/>
      </w:pPr>
      <w:r>
        <w:t>The R-ACFI has a Minimum ‘Base’ Funding ADL Classification</w:t>
      </w:r>
      <w:r w:rsidR="0056221C">
        <w:t>.</w:t>
      </w:r>
    </w:p>
    <w:p w:rsidR="00503BCA" w:rsidRDefault="00503BCA" w:rsidP="00503BCA">
      <w:pPr>
        <w:pStyle w:val="ListParagraph"/>
        <w:numPr>
          <w:ilvl w:val="0"/>
          <w:numId w:val="12"/>
        </w:numPr>
        <w:shd w:val="clear" w:color="auto" w:fill="DEEAF6" w:themeFill="accent5" w:themeFillTint="33"/>
        <w:spacing w:line="240" w:lineRule="auto"/>
      </w:pPr>
      <w:r>
        <w:t>The R-ACFI Promotes Best Practice Assessment and Care Planning</w:t>
      </w:r>
      <w:r w:rsidR="0056221C">
        <w:t>.</w:t>
      </w:r>
    </w:p>
    <w:p w:rsidR="00503BCA" w:rsidRPr="00C14F1D" w:rsidRDefault="00503BCA" w:rsidP="00730D08">
      <w:pPr>
        <w:shd w:val="clear" w:color="auto" w:fill="DEEAF6" w:themeFill="accent5" w:themeFillTint="33"/>
        <w:spacing w:before="120" w:after="0" w:line="240" w:lineRule="auto"/>
        <w:rPr>
          <w:rStyle w:val="Strong"/>
        </w:rPr>
      </w:pPr>
      <w:r w:rsidRPr="00C14F1D">
        <w:rPr>
          <w:rStyle w:val="Strong"/>
        </w:rPr>
        <w:t>An introduction to the R-ACFI covering the ADL, Behaviour, CHC Domains and Therapy Program</w:t>
      </w:r>
    </w:p>
    <w:p w:rsidR="00980F62" w:rsidRDefault="00503BCA" w:rsidP="00503BCA">
      <w:pPr>
        <w:pStyle w:val="ListParagraph"/>
        <w:numPr>
          <w:ilvl w:val="0"/>
          <w:numId w:val="12"/>
        </w:numPr>
        <w:shd w:val="clear" w:color="auto" w:fill="DEEAF6" w:themeFill="accent5" w:themeFillTint="33"/>
        <w:spacing w:line="240" w:lineRule="auto"/>
      </w:pPr>
      <w:r>
        <w:t>T</w:t>
      </w:r>
      <w:r w:rsidRPr="006964C0">
        <w:t xml:space="preserve">he R-ACFI </w:t>
      </w:r>
      <w:r>
        <w:t>Classification and Payment Model.</w:t>
      </w:r>
    </w:p>
    <w:p w:rsidR="00503BCA" w:rsidRDefault="00503BCA" w:rsidP="00503BCA">
      <w:pPr>
        <w:pStyle w:val="ListParagraph"/>
        <w:numPr>
          <w:ilvl w:val="0"/>
          <w:numId w:val="12"/>
        </w:numPr>
        <w:shd w:val="clear" w:color="auto" w:fill="DEEAF6" w:themeFill="accent5" w:themeFillTint="33"/>
        <w:spacing w:line="240" w:lineRule="auto"/>
      </w:pPr>
      <w:r>
        <w:t>A summary of the R-ACFI is described in the ‘R-ACFI at a glance’.</w:t>
      </w:r>
    </w:p>
    <w:p w:rsidR="00503BCA" w:rsidRDefault="00503BCA" w:rsidP="00503BCA">
      <w:pPr>
        <w:pStyle w:val="ListParagraph"/>
        <w:numPr>
          <w:ilvl w:val="0"/>
          <w:numId w:val="12"/>
        </w:numPr>
        <w:shd w:val="clear" w:color="auto" w:fill="DEEAF6" w:themeFill="accent5" w:themeFillTint="33"/>
        <w:spacing w:line="240" w:lineRule="auto"/>
      </w:pPr>
      <w:r>
        <w:t>Details of a proposed pilot project to test the R-ACFI assessment and classification model.</w:t>
      </w:r>
    </w:p>
    <w:p w:rsidR="00980F62" w:rsidRDefault="00557FD2" w:rsidP="00530D56">
      <w:pPr>
        <w:pStyle w:val="Heading2-Chapter3"/>
      </w:pPr>
      <w:bookmarkStart w:id="142" w:name="_Toc486423827"/>
      <w:bookmarkStart w:id="143" w:name="_Toc486601530"/>
      <w:bookmarkStart w:id="144" w:name="_Toc486603022"/>
      <w:bookmarkStart w:id="145" w:name="_Toc491426031"/>
      <w:r>
        <w:t xml:space="preserve">The </w:t>
      </w:r>
      <w:r w:rsidRPr="008F152F">
        <w:t xml:space="preserve">ACFI </w:t>
      </w:r>
      <w:r>
        <w:t>Review Project</w:t>
      </w:r>
      <w:bookmarkEnd w:id="142"/>
      <w:bookmarkEnd w:id="143"/>
      <w:bookmarkEnd w:id="144"/>
      <w:bookmarkEnd w:id="145"/>
    </w:p>
    <w:p w:rsidR="00557FD2" w:rsidRDefault="00557FD2" w:rsidP="00545873">
      <w:r w:rsidRPr="008F152F">
        <w:t xml:space="preserve">The review of the ACFI funding system </w:t>
      </w:r>
      <w:r>
        <w:t>was</w:t>
      </w:r>
      <w:r w:rsidRPr="008F152F">
        <w:t xml:space="preserve"> precipitated by the ongoing increases in ACFI claiming and</w:t>
      </w:r>
      <w:r w:rsidR="00717629">
        <w:t xml:space="preserve"> more specifically </w:t>
      </w:r>
      <w:r w:rsidRPr="008F152F">
        <w:t>the C</w:t>
      </w:r>
      <w:r w:rsidR="007A20B9">
        <w:t>HC</w:t>
      </w:r>
      <w:r w:rsidRPr="008F152F">
        <w:t xml:space="preserve"> domain items focusing on pain management</w:t>
      </w:r>
      <w:r>
        <w:t xml:space="preserve"> (covered in detail in </w:t>
      </w:r>
      <w:hyperlink w:anchor="Ch09" w:history="1">
        <w:r w:rsidRPr="00803F43">
          <w:rPr>
            <w:rStyle w:val="Hyperlink"/>
          </w:rPr>
          <w:t>Chapter 9</w:t>
        </w:r>
      </w:hyperlink>
      <w:r>
        <w:t>)</w:t>
      </w:r>
      <w:r w:rsidRPr="008F152F">
        <w:t xml:space="preserve">. This </w:t>
      </w:r>
      <w:r>
        <w:t>l</w:t>
      </w:r>
      <w:r w:rsidRPr="008F152F">
        <w:t xml:space="preserve">ed the Department </w:t>
      </w:r>
      <w:r>
        <w:t>to undertake</w:t>
      </w:r>
      <w:r w:rsidRPr="008F152F">
        <w:t xml:space="preserve"> </w:t>
      </w:r>
      <w:r>
        <w:t>a number of</w:t>
      </w:r>
      <w:r w:rsidRPr="008F152F">
        <w:t xml:space="preserve"> projects with a view to redesigning the funding system </w:t>
      </w:r>
      <w:r w:rsidR="007A20B9">
        <w:t xml:space="preserve">to ensure </w:t>
      </w:r>
      <w:r w:rsidRPr="008F152F">
        <w:t xml:space="preserve">a more </w:t>
      </w:r>
      <w:r w:rsidR="007A20B9">
        <w:t xml:space="preserve">predictable and </w:t>
      </w:r>
      <w:r w:rsidRPr="008F152F">
        <w:t>sustainable model.</w:t>
      </w:r>
    </w:p>
    <w:p w:rsidR="00557FD2" w:rsidRDefault="00557FD2" w:rsidP="00545873">
      <w:r>
        <w:t xml:space="preserve">This </w:t>
      </w:r>
      <w:r w:rsidR="007A20B9">
        <w:t xml:space="preserve">review </w:t>
      </w:r>
      <w:r>
        <w:t xml:space="preserve">project recommends the implementation of a new R-ACFI covering, to at least some degree, almost all areas related to the operation of the ACFI. </w:t>
      </w:r>
      <w:r w:rsidR="007A20B9">
        <w:t xml:space="preserve">The entire ACFI system has been reviewed </w:t>
      </w:r>
      <w:r w:rsidR="00701657">
        <w:t xml:space="preserve">as part of this project and </w:t>
      </w:r>
      <w:r w:rsidR="007A20B9">
        <w:t xml:space="preserve">changes have been </w:t>
      </w:r>
      <w:r>
        <w:t xml:space="preserve">recommended </w:t>
      </w:r>
      <w:r w:rsidR="007A20B9">
        <w:t>for</w:t>
      </w:r>
      <w:r>
        <w:t>:</w:t>
      </w:r>
    </w:p>
    <w:p w:rsidR="00557FD2" w:rsidRPr="002A77DC" w:rsidRDefault="00557FD2" w:rsidP="00F02312">
      <w:pPr>
        <w:pStyle w:val="ListParagraph"/>
        <w:numPr>
          <w:ilvl w:val="0"/>
          <w:numId w:val="83"/>
        </w:numPr>
        <w:rPr>
          <w:lang w:eastAsia="en-AU"/>
        </w:rPr>
      </w:pPr>
      <w:r w:rsidRPr="002A77DC">
        <w:rPr>
          <w:lang w:eastAsia="en-AU"/>
        </w:rPr>
        <w:t xml:space="preserve">ACFI </w:t>
      </w:r>
      <w:r>
        <w:rPr>
          <w:lang w:eastAsia="en-AU"/>
        </w:rPr>
        <w:t>Questions</w:t>
      </w:r>
      <w:r w:rsidR="003A39F2">
        <w:rPr>
          <w:lang w:eastAsia="en-AU"/>
        </w:rPr>
        <w:t>.</w:t>
      </w:r>
    </w:p>
    <w:p w:rsidR="00557FD2" w:rsidRPr="002A77DC" w:rsidRDefault="00557FD2" w:rsidP="00F02312">
      <w:pPr>
        <w:pStyle w:val="ListParagraph"/>
        <w:numPr>
          <w:ilvl w:val="0"/>
          <w:numId w:val="83"/>
        </w:numPr>
        <w:rPr>
          <w:lang w:eastAsia="en-AU"/>
        </w:rPr>
      </w:pPr>
      <w:r w:rsidRPr="002A77DC">
        <w:rPr>
          <w:lang w:eastAsia="en-AU"/>
        </w:rPr>
        <w:t xml:space="preserve">ACFI </w:t>
      </w:r>
      <w:r>
        <w:rPr>
          <w:lang w:eastAsia="en-AU"/>
        </w:rPr>
        <w:t>C</w:t>
      </w:r>
      <w:r w:rsidRPr="002A77DC">
        <w:rPr>
          <w:lang w:eastAsia="en-AU"/>
        </w:rPr>
        <w:t>hecklist items</w:t>
      </w:r>
      <w:r w:rsidR="003A39F2">
        <w:rPr>
          <w:lang w:eastAsia="en-AU"/>
        </w:rPr>
        <w:t>.</w:t>
      </w:r>
    </w:p>
    <w:p w:rsidR="00980F62" w:rsidRDefault="00557FD2" w:rsidP="00F02312">
      <w:pPr>
        <w:pStyle w:val="ListParagraph"/>
        <w:numPr>
          <w:ilvl w:val="0"/>
          <w:numId w:val="83"/>
        </w:numPr>
        <w:rPr>
          <w:lang w:eastAsia="en-AU"/>
        </w:rPr>
      </w:pPr>
      <w:r w:rsidRPr="002A77DC">
        <w:rPr>
          <w:lang w:eastAsia="en-AU"/>
        </w:rPr>
        <w:t>ACFI Care Domains</w:t>
      </w:r>
      <w:r w:rsidR="003A39F2">
        <w:rPr>
          <w:lang w:eastAsia="en-AU"/>
        </w:rPr>
        <w:t>.</w:t>
      </w:r>
    </w:p>
    <w:p w:rsidR="00980F62" w:rsidRDefault="00557FD2" w:rsidP="00F02312">
      <w:pPr>
        <w:pStyle w:val="ListParagraph"/>
        <w:numPr>
          <w:ilvl w:val="0"/>
          <w:numId w:val="83"/>
        </w:numPr>
        <w:rPr>
          <w:lang w:eastAsia="en-AU"/>
        </w:rPr>
      </w:pPr>
      <w:r w:rsidRPr="002A77DC">
        <w:rPr>
          <w:lang w:eastAsia="en-AU"/>
        </w:rPr>
        <w:t>ACFI Assessment Tools</w:t>
      </w:r>
      <w:r w:rsidR="003A39F2">
        <w:rPr>
          <w:lang w:eastAsia="en-AU"/>
        </w:rPr>
        <w:t>.</w:t>
      </w:r>
    </w:p>
    <w:p w:rsidR="00980F62" w:rsidRDefault="00557FD2" w:rsidP="00F02312">
      <w:pPr>
        <w:pStyle w:val="ListParagraph"/>
        <w:numPr>
          <w:ilvl w:val="0"/>
          <w:numId w:val="83"/>
        </w:numPr>
        <w:rPr>
          <w:lang w:eastAsia="en-AU"/>
        </w:rPr>
      </w:pPr>
      <w:r w:rsidRPr="00717629">
        <w:rPr>
          <w:lang w:eastAsia="en-AU"/>
        </w:rPr>
        <w:t>ACFI Funding Model</w:t>
      </w:r>
      <w:r w:rsidR="003A39F2">
        <w:rPr>
          <w:lang w:eastAsia="en-AU"/>
        </w:rPr>
        <w:t>.</w:t>
      </w:r>
    </w:p>
    <w:p w:rsidR="00980F62" w:rsidRDefault="00557FD2" w:rsidP="00F02312">
      <w:pPr>
        <w:pStyle w:val="ListParagraph"/>
        <w:numPr>
          <w:ilvl w:val="0"/>
          <w:numId w:val="83"/>
        </w:numPr>
        <w:rPr>
          <w:lang w:eastAsia="en-AU"/>
        </w:rPr>
      </w:pPr>
      <w:r w:rsidRPr="00717629">
        <w:rPr>
          <w:lang w:eastAsia="en-AU"/>
        </w:rPr>
        <w:t>Business Rules</w:t>
      </w:r>
      <w:r w:rsidR="003A39F2">
        <w:rPr>
          <w:lang w:eastAsia="en-AU"/>
        </w:rPr>
        <w:t>.</w:t>
      </w:r>
    </w:p>
    <w:p w:rsidR="00557FD2" w:rsidRPr="00717629" w:rsidRDefault="00557FD2" w:rsidP="00F02312">
      <w:pPr>
        <w:pStyle w:val="ListParagraph"/>
        <w:numPr>
          <w:ilvl w:val="0"/>
          <w:numId w:val="83"/>
        </w:numPr>
        <w:rPr>
          <w:lang w:eastAsia="en-AU"/>
        </w:rPr>
      </w:pPr>
      <w:r w:rsidRPr="00717629">
        <w:rPr>
          <w:lang w:eastAsia="en-AU"/>
        </w:rPr>
        <w:t>The Audit System and External Assessment</w:t>
      </w:r>
      <w:r w:rsidR="007A20B9">
        <w:rPr>
          <w:lang w:eastAsia="en-AU"/>
        </w:rPr>
        <w:t>.</w:t>
      </w:r>
    </w:p>
    <w:p w:rsidR="00FF7E1E" w:rsidRDefault="00FF7E1E" w:rsidP="00FF7E1E">
      <w:bookmarkStart w:id="146" w:name="_Toc486601531"/>
      <w:bookmarkStart w:id="147" w:name="_Toc486603023"/>
      <w:bookmarkStart w:id="148" w:name="_Toc486423828"/>
      <w:r>
        <w:br w:type="page"/>
      </w:r>
    </w:p>
    <w:p w:rsidR="00980F62" w:rsidRDefault="00557FD2" w:rsidP="00530D56">
      <w:pPr>
        <w:pStyle w:val="Heading2-Chapter3"/>
      </w:pPr>
      <w:bookmarkStart w:id="149" w:name="_Toc491426032"/>
      <w:r>
        <w:lastRenderedPageBreak/>
        <w:t>Funding Model</w:t>
      </w:r>
      <w:bookmarkEnd w:id="146"/>
      <w:bookmarkEnd w:id="147"/>
      <w:bookmarkEnd w:id="149"/>
      <w:bookmarkEnd w:id="148"/>
    </w:p>
    <w:p w:rsidR="00980F62" w:rsidRDefault="00557FD2" w:rsidP="00FF7E1E">
      <w:r w:rsidRPr="002F326D">
        <w:t xml:space="preserve">The </w:t>
      </w:r>
      <w:r>
        <w:t>R-</w:t>
      </w:r>
      <w:r w:rsidRPr="002F326D">
        <w:t>ACFI is a relative resource instrument – it divides up the available funding on a resident by res</w:t>
      </w:r>
      <w:r>
        <w:t>ident basis based on their relativities and</w:t>
      </w:r>
      <w:r w:rsidRPr="002F326D">
        <w:t xml:space="preserve"> </w:t>
      </w:r>
      <w:r>
        <w:t xml:space="preserve">resource demands, as identified in the RCS costing study and the ACFI cost of care analyses conducted in 2006. While these analyses </w:t>
      </w:r>
      <w:r w:rsidR="007A20B9">
        <w:t xml:space="preserve">were undertaken </w:t>
      </w:r>
      <w:r>
        <w:t xml:space="preserve">11 years ago, relativities in regard to residential aged cost models have proven very consistent in the most widely used classification system worldwide; </w:t>
      </w:r>
      <w:r w:rsidR="00F253FA">
        <w:t>RUGs</w:t>
      </w:r>
      <w:r>
        <w:t xml:space="preserve"> II, III and IV models, which is similar to the ACFI design. Nevertheless, a re-calibration study at least at the domain level is recommended to adjust for any changes that may have occurred </w:t>
      </w:r>
      <w:r w:rsidR="007A20B9">
        <w:t>since the last analyses</w:t>
      </w:r>
      <w:r>
        <w:t>.</w:t>
      </w:r>
    </w:p>
    <w:p w:rsidR="00557FD2" w:rsidRPr="00211C9E" w:rsidRDefault="00557FD2" w:rsidP="00FF7E1E">
      <w:pPr>
        <w:rPr>
          <w:rFonts w:cs="Tahoma"/>
          <w:szCs w:val="24"/>
        </w:rPr>
      </w:pPr>
      <w:r w:rsidRPr="00211C9E">
        <w:rPr>
          <w:rFonts w:cs="Tahoma"/>
          <w:szCs w:val="24"/>
        </w:rPr>
        <w:t>The R-</w:t>
      </w:r>
      <w:r>
        <w:rPr>
          <w:rFonts w:cs="Tahoma"/>
          <w:szCs w:val="24"/>
        </w:rPr>
        <w:t xml:space="preserve">ACFI is </w:t>
      </w:r>
      <w:r w:rsidRPr="00211C9E">
        <w:rPr>
          <w:rFonts w:cs="Tahoma"/>
          <w:szCs w:val="24"/>
        </w:rPr>
        <w:t>based on the differential ‘cost</w:t>
      </w:r>
      <w:r w:rsidR="007A20B9">
        <w:rPr>
          <w:rFonts w:cs="Tahoma"/>
          <w:szCs w:val="24"/>
        </w:rPr>
        <w:t xml:space="preserve"> of care</w:t>
      </w:r>
      <w:r w:rsidRPr="00211C9E">
        <w:rPr>
          <w:rFonts w:cs="Tahoma"/>
          <w:szCs w:val="24"/>
        </w:rPr>
        <w:t xml:space="preserve">’ of individual residents </w:t>
      </w:r>
      <w:r>
        <w:rPr>
          <w:rFonts w:cs="Tahoma"/>
          <w:szCs w:val="24"/>
        </w:rPr>
        <w:t xml:space="preserve">and </w:t>
      </w:r>
      <w:r w:rsidRPr="00211C9E">
        <w:rPr>
          <w:rFonts w:cs="Tahoma"/>
          <w:szCs w:val="24"/>
        </w:rPr>
        <w:t>is primari</w:t>
      </w:r>
      <w:r>
        <w:rPr>
          <w:rFonts w:cs="Tahoma"/>
          <w:szCs w:val="24"/>
        </w:rPr>
        <w:t>ly intended to deliver adequate f</w:t>
      </w:r>
      <w:r w:rsidRPr="00211C9E">
        <w:rPr>
          <w:rFonts w:cs="Tahoma"/>
          <w:szCs w:val="24"/>
        </w:rPr>
        <w:t>unding to the financial entity supporting the residents. This entity for most practical purposes is the facility.</w:t>
      </w:r>
      <w:r w:rsidR="007A576E">
        <w:rPr>
          <w:rFonts w:cs="Tahoma"/>
          <w:szCs w:val="24"/>
        </w:rPr>
        <w:t xml:space="preserve"> </w:t>
      </w:r>
      <w:r w:rsidRPr="00211C9E">
        <w:rPr>
          <w:rFonts w:cs="Tahoma"/>
          <w:szCs w:val="24"/>
        </w:rPr>
        <w:t xml:space="preserve">The facility receives an amount of funding and distributes that funding on the basis of the </w:t>
      </w:r>
      <w:r>
        <w:rPr>
          <w:rFonts w:cs="Tahoma"/>
          <w:szCs w:val="24"/>
        </w:rPr>
        <w:t xml:space="preserve">R-ACFI </w:t>
      </w:r>
      <w:r w:rsidRPr="00211C9E">
        <w:rPr>
          <w:rFonts w:cs="Tahoma"/>
          <w:szCs w:val="24"/>
        </w:rPr>
        <w:t>‘</w:t>
      </w:r>
      <w:r>
        <w:rPr>
          <w:rFonts w:cs="Tahoma"/>
          <w:szCs w:val="24"/>
        </w:rPr>
        <w:t>assessed needs’ of the residents</w:t>
      </w:r>
      <w:r w:rsidRPr="00211C9E">
        <w:rPr>
          <w:rFonts w:cs="Tahoma"/>
          <w:szCs w:val="24"/>
        </w:rPr>
        <w:t xml:space="preserve">. The system does not require that the actual care or attention an individual resident receives </w:t>
      </w:r>
      <w:r>
        <w:rPr>
          <w:rFonts w:cs="Tahoma"/>
          <w:szCs w:val="24"/>
        </w:rPr>
        <w:t xml:space="preserve">is </w:t>
      </w:r>
      <w:r w:rsidRPr="00211C9E">
        <w:rPr>
          <w:rFonts w:cs="Tahoma"/>
          <w:szCs w:val="24"/>
        </w:rPr>
        <w:t>to be directly and exactly determined by their specific recurrent funding – it operates as an approximation f</w:t>
      </w:r>
      <w:r>
        <w:rPr>
          <w:rFonts w:cs="Tahoma"/>
          <w:szCs w:val="24"/>
        </w:rPr>
        <w:t xml:space="preserve">or individuals within the facility and the average </w:t>
      </w:r>
      <w:r w:rsidRPr="00211C9E">
        <w:rPr>
          <w:rFonts w:cs="Tahoma"/>
          <w:szCs w:val="24"/>
        </w:rPr>
        <w:t>care provided</w:t>
      </w:r>
      <w:r>
        <w:rPr>
          <w:rFonts w:cs="Tahoma"/>
          <w:szCs w:val="24"/>
        </w:rPr>
        <w:t xml:space="preserve"> to individuals</w:t>
      </w:r>
      <w:r w:rsidRPr="00211C9E">
        <w:rPr>
          <w:rFonts w:cs="Tahoma"/>
          <w:szCs w:val="24"/>
        </w:rPr>
        <w:t xml:space="preserve">. The daily cost of care for an individual is related to their ‘average’ dependency (predictable and measured by the </w:t>
      </w:r>
      <w:r>
        <w:rPr>
          <w:rFonts w:cs="Tahoma"/>
          <w:szCs w:val="24"/>
        </w:rPr>
        <w:t xml:space="preserve">R-ACFI </w:t>
      </w:r>
      <w:r w:rsidRPr="00211C9E">
        <w:rPr>
          <w:rFonts w:cs="Tahoma"/>
          <w:szCs w:val="24"/>
        </w:rPr>
        <w:t xml:space="preserve">funding instrument) together with other ‘unpredictable’ care requirements related to health, psychological and emotional status that will change for all residents from time to time – this aspect is not a part of the recurrent funding model (e.g. exceptional </w:t>
      </w:r>
      <w:r w:rsidR="00717629">
        <w:rPr>
          <w:rFonts w:cs="Tahoma"/>
          <w:szCs w:val="24"/>
        </w:rPr>
        <w:t xml:space="preserve">short term </w:t>
      </w:r>
      <w:r w:rsidRPr="00211C9E">
        <w:rPr>
          <w:rFonts w:cs="Tahoma"/>
          <w:szCs w:val="24"/>
        </w:rPr>
        <w:t xml:space="preserve">needs). </w:t>
      </w:r>
      <w:r>
        <w:rPr>
          <w:rFonts w:cs="Tahoma"/>
          <w:szCs w:val="24"/>
        </w:rPr>
        <w:t>S</w:t>
      </w:r>
      <w:r w:rsidRPr="00211C9E">
        <w:rPr>
          <w:rFonts w:cs="Tahoma"/>
          <w:szCs w:val="24"/>
        </w:rPr>
        <w:t xml:space="preserve">hort-term aspects that cannot be measured by an ‘averaged’ model </w:t>
      </w:r>
      <w:r>
        <w:rPr>
          <w:rFonts w:cs="Tahoma"/>
          <w:szCs w:val="24"/>
        </w:rPr>
        <w:t>should be funded via limited time supplements that will target these particular care need areas</w:t>
      </w:r>
      <w:r w:rsidRPr="00211C9E">
        <w:rPr>
          <w:rFonts w:cs="Tahoma"/>
          <w:szCs w:val="24"/>
        </w:rPr>
        <w:t xml:space="preserve">. </w:t>
      </w:r>
      <w:r>
        <w:rPr>
          <w:rFonts w:cs="Tahoma"/>
          <w:szCs w:val="24"/>
        </w:rPr>
        <w:t>Supplements can be added at any time to the R-ACFI model to better adjust for the exceptional needs that may cause large unpredictable resource demands.</w:t>
      </w:r>
    </w:p>
    <w:p w:rsidR="00557FD2" w:rsidRPr="00211C9E" w:rsidRDefault="00557FD2" w:rsidP="00FF7E1E">
      <w:pPr>
        <w:rPr>
          <w:rFonts w:cs="Tahoma"/>
          <w:szCs w:val="24"/>
        </w:rPr>
      </w:pPr>
      <w:r w:rsidRPr="00211C9E">
        <w:rPr>
          <w:rFonts w:cs="Tahoma"/>
          <w:szCs w:val="24"/>
        </w:rPr>
        <w:t>The R-ACFI focuses on those questions related to day-to-day, high frequency need for care. These aspects are more appropriate for measuring the average cost of care in longer stay environments</w:t>
      </w:r>
      <w:r>
        <w:rPr>
          <w:rFonts w:cs="Tahoma"/>
          <w:szCs w:val="24"/>
        </w:rPr>
        <w:t>.</w:t>
      </w:r>
    </w:p>
    <w:p w:rsidR="00980F62" w:rsidRDefault="00557FD2" w:rsidP="00FF7E1E">
      <w:pPr>
        <w:rPr>
          <w:rFonts w:cs="Tahoma"/>
          <w:szCs w:val="24"/>
        </w:rPr>
      </w:pPr>
      <w:r w:rsidRPr="00DF18FA">
        <w:rPr>
          <w:rFonts w:cs="Tahoma"/>
          <w:szCs w:val="24"/>
        </w:rPr>
        <w:t>There was substantial previous research conducted to calibrate the ACFI funding model to actual facility costs</w:t>
      </w:r>
      <w:r>
        <w:rPr>
          <w:rFonts w:cs="Tahoma"/>
          <w:szCs w:val="24"/>
        </w:rPr>
        <w:t>,</w:t>
      </w:r>
      <w:r w:rsidRPr="00DF18FA">
        <w:rPr>
          <w:rFonts w:cs="Tahoma"/>
          <w:szCs w:val="24"/>
        </w:rPr>
        <w:t xml:space="preserve"> and there has </w:t>
      </w:r>
      <w:r>
        <w:rPr>
          <w:rFonts w:cs="Tahoma"/>
          <w:szCs w:val="24"/>
        </w:rPr>
        <w:t xml:space="preserve">also </w:t>
      </w:r>
      <w:r w:rsidRPr="00DF18FA">
        <w:rPr>
          <w:rFonts w:cs="Tahoma"/>
          <w:szCs w:val="24"/>
        </w:rPr>
        <w:t>been more recent research examining the relationship between care staff costs and the ACFI which showed that the ACFI is still strongly related to direct care facility costs.</w:t>
      </w:r>
    </w:p>
    <w:p w:rsidR="00557FD2" w:rsidRPr="00DF18FA" w:rsidRDefault="00557FD2" w:rsidP="00FF7E1E">
      <w:pPr>
        <w:rPr>
          <w:rFonts w:cs="Tahoma"/>
          <w:szCs w:val="24"/>
        </w:rPr>
      </w:pPr>
      <w:r w:rsidRPr="00DF18FA">
        <w:rPr>
          <w:rFonts w:cs="Tahoma"/>
          <w:szCs w:val="24"/>
        </w:rPr>
        <w:t>The R-ACFI funding model represents a modification of the current ACFI. The development of the ACFI used a sophisticated analytical approach which calculated the relative funding to be allocated to each care domain (ADL, B</w:t>
      </w:r>
      <w:r w:rsidR="007A20B9">
        <w:rPr>
          <w:rFonts w:cs="Tahoma"/>
          <w:szCs w:val="24"/>
        </w:rPr>
        <w:t>EH</w:t>
      </w:r>
      <w:r w:rsidRPr="00DF18FA">
        <w:rPr>
          <w:rFonts w:cs="Tahoma"/>
          <w:szCs w:val="24"/>
        </w:rPr>
        <w:t>, C</w:t>
      </w:r>
      <w:r w:rsidR="007A20B9">
        <w:rPr>
          <w:rFonts w:cs="Tahoma"/>
          <w:szCs w:val="24"/>
        </w:rPr>
        <w:t>HC</w:t>
      </w:r>
      <w:r w:rsidRPr="00DF18FA">
        <w:rPr>
          <w:rFonts w:cs="Tahoma"/>
          <w:szCs w:val="24"/>
        </w:rPr>
        <w:t>) from the:</w:t>
      </w:r>
    </w:p>
    <w:p w:rsidR="00557FD2" w:rsidRPr="00F06AF0" w:rsidRDefault="00557FD2" w:rsidP="00F02312">
      <w:pPr>
        <w:pStyle w:val="ListParagraph"/>
        <w:numPr>
          <w:ilvl w:val="0"/>
          <w:numId w:val="84"/>
        </w:numPr>
      </w:pPr>
      <w:r w:rsidRPr="00717629">
        <w:rPr>
          <w:lang w:eastAsia="en-AU"/>
        </w:rPr>
        <w:t>RCS costing study</w:t>
      </w:r>
      <w:r w:rsidR="00526852">
        <w:rPr>
          <w:lang w:eastAsia="en-AU"/>
        </w:rPr>
        <w:t>.</w:t>
      </w:r>
    </w:p>
    <w:p w:rsidR="00557FD2" w:rsidRPr="00F06AF0" w:rsidRDefault="00557FD2" w:rsidP="00F02312">
      <w:pPr>
        <w:pStyle w:val="ListParagraph"/>
        <w:numPr>
          <w:ilvl w:val="0"/>
          <w:numId w:val="84"/>
        </w:numPr>
      </w:pPr>
      <w:r w:rsidRPr="00717629">
        <w:rPr>
          <w:lang w:eastAsia="en-AU"/>
        </w:rPr>
        <w:t>ACFI National Trial</w:t>
      </w:r>
      <w:r w:rsidR="00526852">
        <w:rPr>
          <w:lang w:eastAsia="en-AU"/>
        </w:rPr>
        <w:t>.</w:t>
      </w:r>
    </w:p>
    <w:p w:rsidR="00980F62" w:rsidRDefault="00557FD2" w:rsidP="00F02312">
      <w:pPr>
        <w:pStyle w:val="ListParagraph"/>
        <w:numPr>
          <w:ilvl w:val="0"/>
          <w:numId w:val="84"/>
        </w:numPr>
        <w:rPr>
          <w:lang w:eastAsia="en-AU"/>
        </w:rPr>
      </w:pPr>
      <w:r w:rsidRPr="00717629">
        <w:rPr>
          <w:lang w:eastAsia="en-AU"/>
        </w:rPr>
        <w:t>Analysis of Care Costs Study which used the Pricing Review facility costing data</w:t>
      </w:r>
      <w:r w:rsidR="007A20B9" w:rsidRPr="00717629">
        <w:rPr>
          <w:lang w:eastAsia="en-AU"/>
        </w:rPr>
        <w:t>.</w:t>
      </w:r>
    </w:p>
    <w:p w:rsidR="00980F62" w:rsidRDefault="00557FD2" w:rsidP="00FF7E1E">
      <w:r w:rsidRPr="00DF18FA">
        <w:t xml:space="preserve">It should be noted that the underlying ACFI structure and weightings were derived from traditional statistical methods (factor analysis, regression analysis etc). </w:t>
      </w:r>
      <w:r>
        <w:t>For th</w:t>
      </w:r>
      <w:r w:rsidR="007A20B9">
        <w:t xml:space="preserve">e current review </w:t>
      </w:r>
      <w:r>
        <w:t xml:space="preserve">project, </w:t>
      </w:r>
      <w:r w:rsidRPr="00DF18FA">
        <w:t>AACS has used IRT</w:t>
      </w:r>
      <w:r w:rsidR="00717629">
        <w:t xml:space="preserve"> (item response theory)</w:t>
      </w:r>
      <w:r w:rsidRPr="00DF18FA">
        <w:t xml:space="preserve"> methods, </w:t>
      </w:r>
      <w:r w:rsidR="007A20B9">
        <w:t>(</w:t>
      </w:r>
      <w:r w:rsidRPr="00DF18FA">
        <w:t xml:space="preserve">which have become more </w:t>
      </w:r>
      <w:r w:rsidRPr="00DF18FA">
        <w:lastRenderedPageBreak/>
        <w:t>recently available</w:t>
      </w:r>
      <w:r>
        <w:t xml:space="preserve"> and are considered gold standard regarding scale development</w:t>
      </w:r>
      <w:r w:rsidR="007A20B9">
        <w:t>)</w:t>
      </w:r>
      <w:r w:rsidRPr="00DF18FA">
        <w:t xml:space="preserve"> on the ADL scale with the R-ACFI update.</w:t>
      </w:r>
    </w:p>
    <w:p w:rsidR="00980F62" w:rsidRDefault="00557FD2" w:rsidP="003F1847">
      <w:pPr>
        <w:pStyle w:val="Heading3-Chapter32"/>
      </w:pPr>
      <w:bookmarkStart w:id="150" w:name="_Toc486423829"/>
      <w:bookmarkStart w:id="151" w:name="_Toc486601532"/>
      <w:bookmarkStart w:id="152" w:name="_Toc486603024"/>
      <w:r w:rsidRPr="002F669A">
        <w:t>ACFI &amp; Cost of Care using Pricing Review Data</w:t>
      </w:r>
      <w:bookmarkEnd w:id="150"/>
      <w:bookmarkEnd w:id="151"/>
      <w:bookmarkEnd w:id="152"/>
    </w:p>
    <w:p w:rsidR="006E00E9" w:rsidRDefault="00557FD2" w:rsidP="00FF7E1E">
      <w:r>
        <w:t xml:space="preserve">An ACFI costing analysis </w:t>
      </w:r>
      <w:r w:rsidRPr="00B93C33">
        <w:t xml:space="preserve">project </w:t>
      </w:r>
      <w:r>
        <w:t xml:space="preserve">was conducted in 2006 </w:t>
      </w:r>
      <w:r w:rsidR="006E00E9">
        <w:t>to</w:t>
      </w:r>
      <w:r>
        <w:t xml:space="preserve"> </w:t>
      </w:r>
      <w:r w:rsidRPr="00B93C33">
        <w:t xml:space="preserve">examine aspects of care costs from data submitted </w:t>
      </w:r>
      <w:r>
        <w:t xml:space="preserve">on 642 facilities </w:t>
      </w:r>
      <w:r w:rsidRPr="00B93C33">
        <w:t>to the Pricing Review</w:t>
      </w:r>
      <w:r>
        <w:t xml:space="preserve"> (</w:t>
      </w:r>
      <w:r w:rsidRPr="000110E1">
        <w:t>Productivity Commission 2003, Productivity Commission Submission to the Review of Pricing Arrangements in Residential Aged Care, June</w:t>
      </w:r>
      <w:r>
        <w:t>)</w:t>
      </w:r>
      <w:r w:rsidRPr="00B93C33">
        <w:t xml:space="preserve">. </w:t>
      </w:r>
      <w:r>
        <w:t xml:space="preserve">This </w:t>
      </w:r>
      <w:r w:rsidR="006E00E9">
        <w:t xml:space="preserve">review was undertaken </w:t>
      </w:r>
      <w:r>
        <w:t xml:space="preserve">to check </w:t>
      </w:r>
      <w:r w:rsidR="006E00E9">
        <w:t>whether:</w:t>
      </w:r>
    </w:p>
    <w:p w:rsidR="006E00E9" w:rsidRPr="006E00E9" w:rsidRDefault="006E00E9" w:rsidP="00F02312">
      <w:pPr>
        <w:pStyle w:val="ListParagraph"/>
        <w:numPr>
          <w:ilvl w:val="0"/>
          <w:numId w:val="85"/>
        </w:numPr>
        <w:spacing w:after="0"/>
        <w:rPr>
          <w:rFonts w:cs="Tahoma"/>
        </w:rPr>
      </w:pPr>
      <w:r w:rsidRPr="006E00E9">
        <w:rPr>
          <w:rFonts w:cs="Tahoma"/>
        </w:rPr>
        <w:t>T</w:t>
      </w:r>
      <w:r w:rsidR="00557FD2" w:rsidRPr="006E00E9">
        <w:rPr>
          <w:rFonts w:cs="Tahoma"/>
        </w:rPr>
        <w:t>he ACFI funding model explain</w:t>
      </w:r>
      <w:r w:rsidRPr="006E00E9">
        <w:rPr>
          <w:rFonts w:cs="Tahoma"/>
        </w:rPr>
        <w:t>ed</w:t>
      </w:r>
      <w:r w:rsidR="00557FD2" w:rsidRPr="006E00E9">
        <w:rPr>
          <w:rFonts w:cs="Tahoma"/>
        </w:rPr>
        <w:t xml:space="preserve"> a significant proportion of the cost</w:t>
      </w:r>
      <w:r w:rsidR="00717629">
        <w:rPr>
          <w:rFonts w:cs="Tahoma"/>
        </w:rPr>
        <w:t>s</w:t>
      </w:r>
      <w:r w:rsidR="00557FD2" w:rsidRPr="006E00E9">
        <w:rPr>
          <w:rFonts w:cs="Tahoma"/>
        </w:rPr>
        <w:t xml:space="preserve"> of residential care</w:t>
      </w:r>
      <w:r w:rsidR="00526852">
        <w:rPr>
          <w:rFonts w:cs="Tahoma"/>
        </w:rPr>
        <w:t>.</w:t>
      </w:r>
    </w:p>
    <w:p w:rsidR="006E00E9" w:rsidRPr="006E00E9" w:rsidRDefault="006E00E9" w:rsidP="00F02312">
      <w:pPr>
        <w:pStyle w:val="ListParagraph"/>
        <w:numPr>
          <w:ilvl w:val="0"/>
          <w:numId w:val="85"/>
        </w:numPr>
        <w:spacing w:after="0"/>
        <w:rPr>
          <w:rFonts w:cs="Tahoma"/>
        </w:rPr>
      </w:pPr>
      <w:r w:rsidRPr="006E00E9">
        <w:rPr>
          <w:rFonts w:cs="Tahoma"/>
        </w:rPr>
        <w:t>I</w:t>
      </w:r>
      <w:r w:rsidR="00557FD2" w:rsidRPr="006E00E9">
        <w:rPr>
          <w:rFonts w:cs="Tahoma"/>
        </w:rPr>
        <w:t>f there was a clear relationship between increasing costs in residential care as measured by the imputed ACFI (the RCS data was converted into ACFI scores) and increasing resident dependenc</w:t>
      </w:r>
      <w:r w:rsidRPr="006E00E9">
        <w:rPr>
          <w:rFonts w:cs="Tahoma"/>
        </w:rPr>
        <w:t>e</w:t>
      </w:r>
      <w:r w:rsidR="00526852">
        <w:rPr>
          <w:rFonts w:cs="Tahoma"/>
        </w:rPr>
        <w:t>.</w:t>
      </w:r>
    </w:p>
    <w:p w:rsidR="00557FD2" w:rsidRPr="0005109F" w:rsidRDefault="006E00E9" w:rsidP="00F02312">
      <w:pPr>
        <w:pStyle w:val="ListParagraph"/>
        <w:numPr>
          <w:ilvl w:val="0"/>
          <w:numId w:val="85"/>
        </w:numPr>
        <w:ind w:left="357" w:hanging="357"/>
        <w:contextualSpacing w:val="0"/>
        <w:rPr>
          <w:rFonts w:cs="Tahoma"/>
        </w:rPr>
      </w:pPr>
      <w:r w:rsidRPr="006E00E9">
        <w:rPr>
          <w:rFonts w:cs="Tahoma"/>
        </w:rPr>
        <w:t>There was</w:t>
      </w:r>
      <w:r w:rsidR="00557FD2" w:rsidRPr="006E00E9">
        <w:rPr>
          <w:rFonts w:cs="Tahoma"/>
        </w:rPr>
        <w:t xml:space="preserve"> a ceiling effect beyond which costs did not increase with resident dep</w:t>
      </w:r>
      <w:r w:rsidR="00717629">
        <w:rPr>
          <w:rFonts w:cs="Tahoma"/>
        </w:rPr>
        <w:t>endency in aged care facilities</w:t>
      </w:r>
      <w:r w:rsidR="00526852">
        <w:rPr>
          <w:rFonts w:cs="Tahoma"/>
        </w:rPr>
        <w:t>.</w:t>
      </w:r>
    </w:p>
    <w:p w:rsidR="00557FD2" w:rsidRDefault="00557FD2" w:rsidP="00FF7E1E">
      <w:r>
        <w:t xml:space="preserve">This research </w:t>
      </w:r>
      <w:r w:rsidR="006E00E9">
        <w:t xml:space="preserve">was </w:t>
      </w:r>
      <w:r>
        <w:t xml:space="preserve">conducted by AACS and Cumpston Sarjeant Pty Ltd </w:t>
      </w:r>
      <w:r w:rsidR="006E00E9">
        <w:t xml:space="preserve">and </w:t>
      </w:r>
      <w:r>
        <w:t>showed</w:t>
      </w:r>
      <w:r w:rsidR="006E00E9">
        <w:t>,</w:t>
      </w:r>
      <w:r>
        <w:t xml:space="preserve"> in summary</w:t>
      </w:r>
      <w:r w:rsidR="006E00E9">
        <w:t>,</w:t>
      </w:r>
      <w:r>
        <w:t xml:space="preserve"> that:</w:t>
      </w:r>
    </w:p>
    <w:p w:rsidR="00557FD2" w:rsidRPr="00717629" w:rsidRDefault="00557FD2" w:rsidP="00F02312">
      <w:pPr>
        <w:pStyle w:val="ListParagraph"/>
        <w:numPr>
          <w:ilvl w:val="0"/>
          <w:numId w:val="86"/>
        </w:numPr>
        <w:rPr>
          <w:lang w:eastAsia="en-AU"/>
        </w:rPr>
      </w:pPr>
      <w:r w:rsidRPr="00C14F1D">
        <w:rPr>
          <w:rStyle w:val="Strong"/>
        </w:rPr>
        <w:t>Economies of Scale:</w:t>
      </w:r>
      <w:r w:rsidRPr="00717629">
        <w:rPr>
          <w:lang w:eastAsia="en-AU"/>
        </w:rPr>
        <w:t xml:space="preserve"> There was no evidence of economies of scale or a flattening of the cost curve as the care needs increased. The relationship between costs and care needs continued to increase without any sign of economies of scale affect or attenuation due to higher proportions of high care need residents.</w:t>
      </w:r>
    </w:p>
    <w:p w:rsidR="00980F62" w:rsidRDefault="00557FD2" w:rsidP="00F02312">
      <w:pPr>
        <w:pStyle w:val="ListParagraph"/>
        <w:numPr>
          <w:ilvl w:val="0"/>
          <w:numId w:val="86"/>
        </w:numPr>
        <w:rPr>
          <w:lang w:eastAsia="en-AU"/>
        </w:rPr>
      </w:pPr>
      <w:r w:rsidRPr="00C14F1D">
        <w:rPr>
          <w:rStyle w:val="Strong"/>
        </w:rPr>
        <w:t>For Total Costs:</w:t>
      </w:r>
      <w:r w:rsidRPr="00717629">
        <w:rPr>
          <w:lang w:eastAsia="en-AU"/>
        </w:rPr>
        <w:t xml:space="preserve"> The total cost per day progressively increased with a higher proportion of higher </w:t>
      </w:r>
      <w:r w:rsidR="00717629">
        <w:rPr>
          <w:lang w:eastAsia="en-AU"/>
        </w:rPr>
        <w:t xml:space="preserve">resident </w:t>
      </w:r>
      <w:r w:rsidRPr="00717629">
        <w:rPr>
          <w:lang w:eastAsia="en-AU"/>
        </w:rPr>
        <w:t>care bed days.</w:t>
      </w:r>
    </w:p>
    <w:p w:rsidR="00980F62" w:rsidRDefault="00557FD2" w:rsidP="00F02312">
      <w:pPr>
        <w:pStyle w:val="ListParagraph"/>
        <w:numPr>
          <w:ilvl w:val="0"/>
          <w:numId w:val="86"/>
        </w:numPr>
        <w:rPr>
          <w:lang w:eastAsia="en-AU"/>
        </w:rPr>
      </w:pPr>
      <w:r w:rsidRPr="00C14F1D">
        <w:rPr>
          <w:rStyle w:val="Strong"/>
        </w:rPr>
        <w:t>Variable Care Subsidy Related Costs:</w:t>
      </w:r>
      <w:r w:rsidRPr="00717629">
        <w:rPr>
          <w:b/>
          <w:lang w:eastAsia="en-AU"/>
        </w:rPr>
        <w:t xml:space="preserve"> </w:t>
      </w:r>
      <w:r w:rsidRPr="00717629">
        <w:rPr>
          <w:lang w:eastAsia="en-AU"/>
        </w:rPr>
        <w:t>The pattern of the results was similar to total costs. This is to be expected as care related costs comprise the major component of the total costs.</w:t>
      </w:r>
    </w:p>
    <w:p w:rsidR="00557FD2" w:rsidRDefault="00557FD2" w:rsidP="00FF7E1E">
      <w:r>
        <w:t>In terms of the cost of care, did the imputed ACFI model predict the cost of care?</w:t>
      </w:r>
    </w:p>
    <w:p w:rsidR="00557FD2" w:rsidRPr="00717629" w:rsidRDefault="00557FD2" w:rsidP="00F02312">
      <w:pPr>
        <w:pStyle w:val="ListParagraph"/>
        <w:numPr>
          <w:ilvl w:val="0"/>
          <w:numId w:val="87"/>
        </w:numPr>
        <w:rPr>
          <w:lang w:eastAsia="en-AU"/>
        </w:rPr>
      </w:pPr>
      <w:r w:rsidRPr="00717629">
        <w:rPr>
          <w:lang w:eastAsia="en-AU"/>
        </w:rPr>
        <w:t>The imputed ACFI scores were significant predictors of total costs.</w:t>
      </w:r>
    </w:p>
    <w:p w:rsidR="00980F62" w:rsidRDefault="00557FD2" w:rsidP="00F02312">
      <w:pPr>
        <w:pStyle w:val="ListParagraph"/>
        <w:numPr>
          <w:ilvl w:val="0"/>
          <w:numId w:val="87"/>
        </w:numPr>
        <w:rPr>
          <w:lang w:eastAsia="en-AU"/>
        </w:rPr>
      </w:pPr>
      <w:r w:rsidRPr="00717629">
        <w:rPr>
          <w:lang w:eastAsia="en-AU"/>
        </w:rPr>
        <w:t>Analysis of the relationship of total costs to imputed ACFI subsidy payments showed that the ACFI explained a significant amount of the variance in total facility costs. The analysis indicated that the imputed ACFI explained around 70</w:t>
      </w:r>
      <w:r w:rsidR="00C947E9">
        <w:rPr>
          <w:lang w:eastAsia="en-AU"/>
        </w:rPr>
        <w:t xml:space="preserve"> per cent</w:t>
      </w:r>
      <w:r w:rsidRPr="00717629">
        <w:rPr>
          <w:lang w:eastAsia="en-AU"/>
        </w:rPr>
        <w:t xml:space="preserve"> of total facility costs.</w:t>
      </w:r>
    </w:p>
    <w:p w:rsidR="00557FD2" w:rsidRPr="00380551" w:rsidRDefault="00557FD2" w:rsidP="00FF7E1E">
      <w:r>
        <w:t>The ACFI was introduced on the back of this research which showed that the ACFI was a reliable and valid way of determining residential aged care subsidies.</w:t>
      </w:r>
    </w:p>
    <w:p w:rsidR="00FF7E1E" w:rsidRPr="00FF7E1E" w:rsidRDefault="00FF7E1E" w:rsidP="00FF7E1E">
      <w:pPr>
        <w:rPr>
          <w:b/>
        </w:rPr>
      </w:pPr>
      <w:bookmarkStart w:id="153" w:name="_Toc486423830"/>
      <w:bookmarkStart w:id="154" w:name="_Toc486603025"/>
      <w:r w:rsidRPr="00FF7E1E">
        <w:br w:type="page"/>
      </w:r>
    </w:p>
    <w:p w:rsidR="00980F62" w:rsidRDefault="00557FD2" w:rsidP="003F1847">
      <w:pPr>
        <w:pStyle w:val="Heading3-Chapter32"/>
      </w:pPr>
      <w:r w:rsidRPr="00410B4F">
        <w:lastRenderedPageBreak/>
        <w:t>Do ACFI Profiles relate to Aged Care Staffing Models?</w:t>
      </w:r>
      <w:bookmarkEnd w:id="153"/>
      <w:bookmarkEnd w:id="154"/>
    </w:p>
    <w:p w:rsidR="00980F62" w:rsidRDefault="00557FD2" w:rsidP="00944B8A">
      <w:pPr>
        <w:rPr>
          <w:rFonts w:cs="Tahoma"/>
        </w:rPr>
      </w:pPr>
      <w:r w:rsidRPr="00C01CC9">
        <w:t xml:space="preserve">The Aged Care Staffing and Skills Mix Project conducted in 2013 examined </w:t>
      </w:r>
      <w:r w:rsidR="006E00E9">
        <w:t xml:space="preserve">whether ACFI profiles related to aged care staffing models. This was done by </w:t>
      </w:r>
      <w:r w:rsidRPr="00C01CC9">
        <w:t xml:space="preserve">analysing a national survey of 121 facilities </w:t>
      </w:r>
      <w:r w:rsidR="006E00E9">
        <w:t>that</w:t>
      </w:r>
      <w:r w:rsidRPr="00C01CC9">
        <w:t xml:space="preserve"> submitted detailed staff rosters. Results from the project (Aged Care Staffing &amp; Skills Mix Project, Report January 2013, Applied Aged Care Solutions Pty Ltd) indicated that the ACFI care areas that had the most impact on direct care nursing time were</w:t>
      </w:r>
      <w:r w:rsidR="001772CE">
        <w:t xml:space="preserve"> ADLs, C</w:t>
      </w:r>
      <w:r w:rsidR="006E00E9">
        <w:t xml:space="preserve">ognition and </w:t>
      </w:r>
      <w:r w:rsidR="001772CE">
        <w:t>Complex Health Care items</w:t>
      </w:r>
      <w:r w:rsidR="006E00E9">
        <w:rPr>
          <w:rFonts w:cs="Tahoma"/>
        </w:rPr>
        <w:t>.</w:t>
      </w:r>
    </w:p>
    <w:p w:rsidR="00557FD2" w:rsidRDefault="00557FD2" w:rsidP="00545873">
      <w:r>
        <w:t>The results</w:t>
      </w:r>
      <w:r w:rsidRPr="00267309">
        <w:t xml:space="preserve"> showed that the amount of direct care staff time on a per resident basis for all nursing staff comprising Registered Nurses (RN) and Personal Care Workers (PCW) was related to, and could be </w:t>
      </w:r>
      <w:r>
        <w:t xml:space="preserve">significantly predicted by, the </w:t>
      </w:r>
      <w:r w:rsidRPr="00267309">
        <w:t>care needs of the residents in the facility</w:t>
      </w:r>
      <w:r>
        <w:t xml:space="preserve"> as identified by the ACFI checklist data</w:t>
      </w:r>
      <w:r w:rsidRPr="00267309">
        <w:t>. This finding however, while showing a strong relationship between care needs and direct care time, d</w:t>
      </w:r>
      <w:r w:rsidR="006E00E9">
        <w:t>id</w:t>
      </w:r>
      <w:r w:rsidRPr="00267309">
        <w:t xml:space="preserve"> not inform on whether the amount or quantum of care time is sufficient for t</w:t>
      </w:r>
      <w:r>
        <w:t>he residents in care. I</w:t>
      </w:r>
      <w:r w:rsidRPr="00267309">
        <w:t>t d</w:t>
      </w:r>
      <w:r w:rsidR="006E00E9">
        <w:t>id</w:t>
      </w:r>
      <w:r w:rsidRPr="00267309">
        <w:t xml:space="preserve"> show that as resident care needs increased</w:t>
      </w:r>
      <w:r>
        <w:t>, as measured by the ACFI</w:t>
      </w:r>
      <w:r w:rsidRPr="00267309">
        <w:t>, the more care time per resident by RN and PCW staff was provided. The resu</w:t>
      </w:r>
      <w:r>
        <w:t xml:space="preserve">lt also shows that the </w:t>
      </w:r>
      <w:r w:rsidRPr="00267309">
        <w:t xml:space="preserve">ACFI </w:t>
      </w:r>
      <w:r>
        <w:t>checklist variables we</w:t>
      </w:r>
      <w:r w:rsidRPr="00267309">
        <w:t>re measuring care need aspects that</w:t>
      </w:r>
      <w:r>
        <w:t>,</w:t>
      </w:r>
      <w:r w:rsidRPr="00267309">
        <w:t xml:space="preserve"> </w:t>
      </w:r>
      <w:r>
        <w:t xml:space="preserve">at a statistically significant level, </w:t>
      </w:r>
      <w:r w:rsidRPr="00267309">
        <w:t>predict</w:t>
      </w:r>
      <w:r>
        <w:t>ed</w:t>
      </w:r>
      <w:r w:rsidRPr="00267309">
        <w:t xml:space="preserve"> direct care staffing provision</w:t>
      </w:r>
      <w:r>
        <w:t xml:space="preserve"> and by association, costs</w:t>
      </w:r>
      <w:r w:rsidRPr="00267309">
        <w:t>.</w:t>
      </w:r>
    </w:p>
    <w:p w:rsidR="00980F62" w:rsidRDefault="00557FD2" w:rsidP="00545873">
      <w:r w:rsidRPr="00C01CC9">
        <w:t>The ACFI</w:t>
      </w:r>
      <w:r>
        <w:t>,</w:t>
      </w:r>
      <w:r w:rsidRPr="00C01CC9">
        <w:t xml:space="preserve"> while in need of an update, still operates to resource the care needs of residents in a direct relationship to the assessed care needs in personal care, behavioural areas and health and nursing care.</w:t>
      </w:r>
    </w:p>
    <w:p w:rsidR="00557FD2" w:rsidRPr="00C01CC9" w:rsidRDefault="00557FD2" w:rsidP="00545873">
      <w:r w:rsidRPr="00C01CC9">
        <w:t xml:space="preserve">The R-ACFI analysis has re-adjusted the scoring and relativities using contemporary best practice methods to re-focus the classification system and resources to those residents with higher care needs. The R-ACFI funding system outcomes are </w:t>
      </w:r>
      <w:r w:rsidR="00C94B55">
        <w:t xml:space="preserve">described </w:t>
      </w:r>
      <w:r w:rsidRPr="00C01CC9">
        <w:t xml:space="preserve">in </w:t>
      </w:r>
      <w:hyperlink w:anchor="Ch08" w:history="1">
        <w:r w:rsidRPr="00A91929">
          <w:rPr>
            <w:rStyle w:val="Hyperlink"/>
          </w:rPr>
          <w:t>Chapter 8</w:t>
        </w:r>
      </w:hyperlink>
      <w:r w:rsidRPr="00C01CC9">
        <w:t>.</w:t>
      </w:r>
    </w:p>
    <w:p w:rsidR="00557FD2" w:rsidRPr="006C5EDD" w:rsidRDefault="00557FD2" w:rsidP="003F1847">
      <w:pPr>
        <w:pStyle w:val="Heading3-Chapter32"/>
      </w:pPr>
      <w:bookmarkStart w:id="155" w:name="_Toc486423831"/>
      <w:bookmarkStart w:id="156" w:name="_Toc486601533"/>
      <w:bookmarkStart w:id="157" w:name="_Toc486603026"/>
      <w:r w:rsidRPr="006C5EDD">
        <w:t>Statistical Underpinnings of the R-ACFI</w:t>
      </w:r>
      <w:bookmarkEnd w:id="155"/>
      <w:bookmarkEnd w:id="156"/>
      <w:bookmarkEnd w:id="157"/>
    </w:p>
    <w:p w:rsidR="00980F62" w:rsidRDefault="00557FD2" w:rsidP="002A4578">
      <w:pPr>
        <w:ind w:right="-52"/>
      </w:pPr>
      <w:r w:rsidRPr="0034402C">
        <w:t>The R-ACFI scales have been developed as separate ‘independent’ measures of care need, and the coefficients are only relevant within the scale in question, as the amount of funding associated with each care domain (ADL</w:t>
      </w:r>
      <w:r>
        <w:t>, B</w:t>
      </w:r>
      <w:r w:rsidR="0005109F">
        <w:t>EH</w:t>
      </w:r>
      <w:r>
        <w:t>, C</w:t>
      </w:r>
      <w:r w:rsidR="0005109F">
        <w:t>HC</w:t>
      </w:r>
      <w:r>
        <w:t>) was</w:t>
      </w:r>
      <w:r w:rsidRPr="0034402C">
        <w:t xml:space="preserve"> calibrated separately (</w:t>
      </w:r>
      <w:r>
        <w:t xml:space="preserve">cost </w:t>
      </w:r>
      <w:r w:rsidRPr="0034402C">
        <w:rPr>
          <w:color w:val="222222"/>
          <w:szCs w:val="24"/>
        </w:rPr>
        <w:t xml:space="preserve">relativities </w:t>
      </w:r>
      <w:r>
        <w:rPr>
          <w:color w:val="222222"/>
          <w:szCs w:val="24"/>
        </w:rPr>
        <w:t xml:space="preserve">approximately </w:t>
      </w:r>
      <w:r w:rsidRPr="0034402C">
        <w:rPr>
          <w:color w:val="222222"/>
          <w:szCs w:val="24"/>
        </w:rPr>
        <w:t>ADL 60</w:t>
      </w:r>
      <w:r w:rsidR="00C947E9">
        <w:rPr>
          <w:color w:val="222222"/>
          <w:szCs w:val="24"/>
        </w:rPr>
        <w:t xml:space="preserve"> per cent</w:t>
      </w:r>
      <w:r w:rsidR="002A4578">
        <w:rPr>
          <w:color w:val="222222"/>
          <w:szCs w:val="24"/>
        </w:rPr>
        <w:t>,</w:t>
      </w:r>
      <w:r w:rsidRPr="0034402C">
        <w:rPr>
          <w:color w:val="222222"/>
          <w:szCs w:val="24"/>
        </w:rPr>
        <w:t xml:space="preserve"> BEH 15</w:t>
      </w:r>
      <w:r w:rsidR="00C947E9">
        <w:rPr>
          <w:color w:val="222222"/>
          <w:szCs w:val="24"/>
        </w:rPr>
        <w:t xml:space="preserve"> per cent</w:t>
      </w:r>
      <w:r w:rsidR="002A4578">
        <w:rPr>
          <w:color w:val="222222"/>
          <w:szCs w:val="24"/>
        </w:rPr>
        <w:t xml:space="preserve"> and</w:t>
      </w:r>
      <w:r w:rsidRPr="0034402C">
        <w:rPr>
          <w:color w:val="222222"/>
          <w:szCs w:val="24"/>
        </w:rPr>
        <w:t xml:space="preserve"> CHC 25</w:t>
      </w:r>
      <w:r w:rsidR="00C947E9">
        <w:rPr>
          <w:color w:val="222222"/>
          <w:szCs w:val="24"/>
        </w:rPr>
        <w:t xml:space="preserve"> per cent</w:t>
      </w:r>
      <w:r>
        <w:rPr>
          <w:color w:val="222222"/>
          <w:szCs w:val="24"/>
        </w:rPr>
        <w:t>; Appendix 3.2</w:t>
      </w:r>
      <w:r>
        <w:t>).</w:t>
      </w:r>
    </w:p>
    <w:p w:rsidR="00557FD2" w:rsidRPr="00251D0D" w:rsidRDefault="00557FD2" w:rsidP="00545873">
      <w:r w:rsidRPr="00251D0D">
        <w:t xml:space="preserve">The scales within the domains comprise items whose importance is calculated </w:t>
      </w:r>
      <w:r w:rsidR="0005109F">
        <w:t>‘</w:t>
      </w:r>
      <w:r w:rsidRPr="00251D0D">
        <w:t>in combination</w:t>
      </w:r>
      <w:r w:rsidR="0005109F">
        <w:t>’</w:t>
      </w:r>
      <w:r w:rsidRPr="00251D0D">
        <w:t xml:space="preserve"> by IRT for the ADL domain in the R-ACFI. Because of the skewed distribution in the ADL domain (i.e. large number of </w:t>
      </w:r>
      <w:r w:rsidR="001772CE">
        <w:t>full physical a</w:t>
      </w:r>
      <w:r w:rsidRPr="00251D0D">
        <w:t xml:space="preserve">ssistance </w:t>
      </w:r>
      <w:r w:rsidR="001772CE">
        <w:t>claims</w:t>
      </w:r>
      <w:r w:rsidRPr="00251D0D">
        <w:t xml:space="preserve">), the variables are not normally distributed and linear regression </w:t>
      </w:r>
      <w:r w:rsidR="008D1C81">
        <w:t>was</w:t>
      </w:r>
      <w:r w:rsidR="0005109F" w:rsidRPr="00251D0D">
        <w:t xml:space="preserve"> </w:t>
      </w:r>
      <w:r w:rsidRPr="00251D0D">
        <w:t>not appropriate. The IRT analysis identified the most important ADL items (e.g. mobility items) and re-weighted the items based on the IRT analysis.</w:t>
      </w:r>
    </w:p>
    <w:p w:rsidR="00557FD2" w:rsidRDefault="00557FD2" w:rsidP="00545873">
      <w:pPr>
        <w:rPr>
          <w:color w:val="222222"/>
          <w:szCs w:val="24"/>
        </w:rPr>
      </w:pPr>
      <w:r>
        <w:t xml:space="preserve">The funding amounts determined by the domains can then be added as they all are components of the overarching latent domain of </w:t>
      </w:r>
      <w:r w:rsidR="0005109F">
        <w:t>‘</w:t>
      </w:r>
      <w:r>
        <w:t>aged care needs</w:t>
      </w:r>
      <w:r w:rsidR="0005109F">
        <w:t xml:space="preserve">’. </w:t>
      </w:r>
      <w:r>
        <w:t xml:space="preserve">The </w:t>
      </w:r>
      <w:r w:rsidRPr="005454D4">
        <w:rPr>
          <w:color w:val="222222"/>
          <w:szCs w:val="24"/>
        </w:rPr>
        <w:t>R-ACFI uses latent trait analysis to determine item weightings within domains – they are not simply added as in the RUG</w:t>
      </w:r>
      <w:r w:rsidR="0005109F">
        <w:rPr>
          <w:color w:val="222222"/>
          <w:szCs w:val="24"/>
        </w:rPr>
        <w:t>s</w:t>
      </w:r>
      <w:r w:rsidRPr="005454D4">
        <w:rPr>
          <w:color w:val="222222"/>
          <w:szCs w:val="24"/>
        </w:rPr>
        <w:t xml:space="preserve"> ADL model used in </w:t>
      </w:r>
      <w:r>
        <w:rPr>
          <w:color w:val="222222"/>
          <w:szCs w:val="24"/>
        </w:rPr>
        <w:t>many c</w:t>
      </w:r>
      <w:r w:rsidRPr="005454D4">
        <w:rPr>
          <w:color w:val="222222"/>
          <w:szCs w:val="24"/>
        </w:rPr>
        <w:t>asemix</w:t>
      </w:r>
      <w:r>
        <w:rPr>
          <w:color w:val="222222"/>
          <w:szCs w:val="24"/>
        </w:rPr>
        <w:t xml:space="preserve"> systems.</w:t>
      </w:r>
    </w:p>
    <w:p w:rsidR="00557FD2" w:rsidRPr="00251D0D" w:rsidRDefault="00557FD2" w:rsidP="00545873">
      <w:r w:rsidRPr="00251D0D">
        <w:lastRenderedPageBreak/>
        <w:t>In the BEH and CHC domains, the approach after some items were removed, was to reallocate the weights back up to 100. This method provides understandable, meaningful and valid clinical groupings with ass</w:t>
      </w:r>
      <w:r w:rsidR="004E08B8">
        <w:t xml:space="preserve">ociated costs which are then </w:t>
      </w:r>
      <w:r w:rsidRPr="00251D0D">
        <w:t xml:space="preserve">combined into cost group (case mix) combinations for individual resident profiles. The R-ACFI therefore allows for the identification of meaningful </w:t>
      </w:r>
      <w:r w:rsidR="0005109F">
        <w:t>‘</w:t>
      </w:r>
      <w:r w:rsidRPr="00251D0D">
        <w:t>case types</w:t>
      </w:r>
      <w:r w:rsidR="0005109F">
        <w:t>’</w:t>
      </w:r>
      <w:r w:rsidR="0005109F" w:rsidRPr="00251D0D">
        <w:t xml:space="preserve"> </w:t>
      </w:r>
      <w:r w:rsidRPr="00251D0D">
        <w:t>as the first priority (clinical meaning preferred) which are based on the three major care domains inherent in any aged care support system (personal care, behaviour/dementia, health/nursing,) which are then associated with the available funding. The ACFI domain design is clinically plausible, statistically defensible and provides a widely understood approach.</w:t>
      </w:r>
    </w:p>
    <w:p w:rsidR="00980F62" w:rsidRDefault="00557FD2" w:rsidP="00545873">
      <w:pPr>
        <w:rPr>
          <w:lang w:eastAsia="en-AU"/>
        </w:rPr>
      </w:pPr>
      <w:r w:rsidRPr="00417D14">
        <w:t xml:space="preserve">The </w:t>
      </w:r>
      <w:r>
        <w:t xml:space="preserve">ACFI and </w:t>
      </w:r>
      <w:r w:rsidRPr="00417D14">
        <w:t>R-ACFI methodology of partitioning the care needs into three main areas means that the R-ACFI funding models are</w:t>
      </w:r>
      <w:r>
        <w:t>;</w:t>
      </w:r>
      <w:r w:rsidRPr="00417D14">
        <w:t xml:space="preserve"> flexible for future developments a</w:t>
      </w:r>
      <w:r>
        <w:t>s the various components (ADL, B</w:t>
      </w:r>
      <w:r w:rsidR="0005109F">
        <w:t>EH</w:t>
      </w:r>
      <w:r>
        <w:t>, C</w:t>
      </w:r>
      <w:r w:rsidR="0005109F">
        <w:t>HC</w:t>
      </w:r>
      <w:r w:rsidRPr="00417D14">
        <w:t>) can be adjusted with additional or modified questions, funding amounts can be differentially applied to the scale domains (e.g. a future cost calibration study may indicate a change in the funding relativities between or within the scales)</w:t>
      </w:r>
      <w:r>
        <w:t>,</w:t>
      </w:r>
      <w:r w:rsidRPr="00417D14">
        <w:t xml:space="preserve"> and particular resident ‘types’ can be further targeted with the </w:t>
      </w:r>
      <w:r>
        <w:t>R-</w:t>
      </w:r>
      <w:r w:rsidRPr="00417D14">
        <w:t xml:space="preserve">ACFI models at a more resident specific level. </w:t>
      </w:r>
      <w:r>
        <w:rPr>
          <w:lang w:eastAsia="en-AU"/>
        </w:rPr>
        <w:t xml:space="preserve">The ACFI domain structure was also designed to allow for relative resource adjustments across domains in a way that had face validity for services and consumers. Also, as Government considers </w:t>
      </w:r>
      <w:r w:rsidR="0005109F">
        <w:rPr>
          <w:lang w:eastAsia="en-AU"/>
        </w:rPr>
        <w:t xml:space="preserve">consumer </w:t>
      </w:r>
      <w:r>
        <w:rPr>
          <w:lang w:eastAsia="en-AU"/>
        </w:rPr>
        <w:t xml:space="preserve">payment options </w:t>
      </w:r>
      <w:r w:rsidR="0005109F">
        <w:rPr>
          <w:lang w:eastAsia="en-AU"/>
        </w:rPr>
        <w:t>in the future</w:t>
      </w:r>
      <w:r>
        <w:rPr>
          <w:lang w:eastAsia="en-AU"/>
        </w:rPr>
        <w:t xml:space="preserve">, it may be deemed more flexible to allow for separate domains in personal care, behaviour and complex health care. </w:t>
      </w:r>
      <w:r w:rsidR="0005109F">
        <w:rPr>
          <w:lang w:eastAsia="en-AU"/>
        </w:rPr>
        <w:t xml:space="preserve">For example, </w:t>
      </w:r>
      <w:r>
        <w:rPr>
          <w:lang w:eastAsia="en-AU"/>
        </w:rPr>
        <w:t>Governments or insurers may decide to pay all C</w:t>
      </w:r>
      <w:r w:rsidR="0005109F">
        <w:rPr>
          <w:lang w:eastAsia="en-AU"/>
        </w:rPr>
        <w:t>HC</w:t>
      </w:r>
      <w:r>
        <w:rPr>
          <w:lang w:eastAsia="en-AU"/>
        </w:rPr>
        <w:t xml:space="preserve"> costs but apply full means testing to the personal care component. A model that combines these three care aspects into an average cost grouping will reduce the flexibility of adjustments in future as the funding will represent a composite of care need areas.</w:t>
      </w:r>
    </w:p>
    <w:p w:rsidR="00980F62" w:rsidRDefault="00557FD2" w:rsidP="00545873">
      <w:pPr>
        <w:rPr>
          <w:lang w:eastAsia="en-AU"/>
        </w:rPr>
      </w:pPr>
      <w:r>
        <w:rPr>
          <w:lang w:eastAsia="en-AU"/>
        </w:rPr>
        <w:t xml:space="preserve">The ACFI and now R-ACFI domains are designed to represent the key resource drivers in long term care and to provide a readily accessible care profile for each resident. While an update and improvements </w:t>
      </w:r>
      <w:r w:rsidR="00944B8A">
        <w:rPr>
          <w:lang w:eastAsia="en-AU"/>
        </w:rPr>
        <w:t>should</w:t>
      </w:r>
      <w:r>
        <w:rPr>
          <w:lang w:eastAsia="en-AU"/>
        </w:rPr>
        <w:t xml:space="preserve"> be made, research reported earlier shows that, as of 2013, the ACFI was predicting with statistical certainty the level of direct care staffing resources in the 121 aged care facilities in the study sample.</w:t>
      </w:r>
    </w:p>
    <w:p w:rsidR="00557FD2" w:rsidRPr="006C5EDD" w:rsidRDefault="00557FD2" w:rsidP="003F1847">
      <w:pPr>
        <w:pStyle w:val="Heading3-Chapter32"/>
      </w:pPr>
      <w:bookmarkStart w:id="158" w:name="_Toc486423832"/>
      <w:bookmarkStart w:id="159" w:name="_Toc486601534"/>
      <w:bookmarkStart w:id="160" w:name="_Toc486603027"/>
      <w:r w:rsidRPr="006C5EDD">
        <w:t>Considerations when Measuring the Cost of Care</w:t>
      </w:r>
      <w:bookmarkEnd w:id="158"/>
      <w:bookmarkEnd w:id="159"/>
      <w:bookmarkEnd w:id="160"/>
    </w:p>
    <w:p w:rsidR="00980F62" w:rsidRDefault="00557FD2" w:rsidP="00040FBB">
      <w:r>
        <w:t xml:space="preserve">The R-ACFI uses a combination of an additive model (regression) and IRT. The most important consideration in the development of an additive (regression) or branching (regression tree) classification model is the underlying measurement model. In this regard, the R-ACFI scales are the primary data source and a funding classification model could be determined </w:t>
      </w:r>
      <w:r w:rsidR="0005109F">
        <w:t xml:space="preserve">effectively </w:t>
      </w:r>
      <w:r>
        <w:t xml:space="preserve">with either approach. It is suggested for further review, </w:t>
      </w:r>
      <w:r w:rsidR="0005109F">
        <w:t xml:space="preserve">that </w:t>
      </w:r>
      <w:r>
        <w:t xml:space="preserve">both approaches are developed and compared to determine which method </w:t>
      </w:r>
      <w:r w:rsidR="0005109F">
        <w:t xml:space="preserve">more accurately </w:t>
      </w:r>
      <w:r>
        <w:t>explains the costs of care.</w:t>
      </w:r>
    </w:p>
    <w:p w:rsidR="00557FD2" w:rsidRDefault="00557FD2" w:rsidP="00040FBB">
      <w:pPr>
        <w:rPr>
          <w:lang w:eastAsia="en-AU"/>
        </w:rPr>
      </w:pPr>
      <w:r>
        <w:rPr>
          <w:lang w:eastAsia="en-AU"/>
        </w:rPr>
        <w:t>Careful consideration must be given to the decision about whether an inherently more complex branching model of some type is used</w:t>
      </w:r>
      <w:r w:rsidRPr="00ED0609">
        <w:rPr>
          <w:lang w:eastAsia="en-AU"/>
        </w:rPr>
        <w:t xml:space="preserve"> </w:t>
      </w:r>
      <w:r>
        <w:rPr>
          <w:lang w:eastAsia="en-AU"/>
        </w:rPr>
        <w:t xml:space="preserve">compared to the R-ACFI type model (IRT and Regression). </w:t>
      </w:r>
      <w:r w:rsidR="00944B8A">
        <w:rPr>
          <w:lang w:eastAsia="en-AU"/>
        </w:rPr>
        <w:t>A classification model based on</w:t>
      </w:r>
      <w:r w:rsidR="00DB3D73">
        <w:rPr>
          <w:lang w:eastAsia="en-AU"/>
        </w:rPr>
        <w:t xml:space="preserve"> ‘a</w:t>
      </w:r>
      <w:r w:rsidR="00944B8A">
        <w:rPr>
          <w:lang w:eastAsia="en-AU"/>
        </w:rPr>
        <w:t>ctivities’</w:t>
      </w:r>
      <w:r w:rsidR="00DB3D73">
        <w:rPr>
          <w:lang w:eastAsia="en-AU"/>
        </w:rPr>
        <w:t xml:space="preserve"> </w:t>
      </w:r>
      <w:r>
        <w:rPr>
          <w:lang w:eastAsia="en-AU"/>
        </w:rPr>
        <w:t xml:space="preserve">relies on specific nursing documentation of the care being provided, that is, resources used (or </w:t>
      </w:r>
      <w:r w:rsidR="00F253FA">
        <w:rPr>
          <w:lang w:eastAsia="en-AU"/>
        </w:rPr>
        <w:t xml:space="preserve">documented as </w:t>
      </w:r>
      <w:r>
        <w:rPr>
          <w:lang w:eastAsia="en-AU"/>
        </w:rPr>
        <w:t xml:space="preserve">being </w:t>
      </w:r>
      <w:r>
        <w:rPr>
          <w:lang w:eastAsia="en-AU"/>
        </w:rPr>
        <w:lastRenderedPageBreak/>
        <w:t>used). ADL</w:t>
      </w:r>
      <w:r w:rsidR="00F253FA">
        <w:rPr>
          <w:lang w:eastAsia="en-AU"/>
        </w:rPr>
        <w:t xml:space="preserve"> </w:t>
      </w:r>
      <w:r>
        <w:rPr>
          <w:lang w:eastAsia="en-AU"/>
        </w:rPr>
        <w:t xml:space="preserve">care needs in general drive the system, along with associated medical and ancillary costs which are </w:t>
      </w:r>
      <w:r w:rsidR="00F253FA">
        <w:rPr>
          <w:lang w:eastAsia="en-AU"/>
        </w:rPr>
        <w:t xml:space="preserve">calibrated yearly </w:t>
      </w:r>
      <w:r>
        <w:rPr>
          <w:lang w:eastAsia="en-AU"/>
        </w:rPr>
        <w:t xml:space="preserve">against the cost of these direct components of care, which </w:t>
      </w:r>
      <w:r w:rsidR="003D2AFA">
        <w:rPr>
          <w:lang w:eastAsia="en-AU"/>
        </w:rPr>
        <w:t xml:space="preserve">can </w:t>
      </w:r>
      <w:r>
        <w:rPr>
          <w:lang w:eastAsia="en-AU"/>
        </w:rPr>
        <w:t>an additional overhead</w:t>
      </w:r>
      <w:r w:rsidR="003D2AFA">
        <w:rPr>
          <w:lang w:eastAsia="en-AU"/>
        </w:rPr>
        <w:t xml:space="preserve"> to the system</w:t>
      </w:r>
      <w:r>
        <w:rPr>
          <w:lang w:eastAsia="en-AU"/>
        </w:rPr>
        <w:t xml:space="preserve">. However, funding in these </w:t>
      </w:r>
      <w:r w:rsidR="00DB3D73">
        <w:rPr>
          <w:lang w:eastAsia="en-AU"/>
        </w:rPr>
        <w:t>types</w:t>
      </w:r>
      <w:r w:rsidR="003D2AFA">
        <w:rPr>
          <w:lang w:eastAsia="en-AU"/>
        </w:rPr>
        <w:t xml:space="preserve"> of classification </w:t>
      </w:r>
      <w:r>
        <w:rPr>
          <w:lang w:eastAsia="en-AU"/>
        </w:rPr>
        <w:t xml:space="preserve">models is still constrained within the existing budget envelope of the </w:t>
      </w:r>
      <w:r w:rsidR="00F253FA">
        <w:rPr>
          <w:lang w:eastAsia="en-AU"/>
        </w:rPr>
        <w:t xml:space="preserve">entity </w:t>
      </w:r>
      <w:r>
        <w:rPr>
          <w:lang w:eastAsia="en-AU"/>
        </w:rPr>
        <w:t>managing the funding system.</w:t>
      </w:r>
    </w:p>
    <w:p w:rsidR="00557FD2" w:rsidRDefault="00557FD2" w:rsidP="00040FBB">
      <w:pPr>
        <w:rPr>
          <w:lang w:eastAsia="en-AU"/>
        </w:rPr>
      </w:pPr>
      <w:r>
        <w:rPr>
          <w:lang w:eastAsia="en-AU"/>
        </w:rPr>
        <w:t xml:space="preserve">Using data analysis of the activities provided (or </w:t>
      </w:r>
      <w:r w:rsidR="00F253FA">
        <w:rPr>
          <w:lang w:eastAsia="en-AU"/>
        </w:rPr>
        <w:t xml:space="preserve">documented </w:t>
      </w:r>
      <w:r>
        <w:rPr>
          <w:lang w:eastAsia="en-AU"/>
        </w:rPr>
        <w:t xml:space="preserve">as being provided) and the </w:t>
      </w:r>
      <w:r w:rsidR="003D2AFA">
        <w:rPr>
          <w:lang w:eastAsia="en-AU"/>
        </w:rPr>
        <w:t xml:space="preserve">estimated </w:t>
      </w:r>
      <w:r>
        <w:rPr>
          <w:lang w:eastAsia="en-AU"/>
        </w:rPr>
        <w:t xml:space="preserve">cost of the specific activities, </w:t>
      </w:r>
      <w:r w:rsidR="005278FD">
        <w:rPr>
          <w:lang w:eastAsia="en-AU"/>
        </w:rPr>
        <w:t xml:space="preserve">case mix </w:t>
      </w:r>
      <w:r>
        <w:rPr>
          <w:lang w:eastAsia="en-AU"/>
        </w:rPr>
        <w:t xml:space="preserve">systems </w:t>
      </w:r>
      <w:r w:rsidR="00DB3D73">
        <w:rPr>
          <w:lang w:eastAsia="en-AU"/>
        </w:rPr>
        <w:t xml:space="preserve">generally </w:t>
      </w:r>
      <w:r>
        <w:rPr>
          <w:lang w:eastAsia="en-AU"/>
        </w:rPr>
        <w:t xml:space="preserve">use regression tree analysis to solve for </w:t>
      </w:r>
      <w:r w:rsidR="00F253FA">
        <w:rPr>
          <w:lang w:eastAsia="en-AU"/>
        </w:rPr>
        <w:t>‘</w:t>
      </w:r>
      <w:r>
        <w:rPr>
          <w:lang w:eastAsia="en-AU"/>
        </w:rPr>
        <w:t>homogenous</w:t>
      </w:r>
      <w:r w:rsidR="00F253FA">
        <w:rPr>
          <w:lang w:eastAsia="en-AU"/>
        </w:rPr>
        <w:t>’</w:t>
      </w:r>
      <w:r>
        <w:rPr>
          <w:lang w:eastAsia="en-AU"/>
        </w:rPr>
        <w:t xml:space="preserve"> averaged cost groups which represent various combinations of care needs (e.g. ADL, health) as determined </w:t>
      </w:r>
      <w:r w:rsidR="00F253FA">
        <w:rPr>
          <w:lang w:eastAsia="en-AU"/>
        </w:rPr>
        <w:t>by</w:t>
      </w:r>
      <w:r>
        <w:rPr>
          <w:lang w:eastAsia="en-AU"/>
        </w:rPr>
        <w:t xml:space="preserve"> analysis. </w:t>
      </w:r>
      <w:r w:rsidR="003D2AFA">
        <w:rPr>
          <w:lang w:eastAsia="en-AU"/>
        </w:rPr>
        <w:t xml:space="preserve">This </w:t>
      </w:r>
      <w:r>
        <w:rPr>
          <w:lang w:eastAsia="en-AU"/>
        </w:rPr>
        <w:t xml:space="preserve">approach provides a case mix index for every individual resident based on their profile and the payment can be varied depending on </w:t>
      </w:r>
      <w:r w:rsidR="00F253FA">
        <w:rPr>
          <w:lang w:eastAsia="en-AU"/>
        </w:rPr>
        <w:t xml:space="preserve">a range of </w:t>
      </w:r>
      <w:r>
        <w:rPr>
          <w:lang w:eastAsia="en-AU"/>
        </w:rPr>
        <w:t xml:space="preserve">factors including the available funding. Funding is ultimately distributed on the basis of relative care needs </w:t>
      </w:r>
      <w:r w:rsidR="00DB3D73">
        <w:rPr>
          <w:lang w:eastAsia="en-AU"/>
        </w:rPr>
        <w:t xml:space="preserve">(i.e. as in the R-ACFI model) </w:t>
      </w:r>
      <w:r>
        <w:rPr>
          <w:lang w:eastAsia="en-AU"/>
        </w:rPr>
        <w:t xml:space="preserve">or their </w:t>
      </w:r>
      <w:r w:rsidR="00F253FA">
        <w:rPr>
          <w:lang w:eastAsia="en-AU"/>
        </w:rPr>
        <w:t>c</w:t>
      </w:r>
      <w:r w:rsidR="00DB3D73">
        <w:rPr>
          <w:lang w:eastAsia="en-AU"/>
        </w:rPr>
        <w:t>ase mix index.</w:t>
      </w:r>
    </w:p>
    <w:p w:rsidR="00557FD2" w:rsidRPr="00452EF5" w:rsidRDefault="00557FD2" w:rsidP="00040FBB">
      <w:pPr>
        <w:rPr>
          <w:rFonts w:eastAsia="Times New Roman" w:cs="Times New Roman"/>
          <w:color w:val="000000"/>
          <w:szCs w:val="24"/>
        </w:rPr>
      </w:pPr>
      <w:r>
        <w:rPr>
          <w:lang w:eastAsia="en-AU"/>
        </w:rPr>
        <w:t>Case mix models are used more frequently in hospital and sub-acute environments, as the major reason for the care being provided is usually identifiable and co-morbidities are limited in number and importance</w:t>
      </w:r>
      <w:r w:rsidR="00F253FA">
        <w:rPr>
          <w:lang w:eastAsia="en-AU"/>
        </w:rPr>
        <w:t>. In Australian aged care facilities</w:t>
      </w:r>
      <w:r>
        <w:rPr>
          <w:lang w:eastAsia="en-AU"/>
        </w:rPr>
        <w:t>,</w:t>
      </w:r>
      <w:r w:rsidR="00F253FA">
        <w:rPr>
          <w:lang w:eastAsia="en-AU"/>
        </w:rPr>
        <w:t xml:space="preserve"> w</w:t>
      </w:r>
      <w:r>
        <w:rPr>
          <w:lang w:eastAsia="en-AU"/>
        </w:rPr>
        <w:t>ith ageing in place</w:t>
      </w:r>
      <w:r w:rsidR="00E1159D">
        <w:rPr>
          <w:lang w:eastAsia="en-AU"/>
        </w:rPr>
        <w:t xml:space="preserve">, there </w:t>
      </w:r>
      <w:r w:rsidR="00F253FA">
        <w:rPr>
          <w:lang w:eastAsia="en-AU"/>
        </w:rPr>
        <w:t xml:space="preserve">can be a </w:t>
      </w:r>
      <w:r>
        <w:rPr>
          <w:lang w:eastAsia="en-AU"/>
        </w:rPr>
        <w:t>wide range of resident types in one facility</w:t>
      </w:r>
      <w:r w:rsidR="003D2AFA">
        <w:rPr>
          <w:lang w:eastAsia="en-AU"/>
        </w:rPr>
        <w:t xml:space="preserve"> and the major reason for care is not easily identified</w:t>
      </w:r>
      <w:r>
        <w:rPr>
          <w:lang w:eastAsia="en-AU"/>
        </w:rPr>
        <w:t xml:space="preserve">. For sub-acute aged care, the major reason for admission and care might be maintenance or rehabilitation, but it is usually structured around shorter term </w:t>
      </w:r>
      <w:r w:rsidR="00F253FA">
        <w:rPr>
          <w:lang w:eastAsia="en-AU"/>
        </w:rPr>
        <w:t>‘</w:t>
      </w:r>
      <w:r>
        <w:rPr>
          <w:lang w:eastAsia="en-AU"/>
        </w:rPr>
        <w:t>episodes of care</w:t>
      </w:r>
      <w:r w:rsidR="00F253FA">
        <w:rPr>
          <w:lang w:eastAsia="en-AU"/>
        </w:rPr>
        <w:t>’</w:t>
      </w:r>
      <w:r>
        <w:rPr>
          <w:lang w:eastAsia="en-AU"/>
        </w:rPr>
        <w:t xml:space="preserve">. Once out of the research phase, </w:t>
      </w:r>
      <w:r w:rsidR="00E1159D">
        <w:rPr>
          <w:lang w:eastAsia="en-AU"/>
        </w:rPr>
        <w:t xml:space="preserve">case </w:t>
      </w:r>
      <w:r>
        <w:rPr>
          <w:lang w:eastAsia="en-AU"/>
        </w:rPr>
        <w:t>mix models usually explain around 25-30</w:t>
      </w:r>
      <w:r w:rsidR="00C947E9">
        <w:rPr>
          <w:lang w:eastAsia="en-AU"/>
        </w:rPr>
        <w:t xml:space="preserve"> per cent</w:t>
      </w:r>
      <w:r>
        <w:rPr>
          <w:lang w:eastAsia="en-AU"/>
        </w:rPr>
        <w:t xml:space="preserve"> of the variation in the cost of care (</w:t>
      </w:r>
      <w:r w:rsidR="00E1159D">
        <w:rPr>
          <w:lang w:eastAsia="en-AU"/>
        </w:rPr>
        <w:t>‘</w:t>
      </w:r>
      <w:r>
        <w:rPr>
          <w:lang w:eastAsia="en-AU"/>
        </w:rPr>
        <w:t>a</w:t>
      </w:r>
      <w:r w:rsidR="00E1159D">
        <w:rPr>
          <w:lang w:eastAsia="en-AU"/>
        </w:rPr>
        <w:t>’</w:t>
      </w:r>
      <w:r>
        <w:rPr>
          <w:lang w:eastAsia="en-AU"/>
        </w:rPr>
        <w:t xml:space="preserve"> cost versus </w:t>
      </w:r>
      <w:r w:rsidR="00E1159D">
        <w:rPr>
          <w:lang w:eastAsia="en-AU"/>
        </w:rPr>
        <w:t>‘</w:t>
      </w:r>
      <w:r>
        <w:rPr>
          <w:lang w:eastAsia="en-AU"/>
        </w:rPr>
        <w:t>the</w:t>
      </w:r>
      <w:r w:rsidR="00E1159D">
        <w:rPr>
          <w:lang w:eastAsia="en-AU"/>
        </w:rPr>
        <w:t>’</w:t>
      </w:r>
      <w:r>
        <w:rPr>
          <w:lang w:eastAsia="en-AU"/>
        </w:rPr>
        <w:t xml:space="preserve"> cost) as the care provided basis can vary significantly from person to person. </w:t>
      </w:r>
      <w:r>
        <w:rPr>
          <w:rFonts w:eastAsia="Times New Roman" w:cs="Times New Roman"/>
          <w:color w:val="000000"/>
          <w:szCs w:val="24"/>
        </w:rPr>
        <w:t xml:space="preserve">A </w:t>
      </w:r>
      <w:r w:rsidR="00E1159D">
        <w:rPr>
          <w:rFonts w:eastAsia="Times New Roman" w:cs="Times New Roman"/>
          <w:color w:val="000000"/>
          <w:szCs w:val="24"/>
        </w:rPr>
        <w:t>c</w:t>
      </w:r>
      <w:r w:rsidR="00E1159D" w:rsidRPr="00026DEE">
        <w:rPr>
          <w:rFonts w:eastAsia="Times New Roman" w:cs="Times New Roman"/>
          <w:color w:val="000000"/>
          <w:szCs w:val="24"/>
        </w:rPr>
        <w:t>ase</w:t>
      </w:r>
      <w:r w:rsidR="00210415">
        <w:rPr>
          <w:rFonts w:eastAsia="Times New Roman" w:cs="Times New Roman"/>
          <w:color w:val="000000"/>
          <w:szCs w:val="24"/>
        </w:rPr>
        <w:t xml:space="preserve"> </w:t>
      </w:r>
      <w:r w:rsidRPr="00026DEE">
        <w:rPr>
          <w:rFonts w:eastAsia="Times New Roman" w:cs="Times New Roman"/>
          <w:color w:val="000000"/>
          <w:szCs w:val="24"/>
        </w:rPr>
        <w:t xml:space="preserve">mix measure for </w:t>
      </w:r>
      <w:r>
        <w:rPr>
          <w:rFonts w:eastAsia="Times New Roman" w:cs="Times New Roman"/>
          <w:color w:val="000000"/>
          <w:szCs w:val="24"/>
        </w:rPr>
        <w:t>long term aged care</w:t>
      </w:r>
      <w:r w:rsidRPr="00026DEE">
        <w:rPr>
          <w:rFonts w:eastAsia="Times New Roman" w:cs="Times New Roman"/>
          <w:color w:val="000000"/>
          <w:szCs w:val="24"/>
        </w:rPr>
        <w:t xml:space="preserve"> services </w:t>
      </w:r>
      <w:r>
        <w:rPr>
          <w:rFonts w:eastAsia="Times New Roman" w:cs="Times New Roman"/>
          <w:color w:val="000000"/>
          <w:szCs w:val="24"/>
        </w:rPr>
        <w:t xml:space="preserve">will be </w:t>
      </w:r>
      <w:r w:rsidRPr="00026DEE">
        <w:rPr>
          <w:rFonts w:eastAsia="Times New Roman" w:cs="Times New Roman"/>
          <w:color w:val="000000"/>
          <w:szCs w:val="24"/>
        </w:rPr>
        <w:t xml:space="preserve">intrinsically more complex than that for </w:t>
      </w:r>
      <w:r>
        <w:rPr>
          <w:rFonts w:eastAsia="Times New Roman" w:cs="Times New Roman"/>
          <w:color w:val="000000"/>
          <w:szCs w:val="24"/>
        </w:rPr>
        <w:t>sub-</w:t>
      </w:r>
      <w:r w:rsidRPr="00026DEE">
        <w:rPr>
          <w:rFonts w:eastAsia="Times New Roman" w:cs="Times New Roman"/>
          <w:color w:val="000000"/>
          <w:szCs w:val="24"/>
        </w:rPr>
        <w:t>acute care because it must describe a multidimensional system of health, functional, and social needs evolving over a potentially long</w:t>
      </w:r>
      <w:r w:rsidR="003D2AFA">
        <w:rPr>
          <w:rFonts w:eastAsia="Times New Roman" w:cs="Times New Roman"/>
          <w:color w:val="000000"/>
          <w:szCs w:val="24"/>
        </w:rPr>
        <w:t>-</w:t>
      </w:r>
      <w:r w:rsidRPr="00026DEE">
        <w:rPr>
          <w:rFonts w:eastAsia="Times New Roman" w:cs="Times New Roman"/>
          <w:color w:val="000000"/>
          <w:szCs w:val="24"/>
        </w:rPr>
        <w:t xml:space="preserve">time span. The determinants of service need </w:t>
      </w:r>
      <w:r>
        <w:rPr>
          <w:rFonts w:eastAsia="Times New Roman" w:cs="Times New Roman"/>
          <w:color w:val="000000"/>
          <w:szCs w:val="24"/>
        </w:rPr>
        <w:t>will be</w:t>
      </w:r>
      <w:r w:rsidRPr="00026DEE">
        <w:rPr>
          <w:rFonts w:eastAsia="Times New Roman" w:cs="Times New Roman"/>
          <w:color w:val="000000"/>
          <w:szCs w:val="24"/>
        </w:rPr>
        <w:t xml:space="preserve"> more complex, involving several dimensions (e.g. cognitive and physical) of functional disability as </w:t>
      </w:r>
      <w:r w:rsidRPr="00452EF5">
        <w:rPr>
          <w:rFonts w:eastAsia="Times New Roman" w:cs="Times New Roman"/>
          <w:color w:val="000000"/>
          <w:szCs w:val="24"/>
        </w:rPr>
        <w:t>well as the medical condition of the resident.</w:t>
      </w:r>
    </w:p>
    <w:p w:rsidR="00980F62" w:rsidRDefault="00DB3D73" w:rsidP="00040FBB">
      <w:pPr>
        <w:rPr>
          <w:szCs w:val="24"/>
          <w:lang w:eastAsia="en-AU"/>
        </w:rPr>
      </w:pPr>
      <w:r w:rsidRPr="00BB5190">
        <w:rPr>
          <w:lang w:eastAsia="en-AU"/>
        </w:rPr>
        <w:t>There has been commen</w:t>
      </w:r>
      <w:r w:rsidR="002160E3" w:rsidRPr="00BB5190">
        <w:rPr>
          <w:lang w:eastAsia="en-AU"/>
        </w:rPr>
        <w:t xml:space="preserve">t of recent times from providers </w:t>
      </w:r>
      <w:r w:rsidRPr="00BB5190">
        <w:rPr>
          <w:lang w:eastAsia="en-AU"/>
        </w:rPr>
        <w:t>suggest</w:t>
      </w:r>
      <w:r w:rsidR="002160E3" w:rsidRPr="00BB5190">
        <w:rPr>
          <w:lang w:eastAsia="en-AU"/>
        </w:rPr>
        <w:t>ing</w:t>
      </w:r>
      <w:r w:rsidRPr="00BB5190">
        <w:rPr>
          <w:lang w:eastAsia="en-AU"/>
        </w:rPr>
        <w:t xml:space="preserve"> that reside</w:t>
      </w:r>
      <w:r w:rsidR="002160E3" w:rsidRPr="00BB5190">
        <w:rPr>
          <w:lang w:eastAsia="en-AU"/>
        </w:rPr>
        <w:t>ntial aged care is becoming</w:t>
      </w:r>
      <w:r w:rsidRPr="00BB5190">
        <w:rPr>
          <w:lang w:eastAsia="en-AU"/>
        </w:rPr>
        <w:t xml:space="preserve"> </w:t>
      </w:r>
      <w:r w:rsidR="002160E3" w:rsidRPr="00BB5190">
        <w:rPr>
          <w:lang w:eastAsia="en-AU"/>
        </w:rPr>
        <w:t xml:space="preserve">on average </w:t>
      </w:r>
      <w:r w:rsidR="004E08B8">
        <w:rPr>
          <w:lang w:eastAsia="en-AU"/>
        </w:rPr>
        <w:t>more ‘</w:t>
      </w:r>
      <w:r w:rsidRPr="00BB5190">
        <w:rPr>
          <w:lang w:eastAsia="en-AU"/>
        </w:rPr>
        <w:t xml:space="preserve">sub-acute’ in nature </w:t>
      </w:r>
      <w:r w:rsidR="002160E3" w:rsidRPr="00BB5190">
        <w:rPr>
          <w:lang w:eastAsia="en-AU"/>
        </w:rPr>
        <w:t xml:space="preserve">with much </w:t>
      </w:r>
      <w:r w:rsidRPr="00BB5190">
        <w:rPr>
          <w:lang w:eastAsia="en-AU"/>
        </w:rPr>
        <w:t xml:space="preserve">shorter </w:t>
      </w:r>
      <w:r w:rsidR="002160E3" w:rsidRPr="00BB5190">
        <w:rPr>
          <w:lang w:eastAsia="en-AU"/>
        </w:rPr>
        <w:t xml:space="preserve">length of </w:t>
      </w:r>
      <w:r w:rsidRPr="00BB5190">
        <w:rPr>
          <w:lang w:eastAsia="en-AU"/>
        </w:rPr>
        <w:t xml:space="preserve">stays of </w:t>
      </w:r>
      <w:r w:rsidR="002160E3" w:rsidRPr="00BB5190">
        <w:rPr>
          <w:lang w:eastAsia="en-AU"/>
        </w:rPr>
        <w:t xml:space="preserve">higher acuity </w:t>
      </w:r>
      <w:r w:rsidRPr="00BB5190">
        <w:rPr>
          <w:lang w:eastAsia="en-AU"/>
        </w:rPr>
        <w:t>sicker residents.</w:t>
      </w:r>
      <w:r w:rsidR="007A576E">
        <w:rPr>
          <w:lang w:eastAsia="en-AU"/>
        </w:rPr>
        <w:t xml:space="preserve"> </w:t>
      </w:r>
      <w:r w:rsidR="002160E3" w:rsidRPr="00BB5190">
        <w:rPr>
          <w:lang w:eastAsia="en-AU"/>
        </w:rPr>
        <w:t>This has led to some discussion of the introduction of a higher initial payment and necessarily lower ongoing payment</w:t>
      </w:r>
      <w:r w:rsidR="00C852B3" w:rsidRPr="00BB5190">
        <w:rPr>
          <w:lang w:eastAsia="en-AU"/>
        </w:rPr>
        <w:t>,</w:t>
      </w:r>
      <w:r w:rsidR="002160E3" w:rsidRPr="00BB5190">
        <w:rPr>
          <w:lang w:eastAsia="en-AU"/>
        </w:rPr>
        <w:t xml:space="preserve"> once this initial period has expired. There are </w:t>
      </w:r>
      <w:r w:rsidR="00C852B3" w:rsidRPr="00BB5190">
        <w:rPr>
          <w:lang w:eastAsia="en-AU"/>
        </w:rPr>
        <w:t>at least three</w:t>
      </w:r>
      <w:r w:rsidR="002160E3" w:rsidRPr="00BB5190">
        <w:rPr>
          <w:lang w:eastAsia="en-AU"/>
        </w:rPr>
        <w:t xml:space="preserve"> issues to consider in this regard.</w:t>
      </w:r>
      <w:r w:rsidR="007A576E">
        <w:rPr>
          <w:lang w:eastAsia="en-AU"/>
        </w:rPr>
        <w:t xml:space="preserve"> </w:t>
      </w:r>
      <w:r w:rsidR="002160E3" w:rsidRPr="00BB5190">
        <w:rPr>
          <w:lang w:eastAsia="en-AU"/>
        </w:rPr>
        <w:t>Firstly</w:t>
      </w:r>
      <w:r w:rsidR="00C852B3" w:rsidRPr="00BB5190">
        <w:rPr>
          <w:lang w:eastAsia="en-AU"/>
        </w:rPr>
        <w:t>,</w:t>
      </w:r>
      <w:r w:rsidR="002160E3" w:rsidRPr="00BB5190">
        <w:rPr>
          <w:lang w:eastAsia="en-AU"/>
        </w:rPr>
        <w:t xml:space="preserve"> building a higher initial payment into the system, which mimics a hospital or sub-acute funding model</w:t>
      </w:r>
      <w:r w:rsidR="00C852B3" w:rsidRPr="00BB5190">
        <w:rPr>
          <w:lang w:eastAsia="en-AU"/>
        </w:rPr>
        <w:t xml:space="preserve"> which encourages faster churn</w:t>
      </w:r>
      <w:r w:rsidR="002160E3" w:rsidRPr="00BB5190">
        <w:rPr>
          <w:lang w:eastAsia="en-AU"/>
        </w:rPr>
        <w:t>, will disadvantage facilities with longer stay profiles</w:t>
      </w:r>
      <w:r w:rsidR="00C852B3" w:rsidRPr="00BB5190">
        <w:rPr>
          <w:lang w:eastAsia="en-AU"/>
        </w:rPr>
        <w:t>.</w:t>
      </w:r>
      <w:r w:rsidR="007A576E">
        <w:rPr>
          <w:lang w:eastAsia="en-AU"/>
        </w:rPr>
        <w:t xml:space="preserve"> </w:t>
      </w:r>
      <w:r w:rsidR="00C852B3" w:rsidRPr="00BB5190">
        <w:rPr>
          <w:lang w:eastAsia="en-AU"/>
        </w:rPr>
        <w:t>Secondly, it may introduce an unpredictable funding environment for providers and even government as length of stay will be an important factor operating on income for providers and expenditure for government. Thirdly, t</w:t>
      </w:r>
      <w:r w:rsidR="00557FD2" w:rsidRPr="00BB5190">
        <w:rPr>
          <w:lang w:eastAsia="en-AU"/>
        </w:rPr>
        <w:t xml:space="preserve">here is no evidence to suggest that there has been a system wide significant shift with aged care residents becoming more </w:t>
      </w:r>
      <w:r w:rsidR="00E1159D" w:rsidRPr="00BB5190">
        <w:rPr>
          <w:lang w:eastAsia="en-AU"/>
        </w:rPr>
        <w:t>‘</w:t>
      </w:r>
      <w:r w:rsidR="00557FD2" w:rsidRPr="00BB5190">
        <w:rPr>
          <w:lang w:eastAsia="en-AU"/>
        </w:rPr>
        <w:t>sub-acute</w:t>
      </w:r>
      <w:r w:rsidR="00E1159D" w:rsidRPr="00BB5190">
        <w:rPr>
          <w:lang w:eastAsia="en-AU"/>
        </w:rPr>
        <w:t>’</w:t>
      </w:r>
      <w:r w:rsidR="00557FD2" w:rsidRPr="00BB5190">
        <w:rPr>
          <w:lang w:eastAsia="en-AU"/>
        </w:rPr>
        <w:t xml:space="preserve"> type with </w:t>
      </w:r>
      <w:r w:rsidR="00C852B3" w:rsidRPr="00BB5190">
        <w:rPr>
          <w:lang w:eastAsia="en-AU"/>
        </w:rPr>
        <w:t xml:space="preserve">much </w:t>
      </w:r>
      <w:r w:rsidR="00557FD2" w:rsidRPr="00BB5190">
        <w:rPr>
          <w:lang w:eastAsia="en-AU"/>
        </w:rPr>
        <w:t xml:space="preserve">shorter lengths of stay or that they are sicker and older on entry to care. </w:t>
      </w:r>
      <w:r w:rsidR="00557FD2" w:rsidRPr="00BB5190">
        <w:rPr>
          <w:szCs w:val="24"/>
          <w:lang w:eastAsia="en-AU"/>
        </w:rPr>
        <w:t xml:space="preserve">The characteristics of residents in aged care homes in Australia has changed only slightly since the introduction of the ACFI in 2008 and, while the measurement model and some aspects of the design have needed updating in the </w:t>
      </w:r>
      <w:r w:rsidR="00557FD2" w:rsidRPr="00BB5190">
        <w:rPr>
          <w:szCs w:val="24"/>
          <w:lang w:eastAsia="en-AU"/>
        </w:rPr>
        <w:lastRenderedPageBreak/>
        <w:t xml:space="preserve">R-ACFI, its basic design remains </w:t>
      </w:r>
      <w:r w:rsidR="00E1159D" w:rsidRPr="00BB5190">
        <w:rPr>
          <w:szCs w:val="24"/>
          <w:lang w:eastAsia="en-AU"/>
        </w:rPr>
        <w:t>‘</w:t>
      </w:r>
      <w:r w:rsidR="00557FD2" w:rsidRPr="00BB5190">
        <w:rPr>
          <w:szCs w:val="24"/>
          <w:lang w:eastAsia="en-AU"/>
        </w:rPr>
        <w:t>fit for purpose</w:t>
      </w:r>
      <w:r w:rsidR="00E1159D" w:rsidRPr="00BB5190">
        <w:rPr>
          <w:szCs w:val="24"/>
          <w:lang w:eastAsia="en-AU"/>
        </w:rPr>
        <w:t>’</w:t>
      </w:r>
      <w:r w:rsidR="00085C04" w:rsidRPr="00BB5190">
        <w:rPr>
          <w:szCs w:val="24"/>
          <w:lang w:eastAsia="en-AU"/>
        </w:rPr>
        <w:t xml:space="preserve"> as the aged care population has undergone only minor changes since its introduction.</w:t>
      </w:r>
    </w:p>
    <w:p w:rsidR="00557FD2" w:rsidRPr="00BB5190" w:rsidRDefault="00557FD2" w:rsidP="00040FBB">
      <w:pPr>
        <w:rPr>
          <w:szCs w:val="24"/>
          <w:lang w:eastAsia="en-AU"/>
        </w:rPr>
      </w:pPr>
      <w:r w:rsidRPr="00BB5190">
        <w:rPr>
          <w:szCs w:val="24"/>
          <w:lang w:eastAsia="en-AU"/>
        </w:rPr>
        <w:t>When using reliable measures, it can be shown that:</w:t>
      </w:r>
    </w:p>
    <w:p w:rsidR="00980F62" w:rsidRDefault="004E08B8" w:rsidP="00F02312">
      <w:pPr>
        <w:pStyle w:val="ListParagraph"/>
        <w:numPr>
          <w:ilvl w:val="0"/>
          <w:numId w:val="88"/>
        </w:numPr>
        <w:rPr>
          <w:szCs w:val="24"/>
          <w:lang w:eastAsia="en-AU"/>
        </w:rPr>
      </w:pPr>
      <w:r>
        <w:rPr>
          <w:lang w:eastAsia="en-AU"/>
        </w:rPr>
        <w:t>L</w:t>
      </w:r>
      <w:r w:rsidRPr="009562E2">
        <w:rPr>
          <w:lang w:eastAsia="en-AU"/>
        </w:rPr>
        <w:t xml:space="preserve">ength of stay </w:t>
      </w:r>
      <w:r>
        <w:rPr>
          <w:lang w:eastAsia="en-AU"/>
        </w:rPr>
        <w:t xml:space="preserve">(LOS) </w:t>
      </w:r>
      <w:r w:rsidRPr="009562E2">
        <w:rPr>
          <w:lang w:eastAsia="en-AU"/>
        </w:rPr>
        <w:t xml:space="preserve">has been </w:t>
      </w:r>
      <w:r>
        <w:rPr>
          <w:lang w:eastAsia="en-AU"/>
        </w:rPr>
        <w:t>increasing</w:t>
      </w:r>
      <w:r w:rsidRPr="009562E2">
        <w:rPr>
          <w:lang w:eastAsia="en-AU"/>
        </w:rPr>
        <w:t xml:space="preserve"> over the past 15 years </w:t>
      </w:r>
      <w:r>
        <w:rPr>
          <w:lang w:eastAsia="en-AU"/>
        </w:rPr>
        <w:t>as indicated by AIHW data analysis (</w:t>
      </w:r>
      <w:hyperlink w:anchor="Fig0301" w:history="1">
        <w:r w:rsidRPr="00BE2560">
          <w:rPr>
            <w:rStyle w:val="Hyperlink"/>
            <w:lang w:eastAsia="en-AU"/>
          </w:rPr>
          <w:t>Figure 3.1</w:t>
        </w:r>
      </w:hyperlink>
      <w:r>
        <w:rPr>
          <w:lang w:eastAsia="en-AU"/>
        </w:rPr>
        <w:t xml:space="preserve">). </w:t>
      </w:r>
      <w:r w:rsidRPr="00E1159D">
        <w:rPr>
          <w:szCs w:val="24"/>
          <w:lang w:eastAsia="en-AU"/>
        </w:rPr>
        <w:t xml:space="preserve">The average </w:t>
      </w:r>
      <w:r>
        <w:rPr>
          <w:szCs w:val="24"/>
          <w:lang w:eastAsia="en-AU"/>
        </w:rPr>
        <w:t>length</w:t>
      </w:r>
      <w:r w:rsidRPr="00E1159D">
        <w:rPr>
          <w:szCs w:val="24"/>
          <w:lang w:eastAsia="en-AU"/>
        </w:rPr>
        <w:t xml:space="preserve"> of stay for all separations has increased from 31.5 months in 2000 to 34.8 months in 2015.</w:t>
      </w:r>
    </w:p>
    <w:p w:rsidR="00980F62" w:rsidRDefault="004E08B8" w:rsidP="00F02312">
      <w:pPr>
        <w:pStyle w:val="ListParagraph"/>
        <w:numPr>
          <w:ilvl w:val="0"/>
          <w:numId w:val="88"/>
        </w:numPr>
        <w:rPr>
          <w:szCs w:val="24"/>
          <w:lang w:eastAsia="en-AU"/>
        </w:rPr>
      </w:pPr>
      <w:r w:rsidRPr="00E1159D">
        <w:rPr>
          <w:szCs w:val="24"/>
          <w:lang w:eastAsia="en-AU"/>
        </w:rPr>
        <w:t xml:space="preserve">There has been a small increase in the age at entry to an aged care </w:t>
      </w:r>
      <w:r>
        <w:rPr>
          <w:szCs w:val="24"/>
          <w:lang w:eastAsia="en-AU"/>
        </w:rPr>
        <w:t>facility</w:t>
      </w:r>
      <w:r w:rsidRPr="00E1159D">
        <w:rPr>
          <w:szCs w:val="24"/>
          <w:lang w:eastAsia="en-AU"/>
        </w:rPr>
        <w:t xml:space="preserve"> in the last 6</w:t>
      </w:r>
      <w:r w:rsidR="00C95AEA">
        <w:rPr>
          <w:szCs w:val="24"/>
          <w:lang w:eastAsia="en-AU"/>
        </w:rPr>
        <w:t> </w:t>
      </w:r>
      <w:r w:rsidRPr="00E1159D">
        <w:rPr>
          <w:szCs w:val="24"/>
          <w:lang w:eastAsia="en-AU"/>
        </w:rPr>
        <w:t xml:space="preserve">years (83.4 years in 2008; 83.9 years in 2014 </w:t>
      </w:r>
      <w:r w:rsidRPr="007C1436">
        <w:rPr>
          <w:szCs w:val="24"/>
          <w:lang w:eastAsia="en-AU"/>
        </w:rPr>
        <w:t xml:space="preserve">- </w:t>
      </w:r>
      <w:hyperlink w:anchor="Fig0302" w:history="1">
        <w:r w:rsidRPr="00CA7C3C">
          <w:rPr>
            <w:rStyle w:val="Hyperlink"/>
            <w:szCs w:val="24"/>
            <w:lang w:eastAsia="en-AU"/>
          </w:rPr>
          <w:t>Figure 3.2</w:t>
        </w:r>
      </w:hyperlink>
      <w:r w:rsidRPr="007C1436">
        <w:rPr>
          <w:szCs w:val="24"/>
          <w:lang w:eastAsia="en-AU"/>
        </w:rPr>
        <w:t>).</w:t>
      </w:r>
    </w:p>
    <w:p w:rsidR="00980F62" w:rsidRDefault="00557FD2" w:rsidP="00F02312">
      <w:pPr>
        <w:pStyle w:val="ListParagraph"/>
        <w:numPr>
          <w:ilvl w:val="0"/>
          <w:numId w:val="88"/>
        </w:numPr>
        <w:rPr>
          <w:szCs w:val="24"/>
          <w:lang w:eastAsia="en-AU"/>
        </w:rPr>
      </w:pPr>
      <w:r w:rsidRPr="007C1436">
        <w:rPr>
          <w:szCs w:val="24"/>
          <w:lang w:eastAsia="en-AU"/>
        </w:rPr>
        <w:t xml:space="preserve">The age of residents in care has increased slightly (84.5 years to 85 years – </w:t>
      </w:r>
      <w:hyperlink w:anchor="Fig0302" w:history="1">
        <w:r w:rsidRPr="00CA7C3C">
          <w:rPr>
            <w:rStyle w:val="Hyperlink"/>
            <w:szCs w:val="24"/>
            <w:lang w:eastAsia="en-AU"/>
          </w:rPr>
          <w:t>Figure 3.2</w:t>
        </w:r>
      </w:hyperlink>
      <w:r w:rsidRPr="007C1436">
        <w:rPr>
          <w:szCs w:val="24"/>
          <w:lang w:eastAsia="en-AU"/>
        </w:rPr>
        <w:t xml:space="preserve">) indicating that the residents admitted are not dying at an increased rate because they are </w:t>
      </w:r>
      <w:r w:rsidR="00E1159D" w:rsidRPr="007C1436">
        <w:rPr>
          <w:szCs w:val="24"/>
          <w:lang w:eastAsia="en-AU"/>
        </w:rPr>
        <w:t>‘</w:t>
      </w:r>
      <w:r w:rsidRPr="007C1436">
        <w:rPr>
          <w:szCs w:val="24"/>
          <w:lang w:eastAsia="en-AU"/>
        </w:rPr>
        <w:t>sicker</w:t>
      </w:r>
      <w:r w:rsidR="00E1159D" w:rsidRPr="00D91BC3">
        <w:rPr>
          <w:szCs w:val="24"/>
          <w:lang w:eastAsia="en-AU"/>
        </w:rPr>
        <w:t>’</w:t>
      </w:r>
      <w:r w:rsidRPr="00681F3D">
        <w:rPr>
          <w:szCs w:val="24"/>
          <w:lang w:eastAsia="en-AU"/>
        </w:rPr>
        <w:t>.</w:t>
      </w:r>
    </w:p>
    <w:p w:rsidR="00980F62" w:rsidRDefault="00473246" w:rsidP="00F02312">
      <w:pPr>
        <w:pStyle w:val="ListParagraph"/>
        <w:numPr>
          <w:ilvl w:val="0"/>
          <w:numId w:val="88"/>
        </w:numPr>
        <w:rPr>
          <w:lang w:eastAsia="en-AU"/>
        </w:rPr>
      </w:pPr>
      <w:hyperlink w:anchor="Fig0303" w:history="1">
        <w:r w:rsidR="00557FD2" w:rsidRPr="00CA7C3C">
          <w:rPr>
            <w:rStyle w:val="Hyperlink"/>
            <w:lang w:eastAsia="en-AU"/>
          </w:rPr>
          <w:t>Figure 3.3</w:t>
        </w:r>
      </w:hyperlink>
      <w:r w:rsidR="00557FD2" w:rsidRPr="00772139">
        <w:rPr>
          <w:lang w:eastAsia="en-AU"/>
        </w:rPr>
        <w:t xml:space="preserve"> shows the distribution of lengths of stay for separations in </w:t>
      </w:r>
      <w:r w:rsidR="00557FD2">
        <w:rPr>
          <w:lang w:eastAsia="en-AU"/>
        </w:rPr>
        <w:t>20</w:t>
      </w:r>
      <w:r w:rsidR="00557FD2" w:rsidRPr="00772139">
        <w:rPr>
          <w:lang w:eastAsia="en-AU"/>
        </w:rPr>
        <w:t>07-08 and</w:t>
      </w:r>
      <w:r w:rsidR="004419CB">
        <w:rPr>
          <w:lang w:eastAsia="en-AU"/>
        </w:rPr>
        <w:br/>
      </w:r>
      <w:r w:rsidR="00557FD2">
        <w:rPr>
          <w:lang w:eastAsia="en-AU"/>
        </w:rPr>
        <w:t>20</w:t>
      </w:r>
      <w:r w:rsidR="00557FD2" w:rsidRPr="00772139">
        <w:rPr>
          <w:lang w:eastAsia="en-AU"/>
        </w:rPr>
        <w:t>14-15, from AIHW 2009 and 2016 data. The proportions at the two shortest durations decreased, and those at all the higher durations have increased. The proportion leaving in less than 2 years has also dropped from 53.3</w:t>
      </w:r>
      <w:r w:rsidR="002965F2">
        <w:rPr>
          <w:lang w:eastAsia="en-AU"/>
        </w:rPr>
        <w:t xml:space="preserve"> </w:t>
      </w:r>
      <w:r w:rsidR="00557FD2" w:rsidRPr="00772139">
        <w:rPr>
          <w:lang w:eastAsia="en-AU"/>
        </w:rPr>
        <w:t>to 50.9</w:t>
      </w:r>
      <w:r w:rsidR="00C947E9">
        <w:rPr>
          <w:lang w:eastAsia="en-AU"/>
        </w:rPr>
        <w:t xml:space="preserve"> per cent</w:t>
      </w:r>
      <w:r w:rsidR="00557FD2" w:rsidRPr="00772139">
        <w:rPr>
          <w:lang w:eastAsia="en-AU"/>
        </w:rPr>
        <w:t>. The proportion of residents with shorter lengths of stay has therefo</w:t>
      </w:r>
      <w:r w:rsidR="00DB3D73">
        <w:rPr>
          <w:lang w:eastAsia="en-AU"/>
        </w:rPr>
        <w:t xml:space="preserve">re </w:t>
      </w:r>
      <w:r w:rsidR="00557FD2" w:rsidRPr="00772139">
        <w:rPr>
          <w:lang w:eastAsia="en-AU"/>
        </w:rPr>
        <w:t>been decreasing</w:t>
      </w:r>
      <w:r w:rsidR="00557FD2">
        <w:rPr>
          <w:lang w:eastAsia="en-AU"/>
        </w:rPr>
        <w:t>.</w:t>
      </w:r>
    </w:p>
    <w:p w:rsidR="00557FD2" w:rsidRPr="00CF341A" w:rsidRDefault="004E08B8" w:rsidP="00545873">
      <w:pPr>
        <w:rPr>
          <w:lang w:eastAsia="en-AU"/>
        </w:rPr>
      </w:pPr>
      <w:r>
        <w:rPr>
          <w:lang w:eastAsia="en-AU"/>
        </w:rPr>
        <w:t xml:space="preserve">While it is possible </w:t>
      </w:r>
      <w:r w:rsidR="00557FD2">
        <w:rPr>
          <w:lang w:eastAsia="en-AU"/>
        </w:rPr>
        <w:t xml:space="preserve">different </w:t>
      </w:r>
      <w:r w:rsidR="00557FD2" w:rsidRPr="00CF341A">
        <w:rPr>
          <w:lang w:eastAsia="en-AU"/>
        </w:rPr>
        <w:t xml:space="preserve">trends </w:t>
      </w:r>
      <w:r w:rsidR="00E1159D">
        <w:rPr>
          <w:lang w:eastAsia="en-AU"/>
        </w:rPr>
        <w:t>may emerge in the future</w:t>
      </w:r>
      <w:r w:rsidR="00557FD2" w:rsidRPr="00CF341A">
        <w:rPr>
          <w:lang w:eastAsia="en-AU"/>
        </w:rPr>
        <w:t xml:space="preserve">, the current evidence indicates that residents are </w:t>
      </w:r>
      <w:r w:rsidR="00557FD2">
        <w:rPr>
          <w:lang w:eastAsia="en-AU"/>
        </w:rPr>
        <w:t xml:space="preserve">not </w:t>
      </w:r>
      <w:r w:rsidR="00557FD2" w:rsidRPr="00CF341A">
        <w:rPr>
          <w:lang w:eastAsia="en-AU"/>
        </w:rPr>
        <w:t xml:space="preserve">much older, sicker or having </w:t>
      </w:r>
      <w:r>
        <w:rPr>
          <w:lang w:eastAsia="en-AU"/>
        </w:rPr>
        <w:t xml:space="preserve">significantly </w:t>
      </w:r>
      <w:r w:rsidR="00557FD2" w:rsidRPr="00CF341A">
        <w:rPr>
          <w:lang w:eastAsia="en-AU"/>
        </w:rPr>
        <w:t>shorter lengths of stay than was the case 10 years ago. The residential aged care population as a whole (there may be local effects) is not dissimilar to the population that the ACFI was calibrated on in 2008 and it is unlikely to change dramatically over the next 10 years</w:t>
      </w:r>
      <w:r w:rsidR="00BB5190">
        <w:rPr>
          <w:lang w:eastAsia="en-AU"/>
        </w:rPr>
        <w:t xml:space="preserve"> unless there is a significant change in government policy.</w:t>
      </w:r>
    </w:p>
    <w:p w:rsidR="00291A6C" w:rsidRDefault="00291A6C" w:rsidP="00291A6C">
      <w:pPr>
        <w:pStyle w:val="Caption"/>
        <w:keepNext/>
      </w:pPr>
      <w:bookmarkStart w:id="161" w:name="_Toc495415961"/>
      <w:r>
        <w:t>Figure 3.</w:t>
      </w:r>
      <w:r w:rsidR="009A3F5A">
        <w:fldChar w:fldCharType="begin"/>
      </w:r>
      <w:r w:rsidR="009A3F5A">
        <w:instrText xml:space="preserve"> SEQ Figure_3. \* ARABIC </w:instrText>
      </w:r>
      <w:r w:rsidR="009A3F5A">
        <w:fldChar w:fldCharType="separate"/>
      </w:r>
      <w:r w:rsidR="00856E49">
        <w:rPr>
          <w:noProof/>
        </w:rPr>
        <w:t>1</w:t>
      </w:r>
      <w:r w:rsidR="009A3F5A">
        <w:rPr>
          <w:noProof/>
        </w:rPr>
        <w:fldChar w:fldCharType="end"/>
      </w:r>
      <w:r>
        <w:t xml:space="preserve">: </w:t>
      </w:r>
      <w:r w:rsidRPr="00291A6C">
        <w:t>Average months of stay for all separations</w:t>
      </w:r>
      <w:bookmarkEnd w:id="161"/>
    </w:p>
    <w:p w:rsidR="00557FD2" w:rsidRDefault="0027557C" w:rsidP="00527184">
      <w:pPr>
        <w:spacing w:line="240" w:lineRule="auto"/>
        <w:rPr>
          <w:lang w:eastAsia="en-AU"/>
        </w:rPr>
      </w:pPr>
      <w:r>
        <w:rPr>
          <w:noProof/>
          <w:lang w:eastAsia="en-AU"/>
        </w:rPr>
        <w:drawing>
          <wp:inline distT="0" distB="0" distL="0" distR="0" wp14:anchorId="605848AD" wp14:editId="35E90910">
            <wp:extent cx="5072380" cy="3560445"/>
            <wp:effectExtent l="0" t="0" r="0" b="1905"/>
            <wp:docPr id="27" name="Picture 27" descr="Figure 3.1 is a line graph illustrating the average months of stay for residential aged care residents from 2000 to 2015, compiled from data from the Australian Institute of Health and Welfare, as summaris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2380" cy="3560445"/>
                    </a:xfrm>
                    <a:prstGeom prst="rect">
                      <a:avLst/>
                    </a:prstGeom>
                    <a:noFill/>
                  </pic:spPr>
                </pic:pic>
              </a:graphicData>
            </a:graphic>
          </wp:inline>
        </w:drawing>
      </w:r>
    </w:p>
    <w:p w:rsidR="00557FD2" w:rsidRPr="00772139" w:rsidRDefault="00557FD2" w:rsidP="00557FD2">
      <w:pPr>
        <w:spacing w:after="0" w:line="240" w:lineRule="auto"/>
        <w:rPr>
          <w:sz w:val="20"/>
          <w:szCs w:val="20"/>
          <w:lang w:eastAsia="en-AU"/>
        </w:rPr>
      </w:pPr>
      <w:r w:rsidRPr="00772139">
        <w:rPr>
          <w:rFonts w:cstheme="minorHAnsi"/>
          <w:sz w:val="20"/>
          <w:szCs w:val="20"/>
          <w:lang w:eastAsia="en-AU"/>
        </w:rPr>
        <w:t>L</w:t>
      </w:r>
      <w:r w:rsidR="007971CF">
        <w:rPr>
          <w:rFonts w:cstheme="minorHAnsi"/>
          <w:sz w:val="20"/>
          <w:szCs w:val="20"/>
          <w:lang w:eastAsia="en-AU"/>
        </w:rPr>
        <w:t>OS</w:t>
      </w:r>
      <w:r w:rsidRPr="00772139">
        <w:rPr>
          <w:rFonts w:cstheme="minorHAnsi"/>
          <w:sz w:val="20"/>
          <w:szCs w:val="20"/>
          <w:lang w:eastAsia="en-AU"/>
        </w:rPr>
        <w:t xml:space="preserve"> data compiled by AACS from range of publications by AIHW.</w:t>
      </w:r>
    </w:p>
    <w:p w:rsidR="00291A6C" w:rsidRDefault="00291A6C" w:rsidP="00291A6C">
      <w:pPr>
        <w:pStyle w:val="Caption"/>
        <w:keepNext/>
      </w:pPr>
      <w:bookmarkStart w:id="162" w:name="_Toc495415962"/>
      <w:r>
        <w:lastRenderedPageBreak/>
        <w:t>Figure 3.</w:t>
      </w:r>
      <w:r w:rsidR="009A3F5A">
        <w:fldChar w:fldCharType="begin"/>
      </w:r>
      <w:r w:rsidR="009A3F5A">
        <w:instrText xml:space="preserve"> SEQ Figure_3. \* ARABIC </w:instrText>
      </w:r>
      <w:r w:rsidR="009A3F5A">
        <w:fldChar w:fldCharType="separate"/>
      </w:r>
      <w:r w:rsidR="00856E49">
        <w:rPr>
          <w:noProof/>
        </w:rPr>
        <w:t>2</w:t>
      </w:r>
      <w:r w:rsidR="009A3F5A">
        <w:rPr>
          <w:noProof/>
        </w:rPr>
        <w:fldChar w:fldCharType="end"/>
      </w:r>
      <w:r>
        <w:t xml:space="preserve">: </w:t>
      </w:r>
      <w:r w:rsidRPr="00291A6C">
        <w:t>Average ages for admissions &amp; residents</w:t>
      </w:r>
      <w:bookmarkEnd w:id="162"/>
    </w:p>
    <w:p w:rsidR="0027557C" w:rsidRDefault="0027557C" w:rsidP="00557FD2">
      <w:pPr>
        <w:rPr>
          <w:lang w:eastAsia="en-AU"/>
        </w:rPr>
      </w:pPr>
      <w:r>
        <w:rPr>
          <w:noProof/>
          <w:lang w:eastAsia="en-AU"/>
        </w:rPr>
        <w:drawing>
          <wp:inline distT="0" distB="0" distL="0" distR="0" wp14:anchorId="480D7A16" wp14:editId="48117E93">
            <wp:extent cx="5114925" cy="3322320"/>
            <wp:effectExtent l="0" t="0" r="9525" b="0"/>
            <wp:docPr id="29" name="Picture 29" descr="Figure 3.2 is a line graph illustrating a comparison of the average age of people admitted into residential aged care and people already in care from 2009 to 2014-2015, as per the Australian Institute of Health and Welfare data, as summaris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4925" cy="3322320"/>
                    </a:xfrm>
                    <a:prstGeom prst="rect">
                      <a:avLst/>
                    </a:prstGeom>
                    <a:noFill/>
                  </pic:spPr>
                </pic:pic>
              </a:graphicData>
            </a:graphic>
          </wp:inline>
        </w:drawing>
      </w:r>
    </w:p>
    <w:p w:rsidR="00557FD2" w:rsidRDefault="00557FD2" w:rsidP="00557FD2">
      <w:pPr>
        <w:rPr>
          <w:rFonts w:ascii="Calibri" w:eastAsia="Times New Roman" w:hAnsi="Calibri" w:cs="Times New Roman"/>
          <w:color w:val="000000"/>
          <w:sz w:val="20"/>
          <w:szCs w:val="20"/>
          <w:lang w:val="en-US"/>
        </w:rPr>
      </w:pPr>
      <w:r w:rsidRPr="00702C36">
        <w:rPr>
          <w:rFonts w:ascii="Calibri" w:eastAsia="Times New Roman" w:hAnsi="Calibri" w:cs="Times New Roman"/>
          <w:color w:val="000000"/>
          <w:sz w:val="20"/>
          <w:szCs w:val="20"/>
          <w:lang w:val="en-US"/>
        </w:rPr>
        <w:t xml:space="preserve">Admission date up to </w:t>
      </w:r>
      <w:r>
        <w:rPr>
          <w:rFonts w:ascii="Calibri" w:eastAsia="Times New Roman" w:hAnsi="Calibri" w:cs="Times New Roman"/>
          <w:color w:val="000000"/>
          <w:sz w:val="20"/>
          <w:szCs w:val="20"/>
          <w:lang w:val="en-US"/>
        </w:rPr>
        <w:t>20</w:t>
      </w:r>
      <w:r w:rsidRPr="00702C36">
        <w:rPr>
          <w:rFonts w:ascii="Calibri" w:eastAsia="Times New Roman" w:hAnsi="Calibri" w:cs="Times New Roman"/>
          <w:color w:val="000000"/>
          <w:sz w:val="20"/>
          <w:szCs w:val="20"/>
          <w:lang w:val="en-US"/>
        </w:rPr>
        <w:t xml:space="preserve">13-14 are for all admissions. Published admission data up to </w:t>
      </w:r>
      <w:r>
        <w:rPr>
          <w:rFonts w:ascii="Calibri" w:eastAsia="Times New Roman" w:hAnsi="Calibri" w:cs="Times New Roman"/>
          <w:color w:val="000000"/>
          <w:sz w:val="20"/>
          <w:szCs w:val="20"/>
          <w:lang w:val="en-US"/>
        </w:rPr>
        <w:t>20</w:t>
      </w:r>
      <w:r w:rsidRPr="00702C36">
        <w:rPr>
          <w:rFonts w:ascii="Calibri" w:eastAsia="Times New Roman" w:hAnsi="Calibri" w:cs="Times New Roman"/>
          <w:color w:val="000000"/>
          <w:sz w:val="20"/>
          <w:szCs w:val="20"/>
          <w:lang w:val="en-US"/>
        </w:rPr>
        <w:t xml:space="preserve">12-13, and resident data for </w:t>
      </w:r>
      <w:r>
        <w:rPr>
          <w:rFonts w:ascii="Calibri" w:eastAsia="Times New Roman" w:hAnsi="Calibri" w:cs="Times New Roman"/>
          <w:color w:val="000000"/>
          <w:sz w:val="20"/>
          <w:szCs w:val="20"/>
          <w:lang w:val="en-US"/>
        </w:rPr>
        <w:t>20</w:t>
      </w:r>
      <w:r w:rsidRPr="00702C36">
        <w:rPr>
          <w:rFonts w:ascii="Calibri" w:eastAsia="Times New Roman" w:hAnsi="Calibri" w:cs="Times New Roman"/>
          <w:color w:val="000000"/>
          <w:sz w:val="20"/>
          <w:szCs w:val="20"/>
          <w:lang w:val="en-US"/>
        </w:rPr>
        <w:t>08-09, were incompletely</w:t>
      </w:r>
      <w:r w:rsidRPr="00702C36">
        <w:rPr>
          <w:sz w:val="20"/>
          <w:szCs w:val="20"/>
          <w:lang w:eastAsia="en-AU"/>
        </w:rPr>
        <w:t xml:space="preserve"> </w:t>
      </w:r>
      <w:r w:rsidRPr="00702C36">
        <w:rPr>
          <w:rFonts w:ascii="Calibri" w:eastAsia="Times New Roman" w:hAnsi="Calibri" w:cs="Times New Roman"/>
          <w:color w:val="000000"/>
          <w:sz w:val="20"/>
          <w:szCs w:val="20"/>
          <w:lang w:val="en-US"/>
        </w:rPr>
        <w:t>subdivided by ages, so the age assumptions of the youngest and oldest groups were</w:t>
      </w:r>
      <w:r w:rsidRPr="00702C36">
        <w:rPr>
          <w:sz w:val="20"/>
          <w:szCs w:val="20"/>
          <w:lang w:eastAsia="en-AU"/>
        </w:rPr>
        <w:t xml:space="preserve"> </w:t>
      </w:r>
      <w:r w:rsidRPr="00702C36">
        <w:rPr>
          <w:rFonts w:ascii="Calibri" w:eastAsia="Times New Roman" w:hAnsi="Calibri" w:cs="Times New Roman"/>
          <w:color w:val="000000"/>
          <w:sz w:val="20"/>
          <w:szCs w:val="20"/>
          <w:lang w:val="en-US"/>
        </w:rPr>
        <w:t xml:space="preserve">based on those derived from </w:t>
      </w:r>
      <w:r>
        <w:rPr>
          <w:rFonts w:ascii="Calibri" w:eastAsia="Times New Roman" w:hAnsi="Calibri" w:cs="Times New Roman"/>
          <w:color w:val="000000"/>
          <w:sz w:val="20"/>
          <w:szCs w:val="20"/>
          <w:lang w:val="en-US"/>
        </w:rPr>
        <w:t>20</w:t>
      </w:r>
      <w:r w:rsidRPr="00702C36">
        <w:rPr>
          <w:rFonts w:ascii="Calibri" w:eastAsia="Times New Roman" w:hAnsi="Calibri" w:cs="Times New Roman"/>
          <w:color w:val="000000"/>
          <w:sz w:val="20"/>
          <w:szCs w:val="20"/>
          <w:lang w:val="en-US"/>
        </w:rPr>
        <w:t xml:space="preserve">13-14 for admissions, and from </w:t>
      </w:r>
      <w:r>
        <w:rPr>
          <w:rFonts w:ascii="Calibri" w:eastAsia="Times New Roman" w:hAnsi="Calibri" w:cs="Times New Roman"/>
          <w:color w:val="000000"/>
          <w:sz w:val="20"/>
          <w:szCs w:val="20"/>
          <w:lang w:val="en-US"/>
        </w:rPr>
        <w:t>20</w:t>
      </w:r>
      <w:r w:rsidRPr="00702C36">
        <w:rPr>
          <w:rFonts w:ascii="Calibri" w:eastAsia="Times New Roman" w:hAnsi="Calibri" w:cs="Times New Roman"/>
          <w:color w:val="000000"/>
          <w:sz w:val="20"/>
          <w:szCs w:val="20"/>
          <w:lang w:val="en-US"/>
        </w:rPr>
        <w:t>09-10 for residents. Where full subdivisions by age were available, the average age for each group was</w:t>
      </w:r>
      <w:r w:rsidRPr="00702C36">
        <w:rPr>
          <w:sz w:val="20"/>
          <w:szCs w:val="20"/>
          <w:lang w:eastAsia="en-AU"/>
        </w:rPr>
        <w:t xml:space="preserve"> </w:t>
      </w:r>
      <w:r w:rsidRPr="00702C36">
        <w:rPr>
          <w:rFonts w:ascii="Calibri" w:eastAsia="Times New Roman" w:hAnsi="Calibri" w:cs="Times New Roman"/>
          <w:color w:val="000000"/>
          <w:sz w:val="20"/>
          <w:szCs w:val="20"/>
          <w:lang w:val="en-US"/>
        </w:rPr>
        <w:t>assumed to be at the midpoint of the range.</w:t>
      </w:r>
    </w:p>
    <w:p w:rsidR="00291A6C" w:rsidRDefault="00291A6C" w:rsidP="00291A6C">
      <w:pPr>
        <w:pStyle w:val="Caption"/>
        <w:keepNext/>
      </w:pPr>
      <w:bookmarkStart w:id="163" w:name="_Toc495415963"/>
      <w:r>
        <w:t>Figure 3.</w:t>
      </w:r>
      <w:r w:rsidR="009A3F5A">
        <w:fldChar w:fldCharType="begin"/>
      </w:r>
      <w:r w:rsidR="009A3F5A">
        <w:instrText xml:space="preserve"> SEQ Figure_3. \* ARABIC </w:instrText>
      </w:r>
      <w:r w:rsidR="009A3F5A">
        <w:fldChar w:fldCharType="separate"/>
      </w:r>
      <w:r w:rsidR="00856E49">
        <w:rPr>
          <w:noProof/>
        </w:rPr>
        <w:t>3</w:t>
      </w:r>
      <w:r w:rsidR="009A3F5A">
        <w:rPr>
          <w:noProof/>
        </w:rPr>
        <w:fldChar w:fldCharType="end"/>
      </w:r>
      <w:r>
        <w:t xml:space="preserve">: </w:t>
      </w:r>
      <w:r w:rsidRPr="00291A6C">
        <w:t>Separations by length of stay</w:t>
      </w:r>
      <w:bookmarkEnd w:id="163"/>
    </w:p>
    <w:p w:rsidR="0027557C" w:rsidRDefault="0027557C" w:rsidP="00557FD2">
      <w:pPr>
        <w:spacing w:after="200"/>
        <w:rPr>
          <w:szCs w:val="24"/>
          <w:lang w:eastAsia="en-AU"/>
        </w:rPr>
      </w:pPr>
      <w:r>
        <w:rPr>
          <w:noProof/>
          <w:szCs w:val="24"/>
          <w:lang w:eastAsia="en-AU"/>
        </w:rPr>
        <w:drawing>
          <wp:inline distT="0" distB="0" distL="0" distR="0" wp14:anchorId="6231AC69" wp14:editId="26B01E46">
            <wp:extent cx="5627370" cy="3609340"/>
            <wp:effectExtent l="0" t="0" r="0" b="0"/>
            <wp:docPr id="31" name="Picture 31" descr="Figure 3.3 is a bar graph comparing the lengths of stay (LOS) for the periods of 2007-2008 and 2014-2015, as per the Australian Institute of Health and Welfare data, as summarised in the text prior to this image. Please note the LOS separations are noted as under a month, one to three months, three to six months, six to 12 months, one to two years, two to five years and over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7370" cy="3609340"/>
                    </a:xfrm>
                    <a:prstGeom prst="rect">
                      <a:avLst/>
                    </a:prstGeom>
                    <a:noFill/>
                  </pic:spPr>
                </pic:pic>
              </a:graphicData>
            </a:graphic>
          </wp:inline>
        </w:drawing>
      </w:r>
    </w:p>
    <w:p w:rsidR="00980F62" w:rsidRDefault="00557FD2" w:rsidP="00557FD2">
      <w:pPr>
        <w:spacing w:after="200"/>
        <w:rPr>
          <w:rFonts w:ascii="Calibri" w:eastAsia="Times New Roman" w:hAnsi="Calibri" w:cs="Times New Roman"/>
          <w:color w:val="000000"/>
          <w:sz w:val="20"/>
          <w:szCs w:val="20"/>
          <w:lang w:val="en-US"/>
        </w:rPr>
      </w:pPr>
      <w:r w:rsidRPr="00A602D5">
        <w:rPr>
          <w:rFonts w:ascii="Calibri" w:eastAsia="Times New Roman" w:hAnsi="Calibri" w:cs="Times New Roman"/>
          <w:color w:val="000000"/>
          <w:sz w:val="20"/>
          <w:szCs w:val="20"/>
          <w:lang w:val="en-US"/>
        </w:rPr>
        <w:t xml:space="preserve">Separation durations for </w:t>
      </w:r>
      <w:r>
        <w:rPr>
          <w:rFonts w:ascii="Calibri" w:eastAsia="Times New Roman" w:hAnsi="Calibri" w:cs="Times New Roman"/>
          <w:color w:val="000000"/>
          <w:sz w:val="20"/>
          <w:szCs w:val="20"/>
          <w:lang w:val="en-US"/>
        </w:rPr>
        <w:t>20</w:t>
      </w:r>
      <w:r w:rsidRPr="00A602D5">
        <w:rPr>
          <w:rFonts w:ascii="Calibri" w:eastAsia="Times New Roman" w:hAnsi="Calibri" w:cs="Times New Roman"/>
          <w:color w:val="000000"/>
          <w:sz w:val="20"/>
          <w:szCs w:val="20"/>
          <w:lang w:val="en-US"/>
        </w:rPr>
        <w:t>07-08 are from Table 3.9 of "Residential aged care in Australia</w:t>
      </w:r>
      <w:r>
        <w:rPr>
          <w:rFonts w:ascii="Calibri" w:eastAsia="Times New Roman" w:hAnsi="Calibri" w:cs="Times New Roman"/>
          <w:color w:val="000000"/>
          <w:sz w:val="20"/>
          <w:szCs w:val="20"/>
          <w:lang w:val="en-US"/>
        </w:rPr>
        <w:t xml:space="preserve"> </w:t>
      </w:r>
      <w:r w:rsidRPr="00A602D5">
        <w:rPr>
          <w:rFonts w:ascii="Calibri" w:eastAsia="Times New Roman" w:hAnsi="Calibri" w:cs="Times New Roman"/>
          <w:color w:val="000000"/>
          <w:sz w:val="20"/>
          <w:szCs w:val="20"/>
          <w:lang w:val="en-US"/>
        </w:rPr>
        <w:t>2007-08 (AIHW June 2008)</w:t>
      </w:r>
      <w:r>
        <w:rPr>
          <w:rFonts w:ascii="Calibri" w:eastAsia="Times New Roman" w:hAnsi="Calibri" w:cs="Times New Roman"/>
          <w:color w:val="000000"/>
          <w:sz w:val="20"/>
          <w:szCs w:val="20"/>
          <w:lang w:val="en-US"/>
        </w:rPr>
        <w:t xml:space="preserve">. </w:t>
      </w:r>
      <w:r w:rsidRPr="00A602D5">
        <w:rPr>
          <w:rFonts w:ascii="Calibri" w:eastAsia="Times New Roman" w:hAnsi="Calibri" w:cs="Times New Roman"/>
          <w:color w:val="000000"/>
          <w:sz w:val="20"/>
          <w:szCs w:val="20"/>
          <w:lang w:val="en-US"/>
        </w:rPr>
        <w:t xml:space="preserve">Separation durations for </w:t>
      </w:r>
      <w:r>
        <w:rPr>
          <w:rFonts w:ascii="Calibri" w:eastAsia="Times New Roman" w:hAnsi="Calibri" w:cs="Times New Roman"/>
          <w:color w:val="000000"/>
          <w:sz w:val="20"/>
          <w:szCs w:val="20"/>
          <w:lang w:val="en-US"/>
        </w:rPr>
        <w:t>20</w:t>
      </w:r>
      <w:r w:rsidRPr="00A602D5">
        <w:rPr>
          <w:rFonts w:ascii="Calibri" w:eastAsia="Times New Roman" w:hAnsi="Calibri" w:cs="Times New Roman"/>
          <w:color w:val="000000"/>
          <w:sz w:val="20"/>
          <w:szCs w:val="20"/>
          <w:lang w:val="en-US"/>
        </w:rPr>
        <w:t>14-15 are from table S1.39 of "Residential aged care and home</w:t>
      </w:r>
      <w:r w:rsidRPr="007F21FB">
        <w:rPr>
          <w:rFonts w:ascii="Calibri" w:eastAsia="Times New Roman" w:hAnsi="Calibri" w:cs="Times New Roman"/>
          <w:color w:val="000000"/>
          <w:sz w:val="20"/>
          <w:szCs w:val="20"/>
          <w:lang w:val="en-US"/>
        </w:rPr>
        <w:t xml:space="preserve"> </w:t>
      </w:r>
      <w:r w:rsidRPr="00A602D5">
        <w:rPr>
          <w:rFonts w:ascii="Calibri" w:eastAsia="Times New Roman" w:hAnsi="Calibri" w:cs="Times New Roman"/>
          <w:color w:val="000000"/>
          <w:sz w:val="20"/>
          <w:szCs w:val="20"/>
          <w:lang w:val="en-US"/>
        </w:rPr>
        <w:t xml:space="preserve">care </w:t>
      </w:r>
      <w:r w:rsidR="004419CB">
        <w:rPr>
          <w:rFonts w:ascii="Calibri" w:eastAsia="Times New Roman" w:hAnsi="Calibri" w:cs="Times New Roman"/>
          <w:color w:val="000000"/>
          <w:sz w:val="20"/>
          <w:szCs w:val="20"/>
          <w:lang w:val="en-US"/>
        </w:rPr>
        <w:br/>
      </w:r>
      <w:r w:rsidRPr="00A602D5">
        <w:rPr>
          <w:rFonts w:ascii="Calibri" w:eastAsia="Times New Roman" w:hAnsi="Calibri" w:cs="Times New Roman"/>
          <w:color w:val="000000"/>
          <w:sz w:val="20"/>
          <w:szCs w:val="20"/>
          <w:lang w:val="en-US"/>
        </w:rPr>
        <w:t>2014–15"</w:t>
      </w:r>
    </w:p>
    <w:p w:rsidR="00557FD2" w:rsidRDefault="00557FD2" w:rsidP="00530D56">
      <w:pPr>
        <w:pStyle w:val="Heading2-Chapter3"/>
      </w:pPr>
      <w:bookmarkStart w:id="164" w:name="_Toc486423833"/>
      <w:bookmarkStart w:id="165" w:name="_Toc486601535"/>
      <w:bookmarkStart w:id="166" w:name="_Toc486603028"/>
      <w:bookmarkStart w:id="167" w:name="_Toc491426033"/>
      <w:r w:rsidRPr="000925B8">
        <w:t>R-ACFI Principles</w:t>
      </w:r>
      <w:bookmarkEnd w:id="164"/>
      <w:bookmarkEnd w:id="165"/>
      <w:bookmarkEnd w:id="166"/>
      <w:bookmarkEnd w:id="167"/>
    </w:p>
    <w:p w:rsidR="007C1436" w:rsidRDefault="00557FD2" w:rsidP="00545873">
      <w:pPr>
        <w:spacing w:after="0"/>
      </w:pPr>
      <w:r>
        <w:rPr>
          <w:bCs/>
        </w:rPr>
        <w:t xml:space="preserve">The R-ACFI funding model </w:t>
      </w:r>
      <w:r w:rsidR="00BB5190">
        <w:rPr>
          <w:bCs/>
        </w:rPr>
        <w:t xml:space="preserve">represents </w:t>
      </w:r>
      <w:r w:rsidR="00E1159D">
        <w:rPr>
          <w:bCs/>
        </w:rPr>
        <w:t>a</w:t>
      </w:r>
      <w:r w:rsidR="00BB5190">
        <w:rPr>
          <w:bCs/>
        </w:rPr>
        <w:t xml:space="preserve"> significantly </w:t>
      </w:r>
      <w:r>
        <w:rPr>
          <w:bCs/>
        </w:rPr>
        <w:t xml:space="preserve">improved </w:t>
      </w:r>
      <w:r w:rsidR="00E1159D">
        <w:rPr>
          <w:bCs/>
        </w:rPr>
        <w:t xml:space="preserve">version of the </w:t>
      </w:r>
      <w:r>
        <w:rPr>
          <w:bCs/>
        </w:rPr>
        <w:t xml:space="preserve">current ACFI. </w:t>
      </w:r>
      <w:r w:rsidR="007C1436">
        <w:rPr>
          <w:bCs/>
        </w:rPr>
        <w:t xml:space="preserve">The first part of this section answers the question: </w:t>
      </w:r>
      <w:r w:rsidR="007C1436" w:rsidRPr="002F669A">
        <w:t>What does the R-ACFI Fund?</w:t>
      </w:r>
    </w:p>
    <w:p w:rsidR="007C1436" w:rsidRDefault="007C1436" w:rsidP="00545873">
      <w:pPr>
        <w:rPr>
          <w:bCs/>
        </w:rPr>
      </w:pPr>
      <w:r>
        <w:rPr>
          <w:bCs/>
        </w:rPr>
        <w:t>The following sections explain the principles upon which the R-ACFI has been developed which are:</w:t>
      </w:r>
    </w:p>
    <w:p w:rsidR="00980F62" w:rsidRDefault="007C1436" w:rsidP="00F02312">
      <w:pPr>
        <w:pStyle w:val="ListParagraph"/>
        <w:numPr>
          <w:ilvl w:val="0"/>
          <w:numId w:val="89"/>
        </w:numPr>
        <w:spacing w:after="0"/>
      </w:pPr>
      <w:r>
        <w:t xml:space="preserve">The R-ACFI Focuses on </w:t>
      </w:r>
      <w:r w:rsidRPr="000925B8">
        <w:t>Assessed Care Need</w:t>
      </w:r>
      <w:r w:rsidR="00A0636A">
        <w:t>.</w:t>
      </w:r>
    </w:p>
    <w:p w:rsidR="007C1436" w:rsidRDefault="007C1436" w:rsidP="00F02312">
      <w:pPr>
        <w:pStyle w:val="ListParagraph"/>
        <w:numPr>
          <w:ilvl w:val="0"/>
          <w:numId w:val="89"/>
        </w:numPr>
        <w:spacing w:after="0"/>
      </w:pPr>
      <w:r>
        <w:t>The R-ACFI Rewards Improved Resident Functioning</w:t>
      </w:r>
      <w:r w:rsidR="00A0636A">
        <w:t>.</w:t>
      </w:r>
    </w:p>
    <w:p w:rsidR="007C1436" w:rsidRDefault="007C1436" w:rsidP="00F02312">
      <w:pPr>
        <w:pStyle w:val="ListParagraph"/>
        <w:numPr>
          <w:ilvl w:val="0"/>
          <w:numId w:val="89"/>
        </w:numPr>
        <w:spacing w:after="0"/>
      </w:pPr>
      <w:r>
        <w:t>The R-ACFI has a Minimum ‘Base’ Funding ADL Classification</w:t>
      </w:r>
      <w:r w:rsidR="00A0636A">
        <w:t>.</w:t>
      </w:r>
    </w:p>
    <w:p w:rsidR="00BB5190" w:rsidRDefault="00BB5190" w:rsidP="00F02312">
      <w:pPr>
        <w:pStyle w:val="ListParagraph"/>
        <w:numPr>
          <w:ilvl w:val="0"/>
          <w:numId w:val="89"/>
        </w:numPr>
        <w:spacing w:after="0"/>
      </w:pPr>
      <w:r>
        <w:t>The R-ACFI includes a broadly-based Therapy Program available to all residents</w:t>
      </w:r>
      <w:r w:rsidR="00A0636A">
        <w:t>.</w:t>
      </w:r>
    </w:p>
    <w:p w:rsidR="007C1436" w:rsidRDefault="007C1436" w:rsidP="00F02312">
      <w:pPr>
        <w:pStyle w:val="ListParagraph"/>
        <w:numPr>
          <w:ilvl w:val="0"/>
          <w:numId w:val="89"/>
        </w:numPr>
        <w:spacing w:after="0"/>
      </w:pPr>
      <w:r>
        <w:t>The R-ACFI Promotes Best Practice Assessment and Care Planning.</w:t>
      </w:r>
    </w:p>
    <w:p w:rsidR="00557FD2" w:rsidRPr="002F669A" w:rsidRDefault="00557FD2" w:rsidP="00730D08">
      <w:pPr>
        <w:pStyle w:val="Heading3-Chapter33"/>
      </w:pPr>
      <w:bookmarkStart w:id="168" w:name="_Toc486423834"/>
      <w:bookmarkStart w:id="169" w:name="_Toc486601536"/>
      <w:bookmarkStart w:id="170" w:name="_Toc486603029"/>
      <w:r w:rsidRPr="002F669A">
        <w:t>What does the R-ACFI Fund?</w:t>
      </w:r>
      <w:bookmarkEnd w:id="168"/>
      <w:bookmarkEnd w:id="169"/>
      <w:bookmarkEnd w:id="170"/>
    </w:p>
    <w:p w:rsidR="007C1436" w:rsidRDefault="00557FD2" w:rsidP="00545873">
      <w:r>
        <w:t>T</w:t>
      </w:r>
      <w:r w:rsidRPr="00C13CA9">
        <w:t>he R-ACFI</w:t>
      </w:r>
      <w:r w:rsidR="007C1436">
        <w:t>, from a funding determination perspective</w:t>
      </w:r>
      <w:r w:rsidR="00AD6ADE">
        <w:t>,</w:t>
      </w:r>
      <w:r w:rsidRPr="00C13CA9">
        <w:t xml:space="preserve"> </w:t>
      </w:r>
      <w:r>
        <w:t>follows on from the ACFI model</w:t>
      </w:r>
      <w:r w:rsidR="007C1436">
        <w:t>. The</w:t>
      </w:r>
      <w:r>
        <w:t xml:space="preserve"> </w:t>
      </w:r>
      <w:r w:rsidRPr="00C13CA9">
        <w:t>funding provide</w:t>
      </w:r>
      <w:r>
        <w:t>s</w:t>
      </w:r>
      <w:r w:rsidRPr="00C13CA9">
        <w:t xml:space="preserve"> money to cover all </w:t>
      </w:r>
      <w:r w:rsidR="007C1436">
        <w:t xml:space="preserve">a resident’s </w:t>
      </w:r>
      <w:r w:rsidRPr="00C13CA9">
        <w:t xml:space="preserve">care need areas - not just </w:t>
      </w:r>
      <w:r w:rsidR="007C1436">
        <w:t xml:space="preserve">those </w:t>
      </w:r>
      <w:r w:rsidRPr="00C13CA9">
        <w:t xml:space="preserve">areas covered </w:t>
      </w:r>
      <w:r w:rsidR="007C1436">
        <w:t xml:space="preserve">by the </w:t>
      </w:r>
      <w:r w:rsidRPr="00C13CA9">
        <w:t xml:space="preserve">specific </w:t>
      </w:r>
      <w:r>
        <w:t>R-</w:t>
      </w:r>
      <w:r w:rsidRPr="00C13CA9">
        <w:t xml:space="preserve">ACFI questions. The R-ACFI funding is </w:t>
      </w:r>
      <w:r>
        <w:t xml:space="preserve">directly linked </w:t>
      </w:r>
      <w:r w:rsidRPr="00C13CA9">
        <w:t xml:space="preserve">to the broader care need areas covered by (i) Specified Care and Services and (ii) the Quality of Care Principles. </w:t>
      </w:r>
      <w:r w:rsidRPr="00FB45DA">
        <w:rPr>
          <w:rFonts w:cstheme="minorHAnsi"/>
          <w:szCs w:val="24"/>
        </w:rPr>
        <w:t xml:space="preserve">The ACFI operates within a </w:t>
      </w:r>
      <w:r w:rsidR="00CE3DD2">
        <w:rPr>
          <w:rFonts w:cstheme="minorHAnsi"/>
          <w:szCs w:val="24"/>
        </w:rPr>
        <w:t>n</w:t>
      </w:r>
      <w:r w:rsidR="00CE3DD2" w:rsidRPr="00FB45DA">
        <w:rPr>
          <w:rFonts w:cstheme="minorHAnsi"/>
          <w:szCs w:val="24"/>
        </w:rPr>
        <w:t xml:space="preserve">ational </w:t>
      </w:r>
      <w:r w:rsidRPr="00FB45DA">
        <w:rPr>
          <w:rFonts w:cstheme="minorHAnsi"/>
          <w:szCs w:val="24"/>
        </w:rPr>
        <w:t>legislative framework</w:t>
      </w:r>
      <w:r>
        <w:rPr>
          <w:rFonts w:cstheme="minorHAnsi"/>
          <w:szCs w:val="24"/>
        </w:rPr>
        <w:t>,</w:t>
      </w:r>
      <w:r w:rsidRPr="00FB45DA">
        <w:rPr>
          <w:rFonts w:cstheme="minorHAnsi"/>
          <w:szCs w:val="24"/>
        </w:rPr>
        <w:t xml:space="preserve"> </w:t>
      </w:r>
      <w:r w:rsidR="006C2360">
        <w:rPr>
          <w:rFonts w:cstheme="minorHAnsi"/>
          <w:szCs w:val="24"/>
        </w:rPr>
        <w:t>t</w:t>
      </w:r>
      <w:r w:rsidRPr="00FB45DA">
        <w:rPr>
          <w:rFonts w:cstheme="minorHAnsi"/>
          <w:szCs w:val="24"/>
        </w:rPr>
        <w:t xml:space="preserve">he </w:t>
      </w:r>
      <w:r w:rsidRPr="006C2360">
        <w:rPr>
          <w:rFonts w:cstheme="minorHAnsi"/>
          <w:i/>
          <w:szCs w:val="24"/>
        </w:rPr>
        <w:t>Aged Care Act 1997</w:t>
      </w:r>
      <w:r w:rsidRPr="00FB45DA">
        <w:rPr>
          <w:rFonts w:cstheme="minorHAnsi"/>
          <w:szCs w:val="24"/>
        </w:rPr>
        <w:t xml:space="preserve"> (Section 41‐3). This defines residential aged care as being personal care or nursing care, or both personal care and nursing care, that</w:t>
      </w:r>
      <w:r w:rsidR="007C1436">
        <w:rPr>
          <w:rFonts w:cstheme="minorHAnsi"/>
          <w:szCs w:val="24"/>
        </w:rPr>
        <w:t xml:space="preserve"> </w:t>
      </w:r>
      <w:r w:rsidRPr="007C1436">
        <w:t>is provided to a person in a residential facility in which the person is also provided with accommodation that includes:</w:t>
      </w:r>
    </w:p>
    <w:p w:rsidR="007C1436" w:rsidRPr="0067225D" w:rsidRDefault="007C1436" w:rsidP="00F02312">
      <w:pPr>
        <w:pStyle w:val="ListParagraph"/>
        <w:numPr>
          <w:ilvl w:val="0"/>
          <w:numId w:val="90"/>
        </w:numPr>
        <w:spacing w:after="0"/>
        <w:rPr>
          <w:rFonts w:cs="Tahoma"/>
        </w:rPr>
      </w:pPr>
      <w:r w:rsidRPr="0067225D">
        <w:rPr>
          <w:rFonts w:cs="Tahoma"/>
        </w:rPr>
        <w:t>A</w:t>
      </w:r>
      <w:r w:rsidR="00557FD2" w:rsidRPr="0067225D">
        <w:rPr>
          <w:rFonts w:cs="Tahoma"/>
        </w:rPr>
        <w:t>ppropriate staffing to meet the nursing and personal care needs of the person</w:t>
      </w:r>
      <w:r w:rsidR="006C2360">
        <w:rPr>
          <w:rFonts w:cs="Tahoma"/>
        </w:rPr>
        <w:t>.</w:t>
      </w:r>
    </w:p>
    <w:p w:rsidR="00557FD2" w:rsidRPr="0067225D" w:rsidRDefault="007C1436" w:rsidP="00F02312">
      <w:pPr>
        <w:pStyle w:val="ListParagraph"/>
        <w:numPr>
          <w:ilvl w:val="0"/>
          <w:numId w:val="90"/>
        </w:numPr>
        <w:spacing w:after="0"/>
        <w:rPr>
          <w:rFonts w:cs="Tahoma"/>
        </w:rPr>
      </w:pPr>
      <w:r w:rsidRPr="0067225D">
        <w:rPr>
          <w:rFonts w:cs="Tahoma"/>
        </w:rPr>
        <w:t>M</w:t>
      </w:r>
      <w:r w:rsidR="00557FD2" w:rsidRPr="0067225D">
        <w:rPr>
          <w:rFonts w:cs="Tahoma"/>
        </w:rPr>
        <w:t>eals and cleaning services</w:t>
      </w:r>
      <w:r w:rsidR="006C2360">
        <w:rPr>
          <w:rFonts w:cs="Tahoma"/>
        </w:rPr>
        <w:t>.</w:t>
      </w:r>
    </w:p>
    <w:p w:rsidR="00980F62" w:rsidRDefault="007C1436" w:rsidP="00F02312">
      <w:pPr>
        <w:pStyle w:val="ListParagraph"/>
        <w:numPr>
          <w:ilvl w:val="0"/>
          <w:numId w:val="90"/>
        </w:numPr>
        <w:spacing w:after="0"/>
        <w:rPr>
          <w:rFonts w:cs="Tahoma"/>
        </w:rPr>
      </w:pPr>
      <w:r w:rsidRPr="00AC0DEC">
        <w:rPr>
          <w:rFonts w:cs="Tahoma"/>
        </w:rPr>
        <w:t>F</w:t>
      </w:r>
      <w:r w:rsidR="00557FD2" w:rsidRPr="004C5986">
        <w:rPr>
          <w:rFonts w:cs="Tahoma"/>
        </w:rPr>
        <w:t>urnishings, furniture and equipment for the provision of that care and accommodation</w:t>
      </w:r>
      <w:r w:rsidR="006C2360">
        <w:rPr>
          <w:rFonts w:cs="Tahoma"/>
        </w:rPr>
        <w:t>.</w:t>
      </w:r>
    </w:p>
    <w:p w:rsidR="00980F62" w:rsidRDefault="007C1436" w:rsidP="00F02312">
      <w:pPr>
        <w:pStyle w:val="ListParagraph"/>
        <w:numPr>
          <w:ilvl w:val="0"/>
          <w:numId w:val="90"/>
        </w:numPr>
        <w:ind w:left="357" w:hanging="357"/>
        <w:contextualSpacing w:val="0"/>
        <w:rPr>
          <w:rFonts w:cs="Tahoma"/>
        </w:rPr>
      </w:pPr>
      <w:r w:rsidRPr="009C1172">
        <w:rPr>
          <w:rFonts w:cs="Tahoma"/>
        </w:rPr>
        <w:t>M</w:t>
      </w:r>
      <w:r w:rsidR="00557FD2" w:rsidRPr="009C1172">
        <w:rPr>
          <w:rFonts w:cs="Tahoma"/>
        </w:rPr>
        <w:t>eets any other requirements specified in the Subsidy Principles.</w:t>
      </w:r>
    </w:p>
    <w:p w:rsidR="00980F62" w:rsidRDefault="00BB6610" w:rsidP="00BB6610">
      <w:pPr>
        <w:rPr>
          <w:i/>
          <w:iCs/>
        </w:rPr>
      </w:pPr>
      <w:r>
        <w:t xml:space="preserve">The basic subsidy amount per resident per day is ‘the amount determined by the </w:t>
      </w:r>
      <w:r>
        <w:rPr>
          <w:i/>
          <w:iCs/>
        </w:rPr>
        <w:t>Subsidy Principles 2014</w:t>
      </w:r>
      <w:r>
        <w:t>’, currently ACFI. Residential aged care subsidies are paid to approved providers of residential care to contribute to the costs of providing care to residents in a manner that meets its accreditation requirement (</w:t>
      </w:r>
      <w:r>
        <w:rPr>
          <w:i/>
          <w:iCs/>
        </w:rPr>
        <w:t>Aged Care Act 1997, section 42‐1(1) (c).</w:t>
      </w:r>
    </w:p>
    <w:p w:rsidR="00980F62" w:rsidRDefault="00BB6610" w:rsidP="00BB6610">
      <w:r>
        <w:t xml:space="preserve">The </w:t>
      </w:r>
      <w:r>
        <w:rPr>
          <w:i/>
          <w:iCs/>
        </w:rPr>
        <w:t>Quality of Care Principles 2014</w:t>
      </w:r>
      <w:r>
        <w:t xml:space="preserve"> are also articulated under the Aged Care Act 1997. The purpose of these principles is to specify the care and services that an approved provider of residential aged care (and Home Care Packages) must provide and their responsibilities relating to quality of care. </w:t>
      </w:r>
      <w:r>
        <w:rPr>
          <w:i/>
          <w:iCs/>
        </w:rPr>
        <w:t xml:space="preserve">An approved provider </w:t>
      </w:r>
      <w:r>
        <w:rPr>
          <w:b/>
          <w:bCs/>
          <w:i/>
          <w:iCs/>
        </w:rPr>
        <w:t>must</w:t>
      </w:r>
      <w:r>
        <w:rPr>
          <w:i/>
          <w:iCs/>
        </w:rPr>
        <w:t xml:space="preserve"> provide the care or service specified in the Quality of Care Principles 2014 to any care recipient who has an assessed care need.</w:t>
      </w:r>
      <w:r>
        <w:t xml:space="preserve"> For some services however, residents may be required to pay additional fees, if their care dependency (ACFI) profile is lower care.</w:t>
      </w:r>
      <w:r w:rsidR="007A576E">
        <w:t xml:space="preserve"> </w:t>
      </w:r>
      <w:r>
        <w:t>Higher care residents (i.e. one high domain or two medium domains) cannot be charged additional fees for services described in the specified care and services legislation.</w:t>
      </w:r>
    </w:p>
    <w:p w:rsidR="00FF7E1E" w:rsidRDefault="00FF7E1E" w:rsidP="00FF7E1E">
      <w:pPr>
        <w:rPr>
          <w:lang w:eastAsia="en-AU"/>
        </w:rPr>
      </w:pPr>
      <w:r>
        <w:br w:type="page"/>
      </w:r>
    </w:p>
    <w:p w:rsidR="00557FD2" w:rsidRPr="006C5EDD" w:rsidRDefault="00557FD2" w:rsidP="003F1847">
      <w:pPr>
        <w:pStyle w:val="Heading4-Chapter331"/>
      </w:pPr>
      <w:r w:rsidRPr="006C5EDD">
        <w:lastRenderedPageBreak/>
        <w:t>The ACFI, Specified Care and Services and the Quality of Care Principles</w:t>
      </w:r>
    </w:p>
    <w:p w:rsidR="00980F62" w:rsidRDefault="00557FD2" w:rsidP="00545873">
      <w:pPr>
        <w:rPr>
          <w:color w:val="000000"/>
        </w:rPr>
      </w:pPr>
      <w:r>
        <w:t>The ACFI was designed to explicitly link to the Accreditation Standards and Specified Care and Services applicable at the time</w:t>
      </w:r>
      <w:r w:rsidR="00976119">
        <w:t xml:space="preserve"> </w:t>
      </w:r>
      <w:r>
        <w:t>(2008</w:t>
      </w:r>
      <w:r w:rsidR="00976119">
        <w:t>-9</w:t>
      </w:r>
      <w:r>
        <w:t>).</w:t>
      </w:r>
      <w:r w:rsidR="007A576E">
        <w:t xml:space="preserve"> </w:t>
      </w:r>
      <w:r>
        <w:t>The ACFI measurement and funding model was framed to directly relate to the quality of</w:t>
      </w:r>
      <w:r w:rsidR="00976119">
        <w:t xml:space="preserve"> care and services requirements</w:t>
      </w:r>
      <w:r>
        <w:t xml:space="preserve">, covering </w:t>
      </w:r>
      <w:r>
        <w:rPr>
          <w:color w:val="000000"/>
        </w:rPr>
        <w:t>social and</w:t>
      </w:r>
      <w:r w:rsidRPr="009F466F">
        <w:rPr>
          <w:color w:val="000000"/>
        </w:rPr>
        <w:t xml:space="preserve"> emotional support, recreation therapy, rehabilitation support</w:t>
      </w:r>
      <w:r>
        <w:rPr>
          <w:color w:val="000000"/>
        </w:rPr>
        <w:t xml:space="preserve">, </w:t>
      </w:r>
      <w:r w:rsidRPr="009F466F">
        <w:rPr>
          <w:color w:val="000000"/>
        </w:rPr>
        <w:t xml:space="preserve">social and human needs and </w:t>
      </w:r>
      <w:r>
        <w:rPr>
          <w:color w:val="000000"/>
        </w:rPr>
        <w:t xml:space="preserve">broader </w:t>
      </w:r>
      <w:r w:rsidRPr="009F466F">
        <w:rPr>
          <w:color w:val="000000"/>
        </w:rPr>
        <w:t>therapy</w:t>
      </w:r>
      <w:r>
        <w:rPr>
          <w:color w:val="000000"/>
        </w:rPr>
        <w:t>.</w:t>
      </w:r>
      <w:r w:rsidR="007A576E">
        <w:rPr>
          <w:color w:val="000000"/>
        </w:rPr>
        <w:t xml:space="preserve"> </w:t>
      </w:r>
      <w:r>
        <w:rPr>
          <w:color w:val="000000"/>
        </w:rPr>
        <w:t>Funding in these areas from the previous RCS funding model (calibrated from a costing study) was rolled over into the ACFI funding pool and providers were expected to cover these areas from the ACFI funding, which effectively provided a pooled amount to cover care needs beyond that identified in the specific 12 ACFI questions.</w:t>
      </w:r>
    </w:p>
    <w:p w:rsidR="00980F62" w:rsidRDefault="00557FD2" w:rsidP="00545873">
      <w:pPr>
        <w:rPr>
          <w:rFonts w:cstheme="minorHAnsi"/>
          <w:color w:val="000000"/>
          <w:szCs w:val="24"/>
        </w:rPr>
      </w:pPr>
      <w:r>
        <w:t xml:space="preserve">The ACFI questions should be considered selective </w:t>
      </w:r>
      <w:r w:rsidR="00D91BC3">
        <w:t>‘</w:t>
      </w:r>
      <w:r>
        <w:t>indicators</w:t>
      </w:r>
      <w:r w:rsidR="00D91BC3">
        <w:t>’</w:t>
      </w:r>
      <w:r>
        <w:t xml:space="preserve"> that provide the necessary resources to allow all of the required care related services to be delivered. It is not correct to interpret the ACFI funding as only covering areas targeted in the question set or that it only funds some care activities and not others or that it somehow restricts what can be done to assist residents. The ACFI funding is provided to cover the entire gamut of care areas as covered in the legislation. Providers are not restricted in what care can be provided with the ACFI funding</w:t>
      </w:r>
      <w:r w:rsidR="00976119">
        <w:t>. R</w:t>
      </w:r>
      <w:r>
        <w:t>estrictions, if they do exist, are necessarily imposed by the provider model of care, not the ACFI funding model.</w:t>
      </w:r>
      <w:r w:rsidR="007A576E">
        <w:t xml:space="preserve"> </w:t>
      </w:r>
      <w:r>
        <w:rPr>
          <w:rFonts w:cstheme="minorHAnsi"/>
          <w:color w:val="000000"/>
          <w:szCs w:val="24"/>
        </w:rPr>
        <w:t>Appendix 3.1 provides a comparison between the ACFI questions and Specified Care and Services requirements.</w:t>
      </w:r>
    </w:p>
    <w:p w:rsidR="00980F62" w:rsidRDefault="00557FD2" w:rsidP="00730D08">
      <w:pPr>
        <w:pStyle w:val="Heading3-Chapter33"/>
      </w:pPr>
      <w:bookmarkStart w:id="171" w:name="_Toc486423835"/>
      <w:bookmarkStart w:id="172" w:name="_Toc486601537"/>
      <w:bookmarkStart w:id="173" w:name="_Toc486603030"/>
      <w:r>
        <w:t xml:space="preserve">The R-ACFI Focuses on </w:t>
      </w:r>
      <w:r w:rsidRPr="000925B8">
        <w:t>Assessed Care Need</w:t>
      </w:r>
      <w:bookmarkEnd w:id="171"/>
      <w:bookmarkEnd w:id="172"/>
      <w:bookmarkEnd w:id="173"/>
    </w:p>
    <w:p w:rsidR="00557FD2" w:rsidRDefault="00557FD2" w:rsidP="00545873">
      <w:pPr>
        <w:rPr>
          <w:lang w:eastAsia="en-AU"/>
        </w:rPr>
      </w:pPr>
      <w:r>
        <w:rPr>
          <w:lang w:eastAsia="en-AU"/>
        </w:rPr>
        <w:t xml:space="preserve">While there is debate about the best methodology when determining the measurement basis of a funding model, the methodology has to be designed to fit the actual circumstances of the care environment. The R-ACFI has moved further toward a model based around assessed care need in contrast to a model that focuses on </w:t>
      </w:r>
      <w:r w:rsidR="00D91BC3">
        <w:rPr>
          <w:lang w:eastAsia="en-AU"/>
        </w:rPr>
        <w:t>‘</w:t>
      </w:r>
      <w:r>
        <w:rPr>
          <w:lang w:eastAsia="en-AU"/>
        </w:rPr>
        <w:t>care provided</w:t>
      </w:r>
      <w:r w:rsidR="00D91BC3">
        <w:rPr>
          <w:lang w:eastAsia="en-AU"/>
        </w:rPr>
        <w:t>’.</w:t>
      </w:r>
    </w:p>
    <w:p w:rsidR="00557FD2" w:rsidRPr="00C078E6" w:rsidRDefault="00557FD2" w:rsidP="00545873">
      <w:pPr>
        <w:rPr>
          <w:lang w:eastAsia="en-AU"/>
        </w:rPr>
      </w:pPr>
      <w:r w:rsidRPr="00C078E6">
        <w:rPr>
          <w:lang w:eastAsia="en-AU"/>
        </w:rPr>
        <w:t>Measuring the need for care is preferred to measuring care provided as it is more objective, more easily audited and helps staff focus on the underlying issues of relevance to better care outcomes. Assessment forms the information base that is subsequently used to determine what type and amount of care will be required. Assessment can also be used to assess the success or otherwise of the various interventions provided to support resident care needs. The R-ACFI therefore uses assessment information, not care plans (which can appropriately vary for residents with the same care needs) or care provided information, to determine funding.</w:t>
      </w:r>
    </w:p>
    <w:p w:rsidR="00980F62" w:rsidRDefault="00557FD2" w:rsidP="00545873">
      <w:pPr>
        <w:rPr>
          <w:lang w:eastAsia="en-AU"/>
        </w:rPr>
      </w:pPr>
      <w:r>
        <w:rPr>
          <w:lang w:eastAsia="en-AU"/>
        </w:rPr>
        <w:t xml:space="preserve">Assessed care need is a better approach to determine the resource demands in longer term care environments where day to day care needs are a combination of co-morbidities averaged out over the days and weeks of care. Hindle (1996) also indicated that measures of need are preferred as cost predictor variables in costing studies. Funding on the basis of assessed care need also encourages </w:t>
      </w:r>
      <w:r w:rsidRPr="00F52F9E">
        <w:rPr>
          <w:lang w:eastAsia="en-AU"/>
        </w:rPr>
        <w:t xml:space="preserve">providers to </w:t>
      </w:r>
      <w:r>
        <w:rPr>
          <w:lang w:eastAsia="en-AU"/>
        </w:rPr>
        <w:t xml:space="preserve">be more responsive to resident directed care, and it enables providers to </w:t>
      </w:r>
      <w:r w:rsidRPr="00F52F9E">
        <w:rPr>
          <w:lang w:eastAsia="en-AU"/>
        </w:rPr>
        <w:t xml:space="preserve">develop more innovative </w:t>
      </w:r>
      <w:r>
        <w:rPr>
          <w:lang w:eastAsia="en-AU"/>
        </w:rPr>
        <w:t>ways to provide the care that is not built ar</w:t>
      </w:r>
      <w:r w:rsidR="006146D7">
        <w:rPr>
          <w:lang w:eastAsia="en-AU"/>
        </w:rPr>
        <w:t>ound a pre</w:t>
      </w:r>
      <w:r w:rsidR="003B4A88">
        <w:rPr>
          <w:lang w:eastAsia="en-AU"/>
        </w:rPr>
        <w:t>scribed care model</w:t>
      </w:r>
      <w:r>
        <w:rPr>
          <w:lang w:eastAsia="en-AU"/>
        </w:rPr>
        <w:t>.</w:t>
      </w:r>
    </w:p>
    <w:p w:rsidR="00557FD2" w:rsidRPr="000925B8" w:rsidRDefault="00557FD2" w:rsidP="00730D08">
      <w:pPr>
        <w:pStyle w:val="Heading3-Chapter33"/>
      </w:pPr>
      <w:bookmarkStart w:id="174" w:name="_Toc486423836"/>
      <w:bookmarkStart w:id="175" w:name="_Toc486601538"/>
      <w:bookmarkStart w:id="176" w:name="_Toc486603031"/>
      <w:r>
        <w:t>The R-ACFI Rewards Improved Resident Functioning</w:t>
      </w:r>
      <w:bookmarkEnd w:id="174"/>
      <w:bookmarkEnd w:id="175"/>
      <w:bookmarkEnd w:id="176"/>
    </w:p>
    <w:p w:rsidR="00980F62" w:rsidRDefault="00557FD2" w:rsidP="00545873">
      <w:r w:rsidRPr="00C078E6">
        <w:t xml:space="preserve">The R-ACFI is not designed to be prescriptive or directive in terms of the actual care or interventions to be provided </w:t>
      </w:r>
      <w:r w:rsidR="00D91BC3">
        <w:t>to a resident. A</w:t>
      </w:r>
      <w:r w:rsidRPr="00C078E6">
        <w:t>n assessment and funding tool cannot adequately specify the clinical health, nursing and social care need interventions and supports for residents or ensure that care is actually delivered.</w:t>
      </w:r>
    </w:p>
    <w:p w:rsidR="00980F62" w:rsidRDefault="00557FD2" w:rsidP="00545873">
      <w:r w:rsidRPr="00C078E6">
        <w:t xml:space="preserve">The R-ACFI </w:t>
      </w:r>
      <w:r>
        <w:t>contributes to</w:t>
      </w:r>
      <w:r w:rsidRPr="00C078E6">
        <w:t xml:space="preserve"> the funding for these aspects and the provider will determine what to provide from a comprehensive assessment of the resident’s care needs.</w:t>
      </w:r>
    </w:p>
    <w:p w:rsidR="00980F62" w:rsidRDefault="00557FD2" w:rsidP="00545873">
      <w:r w:rsidRPr="00C078E6">
        <w:t xml:space="preserve">The R-ACFI now provides an even stronger financial incentive for facilities to introduce and further develop physical </w:t>
      </w:r>
      <w:r w:rsidR="00DB6CD5">
        <w:t>Therapy Program</w:t>
      </w:r>
      <w:r w:rsidRPr="00C078E6">
        <w:t xml:space="preserve">s (refer </w:t>
      </w:r>
      <w:hyperlink w:anchor="Ch07" w:history="1">
        <w:r w:rsidRPr="00A91929">
          <w:rPr>
            <w:rStyle w:val="Hyperlink"/>
          </w:rPr>
          <w:t>Chapter 7</w:t>
        </w:r>
      </w:hyperlink>
      <w:r w:rsidRPr="00C078E6">
        <w:t>).</w:t>
      </w:r>
    </w:p>
    <w:p w:rsidR="00980F62" w:rsidRDefault="00557FD2" w:rsidP="00545873">
      <w:pPr>
        <w:rPr>
          <w:rFonts w:cs="Tahoma"/>
        </w:rPr>
      </w:pPr>
      <w:r w:rsidRPr="00B622BD">
        <w:rPr>
          <w:rFonts w:cs="Tahoma"/>
        </w:rPr>
        <w:t>As is the case with the current ACFI</w:t>
      </w:r>
      <w:r w:rsidR="00D91BC3">
        <w:rPr>
          <w:rFonts w:cs="Tahoma"/>
        </w:rPr>
        <w:t>,</w:t>
      </w:r>
      <w:r w:rsidRPr="00B622BD">
        <w:rPr>
          <w:rFonts w:cs="Tahoma"/>
        </w:rPr>
        <w:t xml:space="preserve"> once a facility completes an accurate appraisal of a resident’s care needs, the funding received will be retained even if the resident’s functioning improves.</w:t>
      </w:r>
    </w:p>
    <w:p w:rsidR="00980F62" w:rsidRDefault="00557FD2" w:rsidP="00545873">
      <w:pPr>
        <w:rPr>
          <w:rFonts w:cs="Tahoma"/>
        </w:rPr>
      </w:pPr>
      <w:r w:rsidRPr="00B622BD">
        <w:rPr>
          <w:rFonts w:cs="Tahoma"/>
        </w:rPr>
        <w:t xml:space="preserve">The R-ACFI funding model therefore supports the use of </w:t>
      </w:r>
      <w:r w:rsidR="00DB6CD5">
        <w:rPr>
          <w:rFonts w:cs="Tahoma"/>
        </w:rPr>
        <w:t>Therapy Program</w:t>
      </w:r>
      <w:r w:rsidRPr="00B622BD">
        <w:rPr>
          <w:rFonts w:cs="Tahoma"/>
        </w:rPr>
        <w:t>s and rewards outcomes that improve resident care.</w:t>
      </w:r>
    </w:p>
    <w:p w:rsidR="00557FD2" w:rsidRPr="000925B8" w:rsidRDefault="00557FD2" w:rsidP="00730D08">
      <w:pPr>
        <w:pStyle w:val="Heading3-Chapter33"/>
      </w:pPr>
      <w:bookmarkStart w:id="177" w:name="_Toc486423837"/>
      <w:bookmarkStart w:id="178" w:name="_Toc486601539"/>
      <w:bookmarkStart w:id="179" w:name="_Toc486603032"/>
      <w:r>
        <w:t xml:space="preserve">The R-ACFI has a Minimum </w:t>
      </w:r>
      <w:r w:rsidR="00D91BC3">
        <w:t>‘</w:t>
      </w:r>
      <w:r>
        <w:t>Base</w:t>
      </w:r>
      <w:r w:rsidR="00D91BC3">
        <w:t>’</w:t>
      </w:r>
      <w:r>
        <w:t xml:space="preserve"> Funding ADL Classification</w:t>
      </w:r>
      <w:bookmarkEnd w:id="177"/>
      <w:bookmarkEnd w:id="178"/>
      <w:bookmarkEnd w:id="179"/>
    </w:p>
    <w:p w:rsidR="00980F62" w:rsidRDefault="00557FD2" w:rsidP="00545873">
      <w:pPr>
        <w:rPr>
          <w:color w:val="222222"/>
        </w:rPr>
      </w:pPr>
      <w:r>
        <w:rPr>
          <w:lang w:eastAsia="en-AU"/>
        </w:rPr>
        <w:t>As the R-ACFI has a four level ADL domain, i</w:t>
      </w:r>
      <w:r w:rsidRPr="00312BDC">
        <w:rPr>
          <w:lang w:eastAsia="en-AU"/>
        </w:rPr>
        <w:t xml:space="preserve">t is recommended </w:t>
      </w:r>
      <w:r>
        <w:rPr>
          <w:lang w:eastAsia="en-AU"/>
        </w:rPr>
        <w:t xml:space="preserve">that all residents in care receive funding in the ADL base layer. The amount however </w:t>
      </w:r>
      <w:r w:rsidRPr="00312BDC">
        <w:rPr>
          <w:color w:val="222222"/>
        </w:rPr>
        <w:t>shou</w:t>
      </w:r>
      <w:r>
        <w:rPr>
          <w:color w:val="222222"/>
        </w:rPr>
        <w:t>ld be kept at a minimum</w:t>
      </w:r>
      <w:r w:rsidRPr="00312BDC">
        <w:rPr>
          <w:color w:val="222222"/>
        </w:rPr>
        <w:t>.</w:t>
      </w:r>
      <w:r w:rsidR="007A576E">
        <w:rPr>
          <w:color w:val="222222"/>
        </w:rPr>
        <w:t xml:space="preserve"> </w:t>
      </w:r>
      <w:r w:rsidRPr="00312BDC">
        <w:rPr>
          <w:color w:val="222222"/>
        </w:rPr>
        <w:t>Large fixed funding bases have been developed from hospital and institutional funding systems where the basic care infrastructure is</w:t>
      </w:r>
      <w:r>
        <w:rPr>
          <w:color w:val="222222"/>
        </w:rPr>
        <w:t>,</w:t>
      </w:r>
      <w:r w:rsidRPr="00312BDC">
        <w:rPr>
          <w:color w:val="222222"/>
        </w:rPr>
        <w:t xml:space="preserve"> to a large extent</w:t>
      </w:r>
      <w:r>
        <w:rPr>
          <w:color w:val="222222"/>
        </w:rPr>
        <w:t>,</w:t>
      </w:r>
      <w:r w:rsidRPr="00312BDC">
        <w:rPr>
          <w:color w:val="222222"/>
        </w:rPr>
        <w:t xml:space="preserve"> fixed. Aged care is different as the care needs can be met in different and emerging ways via building designs, varying shift lengths, staff numbers, mix, handover models, IT etc. These all impact on the </w:t>
      </w:r>
      <w:r w:rsidR="00D91BC3">
        <w:rPr>
          <w:color w:val="222222"/>
        </w:rPr>
        <w:t>‘</w:t>
      </w:r>
      <w:r w:rsidRPr="00312BDC">
        <w:rPr>
          <w:color w:val="222222"/>
        </w:rPr>
        <w:t>cost of care</w:t>
      </w:r>
      <w:r w:rsidR="00D91BC3">
        <w:rPr>
          <w:color w:val="222222"/>
        </w:rPr>
        <w:t>’</w:t>
      </w:r>
      <w:r w:rsidRPr="00312BDC">
        <w:rPr>
          <w:color w:val="222222"/>
        </w:rPr>
        <w:t xml:space="preserve">. Fixing a large care base </w:t>
      </w:r>
      <w:r>
        <w:rPr>
          <w:color w:val="222222"/>
        </w:rPr>
        <w:t>will</w:t>
      </w:r>
      <w:r w:rsidRPr="00312BDC">
        <w:rPr>
          <w:color w:val="222222"/>
        </w:rPr>
        <w:t xml:space="preserve"> hard code in in</w:t>
      </w:r>
      <w:r>
        <w:rPr>
          <w:color w:val="222222"/>
        </w:rPr>
        <w:t xml:space="preserve">efficiencies, stifle innovation, </w:t>
      </w:r>
      <w:r w:rsidRPr="00312BDC">
        <w:rPr>
          <w:color w:val="222222"/>
        </w:rPr>
        <w:t xml:space="preserve">reduce flexibility for providers (design to a price), over-fund some facilities and expose </w:t>
      </w:r>
      <w:r>
        <w:rPr>
          <w:color w:val="222222"/>
        </w:rPr>
        <w:t>the Department</w:t>
      </w:r>
      <w:r w:rsidRPr="00312BDC">
        <w:rPr>
          <w:color w:val="222222"/>
        </w:rPr>
        <w:t xml:space="preserve"> to cost increases where they have limited control.</w:t>
      </w:r>
    </w:p>
    <w:p w:rsidR="00557FD2" w:rsidRPr="00730D08" w:rsidRDefault="00557FD2" w:rsidP="00730D08">
      <w:pPr>
        <w:pStyle w:val="Heading3-Chapter33"/>
      </w:pPr>
      <w:bookmarkStart w:id="180" w:name="_Toc486423838"/>
      <w:bookmarkStart w:id="181" w:name="_Toc486601540"/>
      <w:bookmarkStart w:id="182" w:name="_Toc486603033"/>
      <w:r w:rsidRPr="00730D08">
        <w:t>The R-ACFI Promotes Best Practice Assessment and Care Planning</w:t>
      </w:r>
      <w:bookmarkEnd w:id="180"/>
      <w:bookmarkEnd w:id="181"/>
      <w:bookmarkEnd w:id="182"/>
    </w:p>
    <w:p w:rsidR="00980F62" w:rsidRDefault="00557FD2" w:rsidP="00545873">
      <w:r>
        <w:t>The R-ACFI strongly supports the creation of an assessment and care planning evidence basis which will then lead to the funding outcome. This is a ‘care first’, ‘funding later’ model.</w:t>
      </w:r>
    </w:p>
    <w:p w:rsidR="00557FD2" w:rsidRPr="00C9633B" w:rsidRDefault="00557FD2" w:rsidP="003F1847">
      <w:pPr>
        <w:pStyle w:val="Heading4-Chapter335"/>
      </w:pPr>
      <w:r w:rsidRPr="00C9633B">
        <w:t>R-ACFI Assessment and Care Planning</w:t>
      </w:r>
    </w:p>
    <w:p w:rsidR="00557FD2" w:rsidRDefault="00557FD2" w:rsidP="00545873">
      <w:r>
        <w:t>Most clinical care software systems</w:t>
      </w:r>
      <w:r w:rsidRPr="003C50D6">
        <w:t xml:space="preserve"> u</w:t>
      </w:r>
      <w:r>
        <w:t xml:space="preserve">se summary </w:t>
      </w:r>
      <w:r w:rsidR="00681F3D">
        <w:t>‘</w:t>
      </w:r>
      <w:r>
        <w:t>assessments</w:t>
      </w:r>
      <w:r w:rsidR="00681F3D">
        <w:t>’</w:t>
      </w:r>
      <w:r>
        <w:t xml:space="preserve"> that record</w:t>
      </w:r>
      <w:r w:rsidRPr="003C50D6">
        <w:t xml:space="preserve"> a care outcome (e.g. unable to participate in transfers) as evidence </w:t>
      </w:r>
      <w:r w:rsidR="00681F3D">
        <w:t>of</w:t>
      </w:r>
      <w:r w:rsidRPr="003C50D6">
        <w:t xml:space="preserve"> a care need (requires physical assistance with transfers). </w:t>
      </w:r>
      <w:r>
        <w:t xml:space="preserve">These are not </w:t>
      </w:r>
      <w:r w:rsidRPr="003C50D6">
        <w:rPr>
          <w:lang w:eastAsia="en-AU"/>
        </w:rPr>
        <w:t>actual assessment</w:t>
      </w:r>
      <w:r>
        <w:rPr>
          <w:lang w:eastAsia="en-AU"/>
        </w:rPr>
        <w:t>s</w:t>
      </w:r>
      <w:r w:rsidRPr="003C50D6">
        <w:rPr>
          <w:lang w:eastAsia="en-AU"/>
        </w:rPr>
        <w:t xml:space="preserve"> as they represent a summary of the assessment outcomes describing what a person can do based on an incremental Likert scale. In the review of the ACFI, it has been acknowledged that improved assessment outcomes will be achieved if contemporary, well designed tools c</w:t>
      </w:r>
      <w:r w:rsidR="00681F3D">
        <w:rPr>
          <w:lang w:eastAsia="en-AU"/>
        </w:rPr>
        <w:t>an</w:t>
      </w:r>
      <w:r w:rsidRPr="003C50D6">
        <w:rPr>
          <w:lang w:eastAsia="en-AU"/>
        </w:rPr>
        <w:t xml:space="preserve"> be used as the fundamental assessment basis. This </w:t>
      </w:r>
      <w:r w:rsidR="00681F3D">
        <w:rPr>
          <w:lang w:eastAsia="en-AU"/>
        </w:rPr>
        <w:t xml:space="preserve">high </w:t>
      </w:r>
      <w:r w:rsidRPr="003C50D6">
        <w:rPr>
          <w:lang w:eastAsia="en-AU"/>
        </w:rPr>
        <w:t xml:space="preserve">quality information </w:t>
      </w:r>
      <w:r w:rsidR="00681F3D">
        <w:rPr>
          <w:lang w:eastAsia="en-AU"/>
        </w:rPr>
        <w:t>will</w:t>
      </w:r>
      <w:r w:rsidRPr="003C50D6">
        <w:rPr>
          <w:lang w:eastAsia="en-AU"/>
        </w:rPr>
        <w:t xml:space="preserve"> lead to better care planning outcomes and represent an improvement on an industry basis of assessment practices, but only if the tools are </w:t>
      </w:r>
      <w:r>
        <w:rPr>
          <w:lang w:eastAsia="en-AU"/>
        </w:rPr>
        <w:t>mandated.</w:t>
      </w:r>
    </w:p>
    <w:p w:rsidR="00557FD2" w:rsidRDefault="00557FD2" w:rsidP="00545873">
      <w:pPr>
        <w:rPr>
          <w:rFonts w:cstheme="minorHAnsi"/>
        </w:rPr>
      </w:pPr>
      <w:r w:rsidRPr="003C50D6">
        <w:lastRenderedPageBreak/>
        <w:t>In line with the enhanced assessment and care planning (e.g. Therapy Program</w:t>
      </w:r>
      <w:r>
        <w:t xml:space="preserve"> discussed later</w:t>
      </w:r>
      <w:r w:rsidRPr="003C50D6">
        <w:t>) focus of the R-ACFI</w:t>
      </w:r>
      <w:r>
        <w:t>, there is an enhanced suite of mandated assessments. The R-ACFI provides a more contemporary and comprehensive set of assessments that will assist</w:t>
      </w:r>
      <w:r w:rsidR="00545873">
        <w:t xml:space="preserve"> </w:t>
      </w:r>
      <w:r w:rsidR="00681F3D">
        <w:t xml:space="preserve">in the identification of </w:t>
      </w:r>
      <w:r>
        <w:t xml:space="preserve">resident care needs and directly relate to the care planning process to improve quality of care outcomes. </w:t>
      </w:r>
      <w:hyperlink w:anchor="Fig0304" w:history="1">
        <w:r w:rsidRPr="00CA7C3C">
          <w:rPr>
            <w:rStyle w:val="Hyperlink"/>
          </w:rPr>
          <w:t>Figure 3.4</w:t>
        </w:r>
      </w:hyperlink>
      <w:r>
        <w:t xml:space="preserve"> shows </w:t>
      </w:r>
      <w:r w:rsidRPr="003C50D6">
        <w:t>h</w:t>
      </w:r>
      <w:r>
        <w:rPr>
          <w:rFonts w:cstheme="minorHAnsi"/>
        </w:rPr>
        <w:t xml:space="preserve">ow the R-ACFI fits </w:t>
      </w:r>
      <w:r w:rsidRPr="003C50D6">
        <w:rPr>
          <w:rFonts w:cstheme="minorHAnsi"/>
        </w:rPr>
        <w:t>i</w:t>
      </w:r>
      <w:r>
        <w:rPr>
          <w:rFonts w:cstheme="minorHAnsi"/>
        </w:rPr>
        <w:t>nto the n</w:t>
      </w:r>
      <w:r w:rsidRPr="003C50D6">
        <w:rPr>
          <w:rFonts w:cstheme="minorHAnsi"/>
        </w:rPr>
        <w:t xml:space="preserve">ursing </w:t>
      </w:r>
      <w:r>
        <w:rPr>
          <w:rFonts w:cstheme="minorHAnsi"/>
        </w:rPr>
        <w:t>p</w:t>
      </w:r>
      <w:r w:rsidRPr="003C50D6">
        <w:rPr>
          <w:rFonts w:cstheme="minorHAnsi"/>
        </w:rPr>
        <w:t>rocess</w:t>
      </w:r>
      <w:r>
        <w:rPr>
          <w:rFonts w:cstheme="minorHAnsi"/>
        </w:rPr>
        <w:t xml:space="preserve"> by providing a more comprehensive assessment base than the current ACFI.</w:t>
      </w:r>
      <w:r w:rsidR="00545873">
        <w:rPr>
          <w:rFonts w:cstheme="minorHAnsi"/>
        </w:rPr>
        <w:t xml:space="preserve"> I</w:t>
      </w:r>
      <w:r>
        <w:rPr>
          <w:rFonts w:cstheme="minorHAnsi"/>
        </w:rPr>
        <w:t>t also shows that application of the new R-ACFI assessment model will directly lead to the R-ACFI claim for funding as an outcome. This provide</w:t>
      </w:r>
      <w:r w:rsidR="00681F3D">
        <w:rPr>
          <w:rFonts w:cstheme="minorHAnsi"/>
        </w:rPr>
        <w:t>s</w:t>
      </w:r>
      <w:r>
        <w:rPr>
          <w:rFonts w:cstheme="minorHAnsi"/>
        </w:rPr>
        <w:t xml:space="preserve"> a more seamless and efficient approach that links care assessment to funding outcomes.</w:t>
      </w:r>
    </w:p>
    <w:p w:rsidR="00980F62" w:rsidRDefault="00473246" w:rsidP="00545873">
      <w:hyperlink w:anchor="Fig0304" w:history="1">
        <w:r w:rsidR="00557FD2" w:rsidRPr="00CA7C3C">
          <w:rPr>
            <w:rStyle w:val="Hyperlink"/>
          </w:rPr>
          <w:t>Figure 3.4</w:t>
        </w:r>
      </w:hyperlink>
      <w:r w:rsidR="00557FD2">
        <w:t xml:space="preserve"> shows that the process commences with an </w:t>
      </w:r>
      <w:r w:rsidR="00681F3D">
        <w:t>i</w:t>
      </w:r>
      <w:r w:rsidR="00557FD2">
        <w:t xml:space="preserve">nitial </w:t>
      </w:r>
      <w:r w:rsidR="00681F3D">
        <w:t>n</w:t>
      </w:r>
      <w:r w:rsidR="00557FD2">
        <w:t>urs</w:t>
      </w:r>
      <w:r w:rsidR="00681F3D">
        <w:t>ing as</w:t>
      </w:r>
      <w:r w:rsidR="00557FD2">
        <w:t>sessment and R-ACFI and other essential assessments (e.g. cultural, social, emotional needs) for a comprehensive assessment approach. The identification phase then leads into the implementation phase where the information is used to design the care plan interventions and, in the review phase, to evaluate the outcomes of the care.</w:t>
      </w:r>
    </w:p>
    <w:p w:rsidR="00980F62" w:rsidRDefault="00557FD2" w:rsidP="00230B40">
      <w:r>
        <w:t xml:space="preserve">The R-ACFI places emphasis on physical therapy and the </w:t>
      </w:r>
      <w:r w:rsidRPr="003C50D6">
        <w:t>ADL</w:t>
      </w:r>
      <w:r w:rsidR="00681F3D">
        <w:t>s</w:t>
      </w:r>
      <w:r w:rsidRPr="003C50D6">
        <w:t xml:space="preserve"> </w:t>
      </w:r>
      <w:r>
        <w:t xml:space="preserve">as these activities </w:t>
      </w:r>
      <w:r w:rsidRPr="003C50D6">
        <w:t xml:space="preserve">are central in the life of residents. ADL support is of a personal nature and is provided throughout the day and on all days of a resident’s life. ADL activities performed using evidence informed approaches will contribute significantly to a resident’s quality of care and quality of life outcomes. </w:t>
      </w:r>
      <w:r w:rsidR="00681F3D">
        <w:t xml:space="preserve">Assisting residents with their ADLs provides staff with </w:t>
      </w:r>
      <w:r w:rsidRPr="003C50D6">
        <w:t xml:space="preserve">daily opportunities to </w:t>
      </w:r>
      <w:r w:rsidR="00681F3D">
        <w:t xml:space="preserve">validate and respect </w:t>
      </w:r>
      <w:r w:rsidRPr="003C50D6">
        <w:t>resident choice</w:t>
      </w:r>
      <w:r w:rsidR="00681F3D">
        <w:t xml:space="preserve">, </w:t>
      </w:r>
      <w:r w:rsidRPr="003C50D6">
        <w:t xml:space="preserve">participation </w:t>
      </w:r>
      <w:r>
        <w:t>and self-</w:t>
      </w:r>
      <w:r w:rsidRPr="003C50D6">
        <w:t xml:space="preserve">determination. The ADL care aspects are also a major focus of the funding system </w:t>
      </w:r>
      <w:r w:rsidR="00681F3D">
        <w:t xml:space="preserve">due to </w:t>
      </w:r>
      <w:r w:rsidRPr="003C50D6">
        <w:t xml:space="preserve">their importance </w:t>
      </w:r>
      <w:r w:rsidR="00681F3D">
        <w:t>in</w:t>
      </w:r>
      <w:r w:rsidRPr="003C50D6">
        <w:t xml:space="preserve"> everyday care provision and the associated cost of the care. It is therefore essential that the facility </w:t>
      </w:r>
      <w:r>
        <w:t>R-</w:t>
      </w:r>
      <w:r w:rsidRPr="003C50D6">
        <w:t>ACFI claiming for ADL care is supported by the best possible assessment and documentation, to provide for accurate and evidence-based funding claims.</w:t>
      </w:r>
    </w:p>
    <w:p w:rsidR="00980F62" w:rsidRDefault="00441466" w:rsidP="00441466">
      <w:pPr>
        <w:rPr>
          <w:bCs/>
        </w:rPr>
      </w:pPr>
      <w:r>
        <w:rPr>
          <w:bCs/>
        </w:rPr>
        <w:t>The following chapters detail the changes to the care domains and the new assessment basis for the funding determination and audit/review processes.</w:t>
      </w:r>
    </w:p>
    <w:p w:rsidR="00557FD2" w:rsidRDefault="00557FD2" w:rsidP="00557FD2">
      <w:pPr>
        <w:spacing w:after="200"/>
        <w:rPr>
          <w:rFonts w:cstheme="minorHAnsi"/>
          <w:b/>
        </w:rPr>
      </w:pPr>
      <w:r>
        <w:rPr>
          <w:rFonts w:cstheme="minorHAnsi"/>
          <w:b/>
        </w:rPr>
        <w:br w:type="page"/>
      </w:r>
    </w:p>
    <w:p w:rsidR="00291A6C" w:rsidRDefault="00291A6C" w:rsidP="00291A6C">
      <w:pPr>
        <w:pStyle w:val="Caption"/>
        <w:keepNext/>
      </w:pPr>
      <w:bookmarkStart w:id="183" w:name="_Toc486403625"/>
      <w:bookmarkStart w:id="184" w:name="_Toc495415964"/>
      <w:bookmarkEnd w:id="183"/>
      <w:r>
        <w:lastRenderedPageBreak/>
        <w:t>Figure 3.</w:t>
      </w:r>
      <w:r w:rsidR="009A3F5A">
        <w:fldChar w:fldCharType="begin"/>
      </w:r>
      <w:r w:rsidR="009A3F5A">
        <w:instrText xml:space="preserve"> SEQ Figure_3. \* ARABIC </w:instrText>
      </w:r>
      <w:r w:rsidR="009A3F5A">
        <w:fldChar w:fldCharType="separate"/>
      </w:r>
      <w:r w:rsidR="00856E49">
        <w:rPr>
          <w:noProof/>
        </w:rPr>
        <w:t>4</w:t>
      </w:r>
      <w:r w:rsidR="009A3F5A">
        <w:rPr>
          <w:noProof/>
        </w:rPr>
        <w:fldChar w:fldCharType="end"/>
      </w:r>
      <w:r>
        <w:t xml:space="preserve">: </w:t>
      </w:r>
      <w:r w:rsidRPr="00291A6C">
        <w:t>How the R-ACFI Enhances and Fits into the Nursing Care Process</w:t>
      </w:r>
      <w:bookmarkEnd w:id="184"/>
    </w:p>
    <w:p w:rsidR="007A70EC" w:rsidRDefault="00D912BA" w:rsidP="00557FD2">
      <w:r>
        <w:rPr>
          <w:noProof/>
          <w:lang w:eastAsia="en-AU"/>
        </w:rPr>
        <w:drawing>
          <wp:inline distT="0" distB="0" distL="0" distR="0" wp14:anchorId="4D862D02" wp14:editId="2F798DCE">
            <wp:extent cx="5760000" cy="8204400"/>
            <wp:effectExtent l="19050" t="19050" r="12700" b="25400"/>
            <wp:docPr id="20" name="Picture 20" descr="Figure 3.4 is a workflow diagram illustrating how the revised-Aged Care Funding Instrument (R-ACFI) fits into the care planning process. &#10;The diagram is split into 3 main headings:&#10;1. Identify care needs&#10;2. Apply&#10;3. Review and evaluate.&#10;Part of the ACFI system has been outlin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FI Relationship to Care Planning and Funding.jpg"/>
                    <pic:cNvPicPr/>
                  </pic:nvPicPr>
                  <pic:blipFill>
                    <a:blip r:embed="rId25">
                      <a:extLst>
                        <a:ext uri="{28A0092B-C50C-407E-A947-70E740481C1C}">
                          <a14:useLocalDpi xmlns:a14="http://schemas.microsoft.com/office/drawing/2010/main" val="0"/>
                        </a:ext>
                      </a:extLst>
                    </a:blip>
                    <a:stretch>
                      <a:fillRect/>
                    </a:stretch>
                  </pic:blipFill>
                  <pic:spPr>
                    <a:xfrm>
                      <a:off x="0" y="0"/>
                      <a:ext cx="5760000" cy="8204400"/>
                    </a:xfrm>
                    <a:prstGeom prst="rect">
                      <a:avLst/>
                    </a:prstGeom>
                    <a:ln>
                      <a:solidFill>
                        <a:schemeClr val="accent5"/>
                      </a:solidFill>
                    </a:ln>
                  </pic:spPr>
                </pic:pic>
              </a:graphicData>
            </a:graphic>
          </wp:inline>
        </w:drawing>
      </w:r>
    </w:p>
    <w:p w:rsidR="00557FD2" w:rsidRPr="002B4E1A" w:rsidRDefault="00557FD2" w:rsidP="002B4E1A">
      <w:r>
        <w:br w:type="page"/>
      </w:r>
    </w:p>
    <w:p w:rsidR="00557FD2" w:rsidRDefault="00557FD2" w:rsidP="00557203">
      <w:pPr>
        <w:pStyle w:val="Heading1-Chapters"/>
      </w:pPr>
      <w:bookmarkStart w:id="185" w:name="_Toc482012894"/>
      <w:bookmarkStart w:id="186" w:name="_Toc486599998"/>
      <w:bookmarkStart w:id="187" w:name="_Toc486603042"/>
      <w:bookmarkStart w:id="188" w:name="_Toc491426034"/>
      <w:bookmarkStart w:id="189" w:name="Ch04"/>
      <w:bookmarkStart w:id="190" w:name="_Hlk483950192"/>
      <w:r w:rsidRPr="00830247">
        <w:lastRenderedPageBreak/>
        <w:t>The new R-ACFI ADL Domain</w:t>
      </w:r>
      <w:bookmarkEnd w:id="185"/>
      <w:bookmarkEnd w:id="186"/>
      <w:bookmarkEnd w:id="187"/>
      <w:bookmarkEnd w:id="188"/>
    </w:p>
    <w:bookmarkEnd w:id="189"/>
    <w:p w:rsidR="00980F62" w:rsidRDefault="00F31F0D" w:rsidP="00F31F0D">
      <w:pPr>
        <w:shd w:val="clear" w:color="auto" w:fill="DEEAF6" w:themeFill="accent5" w:themeFillTint="33"/>
        <w:spacing w:before="60" w:after="60"/>
        <w:rPr>
          <w:lang w:eastAsia="en-AU"/>
        </w:rPr>
      </w:pPr>
      <w:r>
        <w:rPr>
          <w:lang w:eastAsia="en-AU"/>
        </w:rPr>
        <w:t>This Chapter has the following sections:</w:t>
      </w:r>
    </w:p>
    <w:p w:rsidR="00F31F0D" w:rsidRDefault="00F31F0D" w:rsidP="00F02312">
      <w:pPr>
        <w:pStyle w:val="ListParagraph"/>
        <w:numPr>
          <w:ilvl w:val="0"/>
          <w:numId w:val="91"/>
        </w:numPr>
        <w:shd w:val="clear" w:color="auto" w:fill="DEEAF6" w:themeFill="accent5" w:themeFillTint="33"/>
        <w:spacing w:after="0"/>
      </w:pPr>
      <w:r>
        <w:t>An overview of the current ACFI ADL Domain</w:t>
      </w:r>
      <w:r w:rsidR="00606FA2">
        <w:t>.</w:t>
      </w:r>
    </w:p>
    <w:p w:rsidR="00F31F0D" w:rsidRDefault="00F31F0D" w:rsidP="00F02312">
      <w:pPr>
        <w:pStyle w:val="ListParagraph"/>
        <w:numPr>
          <w:ilvl w:val="0"/>
          <w:numId w:val="91"/>
        </w:numPr>
        <w:shd w:val="clear" w:color="auto" w:fill="DEEAF6" w:themeFill="accent5" w:themeFillTint="33"/>
        <w:spacing w:after="0"/>
      </w:pPr>
      <w:r>
        <w:t>A statistical overview of the ADL Domain since ACFI commencement</w:t>
      </w:r>
      <w:r w:rsidR="00606FA2">
        <w:t>.</w:t>
      </w:r>
    </w:p>
    <w:p w:rsidR="00F31F0D" w:rsidRDefault="00F31F0D" w:rsidP="00F02312">
      <w:pPr>
        <w:pStyle w:val="ListParagraph"/>
        <w:numPr>
          <w:ilvl w:val="0"/>
          <w:numId w:val="91"/>
        </w:numPr>
        <w:shd w:val="clear" w:color="auto" w:fill="DEEAF6" w:themeFill="accent5" w:themeFillTint="33"/>
        <w:spacing w:after="0"/>
      </w:pPr>
      <w:r>
        <w:t>The ADL Domain Review</w:t>
      </w:r>
      <w:r w:rsidR="00606FA2">
        <w:t>.</w:t>
      </w:r>
    </w:p>
    <w:p w:rsidR="00F31F0D" w:rsidRDefault="00F31F0D" w:rsidP="00F02312">
      <w:pPr>
        <w:pStyle w:val="ListParagraph"/>
        <w:numPr>
          <w:ilvl w:val="0"/>
          <w:numId w:val="91"/>
        </w:numPr>
        <w:shd w:val="clear" w:color="auto" w:fill="DEEAF6" w:themeFill="accent5" w:themeFillTint="33"/>
        <w:spacing w:after="0"/>
      </w:pPr>
      <w:r>
        <w:t>Recommended ADL Domain Changes</w:t>
      </w:r>
      <w:r w:rsidR="00606FA2">
        <w:t>.</w:t>
      </w:r>
    </w:p>
    <w:p w:rsidR="00F31F0D" w:rsidRDefault="00F31F0D" w:rsidP="00F02312">
      <w:pPr>
        <w:pStyle w:val="ListParagraph"/>
        <w:numPr>
          <w:ilvl w:val="0"/>
          <w:numId w:val="91"/>
        </w:numPr>
        <w:shd w:val="clear" w:color="auto" w:fill="DEEAF6" w:themeFill="accent5" w:themeFillTint="33"/>
        <w:spacing w:after="0"/>
      </w:pPr>
      <w:r>
        <w:t>The new R-ADL Domain Items</w:t>
      </w:r>
      <w:r w:rsidR="00606FA2">
        <w:t>.</w:t>
      </w:r>
    </w:p>
    <w:p w:rsidR="00980F62" w:rsidRDefault="00557FD2" w:rsidP="00530D56">
      <w:pPr>
        <w:pStyle w:val="Heading2-Chapter4"/>
      </w:pPr>
      <w:bookmarkStart w:id="191" w:name="_Toc482012895"/>
      <w:bookmarkStart w:id="192" w:name="_Toc486599999"/>
      <w:bookmarkStart w:id="193" w:name="_Toc486603043"/>
      <w:bookmarkStart w:id="194" w:name="_Toc491426035"/>
      <w:bookmarkEnd w:id="190"/>
      <w:r w:rsidRPr="00830247">
        <w:t>The current A</w:t>
      </w:r>
      <w:r w:rsidR="006C5EDD">
        <w:t>CFI A</w:t>
      </w:r>
      <w:r w:rsidR="004F5967">
        <w:t>DL</w:t>
      </w:r>
      <w:r w:rsidR="006C5EDD">
        <w:t xml:space="preserve"> D</w:t>
      </w:r>
      <w:r w:rsidRPr="00830247">
        <w:t>omain</w:t>
      </w:r>
      <w:bookmarkEnd w:id="191"/>
      <w:bookmarkEnd w:id="192"/>
      <w:bookmarkEnd w:id="193"/>
      <w:bookmarkEnd w:id="194"/>
    </w:p>
    <w:p w:rsidR="00557FD2" w:rsidRPr="00965B53" w:rsidRDefault="00557FD2" w:rsidP="008058D3">
      <w:pPr>
        <w:pStyle w:val="Heading3-Chapter41"/>
      </w:pPr>
      <w:r>
        <w:t>ADL</w:t>
      </w:r>
      <w:r w:rsidRPr="00A02E1B">
        <w:t xml:space="preserve"> Domain Questions</w:t>
      </w:r>
    </w:p>
    <w:p w:rsidR="00557FD2" w:rsidRDefault="00557FD2" w:rsidP="0017119E">
      <w:pPr>
        <w:tabs>
          <w:tab w:val="left" w:pos="7638"/>
        </w:tabs>
        <w:rPr>
          <w:lang w:eastAsia="en-AU"/>
        </w:rPr>
      </w:pPr>
      <w:r>
        <w:rPr>
          <w:lang w:eastAsia="en-AU"/>
        </w:rPr>
        <w:t>The ADL domain consists of five ACFI questions</w:t>
      </w:r>
      <w:bookmarkStart w:id="195" w:name="_Hlk484433745"/>
      <w:r>
        <w:rPr>
          <w:lang w:eastAsia="en-AU"/>
        </w:rPr>
        <w:t>: Nutrition, Mobility, Personal Hygiene, Toileting, and Continence, and each of these questions</w:t>
      </w:r>
      <w:bookmarkEnd w:id="195"/>
      <w:r>
        <w:rPr>
          <w:lang w:eastAsia="en-AU"/>
        </w:rPr>
        <w:t xml:space="preserve"> has a subset of care need items. The provider rates these items to show the level of care needed based on assessments completed in the previous 6 months, </w:t>
      </w:r>
      <w:r w:rsidR="004F5967">
        <w:rPr>
          <w:lang w:eastAsia="en-AU"/>
        </w:rPr>
        <w:t xml:space="preserve">which </w:t>
      </w:r>
      <w:r>
        <w:rPr>
          <w:lang w:eastAsia="en-AU"/>
        </w:rPr>
        <w:t xml:space="preserve">must reflect the resident’s usual care needs at the time of the ACFI appraisal for funding. </w:t>
      </w:r>
      <w:r w:rsidRPr="000566AF">
        <w:rPr>
          <w:i/>
          <w:lang w:eastAsia="en-AU"/>
        </w:rPr>
        <w:t xml:space="preserve">Usual </w:t>
      </w:r>
      <w:r>
        <w:rPr>
          <w:i/>
          <w:lang w:eastAsia="en-AU"/>
        </w:rPr>
        <w:t xml:space="preserve">care needs are defined as “the </w:t>
      </w:r>
      <w:r w:rsidRPr="000566AF">
        <w:rPr>
          <w:i/>
          <w:lang w:eastAsia="en-AU"/>
        </w:rPr>
        <w:t>da</w:t>
      </w:r>
      <w:r>
        <w:rPr>
          <w:i/>
          <w:lang w:eastAsia="en-AU"/>
        </w:rPr>
        <w:t>y-</w:t>
      </w:r>
      <w:r w:rsidRPr="000566AF">
        <w:rPr>
          <w:i/>
          <w:lang w:eastAsia="en-AU"/>
        </w:rPr>
        <w:t>to</w:t>
      </w:r>
      <w:r>
        <w:rPr>
          <w:i/>
          <w:lang w:eastAsia="en-AU"/>
        </w:rPr>
        <w:t>-</w:t>
      </w:r>
      <w:r w:rsidRPr="000566AF">
        <w:rPr>
          <w:i/>
          <w:lang w:eastAsia="en-AU"/>
        </w:rPr>
        <w:t>day assessed care needs</w:t>
      </w:r>
      <w:r>
        <w:rPr>
          <w:i/>
          <w:lang w:eastAsia="en-AU"/>
        </w:rPr>
        <w:t xml:space="preserve"> that are predictable and required for the specific activities”.</w:t>
      </w:r>
    </w:p>
    <w:p w:rsidR="00980F62" w:rsidRDefault="00557FD2" w:rsidP="0017119E">
      <w:pPr>
        <w:rPr>
          <w:lang w:eastAsia="en-AU"/>
        </w:rPr>
      </w:pPr>
      <w:r>
        <w:rPr>
          <w:lang w:eastAsia="en-AU"/>
        </w:rPr>
        <w:t>While the ADL ACFI questions 1 to 4 are required to have assessments completed, the actual assessment tool is not mandated. The only mandated evidence for the ADL questions is the ACFI 5 Continence Records.</w:t>
      </w:r>
    </w:p>
    <w:p w:rsidR="00557FD2" w:rsidRDefault="00557FD2" w:rsidP="00AA4F66">
      <w:pPr>
        <w:ind w:right="-52"/>
        <w:rPr>
          <w:lang w:eastAsia="en-AU"/>
        </w:rPr>
      </w:pPr>
      <w:r>
        <w:rPr>
          <w:lang w:eastAsia="en-AU"/>
        </w:rPr>
        <w:t xml:space="preserve">The ACFI User </w:t>
      </w:r>
      <w:r w:rsidRPr="00986971">
        <w:rPr>
          <w:lang w:eastAsia="en-AU"/>
        </w:rPr>
        <w:t xml:space="preserve">Guide (January 2017 version dated December </w:t>
      </w:r>
      <w:r>
        <w:rPr>
          <w:lang w:eastAsia="en-AU"/>
        </w:rPr>
        <w:t xml:space="preserve">9, </w:t>
      </w:r>
      <w:r w:rsidRPr="00986971">
        <w:rPr>
          <w:lang w:eastAsia="en-AU"/>
        </w:rPr>
        <w:t xml:space="preserve">2016) </w:t>
      </w:r>
      <w:r>
        <w:rPr>
          <w:lang w:eastAsia="en-AU"/>
        </w:rPr>
        <w:t xml:space="preserve">gives details of each ADL question checklist, item assistance levels (independent; supervision; physical assistance) and how to convert the assistance levels into the subsequent rating keys (A, B, C, D) for each ADL question. The ratings keys (A, B, C, D) </w:t>
      </w:r>
      <w:r w:rsidR="00F919D1">
        <w:rPr>
          <w:lang w:eastAsia="en-AU"/>
        </w:rPr>
        <w:t xml:space="preserve">for each ADL question </w:t>
      </w:r>
      <w:r>
        <w:rPr>
          <w:lang w:eastAsia="en-AU"/>
        </w:rPr>
        <w:t>are then used in combinations to decide the overall ADL domain category outcome of Nil (N), Low (L), M</w:t>
      </w:r>
      <w:r w:rsidRPr="009C04FE">
        <w:rPr>
          <w:lang w:eastAsia="en-AU"/>
        </w:rPr>
        <w:t>edium</w:t>
      </w:r>
      <w:r>
        <w:rPr>
          <w:lang w:eastAsia="en-AU"/>
        </w:rPr>
        <w:t xml:space="preserve"> (M)</w:t>
      </w:r>
      <w:r w:rsidRPr="009C04FE">
        <w:rPr>
          <w:lang w:eastAsia="en-AU"/>
        </w:rPr>
        <w:t xml:space="preserve">, or </w:t>
      </w:r>
      <w:r>
        <w:rPr>
          <w:lang w:eastAsia="en-AU"/>
        </w:rPr>
        <w:t>H</w:t>
      </w:r>
      <w:r w:rsidRPr="009C04FE">
        <w:rPr>
          <w:lang w:eastAsia="en-AU"/>
        </w:rPr>
        <w:t>igh</w:t>
      </w:r>
      <w:r>
        <w:rPr>
          <w:lang w:eastAsia="en-AU"/>
        </w:rPr>
        <w:t xml:space="preserve"> (H)</w:t>
      </w:r>
      <w:r w:rsidRPr="009C04FE">
        <w:rPr>
          <w:lang w:eastAsia="en-AU"/>
        </w:rPr>
        <w:t xml:space="preserve">. A funding amount is then assigned to each ADL Domain category. </w:t>
      </w:r>
      <w:hyperlink w:anchor="Tab0401" w:history="1">
        <w:r w:rsidRPr="003827C3">
          <w:rPr>
            <w:rStyle w:val="Hyperlink"/>
            <w:lang w:eastAsia="en-AU"/>
          </w:rPr>
          <w:t>Table 4.1</w:t>
        </w:r>
      </w:hyperlink>
      <w:r>
        <w:rPr>
          <w:lang w:eastAsia="en-AU"/>
        </w:rPr>
        <w:t xml:space="preserve"> describes the ADL questions 1 to 5, the items, assistance levels and ratings. </w:t>
      </w:r>
      <w:hyperlink w:anchor="Tab0402" w:history="1">
        <w:r w:rsidRPr="003827C3">
          <w:rPr>
            <w:rStyle w:val="Hyperlink"/>
            <w:lang w:eastAsia="en-AU"/>
          </w:rPr>
          <w:t>Table 4.2</w:t>
        </w:r>
      </w:hyperlink>
      <w:r>
        <w:rPr>
          <w:lang w:eastAsia="en-AU"/>
        </w:rPr>
        <w:t xml:space="preserve"> shows the weighting (as determined via a statistical analysis based on the relative importance of each question) associated with each ADL question rating. These weightings are summed to determine the ADL classification levels and associated funding (2016-17) (</w:t>
      </w:r>
      <w:hyperlink w:anchor="Tab0403" w:history="1">
        <w:r w:rsidRPr="003827C3">
          <w:rPr>
            <w:rStyle w:val="Hyperlink"/>
            <w:lang w:eastAsia="en-AU"/>
          </w:rPr>
          <w:t>Table 4.3</w:t>
        </w:r>
      </w:hyperlink>
      <w:r>
        <w:rPr>
          <w:lang w:eastAsia="en-AU"/>
        </w:rPr>
        <w:t>).</w:t>
      </w:r>
    </w:p>
    <w:p w:rsidR="00557FD2" w:rsidRPr="00965B53" w:rsidRDefault="00557FD2" w:rsidP="008058D3">
      <w:pPr>
        <w:pStyle w:val="Heading3-Chapter41"/>
      </w:pPr>
      <w:bookmarkStart w:id="196" w:name="_Toc478568285"/>
      <w:r>
        <w:t xml:space="preserve">Changes to the ADL </w:t>
      </w:r>
      <w:r w:rsidRPr="00A02E1B">
        <w:t xml:space="preserve">Domain </w:t>
      </w:r>
      <w:r>
        <w:t>Since ACFI Introduction</w:t>
      </w:r>
    </w:p>
    <w:p w:rsidR="00557FD2" w:rsidRDefault="00557FD2" w:rsidP="00DD6227">
      <w:pPr>
        <w:rPr>
          <w:b/>
        </w:rPr>
      </w:pPr>
      <w:bookmarkStart w:id="197" w:name="_Toc486600111"/>
      <w:bookmarkStart w:id="198" w:name="_Toc486602744"/>
      <w:bookmarkStart w:id="199" w:name="_Toc486602809"/>
      <w:bookmarkStart w:id="200" w:name="_Toc486604954"/>
      <w:bookmarkStart w:id="201" w:name="_Toc486605116"/>
      <w:bookmarkStart w:id="202" w:name="_Toc489255839"/>
      <w:bookmarkStart w:id="203" w:name="_Toc489337812"/>
      <w:bookmarkStart w:id="204" w:name="_Toc489337978"/>
      <w:r>
        <w:t xml:space="preserve">The ADL domain has had three changes introduced by the Department since commencement. </w:t>
      </w:r>
      <w:r w:rsidR="004F5967">
        <w:t>T</w:t>
      </w:r>
      <w:r>
        <w:t>hese changes were:</w:t>
      </w:r>
      <w:bookmarkEnd w:id="197"/>
      <w:bookmarkEnd w:id="198"/>
      <w:bookmarkEnd w:id="199"/>
      <w:bookmarkEnd w:id="200"/>
      <w:bookmarkEnd w:id="201"/>
      <w:bookmarkEnd w:id="202"/>
      <w:bookmarkEnd w:id="203"/>
      <w:bookmarkEnd w:id="204"/>
    </w:p>
    <w:p w:rsidR="00557FD2" w:rsidRPr="008761A7" w:rsidRDefault="00557FD2" w:rsidP="00F02312">
      <w:pPr>
        <w:pStyle w:val="ListParagraph"/>
        <w:numPr>
          <w:ilvl w:val="0"/>
          <w:numId w:val="92"/>
        </w:numPr>
        <w:spacing w:after="0"/>
        <w:rPr>
          <w:rFonts w:cs="Tahoma"/>
        </w:rPr>
      </w:pPr>
      <w:r w:rsidRPr="0067225D">
        <w:rPr>
          <w:rFonts w:cs="Tahoma"/>
        </w:rPr>
        <w:t>The D</w:t>
      </w:r>
      <w:r w:rsidRPr="008761A7">
        <w:rPr>
          <w:rFonts w:cs="Tahoma"/>
        </w:rPr>
        <w:t xml:space="preserve"> </w:t>
      </w:r>
      <w:r w:rsidRPr="0067225D">
        <w:rPr>
          <w:rFonts w:cs="Tahoma"/>
        </w:rPr>
        <w:t>weighting in Personal Hygiene was reduced which meant that four D ratings and one C rating were now required to obtain a High funding level (July 1, 2012)</w:t>
      </w:r>
      <w:r w:rsidR="00DD572F">
        <w:rPr>
          <w:rFonts w:cs="Tahoma"/>
        </w:rPr>
        <w:t>.</w:t>
      </w:r>
    </w:p>
    <w:p w:rsidR="00557FD2" w:rsidRPr="008761A7" w:rsidRDefault="00557FD2" w:rsidP="00F02312">
      <w:pPr>
        <w:pStyle w:val="ListParagraph"/>
        <w:numPr>
          <w:ilvl w:val="0"/>
          <w:numId w:val="92"/>
        </w:numPr>
        <w:spacing w:after="0"/>
        <w:rPr>
          <w:rFonts w:cs="Tahoma"/>
        </w:rPr>
      </w:pPr>
      <w:r w:rsidRPr="0067225D">
        <w:rPr>
          <w:rFonts w:cs="Tahoma"/>
        </w:rPr>
        <w:t>Validated tools (not specified) to be used to justify a claim in the ADL domain (February</w:t>
      </w:r>
      <w:r w:rsidR="00E36E68">
        <w:rPr>
          <w:rFonts w:cs="Tahoma"/>
        </w:rPr>
        <w:t> </w:t>
      </w:r>
      <w:r w:rsidRPr="0067225D">
        <w:rPr>
          <w:rFonts w:cs="Tahoma"/>
        </w:rPr>
        <w:t>2013)</w:t>
      </w:r>
      <w:r w:rsidR="00DD572F">
        <w:rPr>
          <w:rFonts w:cs="Tahoma"/>
        </w:rPr>
        <w:t>.</w:t>
      </w:r>
    </w:p>
    <w:p w:rsidR="00557FD2" w:rsidRPr="00B13D3B" w:rsidRDefault="00557FD2" w:rsidP="00F02312">
      <w:pPr>
        <w:pStyle w:val="ListParagraph"/>
        <w:numPr>
          <w:ilvl w:val="0"/>
          <w:numId w:val="92"/>
        </w:numPr>
        <w:spacing w:after="0"/>
        <w:rPr>
          <w:rFonts w:ascii="Calibri" w:hAnsi="Calibri" w:cs="Times New Roman"/>
          <w:b/>
          <w:iCs/>
          <w:szCs w:val="18"/>
        </w:rPr>
      </w:pPr>
      <w:r w:rsidRPr="0067225D">
        <w:rPr>
          <w:rFonts w:cs="Tahoma"/>
        </w:rPr>
        <w:t>A physical assistance claim had to be for all tasks throughout the nominated activity (February 1, 2013)</w:t>
      </w:r>
      <w:r w:rsidR="0067225D">
        <w:rPr>
          <w:rFonts w:cs="Tahoma"/>
        </w:rPr>
        <w:t>.</w:t>
      </w:r>
      <w:r>
        <w:br w:type="page"/>
      </w:r>
    </w:p>
    <w:p w:rsidR="00291A6C" w:rsidRDefault="00291A6C" w:rsidP="00291A6C">
      <w:pPr>
        <w:pStyle w:val="Caption"/>
        <w:keepNext/>
      </w:pPr>
      <w:bookmarkStart w:id="205" w:name="_Toc495415640"/>
      <w:bookmarkStart w:id="206" w:name="Tab0401"/>
      <w:bookmarkEnd w:id="196"/>
      <w:r>
        <w:lastRenderedPageBreak/>
        <w:t>Table 4.</w:t>
      </w:r>
      <w:r w:rsidR="009A3F5A">
        <w:fldChar w:fldCharType="begin"/>
      </w:r>
      <w:r w:rsidR="009A3F5A">
        <w:instrText xml:space="preserve"> SEQ Table_4. \* ARABIC </w:instrText>
      </w:r>
      <w:r w:rsidR="009A3F5A">
        <w:fldChar w:fldCharType="separate"/>
      </w:r>
      <w:r w:rsidR="00856E49">
        <w:rPr>
          <w:noProof/>
        </w:rPr>
        <w:t>1</w:t>
      </w:r>
      <w:r w:rsidR="009A3F5A">
        <w:rPr>
          <w:noProof/>
        </w:rPr>
        <w:fldChar w:fldCharType="end"/>
      </w:r>
      <w:r>
        <w:t xml:space="preserve">: </w:t>
      </w:r>
      <w:r w:rsidRPr="00291A6C">
        <w:t>ADL items, ratings and classification overview</w:t>
      </w:r>
      <w:bookmarkEnd w:id="205"/>
    </w:p>
    <w:tbl>
      <w:tblPr>
        <w:tblStyle w:val="ListTable3-Accent511"/>
        <w:tblW w:w="9249"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4.1 is a list of the Aged Care Funding Instrument (ACFI) questions, items, assistance levels and ratings under the Activities of Daily Living (ADL) domain (nutrition, mobility, personal hygiene, toileting and continence). This table is to be read left to right, top to bottom."/>
      </w:tblPr>
      <w:tblGrid>
        <w:gridCol w:w="1615"/>
        <w:gridCol w:w="2684"/>
        <w:gridCol w:w="2505"/>
        <w:gridCol w:w="2445"/>
      </w:tblGrid>
      <w:tr w:rsidR="00557FD2" w:rsidTr="00CA791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15" w:type="dxa"/>
            <w:tcBorders>
              <w:bottom w:val="none" w:sz="0" w:space="0" w:color="auto"/>
              <w:right w:val="none" w:sz="0" w:space="0" w:color="auto"/>
            </w:tcBorders>
            <w:vAlign w:val="center"/>
          </w:tcPr>
          <w:bookmarkEnd w:id="206"/>
          <w:p w:rsidR="00557FD2" w:rsidRPr="008761A7" w:rsidRDefault="00BD372C" w:rsidP="00CA7918">
            <w:pPr>
              <w:spacing w:after="0"/>
              <w:jc w:val="left"/>
              <w:rPr>
                <w:sz w:val="22"/>
                <w:lang w:eastAsia="en-AU"/>
              </w:rPr>
            </w:pPr>
            <w:r>
              <w:rPr>
                <w:sz w:val="22"/>
                <w:lang w:eastAsia="en-AU"/>
              </w:rPr>
              <w:t>Question</w:t>
            </w:r>
          </w:p>
        </w:tc>
        <w:tc>
          <w:tcPr>
            <w:cnfStyle w:val="000010000000" w:firstRow="0" w:lastRow="0" w:firstColumn="0" w:lastColumn="0" w:oddVBand="1" w:evenVBand="0" w:oddHBand="0" w:evenHBand="0" w:firstRowFirstColumn="0" w:firstRowLastColumn="0" w:lastRowFirstColumn="0" w:lastRowLastColumn="0"/>
            <w:tcW w:w="2684" w:type="dxa"/>
            <w:tcBorders>
              <w:left w:val="none" w:sz="0" w:space="0" w:color="auto"/>
              <w:right w:val="none" w:sz="0" w:space="0" w:color="auto"/>
            </w:tcBorders>
            <w:vAlign w:val="center"/>
          </w:tcPr>
          <w:p w:rsidR="00557FD2" w:rsidRPr="008761A7" w:rsidRDefault="00557FD2" w:rsidP="00CA7918">
            <w:pPr>
              <w:spacing w:after="0"/>
              <w:jc w:val="center"/>
              <w:rPr>
                <w:sz w:val="22"/>
                <w:lang w:eastAsia="en-AU"/>
              </w:rPr>
            </w:pPr>
            <w:r w:rsidRPr="008761A7">
              <w:rPr>
                <w:sz w:val="22"/>
                <w:lang w:eastAsia="en-AU"/>
              </w:rPr>
              <w:t>Items</w:t>
            </w:r>
          </w:p>
        </w:tc>
        <w:tc>
          <w:tcPr>
            <w:tcW w:w="2505" w:type="dxa"/>
            <w:vAlign w:val="center"/>
          </w:tcPr>
          <w:p w:rsidR="00557FD2" w:rsidRPr="008761A7" w:rsidRDefault="00557FD2" w:rsidP="00CA7918">
            <w:pPr>
              <w:spacing w:after="0"/>
              <w:jc w:val="center"/>
              <w:cnfStyle w:val="100000000000" w:firstRow="1" w:lastRow="0" w:firstColumn="0" w:lastColumn="0" w:oddVBand="0" w:evenVBand="0" w:oddHBand="0" w:evenHBand="0" w:firstRowFirstColumn="0" w:firstRowLastColumn="0" w:lastRowFirstColumn="0" w:lastRowLastColumn="0"/>
              <w:rPr>
                <w:sz w:val="22"/>
                <w:lang w:eastAsia="en-AU"/>
              </w:rPr>
            </w:pPr>
            <w:r w:rsidRPr="008761A7">
              <w:rPr>
                <w:sz w:val="22"/>
                <w:lang w:eastAsia="en-AU"/>
              </w:rPr>
              <w:t>Assistance Level</w:t>
            </w:r>
          </w:p>
        </w:tc>
        <w:tc>
          <w:tcPr>
            <w:cnfStyle w:val="000010000000" w:firstRow="0" w:lastRow="0" w:firstColumn="0" w:lastColumn="0" w:oddVBand="1" w:evenVBand="0" w:oddHBand="0" w:evenHBand="0" w:firstRowFirstColumn="0" w:firstRowLastColumn="0" w:lastRowFirstColumn="0" w:lastRowLastColumn="0"/>
            <w:tcW w:w="2445" w:type="dxa"/>
            <w:tcBorders>
              <w:left w:val="none" w:sz="0" w:space="0" w:color="auto"/>
              <w:right w:val="none" w:sz="0" w:space="0" w:color="auto"/>
            </w:tcBorders>
            <w:vAlign w:val="center"/>
          </w:tcPr>
          <w:p w:rsidR="00557FD2" w:rsidRPr="008761A7" w:rsidRDefault="00557FD2" w:rsidP="00CA7918">
            <w:pPr>
              <w:spacing w:after="0"/>
              <w:jc w:val="center"/>
              <w:rPr>
                <w:sz w:val="22"/>
                <w:lang w:eastAsia="en-AU"/>
              </w:rPr>
            </w:pPr>
            <w:r w:rsidRPr="008761A7">
              <w:rPr>
                <w:sz w:val="22"/>
                <w:lang w:eastAsia="en-AU"/>
              </w:rPr>
              <w:t>Ratings calculated from Assistance Levels</w:t>
            </w:r>
          </w:p>
        </w:tc>
      </w:tr>
      <w:tr w:rsidR="00557FD2" w:rsidTr="0014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bottom w:val="none" w:sz="0" w:space="0" w:color="auto"/>
              <w:right w:val="none" w:sz="0" w:space="0" w:color="auto"/>
            </w:tcBorders>
          </w:tcPr>
          <w:p w:rsidR="00557FD2" w:rsidRPr="003E20DE" w:rsidRDefault="00557FD2" w:rsidP="00E36E68">
            <w:pPr>
              <w:spacing w:after="0"/>
              <w:jc w:val="left"/>
              <w:rPr>
                <w:sz w:val="22"/>
              </w:rPr>
            </w:pPr>
            <w:r w:rsidRPr="003E20DE">
              <w:rPr>
                <w:sz w:val="22"/>
                <w:lang w:eastAsia="en-AU"/>
              </w:rPr>
              <w:t>1: Nutrition</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557FD2" w:rsidRPr="003E20DE" w:rsidRDefault="00557FD2" w:rsidP="00E36E68">
            <w:pPr>
              <w:spacing w:after="0"/>
              <w:jc w:val="left"/>
              <w:rPr>
                <w:sz w:val="22"/>
                <w:lang w:eastAsia="en-AU"/>
              </w:rPr>
            </w:pPr>
            <w:r w:rsidRPr="003E20DE">
              <w:rPr>
                <w:sz w:val="22"/>
                <w:lang w:eastAsia="en-AU"/>
              </w:rPr>
              <w:t>1.1 Readiness to Eat</w:t>
            </w:r>
          </w:p>
          <w:p w:rsidR="00557FD2" w:rsidRPr="003E20DE" w:rsidRDefault="00557FD2" w:rsidP="00E36E68">
            <w:pPr>
              <w:spacing w:after="0"/>
              <w:jc w:val="left"/>
              <w:rPr>
                <w:sz w:val="22"/>
                <w:lang w:eastAsia="en-AU"/>
              </w:rPr>
            </w:pPr>
            <w:r w:rsidRPr="003E20DE">
              <w:rPr>
                <w:sz w:val="22"/>
                <w:lang w:eastAsia="en-AU"/>
              </w:rPr>
              <w:t>1.2 Eating</w:t>
            </w:r>
          </w:p>
        </w:tc>
        <w:tc>
          <w:tcPr>
            <w:tcW w:w="2505" w:type="dxa"/>
            <w:vMerge w:val="restart"/>
            <w:tcBorders>
              <w:top w:val="none" w:sz="0" w:space="0" w:color="auto"/>
              <w:bottom w:val="none" w:sz="0" w:space="0" w:color="auto"/>
            </w:tcBorders>
          </w:tcPr>
          <w:p w:rsidR="00557FD2" w:rsidRPr="003E20DE" w:rsidRDefault="00557FD2" w:rsidP="00145F2D">
            <w:pPr>
              <w:jc w:val="left"/>
              <w:cnfStyle w:val="000000100000" w:firstRow="0" w:lastRow="0" w:firstColumn="0" w:lastColumn="0" w:oddVBand="0" w:evenVBand="0" w:oddHBand="1" w:evenHBand="0" w:firstRowFirstColumn="0" w:firstRowLastColumn="0" w:lastRowFirstColumn="0" w:lastRowLastColumn="0"/>
              <w:rPr>
                <w:i/>
                <w:sz w:val="22"/>
                <w:lang w:eastAsia="en-AU"/>
              </w:rPr>
            </w:pPr>
            <w:r w:rsidRPr="003E20DE">
              <w:rPr>
                <w:i/>
                <w:sz w:val="22"/>
                <w:lang w:eastAsia="en-AU"/>
              </w:rPr>
              <w:t>Usual day</w:t>
            </w:r>
            <w:r>
              <w:rPr>
                <w:i/>
                <w:sz w:val="22"/>
                <w:lang w:eastAsia="en-AU"/>
              </w:rPr>
              <w:t>-</w:t>
            </w:r>
            <w:r w:rsidRPr="003E20DE">
              <w:rPr>
                <w:i/>
                <w:sz w:val="22"/>
                <w:lang w:eastAsia="en-AU"/>
              </w:rPr>
              <w:t>to</w:t>
            </w:r>
            <w:r>
              <w:rPr>
                <w:i/>
                <w:sz w:val="22"/>
                <w:lang w:eastAsia="en-AU"/>
              </w:rPr>
              <w:t>-</w:t>
            </w:r>
            <w:r w:rsidRPr="003E20DE">
              <w:rPr>
                <w:i/>
                <w:sz w:val="22"/>
                <w:lang w:eastAsia="en-AU"/>
              </w:rPr>
              <w:t>day assessed care needs:</w:t>
            </w:r>
          </w:p>
          <w:p w:rsidR="00557FD2" w:rsidRPr="003E20DE" w:rsidRDefault="00557FD2" w:rsidP="00E36E68">
            <w:pPr>
              <w:spacing w:after="0"/>
              <w:jc w:val="left"/>
              <w:cnfStyle w:val="000000100000" w:firstRow="0" w:lastRow="0" w:firstColumn="0" w:lastColumn="0" w:oddVBand="0" w:evenVBand="0" w:oddHBand="1" w:evenHBand="0" w:firstRowFirstColumn="0" w:firstRowLastColumn="0" w:lastRowFirstColumn="0" w:lastRowLastColumn="0"/>
              <w:rPr>
                <w:sz w:val="22"/>
                <w:lang w:eastAsia="en-AU"/>
              </w:rPr>
            </w:pPr>
            <w:r w:rsidRPr="003E20DE">
              <w:rPr>
                <w:sz w:val="22"/>
                <w:lang w:eastAsia="en-AU"/>
              </w:rPr>
              <w:t>0- Independent</w:t>
            </w:r>
          </w:p>
          <w:p w:rsidR="00557FD2" w:rsidRPr="003E20DE" w:rsidRDefault="00557FD2" w:rsidP="00E36E68">
            <w:pPr>
              <w:spacing w:after="0"/>
              <w:jc w:val="left"/>
              <w:cnfStyle w:val="000000100000" w:firstRow="0" w:lastRow="0" w:firstColumn="0" w:lastColumn="0" w:oddVBand="0" w:evenVBand="0" w:oddHBand="1" w:evenHBand="0" w:firstRowFirstColumn="0" w:firstRowLastColumn="0" w:lastRowFirstColumn="0" w:lastRowLastColumn="0"/>
              <w:rPr>
                <w:sz w:val="22"/>
                <w:lang w:eastAsia="en-AU"/>
              </w:rPr>
            </w:pPr>
            <w:r w:rsidRPr="003E20DE">
              <w:rPr>
                <w:sz w:val="22"/>
                <w:lang w:eastAsia="en-AU"/>
              </w:rPr>
              <w:t>1- Supervision</w:t>
            </w:r>
          </w:p>
          <w:p w:rsidR="00557FD2" w:rsidRPr="003E20DE" w:rsidRDefault="00557FD2" w:rsidP="00E36E68">
            <w:pPr>
              <w:spacing w:after="0"/>
              <w:jc w:val="left"/>
              <w:cnfStyle w:val="000000100000" w:firstRow="0" w:lastRow="0" w:firstColumn="0" w:lastColumn="0" w:oddVBand="0" w:evenVBand="0" w:oddHBand="1" w:evenHBand="0" w:firstRowFirstColumn="0" w:firstRowLastColumn="0" w:lastRowFirstColumn="0" w:lastRowLastColumn="0"/>
              <w:rPr>
                <w:sz w:val="22"/>
                <w:lang w:eastAsia="en-AU"/>
              </w:rPr>
            </w:pPr>
            <w:r w:rsidRPr="003E20DE">
              <w:rPr>
                <w:sz w:val="22"/>
                <w:lang w:eastAsia="en-AU"/>
              </w:rPr>
              <w:t>2- Physical Assistance</w:t>
            </w:r>
          </w:p>
          <w:p w:rsidR="00557FD2" w:rsidRPr="003E20DE" w:rsidRDefault="00557FD2" w:rsidP="00E36E68">
            <w:pPr>
              <w:spacing w:after="0"/>
              <w:jc w:val="left"/>
              <w:cnfStyle w:val="000000100000" w:firstRow="0" w:lastRow="0" w:firstColumn="0" w:lastColumn="0" w:oddVBand="0" w:evenVBand="0" w:oddHBand="1" w:evenHBand="0" w:firstRowFirstColumn="0" w:firstRowLastColumn="0" w:lastRowFirstColumn="0" w:lastRowLastColumn="0"/>
              <w:rPr>
                <w:sz w:val="22"/>
                <w:lang w:eastAsia="en-AU"/>
              </w:rPr>
            </w:pPr>
            <w:r w:rsidRPr="003E20DE">
              <w:rPr>
                <w:sz w:val="22"/>
                <w:lang w:eastAsia="en-AU"/>
              </w:rPr>
              <w:t>3- Lifting Machine*</w:t>
            </w:r>
          </w:p>
        </w:tc>
        <w:tc>
          <w:tcPr>
            <w:cnfStyle w:val="000010000000" w:firstRow="0" w:lastRow="0" w:firstColumn="0" w:lastColumn="0" w:oddVBand="1" w:evenVBand="0" w:oddHBand="0" w:evenHBand="0" w:firstRowFirstColumn="0" w:firstRowLastColumn="0" w:lastRowFirstColumn="0" w:lastRowLastColumn="0"/>
            <w:tcW w:w="2445" w:type="dxa"/>
            <w:tcBorders>
              <w:top w:val="none" w:sz="0" w:space="0" w:color="auto"/>
              <w:left w:val="none" w:sz="0" w:space="0" w:color="auto"/>
              <w:bottom w:val="none" w:sz="0" w:space="0" w:color="auto"/>
              <w:right w:val="none" w:sz="0" w:space="0" w:color="auto"/>
            </w:tcBorders>
          </w:tcPr>
          <w:p w:rsidR="00557FD2" w:rsidRPr="003E20DE" w:rsidRDefault="00557FD2" w:rsidP="00E36E68">
            <w:pPr>
              <w:spacing w:after="0"/>
              <w:jc w:val="left"/>
              <w:rPr>
                <w:sz w:val="22"/>
                <w:lang w:eastAsia="en-AU"/>
              </w:rPr>
            </w:pPr>
            <w:r w:rsidRPr="003E20DE">
              <w:rPr>
                <w:sz w:val="22"/>
                <w:lang w:eastAsia="en-AU"/>
              </w:rPr>
              <w:t>Rating key =&gt; A, B, C, D</w:t>
            </w:r>
          </w:p>
        </w:tc>
      </w:tr>
      <w:tr w:rsidR="00557FD2" w:rsidTr="00145F2D">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tcPr>
          <w:p w:rsidR="00557FD2" w:rsidRPr="003E20DE" w:rsidRDefault="00557FD2" w:rsidP="00E36E68">
            <w:pPr>
              <w:spacing w:after="0"/>
              <w:jc w:val="left"/>
              <w:rPr>
                <w:sz w:val="22"/>
              </w:rPr>
            </w:pPr>
            <w:r w:rsidRPr="003E20DE">
              <w:rPr>
                <w:sz w:val="22"/>
                <w:lang w:eastAsia="en-AU"/>
              </w:rPr>
              <w:t>2: Mobility</w:t>
            </w:r>
          </w:p>
        </w:tc>
        <w:tc>
          <w:tcPr>
            <w:cnfStyle w:val="000010000000" w:firstRow="0" w:lastRow="0" w:firstColumn="0" w:lastColumn="0" w:oddVBand="1" w:evenVBand="0" w:oddHBand="0" w:evenHBand="0" w:firstRowFirstColumn="0" w:firstRowLastColumn="0" w:lastRowFirstColumn="0" w:lastRowLastColumn="0"/>
            <w:tcW w:w="2684" w:type="dxa"/>
            <w:tcBorders>
              <w:left w:val="none" w:sz="0" w:space="0" w:color="auto"/>
              <w:right w:val="none" w:sz="0" w:space="0" w:color="auto"/>
            </w:tcBorders>
          </w:tcPr>
          <w:p w:rsidR="00557FD2" w:rsidRPr="003E20DE" w:rsidRDefault="00557FD2" w:rsidP="00E36E68">
            <w:pPr>
              <w:spacing w:after="0"/>
              <w:jc w:val="left"/>
              <w:rPr>
                <w:sz w:val="22"/>
                <w:lang w:eastAsia="en-AU"/>
              </w:rPr>
            </w:pPr>
            <w:r w:rsidRPr="003E20DE">
              <w:rPr>
                <w:sz w:val="22"/>
                <w:lang w:eastAsia="en-AU"/>
              </w:rPr>
              <w:t>2.1 Transfers*</w:t>
            </w:r>
          </w:p>
          <w:p w:rsidR="00557FD2" w:rsidRPr="003E20DE" w:rsidRDefault="00557FD2" w:rsidP="00E36E68">
            <w:pPr>
              <w:spacing w:after="0"/>
              <w:jc w:val="left"/>
              <w:rPr>
                <w:sz w:val="22"/>
                <w:lang w:eastAsia="en-AU"/>
              </w:rPr>
            </w:pPr>
            <w:r w:rsidRPr="003E20DE">
              <w:rPr>
                <w:sz w:val="22"/>
                <w:lang w:eastAsia="en-AU"/>
              </w:rPr>
              <w:t>2.2 Locomotion</w:t>
            </w:r>
          </w:p>
        </w:tc>
        <w:tc>
          <w:tcPr>
            <w:tcW w:w="2505" w:type="dxa"/>
            <w:vMerge/>
          </w:tcPr>
          <w:p w:rsidR="00557FD2" w:rsidRPr="003E20DE" w:rsidRDefault="00557FD2" w:rsidP="00E36E68">
            <w:pPr>
              <w:spacing w:after="0"/>
              <w:jc w:val="left"/>
              <w:cnfStyle w:val="000000000000" w:firstRow="0" w:lastRow="0" w:firstColumn="0" w:lastColumn="0" w:oddVBand="0" w:evenVBand="0" w:oddHBand="0" w:evenHBand="0" w:firstRowFirstColumn="0" w:firstRowLastColumn="0" w:lastRowFirstColumn="0" w:lastRowLastColumn="0"/>
              <w:rPr>
                <w:sz w:val="22"/>
                <w:lang w:eastAsia="en-AU"/>
              </w:rPr>
            </w:pPr>
          </w:p>
        </w:tc>
        <w:tc>
          <w:tcPr>
            <w:cnfStyle w:val="000010000000" w:firstRow="0" w:lastRow="0" w:firstColumn="0" w:lastColumn="0" w:oddVBand="1" w:evenVBand="0" w:oddHBand="0" w:evenHBand="0" w:firstRowFirstColumn="0" w:firstRowLastColumn="0" w:lastRowFirstColumn="0" w:lastRowLastColumn="0"/>
            <w:tcW w:w="2445" w:type="dxa"/>
            <w:tcBorders>
              <w:left w:val="none" w:sz="0" w:space="0" w:color="auto"/>
              <w:right w:val="none" w:sz="0" w:space="0" w:color="auto"/>
            </w:tcBorders>
          </w:tcPr>
          <w:p w:rsidR="00557FD2" w:rsidRPr="003E20DE" w:rsidRDefault="00557FD2" w:rsidP="00E36E68">
            <w:pPr>
              <w:spacing w:after="0"/>
              <w:jc w:val="left"/>
              <w:rPr>
                <w:sz w:val="22"/>
              </w:rPr>
            </w:pPr>
            <w:r w:rsidRPr="003E20DE">
              <w:rPr>
                <w:sz w:val="22"/>
                <w:lang w:eastAsia="en-AU"/>
              </w:rPr>
              <w:t>Rating key =&gt; A, B, C, D</w:t>
            </w:r>
          </w:p>
        </w:tc>
      </w:tr>
      <w:tr w:rsidR="00557FD2" w:rsidTr="0014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bottom w:val="none" w:sz="0" w:space="0" w:color="auto"/>
              <w:right w:val="none" w:sz="0" w:space="0" w:color="auto"/>
            </w:tcBorders>
          </w:tcPr>
          <w:p w:rsidR="00557FD2" w:rsidRPr="003E20DE" w:rsidRDefault="00557FD2" w:rsidP="00E36E68">
            <w:pPr>
              <w:spacing w:after="0"/>
              <w:jc w:val="left"/>
              <w:rPr>
                <w:sz w:val="22"/>
              </w:rPr>
            </w:pPr>
            <w:r w:rsidRPr="003E20DE">
              <w:rPr>
                <w:sz w:val="22"/>
                <w:lang w:eastAsia="en-AU"/>
              </w:rPr>
              <w:t>3: Personal Hygiene</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557FD2" w:rsidRPr="003E20DE" w:rsidRDefault="00557FD2" w:rsidP="00E36E68">
            <w:pPr>
              <w:spacing w:after="0"/>
              <w:jc w:val="left"/>
              <w:rPr>
                <w:sz w:val="22"/>
                <w:lang w:eastAsia="en-AU"/>
              </w:rPr>
            </w:pPr>
            <w:r w:rsidRPr="003E20DE">
              <w:rPr>
                <w:sz w:val="22"/>
                <w:lang w:eastAsia="en-AU"/>
              </w:rPr>
              <w:t>3.1 Dressing &amp; Undressing</w:t>
            </w:r>
          </w:p>
          <w:p w:rsidR="00557FD2" w:rsidRPr="003E20DE" w:rsidRDefault="00557FD2" w:rsidP="00E36E68">
            <w:pPr>
              <w:spacing w:after="0"/>
              <w:jc w:val="left"/>
              <w:rPr>
                <w:sz w:val="22"/>
                <w:lang w:eastAsia="en-AU"/>
              </w:rPr>
            </w:pPr>
            <w:r w:rsidRPr="003E20DE">
              <w:rPr>
                <w:sz w:val="22"/>
                <w:lang w:eastAsia="en-AU"/>
              </w:rPr>
              <w:t>3.2 Washing &amp; Drying</w:t>
            </w:r>
          </w:p>
          <w:p w:rsidR="00557FD2" w:rsidRPr="003E20DE" w:rsidRDefault="00557FD2" w:rsidP="00E36E68">
            <w:pPr>
              <w:spacing w:after="0"/>
              <w:jc w:val="left"/>
              <w:rPr>
                <w:sz w:val="22"/>
                <w:lang w:eastAsia="en-AU"/>
              </w:rPr>
            </w:pPr>
            <w:r w:rsidRPr="003E20DE">
              <w:rPr>
                <w:sz w:val="22"/>
                <w:lang w:eastAsia="en-AU"/>
              </w:rPr>
              <w:t>3.3 Grooming</w:t>
            </w:r>
          </w:p>
        </w:tc>
        <w:tc>
          <w:tcPr>
            <w:tcW w:w="2505" w:type="dxa"/>
            <w:vMerge/>
            <w:tcBorders>
              <w:top w:val="none" w:sz="0" w:space="0" w:color="auto"/>
              <w:bottom w:val="none" w:sz="0" w:space="0" w:color="auto"/>
            </w:tcBorders>
          </w:tcPr>
          <w:p w:rsidR="00557FD2" w:rsidRPr="003E20DE" w:rsidRDefault="00557FD2" w:rsidP="00E36E68">
            <w:pPr>
              <w:spacing w:after="0"/>
              <w:jc w:val="left"/>
              <w:cnfStyle w:val="000000100000" w:firstRow="0" w:lastRow="0" w:firstColumn="0" w:lastColumn="0" w:oddVBand="0" w:evenVBand="0" w:oddHBand="1" w:evenHBand="0" w:firstRowFirstColumn="0" w:firstRowLastColumn="0" w:lastRowFirstColumn="0" w:lastRowLastColumn="0"/>
              <w:rPr>
                <w:sz w:val="22"/>
                <w:lang w:eastAsia="en-AU"/>
              </w:rPr>
            </w:pPr>
          </w:p>
        </w:tc>
        <w:tc>
          <w:tcPr>
            <w:cnfStyle w:val="000010000000" w:firstRow="0" w:lastRow="0" w:firstColumn="0" w:lastColumn="0" w:oddVBand="1" w:evenVBand="0" w:oddHBand="0" w:evenHBand="0" w:firstRowFirstColumn="0" w:firstRowLastColumn="0" w:lastRowFirstColumn="0" w:lastRowLastColumn="0"/>
            <w:tcW w:w="2445" w:type="dxa"/>
            <w:tcBorders>
              <w:top w:val="none" w:sz="0" w:space="0" w:color="auto"/>
              <w:left w:val="none" w:sz="0" w:space="0" w:color="auto"/>
              <w:bottom w:val="none" w:sz="0" w:space="0" w:color="auto"/>
              <w:right w:val="none" w:sz="0" w:space="0" w:color="auto"/>
            </w:tcBorders>
          </w:tcPr>
          <w:p w:rsidR="00557FD2" w:rsidRPr="003E20DE" w:rsidRDefault="00557FD2" w:rsidP="00E36E68">
            <w:pPr>
              <w:spacing w:after="0"/>
              <w:jc w:val="left"/>
              <w:rPr>
                <w:sz w:val="22"/>
              </w:rPr>
            </w:pPr>
            <w:r w:rsidRPr="003E20DE">
              <w:rPr>
                <w:sz w:val="22"/>
                <w:lang w:eastAsia="en-AU"/>
              </w:rPr>
              <w:t>Rating key =&gt; A, B, C, D</w:t>
            </w:r>
          </w:p>
        </w:tc>
      </w:tr>
      <w:tr w:rsidR="00557FD2" w:rsidTr="00145F2D">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tcPr>
          <w:p w:rsidR="00557FD2" w:rsidRPr="003E20DE" w:rsidRDefault="00557FD2" w:rsidP="00E36E68">
            <w:pPr>
              <w:spacing w:after="0"/>
              <w:jc w:val="left"/>
              <w:rPr>
                <w:sz w:val="22"/>
              </w:rPr>
            </w:pPr>
            <w:r w:rsidRPr="003E20DE">
              <w:rPr>
                <w:sz w:val="22"/>
                <w:lang w:eastAsia="en-AU"/>
              </w:rPr>
              <w:t xml:space="preserve">4: Toileting </w:t>
            </w:r>
          </w:p>
        </w:tc>
        <w:tc>
          <w:tcPr>
            <w:cnfStyle w:val="000010000000" w:firstRow="0" w:lastRow="0" w:firstColumn="0" w:lastColumn="0" w:oddVBand="1" w:evenVBand="0" w:oddHBand="0" w:evenHBand="0" w:firstRowFirstColumn="0" w:firstRowLastColumn="0" w:lastRowFirstColumn="0" w:lastRowLastColumn="0"/>
            <w:tcW w:w="2684" w:type="dxa"/>
            <w:tcBorders>
              <w:left w:val="none" w:sz="0" w:space="0" w:color="auto"/>
              <w:right w:val="none" w:sz="0" w:space="0" w:color="auto"/>
            </w:tcBorders>
          </w:tcPr>
          <w:p w:rsidR="00557FD2" w:rsidRPr="003E20DE" w:rsidRDefault="00557FD2" w:rsidP="00E36E68">
            <w:pPr>
              <w:spacing w:after="0"/>
              <w:jc w:val="left"/>
              <w:rPr>
                <w:sz w:val="22"/>
                <w:lang w:eastAsia="en-AU"/>
              </w:rPr>
            </w:pPr>
            <w:r w:rsidRPr="003E20DE">
              <w:rPr>
                <w:sz w:val="22"/>
                <w:lang w:eastAsia="en-AU"/>
              </w:rPr>
              <w:t xml:space="preserve">4.1 </w:t>
            </w:r>
            <w:r>
              <w:rPr>
                <w:sz w:val="22"/>
                <w:lang w:eastAsia="en-AU"/>
              </w:rPr>
              <w:t>Toilet Use</w:t>
            </w:r>
          </w:p>
          <w:p w:rsidR="00557FD2" w:rsidRPr="003E20DE" w:rsidRDefault="00557FD2" w:rsidP="00E36E68">
            <w:pPr>
              <w:spacing w:after="0"/>
              <w:jc w:val="left"/>
              <w:rPr>
                <w:sz w:val="22"/>
                <w:lang w:eastAsia="en-AU"/>
              </w:rPr>
            </w:pPr>
            <w:r w:rsidRPr="003E20DE">
              <w:rPr>
                <w:sz w:val="22"/>
                <w:lang w:eastAsia="en-AU"/>
              </w:rPr>
              <w:t>4.2 Toilet Completion</w:t>
            </w:r>
          </w:p>
        </w:tc>
        <w:tc>
          <w:tcPr>
            <w:tcW w:w="2505" w:type="dxa"/>
            <w:vMerge/>
          </w:tcPr>
          <w:p w:rsidR="00557FD2" w:rsidRPr="003E20DE" w:rsidRDefault="00557FD2" w:rsidP="00E36E68">
            <w:pPr>
              <w:spacing w:after="0"/>
              <w:jc w:val="left"/>
              <w:cnfStyle w:val="000000000000" w:firstRow="0" w:lastRow="0" w:firstColumn="0" w:lastColumn="0" w:oddVBand="0" w:evenVBand="0" w:oddHBand="0" w:evenHBand="0" w:firstRowFirstColumn="0" w:firstRowLastColumn="0" w:lastRowFirstColumn="0" w:lastRowLastColumn="0"/>
              <w:rPr>
                <w:sz w:val="22"/>
                <w:lang w:eastAsia="en-AU"/>
              </w:rPr>
            </w:pPr>
          </w:p>
        </w:tc>
        <w:tc>
          <w:tcPr>
            <w:cnfStyle w:val="000010000000" w:firstRow="0" w:lastRow="0" w:firstColumn="0" w:lastColumn="0" w:oddVBand="1" w:evenVBand="0" w:oddHBand="0" w:evenHBand="0" w:firstRowFirstColumn="0" w:firstRowLastColumn="0" w:lastRowFirstColumn="0" w:lastRowLastColumn="0"/>
            <w:tcW w:w="2445" w:type="dxa"/>
            <w:tcBorders>
              <w:left w:val="none" w:sz="0" w:space="0" w:color="auto"/>
              <w:right w:val="none" w:sz="0" w:space="0" w:color="auto"/>
            </w:tcBorders>
          </w:tcPr>
          <w:p w:rsidR="00557FD2" w:rsidRPr="003E20DE" w:rsidRDefault="00557FD2" w:rsidP="00E36E68">
            <w:pPr>
              <w:spacing w:after="0"/>
              <w:jc w:val="left"/>
              <w:rPr>
                <w:sz w:val="22"/>
              </w:rPr>
            </w:pPr>
            <w:r w:rsidRPr="003E20DE">
              <w:rPr>
                <w:sz w:val="22"/>
                <w:lang w:eastAsia="en-AU"/>
              </w:rPr>
              <w:t>Rating key =&gt; A, B, C, D</w:t>
            </w:r>
          </w:p>
        </w:tc>
      </w:tr>
      <w:tr w:rsidR="00557FD2" w:rsidTr="00145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bottom w:val="none" w:sz="0" w:space="0" w:color="auto"/>
              <w:right w:val="none" w:sz="0" w:space="0" w:color="auto"/>
            </w:tcBorders>
          </w:tcPr>
          <w:p w:rsidR="00557FD2" w:rsidRPr="003E20DE" w:rsidRDefault="00557FD2" w:rsidP="00E36E68">
            <w:pPr>
              <w:spacing w:after="0"/>
              <w:jc w:val="left"/>
              <w:rPr>
                <w:sz w:val="22"/>
              </w:rPr>
            </w:pPr>
            <w:r w:rsidRPr="003E20DE">
              <w:rPr>
                <w:sz w:val="22"/>
                <w:lang w:eastAsia="en-AU"/>
              </w:rPr>
              <w:t>5: Continence</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557FD2" w:rsidRPr="003E20DE" w:rsidRDefault="00557FD2" w:rsidP="00E36E68">
            <w:pPr>
              <w:spacing w:after="0"/>
              <w:jc w:val="left"/>
              <w:rPr>
                <w:sz w:val="22"/>
                <w:lang w:eastAsia="en-AU"/>
              </w:rPr>
            </w:pPr>
            <w:r>
              <w:rPr>
                <w:sz w:val="22"/>
                <w:lang w:eastAsia="en-AU"/>
              </w:rPr>
              <w:t>5.1 Urinary C</w:t>
            </w:r>
            <w:r w:rsidRPr="003E20DE">
              <w:rPr>
                <w:sz w:val="22"/>
                <w:lang w:eastAsia="en-AU"/>
              </w:rPr>
              <w:t>ontinence</w:t>
            </w:r>
          </w:p>
          <w:p w:rsidR="00557FD2" w:rsidRPr="003E20DE" w:rsidRDefault="00557FD2" w:rsidP="00E36E68">
            <w:pPr>
              <w:spacing w:after="0"/>
              <w:jc w:val="left"/>
              <w:rPr>
                <w:sz w:val="22"/>
                <w:lang w:eastAsia="en-AU"/>
              </w:rPr>
            </w:pPr>
            <w:r>
              <w:rPr>
                <w:sz w:val="22"/>
                <w:lang w:eastAsia="en-AU"/>
              </w:rPr>
              <w:t>5.2 Faecal C</w:t>
            </w:r>
            <w:r w:rsidRPr="003E20DE">
              <w:rPr>
                <w:sz w:val="22"/>
                <w:lang w:eastAsia="en-AU"/>
              </w:rPr>
              <w:t>ontinence</w:t>
            </w:r>
          </w:p>
        </w:tc>
        <w:tc>
          <w:tcPr>
            <w:tcW w:w="2505" w:type="dxa"/>
            <w:tcBorders>
              <w:top w:val="none" w:sz="0" w:space="0" w:color="auto"/>
              <w:bottom w:val="none" w:sz="0" w:space="0" w:color="auto"/>
            </w:tcBorders>
          </w:tcPr>
          <w:p w:rsidR="00557FD2" w:rsidRPr="003E20DE" w:rsidRDefault="00557FD2" w:rsidP="00CA7918">
            <w:pPr>
              <w:spacing w:after="60"/>
              <w:jc w:val="left"/>
              <w:cnfStyle w:val="000000100000" w:firstRow="0" w:lastRow="0" w:firstColumn="0" w:lastColumn="0" w:oddVBand="0" w:evenVBand="0" w:oddHBand="1" w:evenHBand="0" w:firstRowFirstColumn="0" w:firstRowLastColumn="0" w:lastRowFirstColumn="0" w:lastRowLastColumn="0"/>
              <w:rPr>
                <w:i/>
                <w:sz w:val="22"/>
                <w:lang w:eastAsia="en-AU"/>
              </w:rPr>
            </w:pPr>
            <w:r w:rsidRPr="003E20DE">
              <w:rPr>
                <w:i/>
                <w:sz w:val="22"/>
                <w:lang w:eastAsia="en-AU"/>
              </w:rPr>
              <w:t>Frequency as recorded in a RECORD</w:t>
            </w:r>
            <w:r w:rsidR="00145F2D">
              <w:rPr>
                <w:i/>
                <w:sz w:val="22"/>
                <w:lang w:eastAsia="en-AU"/>
              </w:rPr>
              <w:t>.</w:t>
            </w:r>
          </w:p>
          <w:p w:rsidR="00557FD2" w:rsidRPr="003E20DE" w:rsidRDefault="00557FD2" w:rsidP="00CA7918">
            <w:pPr>
              <w:spacing w:after="60"/>
              <w:jc w:val="left"/>
              <w:cnfStyle w:val="000000100000" w:firstRow="0" w:lastRow="0" w:firstColumn="0" w:lastColumn="0" w:oddVBand="0" w:evenVBand="0" w:oddHBand="1" w:evenHBand="0" w:firstRowFirstColumn="0" w:firstRowLastColumn="0" w:lastRowFirstColumn="0" w:lastRowLastColumn="0"/>
              <w:rPr>
                <w:sz w:val="22"/>
                <w:lang w:eastAsia="en-AU"/>
              </w:rPr>
            </w:pPr>
            <w:r w:rsidRPr="003E20DE">
              <w:rPr>
                <w:sz w:val="22"/>
                <w:lang w:eastAsia="en-AU"/>
              </w:rPr>
              <w:t>Daily frequency for urine</w:t>
            </w:r>
            <w:r>
              <w:rPr>
                <w:sz w:val="22"/>
                <w:lang w:eastAsia="en-AU"/>
              </w:rPr>
              <w:t>.</w:t>
            </w:r>
          </w:p>
          <w:p w:rsidR="00557FD2" w:rsidRPr="003E20DE" w:rsidRDefault="00557FD2" w:rsidP="00CA7918">
            <w:pPr>
              <w:spacing w:after="60"/>
              <w:jc w:val="left"/>
              <w:cnfStyle w:val="000000100000" w:firstRow="0" w:lastRow="0" w:firstColumn="0" w:lastColumn="0" w:oddVBand="0" w:evenVBand="0" w:oddHBand="1" w:evenHBand="0" w:firstRowFirstColumn="0" w:firstRowLastColumn="0" w:lastRowFirstColumn="0" w:lastRowLastColumn="0"/>
              <w:rPr>
                <w:sz w:val="22"/>
                <w:lang w:eastAsia="en-AU"/>
              </w:rPr>
            </w:pPr>
            <w:r w:rsidRPr="003E20DE">
              <w:rPr>
                <w:sz w:val="22"/>
                <w:lang w:eastAsia="en-AU"/>
              </w:rPr>
              <w:t>Weekly frequency for bowels.</w:t>
            </w:r>
          </w:p>
        </w:tc>
        <w:tc>
          <w:tcPr>
            <w:cnfStyle w:val="000010000000" w:firstRow="0" w:lastRow="0" w:firstColumn="0" w:lastColumn="0" w:oddVBand="1" w:evenVBand="0" w:oddHBand="0" w:evenHBand="0" w:firstRowFirstColumn="0" w:firstRowLastColumn="0" w:lastRowFirstColumn="0" w:lastRowLastColumn="0"/>
            <w:tcW w:w="2445" w:type="dxa"/>
            <w:tcBorders>
              <w:top w:val="none" w:sz="0" w:space="0" w:color="auto"/>
              <w:left w:val="none" w:sz="0" w:space="0" w:color="auto"/>
              <w:bottom w:val="none" w:sz="0" w:space="0" w:color="auto"/>
              <w:right w:val="none" w:sz="0" w:space="0" w:color="auto"/>
            </w:tcBorders>
          </w:tcPr>
          <w:p w:rsidR="00557FD2" w:rsidRPr="003E20DE" w:rsidRDefault="00557FD2" w:rsidP="00E36E68">
            <w:pPr>
              <w:spacing w:after="0"/>
              <w:jc w:val="left"/>
              <w:rPr>
                <w:sz w:val="22"/>
              </w:rPr>
            </w:pPr>
            <w:r w:rsidRPr="003E20DE">
              <w:rPr>
                <w:sz w:val="22"/>
                <w:lang w:eastAsia="en-AU"/>
              </w:rPr>
              <w:t>Rating key =&gt; A, B, C, D</w:t>
            </w:r>
          </w:p>
        </w:tc>
      </w:tr>
    </w:tbl>
    <w:p w:rsidR="00291A6C" w:rsidRDefault="00291A6C" w:rsidP="00291A6C">
      <w:pPr>
        <w:pStyle w:val="Caption"/>
        <w:keepNext/>
      </w:pPr>
      <w:bookmarkStart w:id="207" w:name="_Toc495415641"/>
      <w:bookmarkStart w:id="208" w:name="_Hlk484291656"/>
      <w:bookmarkStart w:id="209" w:name="_Toc482012896"/>
      <w:r>
        <w:t>Table 4.</w:t>
      </w:r>
      <w:r w:rsidR="009A3F5A">
        <w:fldChar w:fldCharType="begin"/>
      </w:r>
      <w:r w:rsidR="009A3F5A">
        <w:instrText xml:space="preserve"> SEQ Table_4. \* ARABIC </w:instrText>
      </w:r>
      <w:r w:rsidR="009A3F5A">
        <w:fldChar w:fldCharType="separate"/>
      </w:r>
      <w:r w:rsidR="00856E49">
        <w:rPr>
          <w:noProof/>
        </w:rPr>
        <w:t>2</w:t>
      </w:r>
      <w:r w:rsidR="009A3F5A">
        <w:rPr>
          <w:noProof/>
        </w:rPr>
        <w:fldChar w:fldCharType="end"/>
      </w:r>
      <w:r>
        <w:t xml:space="preserve">: </w:t>
      </w:r>
      <w:r w:rsidRPr="00291A6C">
        <w:t>ADL questions, ratings and scoring (weighting)</w:t>
      </w:r>
      <w:bookmarkEnd w:id="207"/>
    </w:p>
    <w:tbl>
      <w:tblPr>
        <w:tblStyle w:val="ListTable3-Accent510"/>
        <w:tblW w:w="0" w:type="auto"/>
        <w:tblInd w:w="108" w:type="dxa"/>
        <w:tblBorders>
          <w:insideH w:val="single" w:sz="4" w:space="0" w:color="5B9BD5" w:themeColor="accent5"/>
          <w:insideV w:val="single" w:sz="4" w:space="0" w:color="5B9BD5" w:themeColor="accent5"/>
        </w:tblBorders>
        <w:tblLook w:val="01E0" w:firstRow="1" w:lastRow="1" w:firstColumn="1" w:lastColumn="1" w:noHBand="0" w:noVBand="0"/>
        <w:tblDescription w:val="Table 4.2 is a list of the ratings and score weightings for questions under the Activities of Daily Living (ADL) domain (nutrition, mobility, personal hygiene, toileting and continence) in the aged care funding instrument (ACFI). This table is to be read left to right, top to bottom."/>
      </w:tblPr>
      <w:tblGrid>
        <w:gridCol w:w="2552"/>
        <w:gridCol w:w="1276"/>
        <w:gridCol w:w="1701"/>
      </w:tblGrid>
      <w:tr w:rsidR="00557FD2" w:rsidRPr="009C04FE" w:rsidTr="00E450C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52" w:type="dxa"/>
            <w:tcBorders>
              <w:bottom w:val="none" w:sz="0" w:space="0" w:color="auto"/>
              <w:right w:val="none" w:sz="0" w:space="0" w:color="auto"/>
            </w:tcBorders>
            <w:vAlign w:val="center"/>
            <w:hideMark/>
          </w:tcPr>
          <w:p w:rsidR="00557FD2" w:rsidRPr="008761A7" w:rsidRDefault="00557FD2" w:rsidP="00E450CF">
            <w:pPr>
              <w:jc w:val="left"/>
              <w:rPr>
                <w:b w:val="0"/>
              </w:rPr>
            </w:pPr>
            <w:r w:rsidRPr="008761A7">
              <w:t>Question</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vAlign w:val="center"/>
            <w:hideMark/>
          </w:tcPr>
          <w:p w:rsidR="00557FD2" w:rsidRPr="008761A7" w:rsidRDefault="00557FD2" w:rsidP="00E450CF">
            <w:pPr>
              <w:jc w:val="center"/>
              <w:rPr>
                <w:b w:val="0"/>
              </w:rPr>
            </w:pPr>
            <w:r w:rsidRPr="008761A7">
              <w:t>Rating</w:t>
            </w:r>
          </w:p>
        </w:tc>
        <w:tc>
          <w:tcPr>
            <w:cnfStyle w:val="000100001000" w:firstRow="0" w:lastRow="0" w:firstColumn="0" w:lastColumn="1" w:oddVBand="0" w:evenVBand="0" w:oddHBand="0" w:evenHBand="0" w:firstRowFirstColumn="0" w:firstRowLastColumn="1" w:lastRowFirstColumn="0" w:lastRowLastColumn="0"/>
            <w:tcW w:w="1701" w:type="dxa"/>
            <w:tcBorders>
              <w:left w:val="none" w:sz="0" w:space="0" w:color="auto"/>
              <w:bottom w:val="none" w:sz="0" w:space="0" w:color="auto"/>
            </w:tcBorders>
            <w:hideMark/>
          </w:tcPr>
          <w:p w:rsidR="00557FD2" w:rsidRPr="008761A7" w:rsidRDefault="00557FD2" w:rsidP="00EB49E2">
            <w:pPr>
              <w:jc w:val="center"/>
              <w:rPr>
                <w:b w:val="0"/>
              </w:rPr>
            </w:pPr>
            <w:r w:rsidRPr="008761A7">
              <w:t>Score (Weighting)</w:t>
            </w:r>
          </w:p>
        </w:tc>
      </w:tr>
      <w:tr w:rsidR="00557FD2" w:rsidRPr="009C04FE"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none" w:sz="0" w:space="0" w:color="auto"/>
              <w:bottom w:val="none" w:sz="0" w:space="0" w:color="auto"/>
              <w:right w:val="none" w:sz="0" w:space="0" w:color="auto"/>
            </w:tcBorders>
            <w:hideMark/>
          </w:tcPr>
          <w:p w:rsidR="00557FD2" w:rsidRPr="009C04FE" w:rsidRDefault="00557FD2" w:rsidP="00E36E68">
            <w:pPr>
              <w:spacing w:after="0"/>
              <w:contextualSpacing/>
              <w:rPr>
                <w:sz w:val="22"/>
                <w:lang w:eastAsia="en-AU"/>
              </w:rPr>
            </w:pPr>
            <w:r w:rsidRPr="009C04FE">
              <w:rPr>
                <w:sz w:val="22"/>
                <w:lang w:eastAsia="en-AU"/>
              </w:rPr>
              <w:t>1 Nutrition</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rsidR="00557FD2" w:rsidRPr="00BA78CB" w:rsidRDefault="00557FD2" w:rsidP="00106D58">
            <w:pPr>
              <w:spacing w:after="0"/>
              <w:contextualSpacing/>
              <w:jc w:val="center"/>
              <w:rPr>
                <w:sz w:val="22"/>
                <w:lang w:eastAsia="en-AU"/>
              </w:rPr>
            </w:pPr>
            <w:r w:rsidRPr="00BA78CB">
              <w:rPr>
                <w:sz w:val="22"/>
                <w:lang w:eastAsia="en-AU"/>
              </w:rPr>
              <w:t>A</w:t>
            </w:r>
          </w:p>
        </w:tc>
        <w:tc>
          <w:tcPr>
            <w:cnfStyle w:val="000100000000" w:firstRow="0" w:lastRow="0" w:firstColumn="0" w:lastColumn="1"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hideMark/>
          </w:tcPr>
          <w:p w:rsidR="00557FD2" w:rsidRPr="00BA78CB" w:rsidRDefault="00557FD2" w:rsidP="00106D58">
            <w:pPr>
              <w:spacing w:after="0"/>
              <w:contextualSpacing/>
              <w:jc w:val="center"/>
              <w:rPr>
                <w:b w:val="0"/>
                <w:sz w:val="22"/>
                <w:lang w:eastAsia="en-AU"/>
              </w:rPr>
            </w:pPr>
            <w:r w:rsidRPr="00BA78CB">
              <w:rPr>
                <w:b w:val="0"/>
                <w:sz w:val="22"/>
                <w:lang w:eastAsia="en-AU"/>
              </w:rPr>
              <w:t>0</w:t>
            </w:r>
          </w:p>
        </w:tc>
      </w:tr>
      <w:tr w:rsidR="00557FD2" w:rsidRPr="009C04FE" w:rsidTr="00AE6A54">
        <w:tc>
          <w:tcPr>
            <w:cnfStyle w:val="001000000000" w:firstRow="0" w:lastRow="0" w:firstColumn="1" w:lastColumn="0" w:oddVBand="0" w:evenVBand="0" w:oddHBand="0" w:evenHBand="0" w:firstRowFirstColumn="0" w:firstRowLastColumn="0" w:lastRowFirstColumn="0" w:lastRowLastColumn="0"/>
            <w:tcW w:w="2552" w:type="dxa"/>
            <w:vMerge/>
            <w:tcBorders>
              <w:right w:val="none" w:sz="0" w:space="0" w:color="auto"/>
            </w:tcBorders>
          </w:tcPr>
          <w:p w:rsidR="00557FD2" w:rsidRPr="009C04FE" w:rsidRDefault="00557FD2" w:rsidP="00E36E68">
            <w:pPr>
              <w:spacing w:after="0"/>
              <w:contextualSpacing/>
              <w:rPr>
                <w:sz w:val="22"/>
                <w:lang w:eastAsia="en-AU"/>
              </w:rPr>
            </w:pP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hideMark/>
          </w:tcPr>
          <w:p w:rsidR="00557FD2" w:rsidRPr="00BA78CB" w:rsidRDefault="00557FD2" w:rsidP="00106D58">
            <w:pPr>
              <w:spacing w:after="0"/>
              <w:contextualSpacing/>
              <w:jc w:val="center"/>
              <w:rPr>
                <w:sz w:val="22"/>
                <w:lang w:eastAsia="en-AU"/>
              </w:rPr>
            </w:pPr>
            <w:r w:rsidRPr="00BA78CB">
              <w:rPr>
                <w:sz w:val="22"/>
                <w:lang w:eastAsia="en-AU"/>
              </w:rPr>
              <w:t>B</w:t>
            </w:r>
          </w:p>
        </w:tc>
        <w:tc>
          <w:tcPr>
            <w:cnfStyle w:val="000100000000" w:firstRow="0" w:lastRow="0" w:firstColumn="0" w:lastColumn="1" w:oddVBand="0" w:evenVBand="0" w:oddHBand="0" w:evenHBand="0" w:firstRowFirstColumn="0" w:firstRowLastColumn="0" w:lastRowFirstColumn="0" w:lastRowLastColumn="0"/>
            <w:tcW w:w="1701" w:type="dxa"/>
            <w:tcBorders>
              <w:left w:val="none" w:sz="0" w:space="0" w:color="auto"/>
            </w:tcBorders>
            <w:hideMark/>
          </w:tcPr>
          <w:p w:rsidR="00557FD2" w:rsidRPr="00BA78CB" w:rsidRDefault="00557FD2" w:rsidP="00106D58">
            <w:pPr>
              <w:spacing w:after="0"/>
              <w:contextualSpacing/>
              <w:jc w:val="center"/>
              <w:rPr>
                <w:b w:val="0"/>
                <w:sz w:val="22"/>
                <w:lang w:eastAsia="en-AU"/>
              </w:rPr>
            </w:pPr>
            <w:r w:rsidRPr="00BA78CB">
              <w:rPr>
                <w:b w:val="0"/>
                <w:sz w:val="22"/>
                <w:lang w:eastAsia="en-AU"/>
              </w:rPr>
              <w:t>6.69</w:t>
            </w:r>
          </w:p>
        </w:tc>
      </w:tr>
      <w:tr w:rsidR="00557FD2" w:rsidRPr="009C04FE"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top w:val="none" w:sz="0" w:space="0" w:color="auto"/>
              <w:bottom w:val="none" w:sz="0" w:space="0" w:color="auto"/>
              <w:right w:val="none" w:sz="0" w:space="0" w:color="auto"/>
            </w:tcBorders>
          </w:tcPr>
          <w:p w:rsidR="00557FD2" w:rsidRPr="009C04FE" w:rsidRDefault="00557FD2" w:rsidP="00E36E68">
            <w:pPr>
              <w:spacing w:after="0"/>
              <w:contextualSpacing/>
              <w:rPr>
                <w:sz w:val="22"/>
                <w:lang w:eastAsia="en-AU"/>
              </w:rPr>
            </w:pP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rsidR="00557FD2" w:rsidRPr="00BA78CB" w:rsidRDefault="00557FD2" w:rsidP="00106D58">
            <w:pPr>
              <w:spacing w:after="0"/>
              <w:contextualSpacing/>
              <w:jc w:val="center"/>
              <w:rPr>
                <w:sz w:val="22"/>
                <w:lang w:eastAsia="en-AU"/>
              </w:rPr>
            </w:pPr>
            <w:r w:rsidRPr="00BA78CB">
              <w:rPr>
                <w:sz w:val="22"/>
                <w:lang w:eastAsia="en-AU"/>
              </w:rPr>
              <w:t>C</w:t>
            </w:r>
          </w:p>
        </w:tc>
        <w:tc>
          <w:tcPr>
            <w:cnfStyle w:val="000100000000" w:firstRow="0" w:lastRow="0" w:firstColumn="0" w:lastColumn="1"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hideMark/>
          </w:tcPr>
          <w:p w:rsidR="00557FD2" w:rsidRPr="00BA78CB" w:rsidRDefault="00557FD2" w:rsidP="00106D58">
            <w:pPr>
              <w:spacing w:after="0"/>
              <w:contextualSpacing/>
              <w:jc w:val="center"/>
              <w:rPr>
                <w:b w:val="0"/>
                <w:sz w:val="22"/>
                <w:lang w:eastAsia="en-AU"/>
              </w:rPr>
            </w:pPr>
            <w:r w:rsidRPr="00BA78CB">
              <w:rPr>
                <w:b w:val="0"/>
                <w:sz w:val="22"/>
                <w:lang w:eastAsia="en-AU"/>
              </w:rPr>
              <w:t>13.39</w:t>
            </w:r>
          </w:p>
        </w:tc>
      </w:tr>
      <w:tr w:rsidR="00557FD2" w:rsidRPr="009C04FE" w:rsidTr="00AE6A54">
        <w:tc>
          <w:tcPr>
            <w:cnfStyle w:val="001000000000" w:firstRow="0" w:lastRow="0" w:firstColumn="1" w:lastColumn="0" w:oddVBand="0" w:evenVBand="0" w:oddHBand="0" w:evenHBand="0" w:firstRowFirstColumn="0" w:firstRowLastColumn="0" w:lastRowFirstColumn="0" w:lastRowLastColumn="0"/>
            <w:tcW w:w="2552" w:type="dxa"/>
            <w:vMerge/>
            <w:tcBorders>
              <w:right w:val="none" w:sz="0" w:space="0" w:color="auto"/>
            </w:tcBorders>
          </w:tcPr>
          <w:p w:rsidR="00557FD2" w:rsidRPr="009C04FE" w:rsidRDefault="00557FD2" w:rsidP="00E36E68">
            <w:pPr>
              <w:spacing w:after="0"/>
              <w:contextualSpacing/>
              <w:rPr>
                <w:sz w:val="22"/>
                <w:lang w:eastAsia="en-AU"/>
              </w:rPr>
            </w:pP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hideMark/>
          </w:tcPr>
          <w:p w:rsidR="00557FD2" w:rsidRPr="00BA78CB" w:rsidRDefault="00557FD2" w:rsidP="00106D58">
            <w:pPr>
              <w:spacing w:after="0"/>
              <w:contextualSpacing/>
              <w:jc w:val="center"/>
              <w:rPr>
                <w:sz w:val="22"/>
                <w:lang w:eastAsia="en-AU"/>
              </w:rPr>
            </w:pPr>
            <w:r w:rsidRPr="00BA78CB">
              <w:rPr>
                <w:sz w:val="22"/>
                <w:lang w:eastAsia="en-AU"/>
              </w:rPr>
              <w:t>D</w:t>
            </w:r>
          </w:p>
        </w:tc>
        <w:tc>
          <w:tcPr>
            <w:cnfStyle w:val="000100000000" w:firstRow="0" w:lastRow="0" w:firstColumn="0" w:lastColumn="1" w:oddVBand="0" w:evenVBand="0" w:oddHBand="0" w:evenHBand="0" w:firstRowFirstColumn="0" w:firstRowLastColumn="0" w:lastRowFirstColumn="0" w:lastRowLastColumn="0"/>
            <w:tcW w:w="1701" w:type="dxa"/>
            <w:tcBorders>
              <w:left w:val="none" w:sz="0" w:space="0" w:color="auto"/>
            </w:tcBorders>
            <w:hideMark/>
          </w:tcPr>
          <w:p w:rsidR="00557FD2" w:rsidRPr="00BA78CB" w:rsidRDefault="00557FD2" w:rsidP="00106D58">
            <w:pPr>
              <w:spacing w:after="0"/>
              <w:contextualSpacing/>
              <w:jc w:val="center"/>
              <w:rPr>
                <w:b w:val="0"/>
                <w:sz w:val="22"/>
                <w:lang w:eastAsia="en-AU"/>
              </w:rPr>
            </w:pPr>
            <w:r w:rsidRPr="00BA78CB">
              <w:rPr>
                <w:b w:val="0"/>
                <w:sz w:val="22"/>
                <w:lang w:eastAsia="en-AU"/>
              </w:rPr>
              <w:t>20.09</w:t>
            </w:r>
          </w:p>
        </w:tc>
      </w:tr>
      <w:tr w:rsidR="00557FD2" w:rsidRPr="009C04FE"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none" w:sz="0" w:space="0" w:color="auto"/>
              <w:bottom w:val="none" w:sz="0" w:space="0" w:color="auto"/>
              <w:right w:val="none" w:sz="0" w:space="0" w:color="auto"/>
            </w:tcBorders>
            <w:hideMark/>
          </w:tcPr>
          <w:p w:rsidR="00557FD2" w:rsidRPr="009C04FE" w:rsidRDefault="00557FD2" w:rsidP="00E36E68">
            <w:pPr>
              <w:spacing w:after="0"/>
              <w:contextualSpacing/>
              <w:rPr>
                <w:sz w:val="22"/>
                <w:lang w:eastAsia="en-AU"/>
              </w:rPr>
            </w:pPr>
            <w:r w:rsidRPr="009C04FE">
              <w:rPr>
                <w:sz w:val="22"/>
                <w:lang w:eastAsia="en-AU"/>
              </w:rPr>
              <w:t>2 Mobility</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rsidR="00557FD2" w:rsidRPr="00BA78CB" w:rsidRDefault="00557FD2" w:rsidP="00106D58">
            <w:pPr>
              <w:spacing w:after="0"/>
              <w:contextualSpacing/>
              <w:jc w:val="center"/>
              <w:rPr>
                <w:sz w:val="22"/>
                <w:lang w:eastAsia="en-AU"/>
              </w:rPr>
            </w:pPr>
            <w:r w:rsidRPr="00BA78CB">
              <w:rPr>
                <w:sz w:val="22"/>
                <w:lang w:eastAsia="en-AU"/>
              </w:rPr>
              <w:t>A</w:t>
            </w:r>
          </w:p>
        </w:tc>
        <w:tc>
          <w:tcPr>
            <w:cnfStyle w:val="000100000000" w:firstRow="0" w:lastRow="0" w:firstColumn="0" w:lastColumn="1"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hideMark/>
          </w:tcPr>
          <w:p w:rsidR="00557FD2" w:rsidRPr="00BA78CB" w:rsidRDefault="00557FD2" w:rsidP="00106D58">
            <w:pPr>
              <w:spacing w:after="0"/>
              <w:contextualSpacing/>
              <w:jc w:val="center"/>
              <w:rPr>
                <w:b w:val="0"/>
                <w:sz w:val="22"/>
                <w:lang w:eastAsia="en-AU"/>
              </w:rPr>
            </w:pPr>
            <w:r w:rsidRPr="00BA78CB">
              <w:rPr>
                <w:b w:val="0"/>
                <w:sz w:val="22"/>
                <w:lang w:eastAsia="en-AU"/>
              </w:rPr>
              <w:t>0</w:t>
            </w:r>
          </w:p>
        </w:tc>
      </w:tr>
      <w:tr w:rsidR="00557FD2" w:rsidRPr="009C04FE" w:rsidTr="00AE6A54">
        <w:tc>
          <w:tcPr>
            <w:cnfStyle w:val="001000000000" w:firstRow="0" w:lastRow="0" w:firstColumn="1" w:lastColumn="0" w:oddVBand="0" w:evenVBand="0" w:oddHBand="0" w:evenHBand="0" w:firstRowFirstColumn="0" w:firstRowLastColumn="0" w:lastRowFirstColumn="0" w:lastRowLastColumn="0"/>
            <w:tcW w:w="2552" w:type="dxa"/>
            <w:vMerge/>
            <w:tcBorders>
              <w:right w:val="none" w:sz="0" w:space="0" w:color="auto"/>
            </w:tcBorders>
          </w:tcPr>
          <w:p w:rsidR="00557FD2" w:rsidRPr="009C04FE" w:rsidRDefault="00557FD2" w:rsidP="00E36E68">
            <w:pPr>
              <w:spacing w:after="0"/>
              <w:contextualSpacing/>
              <w:rPr>
                <w:sz w:val="22"/>
                <w:lang w:eastAsia="en-AU"/>
              </w:rPr>
            </w:pP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hideMark/>
          </w:tcPr>
          <w:p w:rsidR="00557FD2" w:rsidRPr="00BA78CB" w:rsidRDefault="00557FD2" w:rsidP="00106D58">
            <w:pPr>
              <w:spacing w:after="0"/>
              <w:contextualSpacing/>
              <w:jc w:val="center"/>
              <w:rPr>
                <w:sz w:val="22"/>
                <w:lang w:eastAsia="en-AU"/>
              </w:rPr>
            </w:pPr>
            <w:r w:rsidRPr="00BA78CB">
              <w:rPr>
                <w:sz w:val="22"/>
                <w:lang w:eastAsia="en-AU"/>
              </w:rPr>
              <w:t>B</w:t>
            </w:r>
          </w:p>
        </w:tc>
        <w:tc>
          <w:tcPr>
            <w:cnfStyle w:val="000100000000" w:firstRow="0" w:lastRow="0" w:firstColumn="0" w:lastColumn="1" w:oddVBand="0" w:evenVBand="0" w:oddHBand="0" w:evenHBand="0" w:firstRowFirstColumn="0" w:firstRowLastColumn="0" w:lastRowFirstColumn="0" w:lastRowLastColumn="0"/>
            <w:tcW w:w="1701" w:type="dxa"/>
            <w:tcBorders>
              <w:left w:val="none" w:sz="0" w:space="0" w:color="auto"/>
            </w:tcBorders>
            <w:hideMark/>
          </w:tcPr>
          <w:p w:rsidR="00557FD2" w:rsidRPr="00BA78CB" w:rsidRDefault="00557FD2" w:rsidP="00106D58">
            <w:pPr>
              <w:spacing w:after="0"/>
              <w:contextualSpacing/>
              <w:jc w:val="center"/>
              <w:rPr>
                <w:b w:val="0"/>
                <w:sz w:val="22"/>
                <w:lang w:eastAsia="en-AU"/>
              </w:rPr>
            </w:pPr>
            <w:r w:rsidRPr="00BA78CB">
              <w:rPr>
                <w:b w:val="0"/>
                <w:sz w:val="22"/>
                <w:lang w:eastAsia="en-AU"/>
              </w:rPr>
              <w:t>6.88</w:t>
            </w:r>
          </w:p>
        </w:tc>
      </w:tr>
      <w:tr w:rsidR="00557FD2" w:rsidRPr="009C04FE"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top w:val="none" w:sz="0" w:space="0" w:color="auto"/>
              <w:bottom w:val="none" w:sz="0" w:space="0" w:color="auto"/>
              <w:right w:val="none" w:sz="0" w:space="0" w:color="auto"/>
            </w:tcBorders>
          </w:tcPr>
          <w:p w:rsidR="00557FD2" w:rsidRPr="009C04FE" w:rsidRDefault="00557FD2" w:rsidP="00E36E68">
            <w:pPr>
              <w:spacing w:after="0"/>
              <w:contextualSpacing/>
              <w:rPr>
                <w:sz w:val="22"/>
                <w:lang w:eastAsia="en-AU"/>
              </w:rPr>
            </w:pP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rsidR="00557FD2" w:rsidRPr="00BA78CB" w:rsidRDefault="00557FD2" w:rsidP="00106D58">
            <w:pPr>
              <w:spacing w:after="0"/>
              <w:contextualSpacing/>
              <w:jc w:val="center"/>
              <w:rPr>
                <w:sz w:val="22"/>
                <w:lang w:eastAsia="en-AU"/>
              </w:rPr>
            </w:pPr>
            <w:r w:rsidRPr="00BA78CB">
              <w:rPr>
                <w:sz w:val="22"/>
                <w:lang w:eastAsia="en-AU"/>
              </w:rPr>
              <w:t>C</w:t>
            </w:r>
          </w:p>
        </w:tc>
        <w:tc>
          <w:tcPr>
            <w:cnfStyle w:val="000100000000" w:firstRow="0" w:lastRow="0" w:firstColumn="0" w:lastColumn="1"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hideMark/>
          </w:tcPr>
          <w:p w:rsidR="00557FD2" w:rsidRPr="00BA78CB" w:rsidRDefault="00557FD2" w:rsidP="00106D58">
            <w:pPr>
              <w:spacing w:after="0"/>
              <w:contextualSpacing/>
              <w:jc w:val="center"/>
              <w:rPr>
                <w:b w:val="0"/>
                <w:sz w:val="22"/>
                <w:lang w:eastAsia="en-AU"/>
              </w:rPr>
            </w:pPr>
            <w:r w:rsidRPr="00BA78CB">
              <w:rPr>
                <w:b w:val="0"/>
                <w:sz w:val="22"/>
                <w:lang w:eastAsia="en-AU"/>
              </w:rPr>
              <w:t>13.76</w:t>
            </w:r>
          </w:p>
        </w:tc>
      </w:tr>
      <w:tr w:rsidR="00557FD2" w:rsidRPr="009C04FE" w:rsidTr="00AE6A54">
        <w:tc>
          <w:tcPr>
            <w:cnfStyle w:val="001000000000" w:firstRow="0" w:lastRow="0" w:firstColumn="1" w:lastColumn="0" w:oddVBand="0" w:evenVBand="0" w:oddHBand="0" w:evenHBand="0" w:firstRowFirstColumn="0" w:firstRowLastColumn="0" w:lastRowFirstColumn="0" w:lastRowLastColumn="0"/>
            <w:tcW w:w="2552" w:type="dxa"/>
            <w:vMerge/>
            <w:tcBorders>
              <w:right w:val="none" w:sz="0" w:space="0" w:color="auto"/>
            </w:tcBorders>
          </w:tcPr>
          <w:p w:rsidR="00557FD2" w:rsidRPr="009C04FE" w:rsidRDefault="00557FD2" w:rsidP="00E36E68">
            <w:pPr>
              <w:spacing w:after="0"/>
              <w:contextualSpacing/>
              <w:rPr>
                <w:sz w:val="22"/>
                <w:lang w:eastAsia="en-AU"/>
              </w:rPr>
            </w:pP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hideMark/>
          </w:tcPr>
          <w:p w:rsidR="00557FD2" w:rsidRPr="00BA78CB" w:rsidRDefault="00557FD2" w:rsidP="00106D58">
            <w:pPr>
              <w:spacing w:after="0"/>
              <w:contextualSpacing/>
              <w:jc w:val="center"/>
              <w:rPr>
                <w:sz w:val="22"/>
                <w:lang w:eastAsia="en-AU"/>
              </w:rPr>
            </w:pPr>
            <w:r w:rsidRPr="00BA78CB">
              <w:rPr>
                <w:sz w:val="22"/>
                <w:lang w:eastAsia="en-AU"/>
              </w:rPr>
              <w:t>D</w:t>
            </w:r>
          </w:p>
        </w:tc>
        <w:tc>
          <w:tcPr>
            <w:cnfStyle w:val="000100000000" w:firstRow="0" w:lastRow="0" w:firstColumn="0" w:lastColumn="1" w:oddVBand="0" w:evenVBand="0" w:oddHBand="0" w:evenHBand="0" w:firstRowFirstColumn="0" w:firstRowLastColumn="0" w:lastRowFirstColumn="0" w:lastRowLastColumn="0"/>
            <w:tcW w:w="1701" w:type="dxa"/>
            <w:tcBorders>
              <w:left w:val="none" w:sz="0" w:space="0" w:color="auto"/>
            </w:tcBorders>
            <w:hideMark/>
          </w:tcPr>
          <w:p w:rsidR="00557FD2" w:rsidRPr="00BA78CB" w:rsidRDefault="00557FD2" w:rsidP="00106D58">
            <w:pPr>
              <w:spacing w:after="0"/>
              <w:contextualSpacing/>
              <w:jc w:val="center"/>
              <w:rPr>
                <w:b w:val="0"/>
                <w:sz w:val="22"/>
                <w:lang w:eastAsia="en-AU"/>
              </w:rPr>
            </w:pPr>
            <w:r w:rsidRPr="00BA78CB">
              <w:rPr>
                <w:b w:val="0"/>
                <w:sz w:val="22"/>
                <w:lang w:eastAsia="en-AU"/>
              </w:rPr>
              <w:t>20.65</w:t>
            </w:r>
          </w:p>
        </w:tc>
      </w:tr>
      <w:tr w:rsidR="00557FD2" w:rsidRPr="009C04FE"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none" w:sz="0" w:space="0" w:color="auto"/>
              <w:bottom w:val="none" w:sz="0" w:space="0" w:color="auto"/>
              <w:right w:val="none" w:sz="0" w:space="0" w:color="auto"/>
            </w:tcBorders>
            <w:hideMark/>
          </w:tcPr>
          <w:p w:rsidR="00557FD2" w:rsidRPr="009C04FE" w:rsidRDefault="00557FD2" w:rsidP="00E36E68">
            <w:pPr>
              <w:spacing w:after="0"/>
              <w:contextualSpacing/>
              <w:rPr>
                <w:sz w:val="22"/>
                <w:lang w:eastAsia="en-AU"/>
              </w:rPr>
            </w:pPr>
            <w:r w:rsidRPr="009C04FE">
              <w:rPr>
                <w:sz w:val="22"/>
                <w:lang w:eastAsia="en-AU"/>
              </w:rPr>
              <w:t xml:space="preserve">3 Personal </w:t>
            </w:r>
            <w:r>
              <w:rPr>
                <w:sz w:val="22"/>
                <w:lang w:eastAsia="en-AU"/>
              </w:rPr>
              <w:t>H</w:t>
            </w:r>
            <w:r w:rsidRPr="009C04FE">
              <w:rPr>
                <w:sz w:val="22"/>
                <w:lang w:eastAsia="en-AU"/>
              </w:rPr>
              <w:t>ygiene</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rsidR="00557FD2" w:rsidRPr="00BA78CB" w:rsidRDefault="00557FD2" w:rsidP="00106D58">
            <w:pPr>
              <w:spacing w:after="0"/>
              <w:contextualSpacing/>
              <w:jc w:val="center"/>
              <w:rPr>
                <w:sz w:val="22"/>
                <w:lang w:eastAsia="en-AU"/>
              </w:rPr>
            </w:pPr>
            <w:r w:rsidRPr="00BA78CB">
              <w:rPr>
                <w:sz w:val="22"/>
                <w:lang w:eastAsia="en-AU"/>
              </w:rPr>
              <w:t>A</w:t>
            </w:r>
          </w:p>
        </w:tc>
        <w:tc>
          <w:tcPr>
            <w:cnfStyle w:val="000100000000" w:firstRow="0" w:lastRow="0" w:firstColumn="0" w:lastColumn="1"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hideMark/>
          </w:tcPr>
          <w:p w:rsidR="00557FD2" w:rsidRPr="00BA78CB" w:rsidRDefault="00557FD2" w:rsidP="00106D58">
            <w:pPr>
              <w:spacing w:after="0"/>
              <w:contextualSpacing/>
              <w:jc w:val="center"/>
              <w:rPr>
                <w:b w:val="0"/>
                <w:sz w:val="22"/>
                <w:lang w:eastAsia="en-AU"/>
              </w:rPr>
            </w:pPr>
            <w:r w:rsidRPr="00BA78CB">
              <w:rPr>
                <w:b w:val="0"/>
                <w:sz w:val="22"/>
                <w:lang w:eastAsia="en-AU"/>
              </w:rPr>
              <w:t>0</w:t>
            </w:r>
          </w:p>
        </w:tc>
      </w:tr>
      <w:tr w:rsidR="00557FD2" w:rsidRPr="009C04FE" w:rsidTr="00AE6A54">
        <w:tc>
          <w:tcPr>
            <w:cnfStyle w:val="001000000000" w:firstRow="0" w:lastRow="0" w:firstColumn="1" w:lastColumn="0" w:oddVBand="0" w:evenVBand="0" w:oddHBand="0" w:evenHBand="0" w:firstRowFirstColumn="0" w:firstRowLastColumn="0" w:lastRowFirstColumn="0" w:lastRowLastColumn="0"/>
            <w:tcW w:w="2552" w:type="dxa"/>
            <w:vMerge/>
            <w:tcBorders>
              <w:right w:val="none" w:sz="0" w:space="0" w:color="auto"/>
            </w:tcBorders>
          </w:tcPr>
          <w:p w:rsidR="00557FD2" w:rsidRPr="009C04FE" w:rsidRDefault="00557FD2" w:rsidP="00E36E68">
            <w:pPr>
              <w:spacing w:after="0"/>
              <w:contextualSpacing/>
              <w:rPr>
                <w:sz w:val="22"/>
                <w:lang w:eastAsia="en-AU"/>
              </w:rPr>
            </w:pP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hideMark/>
          </w:tcPr>
          <w:p w:rsidR="00557FD2" w:rsidRPr="00BA78CB" w:rsidRDefault="00557FD2" w:rsidP="00106D58">
            <w:pPr>
              <w:spacing w:after="0"/>
              <w:contextualSpacing/>
              <w:jc w:val="center"/>
              <w:rPr>
                <w:sz w:val="22"/>
                <w:lang w:eastAsia="en-AU"/>
              </w:rPr>
            </w:pPr>
            <w:r w:rsidRPr="00BA78CB">
              <w:rPr>
                <w:sz w:val="22"/>
                <w:lang w:eastAsia="en-AU"/>
              </w:rPr>
              <w:t>B</w:t>
            </w:r>
          </w:p>
        </w:tc>
        <w:tc>
          <w:tcPr>
            <w:cnfStyle w:val="000100000000" w:firstRow="0" w:lastRow="0" w:firstColumn="0" w:lastColumn="1" w:oddVBand="0" w:evenVBand="0" w:oddHBand="0" w:evenHBand="0" w:firstRowFirstColumn="0" w:firstRowLastColumn="0" w:lastRowFirstColumn="0" w:lastRowLastColumn="0"/>
            <w:tcW w:w="1701" w:type="dxa"/>
            <w:tcBorders>
              <w:left w:val="none" w:sz="0" w:space="0" w:color="auto"/>
            </w:tcBorders>
            <w:hideMark/>
          </w:tcPr>
          <w:p w:rsidR="00557FD2" w:rsidRPr="00BA78CB" w:rsidRDefault="00557FD2" w:rsidP="00106D58">
            <w:pPr>
              <w:spacing w:after="0"/>
              <w:contextualSpacing/>
              <w:jc w:val="center"/>
              <w:rPr>
                <w:b w:val="0"/>
                <w:sz w:val="22"/>
                <w:lang w:eastAsia="en-AU"/>
              </w:rPr>
            </w:pPr>
            <w:r w:rsidRPr="00BA78CB">
              <w:rPr>
                <w:b w:val="0"/>
                <w:sz w:val="22"/>
                <w:lang w:eastAsia="en-AU"/>
              </w:rPr>
              <w:t>6.88</w:t>
            </w:r>
          </w:p>
        </w:tc>
      </w:tr>
      <w:tr w:rsidR="00557FD2" w:rsidRPr="009C04FE"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top w:val="none" w:sz="0" w:space="0" w:color="auto"/>
              <w:bottom w:val="none" w:sz="0" w:space="0" w:color="auto"/>
              <w:right w:val="none" w:sz="0" w:space="0" w:color="auto"/>
            </w:tcBorders>
          </w:tcPr>
          <w:p w:rsidR="00557FD2" w:rsidRPr="009C04FE" w:rsidRDefault="00557FD2" w:rsidP="00E36E68">
            <w:pPr>
              <w:spacing w:after="0"/>
              <w:contextualSpacing/>
              <w:rPr>
                <w:sz w:val="22"/>
                <w:lang w:eastAsia="en-AU"/>
              </w:rPr>
            </w:pP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rsidR="00557FD2" w:rsidRPr="00BA78CB" w:rsidRDefault="00557FD2" w:rsidP="00106D58">
            <w:pPr>
              <w:spacing w:after="0"/>
              <w:contextualSpacing/>
              <w:jc w:val="center"/>
              <w:rPr>
                <w:sz w:val="22"/>
                <w:lang w:eastAsia="en-AU"/>
              </w:rPr>
            </w:pPr>
            <w:r w:rsidRPr="00BA78CB">
              <w:rPr>
                <w:sz w:val="22"/>
                <w:lang w:eastAsia="en-AU"/>
              </w:rPr>
              <w:t>C</w:t>
            </w:r>
          </w:p>
        </w:tc>
        <w:tc>
          <w:tcPr>
            <w:cnfStyle w:val="000100000000" w:firstRow="0" w:lastRow="0" w:firstColumn="0" w:lastColumn="1"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hideMark/>
          </w:tcPr>
          <w:p w:rsidR="00557FD2" w:rsidRPr="00BA78CB" w:rsidRDefault="00557FD2" w:rsidP="00106D58">
            <w:pPr>
              <w:spacing w:after="0"/>
              <w:contextualSpacing/>
              <w:jc w:val="center"/>
              <w:rPr>
                <w:b w:val="0"/>
                <w:sz w:val="22"/>
                <w:lang w:eastAsia="en-AU"/>
              </w:rPr>
            </w:pPr>
            <w:r w:rsidRPr="00BA78CB">
              <w:rPr>
                <w:b w:val="0"/>
                <w:sz w:val="22"/>
                <w:lang w:eastAsia="en-AU"/>
              </w:rPr>
              <w:t>13.76</w:t>
            </w:r>
          </w:p>
        </w:tc>
      </w:tr>
      <w:tr w:rsidR="00557FD2" w:rsidRPr="009C04FE" w:rsidTr="00AE6A54">
        <w:tc>
          <w:tcPr>
            <w:cnfStyle w:val="001000000000" w:firstRow="0" w:lastRow="0" w:firstColumn="1" w:lastColumn="0" w:oddVBand="0" w:evenVBand="0" w:oddHBand="0" w:evenHBand="0" w:firstRowFirstColumn="0" w:firstRowLastColumn="0" w:lastRowFirstColumn="0" w:lastRowLastColumn="0"/>
            <w:tcW w:w="2552" w:type="dxa"/>
            <w:vMerge/>
            <w:tcBorders>
              <w:right w:val="none" w:sz="0" w:space="0" w:color="auto"/>
            </w:tcBorders>
          </w:tcPr>
          <w:p w:rsidR="00557FD2" w:rsidRPr="009C04FE" w:rsidRDefault="00557FD2" w:rsidP="00E36E68">
            <w:pPr>
              <w:spacing w:after="0"/>
              <w:contextualSpacing/>
              <w:rPr>
                <w:sz w:val="22"/>
                <w:lang w:eastAsia="en-AU"/>
              </w:rPr>
            </w:pP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hideMark/>
          </w:tcPr>
          <w:p w:rsidR="00557FD2" w:rsidRPr="00BA78CB" w:rsidRDefault="00557FD2" w:rsidP="00106D58">
            <w:pPr>
              <w:spacing w:after="0"/>
              <w:contextualSpacing/>
              <w:jc w:val="center"/>
              <w:rPr>
                <w:sz w:val="22"/>
                <w:lang w:eastAsia="en-AU"/>
              </w:rPr>
            </w:pPr>
            <w:r w:rsidRPr="00BA78CB">
              <w:rPr>
                <w:sz w:val="22"/>
                <w:lang w:eastAsia="en-AU"/>
              </w:rPr>
              <w:t>D</w:t>
            </w:r>
          </w:p>
        </w:tc>
        <w:tc>
          <w:tcPr>
            <w:cnfStyle w:val="000100000000" w:firstRow="0" w:lastRow="0" w:firstColumn="0" w:lastColumn="1" w:oddVBand="0" w:evenVBand="0" w:oddHBand="0" w:evenHBand="0" w:firstRowFirstColumn="0" w:firstRowLastColumn="0" w:lastRowFirstColumn="0" w:lastRowLastColumn="0"/>
            <w:tcW w:w="1701" w:type="dxa"/>
            <w:tcBorders>
              <w:left w:val="none" w:sz="0" w:space="0" w:color="auto"/>
            </w:tcBorders>
            <w:hideMark/>
          </w:tcPr>
          <w:p w:rsidR="00557FD2" w:rsidRPr="00BA78CB" w:rsidRDefault="00557FD2" w:rsidP="00106D58">
            <w:pPr>
              <w:spacing w:after="0"/>
              <w:contextualSpacing/>
              <w:jc w:val="center"/>
              <w:rPr>
                <w:b w:val="0"/>
                <w:sz w:val="22"/>
                <w:lang w:eastAsia="en-AU"/>
              </w:rPr>
            </w:pPr>
            <w:r w:rsidRPr="00BA78CB">
              <w:rPr>
                <w:b w:val="0"/>
                <w:sz w:val="22"/>
                <w:lang w:eastAsia="en-AU"/>
              </w:rPr>
              <w:t>20.65</w:t>
            </w:r>
          </w:p>
        </w:tc>
      </w:tr>
      <w:tr w:rsidR="00557FD2" w:rsidRPr="009C04FE"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none" w:sz="0" w:space="0" w:color="auto"/>
              <w:bottom w:val="none" w:sz="0" w:space="0" w:color="auto"/>
              <w:right w:val="none" w:sz="0" w:space="0" w:color="auto"/>
            </w:tcBorders>
            <w:hideMark/>
          </w:tcPr>
          <w:p w:rsidR="00557FD2" w:rsidRPr="009C04FE" w:rsidRDefault="00557FD2" w:rsidP="00E36E68">
            <w:pPr>
              <w:spacing w:after="0"/>
              <w:contextualSpacing/>
              <w:rPr>
                <w:sz w:val="22"/>
                <w:lang w:eastAsia="en-AU"/>
              </w:rPr>
            </w:pPr>
            <w:r w:rsidRPr="009C04FE">
              <w:rPr>
                <w:sz w:val="22"/>
                <w:lang w:eastAsia="en-AU"/>
              </w:rPr>
              <w:t>4 Toileting</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rsidR="00557FD2" w:rsidRPr="00BA78CB" w:rsidRDefault="00557FD2" w:rsidP="00106D58">
            <w:pPr>
              <w:spacing w:after="0"/>
              <w:contextualSpacing/>
              <w:jc w:val="center"/>
              <w:rPr>
                <w:sz w:val="22"/>
                <w:lang w:eastAsia="en-AU"/>
              </w:rPr>
            </w:pPr>
            <w:r w:rsidRPr="00BA78CB">
              <w:rPr>
                <w:sz w:val="22"/>
                <w:lang w:eastAsia="en-AU"/>
              </w:rPr>
              <w:t>A</w:t>
            </w:r>
          </w:p>
        </w:tc>
        <w:tc>
          <w:tcPr>
            <w:cnfStyle w:val="000100000000" w:firstRow="0" w:lastRow="0" w:firstColumn="0" w:lastColumn="1"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hideMark/>
          </w:tcPr>
          <w:p w:rsidR="00557FD2" w:rsidRPr="00BA78CB" w:rsidRDefault="00557FD2" w:rsidP="00106D58">
            <w:pPr>
              <w:spacing w:after="0"/>
              <w:contextualSpacing/>
              <w:jc w:val="center"/>
              <w:rPr>
                <w:b w:val="0"/>
                <w:sz w:val="22"/>
                <w:lang w:eastAsia="en-AU"/>
              </w:rPr>
            </w:pPr>
            <w:r w:rsidRPr="00BA78CB">
              <w:rPr>
                <w:b w:val="0"/>
                <w:sz w:val="22"/>
                <w:lang w:eastAsia="en-AU"/>
              </w:rPr>
              <w:t>0</w:t>
            </w:r>
          </w:p>
        </w:tc>
      </w:tr>
      <w:tr w:rsidR="00557FD2" w:rsidRPr="009C04FE" w:rsidTr="00AE6A54">
        <w:tc>
          <w:tcPr>
            <w:cnfStyle w:val="001000000000" w:firstRow="0" w:lastRow="0" w:firstColumn="1" w:lastColumn="0" w:oddVBand="0" w:evenVBand="0" w:oddHBand="0" w:evenHBand="0" w:firstRowFirstColumn="0" w:firstRowLastColumn="0" w:lastRowFirstColumn="0" w:lastRowLastColumn="0"/>
            <w:tcW w:w="2552" w:type="dxa"/>
            <w:vMerge/>
            <w:tcBorders>
              <w:right w:val="none" w:sz="0" w:space="0" w:color="auto"/>
            </w:tcBorders>
          </w:tcPr>
          <w:p w:rsidR="00557FD2" w:rsidRPr="009C04FE" w:rsidRDefault="00557FD2" w:rsidP="00E36E68">
            <w:pPr>
              <w:spacing w:after="0"/>
              <w:contextualSpacing/>
              <w:rPr>
                <w:sz w:val="22"/>
                <w:lang w:eastAsia="en-AU"/>
              </w:rPr>
            </w:pP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hideMark/>
          </w:tcPr>
          <w:p w:rsidR="00557FD2" w:rsidRPr="00BA78CB" w:rsidRDefault="00557FD2" w:rsidP="00106D58">
            <w:pPr>
              <w:spacing w:after="0"/>
              <w:contextualSpacing/>
              <w:jc w:val="center"/>
              <w:rPr>
                <w:sz w:val="22"/>
                <w:lang w:eastAsia="en-AU"/>
              </w:rPr>
            </w:pPr>
            <w:r w:rsidRPr="00BA78CB">
              <w:rPr>
                <w:sz w:val="22"/>
                <w:lang w:eastAsia="en-AU"/>
              </w:rPr>
              <w:t>B</w:t>
            </w:r>
          </w:p>
        </w:tc>
        <w:tc>
          <w:tcPr>
            <w:cnfStyle w:val="000100000000" w:firstRow="0" w:lastRow="0" w:firstColumn="0" w:lastColumn="1" w:oddVBand="0" w:evenVBand="0" w:oddHBand="0" w:evenHBand="0" w:firstRowFirstColumn="0" w:firstRowLastColumn="0" w:lastRowFirstColumn="0" w:lastRowLastColumn="0"/>
            <w:tcW w:w="1701" w:type="dxa"/>
            <w:tcBorders>
              <w:left w:val="none" w:sz="0" w:space="0" w:color="auto"/>
            </w:tcBorders>
            <w:hideMark/>
          </w:tcPr>
          <w:p w:rsidR="00557FD2" w:rsidRPr="00BA78CB" w:rsidRDefault="00557FD2" w:rsidP="00106D58">
            <w:pPr>
              <w:spacing w:after="0"/>
              <w:contextualSpacing/>
              <w:jc w:val="center"/>
              <w:rPr>
                <w:b w:val="0"/>
                <w:sz w:val="22"/>
                <w:lang w:eastAsia="en-AU"/>
              </w:rPr>
            </w:pPr>
            <w:r w:rsidRPr="00BA78CB">
              <w:rPr>
                <w:b w:val="0"/>
                <w:sz w:val="22"/>
                <w:lang w:eastAsia="en-AU"/>
              </w:rPr>
              <w:t>6.11</w:t>
            </w:r>
          </w:p>
        </w:tc>
      </w:tr>
      <w:tr w:rsidR="00557FD2" w:rsidRPr="009C04FE"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top w:val="none" w:sz="0" w:space="0" w:color="auto"/>
              <w:bottom w:val="none" w:sz="0" w:space="0" w:color="auto"/>
              <w:right w:val="none" w:sz="0" w:space="0" w:color="auto"/>
            </w:tcBorders>
          </w:tcPr>
          <w:p w:rsidR="00557FD2" w:rsidRPr="009C04FE" w:rsidRDefault="00557FD2" w:rsidP="00E36E68">
            <w:pPr>
              <w:spacing w:after="0"/>
              <w:contextualSpacing/>
              <w:rPr>
                <w:sz w:val="22"/>
                <w:lang w:eastAsia="en-AU"/>
              </w:rPr>
            </w:pP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rsidR="00557FD2" w:rsidRPr="00BA78CB" w:rsidRDefault="00557FD2" w:rsidP="00106D58">
            <w:pPr>
              <w:spacing w:after="0"/>
              <w:contextualSpacing/>
              <w:jc w:val="center"/>
              <w:rPr>
                <w:sz w:val="22"/>
                <w:lang w:eastAsia="en-AU"/>
              </w:rPr>
            </w:pPr>
            <w:r w:rsidRPr="00BA78CB">
              <w:rPr>
                <w:sz w:val="22"/>
                <w:lang w:eastAsia="en-AU"/>
              </w:rPr>
              <w:t>C</w:t>
            </w:r>
          </w:p>
        </w:tc>
        <w:tc>
          <w:tcPr>
            <w:cnfStyle w:val="000100000000" w:firstRow="0" w:lastRow="0" w:firstColumn="0" w:lastColumn="1"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hideMark/>
          </w:tcPr>
          <w:p w:rsidR="00557FD2" w:rsidRPr="00BA78CB" w:rsidRDefault="00557FD2" w:rsidP="00106D58">
            <w:pPr>
              <w:spacing w:after="0"/>
              <w:contextualSpacing/>
              <w:jc w:val="center"/>
              <w:rPr>
                <w:b w:val="0"/>
                <w:sz w:val="22"/>
                <w:lang w:eastAsia="en-AU"/>
              </w:rPr>
            </w:pPr>
            <w:r w:rsidRPr="00BA78CB">
              <w:rPr>
                <w:b w:val="0"/>
                <w:sz w:val="22"/>
                <w:lang w:eastAsia="en-AU"/>
              </w:rPr>
              <w:t>12.21</w:t>
            </w:r>
          </w:p>
        </w:tc>
      </w:tr>
      <w:tr w:rsidR="00557FD2" w:rsidRPr="009C04FE" w:rsidTr="00AE6A54">
        <w:tc>
          <w:tcPr>
            <w:cnfStyle w:val="001000000000" w:firstRow="0" w:lastRow="0" w:firstColumn="1" w:lastColumn="0" w:oddVBand="0" w:evenVBand="0" w:oddHBand="0" w:evenHBand="0" w:firstRowFirstColumn="0" w:firstRowLastColumn="0" w:lastRowFirstColumn="0" w:lastRowLastColumn="0"/>
            <w:tcW w:w="2552" w:type="dxa"/>
            <w:vMerge/>
            <w:tcBorders>
              <w:right w:val="none" w:sz="0" w:space="0" w:color="auto"/>
            </w:tcBorders>
          </w:tcPr>
          <w:p w:rsidR="00557FD2" w:rsidRPr="009C04FE" w:rsidRDefault="00557FD2" w:rsidP="00E36E68">
            <w:pPr>
              <w:spacing w:after="0"/>
              <w:contextualSpacing/>
              <w:rPr>
                <w:sz w:val="22"/>
                <w:lang w:eastAsia="en-AU"/>
              </w:rPr>
            </w:pP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hideMark/>
          </w:tcPr>
          <w:p w:rsidR="00557FD2" w:rsidRPr="00BA78CB" w:rsidRDefault="00557FD2" w:rsidP="00106D58">
            <w:pPr>
              <w:spacing w:after="0"/>
              <w:contextualSpacing/>
              <w:jc w:val="center"/>
              <w:rPr>
                <w:sz w:val="22"/>
                <w:lang w:eastAsia="en-AU"/>
              </w:rPr>
            </w:pPr>
            <w:r w:rsidRPr="00BA78CB">
              <w:rPr>
                <w:sz w:val="22"/>
                <w:lang w:eastAsia="en-AU"/>
              </w:rPr>
              <w:t>D</w:t>
            </w:r>
          </w:p>
        </w:tc>
        <w:tc>
          <w:tcPr>
            <w:cnfStyle w:val="000100000000" w:firstRow="0" w:lastRow="0" w:firstColumn="0" w:lastColumn="1" w:oddVBand="0" w:evenVBand="0" w:oddHBand="0" w:evenHBand="0" w:firstRowFirstColumn="0" w:firstRowLastColumn="0" w:lastRowFirstColumn="0" w:lastRowLastColumn="0"/>
            <w:tcW w:w="1701" w:type="dxa"/>
            <w:tcBorders>
              <w:left w:val="none" w:sz="0" w:space="0" w:color="auto"/>
            </w:tcBorders>
            <w:hideMark/>
          </w:tcPr>
          <w:p w:rsidR="00557FD2" w:rsidRPr="00BA78CB" w:rsidRDefault="00557FD2" w:rsidP="00106D58">
            <w:pPr>
              <w:spacing w:after="0"/>
              <w:contextualSpacing/>
              <w:jc w:val="center"/>
              <w:rPr>
                <w:b w:val="0"/>
                <w:sz w:val="22"/>
                <w:lang w:eastAsia="en-AU"/>
              </w:rPr>
            </w:pPr>
            <w:r w:rsidRPr="00BA78CB">
              <w:rPr>
                <w:b w:val="0"/>
                <w:sz w:val="22"/>
                <w:lang w:eastAsia="en-AU"/>
              </w:rPr>
              <w:t>18.31</w:t>
            </w:r>
          </w:p>
        </w:tc>
      </w:tr>
      <w:tr w:rsidR="00557FD2" w:rsidRPr="009C04FE"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none" w:sz="0" w:space="0" w:color="auto"/>
              <w:bottom w:val="none" w:sz="0" w:space="0" w:color="auto"/>
              <w:right w:val="none" w:sz="0" w:space="0" w:color="auto"/>
            </w:tcBorders>
            <w:hideMark/>
          </w:tcPr>
          <w:p w:rsidR="00557FD2" w:rsidRPr="009C04FE" w:rsidRDefault="00557FD2" w:rsidP="00E36E68">
            <w:pPr>
              <w:spacing w:after="0"/>
              <w:contextualSpacing/>
              <w:rPr>
                <w:sz w:val="22"/>
                <w:lang w:eastAsia="en-AU"/>
              </w:rPr>
            </w:pPr>
            <w:r w:rsidRPr="009C04FE">
              <w:rPr>
                <w:sz w:val="22"/>
                <w:lang w:eastAsia="en-AU"/>
              </w:rPr>
              <w:t>5 Continence</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rsidR="00557FD2" w:rsidRPr="00BA78CB" w:rsidRDefault="00557FD2" w:rsidP="00106D58">
            <w:pPr>
              <w:spacing w:after="0"/>
              <w:contextualSpacing/>
              <w:jc w:val="center"/>
              <w:rPr>
                <w:sz w:val="22"/>
                <w:lang w:eastAsia="en-AU"/>
              </w:rPr>
            </w:pPr>
            <w:r w:rsidRPr="00BA78CB">
              <w:rPr>
                <w:sz w:val="22"/>
                <w:lang w:eastAsia="en-AU"/>
              </w:rPr>
              <w:t>A</w:t>
            </w:r>
          </w:p>
        </w:tc>
        <w:tc>
          <w:tcPr>
            <w:cnfStyle w:val="000100000000" w:firstRow="0" w:lastRow="0" w:firstColumn="0" w:lastColumn="1"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hideMark/>
          </w:tcPr>
          <w:p w:rsidR="00557FD2" w:rsidRPr="00BA78CB" w:rsidRDefault="00557FD2" w:rsidP="00106D58">
            <w:pPr>
              <w:spacing w:after="0"/>
              <w:contextualSpacing/>
              <w:jc w:val="center"/>
              <w:rPr>
                <w:b w:val="0"/>
                <w:sz w:val="22"/>
                <w:lang w:eastAsia="en-AU"/>
              </w:rPr>
            </w:pPr>
            <w:r w:rsidRPr="00BA78CB">
              <w:rPr>
                <w:b w:val="0"/>
                <w:sz w:val="22"/>
                <w:lang w:eastAsia="en-AU"/>
              </w:rPr>
              <w:t>0</w:t>
            </w:r>
          </w:p>
        </w:tc>
      </w:tr>
      <w:tr w:rsidR="00557FD2" w:rsidRPr="009C04FE" w:rsidTr="00AE6A54">
        <w:tc>
          <w:tcPr>
            <w:cnfStyle w:val="001000000000" w:firstRow="0" w:lastRow="0" w:firstColumn="1" w:lastColumn="0" w:oddVBand="0" w:evenVBand="0" w:oddHBand="0" w:evenHBand="0" w:firstRowFirstColumn="0" w:firstRowLastColumn="0" w:lastRowFirstColumn="0" w:lastRowLastColumn="0"/>
            <w:tcW w:w="2552" w:type="dxa"/>
            <w:vMerge/>
            <w:tcBorders>
              <w:right w:val="none" w:sz="0" w:space="0" w:color="auto"/>
            </w:tcBorders>
          </w:tcPr>
          <w:p w:rsidR="00557FD2" w:rsidRPr="009C04FE" w:rsidRDefault="00557FD2" w:rsidP="00E36E68">
            <w:pPr>
              <w:spacing w:after="0"/>
              <w:contextualSpacing/>
              <w:rPr>
                <w:sz w:val="22"/>
                <w:lang w:eastAsia="en-AU"/>
              </w:rPr>
            </w:pP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hideMark/>
          </w:tcPr>
          <w:p w:rsidR="00557FD2" w:rsidRPr="00BA78CB" w:rsidRDefault="00557FD2" w:rsidP="00106D58">
            <w:pPr>
              <w:spacing w:after="0"/>
              <w:contextualSpacing/>
              <w:jc w:val="center"/>
              <w:rPr>
                <w:sz w:val="22"/>
                <w:lang w:eastAsia="en-AU"/>
              </w:rPr>
            </w:pPr>
            <w:r w:rsidRPr="00BA78CB">
              <w:rPr>
                <w:sz w:val="22"/>
                <w:lang w:eastAsia="en-AU"/>
              </w:rPr>
              <w:t>B</w:t>
            </w:r>
          </w:p>
        </w:tc>
        <w:tc>
          <w:tcPr>
            <w:cnfStyle w:val="000100000000" w:firstRow="0" w:lastRow="0" w:firstColumn="0" w:lastColumn="1" w:oddVBand="0" w:evenVBand="0" w:oddHBand="0" w:evenHBand="0" w:firstRowFirstColumn="0" w:firstRowLastColumn="0" w:lastRowFirstColumn="0" w:lastRowLastColumn="0"/>
            <w:tcW w:w="1701" w:type="dxa"/>
            <w:tcBorders>
              <w:left w:val="none" w:sz="0" w:space="0" w:color="auto"/>
            </w:tcBorders>
            <w:hideMark/>
          </w:tcPr>
          <w:p w:rsidR="00557FD2" w:rsidRPr="00BA78CB" w:rsidRDefault="00557FD2" w:rsidP="00106D58">
            <w:pPr>
              <w:spacing w:after="0"/>
              <w:contextualSpacing/>
              <w:jc w:val="center"/>
              <w:rPr>
                <w:b w:val="0"/>
                <w:sz w:val="22"/>
                <w:lang w:eastAsia="en-AU"/>
              </w:rPr>
            </w:pPr>
            <w:r w:rsidRPr="00BA78CB">
              <w:rPr>
                <w:b w:val="0"/>
                <w:sz w:val="22"/>
                <w:lang w:eastAsia="en-AU"/>
              </w:rPr>
              <w:t>5.79</w:t>
            </w:r>
          </w:p>
        </w:tc>
      </w:tr>
      <w:tr w:rsidR="00557FD2" w:rsidRPr="009C04FE"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top w:val="none" w:sz="0" w:space="0" w:color="auto"/>
              <w:bottom w:val="none" w:sz="0" w:space="0" w:color="auto"/>
              <w:right w:val="none" w:sz="0" w:space="0" w:color="auto"/>
            </w:tcBorders>
          </w:tcPr>
          <w:p w:rsidR="00557FD2" w:rsidRPr="009C04FE" w:rsidRDefault="00557FD2" w:rsidP="00E36E68">
            <w:pPr>
              <w:spacing w:after="0"/>
              <w:contextualSpacing/>
              <w:rPr>
                <w:sz w:val="22"/>
                <w:lang w:eastAsia="en-AU"/>
              </w:rPr>
            </w:pP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rsidR="00557FD2" w:rsidRPr="00BA78CB" w:rsidRDefault="00557FD2" w:rsidP="00106D58">
            <w:pPr>
              <w:spacing w:after="0"/>
              <w:contextualSpacing/>
              <w:jc w:val="center"/>
              <w:rPr>
                <w:sz w:val="22"/>
                <w:lang w:eastAsia="en-AU"/>
              </w:rPr>
            </w:pPr>
            <w:r w:rsidRPr="00BA78CB">
              <w:rPr>
                <w:sz w:val="22"/>
                <w:lang w:eastAsia="en-AU"/>
              </w:rPr>
              <w:t>C</w:t>
            </w:r>
          </w:p>
        </w:tc>
        <w:tc>
          <w:tcPr>
            <w:cnfStyle w:val="000100000000" w:firstRow="0" w:lastRow="0" w:firstColumn="0" w:lastColumn="1"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hideMark/>
          </w:tcPr>
          <w:p w:rsidR="00557FD2" w:rsidRPr="00BA78CB" w:rsidRDefault="00557FD2" w:rsidP="00106D58">
            <w:pPr>
              <w:spacing w:after="0"/>
              <w:contextualSpacing/>
              <w:jc w:val="center"/>
              <w:rPr>
                <w:b w:val="0"/>
                <w:sz w:val="22"/>
                <w:lang w:eastAsia="en-AU"/>
              </w:rPr>
            </w:pPr>
            <w:r w:rsidRPr="00BA78CB">
              <w:rPr>
                <w:b w:val="0"/>
                <w:sz w:val="22"/>
                <w:lang w:eastAsia="en-AU"/>
              </w:rPr>
              <w:t>11.53</w:t>
            </w:r>
          </w:p>
        </w:tc>
      </w:tr>
      <w:tr w:rsidR="00557FD2" w:rsidRPr="009C04FE" w:rsidTr="00AE6A54">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552" w:type="dxa"/>
            <w:vMerge/>
            <w:tcBorders>
              <w:top w:val="none" w:sz="0" w:space="0" w:color="auto"/>
              <w:right w:val="none" w:sz="0" w:space="0" w:color="auto"/>
            </w:tcBorders>
          </w:tcPr>
          <w:p w:rsidR="00557FD2" w:rsidRPr="009C04FE" w:rsidRDefault="00557FD2" w:rsidP="00E36E68">
            <w:pPr>
              <w:spacing w:after="0"/>
              <w:contextualSpacing/>
              <w:rPr>
                <w:sz w:val="22"/>
                <w:lang w:eastAsia="en-AU"/>
              </w:rPr>
            </w:pP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right w:val="none" w:sz="0" w:space="0" w:color="auto"/>
            </w:tcBorders>
            <w:hideMark/>
          </w:tcPr>
          <w:p w:rsidR="00557FD2" w:rsidRPr="00BA78CB" w:rsidRDefault="00557FD2" w:rsidP="00106D58">
            <w:pPr>
              <w:spacing w:after="0"/>
              <w:contextualSpacing/>
              <w:jc w:val="center"/>
              <w:rPr>
                <w:b w:val="0"/>
                <w:sz w:val="22"/>
                <w:lang w:eastAsia="en-AU"/>
              </w:rPr>
            </w:pPr>
            <w:r w:rsidRPr="00BA78CB">
              <w:rPr>
                <w:b w:val="0"/>
                <w:sz w:val="22"/>
                <w:lang w:eastAsia="en-AU"/>
              </w:rPr>
              <w:t>D</w:t>
            </w:r>
          </w:p>
        </w:tc>
        <w:tc>
          <w:tcPr>
            <w:cnfStyle w:val="000100000010" w:firstRow="0" w:lastRow="0" w:firstColumn="0" w:lastColumn="1" w:oddVBand="0" w:evenVBand="0" w:oddHBand="0" w:evenHBand="0" w:firstRowFirstColumn="0" w:firstRowLastColumn="0" w:lastRowFirstColumn="0" w:lastRowLastColumn="1"/>
            <w:tcW w:w="1701" w:type="dxa"/>
            <w:tcBorders>
              <w:top w:val="none" w:sz="0" w:space="0" w:color="auto"/>
              <w:left w:val="none" w:sz="0" w:space="0" w:color="auto"/>
            </w:tcBorders>
            <w:hideMark/>
          </w:tcPr>
          <w:p w:rsidR="00557FD2" w:rsidRPr="00BA78CB" w:rsidRDefault="00557FD2" w:rsidP="00106D58">
            <w:pPr>
              <w:spacing w:after="0"/>
              <w:contextualSpacing/>
              <w:jc w:val="center"/>
              <w:rPr>
                <w:b w:val="0"/>
                <w:sz w:val="22"/>
                <w:lang w:eastAsia="en-AU"/>
              </w:rPr>
            </w:pPr>
            <w:r w:rsidRPr="00BA78CB">
              <w:rPr>
                <w:b w:val="0"/>
                <w:sz w:val="22"/>
                <w:lang w:eastAsia="en-AU"/>
              </w:rPr>
              <w:t>17.31</w:t>
            </w:r>
          </w:p>
        </w:tc>
      </w:tr>
    </w:tbl>
    <w:p w:rsidR="00291A6C" w:rsidRDefault="00291A6C" w:rsidP="00291A6C">
      <w:pPr>
        <w:pStyle w:val="Caption"/>
        <w:keepNext/>
      </w:pPr>
      <w:bookmarkStart w:id="210" w:name="_Toc495415642"/>
      <w:bookmarkStart w:id="211" w:name="Tab0403"/>
      <w:bookmarkStart w:id="212" w:name="_Hlk484291555"/>
      <w:r>
        <w:t>Table 4.</w:t>
      </w:r>
      <w:r w:rsidR="009A3F5A">
        <w:fldChar w:fldCharType="begin"/>
      </w:r>
      <w:r w:rsidR="009A3F5A">
        <w:instrText xml:space="preserve"> SEQ Table_4. \* ARABIC </w:instrText>
      </w:r>
      <w:r w:rsidR="009A3F5A">
        <w:fldChar w:fldCharType="separate"/>
      </w:r>
      <w:r w:rsidR="00856E49">
        <w:rPr>
          <w:noProof/>
        </w:rPr>
        <w:t>3</w:t>
      </w:r>
      <w:r w:rsidR="009A3F5A">
        <w:rPr>
          <w:noProof/>
        </w:rPr>
        <w:fldChar w:fldCharType="end"/>
      </w:r>
      <w:r>
        <w:t xml:space="preserve">: </w:t>
      </w:r>
      <w:r w:rsidRPr="00291A6C">
        <w:t>ADL Domain Classification, cut-points and funding</w:t>
      </w:r>
      <w:bookmarkEnd w:id="210"/>
    </w:p>
    <w:tbl>
      <w:tblPr>
        <w:tblStyle w:val="ListTable3-Accent511"/>
        <w:tblW w:w="0" w:type="auto"/>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4.3 is a list of the category cut points and corresponding funding amounts for the Activities of Daily Living (ADL) classifications (nil, low, medium and high) in the aged care funding instrument (ACFI). This table is to be read left to right, top to bottom."/>
      </w:tblPr>
      <w:tblGrid>
        <w:gridCol w:w="2552"/>
        <w:gridCol w:w="1276"/>
      </w:tblGrid>
      <w:tr w:rsidR="00557FD2" w:rsidTr="00AE6A5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52" w:type="dxa"/>
            <w:tcBorders>
              <w:bottom w:val="none" w:sz="0" w:space="0" w:color="auto"/>
              <w:right w:val="none" w:sz="0" w:space="0" w:color="auto"/>
            </w:tcBorders>
          </w:tcPr>
          <w:bookmarkEnd w:id="211"/>
          <w:p w:rsidR="00557FD2" w:rsidRPr="008761A7" w:rsidRDefault="00557FD2" w:rsidP="00A51750">
            <w:pPr>
              <w:spacing w:after="0"/>
              <w:rPr>
                <w:lang w:eastAsia="en-AU"/>
              </w:rPr>
            </w:pPr>
            <w:r w:rsidRPr="008761A7">
              <w:rPr>
                <w:lang w:eastAsia="en-AU"/>
              </w:rPr>
              <w:t>Category Cut Points</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rsidR="00557FD2" w:rsidRPr="008761A7" w:rsidRDefault="00557FD2" w:rsidP="00106D58">
            <w:pPr>
              <w:spacing w:after="0"/>
              <w:jc w:val="center"/>
              <w:rPr>
                <w:lang w:eastAsia="en-AU"/>
              </w:rPr>
            </w:pPr>
            <w:r w:rsidRPr="008761A7">
              <w:rPr>
                <w:lang w:eastAsia="en-AU"/>
              </w:rPr>
              <w:t>Funding</w:t>
            </w:r>
          </w:p>
        </w:tc>
      </w:tr>
      <w:tr w:rsidR="00557FD2"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bottom w:val="none" w:sz="0" w:space="0" w:color="auto"/>
              <w:right w:val="none" w:sz="0" w:space="0" w:color="auto"/>
            </w:tcBorders>
          </w:tcPr>
          <w:p w:rsidR="00557FD2" w:rsidRPr="00525660" w:rsidRDefault="00557FD2" w:rsidP="00A51750">
            <w:pPr>
              <w:spacing w:after="0"/>
              <w:rPr>
                <w:sz w:val="22"/>
                <w:lang w:eastAsia="en-AU"/>
              </w:rPr>
            </w:pPr>
            <w:r w:rsidRPr="00525660">
              <w:rPr>
                <w:sz w:val="22"/>
                <w:lang w:eastAsia="en-AU"/>
              </w:rPr>
              <w:t xml:space="preserve">Nil </w:t>
            </w:r>
            <w:r w:rsidRPr="00525660">
              <w:rPr>
                <w:b w:val="0"/>
                <w:sz w:val="22"/>
                <w:lang w:eastAsia="en-AU"/>
              </w:rPr>
              <w:t>(&lt;18)</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rsidR="00557FD2" w:rsidRPr="00525660" w:rsidRDefault="00557FD2" w:rsidP="004368E0">
            <w:pPr>
              <w:spacing w:after="0"/>
              <w:jc w:val="right"/>
              <w:rPr>
                <w:sz w:val="22"/>
                <w:lang w:eastAsia="en-AU"/>
              </w:rPr>
            </w:pPr>
            <w:r w:rsidRPr="00525660">
              <w:rPr>
                <w:sz w:val="22"/>
                <w:lang w:eastAsia="en-AU"/>
              </w:rPr>
              <w:t>$ 0</w:t>
            </w:r>
            <w:r w:rsidR="004368E0">
              <w:rPr>
                <w:sz w:val="22"/>
                <w:lang w:eastAsia="en-AU"/>
              </w:rPr>
              <w:t>.00</w:t>
            </w:r>
          </w:p>
        </w:tc>
      </w:tr>
      <w:tr w:rsidR="00557FD2" w:rsidTr="00AE6A54">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tcPr>
          <w:p w:rsidR="00557FD2" w:rsidRPr="00525660" w:rsidRDefault="00557FD2" w:rsidP="00A51750">
            <w:pPr>
              <w:spacing w:after="0"/>
              <w:rPr>
                <w:sz w:val="22"/>
                <w:lang w:eastAsia="en-AU"/>
              </w:rPr>
            </w:pPr>
            <w:r w:rsidRPr="00525660">
              <w:rPr>
                <w:sz w:val="22"/>
                <w:lang w:eastAsia="en-AU"/>
              </w:rPr>
              <w:t xml:space="preserve">Low </w:t>
            </w:r>
            <w:r w:rsidRPr="00525660">
              <w:rPr>
                <w:b w:val="0"/>
                <w:sz w:val="22"/>
                <w:lang w:eastAsia="en-AU"/>
              </w:rPr>
              <w:t>(&gt;= 18)</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rsidR="00557FD2" w:rsidRPr="00525660" w:rsidRDefault="00557FD2" w:rsidP="004368E0">
            <w:pPr>
              <w:spacing w:after="0"/>
              <w:jc w:val="right"/>
              <w:rPr>
                <w:sz w:val="22"/>
                <w:lang w:eastAsia="en-AU"/>
              </w:rPr>
            </w:pPr>
            <w:r w:rsidRPr="00525660">
              <w:rPr>
                <w:sz w:val="22"/>
                <w:lang w:eastAsia="en-AU"/>
              </w:rPr>
              <w:t>$ 36.65</w:t>
            </w:r>
          </w:p>
        </w:tc>
      </w:tr>
      <w:tr w:rsidR="00557FD2"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bottom w:val="none" w:sz="0" w:space="0" w:color="auto"/>
              <w:right w:val="none" w:sz="0" w:space="0" w:color="auto"/>
            </w:tcBorders>
          </w:tcPr>
          <w:p w:rsidR="00557FD2" w:rsidRPr="00525660" w:rsidRDefault="00557FD2" w:rsidP="00A51750">
            <w:pPr>
              <w:spacing w:after="0"/>
              <w:rPr>
                <w:sz w:val="22"/>
                <w:lang w:eastAsia="en-AU"/>
              </w:rPr>
            </w:pPr>
            <w:r w:rsidRPr="00525660">
              <w:rPr>
                <w:sz w:val="22"/>
                <w:lang w:eastAsia="en-AU"/>
              </w:rPr>
              <w:t xml:space="preserve">Medium </w:t>
            </w:r>
            <w:r w:rsidRPr="00525660">
              <w:rPr>
                <w:b w:val="0"/>
                <w:sz w:val="22"/>
                <w:lang w:eastAsia="en-AU"/>
              </w:rPr>
              <w:t>(&gt;=62)</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rsidR="00557FD2" w:rsidRPr="00525660" w:rsidRDefault="00557FD2" w:rsidP="004368E0">
            <w:pPr>
              <w:spacing w:after="0"/>
              <w:jc w:val="right"/>
              <w:rPr>
                <w:sz w:val="22"/>
                <w:lang w:eastAsia="en-AU"/>
              </w:rPr>
            </w:pPr>
            <w:r w:rsidRPr="00525660">
              <w:rPr>
                <w:sz w:val="22"/>
                <w:lang w:eastAsia="en-AU"/>
              </w:rPr>
              <w:t>$ 79.80</w:t>
            </w:r>
          </w:p>
        </w:tc>
      </w:tr>
      <w:tr w:rsidR="00557FD2" w:rsidTr="00AE6A54">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tcPr>
          <w:p w:rsidR="00557FD2" w:rsidRPr="00525660" w:rsidRDefault="00557FD2" w:rsidP="00A51750">
            <w:pPr>
              <w:spacing w:after="0"/>
              <w:rPr>
                <w:sz w:val="22"/>
                <w:lang w:eastAsia="en-AU"/>
              </w:rPr>
            </w:pPr>
            <w:r w:rsidRPr="00525660">
              <w:rPr>
                <w:sz w:val="22"/>
                <w:lang w:eastAsia="en-AU"/>
              </w:rPr>
              <w:t xml:space="preserve">High </w:t>
            </w:r>
            <w:r w:rsidRPr="00525660">
              <w:rPr>
                <w:b w:val="0"/>
                <w:sz w:val="22"/>
                <w:lang w:eastAsia="en-AU"/>
              </w:rPr>
              <w:t>(&gt;=88)</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rsidR="00557FD2" w:rsidRPr="00525660" w:rsidRDefault="00557FD2" w:rsidP="004368E0">
            <w:pPr>
              <w:spacing w:after="0"/>
              <w:jc w:val="right"/>
              <w:rPr>
                <w:sz w:val="22"/>
                <w:lang w:eastAsia="en-AU"/>
              </w:rPr>
            </w:pPr>
            <w:r w:rsidRPr="00525660">
              <w:rPr>
                <w:sz w:val="22"/>
                <w:lang w:eastAsia="en-AU"/>
              </w:rPr>
              <w:t>$ 110.55</w:t>
            </w:r>
          </w:p>
        </w:tc>
      </w:tr>
    </w:tbl>
    <w:p w:rsidR="00557FD2" w:rsidRPr="00830247" w:rsidRDefault="00557FD2" w:rsidP="00530D56">
      <w:pPr>
        <w:pStyle w:val="Heading2-Chapter4"/>
      </w:pPr>
      <w:bookmarkStart w:id="213" w:name="_Toc486600000"/>
      <w:bookmarkStart w:id="214" w:name="_Toc486603044"/>
      <w:bookmarkStart w:id="215" w:name="_Toc491426036"/>
      <w:r w:rsidRPr="00CA1D98">
        <w:lastRenderedPageBreak/>
        <w:t>A Statistical Overview of the current ADL Domain</w:t>
      </w:r>
      <w:bookmarkEnd w:id="213"/>
      <w:bookmarkEnd w:id="214"/>
      <w:bookmarkEnd w:id="215"/>
    </w:p>
    <w:p w:rsidR="00980F62" w:rsidRDefault="00557FD2" w:rsidP="0017119E">
      <w:pPr>
        <w:rPr>
          <w:lang w:eastAsia="en-AU"/>
        </w:rPr>
      </w:pPr>
      <w:bookmarkStart w:id="216" w:name="_Hlk484291584"/>
      <w:bookmarkEnd w:id="208"/>
      <w:bookmarkEnd w:id="212"/>
      <w:r>
        <w:rPr>
          <w:lang w:eastAsia="en-AU"/>
        </w:rPr>
        <w:t>The results described in this chapter are from analysis of the ACFI dataset supplied by the Department covering the period from 2009 to June 30, 2016</w:t>
      </w:r>
      <w:r w:rsidR="007D0F69">
        <w:rPr>
          <w:lang w:eastAsia="en-AU"/>
        </w:rPr>
        <w:t xml:space="preserve"> (refer </w:t>
      </w:r>
      <w:hyperlink w:anchor="Ch0203" w:history="1">
        <w:r w:rsidR="007D0F69" w:rsidRPr="00F578E2">
          <w:rPr>
            <w:rStyle w:val="Hyperlink"/>
            <w:lang w:eastAsia="en-AU"/>
          </w:rPr>
          <w:t>Chapter 2</w:t>
        </w:r>
        <w:r w:rsidR="003C4995" w:rsidRPr="00F578E2">
          <w:rPr>
            <w:rStyle w:val="Hyperlink"/>
            <w:lang w:eastAsia="en-AU"/>
          </w:rPr>
          <w:t>, Section 2.3</w:t>
        </w:r>
      </w:hyperlink>
      <w:r w:rsidR="003C4995">
        <w:rPr>
          <w:lang w:eastAsia="en-AU"/>
        </w:rPr>
        <w:t>)</w:t>
      </w:r>
      <w:r>
        <w:rPr>
          <w:lang w:eastAsia="en-AU"/>
        </w:rPr>
        <w:t>.</w:t>
      </w:r>
    </w:p>
    <w:p w:rsidR="00557FD2" w:rsidRDefault="00557FD2" w:rsidP="0017119E">
      <w:pPr>
        <w:rPr>
          <w:lang w:eastAsia="en-AU"/>
        </w:rPr>
      </w:pPr>
      <w:r>
        <w:rPr>
          <w:lang w:eastAsia="en-AU"/>
        </w:rPr>
        <w:t xml:space="preserve">This section gives a statistical overview of the trends with ADL domain classifications (N, L, M, H), ratings (A, B, C, D) and </w:t>
      </w:r>
      <w:r w:rsidR="003C4995">
        <w:rPr>
          <w:lang w:eastAsia="en-AU"/>
        </w:rPr>
        <w:t xml:space="preserve">checklist </w:t>
      </w:r>
      <w:r>
        <w:rPr>
          <w:lang w:eastAsia="en-AU"/>
        </w:rPr>
        <w:t>assistance levels (</w:t>
      </w:r>
      <w:r w:rsidR="006B6B86">
        <w:rPr>
          <w:lang w:eastAsia="en-AU"/>
        </w:rPr>
        <w:t xml:space="preserve">independent, </w:t>
      </w:r>
      <w:r>
        <w:rPr>
          <w:lang w:eastAsia="en-AU"/>
        </w:rPr>
        <w:t>supervision, physical assistance) since 2009.</w:t>
      </w:r>
      <w:r w:rsidR="00234174">
        <w:rPr>
          <w:lang w:eastAsia="en-AU"/>
        </w:rPr>
        <w:t xml:space="preserve"> Growth pa. reported in this section is the compound growth rate pa.</w:t>
      </w:r>
    </w:p>
    <w:p w:rsidR="00557FD2" w:rsidRDefault="00557FD2" w:rsidP="0017119E">
      <w:pPr>
        <w:rPr>
          <w:lang w:eastAsia="en-AU"/>
        </w:rPr>
      </w:pPr>
      <w:r>
        <w:rPr>
          <w:lang w:eastAsia="en-AU"/>
        </w:rPr>
        <w:t>Average ADL funding has increased significantly since 2009 with growth driven by an increase in the High ADL domain category (</w:t>
      </w:r>
      <w:hyperlink w:anchor="Fig0401" w:history="1">
        <w:r w:rsidRPr="00CA7C3C">
          <w:rPr>
            <w:rStyle w:val="Hyperlink"/>
            <w:lang w:eastAsia="en-AU"/>
          </w:rPr>
          <w:t>Figure 4.1</w:t>
        </w:r>
      </w:hyperlink>
      <w:r>
        <w:rPr>
          <w:lang w:eastAsia="en-AU"/>
        </w:rPr>
        <w:t>).</w:t>
      </w:r>
      <w:r w:rsidRPr="004F11DD">
        <w:rPr>
          <w:lang w:eastAsia="en-AU"/>
        </w:rPr>
        <w:t xml:space="preserve"> </w:t>
      </w:r>
      <w:r>
        <w:rPr>
          <w:lang w:eastAsia="en-AU"/>
        </w:rPr>
        <w:t>Additionally, while around 9</w:t>
      </w:r>
      <w:r w:rsidR="00C947E9">
        <w:rPr>
          <w:lang w:eastAsia="en-AU"/>
        </w:rPr>
        <w:t xml:space="preserve"> per cent</w:t>
      </w:r>
      <w:r>
        <w:rPr>
          <w:lang w:eastAsia="en-AU"/>
        </w:rPr>
        <w:t xml:space="preserve"> of residents did not score sufficiently to receive ADL domain funding in 2009, there were less than 1</w:t>
      </w:r>
      <w:r w:rsidR="00C947E9">
        <w:rPr>
          <w:lang w:eastAsia="en-AU"/>
        </w:rPr>
        <w:t xml:space="preserve"> per cent</w:t>
      </w:r>
      <w:r>
        <w:rPr>
          <w:lang w:eastAsia="en-AU"/>
        </w:rPr>
        <w:t xml:space="preserve"> in the </w:t>
      </w:r>
      <w:r w:rsidR="003C4995">
        <w:rPr>
          <w:lang w:eastAsia="en-AU"/>
        </w:rPr>
        <w:t xml:space="preserve">ADL </w:t>
      </w:r>
      <w:r>
        <w:rPr>
          <w:lang w:eastAsia="en-AU"/>
        </w:rPr>
        <w:t>unfunded category at June 30, 2016 (</w:t>
      </w:r>
      <w:hyperlink w:anchor="Tab0404" w:history="1">
        <w:r w:rsidRPr="00922CDA">
          <w:rPr>
            <w:rStyle w:val="Hyperlink"/>
            <w:lang w:eastAsia="en-AU"/>
          </w:rPr>
          <w:t>Table 4.4</w:t>
        </w:r>
      </w:hyperlink>
      <w:r>
        <w:rPr>
          <w:lang w:eastAsia="en-AU"/>
        </w:rPr>
        <w:t>).</w:t>
      </w:r>
    </w:p>
    <w:p w:rsidR="00980F62" w:rsidRDefault="00557FD2" w:rsidP="0017119E">
      <w:pPr>
        <w:rPr>
          <w:lang w:eastAsia="en-AU"/>
        </w:rPr>
      </w:pPr>
      <w:r>
        <w:rPr>
          <w:lang w:eastAsia="en-AU"/>
        </w:rPr>
        <w:t>A little over a third of residents, 33.5</w:t>
      </w:r>
      <w:r w:rsidR="00C947E9">
        <w:rPr>
          <w:lang w:eastAsia="en-AU"/>
        </w:rPr>
        <w:t xml:space="preserve"> per cent</w:t>
      </w:r>
      <w:r>
        <w:rPr>
          <w:lang w:eastAsia="en-AU"/>
        </w:rPr>
        <w:t>, were in the High ADL classification in 2009 but this has steadily increased to 56.3</w:t>
      </w:r>
      <w:r w:rsidR="00C947E9">
        <w:rPr>
          <w:lang w:eastAsia="en-AU"/>
        </w:rPr>
        <w:t xml:space="preserve"> per cent</w:t>
      </w:r>
      <w:r w:rsidR="004F5967">
        <w:rPr>
          <w:lang w:eastAsia="en-AU"/>
        </w:rPr>
        <w:t xml:space="preserve"> of residents</w:t>
      </w:r>
      <w:r w:rsidR="004E08B8">
        <w:rPr>
          <w:lang w:eastAsia="en-AU"/>
        </w:rPr>
        <w:t xml:space="preserve"> by June 30, 2016</w:t>
      </w:r>
      <w:r>
        <w:rPr>
          <w:lang w:eastAsia="en-AU"/>
        </w:rPr>
        <w:t xml:space="preserve">. While some growth in ADL dependency can be attributed to increases in resident care needs (refer </w:t>
      </w:r>
      <w:hyperlink w:anchor="Ch09" w:history="1">
        <w:r w:rsidRPr="00803F43">
          <w:rPr>
            <w:rStyle w:val="Hyperlink"/>
            <w:lang w:eastAsia="en-AU"/>
          </w:rPr>
          <w:t>Chapter 9</w:t>
        </w:r>
      </w:hyperlink>
      <w:r>
        <w:rPr>
          <w:lang w:eastAsia="en-AU"/>
        </w:rPr>
        <w:t xml:space="preserve">), a contributing factor has been a beneficial interpretation of one-to-one physical assistance for a </w:t>
      </w:r>
      <w:r w:rsidR="004F5967">
        <w:rPr>
          <w:lang w:eastAsia="en-AU"/>
        </w:rPr>
        <w:t>‘</w:t>
      </w:r>
      <w:r>
        <w:rPr>
          <w:lang w:eastAsia="en-AU"/>
        </w:rPr>
        <w:t>resident’s usual day-to-day assessed care needs</w:t>
      </w:r>
      <w:r w:rsidR="004F5967">
        <w:rPr>
          <w:lang w:eastAsia="en-AU"/>
        </w:rPr>
        <w:t xml:space="preserve">’. </w:t>
      </w:r>
      <w:r>
        <w:rPr>
          <w:lang w:eastAsia="en-AU"/>
        </w:rPr>
        <w:t>This has been further clarified in the R-ACFI covered later in this chapter.</w:t>
      </w:r>
    </w:p>
    <w:p w:rsidR="00291A6C" w:rsidRDefault="00291A6C" w:rsidP="00291A6C">
      <w:pPr>
        <w:pStyle w:val="Caption"/>
        <w:keepNext/>
      </w:pPr>
      <w:bookmarkStart w:id="217" w:name="_Toc495415643"/>
      <w:bookmarkStart w:id="218" w:name="Tab0404"/>
      <w:r>
        <w:t>Table 4.</w:t>
      </w:r>
      <w:r w:rsidR="009A3F5A">
        <w:fldChar w:fldCharType="begin"/>
      </w:r>
      <w:r w:rsidR="009A3F5A">
        <w:instrText xml:space="preserve"> SEQ Table_4. \* ARABIC </w:instrText>
      </w:r>
      <w:r w:rsidR="009A3F5A">
        <w:fldChar w:fldCharType="separate"/>
      </w:r>
      <w:r w:rsidR="00856E49">
        <w:rPr>
          <w:noProof/>
        </w:rPr>
        <w:t>4</w:t>
      </w:r>
      <w:r w:rsidR="009A3F5A">
        <w:rPr>
          <w:noProof/>
        </w:rPr>
        <w:fldChar w:fldCharType="end"/>
      </w:r>
      <w:r>
        <w:t xml:space="preserve">: </w:t>
      </w:r>
      <w:r w:rsidRPr="00291A6C">
        <w:t>ADL Domain Distribution June 30, 2016</w:t>
      </w:r>
      <w:bookmarkEnd w:id="217"/>
    </w:p>
    <w:tbl>
      <w:tblPr>
        <w:tblStyle w:val="ListTable3-Accent513"/>
        <w:tblW w:w="6062" w:type="dxa"/>
        <w:tblInd w:w="108" w:type="dxa"/>
        <w:tblBorders>
          <w:insideH w:val="single" w:sz="4" w:space="0" w:color="5B9BD5" w:themeColor="accent5"/>
          <w:insideV w:val="single" w:sz="4" w:space="0" w:color="5B9BD5" w:themeColor="accent5"/>
        </w:tblBorders>
        <w:tblLayout w:type="fixed"/>
        <w:tblLook w:val="00A0" w:firstRow="1" w:lastRow="0" w:firstColumn="1" w:lastColumn="0" w:noHBand="0" w:noVBand="0"/>
        <w:tblDescription w:val="Table 4.4 is a list of the numbers and percentages of residents in the Activities of Daily Living (ADL) domain per classification level (nil, low, medium high and total) and mean funding amounts for each ADL level as at 30 June 2016. This table is to be read left to right, top to bottom."/>
      </w:tblPr>
      <w:tblGrid>
        <w:gridCol w:w="1526"/>
        <w:gridCol w:w="1512"/>
        <w:gridCol w:w="1512"/>
        <w:gridCol w:w="1512"/>
      </w:tblGrid>
      <w:tr w:rsidR="00557FD2" w:rsidRPr="00E94885" w:rsidTr="0066371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526" w:type="dxa"/>
            <w:tcBorders>
              <w:bottom w:val="none" w:sz="0" w:space="0" w:color="auto"/>
              <w:right w:val="none" w:sz="0" w:space="0" w:color="auto"/>
            </w:tcBorders>
            <w:noWrap/>
            <w:hideMark/>
          </w:tcPr>
          <w:bookmarkEnd w:id="218"/>
          <w:p w:rsidR="00557FD2" w:rsidRPr="008761A7" w:rsidRDefault="00557FD2" w:rsidP="00F31F0D">
            <w:pPr>
              <w:spacing w:after="0"/>
              <w:jc w:val="left"/>
              <w:rPr>
                <w:rFonts w:ascii="Calibri" w:eastAsia="Times New Roman" w:hAnsi="Calibri" w:cs="Calibri"/>
                <w:sz w:val="22"/>
                <w:lang w:val="en-US"/>
              </w:rPr>
            </w:pPr>
            <w:r w:rsidRPr="008761A7">
              <w:rPr>
                <w:rFonts w:ascii="Calibri" w:eastAsia="Times New Roman" w:hAnsi="Calibri" w:cs="Calibri"/>
                <w:sz w:val="22"/>
                <w:lang w:val="en-US"/>
              </w:rPr>
              <w:t>ADL</w:t>
            </w:r>
            <w:r w:rsidR="00EB49E2">
              <w:rPr>
                <w:rFonts w:ascii="Calibri" w:eastAsia="Times New Roman" w:hAnsi="Calibri" w:cs="Calibri"/>
                <w:sz w:val="22"/>
                <w:lang w:val="en-US"/>
              </w:rPr>
              <w:t xml:space="preserve"> </w:t>
            </w:r>
            <w:r w:rsidR="00F31F0D">
              <w:rPr>
                <w:rFonts w:ascii="Calibri" w:eastAsia="Times New Roman" w:hAnsi="Calibri" w:cs="Calibri"/>
                <w:sz w:val="22"/>
                <w:lang w:val="en-US"/>
              </w:rPr>
              <w:t>Level</w:t>
            </w:r>
          </w:p>
        </w:tc>
        <w:tc>
          <w:tcPr>
            <w:cnfStyle w:val="000010000000" w:firstRow="0" w:lastRow="0" w:firstColumn="0" w:lastColumn="0" w:oddVBand="1" w:evenVBand="0" w:oddHBand="0" w:evenHBand="0" w:firstRowFirstColumn="0" w:firstRowLastColumn="0" w:lastRowFirstColumn="0" w:lastRowLastColumn="0"/>
            <w:tcW w:w="1512" w:type="dxa"/>
            <w:tcBorders>
              <w:left w:val="none" w:sz="0" w:space="0" w:color="auto"/>
              <w:right w:val="none" w:sz="0" w:space="0" w:color="auto"/>
            </w:tcBorders>
            <w:noWrap/>
            <w:hideMark/>
          </w:tcPr>
          <w:p w:rsidR="00557FD2" w:rsidRPr="008761A7" w:rsidRDefault="00557FD2" w:rsidP="00106D58">
            <w:pPr>
              <w:spacing w:after="0"/>
              <w:jc w:val="center"/>
              <w:rPr>
                <w:rFonts w:ascii="Calibri" w:eastAsia="Times New Roman" w:hAnsi="Calibri" w:cs="Calibri"/>
                <w:sz w:val="22"/>
                <w:lang w:val="en-US"/>
              </w:rPr>
            </w:pPr>
            <w:r w:rsidRPr="008761A7">
              <w:rPr>
                <w:rFonts w:ascii="Calibri" w:eastAsia="Times New Roman" w:hAnsi="Calibri" w:cs="Calibri"/>
                <w:sz w:val="22"/>
                <w:lang w:val="en-US"/>
              </w:rPr>
              <w:t>N</w:t>
            </w:r>
            <w:r w:rsidR="00106D58">
              <w:rPr>
                <w:rFonts w:ascii="Calibri" w:eastAsia="Times New Roman" w:hAnsi="Calibri" w:cs="Calibri"/>
                <w:sz w:val="22"/>
                <w:lang w:val="en-US"/>
              </w:rPr>
              <w:t>umber of Residents</w:t>
            </w:r>
          </w:p>
        </w:tc>
        <w:tc>
          <w:tcPr>
            <w:tcW w:w="1512" w:type="dxa"/>
            <w:noWrap/>
            <w:hideMark/>
          </w:tcPr>
          <w:p w:rsidR="00557FD2" w:rsidRPr="008761A7" w:rsidRDefault="00106D58" w:rsidP="00106D5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Pr>
                <w:rFonts w:ascii="Calibri" w:eastAsia="Times New Roman" w:hAnsi="Calibri" w:cs="Calibri"/>
                <w:sz w:val="22"/>
                <w:lang w:val="en-US"/>
              </w:rPr>
              <w:t>Percentage</w:t>
            </w:r>
          </w:p>
        </w:tc>
        <w:tc>
          <w:tcPr>
            <w:cnfStyle w:val="000010000000" w:firstRow="0" w:lastRow="0" w:firstColumn="0" w:lastColumn="0" w:oddVBand="1" w:evenVBand="0" w:oddHBand="0" w:evenHBand="0" w:firstRowFirstColumn="0" w:firstRowLastColumn="0" w:lastRowFirstColumn="0" w:lastRowLastColumn="0"/>
            <w:tcW w:w="1512" w:type="dxa"/>
            <w:tcBorders>
              <w:left w:val="none" w:sz="0" w:space="0" w:color="auto"/>
              <w:right w:val="none" w:sz="0" w:space="0" w:color="auto"/>
            </w:tcBorders>
            <w:noWrap/>
            <w:hideMark/>
          </w:tcPr>
          <w:p w:rsidR="00557FD2" w:rsidRPr="008761A7" w:rsidRDefault="00106D58" w:rsidP="00106D58">
            <w:pPr>
              <w:spacing w:after="0"/>
              <w:jc w:val="center"/>
              <w:rPr>
                <w:rFonts w:ascii="Calibri" w:eastAsia="Times New Roman" w:hAnsi="Calibri" w:cs="Calibri"/>
                <w:sz w:val="22"/>
                <w:lang w:val="en-US"/>
              </w:rPr>
            </w:pPr>
            <w:r>
              <w:rPr>
                <w:rFonts w:ascii="Calibri" w:eastAsia="Times New Roman" w:hAnsi="Calibri" w:cs="Calibri"/>
                <w:sz w:val="22"/>
                <w:lang w:val="en-US"/>
              </w:rPr>
              <w:t>ADL Mean Amount</w:t>
            </w:r>
          </w:p>
        </w:tc>
      </w:tr>
      <w:tr w:rsidR="00557FD2" w:rsidRPr="00E94885" w:rsidTr="006637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bottom w:val="none" w:sz="0" w:space="0" w:color="auto"/>
              <w:right w:val="none" w:sz="0" w:space="0" w:color="auto"/>
            </w:tcBorders>
            <w:noWrap/>
            <w:hideMark/>
          </w:tcPr>
          <w:p w:rsidR="00557FD2" w:rsidRPr="00E94885" w:rsidRDefault="00557FD2" w:rsidP="00106D58">
            <w:pPr>
              <w:spacing w:after="0"/>
              <w:jc w:val="left"/>
              <w:rPr>
                <w:rFonts w:ascii="Calibri" w:eastAsia="Times New Roman" w:hAnsi="Calibri" w:cs="Calibri"/>
                <w:color w:val="000000"/>
                <w:sz w:val="22"/>
                <w:lang w:val="en-US"/>
              </w:rPr>
            </w:pPr>
            <w:r>
              <w:rPr>
                <w:rFonts w:ascii="Calibri" w:eastAsia="Times New Roman" w:hAnsi="Calibri" w:cs="Calibri"/>
                <w:color w:val="000000"/>
                <w:sz w:val="22"/>
                <w:lang w:val="en-US"/>
              </w:rPr>
              <w:t>Nil</w:t>
            </w:r>
          </w:p>
        </w:tc>
        <w:tc>
          <w:tcPr>
            <w:cnfStyle w:val="000010000000" w:firstRow="0" w:lastRow="0" w:firstColumn="0" w:lastColumn="0" w:oddVBand="1" w:evenVBand="0" w:oddHBand="0" w:evenHBand="0" w:firstRowFirstColumn="0" w:firstRowLastColumn="0" w:lastRowFirstColumn="0" w:lastRowLastColumn="0"/>
            <w:tcW w:w="1512" w:type="dxa"/>
            <w:tcBorders>
              <w:top w:val="none" w:sz="0" w:space="0" w:color="auto"/>
              <w:left w:val="none" w:sz="0" w:space="0" w:color="auto"/>
              <w:bottom w:val="none" w:sz="0" w:space="0" w:color="auto"/>
              <w:right w:val="none" w:sz="0" w:space="0" w:color="auto"/>
            </w:tcBorders>
            <w:noWrap/>
            <w:hideMark/>
          </w:tcPr>
          <w:p w:rsidR="00557FD2" w:rsidRPr="00E94885" w:rsidRDefault="00557FD2" w:rsidP="00106D58">
            <w:pPr>
              <w:spacing w:after="0"/>
              <w:jc w:val="center"/>
              <w:rPr>
                <w:rFonts w:ascii="Calibri" w:eastAsia="Times New Roman" w:hAnsi="Calibri" w:cs="Calibri"/>
                <w:color w:val="000000"/>
                <w:sz w:val="22"/>
                <w:lang w:val="en-US"/>
              </w:rPr>
            </w:pPr>
            <w:r w:rsidRPr="00E94885">
              <w:rPr>
                <w:rFonts w:ascii="Calibri" w:eastAsia="Times New Roman" w:hAnsi="Calibri" w:cs="Calibri"/>
                <w:color w:val="000000"/>
                <w:sz w:val="22"/>
                <w:lang w:val="en-US"/>
              </w:rPr>
              <w:t>1,155</w:t>
            </w:r>
          </w:p>
        </w:tc>
        <w:tc>
          <w:tcPr>
            <w:tcW w:w="1512" w:type="dxa"/>
            <w:tcBorders>
              <w:top w:val="none" w:sz="0" w:space="0" w:color="auto"/>
              <w:bottom w:val="none" w:sz="0" w:space="0" w:color="auto"/>
            </w:tcBorders>
            <w:noWrap/>
            <w:hideMark/>
          </w:tcPr>
          <w:p w:rsidR="00557FD2" w:rsidRPr="00E94885" w:rsidRDefault="00557FD2" w:rsidP="00106D5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E94885">
              <w:rPr>
                <w:rFonts w:ascii="Calibri" w:eastAsia="Times New Roman" w:hAnsi="Calibri" w:cs="Calibri"/>
                <w:color w:val="000000"/>
                <w:sz w:val="22"/>
                <w:lang w:val="en-US"/>
              </w:rPr>
              <w:t>0.7%</w:t>
            </w:r>
          </w:p>
        </w:tc>
        <w:tc>
          <w:tcPr>
            <w:cnfStyle w:val="000010000000" w:firstRow="0" w:lastRow="0" w:firstColumn="0" w:lastColumn="0" w:oddVBand="1" w:evenVBand="0" w:oddHBand="0" w:evenHBand="0" w:firstRowFirstColumn="0" w:firstRowLastColumn="0" w:lastRowFirstColumn="0" w:lastRowLastColumn="0"/>
            <w:tcW w:w="1512" w:type="dxa"/>
            <w:tcBorders>
              <w:top w:val="none" w:sz="0" w:space="0" w:color="auto"/>
              <w:left w:val="none" w:sz="0" w:space="0" w:color="auto"/>
              <w:bottom w:val="none" w:sz="0" w:space="0" w:color="auto"/>
              <w:right w:val="none" w:sz="0" w:space="0" w:color="auto"/>
            </w:tcBorders>
            <w:noWrap/>
            <w:hideMark/>
          </w:tcPr>
          <w:p w:rsidR="00557FD2" w:rsidRPr="00E94885" w:rsidRDefault="00557FD2" w:rsidP="00106D58">
            <w:pPr>
              <w:spacing w:after="0"/>
              <w:jc w:val="center"/>
              <w:rPr>
                <w:rFonts w:ascii="Calibri" w:eastAsia="Times New Roman" w:hAnsi="Calibri" w:cs="Calibri"/>
                <w:color w:val="000000"/>
                <w:sz w:val="22"/>
                <w:lang w:val="en-US"/>
              </w:rPr>
            </w:pPr>
            <w:r w:rsidRPr="00E94885">
              <w:rPr>
                <w:rFonts w:ascii="Calibri" w:eastAsia="Times New Roman" w:hAnsi="Calibri" w:cs="Calibri"/>
                <w:color w:val="000000"/>
                <w:sz w:val="22"/>
                <w:lang w:val="en-US"/>
              </w:rPr>
              <w:t>$0.00</w:t>
            </w:r>
          </w:p>
        </w:tc>
      </w:tr>
      <w:tr w:rsidR="00557FD2" w:rsidRPr="00E94885" w:rsidTr="0066371F">
        <w:trPr>
          <w:trHeight w:val="30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noWrap/>
            <w:hideMark/>
          </w:tcPr>
          <w:p w:rsidR="00557FD2" w:rsidRPr="00E94885" w:rsidRDefault="00557FD2" w:rsidP="00106D58">
            <w:pPr>
              <w:spacing w:after="0"/>
              <w:jc w:val="left"/>
              <w:rPr>
                <w:rFonts w:ascii="Calibri" w:eastAsia="Times New Roman" w:hAnsi="Calibri" w:cs="Calibri"/>
                <w:color w:val="000000"/>
                <w:sz w:val="22"/>
                <w:lang w:val="en-US"/>
              </w:rPr>
            </w:pPr>
            <w:r>
              <w:rPr>
                <w:rFonts w:ascii="Calibri" w:eastAsia="Times New Roman" w:hAnsi="Calibri" w:cs="Calibri"/>
                <w:color w:val="000000"/>
                <w:sz w:val="22"/>
                <w:lang w:val="en-US"/>
              </w:rPr>
              <w:t>Low</w:t>
            </w:r>
          </w:p>
        </w:tc>
        <w:tc>
          <w:tcPr>
            <w:cnfStyle w:val="000010000000" w:firstRow="0" w:lastRow="0" w:firstColumn="0" w:lastColumn="0" w:oddVBand="1" w:evenVBand="0" w:oddHBand="0" w:evenHBand="0" w:firstRowFirstColumn="0" w:firstRowLastColumn="0" w:lastRowFirstColumn="0" w:lastRowLastColumn="0"/>
            <w:tcW w:w="1512" w:type="dxa"/>
            <w:tcBorders>
              <w:left w:val="none" w:sz="0" w:space="0" w:color="auto"/>
              <w:right w:val="none" w:sz="0" w:space="0" w:color="auto"/>
            </w:tcBorders>
            <w:noWrap/>
            <w:hideMark/>
          </w:tcPr>
          <w:p w:rsidR="00557FD2" w:rsidRPr="00E94885" w:rsidRDefault="00557FD2" w:rsidP="00106D58">
            <w:pPr>
              <w:spacing w:after="0"/>
              <w:jc w:val="center"/>
              <w:rPr>
                <w:rFonts w:ascii="Calibri" w:eastAsia="Times New Roman" w:hAnsi="Calibri" w:cs="Calibri"/>
                <w:color w:val="000000"/>
                <w:sz w:val="22"/>
                <w:lang w:val="en-US"/>
              </w:rPr>
            </w:pPr>
            <w:r w:rsidRPr="00E94885">
              <w:rPr>
                <w:rFonts w:ascii="Calibri" w:eastAsia="Times New Roman" w:hAnsi="Calibri" w:cs="Calibri"/>
                <w:color w:val="000000"/>
                <w:sz w:val="22"/>
                <w:lang w:val="en-US"/>
              </w:rPr>
              <w:t>23,980</w:t>
            </w:r>
          </w:p>
        </w:tc>
        <w:tc>
          <w:tcPr>
            <w:tcW w:w="1512" w:type="dxa"/>
            <w:noWrap/>
            <w:hideMark/>
          </w:tcPr>
          <w:p w:rsidR="00557FD2" w:rsidRPr="00E94885" w:rsidRDefault="00557FD2" w:rsidP="00106D5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E94885">
              <w:rPr>
                <w:rFonts w:ascii="Calibri" w:eastAsia="Times New Roman" w:hAnsi="Calibri" w:cs="Calibri"/>
                <w:color w:val="000000"/>
                <w:sz w:val="22"/>
                <w:lang w:val="en-US"/>
              </w:rPr>
              <w:t>13.7%</w:t>
            </w:r>
          </w:p>
        </w:tc>
        <w:tc>
          <w:tcPr>
            <w:cnfStyle w:val="000010000000" w:firstRow="0" w:lastRow="0" w:firstColumn="0" w:lastColumn="0" w:oddVBand="1" w:evenVBand="0" w:oddHBand="0" w:evenHBand="0" w:firstRowFirstColumn="0" w:firstRowLastColumn="0" w:lastRowFirstColumn="0" w:lastRowLastColumn="0"/>
            <w:tcW w:w="1512" w:type="dxa"/>
            <w:tcBorders>
              <w:left w:val="none" w:sz="0" w:space="0" w:color="auto"/>
              <w:right w:val="none" w:sz="0" w:space="0" w:color="auto"/>
            </w:tcBorders>
            <w:noWrap/>
            <w:hideMark/>
          </w:tcPr>
          <w:p w:rsidR="00557FD2" w:rsidRPr="00E94885" w:rsidRDefault="00557FD2" w:rsidP="00106D58">
            <w:pPr>
              <w:spacing w:after="0"/>
              <w:jc w:val="center"/>
              <w:rPr>
                <w:rFonts w:ascii="Calibri" w:eastAsia="Times New Roman" w:hAnsi="Calibri" w:cs="Calibri"/>
                <w:color w:val="000000"/>
                <w:sz w:val="22"/>
                <w:lang w:val="en-US"/>
              </w:rPr>
            </w:pPr>
            <w:r w:rsidRPr="00E94885">
              <w:rPr>
                <w:rFonts w:ascii="Calibri" w:eastAsia="Times New Roman" w:hAnsi="Calibri" w:cs="Calibri"/>
                <w:color w:val="000000"/>
                <w:sz w:val="22"/>
                <w:lang w:val="en-US"/>
              </w:rPr>
              <w:t>$36.65</w:t>
            </w:r>
          </w:p>
        </w:tc>
      </w:tr>
      <w:tr w:rsidR="00557FD2" w:rsidRPr="00E94885" w:rsidTr="006637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bottom w:val="none" w:sz="0" w:space="0" w:color="auto"/>
              <w:right w:val="none" w:sz="0" w:space="0" w:color="auto"/>
            </w:tcBorders>
            <w:noWrap/>
            <w:hideMark/>
          </w:tcPr>
          <w:p w:rsidR="00557FD2" w:rsidRPr="00E94885" w:rsidRDefault="00557FD2" w:rsidP="00106D58">
            <w:pPr>
              <w:spacing w:after="0"/>
              <w:jc w:val="left"/>
              <w:rPr>
                <w:rFonts w:ascii="Calibri" w:eastAsia="Times New Roman" w:hAnsi="Calibri" w:cs="Calibri"/>
                <w:color w:val="000000"/>
                <w:sz w:val="22"/>
                <w:lang w:val="en-US"/>
              </w:rPr>
            </w:pPr>
            <w:r>
              <w:rPr>
                <w:rFonts w:ascii="Calibri" w:eastAsia="Times New Roman" w:hAnsi="Calibri" w:cs="Calibri"/>
                <w:color w:val="000000"/>
                <w:sz w:val="22"/>
                <w:lang w:val="en-US"/>
              </w:rPr>
              <w:t>Medium</w:t>
            </w:r>
          </w:p>
        </w:tc>
        <w:tc>
          <w:tcPr>
            <w:cnfStyle w:val="000010000000" w:firstRow="0" w:lastRow="0" w:firstColumn="0" w:lastColumn="0" w:oddVBand="1" w:evenVBand="0" w:oddHBand="0" w:evenHBand="0" w:firstRowFirstColumn="0" w:firstRowLastColumn="0" w:lastRowFirstColumn="0" w:lastRowLastColumn="0"/>
            <w:tcW w:w="1512" w:type="dxa"/>
            <w:tcBorders>
              <w:top w:val="none" w:sz="0" w:space="0" w:color="auto"/>
              <w:left w:val="none" w:sz="0" w:space="0" w:color="auto"/>
              <w:bottom w:val="none" w:sz="0" w:space="0" w:color="auto"/>
              <w:right w:val="none" w:sz="0" w:space="0" w:color="auto"/>
            </w:tcBorders>
            <w:noWrap/>
            <w:hideMark/>
          </w:tcPr>
          <w:p w:rsidR="00557FD2" w:rsidRPr="00E94885" w:rsidRDefault="00557FD2" w:rsidP="00106D58">
            <w:pPr>
              <w:spacing w:after="0"/>
              <w:jc w:val="center"/>
              <w:rPr>
                <w:rFonts w:ascii="Calibri" w:eastAsia="Times New Roman" w:hAnsi="Calibri" w:cs="Calibri"/>
                <w:color w:val="000000"/>
                <w:sz w:val="22"/>
                <w:lang w:val="en-US"/>
              </w:rPr>
            </w:pPr>
            <w:r w:rsidRPr="00E94885">
              <w:rPr>
                <w:rFonts w:ascii="Calibri" w:eastAsia="Times New Roman" w:hAnsi="Calibri" w:cs="Calibri"/>
                <w:color w:val="000000"/>
                <w:sz w:val="22"/>
                <w:lang w:val="en-US"/>
              </w:rPr>
              <w:t>51,883</w:t>
            </w:r>
          </w:p>
        </w:tc>
        <w:tc>
          <w:tcPr>
            <w:tcW w:w="1512" w:type="dxa"/>
            <w:tcBorders>
              <w:top w:val="none" w:sz="0" w:space="0" w:color="auto"/>
              <w:bottom w:val="none" w:sz="0" w:space="0" w:color="auto"/>
            </w:tcBorders>
            <w:noWrap/>
            <w:hideMark/>
          </w:tcPr>
          <w:p w:rsidR="00557FD2" w:rsidRPr="00E94885" w:rsidRDefault="00557FD2" w:rsidP="00106D5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E94885">
              <w:rPr>
                <w:rFonts w:ascii="Calibri" w:eastAsia="Times New Roman" w:hAnsi="Calibri" w:cs="Calibri"/>
                <w:color w:val="000000"/>
                <w:sz w:val="22"/>
                <w:lang w:val="en-US"/>
              </w:rPr>
              <w:t>29.6%</w:t>
            </w:r>
          </w:p>
        </w:tc>
        <w:tc>
          <w:tcPr>
            <w:cnfStyle w:val="000010000000" w:firstRow="0" w:lastRow="0" w:firstColumn="0" w:lastColumn="0" w:oddVBand="1" w:evenVBand="0" w:oddHBand="0" w:evenHBand="0" w:firstRowFirstColumn="0" w:firstRowLastColumn="0" w:lastRowFirstColumn="0" w:lastRowLastColumn="0"/>
            <w:tcW w:w="1512" w:type="dxa"/>
            <w:tcBorders>
              <w:top w:val="none" w:sz="0" w:space="0" w:color="auto"/>
              <w:left w:val="none" w:sz="0" w:space="0" w:color="auto"/>
              <w:bottom w:val="none" w:sz="0" w:space="0" w:color="auto"/>
              <w:right w:val="none" w:sz="0" w:space="0" w:color="auto"/>
            </w:tcBorders>
            <w:noWrap/>
            <w:hideMark/>
          </w:tcPr>
          <w:p w:rsidR="00557FD2" w:rsidRPr="00E94885" w:rsidRDefault="00557FD2" w:rsidP="00106D58">
            <w:pPr>
              <w:spacing w:after="0"/>
              <w:jc w:val="center"/>
              <w:rPr>
                <w:rFonts w:ascii="Calibri" w:eastAsia="Times New Roman" w:hAnsi="Calibri" w:cs="Calibri"/>
                <w:color w:val="000000"/>
                <w:sz w:val="22"/>
                <w:lang w:val="en-US"/>
              </w:rPr>
            </w:pPr>
            <w:r w:rsidRPr="00E94885">
              <w:rPr>
                <w:rFonts w:ascii="Calibri" w:eastAsia="Times New Roman" w:hAnsi="Calibri" w:cs="Calibri"/>
                <w:color w:val="000000"/>
                <w:sz w:val="22"/>
                <w:lang w:val="en-US"/>
              </w:rPr>
              <w:t>$79.80</w:t>
            </w:r>
          </w:p>
        </w:tc>
      </w:tr>
      <w:tr w:rsidR="00557FD2" w:rsidRPr="00E94885" w:rsidTr="0066371F">
        <w:trPr>
          <w:trHeight w:val="30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noWrap/>
            <w:hideMark/>
          </w:tcPr>
          <w:p w:rsidR="00557FD2" w:rsidRPr="00E94885" w:rsidRDefault="00557FD2" w:rsidP="00106D58">
            <w:pPr>
              <w:spacing w:after="0"/>
              <w:jc w:val="left"/>
              <w:rPr>
                <w:rFonts w:ascii="Calibri" w:eastAsia="Times New Roman" w:hAnsi="Calibri" w:cs="Calibri"/>
                <w:color w:val="000000"/>
                <w:sz w:val="22"/>
                <w:lang w:val="en-US"/>
              </w:rPr>
            </w:pPr>
            <w:r>
              <w:rPr>
                <w:rFonts w:ascii="Calibri" w:eastAsia="Times New Roman" w:hAnsi="Calibri" w:cs="Calibri"/>
                <w:color w:val="000000"/>
                <w:sz w:val="22"/>
                <w:lang w:val="en-US"/>
              </w:rPr>
              <w:t>High</w:t>
            </w:r>
          </w:p>
        </w:tc>
        <w:tc>
          <w:tcPr>
            <w:cnfStyle w:val="000010000000" w:firstRow="0" w:lastRow="0" w:firstColumn="0" w:lastColumn="0" w:oddVBand="1" w:evenVBand="0" w:oddHBand="0" w:evenHBand="0" w:firstRowFirstColumn="0" w:firstRowLastColumn="0" w:lastRowFirstColumn="0" w:lastRowLastColumn="0"/>
            <w:tcW w:w="1512" w:type="dxa"/>
            <w:tcBorders>
              <w:left w:val="none" w:sz="0" w:space="0" w:color="auto"/>
              <w:right w:val="none" w:sz="0" w:space="0" w:color="auto"/>
            </w:tcBorders>
            <w:noWrap/>
            <w:hideMark/>
          </w:tcPr>
          <w:p w:rsidR="00557FD2" w:rsidRPr="00E94885" w:rsidRDefault="00557FD2" w:rsidP="00106D58">
            <w:pPr>
              <w:spacing w:after="0"/>
              <w:jc w:val="center"/>
              <w:rPr>
                <w:rFonts w:ascii="Calibri" w:eastAsia="Times New Roman" w:hAnsi="Calibri" w:cs="Calibri"/>
                <w:color w:val="000000"/>
                <w:sz w:val="22"/>
                <w:lang w:val="en-US"/>
              </w:rPr>
            </w:pPr>
            <w:r w:rsidRPr="00E94885">
              <w:rPr>
                <w:rFonts w:ascii="Calibri" w:eastAsia="Times New Roman" w:hAnsi="Calibri" w:cs="Calibri"/>
                <w:color w:val="000000"/>
                <w:sz w:val="22"/>
                <w:lang w:val="en-US"/>
              </w:rPr>
              <w:t>98,342</w:t>
            </w:r>
          </w:p>
        </w:tc>
        <w:tc>
          <w:tcPr>
            <w:tcW w:w="1512" w:type="dxa"/>
            <w:noWrap/>
            <w:hideMark/>
          </w:tcPr>
          <w:p w:rsidR="00557FD2" w:rsidRPr="00E94885" w:rsidRDefault="00557FD2" w:rsidP="00106D5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E94885">
              <w:rPr>
                <w:rFonts w:ascii="Calibri" w:eastAsia="Times New Roman" w:hAnsi="Calibri" w:cs="Calibri"/>
                <w:color w:val="000000"/>
                <w:sz w:val="22"/>
                <w:lang w:val="en-US"/>
              </w:rPr>
              <w:t>56.</w:t>
            </w:r>
            <w:r>
              <w:rPr>
                <w:rFonts w:ascii="Calibri" w:eastAsia="Times New Roman" w:hAnsi="Calibri" w:cs="Calibri"/>
                <w:color w:val="000000"/>
                <w:sz w:val="22"/>
                <w:lang w:val="en-US"/>
              </w:rPr>
              <w:t>3</w:t>
            </w:r>
            <w:r w:rsidRPr="00E94885">
              <w:rPr>
                <w:rFonts w:ascii="Calibri" w:eastAsia="Times New Roman" w:hAnsi="Calibri" w:cs="Calibri"/>
                <w:color w:val="000000"/>
                <w:sz w:val="22"/>
                <w:lang w:val="en-US"/>
              </w:rPr>
              <w:t>%</w:t>
            </w:r>
          </w:p>
        </w:tc>
        <w:tc>
          <w:tcPr>
            <w:cnfStyle w:val="000010000000" w:firstRow="0" w:lastRow="0" w:firstColumn="0" w:lastColumn="0" w:oddVBand="1" w:evenVBand="0" w:oddHBand="0" w:evenHBand="0" w:firstRowFirstColumn="0" w:firstRowLastColumn="0" w:lastRowFirstColumn="0" w:lastRowLastColumn="0"/>
            <w:tcW w:w="1512" w:type="dxa"/>
            <w:tcBorders>
              <w:left w:val="none" w:sz="0" w:space="0" w:color="auto"/>
              <w:right w:val="none" w:sz="0" w:space="0" w:color="auto"/>
            </w:tcBorders>
            <w:noWrap/>
            <w:hideMark/>
          </w:tcPr>
          <w:p w:rsidR="00557FD2" w:rsidRPr="00E94885" w:rsidRDefault="00557FD2" w:rsidP="00106D58">
            <w:pPr>
              <w:spacing w:after="0"/>
              <w:jc w:val="center"/>
              <w:rPr>
                <w:rFonts w:ascii="Calibri" w:eastAsia="Times New Roman" w:hAnsi="Calibri" w:cs="Calibri"/>
                <w:color w:val="000000"/>
                <w:sz w:val="22"/>
                <w:lang w:val="en-US"/>
              </w:rPr>
            </w:pPr>
            <w:r w:rsidRPr="00E94885">
              <w:rPr>
                <w:rFonts w:ascii="Calibri" w:eastAsia="Times New Roman" w:hAnsi="Calibri" w:cs="Calibri"/>
                <w:color w:val="000000"/>
                <w:sz w:val="22"/>
                <w:lang w:val="en-US"/>
              </w:rPr>
              <w:t>$110.55</w:t>
            </w:r>
          </w:p>
        </w:tc>
      </w:tr>
      <w:tr w:rsidR="00557FD2" w:rsidRPr="000B0407" w:rsidTr="009915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bottom w:val="none" w:sz="0" w:space="0" w:color="auto"/>
              <w:right w:val="none" w:sz="0" w:space="0" w:color="auto"/>
            </w:tcBorders>
            <w:shd w:val="clear" w:color="auto" w:fill="auto"/>
            <w:noWrap/>
            <w:hideMark/>
          </w:tcPr>
          <w:p w:rsidR="00557FD2" w:rsidRPr="000B0407" w:rsidRDefault="00557FD2" w:rsidP="00106D58">
            <w:pPr>
              <w:spacing w:after="0"/>
              <w:jc w:val="left"/>
              <w:rPr>
                <w:rFonts w:ascii="Calibri" w:eastAsia="Times New Roman" w:hAnsi="Calibri" w:cs="Calibri"/>
                <w:color w:val="000000"/>
                <w:sz w:val="22"/>
                <w:lang w:val="en-US"/>
              </w:rPr>
            </w:pPr>
            <w:r w:rsidRPr="000B0407">
              <w:rPr>
                <w:rFonts w:ascii="Calibri" w:eastAsia="Times New Roman" w:hAnsi="Calibri" w:cs="Calibri"/>
                <w:color w:val="000000"/>
                <w:sz w:val="22"/>
                <w:lang w:val="en-US"/>
              </w:rPr>
              <w:t>Total</w:t>
            </w:r>
          </w:p>
        </w:tc>
        <w:tc>
          <w:tcPr>
            <w:cnfStyle w:val="000010000000" w:firstRow="0" w:lastRow="0" w:firstColumn="0" w:lastColumn="0" w:oddVBand="1" w:evenVBand="0" w:oddHBand="0" w:evenHBand="0" w:firstRowFirstColumn="0" w:firstRowLastColumn="0" w:lastRowFirstColumn="0" w:lastRowLastColumn="0"/>
            <w:tcW w:w="1512" w:type="dxa"/>
            <w:tcBorders>
              <w:top w:val="none" w:sz="0" w:space="0" w:color="auto"/>
              <w:left w:val="none" w:sz="0" w:space="0" w:color="auto"/>
              <w:bottom w:val="none" w:sz="0" w:space="0" w:color="auto"/>
              <w:right w:val="none" w:sz="0" w:space="0" w:color="auto"/>
            </w:tcBorders>
            <w:shd w:val="clear" w:color="auto" w:fill="auto"/>
            <w:noWrap/>
            <w:hideMark/>
          </w:tcPr>
          <w:p w:rsidR="00557FD2" w:rsidRPr="000B0407" w:rsidRDefault="00557FD2" w:rsidP="00106D58">
            <w:pPr>
              <w:spacing w:after="0"/>
              <w:jc w:val="center"/>
              <w:rPr>
                <w:rFonts w:ascii="Calibri" w:eastAsia="Times New Roman" w:hAnsi="Calibri" w:cs="Calibri"/>
                <w:b/>
                <w:color w:val="000000"/>
                <w:sz w:val="22"/>
                <w:lang w:val="en-US"/>
              </w:rPr>
            </w:pPr>
            <w:r w:rsidRPr="000B0407">
              <w:rPr>
                <w:rFonts w:ascii="Calibri" w:eastAsia="Times New Roman" w:hAnsi="Calibri" w:cs="Calibri"/>
                <w:b/>
                <w:color w:val="000000"/>
                <w:sz w:val="22"/>
                <w:lang w:val="en-US"/>
              </w:rPr>
              <w:t>175,360</w:t>
            </w:r>
          </w:p>
        </w:tc>
        <w:tc>
          <w:tcPr>
            <w:tcW w:w="1512" w:type="dxa"/>
            <w:tcBorders>
              <w:top w:val="none" w:sz="0" w:space="0" w:color="auto"/>
              <w:bottom w:val="none" w:sz="0" w:space="0" w:color="auto"/>
            </w:tcBorders>
            <w:shd w:val="clear" w:color="auto" w:fill="auto"/>
            <w:noWrap/>
            <w:hideMark/>
          </w:tcPr>
          <w:p w:rsidR="00557FD2" w:rsidRPr="000B0407" w:rsidRDefault="00557FD2" w:rsidP="00106D5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val="en-US"/>
              </w:rPr>
            </w:pPr>
            <w:r w:rsidRPr="000B0407">
              <w:rPr>
                <w:rFonts w:ascii="Calibri" w:eastAsia="Times New Roman" w:hAnsi="Calibri" w:cs="Calibri"/>
                <w:b/>
                <w:color w:val="000000"/>
                <w:sz w:val="22"/>
                <w:lang w:val="en-US"/>
              </w:rPr>
              <w:t>100.0%</w:t>
            </w:r>
          </w:p>
        </w:tc>
        <w:tc>
          <w:tcPr>
            <w:cnfStyle w:val="000010000000" w:firstRow="0" w:lastRow="0" w:firstColumn="0" w:lastColumn="0" w:oddVBand="1" w:evenVBand="0" w:oddHBand="0" w:evenHBand="0" w:firstRowFirstColumn="0" w:firstRowLastColumn="0" w:lastRowFirstColumn="0" w:lastRowLastColumn="0"/>
            <w:tcW w:w="1512" w:type="dxa"/>
            <w:tcBorders>
              <w:top w:val="none" w:sz="0" w:space="0" w:color="auto"/>
              <w:left w:val="none" w:sz="0" w:space="0" w:color="auto"/>
              <w:bottom w:val="none" w:sz="0" w:space="0" w:color="auto"/>
              <w:right w:val="none" w:sz="0" w:space="0" w:color="auto"/>
            </w:tcBorders>
            <w:shd w:val="clear" w:color="auto" w:fill="auto"/>
            <w:noWrap/>
            <w:hideMark/>
          </w:tcPr>
          <w:p w:rsidR="00557FD2" w:rsidRPr="000B0407" w:rsidRDefault="00557FD2" w:rsidP="00106D58">
            <w:pPr>
              <w:spacing w:after="0"/>
              <w:jc w:val="center"/>
              <w:rPr>
                <w:rFonts w:ascii="Calibri" w:eastAsia="Times New Roman" w:hAnsi="Calibri" w:cs="Calibri"/>
                <w:b/>
                <w:color w:val="000000"/>
                <w:sz w:val="22"/>
                <w:lang w:val="en-US"/>
              </w:rPr>
            </w:pPr>
            <w:r w:rsidRPr="000B0407">
              <w:rPr>
                <w:rFonts w:ascii="Calibri" w:eastAsia="Times New Roman" w:hAnsi="Calibri" w:cs="Calibri"/>
                <w:b/>
                <w:color w:val="000000"/>
                <w:sz w:val="22"/>
                <w:lang w:val="en-US"/>
              </w:rPr>
              <w:t>$90.62</w:t>
            </w:r>
          </w:p>
        </w:tc>
      </w:tr>
    </w:tbl>
    <w:p w:rsidR="00291A6C" w:rsidRDefault="00291A6C" w:rsidP="00291A6C">
      <w:pPr>
        <w:pStyle w:val="Caption"/>
        <w:keepNext/>
      </w:pPr>
      <w:bookmarkStart w:id="219" w:name="_Toc495415971"/>
      <w:bookmarkEnd w:id="216"/>
      <w:r>
        <w:t>Figure 4.</w:t>
      </w:r>
      <w:r w:rsidR="009A3F5A">
        <w:fldChar w:fldCharType="begin"/>
      </w:r>
      <w:r w:rsidR="009A3F5A">
        <w:instrText xml:space="preserve"> SEQ Figure_4. \* ARABIC </w:instrText>
      </w:r>
      <w:r w:rsidR="009A3F5A">
        <w:fldChar w:fldCharType="separate"/>
      </w:r>
      <w:r w:rsidR="00856E49">
        <w:rPr>
          <w:noProof/>
        </w:rPr>
        <w:t>1</w:t>
      </w:r>
      <w:r w:rsidR="009A3F5A">
        <w:rPr>
          <w:noProof/>
        </w:rPr>
        <w:fldChar w:fldCharType="end"/>
      </w:r>
      <w:r>
        <w:t xml:space="preserve">: </w:t>
      </w:r>
      <w:r w:rsidRPr="00291A6C">
        <w:t>ADL Domain Classifications (N, L, M, H) 2009 - 2016</w:t>
      </w:r>
      <w:bookmarkEnd w:id="219"/>
    </w:p>
    <w:p w:rsidR="0027557C" w:rsidRPr="00757BC6" w:rsidRDefault="0027557C" w:rsidP="00557FD2">
      <w:pPr>
        <w:rPr>
          <w:b/>
          <w:lang w:eastAsia="en-AU"/>
        </w:rPr>
      </w:pPr>
      <w:r>
        <w:rPr>
          <w:b/>
          <w:noProof/>
          <w:lang w:eastAsia="en-AU"/>
        </w:rPr>
        <w:drawing>
          <wp:inline distT="0" distB="0" distL="0" distR="0" wp14:anchorId="6541D6C6" wp14:editId="29D959F3">
            <wp:extent cx="5742940" cy="3371215"/>
            <wp:effectExtent l="0" t="0" r="0" b="635"/>
            <wp:docPr id="33" name="Picture 33" descr="Figure 4.1 is  a line graph illustrating the percentage of residents under the Activities of Daily Living (ADL) domain classifications (nil, low, medium and high) from 2009 to 2016, as summaris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2940" cy="3371215"/>
                    </a:xfrm>
                    <a:prstGeom prst="rect">
                      <a:avLst/>
                    </a:prstGeom>
                    <a:noFill/>
                  </pic:spPr>
                </pic:pic>
              </a:graphicData>
            </a:graphic>
          </wp:inline>
        </w:drawing>
      </w:r>
    </w:p>
    <w:p w:rsidR="00980F62" w:rsidRDefault="00557FD2" w:rsidP="008058D3">
      <w:pPr>
        <w:pStyle w:val="Heading3-Chapter42"/>
      </w:pPr>
      <w:bookmarkStart w:id="220" w:name="_Toc486600001"/>
      <w:bookmarkStart w:id="221" w:name="_Toc486603045"/>
      <w:r w:rsidRPr="00830247">
        <w:lastRenderedPageBreak/>
        <w:t>ACFI 1 Nutrition</w:t>
      </w:r>
      <w:bookmarkEnd w:id="220"/>
      <w:bookmarkEnd w:id="221"/>
    </w:p>
    <w:p w:rsidR="00980F62" w:rsidRDefault="00557FD2" w:rsidP="002A4578">
      <w:pPr>
        <w:ind w:right="-52"/>
        <w:rPr>
          <w:lang w:eastAsia="en-AU"/>
        </w:rPr>
      </w:pPr>
      <w:bookmarkStart w:id="222" w:name="_Hlk484291698"/>
      <w:r>
        <w:rPr>
          <w:lang w:eastAsia="en-AU"/>
        </w:rPr>
        <w:t>The proportion of residents rated as needing</w:t>
      </w:r>
      <w:r w:rsidRPr="00986971">
        <w:rPr>
          <w:lang w:eastAsia="en-AU"/>
        </w:rPr>
        <w:t xml:space="preserve"> moderate assistance </w:t>
      </w:r>
      <w:r>
        <w:rPr>
          <w:lang w:eastAsia="en-AU"/>
        </w:rPr>
        <w:t>with Nutrition</w:t>
      </w:r>
      <w:r w:rsidR="004E08B8">
        <w:rPr>
          <w:lang w:eastAsia="en-AU"/>
        </w:rPr>
        <w:t xml:space="preserve"> has</w:t>
      </w:r>
      <w:r w:rsidRPr="00986971">
        <w:rPr>
          <w:lang w:eastAsia="en-AU"/>
        </w:rPr>
        <w:t xml:space="preserve"> increased from around 3 in 10 residents </w:t>
      </w:r>
      <w:r>
        <w:rPr>
          <w:lang w:eastAsia="en-AU"/>
        </w:rPr>
        <w:t xml:space="preserve">in 2009 </w:t>
      </w:r>
      <w:r w:rsidRPr="00986971">
        <w:rPr>
          <w:lang w:eastAsia="en-AU"/>
        </w:rPr>
        <w:t xml:space="preserve">to over 6 in 10 </w:t>
      </w:r>
      <w:r>
        <w:rPr>
          <w:lang w:eastAsia="en-AU"/>
        </w:rPr>
        <w:t>by June 30, 2</w:t>
      </w:r>
      <w:r w:rsidRPr="00986971">
        <w:rPr>
          <w:lang w:eastAsia="en-AU"/>
        </w:rPr>
        <w:t>016 (</w:t>
      </w:r>
      <w:hyperlink w:anchor="Fig0402" w:history="1">
        <w:r w:rsidRPr="00CA7C3C">
          <w:rPr>
            <w:rStyle w:val="Hyperlink"/>
            <w:lang w:eastAsia="en-AU"/>
          </w:rPr>
          <w:t>Figure 4.2</w:t>
        </w:r>
      </w:hyperlink>
      <w:r w:rsidRPr="00986971">
        <w:rPr>
          <w:lang w:eastAsia="en-AU"/>
        </w:rPr>
        <w:t>). The main drivers of this increase were physical assistance with readiness to eat (</w:t>
      </w:r>
      <w:bookmarkStart w:id="223" w:name="_Hlk488068237"/>
      <w:r w:rsidRPr="00986971">
        <w:rPr>
          <w:lang w:eastAsia="en-AU"/>
        </w:rPr>
        <w:t>4.7</w:t>
      </w:r>
      <w:r w:rsidR="00C947E9">
        <w:rPr>
          <w:lang w:eastAsia="en-AU"/>
        </w:rPr>
        <w:t xml:space="preserve"> per cent</w:t>
      </w:r>
      <w:r w:rsidRPr="00986971">
        <w:rPr>
          <w:lang w:eastAsia="en-AU"/>
        </w:rPr>
        <w:t xml:space="preserve"> growth pa.</w:t>
      </w:r>
      <w:bookmarkEnd w:id="223"/>
      <w:r w:rsidRPr="00986971">
        <w:rPr>
          <w:lang w:eastAsia="en-AU"/>
        </w:rPr>
        <w:t>) (</w:t>
      </w:r>
      <w:hyperlink w:anchor="Fig0403" w:history="1">
        <w:r w:rsidRPr="00A12242">
          <w:rPr>
            <w:rStyle w:val="Hyperlink"/>
            <w:lang w:eastAsia="en-AU"/>
          </w:rPr>
          <w:t>Figure 4.3</w:t>
        </w:r>
      </w:hyperlink>
      <w:r w:rsidRPr="00986971">
        <w:rPr>
          <w:lang w:eastAsia="en-AU"/>
        </w:rPr>
        <w:t>) and supervision with eating (4.3</w:t>
      </w:r>
      <w:r w:rsidR="00C947E9">
        <w:rPr>
          <w:lang w:eastAsia="en-AU"/>
        </w:rPr>
        <w:t xml:space="preserve"> per cent</w:t>
      </w:r>
      <w:r w:rsidRPr="00986971">
        <w:rPr>
          <w:lang w:eastAsia="en-AU"/>
        </w:rPr>
        <w:t xml:space="preserve"> growth pa.) (</w:t>
      </w:r>
      <w:hyperlink w:anchor="Fig0404" w:history="1">
        <w:r w:rsidRPr="00A12242">
          <w:rPr>
            <w:rStyle w:val="Hyperlink"/>
            <w:lang w:eastAsia="en-AU"/>
          </w:rPr>
          <w:t>Figure 4.4</w:t>
        </w:r>
      </w:hyperlink>
      <w:r w:rsidRPr="00986971">
        <w:rPr>
          <w:lang w:eastAsia="en-AU"/>
        </w:rPr>
        <w:t xml:space="preserve">). The growth in </w:t>
      </w:r>
      <w:r>
        <w:rPr>
          <w:lang w:eastAsia="en-AU"/>
        </w:rPr>
        <w:t xml:space="preserve">the proportion of residents needing </w:t>
      </w:r>
      <w:r w:rsidRPr="00986971">
        <w:rPr>
          <w:lang w:eastAsia="en-AU"/>
        </w:rPr>
        <w:t xml:space="preserve">physical assistance with </w:t>
      </w:r>
      <w:r w:rsidR="004F5967">
        <w:rPr>
          <w:lang w:eastAsia="en-AU"/>
        </w:rPr>
        <w:t>‘</w:t>
      </w:r>
      <w:r w:rsidRPr="00986971">
        <w:rPr>
          <w:lang w:eastAsia="en-AU"/>
        </w:rPr>
        <w:t>readiness to eat</w:t>
      </w:r>
      <w:r w:rsidR="004F5967">
        <w:rPr>
          <w:lang w:eastAsia="en-AU"/>
        </w:rPr>
        <w:t>’</w:t>
      </w:r>
      <w:r w:rsidRPr="00986971">
        <w:rPr>
          <w:lang w:eastAsia="en-AU"/>
        </w:rPr>
        <w:t xml:space="preserve"> reflects, to a considerable extent, the increased scoring for cutting up or vitamising food.</w:t>
      </w:r>
    </w:p>
    <w:p w:rsidR="00980F62" w:rsidRDefault="00291A6C" w:rsidP="009E5199">
      <w:pPr>
        <w:pStyle w:val="Caption"/>
        <w:keepNext/>
        <w:spacing w:before="120"/>
      </w:pPr>
      <w:bookmarkStart w:id="224" w:name="_Toc495415972"/>
      <w:bookmarkEnd w:id="222"/>
      <w:r>
        <w:t>Figure 4.</w:t>
      </w:r>
      <w:r w:rsidR="009A3F5A">
        <w:fldChar w:fldCharType="begin"/>
      </w:r>
      <w:r w:rsidR="009A3F5A">
        <w:instrText xml:space="preserve"> SEQ Figure_4. \* ARABIC </w:instrText>
      </w:r>
      <w:r w:rsidR="009A3F5A">
        <w:fldChar w:fldCharType="separate"/>
      </w:r>
      <w:r w:rsidR="00856E49">
        <w:rPr>
          <w:noProof/>
        </w:rPr>
        <w:t>2</w:t>
      </w:r>
      <w:r w:rsidR="009A3F5A">
        <w:rPr>
          <w:noProof/>
        </w:rPr>
        <w:fldChar w:fldCharType="end"/>
      </w:r>
      <w:r>
        <w:t xml:space="preserve">: </w:t>
      </w:r>
      <w:r w:rsidRPr="00291A6C">
        <w:t>ACFI 1 Nutrition Ratings (A, B, C, D) 2009 - 2016</w:t>
      </w:r>
      <w:bookmarkEnd w:id="224"/>
    </w:p>
    <w:p w:rsidR="0027557C" w:rsidRDefault="0027557C" w:rsidP="00557FD2">
      <w:pPr>
        <w:rPr>
          <w:lang w:eastAsia="en-AU"/>
        </w:rPr>
      </w:pPr>
      <w:r>
        <w:rPr>
          <w:noProof/>
          <w:lang w:eastAsia="en-AU"/>
        </w:rPr>
        <w:drawing>
          <wp:inline distT="0" distB="0" distL="0" distR="0" wp14:anchorId="125C87F6" wp14:editId="02D8A331">
            <wp:extent cx="5261610" cy="2097405"/>
            <wp:effectExtent l="0" t="0" r="0" b="0"/>
            <wp:docPr id="35" name="Picture 35" descr="Figure 4.2 is  a line graph illustrating the percentage of residents that need assistance with nutrition from 2009 to 2016. The ratings are none, mild, moderate and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1610" cy="2097405"/>
                    </a:xfrm>
                    <a:prstGeom prst="rect">
                      <a:avLst/>
                    </a:prstGeom>
                    <a:noFill/>
                  </pic:spPr>
                </pic:pic>
              </a:graphicData>
            </a:graphic>
          </wp:inline>
        </w:drawing>
      </w:r>
    </w:p>
    <w:p w:rsidR="00291A6C" w:rsidRDefault="00291A6C" w:rsidP="009E5199">
      <w:pPr>
        <w:pStyle w:val="Caption"/>
        <w:keepNext/>
      </w:pPr>
      <w:bookmarkStart w:id="225" w:name="_Toc495415973"/>
      <w:r>
        <w:t>Figure 4.</w:t>
      </w:r>
      <w:r w:rsidR="009A3F5A">
        <w:fldChar w:fldCharType="begin"/>
      </w:r>
      <w:r w:rsidR="009A3F5A">
        <w:instrText xml:space="preserve"> SEQ Figure_4. \* ARABIC </w:instrText>
      </w:r>
      <w:r w:rsidR="009A3F5A">
        <w:fldChar w:fldCharType="separate"/>
      </w:r>
      <w:r w:rsidR="00856E49">
        <w:rPr>
          <w:noProof/>
        </w:rPr>
        <w:t>3</w:t>
      </w:r>
      <w:r w:rsidR="009A3F5A">
        <w:rPr>
          <w:noProof/>
        </w:rPr>
        <w:fldChar w:fldCharType="end"/>
      </w:r>
      <w:r>
        <w:t xml:space="preserve">: </w:t>
      </w:r>
      <w:r w:rsidRPr="00291A6C">
        <w:t>ACFI 1 Nutrition “Readiness to Eat” Assistance Levels 2009 - 2016</w:t>
      </w:r>
      <w:bookmarkEnd w:id="225"/>
    </w:p>
    <w:p w:rsidR="0027557C" w:rsidRDefault="0027557C" w:rsidP="00557FD2">
      <w:pPr>
        <w:spacing w:after="200"/>
        <w:rPr>
          <w:lang w:eastAsia="en-AU"/>
        </w:rPr>
      </w:pPr>
      <w:r>
        <w:rPr>
          <w:noProof/>
          <w:lang w:eastAsia="en-AU"/>
        </w:rPr>
        <w:drawing>
          <wp:inline distT="0" distB="0" distL="0" distR="0" wp14:anchorId="4BF93277" wp14:editId="3211EAC2">
            <wp:extent cx="5261610" cy="2243455"/>
            <wp:effectExtent l="0" t="0" r="0" b="4445"/>
            <wp:docPr id="37" name="Picture 37" descr="Figure 4.3 is  a line graph illustrating the percentage of residents that need assistance for readiness to eat from 2011 to 2016. The ratings are independent, supervision and physica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1610" cy="2243455"/>
                    </a:xfrm>
                    <a:prstGeom prst="rect">
                      <a:avLst/>
                    </a:prstGeom>
                    <a:noFill/>
                  </pic:spPr>
                </pic:pic>
              </a:graphicData>
            </a:graphic>
          </wp:inline>
        </w:drawing>
      </w:r>
    </w:p>
    <w:p w:rsidR="00291A6C" w:rsidRDefault="00291A6C" w:rsidP="00291A6C">
      <w:pPr>
        <w:pStyle w:val="Caption"/>
        <w:keepNext/>
      </w:pPr>
      <w:bookmarkStart w:id="226" w:name="_Toc495415974"/>
      <w:r>
        <w:t>Figure 4.</w:t>
      </w:r>
      <w:r w:rsidR="009A3F5A">
        <w:fldChar w:fldCharType="begin"/>
      </w:r>
      <w:r w:rsidR="009A3F5A">
        <w:instrText xml:space="preserve"> SEQ Figure_4. \* ARABIC </w:instrText>
      </w:r>
      <w:r w:rsidR="009A3F5A">
        <w:fldChar w:fldCharType="separate"/>
      </w:r>
      <w:r w:rsidR="00856E49">
        <w:rPr>
          <w:noProof/>
        </w:rPr>
        <w:t>4</w:t>
      </w:r>
      <w:r w:rsidR="009A3F5A">
        <w:rPr>
          <w:noProof/>
        </w:rPr>
        <w:fldChar w:fldCharType="end"/>
      </w:r>
      <w:r>
        <w:t xml:space="preserve">: </w:t>
      </w:r>
      <w:r w:rsidRPr="00291A6C">
        <w:t>ACFI 1 Nutrition “Eating” Assistance Levels 2009 - 2016</w:t>
      </w:r>
      <w:bookmarkEnd w:id="226"/>
    </w:p>
    <w:p w:rsidR="0027557C" w:rsidRDefault="0027557C" w:rsidP="00557FD2">
      <w:pPr>
        <w:spacing w:after="200"/>
        <w:rPr>
          <w:lang w:eastAsia="en-AU"/>
        </w:rPr>
      </w:pPr>
      <w:r>
        <w:rPr>
          <w:noProof/>
          <w:lang w:eastAsia="en-AU"/>
        </w:rPr>
        <w:drawing>
          <wp:inline distT="0" distB="0" distL="0" distR="0" wp14:anchorId="7467D1B1" wp14:editId="4DE45C80">
            <wp:extent cx="5200650" cy="2179969"/>
            <wp:effectExtent l="0" t="0" r="0" b="0"/>
            <wp:docPr id="39" name="Picture 39" descr="Figure 4.4 is  a line graph illustrating the percentage of residents that need assistance for eating from 2011 to 2016. The ratings are independent, supervision and physica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8122" cy="2183101"/>
                    </a:xfrm>
                    <a:prstGeom prst="rect">
                      <a:avLst/>
                    </a:prstGeom>
                    <a:noFill/>
                  </pic:spPr>
                </pic:pic>
              </a:graphicData>
            </a:graphic>
          </wp:inline>
        </w:drawing>
      </w:r>
    </w:p>
    <w:p w:rsidR="00980F62" w:rsidRDefault="00557FD2" w:rsidP="008058D3">
      <w:pPr>
        <w:pStyle w:val="Heading3-Chapter42"/>
      </w:pPr>
      <w:bookmarkStart w:id="227" w:name="_Toc486600002"/>
      <w:bookmarkStart w:id="228" w:name="_Toc486603046"/>
      <w:bookmarkStart w:id="229" w:name="_Hlk484291715"/>
      <w:r w:rsidRPr="00830247">
        <w:lastRenderedPageBreak/>
        <w:t>ACFI 2 Mobility</w:t>
      </w:r>
      <w:bookmarkEnd w:id="227"/>
      <w:bookmarkEnd w:id="228"/>
    </w:p>
    <w:bookmarkEnd w:id="229"/>
    <w:p w:rsidR="00980F62" w:rsidRDefault="00557FD2" w:rsidP="0017119E">
      <w:pPr>
        <w:rPr>
          <w:lang w:eastAsia="en-AU"/>
        </w:rPr>
      </w:pPr>
      <w:r>
        <w:rPr>
          <w:lang w:eastAsia="en-AU"/>
        </w:rPr>
        <w:t>The proportion of residents rated as needing physical assistance with mobility increased from 4 in 10 residents in 2009 to around 6 in 10 residents by June 30, 2016 (</w:t>
      </w:r>
      <w:hyperlink w:anchor="Fig0405" w:history="1">
        <w:r w:rsidRPr="00A12242">
          <w:rPr>
            <w:rStyle w:val="Hyperlink"/>
            <w:lang w:eastAsia="en-AU"/>
          </w:rPr>
          <w:t>Figure 4.5</w:t>
        </w:r>
      </w:hyperlink>
      <w:r w:rsidR="00173379">
        <w:rPr>
          <w:lang w:eastAsia="en-AU"/>
        </w:rPr>
        <w:t xml:space="preserve">). </w:t>
      </w:r>
      <w:r w:rsidR="00173379">
        <w:rPr>
          <w:lang w:eastAsia="en-AU"/>
        </w:rPr>
        <w:br/>
      </w:r>
      <w:r>
        <w:rPr>
          <w:lang w:eastAsia="en-AU"/>
        </w:rPr>
        <w:t>This increase was due to the growth in the proportion of residents needing physical assistance with both transfers (7</w:t>
      </w:r>
      <w:r w:rsidR="00C947E9">
        <w:rPr>
          <w:lang w:eastAsia="en-AU"/>
        </w:rPr>
        <w:t xml:space="preserve"> per cent</w:t>
      </w:r>
      <w:r>
        <w:rPr>
          <w:lang w:eastAsia="en-AU"/>
        </w:rPr>
        <w:t xml:space="preserve"> growth pa.) (</w:t>
      </w:r>
      <w:hyperlink w:anchor="Fig0406" w:history="1">
        <w:r w:rsidRPr="00420F94">
          <w:rPr>
            <w:rStyle w:val="Hyperlink"/>
            <w:lang w:eastAsia="en-AU"/>
          </w:rPr>
          <w:t>Figure 4.6</w:t>
        </w:r>
      </w:hyperlink>
      <w:r>
        <w:rPr>
          <w:lang w:eastAsia="en-AU"/>
        </w:rPr>
        <w:t>) and locomotion (4.7</w:t>
      </w:r>
      <w:r w:rsidR="00C947E9">
        <w:rPr>
          <w:lang w:eastAsia="en-AU"/>
        </w:rPr>
        <w:t xml:space="preserve"> per cent</w:t>
      </w:r>
      <w:r>
        <w:rPr>
          <w:lang w:eastAsia="en-AU"/>
        </w:rPr>
        <w:t xml:space="preserve"> growth pa.) (</w:t>
      </w:r>
      <w:hyperlink w:anchor="Fig0407" w:history="1">
        <w:r w:rsidRPr="00420F94">
          <w:rPr>
            <w:rStyle w:val="Hyperlink"/>
            <w:lang w:eastAsia="en-AU"/>
          </w:rPr>
          <w:t>Figure 4.7</w:t>
        </w:r>
      </w:hyperlink>
      <w:r>
        <w:rPr>
          <w:lang w:eastAsia="en-AU"/>
        </w:rPr>
        <w:t>). However, there has been no growth in the proportion of residents needing lifting machines for transfers</w:t>
      </w:r>
      <w:r w:rsidR="00B06124">
        <w:rPr>
          <w:lang w:eastAsia="en-AU"/>
        </w:rPr>
        <w:t>,</w:t>
      </w:r>
      <w:r>
        <w:rPr>
          <w:lang w:eastAsia="en-AU"/>
        </w:rPr>
        <w:t xml:space="preserve"> which was expected given the increased physical assistance recorded over the period.</w:t>
      </w:r>
    </w:p>
    <w:p w:rsidR="00173379" w:rsidRDefault="00173379" w:rsidP="00173379">
      <w:pPr>
        <w:pStyle w:val="Caption"/>
        <w:keepNext/>
      </w:pPr>
      <w:bookmarkStart w:id="230" w:name="_Toc495415975"/>
      <w:r>
        <w:t>Figure 4.</w:t>
      </w:r>
      <w:r w:rsidR="009A3F5A">
        <w:fldChar w:fldCharType="begin"/>
      </w:r>
      <w:r w:rsidR="009A3F5A">
        <w:instrText xml:space="preserve"> SEQ Figure_4. \* ARABIC </w:instrText>
      </w:r>
      <w:r w:rsidR="009A3F5A">
        <w:fldChar w:fldCharType="separate"/>
      </w:r>
      <w:r w:rsidR="00856E49">
        <w:rPr>
          <w:noProof/>
        </w:rPr>
        <w:t>5</w:t>
      </w:r>
      <w:r w:rsidR="009A3F5A">
        <w:rPr>
          <w:noProof/>
        </w:rPr>
        <w:fldChar w:fldCharType="end"/>
      </w:r>
      <w:r>
        <w:t xml:space="preserve">: </w:t>
      </w:r>
      <w:r w:rsidRPr="00173379">
        <w:t>ACFI 2 Mobility Ratings (A, B, C, D) 2009 - 2016</w:t>
      </w:r>
      <w:bookmarkEnd w:id="230"/>
    </w:p>
    <w:p w:rsidR="005F5A27" w:rsidRDefault="005F5A27" w:rsidP="00557FD2">
      <w:pPr>
        <w:spacing w:after="200"/>
        <w:rPr>
          <w:lang w:eastAsia="en-AU"/>
        </w:rPr>
      </w:pPr>
      <w:r>
        <w:rPr>
          <w:noProof/>
          <w:lang w:eastAsia="en-AU"/>
        </w:rPr>
        <w:drawing>
          <wp:inline distT="0" distB="0" distL="0" distR="0" wp14:anchorId="4CBD753D" wp14:editId="1B477DBA">
            <wp:extent cx="5261610" cy="2200910"/>
            <wp:effectExtent l="0" t="0" r="0" b="8890"/>
            <wp:docPr id="3" name="Picture 3" descr="Figure 4.5 is  a line graph illustrating the percentage of residents that need assistance for mobility from 2009 to 2016. The ratings are none, mild, moderate and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1610" cy="2200910"/>
                    </a:xfrm>
                    <a:prstGeom prst="rect">
                      <a:avLst/>
                    </a:prstGeom>
                    <a:noFill/>
                  </pic:spPr>
                </pic:pic>
              </a:graphicData>
            </a:graphic>
          </wp:inline>
        </w:drawing>
      </w:r>
    </w:p>
    <w:p w:rsidR="00173379" w:rsidRDefault="00173379" w:rsidP="00173379">
      <w:pPr>
        <w:pStyle w:val="Caption"/>
        <w:keepNext/>
      </w:pPr>
      <w:bookmarkStart w:id="231" w:name="_Toc495415976"/>
      <w:r>
        <w:t>Figure 4.</w:t>
      </w:r>
      <w:r w:rsidR="009A3F5A">
        <w:fldChar w:fldCharType="begin"/>
      </w:r>
      <w:r w:rsidR="009A3F5A">
        <w:instrText xml:space="preserve"> SEQ Figure_4. \* ARABIC </w:instrText>
      </w:r>
      <w:r w:rsidR="009A3F5A">
        <w:fldChar w:fldCharType="separate"/>
      </w:r>
      <w:r w:rsidR="00856E49">
        <w:rPr>
          <w:noProof/>
        </w:rPr>
        <w:t>6</w:t>
      </w:r>
      <w:r w:rsidR="009A3F5A">
        <w:rPr>
          <w:noProof/>
        </w:rPr>
        <w:fldChar w:fldCharType="end"/>
      </w:r>
      <w:r>
        <w:t xml:space="preserve">: </w:t>
      </w:r>
      <w:r w:rsidRPr="00173379">
        <w:t>ACFI 2 Mobility “Transfers” Assistance Levels 2009 - 2016</w:t>
      </w:r>
      <w:bookmarkEnd w:id="231"/>
    </w:p>
    <w:p w:rsidR="005F5A27" w:rsidRDefault="005F5A27" w:rsidP="00557FD2">
      <w:pPr>
        <w:spacing w:after="200"/>
        <w:rPr>
          <w:b/>
          <w:lang w:eastAsia="en-AU"/>
        </w:rPr>
      </w:pPr>
      <w:r>
        <w:rPr>
          <w:b/>
          <w:noProof/>
          <w:lang w:eastAsia="en-AU"/>
        </w:rPr>
        <w:drawing>
          <wp:inline distT="0" distB="0" distL="0" distR="0" wp14:anchorId="20AF16DF" wp14:editId="780D3BBB">
            <wp:extent cx="5248910" cy="2133600"/>
            <wp:effectExtent l="0" t="0" r="8890" b="0"/>
            <wp:docPr id="4" name="Picture 4" descr="Figure 4.6 is  a line graph illustrating the percentage of residents that required assistance for mobility ’transfers’ from 2009 to 2016. The ratings are independent, supervision, physical assistance and lifting via a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8910" cy="2133600"/>
                    </a:xfrm>
                    <a:prstGeom prst="rect">
                      <a:avLst/>
                    </a:prstGeom>
                    <a:noFill/>
                  </pic:spPr>
                </pic:pic>
              </a:graphicData>
            </a:graphic>
          </wp:inline>
        </w:drawing>
      </w:r>
    </w:p>
    <w:p w:rsidR="00173379" w:rsidRDefault="00173379" w:rsidP="00173379">
      <w:pPr>
        <w:pStyle w:val="Caption"/>
        <w:keepNext/>
      </w:pPr>
      <w:bookmarkStart w:id="232" w:name="_Toc495415977"/>
      <w:r>
        <w:t>Figure 4.</w:t>
      </w:r>
      <w:r w:rsidR="009A3F5A">
        <w:fldChar w:fldCharType="begin"/>
      </w:r>
      <w:r w:rsidR="009A3F5A">
        <w:instrText xml:space="preserve"> SEQ Figure_4. \* ARABIC </w:instrText>
      </w:r>
      <w:r w:rsidR="009A3F5A">
        <w:fldChar w:fldCharType="separate"/>
      </w:r>
      <w:r w:rsidR="00856E49">
        <w:rPr>
          <w:noProof/>
        </w:rPr>
        <w:t>7</w:t>
      </w:r>
      <w:r w:rsidR="009A3F5A">
        <w:rPr>
          <w:noProof/>
        </w:rPr>
        <w:fldChar w:fldCharType="end"/>
      </w:r>
      <w:r>
        <w:t xml:space="preserve">: </w:t>
      </w:r>
      <w:r w:rsidRPr="00173379">
        <w:t>ACFI 2 Mobility “Locomotion” Assistance Levels 2009 – 2016</w:t>
      </w:r>
      <w:bookmarkEnd w:id="232"/>
    </w:p>
    <w:p w:rsidR="0027557C" w:rsidRDefault="0027557C" w:rsidP="00557FD2">
      <w:pPr>
        <w:spacing w:after="200"/>
        <w:rPr>
          <w:b/>
          <w:lang w:eastAsia="en-AU"/>
        </w:rPr>
      </w:pPr>
      <w:r>
        <w:rPr>
          <w:b/>
          <w:noProof/>
          <w:lang w:eastAsia="en-AU"/>
        </w:rPr>
        <w:drawing>
          <wp:inline distT="0" distB="0" distL="0" distR="0" wp14:anchorId="2EB96328" wp14:editId="191DB081">
            <wp:extent cx="5261610" cy="1889760"/>
            <wp:effectExtent l="0" t="0" r="0" b="0"/>
            <wp:docPr id="41" name="Picture 41" descr="Figure 4.7 is  a line graph illustrating the percentage of residents that need assistance with mobility ‘locomotion’ from 2009 to 2016. The ratings are independent, supervision and physica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1610" cy="1889760"/>
                    </a:xfrm>
                    <a:prstGeom prst="rect">
                      <a:avLst/>
                    </a:prstGeom>
                    <a:noFill/>
                  </pic:spPr>
                </pic:pic>
              </a:graphicData>
            </a:graphic>
          </wp:inline>
        </w:drawing>
      </w:r>
    </w:p>
    <w:p w:rsidR="00980F62" w:rsidRDefault="00557FD2" w:rsidP="008058D3">
      <w:pPr>
        <w:pStyle w:val="Heading3-Chapter42"/>
      </w:pPr>
      <w:bookmarkStart w:id="233" w:name="_Toc486600003"/>
      <w:bookmarkStart w:id="234" w:name="_Toc486603047"/>
      <w:r w:rsidRPr="00830247">
        <w:lastRenderedPageBreak/>
        <w:t>ACFI 3 Personal Hygiene</w:t>
      </w:r>
      <w:bookmarkEnd w:id="233"/>
      <w:bookmarkEnd w:id="234"/>
    </w:p>
    <w:p w:rsidR="00557FD2" w:rsidRDefault="00557FD2" w:rsidP="0017119E">
      <w:pPr>
        <w:rPr>
          <w:lang w:eastAsia="en-AU"/>
        </w:rPr>
      </w:pPr>
      <w:r>
        <w:rPr>
          <w:lang w:eastAsia="en-AU"/>
        </w:rPr>
        <w:t>The proportion of residents rated as needing physical assistance with personal hygiene increased from around 66.2</w:t>
      </w:r>
      <w:r w:rsidR="00C947E9">
        <w:rPr>
          <w:lang w:eastAsia="en-AU"/>
        </w:rPr>
        <w:t xml:space="preserve"> per cent</w:t>
      </w:r>
      <w:r>
        <w:rPr>
          <w:lang w:eastAsia="en-AU"/>
        </w:rPr>
        <w:t xml:space="preserve"> in 2009 to 83.4</w:t>
      </w:r>
      <w:r w:rsidR="00C947E9">
        <w:rPr>
          <w:lang w:eastAsia="en-AU"/>
        </w:rPr>
        <w:t xml:space="preserve"> per cent</w:t>
      </w:r>
      <w:r>
        <w:rPr>
          <w:lang w:eastAsia="en-AU"/>
        </w:rPr>
        <w:t xml:space="preserve"> of residents by June 30, 2016 (</w:t>
      </w:r>
      <w:hyperlink w:anchor="Fig0408" w:history="1">
        <w:r w:rsidRPr="00EB0008">
          <w:rPr>
            <w:rStyle w:val="Hyperlink"/>
            <w:lang w:eastAsia="en-AU"/>
          </w:rPr>
          <w:t>Figure 4.8</w:t>
        </w:r>
      </w:hyperlink>
      <w:r>
        <w:rPr>
          <w:lang w:eastAsia="en-AU"/>
        </w:rPr>
        <w:t>). This increase is due mainly to the growth in the proportion of residents rated as needing physical assistance for grooming (3.1</w:t>
      </w:r>
      <w:r w:rsidR="00C947E9" w:rsidRPr="00C947E9">
        <w:rPr>
          <w:lang w:eastAsia="en-AU"/>
        </w:rPr>
        <w:t xml:space="preserve"> </w:t>
      </w:r>
      <w:r w:rsidR="00C947E9">
        <w:rPr>
          <w:lang w:eastAsia="en-AU"/>
        </w:rPr>
        <w:t>per cent</w:t>
      </w:r>
      <w:r>
        <w:rPr>
          <w:lang w:eastAsia="en-AU"/>
        </w:rPr>
        <w:t xml:space="preserve"> growth pa.) (</w:t>
      </w:r>
      <w:hyperlink w:anchor="Fig0411" w:history="1">
        <w:r w:rsidRPr="00A14B49">
          <w:rPr>
            <w:rStyle w:val="Hyperlink"/>
            <w:lang w:eastAsia="en-AU"/>
          </w:rPr>
          <w:t>Figure 4.11</w:t>
        </w:r>
      </w:hyperlink>
      <w:r>
        <w:rPr>
          <w:lang w:eastAsia="en-AU"/>
        </w:rPr>
        <w:t>). Physical assistance with dressing (2.3</w:t>
      </w:r>
      <w:r w:rsidR="00C947E9" w:rsidRPr="00C947E9">
        <w:rPr>
          <w:lang w:eastAsia="en-AU"/>
        </w:rPr>
        <w:t xml:space="preserve"> </w:t>
      </w:r>
      <w:r w:rsidR="00C947E9">
        <w:rPr>
          <w:lang w:eastAsia="en-AU"/>
        </w:rPr>
        <w:t>per cent</w:t>
      </w:r>
      <w:r>
        <w:rPr>
          <w:lang w:eastAsia="en-AU"/>
        </w:rPr>
        <w:t xml:space="preserve"> growth pa.) (</w:t>
      </w:r>
      <w:hyperlink w:anchor="Fig0409" w:history="1">
        <w:r w:rsidRPr="00A14B49">
          <w:rPr>
            <w:rStyle w:val="Hyperlink"/>
            <w:lang w:eastAsia="en-AU"/>
          </w:rPr>
          <w:t>Figure 4.9</w:t>
        </w:r>
      </w:hyperlink>
      <w:r>
        <w:rPr>
          <w:lang w:eastAsia="en-AU"/>
        </w:rPr>
        <w:t>) and washing (1.5</w:t>
      </w:r>
      <w:r w:rsidR="00C947E9" w:rsidRPr="00C947E9">
        <w:rPr>
          <w:lang w:eastAsia="en-AU"/>
        </w:rPr>
        <w:t xml:space="preserve"> </w:t>
      </w:r>
      <w:r w:rsidR="00C947E9">
        <w:rPr>
          <w:lang w:eastAsia="en-AU"/>
        </w:rPr>
        <w:t>per cent</w:t>
      </w:r>
      <w:r>
        <w:rPr>
          <w:lang w:eastAsia="en-AU"/>
        </w:rPr>
        <w:t xml:space="preserve"> growth pa.) (</w:t>
      </w:r>
      <w:hyperlink w:anchor="Fig0410" w:history="1">
        <w:r w:rsidRPr="00A14B49">
          <w:rPr>
            <w:rStyle w:val="Hyperlink"/>
            <w:lang w:eastAsia="en-AU"/>
          </w:rPr>
          <w:t>Figure 4.10</w:t>
        </w:r>
      </w:hyperlink>
      <w:r>
        <w:rPr>
          <w:lang w:eastAsia="en-AU"/>
        </w:rPr>
        <w:t>) registered lower levels of growth over the period.</w:t>
      </w:r>
    </w:p>
    <w:p w:rsidR="00173379" w:rsidRDefault="00173379" w:rsidP="00173379">
      <w:pPr>
        <w:pStyle w:val="Caption"/>
        <w:keepNext/>
      </w:pPr>
      <w:bookmarkStart w:id="235" w:name="_Toc495415978"/>
      <w:r>
        <w:t>Figure 4.</w:t>
      </w:r>
      <w:r w:rsidR="009A3F5A">
        <w:fldChar w:fldCharType="begin"/>
      </w:r>
      <w:r w:rsidR="009A3F5A">
        <w:instrText xml:space="preserve"> SEQ Figure_4. \* ARABIC </w:instrText>
      </w:r>
      <w:r w:rsidR="009A3F5A">
        <w:fldChar w:fldCharType="separate"/>
      </w:r>
      <w:r w:rsidR="00856E49">
        <w:rPr>
          <w:noProof/>
        </w:rPr>
        <w:t>8</w:t>
      </w:r>
      <w:r w:rsidR="009A3F5A">
        <w:rPr>
          <w:noProof/>
        </w:rPr>
        <w:fldChar w:fldCharType="end"/>
      </w:r>
      <w:r>
        <w:t xml:space="preserve">: </w:t>
      </w:r>
      <w:r w:rsidRPr="00173379">
        <w:t>ACFI 3 Personal Hygiene Ratings (A, B, C, D) 2009 - 2016</w:t>
      </w:r>
      <w:bookmarkEnd w:id="235"/>
    </w:p>
    <w:p w:rsidR="00AC4364" w:rsidRPr="00A20282" w:rsidRDefault="00AC4364" w:rsidP="00557FD2">
      <w:pPr>
        <w:spacing w:after="200"/>
        <w:rPr>
          <w:b/>
          <w:lang w:eastAsia="en-AU"/>
        </w:rPr>
      </w:pPr>
      <w:r>
        <w:rPr>
          <w:b/>
          <w:noProof/>
          <w:lang w:eastAsia="en-AU"/>
        </w:rPr>
        <w:drawing>
          <wp:inline distT="0" distB="0" distL="0" distR="0" wp14:anchorId="2308F678" wp14:editId="29E41683">
            <wp:extent cx="5852795" cy="4249420"/>
            <wp:effectExtent l="0" t="0" r="0" b="0"/>
            <wp:docPr id="44" name="Picture 44" descr="Figure 4.8 is  a line graph illustrating the proportion of residents that need assistance with personal hygiene from 2009 to 2016. The ratings are none, mild, moderate and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2795" cy="4249420"/>
                    </a:xfrm>
                    <a:prstGeom prst="rect">
                      <a:avLst/>
                    </a:prstGeom>
                    <a:noFill/>
                  </pic:spPr>
                </pic:pic>
              </a:graphicData>
            </a:graphic>
          </wp:inline>
        </w:drawing>
      </w:r>
    </w:p>
    <w:p w:rsidR="00173379" w:rsidRDefault="00173379" w:rsidP="00173379">
      <w:pPr>
        <w:pStyle w:val="Caption"/>
        <w:keepNext/>
      </w:pPr>
      <w:bookmarkStart w:id="236" w:name="_Toc495415979"/>
      <w:r>
        <w:t>Figure 4.</w:t>
      </w:r>
      <w:r w:rsidR="009A3F5A">
        <w:fldChar w:fldCharType="begin"/>
      </w:r>
      <w:r w:rsidR="009A3F5A">
        <w:instrText xml:space="preserve"> SEQ Figure_4. \* ARABIC </w:instrText>
      </w:r>
      <w:r w:rsidR="009A3F5A">
        <w:fldChar w:fldCharType="separate"/>
      </w:r>
      <w:r w:rsidR="00856E49">
        <w:rPr>
          <w:noProof/>
        </w:rPr>
        <w:t>9</w:t>
      </w:r>
      <w:r w:rsidR="009A3F5A">
        <w:rPr>
          <w:noProof/>
        </w:rPr>
        <w:fldChar w:fldCharType="end"/>
      </w:r>
      <w:r>
        <w:t xml:space="preserve">: </w:t>
      </w:r>
      <w:r w:rsidRPr="00173379">
        <w:t>ACFI 3 Personal Hygiene “Dressing” Assistance Levels 2009 - 2016</w:t>
      </w:r>
      <w:bookmarkEnd w:id="236"/>
    </w:p>
    <w:p w:rsidR="00AC4364" w:rsidRDefault="00AC4364" w:rsidP="00557FD2">
      <w:pPr>
        <w:spacing w:after="200"/>
        <w:rPr>
          <w:b/>
          <w:lang w:eastAsia="en-AU"/>
        </w:rPr>
      </w:pPr>
      <w:r>
        <w:rPr>
          <w:b/>
          <w:noProof/>
          <w:lang w:eastAsia="en-AU"/>
        </w:rPr>
        <w:drawing>
          <wp:inline distT="0" distB="0" distL="0" distR="0" wp14:anchorId="2E406CEB" wp14:editId="789F383A">
            <wp:extent cx="5499100" cy="2237740"/>
            <wp:effectExtent l="0" t="0" r="6350" b="0"/>
            <wp:docPr id="45" name="Picture 45" descr="Figure 4.9 is  a line graph illustrating the percentage of residents that need assistance for dressing from 2009 to 2016. The ratings are independent, supervision and physica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9100" cy="2237740"/>
                    </a:xfrm>
                    <a:prstGeom prst="rect">
                      <a:avLst/>
                    </a:prstGeom>
                    <a:noFill/>
                  </pic:spPr>
                </pic:pic>
              </a:graphicData>
            </a:graphic>
          </wp:inline>
        </w:drawing>
      </w:r>
    </w:p>
    <w:p w:rsidR="00173379" w:rsidRDefault="00173379" w:rsidP="00173379">
      <w:pPr>
        <w:pStyle w:val="Caption"/>
        <w:keepNext/>
      </w:pPr>
      <w:bookmarkStart w:id="237" w:name="_Toc495415980"/>
      <w:r>
        <w:lastRenderedPageBreak/>
        <w:t>Figure 4.</w:t>
      </w:r>
      <w:r w:rsidR="009A3F5A">
        <w:fldChar w:fldCharType="begin"/>
      </w:r>
      <w:r w:rsidR="009A3F5A">
        <w:instrText xml:space="preserve"> SEQ Figure_4. \* ARABIC </w:instrText>
      </w:r>
      <w:r w:rsidR="009A3F5A">
        <w:fldChar w:fldCharType="separate"/>
      </w:r>
      <w:r w:rsidR="00856E49">
        <w:rPr>
          <w:noProof/>
        </w:rPr>
        <w:t>10</w:t>
      </w:r>
      <w:r w:rsidR="009A3F5A">
        <w:rPr>
          <w:noProof/>
        </w:rPr>
        <w:fldChar w:fldCharType="end"/>
      </w:r>
      <w:r>
        <w:t xml:space="preserve">: </w:t>
      </w:r>
      <w:r w:rsidRPr="00173379">
        <w:t xml:space="preserve">ACFI 3 </w:t>
      </w:r>
      <w:r w:rsidRPr="00173379">
        <w:rPr>
          <w:lang w:val="en-US"/>
        </w:rPr>
        <w:t>Personal Hygiene “Washing” Assistance Levels 2009 - 2016</w:t>
      </w:r>
      <w:bookmarkEnd w:id="237"/>
    </w:p>
    <w:p w:rsidR="00AC4364" w:rsidRDefault="00AC4364" w:rsidP="00557FD2">
      <w:pPr>
        <w:spacing w:after="200"/>
        <w:rPr>
          <w:b/>
          <w:lang w:eastAsia="en-AU"/>
        </w:rPr>
      </w:pPr>
      <w:r>
        <w:rPr>
          <w:b/>
          <w:noProof/>
          <w:lang w:eastAsia="en-AU"/>
        </w:rPr>
        <w:drawing>
          <wp:inline distT="0" distB="0" distL="0" distR="0" wp14:anchorId="0F3D0681" wp14:editId="332F38E3">
            <wp:extent cx="5220000" cy="2160000"/>
            <wp:effectExtent l="0" t="0" r="0" b="0"/>
            <wp:docPr id="46" name="Picture 46" descr="Figure 4.10 is  a line graph illustrating the percentage of residents that need assistance for washing from 2009 to 2016. The ratings are independent, supervision and physica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0000" cy="2160000"/>
                    </a:xfrm>
                    <a:prstGeom prst="rect">
                      <a:avLst/>
                    </a:prstGeom>
                    <a:noFill/>
                  </pic:spPr>
                </pic:pic>
              </a:graphicData>
            </a:graphic>
          </wp:inline>
        </w:drawing>
      </w:r>
    </w:p>
    <w:p w:rsidR="00173379" w:rsidRDefault="00173379" w:rsidP="00173379">
      <w:pPr>
        <w:pStyle w:val="Caption"/>
        <w:keepNext/>
      </w:pPr>
      <w:bookmarkStart w:id="238" w:name="_Toc495415981"/>
      <w:r>
        <w:t>Figure 4.</w:t>
      </w:r>
      <w:r w:rsidR="009A3F5A">
        <w:fldChar w:fldCharType="begin"/>
      </w:r>
      <w:r w:rsidR="009A3F5A">
        <w:instrText xml:space="preserve"> SEQ Figure_4. \* ARABIC </w:instrText>
      </w:r>
      <w:r w:rsidR="009A3F5A">
        <w:fldChar w:fldCharType="separate"/>
      </w:r>
      <w:r w:rsidR="00856E49">
        <w:rPr>
          <w:noProof/>
        </w:rPr>
        <w:t>11</w:t>
      </w:r>
      <w:r w:rsidR="009A3F5A">
        <w:rPr>
          <w:noProof/>
        </w:rPr>
        <w:fldChar w:fldCharType="end"/>
      </w:r>
      <w:r>
        <w:t xml:space="preserve">: </w:t>
      </w:r>
      <w:r w:rsidRPr="00173379">
        <w:t>ACFI 3 Personal Hygiene “Grooming” Assistance Levels 2009 - 2016</w:t>
      </w:r>
      <w:bookmarkEnd w:id="238"/>
    </w:p>
    <w:p w:rsidR="00AC4364" w:rsidRDefault="00AC4364" w:rsidP="00557FD2">
      <w:pPr>
        <w:spacing w:after="200"/>
        <w:rPr>
          <w:b/>
          <w:lang w:eastAsia="en-AU"/>
        </w:rPr>
      </w:pPr>
      <w:r>
        <w:rPr>
          <w:b/>
          <w:noProof/>
          <w:lang w:eastAsia="en-AU"/>
        </w:rPr>
        <w:drawing>
          <wp:inline distT="0" distB="0" distL="0" distR="0" wp14:anchorId="35A634E2" wp14:editId="44478277">
            <wp:extent cx="4878000" cy="2160000"/>
            <wp:effectExtent l="0" t="0" r="0" b="0"/>
            <wp:docPr id="47" name="Picture 47" descr="Figure 4.11 is  a line graph illustrating the percentage of residents that need assistance for grooming from 2009 to 2016. The ratings are independent, supervision and physica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8000" cy="2160000"/>
                    </a:xfrm>
                    <a:prstGeom prst="rect">
                      <a:avLst/>
                    </a:prstGeom>
                    <a:noFill/>
                  </pic:spPr>
                </pic:pic>
              </a:graphicData>
            </a:graphic>
          </wp:inline>
        </w:drawing>
      </w:r>
    </w:p>
    <w:p w:rsidR="00557FD2" w:rsidRPr="00830247" w:rsidRDefault="00557FD2" w:rsidP="008058D3">
      <w:pPr>
        <w:pStyle w:val="Heading3-Chapter42"/>
      </w:pPr>
      <w:bookmarkStart w:id="239" w:name="_Toc486600004"/>
      <w:bookmarkStart w:id="240" w:name="_Toc486603048"/>
      <w:r w:rsidRPr="00830247">
        <w:t>ACFI 4 Toileting</w:t>
      </w:r>
      <w:bookmarkEnd w:id="239"/>
      <w:bookmarkEnd w:id="240"/>
    </w:p>
    <w:p w:rsidR="00980F62" w:rsidRDefault="00557FD2" w:rsidP="0017119E">
      <w:pPr>
        <w:rPr>
          <w:lang w:eastAsia="en-AU"/>
        </w:rPr>
      </w:pPr>
      <w:r>
        <w:rPr>
          <w:lang w:eastAsia="en-AU"/>
        </w:rPr>
        <w:t xml:space="preserve">The proportion of residents rated as needing physical assistance with toileting increased from </w:t>
      </w:r>
      <w:r w:rsidR="00B06124">
        <w:rPr>
          <w:lang w:eastAsia="en-AU"/>
        </w:rPr>
        <w:t>5 in 10</w:t>
      </w:r>
      <w:r w:rsidR="004F5967">
        <w:rPr>
          <w:lang w:eastAsia="en-AU"/>
        </w:rPr>
        <w:t xml:space="preserve"> </w:t>
      </w:r>
      <w:r>
        <w:rPr>
          <w:lang w:eastAsia="en-AU"/>
        </w:rPr>
        <w:t>residents in 2009 to around 7 in 10 residents by June 30, 2016 (</w:t>
      </w:r>
      <w:hyperlink w:anchor="Fig0412" w:history="1">
        <w:r w:rsidRPr="00A14B49">
          <w:rPr>
            <w:rStyle w:val="Hyperlink"/>
            <w:lang w:eastAsia="en-AU"/>
          </w:rPr>
          <w:t>Figure 4.12</w:t>
        </w:r>
      </w:hyperlink>
      <w:r>
        <w:rPr>
          <w:lang w:eastAsia="en-AU"/>
        </w:rPr>
        <w:t>). This increased proportion was due to the growth in physical assistance with both toilet use (4.6</w:t>
      </w:r>
      <w:r w:rsidR="002965F2">
        <w:rPr>
          <w:lang w:eastAsia="en-AU"/>
        </w:rPr>
        <w:t xml:space="preserve"> per cent</w:t>
      </w:r>
      <w:r>
        <w:rPr>
          <w:lang w:eastAsia="en-AU"/>
        </w:rPr>
        <w:t xml:space="preserve"> growth pa.) (</w:t>
      </w:r>
      <w:hyperlink w:anchor="Fig0413" w:history="1">
        <w:r w:rsidRPr="00A14B49">
          <w:rPr>
            <w:rStyle w:val="Hyperlink"/>
            <w:lang w:eastAsia="en-AU"/>
          </w:rPr>
          <w:t>Figure 4.13</w:t>
        </w:r>
      </w:hyperlink>
      <w:r>
        <w:rPr>
          <w:lang w:eastAsia="en-AU"/>
        </w:rPr>
        <w:t>) and toilet completion (5.2</w:t>
      </w:r>
      <w:r w:rsidR="002965F2">
        <w:rPr>
          <w:lang w:eastAsia="en-AU"/>
        </w:rPr>
        <w:t xml:space="preserve"> per cent</w:t>
      </w:r>
      <w:r>
        <w:rPr>
          <w:lang w:eastAsia="en-AU"/>
        </w:rPr>
        <w:t xml:space="preserve"> growth pa.) (</w:t>
      </w:r>
      <w:hyperlink w:anchor="Fig0414" w:history="1">
        <w:r w:rsidRPr="005A14FE">
          <w:rPr>
            <w:rStyle w:val="Hyperlink"/>
            <w:lang w:eastAsia="en-AU"/>
          </w:rPr>
          <w:t>Figure 4.14</w:t>
        </w:r>
      </w:hyperlink>
      <w:r>
        <w:rPr>
          <w:lang w:eastAsia="en-AU"/>
        </w:rPr>
        <w:t>).</w:t>
      </w:r>
    </w:p>
    <w:p w:rsidR="00173379" w:rsidRDefault="00173379" w:rsidP="00173379">
      <w:pPr>
        <w:pStyle w:val="Caption"/>
        <w:keepNext/>
      </w:pPr>
      <w:bookmarkStart w:id="241" w:name="_Toc495415982"/>
      <w:r>
        <w:t>Figure 4.</w:t>
      </w:r>
      <w:r w:rsidR="009A3F5A">
        <w:fldChar w:fldCharType="begin"/>
      </w:r>
      <w:r w:rsidR="009A3F5A">
        <w:instrText xml:space="preserve"> SEQ Figure_4. \* ARABIC </w:instrText>
      </w:r>
      <w:r w:rsidR="009A3F5A">
        <w:fldChar w:fldCharType="separate"/>
      </w:r>
      <w:r w:rsidR="00856E49">
        <w:rPr>
          <w:noProof/>
        </w:rPr>
        <w:t>12</w:t>
      </w:r>
      <w:r w:rsidR="009A3F5A">
        <w:rPr>
          <w:noProof/>
        </w:rPr>
        <w:fldChar w:fldCharType="end"/>
      </w:r>
      <w:r>
        <w:t xml:space="preserve">: </w:t>
      </w:r>
      <w:r w:rsidRPr="00173379">
        <w:t>ACFI 4 Toileting Ratings (A, B, C, D) 2009 - 2016</w:t>
      </w:r>
      <w:bookmarkEnd w:id="241"/>
    </w:p>
    <w:p w:rsidR="00831A64" w:rsidRDefault="00831A64" w:rsidP="00557FD2">
      <w:pPr>
        <w:spacing w:after="200"/>
        <w:rPr>
          <w:b/>
          <w:lang w:eastAsia="en-AU"/>
        </w:rPr>
      </w:pPr>
      <w:r>
        <w:rPr>
          <w:b/>
          <w:noProof/>
          <w:lang w:eastAsia="en-AU"/>
        </w:rPr>
        <w:drawing>
          <wp:inline distT="0" distB="0" distL="0" distR="0" wp14:anchorId="0664EA32" wp14:editId="68794745">
            <wp:extent cx="5259600" cy="2160000"/>
            <wp:effectExtent l="0" t="0" r="0" b="0"/>
            <wp:docPr id="48" name="Picture 48" descr="Figure 4.12 is  a line graph illustrating the percentage of residents that need assistance for toileting from 2009 to 2016. The ratings are none, mild, moderate and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9600" cy="2160000"/>
                    </a:xfrm>
                    <a:prstGeom prst="rect">
                      <a:avLst/>
                    </a:prstGeom>
                    <a:noFill/>
                  </pic:spPr>
                </pic:pic>
              </a:graphicData>
            </a:graphic>
          </wp:inline>
        </w:drawing>
      </w:r>
    </w:p>
    <w:p w:rsidR="00173379" w:rsidRDefault="00173379" w:rsidP="00173379">
      <w:pPr>
        <w:pStyle w:val="Caption"/>
        <w:keepNext/>
      </w:pPr>
      <w:bookmarkStart w:id="242" w:name="_Toc495415983"/>
      <w:r>
        <w:lastRenderedPageBreak/>
        <w:t>Figure 4.</w:t>
      </w:r>
      <w:r w:rsidR="009A3F5A">
        <w:fldChar w:fldCharType="begin"/>
      </w:r>
      <w:r w:rsidR="009A3F5A">
        <w:instrText xml:space="preserve"> SEQ Figure_4. \* ARABIC </w:instrText>
      </w:r>
      <w:r w:rsidR="009A3F5A">
        <w:fldChar w:fldCharType="separate"/>
      </w:r>
      <w:r w:rsidR="00856E49">
        <w:rPr>
          <w:noProof/>
        </w:rPr>
        <w:t>13</w:t>
      </w:r>
      <w:r w:rsidR="009A3F5A">
        <w:rPr>
          <w:noProof/>
        </w:rPr>
        <w:fldChar w:fldCharType="end"/>
      </w:r>
      <w:r>
        <w:t xml:space="preserve">: </w:t>
      </w:r>
      <w:r w:rsidRPr="00173379">
        <w:t>ACFI 4 Toileting “Toilet Use” Assistance Levels 2009 - 2016</w:t>
      </w:r>
      <w:bookmarkEnd w:id="242"/>
    </w:p>
    <w:p w:rsidR="00831A64" w:rsidRDefault="00831A64" w:rsidP="00557FD2">
      <w:pPr>
        <w:spacing w:after="200"/>
        <w:rPr>
          <w:rFonts w:ascii="Calibri" w:hAnsi="Calibri" w:cs="Times New Roman"/>
          <w:b/>
          <w:iCs/>
          <w:szCs w:val="18"/>
        </w:rPr>
      </w:pPr>
      <w:r>
        <w:rPr>
          <w:rFonts w:ascii="Calibri" w:hAnsi="Calibri" w:cs="Times New Roman"/>
          <w:b/>
          <w:iCs/>
          <w:noProof/>
          <w:szCs w:val="18"/>
          <w:lang w:eastAsia="en-AU"/>
        </w:rPr>
        <w:drawing>
          <wp:inline distT="0" distB="0" distL="0" distR="0" wp14:anchorId="0FB00A5F" wp14:editId="6F8A8BFE">
            <wp:extent cx="5256000" cy="2160000"/>
            <wp:effectExtent l="0" t="0" r="1905" b="0"/>
            <wp:docPr id="49" name="Picture 49" descr="Figure 4.13 is  a line graph illustrating the percentage of residents that need assistance for toilet use from 2009 to 2016. The ratings are independent, supervision and physica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6000" cy="2160000"/>
                    </a:xfrm>
                    <a:prstGeom prst="rect">
                      <a:avLst/>
                    </a:prstGeom>
                    <a:noFill/>
                  </pic:spPr>
                </pic:pic>
              </a:graphicData>
            </a:graphic>
          </wp:inline>
        </w:drawing>
      </w:r>
    </w:p>
    <w:p w:rsidR="00173379" w:rsidRDefault="00173379" w:rsidP="00173379">
      <w:pPr>
        <w:pStyle w:val="Caption"/>
        <w:keepNext/>
      </w:pPr>
      <w:bookmarkStart w:id="243" w:name="_Toc495415984"/>
      <w:r>
        <w:t>Figure 4.</w:t>
      </w:r>
      <w:r w:rsidR="009A3F5A">
        <w:fldChar w:fldCharType="begin"/>
      </w:r>
      <w:r w:rsidR="009A3F5A">
        <w:instrText xml:space="preserve"> SEQ Figure_4. \* ARABIC </w:instrText>
      </w:r>
      <w:r w:rsidR="009A3F5A">
        <w:fldChar w:fldCharType="separate"/>
      </w:r>
      <w:r w:rsidR="00856E49">
        <w:rPr>
          <w:noProof/>
        </w:rPr>
        <w:t>14</w:t>
      </w:r>
      <w:r w:rsidR="009A3F5A">
        <w:rPr>
          <w:noProof/>
        </w:rPr>
        <w:fldChar w:fldCharType="end"/>
      </w:r>
      <w:r>
        <w:t xml:space="preserve">: </w:t>
      </w:r>
      <w:r w:rsidRPr="00173379">
        <w:t>ACFI 4 Toileting “Toilet Completion” Assistance Levels 2009 – 2016</w:t>
      </w:r>
      <w:bookmarkEnd w:id="243"/>
    </w:p>
    <w:p w:rsidR="00831A64" w:rsidRPr="00831A64" w:rsidRDefault="00831A64" w:rsidP="00557FD2">
      <w:pPr>
        <w:spacing w:after="200"/>
        <w:rPr>
          <w:rFonts w:ascii="Calibri" w:hAnsi="Calibri" w:cs="Times New Roman"/>
          <w:b/>
          <w:iCs/>
          <w:noProof/>
          <w:szCs w:val="18"/>
          <w:lang w:eastAsia="en-AU"/>
        </w:rPr>
      </w:pPr>
      <w:r w:rsidRPr="00831A64">
        <w:rPr>
          <w:rFonts w:ascii="Calibri" w:hAnsi="Calibri" w:cs="Times New Roman"/>
          <w:b/>
          <w:iCs/>
          <w:noProof/>
          <w:szCs w:val="18"/>
          <w:lang w:eastAsia="en-AU"/>
        </w:rPr>
        <w:drawing>
          <wp:inline distT="0" distB="0" distL="0" distR="0" wp14:anchorId="312972EE" wp14:editId="1E2ADE45">
            <wp:extent cx="5040000" cy="2160000"/>
            <wp:effectExtent l="0" t="0" r="8255" b="0"/>
            <wp:docPr id="50" name="Picture 50" descr="Figure 4.14 is  a line graph illustrating the percentage of residents that need assistance for toilet completion from 2009 to 2016. The ratings are independent, supervision and physica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0000" cy="2160000"/>
                    </a:xfrm>
                    <a:prstGeom prst="rect">
                      <a:avLst/>
                    </a:prstGeom>
                    <a:noFill/>
                  </pic:spPr>
                </pic:pic>
              </a:graphicData>
            </a:graphic>
          </wp:inline>
        </w:drawing>
      </w:r>
    </w:p>
    <w:p w:rsidR="00980F62" w:rsidRDefault="00557FD2" w:rsidP="008058D3">
      <w:pPr>
        <w:pStyle w:val="Heading3-Chapter42"/>
      </w:pPr>
      <w:bookmarkStart w:id="244" w:name="_Toc486600005"/>
      <w:bookmarkStart w:id="245" w:name="_Toc486603049"/>
      <w:r w:rsidRPr="00954183">
        <w:t>ACFI 5 Continence</w:t>
      </w:r>
      <w:bookmarkEnd w:id="244"/>
      <w:bookmarkEnd w:id="245"/>
    </w:p>
    <w:p w:rsidR="00980F62" w:rsidRDefault="00557FD2" w:rsidP="0073683D">
      <w:pPr>
        <w:ind w:right="-52"/>
        <w:rPr>
          <w:lang w:eastAsia="en-AU"/>
        </w:rPr>
      </w:pPr>
      <w:r>
        <w:rPr>
          <w:lang w:eastAsia="en-AU"/>
        </w:rPr>
        <w:t>The proportion of residents rated with severe incontinence increased from around 6 in 10 residents in 2009 to nearly 8 in 10 residents by June 30,</w:t>
      </w:r>
      <w:r>
        <w:rPr>
          <w:vertAlign w:val="superscript"/>
          <w:lang w:eastAsia="en-AU"/>
        </w:rPr>
        <w:t xml:space="preserve"> </w:t>
      </w:r>
      <w:r>
        <w:rPr>
          <w:lang w:eastAsia="en-AU"/>
        </w:rPr>
        <w:t>2016 (</w:t>
      </w:r>
      <w:hyperlink w:anchor="Fig0415" w:history="1">
        <w:r w:rsidRPr="005A14FE">
          <w:rPr>
            <w:rStyle w:val="Hyperlink"/>
            <w:lang w:eastAsia="en-AU"/>
          </w:rPr>
          <w:t>Figure 4.15</w:t>
        </w:r>
      </w:hyperlink>
      <w:r>
        <w:rPr>
          <w:lang w:eastAsia="en-AU"/>
        </w:rPr>
        <w:t>). This increase was due to the growth in the proportion of residents rated with severe urinary incontinence (56</w:t>
      </w:r>
      <w:r w:rsidR="002A4578">
        <w:rPr>
          <w:lang w:eastAsia="en-AU"/>
        </w:rPr>
        <w:t> </w:t>
      </w:r>
      <w:r w:rsidR="002965F2">
        <w:rPr>
          <w:lang w:eastAsia="en-AU"/>
        </w:rPr>
        <w:t>per cent</w:t>
      </w:r>
      <w:r>
        <w:rPr>
          <w:lang w:eastAsia="en-AU"/>
        </w:rPr>
        <w:t xml:space="preserve"> to 72.6</w:t>
      </w:r>
      <w:r w:rsidR="002965F2">
        <w:rPr>
          <w:lang w:eastAsia="en-AU"/>
        </w:rPr>
        <w:t xml:space="preserve"> per cent</w:t>
      </w:r>
      <w:r>
        <w:rPr>
          <w:lang w:eastAsia="en-AU"/>
        </w:rPr>
        <w:t>) (3.8</w:t>
      </w:r>
      <w:r w:rsidR="002965F2">
        <w:rPr>
          <w:lang w:eastAsia="en-AU"/>
        </w:rPr>
        <w:t xml:space="preserve"> per cent</w:t>
      </w:r>
      <w:r>
        <w:rPr>
          <w:lang w:eastAsia="en-AU"/>
        </w:rPr>
        <w:t xml:space="preserve"> growth pa.) (</w:t>
      </w:r>
      <w:hyperlink w:anchor="Fig0416" w:history="1">
        <w:r w:rsidRPr="005A14FE">
          <w:rPr>
            <w:rStyle w:val="Hyperlink"/>
            <w:lang w:eastAsia="en-AU"/>
          </w:rPr>
          <w:t>Figure 4.16</w:t>
        </w:r>
      </w:hyperlink>
      <w:r>
        <w:rPr>
          <w:lang w:eastAsia="en-AU"/>
        </w:rPr>
        <w:t>). There was no significant recorded increase in the proportion of residents rated with bowel incontinence from 2010 to 2016 (</w:t>
      </w:r>
      <w:hyperlink w:anchor="Fig0417" w:history="1">
        <w:r w:rsidRPr="00DE7661">
          <w:rPr>
            <w:rStyle w:val="Hyperlink"/>
            <w:lang w:eastAsia="en-AU"/>
          </w:rPr>
          <w:t>Figure 4.17</w:t>
        </w:r>
      </w:hyperlink>
      <w:r>
        <w:rPr>
          <w:lang w:eastAsia="en-AU"/>
        </w:rPr>
        <w:t>).</w:t>
      </w:r>
    </w:p>
    <w:p w:rsidR="00173379" w:rsidRDefault="00173379" w:rsidP="00173379">
      <w:pPr>
        <w:pStyle w:val="Caption"/>
        <w:keepNext/>
      </w:pPr>
      <w:bookmarkStart w:id="246" w:name="_Toc495415985"/>
      <w:r>
        <w:t>Figure 4.</w:t>
      </w:r>
      <w:r w:rsidR="009A3F5A">
        <w:fldChar w:fldCharType="begin"/>
      </w:r>
      <w:r w:rsidR="009A3F5A">
        <w:instrText xml:space="preserve"> SEQ Figure_4. \* ARABIC </w:instrText>
      </w:r>
      <w:r w:rsidR="009A3F5A">
        <w:fldChar w:fldCharType="separate"/>
      </w:r>
      <w:r w:rsidR="00856E49">
        <w:rPr>
          <w:noProof/>
        </w:rPr>
        <w:t>15</w:t>
      </w:r>
      <w:r w:rsidR="009A3F5A">
        <w:rPr>
          <w:noProof/>
        </w:rPr>
        <w:fldChar w:fldCharType="end"/>
      </w:r>
      <w:r>
        <w:t xml:space="preserve">: </w:t>
      </w:r>
      <w:r w:rsidRPr="00173379">
        <w:t>ACFI 5 Continence Ratings (A, B, C, D) 2009 - 2016</w:t>
      </w:r>
      <w:bookmarkEnd w:id="246"/>
    </w:p>
    <w:p w:rsidR="00D27D86" w:rsidRDefault="00D27D86" w:rsidP="002A4578">
      <w:pPr>
        <w:rPr>
          <w:rFonts w:ascii="Calibri" w:hAnsi="Calibri" w:cs="Times New Roman"/>
          <w:b/>
          <w:iCs/>
          <w:szCs w:val="18"/>
        </w:rPr>
      </w:pPr>
      <w:r>
        <w:rPr>
          <w:rFonts w:ascii="Calibri" w:hAnsi="Calibri" w:cs="Times New Roman"/>
          <w:b/>
          <w:iCs/>
          <w:noProof/>
          <w:szCs w:val="18"/>
          <w:lang w:eastAsia="en-AU"/>
        </w:rPr>
        <w:drawing>
          <wp:inline distT="0" distB="0" distL="0" distR="0" wp14:anchorId="6D9DAD51" wp14:editId="550EFBBA">
            <wp:extent cx="5328000" cy="2160000"/>
            <wp:effectExtent l="0" t="0" r="6350" b="0"/>
            <wp:docPr id="51" name="Picture 51" descr="Figure 4.15 is  a line graph illustrating the percentage of residents that need assistance for continence from 2009 to 2016. The ratings are none, mild, moderate and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8000" cy="2160000"/>
                    </a:xfrm>
                    <a:prstGeom prst="rect">
                      <a:avLst/>
                    </a:prstGeom>
                    <a:noFill/>
                  </pic:spPr>
                </pic:pic>
              </a:graphicData>
            </a:graphic>
          </wp:inline>
        </w:drawing>
      </w:r>
    </w:p>
    <w:p w:rsidR="00173379" w:rsidRDefault="00173379" w:rsidP="00173379">
      <w:pPr>
        <w:pStyle w:val="Caption"/>
        <w:keepNext/>
      </w:pPr>
      <w:bookmarkStart w:id="247" w:name="_Toc495415986"/>
      <w:r>
        <w:lastRenderedPageBreak/>
        <w:t>Figure 4.</w:t>
      </w:r>
      <w:r w:rsidR="009A3F5A">
        <w:fldChar w:fldCharType="begin"/>
      </w:r>
      <w:r w:rsidR="009A3F5A">
        <w:instrText xml:space="preserve"> SEQ Figure_4. \* ARABIC </w:instrText>
      </w:r>
      <w:r w:rsidR="009A3F5A">
        <w:fldChar w:fldCharType="separate"/>
      </w:r>
      <w:r w:rsidR="00856E49">
        <w:rPr>
          <w:noProof/>
        </w:rPr>
        <w:t>16</w:t>
      </w:r>
      <w:r w:rsidR="009A3F5A">
        <w:rPr>
          <w:noProof/>
        </w:rPr>
        <w:fldChar w:fldCharType="end"/>
      </w:r>
      <w:r>
        <w:t xml:space="preserve">: </w:t>
      </w:r>
      <w:r w:rsidRPr="00173379">
        <w:t>ACFI 5 Continence “Urine” Assistance Levels 2010 - 2016</w:t>
      </w:r>
      <w:bookmarkEnd w:id="247"/>
    </w:p>
    <w:p w:rsidR="00D27D86" w:rsidRDefault="00D27D86" w:rsidP="002A4578">
      <w:pPr>
        <w:rPr>
          <w:b/>
          <w:lang w:eastAsia="en-AU"/>
        </w:rPr>
      </w:pPr>
      <w:r>
        <w:rPr>
          <w:b/>
          <w:noProof/>
          <w:lang w:eastAsia="en-AU"/>
        </w:rPr>
        <w:drawing>
          <wp:inline distT="0" distB="0" distL="0" distR="0" wp14:anchorId="3ADBFFCA" wp14:editId="24F0AD78">
            <wp:extent cx="5634000" cy="2232000"/>
            <wp:effectExtent l="0" t="0" r="5080" b="0"/>
            <wp:docPr id="52" name="Picture 52" descr="Figure 4.16 is  a line graph illustrating the percentage of residents that need assistance for urine incontinence from 2009 to 2016. The ratings are no, mild, moderate and severe urine incontinenc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4000" cy="2232000"/>
                    </a:xfrm>
                    <a:prstGeom prst="rect">
                      <a:avLst/>
                    </a:prstGeom>
                    <a:noFill/>
                  </pic:spPr>
                </pic:pic>
              </a:graphicData>
            </a:graphic>
          </wp:inline>
        </w:drawing>
      </w:r>
    </w:p>
    <w:p w:rsidR="00173379" w:rsidRDefault="00173379" w:rsidP="00173379">
      <w:pPr>
        <w:pStyle w:val="Caption"/>
        <w:keepNext/>
      </w:pPr>
      <w:bookmarkStart w:id="248" w:name="_Toc495415987"/>
      <w:r>
        <w:t>Figure 4.</w:t>
      </w:r>
      <w:r w:rsidR="009A3F5A">
        <w:fldChar w:fldCharType="begin"/>
      </w:r>
      <w:r w:rsidR="009A3F5A">
        <w:instrText xml:space="preserve"> SEQ Figure_4. \* ARABIC </w:instrText>
      </w:r>
      <w:r w:rsidR="009A3F5A">
        <w:fldChar w:fldCharType="separate"/>
      </w:r>
      <w:r w:rsidR="00856E49">
        <w:rPr>
          <w:noProof/>
        </w:rPr>
        <w:t>17</w:t>
      </w:r>
      <w:r w:rsidR="009A3F5A">
        <w:rPr>
          <w:noProof/>
        </w:rPr>
        <w:fldChar w:fldCharType="end"/>
      </w:r>
      <w:r>
        <w:t xml:space="preserve">: </w:t>
      </w:r>
      <w:r w:rsidRPr="00173379">
        <w:t>ACFI 5 Continence “Bowel” Assistance Levels 2010 – 2016</w:t>
      </w:r>
      <w:bookmarkEnd w:id="248"/>
    </w:p>
    <w:p w:rsidR="00D27D86" w:rsidRDefault="00D27D86" w:rsidP="00557FD2">
      <w:pPr>
        <w:spacing w:after="200"/>
        <w:rPr>
          <w:rFonts w:ascii="Calibri" w:hAnsi="Calibri" w:cs="Times New Roman"/>
          <w:b/>
          <w:iCs/>
          <w:noProof/>
          <w:szCs w:val="18"/>
          <w:lang w:eastAsia="en-AU"/>
        </w:rPr>
      </w:pPr>
      <w:r>
        <w:rPr>
          <w:rFonts w:ascii="Calibri" w:hAnsi="Calibri" w:cs="Times New Roman"/>
          <w:b/>
          <w:iCs/>
          <w:noProof/>
          <w:szCs w:val="18"/>
          <w:lang w:eastAsia="en-AU"/>
        </w:rPr>
        <w:drawing>
          <wp:inline distT="0" distB="0" distL="0" distR="0" wp14:anchorId="403B9A34" wp14:editId="49978CEA">
            <wp:extent cx="5652000" cy="2232000"/>
            <wp:effectExtent l="0" t="0" r="6350" b="0"/>
            <wp:docPr id="58" name="Picture 58" descr="Figure 4.17 is  a line graph illustrating the percentage of residents that need assistance for bowel incontinence from 2009 to 2016. The ratings are no, mild, moderate and severe bowel incontinenc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52000" cy="2232000"/>
                    </a:xfrm>
                    <a:prstGeom prst="rect">
                      <a:avLst/>
                    </a:prstGeom>
                    <a:noFill/>
                  </pic:spPr>
                </pic:pic>
              </a:graphicData>
            </a:graphic>
          </wp:inline>
        </w:drawing>
      </w:r>
    </w:p>
    <w:p w:rsidR="00557FD2" w:rsidRDefault="00557FD2" w:rsidP="00530D56">
      <w:pPr>
        <w:pStyle w:val="Heading2-Chapter4"/>
      </w:pPr>
      <w:bookmarkStart w:id="249" w:name="_Toc486600006"/>
      <w:bookmarkStart w:id="250" w:name="_Toc486603050"/>
      <w:bookmarkStart w:id="251" w:name="_Toc491426037"/>
      <w:r w:rsidRPr="00830247">
        <w:t xml:space="preserve">ADL Domain </w:t>
      </w:r>
      <w:bookmarkEnd w:id="209"/>
      <w:r w:rsidRPr="00830247">
        <w:t>Review</w:t>
      </w:r>
      <w:bookmarkEnd w:id="249"/>
      <w:bookmarkEnd w:id="250"/>
      <w:bookmarkEnd w:id="251"/>
    </w:p>
    <w:p w:rsidR="00557FD2" w:rsidRPr="00C359DA" w:rsidRDefault="00557FD2" w:rsidP="0017119E">
      <w:pPr>
        <w:spacing w:after="0"/>
        <w:rPr>
          <w:lang w:eastAsia="en-AU"/>
        </w:rPr>
      </w:pPr>
      <w:r>
        <w:rPr>
          <w:lang w:eastAsia="en-AU"/>
        </w:rPr>
        <w:t xml:space="preserve">The </w:t>
      </w:r>
      <w:r w:rsidR="00057962">
        <w:rPr>
          <w:lang w:eastAsia="en-AU"/>
        </w:rPr>
        <w:t xml:space="preserve">review </w:t>
      </w:r>
      <w:r>
        <w:rPr>
          <w:lang w:eastAsia="en-AU"/>
        </w:rPr>
        <w:t>project aimed to investigate</w:t>
      </w:r>
      <w:r w:rsidRPr="00C359DA">
        <w:rPr>
          <w:rFonts w:cs="Arial"/>
        </w:rPr>
        <w:t xml:space="preserve"> improvements to the ACFI that would</w:t>
      </w:r>
      <w:r>
        <w:rPr>
          <w:rFonts w:cs="Arial"/>
        </w:rPr>
        <w:t>:</w:t>
      </w:r>
    </w:p>
    <w:p w:rsidR="00557FD2" w:rsidRPr="0067225D" w:rsidRDefault="00557FD2" w:rsidP="00F02312">
      <w:pPr>
        <w:pStyle w:val="ListParagraph"/>
        <w:numPr>
          <w:ilvl w:val="0"/>
          <w:numId w:val="99"/>
        </w:numPr>
        <w:ind w:left="357" w:hanging="357"/>
        <w:rPr>
          <w:rFonts w:cs="Tahoma"/>
        </w:rPr>
      </w:pPr>
      <w:r w:rsidRPr="0067225D">
        <w:rPr>
          <w:rFonts w:cs="Tahoma"/>
        </w:rPr>
        <w:t>Reduce subjectivity in the needs assessment process</w:t>
      </w:r>
      <w:r w:rsidR="00FD747B">
        <w:rPr>
          <w:rFonts w:cs="Tahoma"/>
        </w:rPr>
        <w:t>.</w:t>
      </w:r>
    </w:p>
    <w:p w:rsidR="00557FD2" w:rsidRPr="0067225D" w:rsidRDefault="00557FD2" w:rsidP="00F02312">
      <w:pPr>
        <w:pStyle w:val="ListParagraph"/>
        <w:numPr>
          <w:ilvl w:val="0"/>
          <w:numId w:val="99"/>
        </w:numPr>
        <w:ind w:left="357" w:hanging="357"/>
        <w:rPr>
          <w:rFonts w:cs="Tahoma"/>
        </w:rPr>
      </w:pPr>
      <w:r w:rsidRPr="0067225D">
        <w:rPr>
          <w:rFonts w:cs="Tahoma"/>
        </w:rPr>
        <w:t>Deliver a more accurate and reliable assessment that is not open to ‘gaming’</w:t>
      </w:r>
    </w:p>
    <w:p w:rsidR="00557FD2" w:rsidRPr="0067225D" w:rsidRDefault="00557FD2" w:rsidP="00F02312">
      <w:pPr>
        <w:pStyle w:val="ListParagraph"/>
        <w:numPr>
          <w:ilvl w:val="0"/>
          <w:numId w:val="99"/>
        </w:numPr>
        <w:ind w:left="357" w:hanging="357"/>
        <w:rPr>
          <w:rFonts w:cs="Tahoma"/>
        </w:rPr>
      </w:pPr>
      <w:r w:rsidRPr="0067225D">
        <w:rPr>
          <w:rFonts w:cs="Tahoma"/>
        </w:rPr>
        <w:t>Be consistent with contemporary care practices</w:t>
      </w:r>
      <w:r w:rsidR="00FD747B">
        <w:rPr>
          <w:rFonts w:cs="Tahoma"/>
        </w:rPr>
        <w:t>.</w:t>
      </w:r>
    </w:p>
    <w:p w:rsidR="00557FD2" w:rsidRPr="0067225D" w:rsidRDefault="00557FD2" w:rsidP="00F02312">
      <w:pPr>
        <w:pStyle w:val="ListParagraph"/>
        <w:numPr>
          <w:ilvl w:val="0"/>
          <w:numId w:val="99"/>
        </w:numPr>
        <w:ind w:left="357" w:hanging="357"/>
        <w:rPr>
          <w:rFonts w:cs="Tahoma"/>
        </w:rPr>
      </w:pPr>
      <w:r w:rsidRPr="0067225D">
        <w:rPr>
          <w:rFonts w:cs="Tahoma"/>
        </w:rPr>
        <w:t>Support the assurance and validation process for ACFI claims</w:t>
      </w:r>
      <w:r w:rsidR="00FD747B">
        <w:rPr>
          <w:rFonts w:cs="Tahoma"/>
        </w:rPr>
        <w:t>.</w:t>
      </w:r>
    </w:p>
    <w:p w:rsidR="00557FD2" w:rsidRPr="0067225D" w:rsidRDefault="00557FD2" w:rsidP="00F02312">
      <w:pPr>
        <w:pStyle w:val="ListParagraph"/>
        <w:numPr>
          <w:ilvl w:val="0"/>
          <w:numId w:val="99"/>
        </w:numPr>
        <w:ind w:left="357" w:hanging="357"/>
        <w:rPr>
          <w:rFonts w:cs="Tahoma"/>
        </w:rPr>
      </w:pPr>
      <w:r w:rsidRPr="0067225D">
        <w:rPr>
          <w:rFonts w:cs="Tahoma"/>
        </w:rPr>
        <w:t>Be consistent with external assessment</w:t>
      </w:r>
      <w:r w:rsidR="00057962" w:rsidRPr="0067225D">
        <w:rPr>
          <w:rFonts w:cs="Tahoma"/>
        </w:rPr>
        <w:t>.</w:t>
      </w:r>
    </w:p>
    <w:p w:rsidR="00980F62" w:rsidRDefault="00557FD2" w:rsidP="00FC63B7">
      <w:pPr>
        <w:rPr>
          <w:lang w:eastAsia="en-AU"/>
        </w:rPr>
      </w:pPr>
      <w:r>
        <w:rPr>
          <w:lang w:eastAsia="en-AU"/>
        </w:rPr>
        <w:t xml:space="preserve">Regarding these requirements, AACS conducted a series of consultations, reviews of relevant assessment tools and literature and undertook statistical analyses. </w:t>
      </w:r>
      <w:r w:rsidR="00057962">
        <w:rPr>
          <w:lang w:eastAsia="en-AU"/>
        </w:rPr>
        <w:t>A summation of findings is presented in the remaining sections of this Chapter as follows:</w:t>
      </w:r>
    </w:p>
    <w:p w:rsidR="00557FD2" w:rsidRPr="0067225D" w:rsidRDefault="00557FD2" w:rsidP="00F02312">
      <w:pPr>
        <w:pStyle w:val="ListParagraph"/>
        <w:numPr>
          <w:ilvl w:val="0"/>
          <w:numId w:val="100"/>
        </w:numPr>
        <w:ind w:left="357" w:hanging="357"/>
        <w:rPr>
          <w:rFonts w:cs="Tahoma"/>
        </w:rPr>
      </w:pPr>
      <w:r w:rsidRPr="0067225D">
        <w:rPr>
          <w:rFonts w:cs="Tahoma"/>
        </w:rPr>
        <w:t>The adequacy of the ADL evidence framework</w:t>
      </w:r>
      <w:r w:rsidR="00FD747B">
        <w:rPr>
          <w:rFonts w:cs="Tahoma"/>
        </w:rPr>
        <w:t>.</w:t>
      </w:r>
    </w:p>
    <w:p w:rsidR="00557FD2" w:rsidRPr="0067225D" w:rsidRDefault="00557FD2" w:rsidP="00F02312">
      <w:pPr>
        <w:pStyle w:val="ListParagraph"/>
        <w:numPr>
          <w:ilvl w:val="0"/>
          <w:numId w:val="100"/>
        </w:numPr>
        <w:ind w:left="357" w:hanging="357"/>
        <w:rPr>
          <w:rFonts w:cs="Tahoma"/>
        </w:rPr>
      </w:pPr>
      <w:r w:rsidRPr="0067225D">
        <w:rPr>
          <w:rFonts w:cs="Tahoma"/>
        </w:rPr>
        <w:t>Whether the ADL rating scales need to be made less subject to interpretation</w:t>
      </w:r>
      <w:r w:rsidR="00FD747B">
        <w:rPr>
          <w:rFonts w:cs="Tahoma"/>
        </w:rPr>
        <w:t>.</w:t>
      </w:r>
    </w:p>
    <w:p w:rsidR="00557FD2" w:rsidRPr="0067225D" w:rsidRDefault="00557FD2" w:rsidP="00F02312">
      <w:pPr>
        <w:pStyle w:val="ListParagraph"/>
        <w:numPr>
          <w:ilvl w:val="0"/>
          <w:numId w:val="100"/>
        </w:numPr>
        <w:ind w:left="357" w:hanging="357"/>
        <w:rPr>
          <w:rFonts w:cs="Tahoma"/>
        </w:rPr>
      </w:pPr>
      <w:r w:rsidRPr="0067225D">
        <w:rPr>
          <w:rFonts w:cs="Tahoma"/>
        </w:rPr>
        <w:t>Benefits of standardised assessments</w:t>
      </w:r>
      <w:r w:rsidR="00FD747B">
        <w:rPr>
          <w:rFonts w:cs="Tahoma"/>
        </w:rPr>
        <w:t>.</w:t>
      </w:r>
    </w:p>
    <w:p w:rsidR="00557FD2" w:rsidRPr="0067225D" w:rsidRDefault="00557FD2" w:rsidP="00F02312">
      <w:pPr>
        <w:pStyle w:val="ListParagraph"/>
        <w:numPr>
          <w:ilvl w:val="0"/>
          <w:numId w:val="100"/>
        </w:numPr>
        <w:ind w:left="357" w:hanging="357"/>
        <w:rPr>
          <w:rFonts w:cs="Tahoma"/>
        </w:rPr>
      </w:pPr>
      <w:r w:rsidRPr="0067225D">
        <w:rPr>
          <w:rFonts w:cs="Tahoma"/>
        </w:rPr>
        <w:t>Issues with the specific checklist items</w:t>
      </w:r>
      <w:r w:rsidR="00FD747B">
        <w:rPr>
          <w:rFonts w:cs="Tahoma"/>
        </w:rPr>
        <w:t>.</w:t>
      </w:r>
    </w:p>
    <w:p w:rsidR="00557FD2" w:rsidRPr="0067225D" w:rsidRDefault="00557FD2" w:rsidP="00F02312">
      <w:pPr>
        <w:pStyle w:val="ListParagraph"/>
        <w:numPr>
          <w:ilvl w:val="0"/>
          <w:numId w:val="100"/>
        </w:numPr>
        <w:ind w:left="357" w:hanging="357"/>
        <w:rPr>
          <w:rFonts w:cs="Tahoma"/>
        </w:rPr>
      </w:pPr>
      <w:r w:rsidRPr="0067225D">
        <w:rPr>
          <w:rFonts w:cs="Tahoma"/>
        </w:rPr>
        <w:t>The removal of items</w:t>
      </w:r>
      <w:r w:rsidR="00FC63B7">
        <w:rPr>
          <w:rFonts w:cs="Tahoma"/>
        </w:rPr>
        <w:t xml:space="preserve"> that </w:t>
      </w:r>
      <w:r w:rsidR="00F8605A">
        <w:rPr>
          <w:rFonts w:cs="Tahoma"/>
        </w:rPr>
        <w:t xml:space="preserve">are </w:t>
      </w:r>
      <w:r w:rsidR="00FC63B7">
        <w:rPr>
          <w:rFonts w:cs="Tahoma"/>
        </w:rPr>
        <w:t>not discriminating.</w:t>
      </w:r>
    </w:p>
    <w:p w:rsidR="00980F62" w:rsidRDefault="00557FD2" w:rsidP="008058D3">
      <w:pPr>
        <w:pStyle w:val="Heading3-Chapter43"/>
      </w:pPr>
      <w:bookmarkStart w:id="252" w:name="_Toc486600007"/>
      <w:bookmarkStart w:id="253" w:name="_Toc486603051"/>
      <w:bookmarkStart w:id="254" w:name="_Toc478568239"/>
      <w:r w:rsidRPr="00954183">
        <w:lastRenderedPageBreak/>
        <w:t>The ADL Evidence Framework</w:t>
      </w:r>
      <w:bookmarkEnd w:id="252"/>
      <w:bookmarkEnd w:id="253"/>
    </w:p>
    <w:p w:rsidR="00980F62" w:rsidRDefault="00557FD2" w:rsidP="0017119E">
      <w:pPr>
        <w:rPr>
          <w:lang w:eastAsia="en-AU"/>
        </w:rPr>
      </w:pPr>
      <w:r>
        <w:rPr>
          <w:lang w:eastAsia="en-AU"/>
        </w:rPr>
        <w:t>T</w:t>
      </w:r>
      <w:r w:rsidRPr="00FD250B">
        <w:rPr>
          <w:lang w:eastAsia="en-AU"/>
        </w:rPr>
        <w:t xml:space="preserve">he </w:t>
      </w:r>
      <w:r>
        <w:rPr>
          <w:lang w:eastAsia="en-AU"/>
        </w:rPr>
        <w:t xml:space="preserve">ACFI </w:t>
      </w:r>
      <w:r w:rsidRPr="00FD250B">
        <w:rPr>
          <w:lang w:eastAsia="en-AU"/>
        </w:rPr>
        <w:t>evidence requirement</w:t>
      </w:r>
      <w:r>
        <w:rPr>
          <w:lang w:eastAsia="en-AU"/>
        </w:rPr>
        <w:t xml:space="preserve">s for the </w:t>
      </w:r>
      <w:r w:rsidR="00611CCC">
        <w:rPr>
          <w:lang w:eastAsia="en-AU"/>
        </w:rPr>
        <w:t xml:space="preserve">current </w:t>
      </w:r>
      <w:r>
        <w:rPr>
          <w:lang w:eastAsia="en-AU"/>
        </w:rPr>
        <w:t xml:space="preserve">ADL claims </w:t>
      </w:r>
      <w:r w:rsidR="00611CCC">
        <w:rPr>
          <w:lang w:eastAsia="en-AU"/>
        </w:rPr>
        <w:t>require</w:t>
      </w:r>
      <w:r>
        <w:rPr>
          <w:lang w:eastAsia="en-AU"/>
        </w:rPr>
        <w:t xml:space="preserve"> </w:t>
      </w:r>
      <w:r w:rsidRPr="00FD250B">
        <w:rPr>
          <w:lang w:eastAsia="en-AU"/>
        </w:rPr>
        <w:t>a</w:t>
      </w:r>
      <w:r>
        <w:rPr>
          <w:lang w:eastAsia="en-AU"/>
        </w:rPr>
        <w:t>n</w:t>
      </w:r>
      <w:r w:rsidRPr="00FD250B">
        <w:rPr>
          <w:lang w:eastAsia="en-AU"/>
        </w:rPr>
        <w:t xml:space="preserve"> assessment to be undertaken</w:t>
      </w:r>
      <w:r w:rsidR="00611CCC">
        <w:rPr>
          <w:lang w:eastAsia="en-AU"/>
        </w:rPr>
        <w:t xml:space="preserve"> to support the claim</w:t>
      </w:r>
      <w:r>
        <w:rPr>
          <w:lang w:eastAsia="en-AU"/>
        </w:rPr>
        <w:t xml:space="preserve">, although there are no specific mandated assessments </w:t>
      </w:r>
      <w:r w:rsidR="00611CCC">
        <w:rPr>
          <w:lang w:eastAsia="en-AU"/>
        </w:rPr>
        <w:t xml:space="preserve">mandated. </w:t>
      </w:r>
      <w:r>
        <w:rPr>
          <w:lang w:eastAsia="en-AU"/>
        </w:rPr>
        <w:t>Many provid</w:t>
      </w:r>
      <w:r w:rsidR="00611CCC">
        <w:rPr>
          <w:lang w:eastAsia="en-AU"/>
        </w:rPr>
        <w:t xml:space="preserve">ers use their software systems </w:t>
      </w:r>
      <w:r w:rsidR="00057962">
        <w:rPr>
          <w:lang w:eastAsia="en-AU"/>
        </w:rPr>
        <w:t>‘</w:t>
      </w:r>
      <w:r>
        <w:rPr>
          <w:lang w:eastAsia="en-AU"/>
        </w:rPr>
        <w:t>assessments</w:t>
      </w:r>
      <w:r w:rsidR="00057962">
        <w:rPr>
          <w:lang w:eastAsia="en-AU"/>
        </w:rPr>
        <w:t xml:space="preserve">’ </w:t>
      </w:r>
      <w:r>
        <w:rPr>
          <w:lang w:eastAsia="en-AU"/>
        </w:rPr>
        <w:t>as evidence for an ACFI claim and for care planning</w:t>
      </w:r>
      <w:r w:rsidR="00611CCC">
        <w:rPr>
          <w:lang w:eastAsia="en-AU"/>
        </w:rPr>
        <w:t xml:space="preserve"> purposes</w:t>
      </w:r>
      <w:r w:rsidR="00057962">
        <w:rPr>
          <w:lang w:eastAsia="en-AU"/>
        </w:rPr>
        <w:t xml:space="preserve">. </w:t>
      </w:r>
      <w:r>
        <w:rPr>
          <w:lang w:eastAsia="en-AU"/>
        </w:rPr>
        <w:t xml:space="preserve">However, most software </w:t>
      </w:r>
      <w:r w:rsidRPr="00624040">
        <w:rPr>
          <w:lang w:eastAsia="en-AU"/>
        </w:rPr>
        <w:t xml:space="preserve">systems simply repeat the required </w:t>
      </w:r>
      <w:r w:rsidR="00057962">
        <w:rPr>
          <w:lang w:eastAsia="en-AU"/>
        </w:rPr>
        <w:t>‘</w:t>
      </w:r>
      <w:r>
        <w:rPr>
          <w:lang w:eastAsia="en-AU"/>
        </w:rPr>
        <w:t>summary</w:t>
      </w:r>
      <w:r w:rsidR="00057962">
        <w:rPr>
          <w:lang w:eastAsia="en-AU"/>
        </w:rPr>
        <w:t xml:space="preserve">’ </w:t>
      </w:r>
      <w:r w:rsidRPr="00624040">
        <w:rPr>
          <w:lang w:eastAsia="en-AU"/>
        </w:rPr>
        <w:t>outcomes as stated in the ACFI User Guide checklist</w:t>
      </w:r>
      <w:r>
        <w:rPr>
          <w:lang w:eastAsia="en-AU"/>
        </w:rPr>
        <w:t>,</w:t>
      </w:r>
      <w:r w:rsidRPr="00624040">
        <w:rPr>
          <w:lang w:eastAsia="en-AU"/>
        </w:rPr>
        <w:t xml:space="preserve"> </w:t>
      </w:r>
      <w:r>
        <w:rPr>
          <w:lang w:eastAsia="en-AU"/>
        </w:rPr>
        <w:t>such as</w:t>
      </w:r>
      <w:r w:rsidRPr="00624040">
        <w:rPr>
          <w:lang w:eastAsia="en-AU"/>
        </w:rPr>
        <w:t xml:space="preserve"> </w:t>
      </w:r>
      <w:r w:rsidR="00057962">
        <w:rPr>
          <w:lang w:eastAsia="en-AU"/>
        </w:rPr>
        <w:t>‘</w:t>
      </w:r>
      <w:r w:rsidRPr="00624040">
        <w:rPr>
          <w:lang w:eastAsia="en-AU"/>
        </w:rPr>
        <w:t>requires physical assistance</w:t>
      </w:r>
      <w:r>
        <w:rPr>
          <w:lang w:eastAsia="en-AU"/>
        </w:rPr>
        <w:t xml:space="preserve"> with an activity</w:t>
      </w:r>
      <w:r w:rsidR="00057962">
        <w:rPr>
          <w:lang w:eastAsia="en-AU"/>
        </w:rPr>
        <w:t xml:space="preserve">’ </w:t>
      </w:r>
      <w:r>
        <w:rPr>
          <w:lang w:eastAsia="en-AU"/>
        </w:rPr>
        <w:t>without using a validated assessment tool to determine the specific underlying issues and rationale for the resident’s care requirement.</w:t>
      </w:r>
    </w:p>
    <w:p w:rsidR="00980F62" w:rsidRDefault="00057962" w:rsidP="0017119E">
      <w:pPr>
        <w:rPr>
          <w:lang w:eastAsia="en-AU"/>
        </w:rPr>
      </w:pPr>
      <w:r>
        <w:rPr>
          <w:lang w:eastAsia="en-AU"/>
        </w:rPr>
        <w:t xml:space="preserve">Finding: </w:t>
      </w:r>
      <w:r w:rsidR="00557FD2" w:rsidRPr="00FD250B">
        <w:rPr>
          <w:lang w:eastAsia="en-AU"/>
        </w:rPr>
        <w:t xml:space="preserve">Most assessments used to support ADL claims </w:t>
      </w:r>
      <w:r w:rsidR="00557FD2">
        <w:rPr>
          <w:lang w:eastAsia="en-AU"/>
        </w:rPr>
        <w:t xml:space="preserve">do </w:t>
      </w:r>
      <w:r w:rsidR="00557FD2" w:rsidRPr="00FD250B">
        <w:rPr>
          <w:lang w:eastAsia="en-AU"/>
        </w:rPr>
        <w:t>not provide objective evidence of the actual need for the claimed level of assistance.</w:t>
      </w:r>
    </w:p>
    <w:p w:rsidR="00980F62" w:rsidRDefault="00557FD2" w:rsidP="0017119E">
      <w:pPr>
        <w:rPr>
          <w:lang w:eastAsia="en-AU"/>
        </w:rPr>
      </w:pPr>
      <w:r w:rsidRPr="00624040">
        <w:rPr>
          <w:lang w:eastAsia="en-AU"/>
        </w:rPr>
        <w:t xml:space="preserve">This </w:t>
      </w:r>
      <w:r w:rsidR="00321EB9">
        <w:rPr>
          <w:lang w:eastAsia="en-AU"/>
        </w:rPr>
        <w:t>‘</w:t>
      </w:r>
      <w:r>
        <w:rPr>
          <w:lang w:eastAsia="en-AU"/>
        </w:rPr>
        <w:t>checklist</w:t>
      </w:r>
      <w:r w:rsidR="00321EB9">
        <w:rPr>
          <w:lang w:eastAsia="en-AU"/>
        </w:rPr>
        <w:t>’</w:t>
      </w:r>
      <w:r>
        <w:rPr>
          <w:lang w:eastAsia="en-AU"/>
        </w:rPr>
        <w:t xml:space="preserve"> </w:t>
      </w:r>
      <w:r w:rsidR="00C7651C">
        <w:rPr>
          <w:lang w:eastAsia="en-AU"/>
        </w:rPr>
        <w:t xml:space="preserve">assessment </w:t>
      </w:r>
      <w:r>
        <w:rPr>
          <w:lang w:eastAsia="en-AU"/>
        </w:rPr>
        <w:t xml:space="preserve">approach </w:t>
      </w:r>
      <w:r w:rsidRPr="00624040">
        <w:rPr>
          <w:lang w:eastAsia="en-AU"/>
        </w:rPr>
        <w:t xml:space="preserve">does not </w:t>
      </w:r>
      <w:r w:rsidR="00321EB9">
        <w:rPr>
          <w:lang w:eastAsia="en-AU"/>
        </w:rPr>
        <w:t xml:space="preserve">provide </w:t>
      </w:r>
      <w:r w:rsidRPr="00624040">
        <w:rPr>
          <w:lang w:eastAsia="en-AU"/>
        </w:rPr>
        <w:t xml:space="preserve">the objective evidence needed to </w:t>
      </w:r>
      <w:r>
        <w:rPr>
          <w:lang w:eastAsia="en-AU"/>
        </w:rPr>
        <w:t>develop an informative and accurate care plan or, in the case of a Department</w:t>
      </w:r>
      <w:r w:rsidR="00321EB9">
        <w:rPr>
          <w:lang w:eastAsia="en-AU"/>
        </w:rPr>
        <w:t>al</w:t>
      </w:r>
      <w:r>
        <w:rPr>
          <w:lang w:eastAsia="en-AU"/>
        </w:rPr>
        <w:t xml:space="preserve"> ACFI review, information to help </w:t>
      </w:r>
      <w:r w:rsidRPr="00624040">
        <w:rPr>
          <w:lang w:eastAsia="en-AU"/>
        </w:rPr>
        <w:t xml:space="preserve">validate a claim. Without a mandated </w:t>
      </w:r>
      <w:r>
        <w:rPr>
          <w:lang w:eastAsia="en-AU"/>
        </w:rPr>
        <w:t xml:space="preserve">validated </w:t>
      </w:r>
      <w:r w:rsidRPr="00624040">
        <w:rPr>
          <w:lang w:eastAsia="en-AU"/>
        </w:rPr>
        <w:t xml:space="preserve">assessment, </w:t>
      </w:r>
      <w:r>
        <w:rPr>
          <w:lang w:eastAsia="en-AU"/>
        </w:rPr>
        <w:t xml:space="preserve">Department </w:t>
      </w:r>
      <w:r w:rsidRPr="00624040">
        <w:rPr>
          <w:lang w:eastAsia="en-AU"/>
        </w:rPr>
        <w:t xml:space="preserve">desk reviews are </w:t>
      </w:r>
      <w:r>
        <w:rPr>
          <w:lang w:eastAsia="en-AU"/>
        </w:rPr>
        <w:t xml:space="preserve">largely </w:t>
      </w:r>
      <w:r w:rsidRPr="00624040">
        <w:rPr>
          <w:lang w:eastAsia="en-AU"/>
        </w:rPr>
        <w:t xml:space="preserve">limited to clerical validation </w:t>
      </w:r>
      <w:r>
        <w:rPr>
          <w:lang w:eastAsia="en-AU"/>
        </w:rPr>
        <w:t>activities</w:t>
      </w:r>
      <w:r w:rsidRPr="00624040">
        <w:rPr>
          <w:lang w:eastAsia="en-AU"/>
        </w:rPr>
        <w:t xml:space="preserve"> such as checking if the boxes </w:t>
      </w:r>
      <w:r>
        <w:rPr>
          <w:lang w:eastAsia="en-AU"/>
        </w:rPr>
        <w:t>have been ticked appropriately</w:t>
      </w:r>
      <w:r w:rsidR="00321EB9">
        <w:rPr>
          <w:lang w:eastAsia="en-AU"/>
        </w:rPr>
        <w:t>. F</w:t>
      </w:r>
      <w:r>
        <w:rPr>
          <w:lang w:eastAsia="en-AU"/>
        </w:rPr>
        <w:t xml:space="preserve">or on-site reviews, the lack of assessment evidence means that </w:t>
      </w:r>
      <w:r w:rsidR="00321EB9">
        <w:rPr>
          <w:lang w:eastAsia="en-AU"/>
        </w:rPr>
        <w:t xml:space="preserve">reviewers </w:t>
      </w:r>
      <w:r>
        <w:rPr>
          <w:lang w:eastAsia="en-AU"/>
        </w:rPr>
        <w:t>need to consider the progress notes</w:t>
      </w:r>
      <w:r w:rsidR="00611CCC">
        <w:rPr>
          <w:lang w:eastAsia="en-AU"/>
        </w:rPr>
        <w:t xml:space="preserve">, </w:t>
      </w:r>
      <w:r>
        <w:rPr>
          <w:lang w:eastAsia="en-AU"/>
        </w:rPr>
        <w:t>care plans</w:t>
      </w:r>
      <w:r w:rsidR="00611CCC">
        <w:rPr>
          <w:lang w:eastAsia="en-AU"/>
        </w:rPr>
        <w:t xml:space="preserve">, </w:t>
      </w:r>
      <w:r w:rsidR="005044B8">
        <w:rPr>
          <w:lang w:eastAsia="en-AU"/>
        </w:rPr>
        <w:t>discussions</w:t>
      </w:r>
      <w:r w:rsidR="00611CCC">
        <w:rPr>
          <w:lang w:eastAsia="en-AU"/>
        </w:rPr>
        <w:t xml:space="preserve"> with staff as well resident observations </w:t>
      </w:r>
      <w:r>
        <w:rPr>
          <w:lang w:eastAsia="en-AU"/>
        </w:rPr>
        <w:t>to determine a more accurate picture of the resident’s care needs and the accuracy of the claim.</w:t>
      </w:r>
    </w:p>
    <w:p w:rsidR="00980F62" w:rsidRDefault="00321EB9" w:rsidP="0017119E">
      <w:pPr>
        <w:rPr>
          <w:lang w:eastAsia="en-AU"/>
        </w:rPr>
      </w:pPr>
      <w:r>
        <w:rPr>
          <w:lang w:eastAsia="en-AU"/>
        </w:rPr>
        <w:t>Finding: Inadequate assessments of the residents’ care needs in the ADL domain mean that it is difficult to validate the resident’s care needs and the accuracy of the claim.</w:t>
      </w:r>
      <w:r w:rsidR="005044B8">
        <w:rPr>
          <w:lang w:eastAsia="en-AU"/>
        </w:rPr>
        <w:t xml:space="preserve"> This leaves decisions about a claims accuracy in the subjective rather than objective domain.</w:t>
      </w:r>
    </w:p>
    <w:p w:rsidR="00557FD2" w:rsidRDefault="00557FD2" w:rsidP="0017119E">
      <w:pPr>
        <w:spacing w:after="200"/>
        <w:rPr>
          <w:lang w:eastAsia="en-AU"/>
        </w:rPr>
      </w:pPr>
      <w:r>
        <w:rPr>
          <w:lang w:eastAsia="en-AU"/>
        </w:rPr>
        <w:t xml:space="preserve">A more </w:t>
      </w:r>
      <w:r w:rsidRPr="00624040">
        <w:rPr>
          <w:lang w:eastAsia="en-AU"/>
        </w:rPr>
        <w:t xml:space="preserve">robust rationale </w:t>
      </w:r>
      <w:r>
        <w:rPr>
          <w:lang w:eastAsia="en-AU"/>
        </w:rPr>
        <w:t xml:space="preserve">for the resident’s ADL care needs assessment and ACFI claim </w:t>
      </w:r>
      <w:r w:rsidRPr="00624040">
        <w:rPr>
          <w:lang w:eastAsia="en-AU"/>
        </w:rPr>
        <w:t xml:space="preserve">might </w:t>
      </w:r>
      <w:r>
        <w:rPr>
          <w:lang w:eastAsia="en-AU"/>
        </w:rPr>
        <w:t>include, as an example:</w:t>
      </w:r>
    </w:p>
    <w:p w:rsidR="00557FD2" w:rsidRPr="0067225D" w:rsidRDefault="00557FD2" w:rsidP="00F02312">
      <w:pPr>
        <w:pStyle w:val="ListParagraph"/>
        <w:numPr>
          <w:ilvl w:val="0"/>
          <w:numId w:val="101"/>
        </w:numPr>
        <w:ind w:left="357" w:hanging="357"/>
        <w:rPr>
          <w:rFonts w:cs="Tahoma"/>
        </w:rPr>
      </w:pPr>
      <w:r w:rsidRPr="0067225D">
        <w:rPr>
          <w:rFonts w:cs="Tahoma"/>
        </w:rPr>
        <w:t>Documented diagnoses from medical notes confirming a fractured right hip in December 2015 with associated severe art</w:t>
      </w:r>
      <w:r w:rsidR="00FC63B7">
        <w:rPr>
          <w:rFonts w:cs="Tahoma"/>
        </w:rPr>
        <w:t>hritis in the right hip in 2016</w:t>
      </w:r>
      <w:r w:rsidR="00FD747B">
        <w:rPr>
          <w:rFonts w:cs="Tahoma"/>
        </w:rPr>
        <w:t>;</w:t>
      </w:r>
    </w:p>
    <w:p w:rsidR="00980F62" w:rsidRDefault="00557FD2" w:rsidP="00F02312">
      <w:pPr>
        <w:pStyle w:val="ListParagraph"/>
        <w:numPr>
          <w:ilvl w:val="0"/>
          <w:numId w:val="101"/>
        </w:numPr>
        <w:ind w:left="357" w:hanging="357"/>
        <w:rPr>
          <w:rFonts w:cs="Tahoma"/>
        </w:rPr>
      </w:pPr>
      <w:r w:rsidRPr="0067225D">
        <w:rPr>
          <w:rFonts w:cs="Tahoma"/>
        </w:rPr>
        <w:t>Assessment by a physiotherapist in December 2016 showing a severe limitation in the range of movement of the ri</w:t>
      </w:r>
      <w:r w:rsidRPr="00AC0DEC">
        <w:rPr>
          <w:rFonts w:cs="Tahoma"/>
        </w:rPr>
        <w:t xml:space="preserve">ght hip, an unsteady gait needing staff to give physical assistance </w:t>
      </w:r>
      <w:r w:rsidRPr="004C5986">
        <w:rPr>
          <w:rFonts w:cs="Tahoma"/>
        </w:rPr>
        <w:t>throughout the activity of all transfers due to high falls risk; and</w:t>
      </w:r>
    </w:p>
    <w:p w:rsidR="00557FD2" w:rsidRDefault="00557FD2" w:rsidP="00F02312">
      <w:pPr>
        <w:pStyle w:val="ListParagraph"/>
        <w:numPr>
          <w:ilvl w:val="0"/>
          <w:numId w:val="101"/>
        </w:numPr>
        <w:ind w:left="357" w:hanging="357"/>
        <w:rPr>
          <w:rFonts w:cs="Tahoma"/>
        </w:rPr>
      </w:pPr>
      <w:r w:rsidRPr="00CD2573">
        <w:rPr>
          <w:rFonts w:cs="Tahoma"/>
        </w:rPr>
        <w:t xml:space="preserve">A care staff assessment in February 2017 using a validated assessment tool such as the Physical Mobility Scale (PMS) to assess functioning with sitting to standing items, standing balance </w:t>
      </w:r>
      <w:r w:rsidRPr="00793A8E">
        <w:rPr>
          <w:rFonts w:cs="Tahoma"/>
        </w:rPr>
        <w:t>and transfer items.</w:t>
      </w:r>
    </w:p>
    <w:p w:rsidR="00557FD2" w:rsidRPr="00624040" w:rsidRDefault="00557FD2" w:rsidP="0017119E">
      <w:pPr>
        <w:spacing w:after="200"/>
        <w:rPr>
          <w:lang w:eastAsia="en-AU"/>
        </w:rPr>
      </w:pPr>
      <w:r w:rsidRPr="00624040">
        <w:rPr>
          <w:lang w:eastAsia="en-AU"/>
        </w:rPr>
        <w:t>T</w:t>
      </w:r>
      <w:r>
        <w:rPr>
          <w:lang w:eastAsia="en-AU"/>
        </w:rPr>
        <w:t xml:space="preserve">his </w:t>
      </w:r>
      <w:r w:rsidRPr="00624040">
        <w:rPr>
          <w:lang w:eastAsia="en-AU"/>
        </w:rPr>
        <w:t xml:space="preserve">documentation </w:t>
      </w:r>
      <w:r>
        <w:rPr>
          <w:lang w:eastAsia="en-AU"/>
        </w:rPr>
        <w:t xml:space="preserve">approach </w:t>
      </w:r>
      <w:r w:rsidRPr="00624040">
        <w:rPr>
          <w:lang w:eastAsia="en-AU"/>
        </w:rPr>
        <w:t>describes the physi</w:t>
      </w:r>
      <w:r>
        <w:rPr>
          <w:lang w:eastAsia="en-AU"/>
        </w:rPr>
        <w:t>cal and functional limitations of</w:t>
      </w:r>
      <w:r w:rsidRPr="00624040">
        <w:rPr>
          <w:lang w:eastAsia="en-AU"/>
        </w:rPr>
        <w:t xml:space="preserve"> the resident in daily activities, provides a range of documentation that fits into care plans and therapy plans that will address the identified needs. A range of documentation </w:t>
      </w:r>
      <w:r>
        <w:rPr>
          <w:lang w:eastAsia="en-AU"/>
        </w:rPr>
        <w:t>should</w:t>
      </w:r>
      <w:r w:rsidRPr="00624040">
        <w:rPr>
          <w:lang w:eastAsia="en-AU"/>
        </w:rPr>
        <w:t xml:space="preserve"> be reviewed to give c</w:t>
      </w:r>
      <w:r>
        <w:rPr>
          <w:lang w:eastAsia="en-AU"/>
        </w:rPr>
        <w:t>ongruent and objective evidence</w:t>
      </w:r>
      <w:r w:rsidRPr="00624040">
        <w:rPr>
          <w:lang w:eastAsia="en-AU"/>
        </w:rPr>
        <w:t xml:space="preserve"> of the overall functional care needs of the resident.</w:t>
      </w:r>
    </w:p>
    <w:p w:rsidR="00557FD2" w:rsidRPr="00624040" w:rsidRDefault="00321EB9" w:rsidP="0017119E">
      <w:pPr>
        <w:spacing w:after="200"/>
        <w:rPr>
          <w:lang w:eastAsia="en-AU"/>
        </w:rPr>
      </w:pPr>
      <w:r w:rsidRPr="001F2491">
        <w:rPr>
          <w:rStyle w:val="Strong"/>
        </w:rPr>
        <w:t>Recommendations</w:t>
      </w:r>
      <w:r>
        <w:rPr>
          <w:lang w:eastAsia="en-AU"/>
        </w:rPr>
        <w:t xml:space="preserve">: </w:t>
      </w:r>
      <w:r w:rsidR="00557FD2" w:rsidRPr="00624040">
        <w:rPr>
          <w:lang w:eastAsia="en-AU"/>
        </w:rPr>
        <w:t>The lack of documentat</w:t>
      </w:r>
      <w:r w:rsidR="00557FD2">
        <w:rPr>
          <w:lang w:eastAsia="en-AU"/>
        </w:rPr>
        <w:t>ion describing the</w:t>
      </w:r>
      <w:r w:rsidR="00557FD2" w:rsidRPr="00624040">
        <w:rPr>
          <w:lang w:eastAsia="en-AU"/>
        </w:rPr>
        <w:t xml:space="preserve"> evidence of the need </w:t>
      </w:r>
      <w:r w:rsidR="00557FD2">
        <w:rPr>
          <w:lang w:eastAsia="en-AU"/>
        </w:rPr>
        <w:t xml:space="preserve">(that can be used </w:t>
      </w:r>
      <w:r w:rsidR="00557FD2" w:rsidRPr="00624040">
        <w:rPr>
          <w:lang w:eastAsia="en-AU"/>
        </w:rPr>
        <w:t xml:space="preserve">for </w:t>
      </w:r>
      <w:r w:rsidR="00557FD2">
        <w:rPr>
          <w:lang w:eastAsia="en-AU"/>
        </w:rPr>
        <w:t xml:space="preserve">both care planning and ACFI </w:t>
      </w:r>
      <w:r w:rsidR="00557FD2" w:rsidRPr="00624040">
        <w:rPr>
          <w:lang w:eastAsia="en-AU"/>
        </w:rPr>
        <w:t>claim</w:t>
      </w:r>
      <w:r w:rsidR="00557FD2">
        <w:rPr>
          <w:lang w:eastAsia="en-AU"/>
        </w:rPr>
        <w:t>s), could be addressed by modifications to the ACFI User Guide, Assessment Pack and Appraisal Pack by:</w:t>
      </w:r>
    </w:p>
    <w:p w:rsidR="00980F62" w:rsidRDefault="00557FD2" w:rsidP="0017119E">
      <w:pPr>
        <w:spacing w:after="200"/>
        <w:rPr>
          <w:lang w:eastAsia="en-AU"/>
        </w:rPr>
      </w:pPr>
      <w:r w:rsidRPr="00830247">
        <w:rPr>
          <w:b/>
          <w:lang w:eastAsia="en-AU"/>
        </w:rPr>
        <w:lastRenderedPageBreak/>
        <w:t>(i)</w:t>
      </w:r>
      <w:r>
        <w:rPr>
          <w:lang w:eastAsia="en-AU"/>
        </w:rPr>
        <w:t xml:space="preserve"> M</w:t>
      </w:r>
      <w:r w:rsidRPr="00624040">
        <w:rPr>
          <w:lang w:eastAsia="en-AU"/>
        </w:rPr>
        <w:t xml:space="preserve">andating assessments that </w:t>
      </w:r>
      <w:r>
        <w:rPr>
          <w:lang w:eastAsia="en-AU"/>
        </w:rPr>
        <w:t>provide</w:t>
      </w:r>
      <w:r w:rsidRPr="00624040">
        <w:rPr>
          <w:lang w:eastAsia="en-AU"/>
        </w:rPr>
        <w:t xml:space="preserve"> objective measured outcomes of an assessed care need</w:t>
      </w:r>
      <w:r>
        <w:rPr>
          <w:lang w:eastAsia="en-AU"/>
        </w:rPr>
        <w:t xml:space="preserve">, obtained from tools such as </w:t>
      </w:r>
      <w:r w:rsidRPr="00624040">
        <w:rPr>
          <w:lang w:eastAsia="en-AU"/>
        </w:rPr>
        <w:t xml:space="preserve">the </w:t>
      </w:r>
      <w:r>
        <w:rPr>
          <w:lang w:eastAsia="en-AU"/>
        </w:rPr>
        <w:t xml:space="preserve">Mini Nutritional Assessment (MNA Short), </w:t>
      </w:r>
      <w:r w:rsidRPr="00624040">
        <w:rPr>
          <w:lang w:eastAsia="en-AU"/>
        </w:rPr>
        <w:t>Physical Mobility Scale (PMS)</w:t>
      </w:r>
      <w:r>
        <w:rPr>
          <w:lang w:eastAsia="en-AU"/>
        </w:rPr>
        <w:t xml:space="preserve">, Falls Risk Assessment Tool (FRAT) and the </w:t>
      </w:r>
      <w:r w:rsidR="00C7651C" w:rsidRPr="00303851">
        <w:rPr>
          <w:lang w:eastAsia="en-AU"/>
        </w:rPr>
        <w:t xml:space="preserve">Continence Resources for community and residential care </w:t>
      </w:r>
      <w:r w:rsidR="00C7651C">
        <w:rPr>
          <w:lang w:eastAsia="en-AU"/>
        </w:rPr>
        <w:t xml:space="preserve">by the </w:t>
      </w:r>
      <w:r w:rsidRPr="00303851">
        <w:rPr>
          <w:lang w:eastAsia="en-AU"/>
        </w:rPr>
        <w:t>Australian Continence Foundation</w:t>
      </w:r>
      <w:r>
        <w:rPr>
          <w:lang w:eastAsia="en-AU"/>
        </w:rPr>
        <w:t xml:space="preserve"> </w:t>
      </w:r>
      <w:r w:rsidRPr="00303851">
        <w:rPr>
          <w:lang w:eastAsia="en-AU"/>
        </w:rPr>
        <w:t>-.</w:t>
      </w:r>
    </w:p>
    <w:p w:rsidR="00980F62" w:rsidRDefault="00557FD2" w:rsidP="0017119E">
      <w:pPr>
        <w:spacing w:after="200"/>
        <w:rPr>
          <w:lang w:eastAsia="en-AU"/>
        </w:rPr>
      </w:pPr>
      <w:r w:rsidRPr="00830247">
        <w:rPr>
          <w:b/>
          <w:lang w:eastAsia="en-AU"/>
        </w:rPr>
        <w:t>(ii)</w:t>
      </w:r>
      <w:r w:rsidRPr="00A33FD9">
        <w:rPr>
          <w:lang w:eastAsia="en-AU"/>
        </w:rPr>
        <w:t xml:space="preserve"> </w:t>
      </w:r>
      <w:r>
        <w:rPr>
          <w:lang w:eastAsia="en-AU"/>
        </w:rPr>
        <w:t>Requiring</w:t>
      </w:r>
      <w:r w:rsidRPr="00A33FD9">
        <w:rPr>
          <w:lang w:eastAsia="en-AU"/>
        </w:rPr>
        <w:t xml:space="preserve"> users to inform </w:t>
      </w:r>
      <w:r>
        <w:rPr>
          <w:lang w:eastAsia="en-AU"/>
        </w:rPr>
        <w:t xml:space="preserve">further on </w:t>
      </w:r>
      <w:r w:rsidRPr="00A33FD9">
        <w:rPr>
          <w:lang w:eastAsia="en-AU"/>
        </w:rPr>
        <w:t xml:space="preserve">why </w:t>
      </w:r>
      <w:r w:rsidRPr="00A33FD9">
        <w:rPr>
          <w:rFonts w:ascii="Arial" w:hAnsi="Arial" w:cs="Arial"/>
          <w:sz w:val="20"/>
          <w:szCs w:val="20"/>
        </w:rPr>
        <w:t xml:space="preserve">staff </w:t>
      </w:r>
      <w:r w:rsidRPr="00A33FD9">
        <w:t xml:space="preserve">assistance is needed for the </w:t>
      </w:r>
      <w:r>
        <w:t>resident</w:t>
      </w:r>
      <w:r w:rsidR="002C205F">
        <w:t>’s</w:t>
      </w:r>
      <w:r w:rsidRPr="00A33FD9">
        <w:t xml:space="preserve"> day</w:t>
      </w:r>
      <w:r>
        <w:t>-</w:t>
      </w:r>
      <w:r w:rsidRPr="00A33FD9">
        <w:t>to</w:t>
      </w:r>
      <w:r>
        <w:t>-</w:t>
      </w:r>
      <w:r w:rsidRPr="007D7013">
        <w:t>day care needs</w:t>
      </w:r>
      <w:r>
        <w:t>; the user is to provide supporting objective information (e.g. NSAF, medical/AHP notes, clinical reports) when the resident</w:t>
      </w:r>
      <w:r w:rsidRPr="007D7013">
        <w:t xml:space="preserve"> </w:t>
      </w:r>
      <w:r>
        <w:t>has a physical, sensory, cognitive impairment or behavioural issue that supports the ADL claims</w:t>
      </w:r>
      <w:r>
        <w:rPr>
          <w:lang w:eastAsia="en-AU"/>
        </w:rPr>
        <w:t>.</w:t>
      </w:r>
    </w:p>
    <w:p w:rsidR="00557FD2" w:rsidRPr="00624040" w:rsidRDefault="00557FD2" w:rsidP="0017119E">
      <w:pPr>
        <w:spacing w:after="200"/>
        <w:rPr>
          <w:lang w:eastAsia="en-AU"/>
        </w:rPr>
      </w:pPr>
      <w:r w:rsidRPr="00624040">
        <w:rPr>
          <w:lang w:eastAsia="en-AU"/>
        </w:rPr>
        <w:t xml:space="preserve">These </w:t>
      </w:r>
      <w:r w:rsidR="00321EB9">
        <w:rPr>
          <w:lang w:eastAsia="en-AU"/>
        </w:rPr>
        <w:t xml:space="preserve">recommended </w:t>
      </w:r>
      <w:r>
        <w:rPr>
          <w:lang w:eastAsia="en-AU"/>
        </w:rPr>
        <w:t xml:space="preserve">changes </w:t>
      </w:r>
      <w:r w:rsidRPr="00624040">
        <w:rPr>
          <w:lang w:eastAsia="en-AU"/>
        </w:rPr>
        <w:t>would result in:</w:t>
      </w:r>
    </w:p>
    <w:p w:rsidR="00557FD2" w:rsidRPr="0067225D" w:rsidRDefault="00557FD2" w:rsidP="00F02312">
      <w:pPr>
        <w:pStyle w:val="ListParagraph"/>
        <w:numPr>
          <w:ilvl w:val="0"/>
          <w:numId w:val="113"/>
        </w:numPr>
        <w:spacing w:after="0"/>
        <w:rPr>
          <w:rFonts w:cs="Tahoma"/>
        </w:rPr>
      </w:pPr>
      <w:r w:rsidRPr="0067225D">
        <w:rPr>
          <w:rFonts w:cs="Tahoma"/>
        </w:rPr>
        <w:t>Improved obj</w:t>
      </w:r>
      <w:r w:rsidR="005044B8">
        <w:rPr>
          <w:rFonts w:cs="Tahoma"/>
        </w:rPr>
        <w:t>ectivity in the assessments</w:t>
      </w:r>
    </w:p>
    <w:p w:rsidR="00980F62" w:rsidRDefault="00557FD2" w:rsidP="00F02312">
      <w:pPr>
        <w:pStyle w:val="ListParagraph"/>
        <w:numPr>
          <w:ilvl w:val="0"/>
          <w:numId w:val="113"/>
        </w:numPr>
        <w:spacing w:after="0"/>
        <w:rPr>
          <w:rFonts w:cs="Tahoma"/>
        </w:rPr>
      </w:pPr>
      <w:r w:rsidRPr="0067225D">
        <w:rPr>
          <w:rFonts w:cs="Tahoma"/>
        </w:rPr>
        <w:t>Standardisation of the information requested</w:t>
      </w:r>
    </w:p>
    <w:p w:rsidR="00557FD2" w:rsidRPr="0067225D" w:rsidRDefault="00557FD2" w:rsidP="00F02312">
      <w:pPr>
        <w:pStyle w:val="ListParagraph"/>
        <w:numPr>
          <w:ilvl w:val="0"/>
          <w:numId w:val="113"/>
        </w:numPr>
        <w:spacing w:after="0"/>
        <w:rPr>
          <w:rFonts w:cs="Tahoma"/>
        </w:rPr>
      </w:pPr>
      <w:r w:rsidRPr="0067225D">
        <w:rPr>
          <w:rFonts w:cs="Tahoma"/>
        </w:rPr>
        <w:t>Further provision of evidence to support why the resident needs the assistance level claimed</w:t>
      </w:r>
    </w:p>
    <w:p w:rsidR="00557FD2" w:rsidRPr="0067225D" w:rsidRDefault="00557FD2" w:rsidP="00F02312">
      <w:pPr>
        <w:pStyle w:val="ListParagraph"/>
        <w:numPr>
          <w:ilvl w:val="0"/>
          <w:numId w:val="113"/>
        </w:numPr>
        <w:spacing w:after="0"/>
        <w:rPr>
          <w:rFonts w:cs="Tahoma"/>
        </w:rPr>
      </w:pPr>
      <w:r w:rsidRPr="0067225D">
        <w:rPr>
          <w:rFonts w:cs="Tahoma"/>
        </w:rPr>
        <w:t>A standardised method for checking the accuracy of claims</w:t>
      </w:r>
    </w:p>
    <w:p w:rsidR="00557FD2" w:rsidRDefault="00557FD2" w:rsidP="00F02312">
      <w:pPr>
        <w:pStyle w:val="ListParagraph"/>
        <w:numPr>
          <w:ilvl w:val="0"/>
          <w:numId w:val="113"/>
        </w:numPr>
        <w:spacing w:after="0"/>
        <w:rPr>
          <w:rFonts w:cs="Tahoma"/>
        </w:rPr>
      </w:pPr>
      <w:r w:rsidRPr="0067225D">
        <w:rPr>
          <w:rFonts w:cs="Tahoma"/>
        </w:rPr>
        <w:t>Improved desk review efficiencies</w:t>
      </w:r>
    </w:p>
    <w:p w:rsidR="005044B8" w:rsidRPr="00AC0DEC" w:rsidRDefault="005044B8" w:rsidP="00F02312">
      <w:pPr>
        <w:pStyle w:val="ListParagraph"/>
        <w:numPr>
          <w:ilvl w:val="0"/>
          <w:numId w:val="113"/>
        </w:numPr>
        <w:spacing w:after="0"/>
        <w:rPr>
          <w:rFonts w:cs="Tahoma"/>
        </w:rPr>
      </w:pPr>
      <w:r>
        <w:rPr>
          <w:rFonts w:cs="Tahoma"/>
        </w:rPr>
        <w:t>Fewer downgrades to provider ACFI claims</w:t>
      </w:r>
    </w:p>
    <w:p w:rsidR="00C51191" w:rsidRPr="00954183" w:rsidRDefault="00C51191" w:rsidP="008058D3">
      <w:pPr>
        <w:pStyle w:val="Heading3-Chapter43"/>
      </w:pPr>
      <w:bookmarkStart w:id="255" w:name="_Hlk488090567"/>
      <w:bookmarkStart w:id="256" w:name="_Hlk488082171"/>
      <w:r w:rsidRPr="00954183">
        <w:t>The ADL Rating Scales</w:t>
      </w:r>
    </w:p>
    <w:p w:rsidR="00C51191" w:rsidRDefault="00C51191" w:rsidP="00C51191">
      <w:r>
        <w:t>Currently, each ACFI ADL question (e.g. mobility) has checklist questions (e.g. tr</w:t>
      </w:r>
      <w:r w:rsidR="002C205F">
        <w:t xml:space="preserve">ansfers) which are rated on the </w:t>
      </w:r>
      <w:r w:rsidRPr="003A6B7F">
        <w:t>day</w:t>
      </w:r>
      <w:r>
        <w:t>-</w:t>
      </w:r>
      <w:r w:rsidRPr="003A6B7F">
        <w:t>to</w:t>
      </w:r>
      <w:r>
        <w:t>-</w:t>
      </w:r>
      <w:r w:rsidRPr="003A6B7F">
        <w:t>day assessed care needs</w:t>
      </w:r>
      <w:r>
        <w:t xml:space="preserve"> for the assistance level required, for example:</w:t>
      </w:r>
    </w:p>
    <w:p w:rsidR="00C51191" w:rsidRPr="003A6B7F" w:rsidRDefault="00C51191" w:rsidP="0073683D">
      <w:pPr>
        <w:spacing w:after="0"/>
        <w:ind w:left="720"/>
      </w:pPr>
      <w:r w:rsidRPr="003A6B7F">
        <w:t>0- Independent</w:t>
      </w:r>
    </w:p>
    <w:p w:rsidR="00C51191" w:rsidRPr="003A6B7F" w:rsidRDefault="00C51191" w:rsidP="0073683D">
      <w:pPr>
        <w:spacing w:after="0"/>
        <w:ind w:left="720"/>
      </w:pPr>
      <w:r w:rsidRPr="003A6B7F">
        <w:t>1- Supervision</w:t>
      </w:r>
    </w:p>
    <w:p w:rsidR="00C51191" w:rsidRPr="003A6B7F" w:rsidRDefault="00C51191" w:rsidP="0073683D">
      <w:pPr>
        <w:spacing w:after="0"/>
        <w:ind w:left="720"/>
      </w:pPr>
      <w:r w:rsidRPr="003A6B7F">
        <w:t>2- Physical Assistance</w:t>
      </w:r>
    </w:p>
    <w:p w:rsidR="00C51191" w:rsidRDefault="00C51191" w:rsidP="0073683D">
      <w:pPr>
        <w:ind w:left="720"/>
      </w:pPr>
      <w:r>
        <w:t>3- Lifting Machine (transfers</w:t>
      </w:r>
      <w:r w:rsidR="00C7651C">
        <w:t xml:space="preserve"> checklist</w:t>
      </w:r>
      <w:r>
        <w:t>)</w:t>
      </w:r>
    </w:p>
    <w:p w:rsidR="00C51191" w:rsidRPr="00923B87" w:rsidRDefault="00C51191" w:rsidP="005C78CD">
      <w:pPr>
        <w:spacing w:after="0"/>
        <w:rPr>
          <w:lang w:eastAsia="en-AU"/>
        </w:rPr>
      </w:pPr>
      <w:r>
        <w:t>There have been three issues with this approach.</w:t>
      </w:r>
      <w:r w:rsidR="007A576E">
        <w:t xml:space="preserve"> </w:t>
      </w:r>
      <w:r>
        <w:t>Firstly, it is unclear to many provider assessors and Department Review Officers (ROs) what constitutes ‘usual care needs’, secondly the difference between supervision and physical assistance is problematic in certain circumstances and thirdly the number of residents rated as requiring physical assistance is large because it covers residents needing lower to much higher levels of assistance</w:t>
      </w:r>
      <w:r w:rsidR="005C78CD">
        <w:t>,</w:t>
      </w:r>
      <w:r>
        <w:t xml:space="preserve"> which compromises the ACFI’s ability to operate as a relative resource discriminator.</w:t>
      </w:r>
      <w:r w:rsidR="007A576E">
        <w:t xml:space="preserve"> </w:t>
      </w:r>
      <w:r w:rsidRPr="00923B87">
        <w:rPr>
          <w:lang w:eastAsia="en-AU"/>
        </w:rPr>
        <w:t xml:space="preserve">To address the ADL rating scale issues, a review of the </w:t>
      </w:r>
      <w:r w:rsidR="005C78CD">
        <w:rPr>
          <w:lang w:eastAsia="en-AU"/>
        </w:rPr>
        <w:t xml:space="preserve">types of assistance </w:t>
      </w:r>
      <w:r w:rsidRPr="00923B87">
        <w:rPr>
          <w:lang w:eastAsia="en-AU"/>
        </w:rPr>
        <w:t>definitions and the rating scale was undertaken.</w:t>
      </w:r>
    </w:p>
    <w:p w:rsidR="00C51191" w:rsidRPr="00E224D5" w:rsidRDefault="00C51191" w:rsidP="001F2491">
      <w:pPr>
        <w:spacing w:before="120" w:after="0"/>
        <w:rPr>
          <w:rStyle w:val="Strong"/>
        </w:rPr>
      </w:pPr>
      <w:r w:rsidRPr="00E224D5">
        <w:rPr>
          <w:rStyle w:val="Strong"/>
        </w:rPr>
        <w:t>Verbal Assistance</w:t>
      </w:r>
    </w:p>
    <w:p w:rsidR="00980F62" w:rsidRDefault="00C51191" w:rsidP="00C51191">
      <w:pPr>
        <w:rPr>
          <w:lang w:eastAsia="en-AU"/>
        </w:rPr>
      </w:pPr>
      <w:r w:rsidRPr="00923B87">
        <w:rPr>
          <w:lang w:eastAsia="en-AU"/>
        </w:rPr>
        <w:t>Consultations showed that Department ROs had difficulty in identifying the reason verbal assistance was needed. While verbal prompting may be recorded as an assessment outcome, the reason for the assistance may remain unclear, as many assessment approaches do not inform on the rationale behind the outcome.</w:t>
      </w:r>
      <w:r w:rsidR="007A576E">
        <w:rPr>
          <w:lang w:eastAsia="en-AU"/>
        </w:rPr>
        <w:t xml:space="preserve"> </w:t>
      </w:r>
      <w:r w:rsidR="005C78CD">
        <w:rPr>
          <w:lang w:eastAsia="en-AU"/>
        </w:rPr>
        <w:t xml:space="preserve">It was also determined that </w:t>
      </w:r>
      <w:r w:rsidRPr="00923B87">
        <w:rPr>
          <w:lang w:eastAsia="en-AU"/>
        </w:rPr>
        <w:t xml:space="preserve">verbal assistance is common across </w:t>
      </w:r>
      <w:r w:rsidR="005C78CD">
        <w:rPr>
          <w:lang w:eastAsia="en-AU"/>
        </w:rPr>
        <w:t xml:space="preserve">all levels of ADL support and it is </w:t>
      </w:r>
      <w:r w:rsidRPr="00923B87">
        <w:rPr>
          <w:lang w:eastAsia="en-AU"/>
        </w:rPr>
        <w:t xml:space="preserve">not a discriminator of </w:t>
      </w:r>
      <w:r w:rsidR="005C78CD">
        <w:rPr>
          <w:lang w:eastAsia="en-AU"/>
        </w:rPr>
        <w:t>resource</w:t>
      </w:r>
      <w:r w:rsidRPr="00923B87">
        <w:rPr>
          <w:lang w:eastAsia="en-AU"/>
        </w:rPr>
        <w:t xml:space="preserve"> needs.</w:t>
      </w:r>
    </w:p>
    <w:p w:rsidR="00C51191" w:rsidRDefault="00C51191" w:rsidP="00532164">
      <w:pPr>
        <w:ind w:right="-52"/>
        <w:rPr>
          <w:lang w:eastAsia="en-AU"/>
        </w:rPr>
      </w:pPr>
      <w:r w:rsidRPr="002362D0">
        <w:rPr>
          <w:lang w:eastAsia="en-AU"/>
        </w:rPr>
        <w:t>A review of the ADL assessments (from the NSAF and interRAI approaches) supported that verbal assistance</w:t>
      </w:r>
      <w:r>
        <w:rPr>
          <w:lang w:eastAsia="en-AU"/>
        </w:rPr>
        <w:t>,</w:t>
      </w:r>
      <w:r w:rsidRPr="002362D0">
        <w:rPr>
          <w:lang w:eastAsia="en-AU"/>
        </w:rPr>
        <w:t xml:space="preserve"> such as cuing or directing, is placed at the lowest end of ADL scales. </w:t>
      </w:r>
      <w:bookmarkStart w:id="257" w:name="_Hlk489260206"/>
      <w:r w:rsidRPr="002362D0">
        <w:rPr>
          <w:lang w:eastAsia="en-AU"/>
        </w:rPr>
        <w:t>The need for constant physical assistance throughout an activity is most often used by ADL scales to determine care needs at the higher end of ADL scales</w:t>
      </w:r>
      <w:bookmarkStart w:id="258" w:name="_Hlk489260186"/>
      <w:r w:rsidRPr="002362D0">
        <w:rPr>
          <w:lang w:eastAsia="en-AU"/>
        </w:rPr>
        <w:t xml:space="preserve">. </w:t>
      </w:r>
      <w:bookmarkEnd w:id="257"/>
      <w:r w:rsidRPr="002362D0">
        <w:rPr>
          <w:lang w:eastAsia="en-AU"/>
        </w:rPr>
        <w:t xml:space="preserve">It is common in the most widely used ADL </w:t>
      </w:r>
      <w:r w:rsidR="000D6CDC">
        <w:rPr>
          <w:lang w:eastAsia="en-AU"/>
        </w:rPr>
        <w:t xml:space="preserve">resource utilisation </w:t>
      </w:r>
      <w:r w:rsidRPr="002362D0">
        <w:rPr>
          <w:lang w:eastAsia="en-AU"/>
        </w:rPr>
        <w:t xml:space="preserve">scales, such as the </w:t>
      </w:r>
      <w:r w:rsidR="000D6CDC">
        <w:rPr>
          <w:lang w:eastAsia="en-AU"/>
        </w:rPr>
        <w:t xml:space="preserve">interRAI </w:t>
      </w:r>
      <w:r>
        <w:rPr>
          <w:lang w:eastAsia="en-AU"/>
        </w:rPr>
        <w:t>RUGs</w:t>
      </w:r>
      <w:r w:rsidR="000D6CDC">
        <w:rPr>
          <w:lang w:eastAsia="en-AU"/>
        </w:rPr>
        <w:t xml:space="preserve"> and the AIHW </w:t>
      </w:r>
      <w:r w:rsidR="004633A2">
        <w:rPr>
          <w:lang w:eastAsia="en-AU"/>
        </w:rPr>
        <w:t xml:space="preserve">METEOR data standard </w:t>
      </w:r>
      <w:r w:rsidR="000D6CDC">
        <w:rPr>
          <w:lang w:eastAsia="en-AU"/>
        </w:rPr>
        <w:t>RUG-ADL</w:t>
      </w:r>
      <w:r w:rsidR="005E0513">
        <w:rPr>
          <w:lang w:eastAsia="en-AU"/>
        </w:rPr>
        <w:t xml:space="preserve"> </w:t>
      </w:r>
      <w:r w:rsidR="004633A2">
        <w:rPr>
          <w:lang w:eastAsia="en-AU"/>
        </w:rPr>
        <w:t>(</w:t>
      </w:r>
      <w:r w:rsidR="004633A2" w:rsidRPr="004633A2">
        <w:rPr>
          <w:lang w:eastAsia="en-AU"/>
        </w:rPr>
        <w:t>http://meteor.aihw.gov.au/content/index.phtml/itemId/477780</w:t>
      </w:r>
      <w:r w:rsidR="004633A2">
        <w:rPr>
          <w:lang w:eastAsia="en-AU"/>
        </w:rPr>
        <w:t>)</w:t>
      </w:r>
      <w:r>
        <w:rPr>
          <w:lang w:eastAsia="en-AU"/>
        </w:rPr>
        <w:t xml:space="preserve">, </w:t>
      </w:r>
      <w:bookmarkEnd w:id="258"/>
      <w:r>
        <w:rPr>
          <w:lang w:eastAsia="en-AU"/>
        </w:rPr>
        <w:t>in which</w:t>
      </w:r>
      <w:r w:rsidRPr="002362D0">
        <w:rPr>
          <w:lang w:eastAsia="en-AU"/>
        </w:rPr>
        <w:t xml:space="preserve"> the provision of regu</w:t>
      </w:r>
      <w:r w:rsidR="005C78CD">
        <w:rPr>
          <w:lang w:eastAsia="en-AU"/>
        </w:rPr>
        <w:t>lar physical assistance by one or two staff relates</w:t>
      </w:r>
      <w:r>
        <w:rPr>
          <w:lang w:eastAsia="en-AU"/>
        </w:rPr>
        <w:t xml:space="preserve"> to</w:t>
      </w:r>
      <w:r w:rsidRPr="002362D0">
        <w:rPr>
          <w:lang w:eastAsia="en-AU"/>
        </w:rPr>
        <w:t xml:space="preserve"> higher resource use for mainstream residential aged care environments.</w:t>
      </w:r>
    </w:p>
    <w:p w:rsidR="00C51191" w:rsidRPr="00923B87" w:rsidRDefault="00C51191" w:rsidP="00C51191">
      <w:pPr>
        <w:rPr>
          <w:lang w:eastAsia="en-AU"/>
        </w:rPr>
      </w:pPr>
      <w:r w:rsidRPr="00923B87">
        <w:rPr>
          <w:lang w:eastAsia="en-AU"/>
        </w:rPr>
        <w:t>Verbal assistance was therefore d</w:t>
      </w:r>
      <w:r w:rsidR="005C78CD">
        <w:rPr>
          <w:lang w:eastAsia="en-AU"/>
        </w:rPr>
        <w:t xml:space="preserve">ropped as a consideration for a </w:t>
      </w:r>
      <w:r w:rsidRPr="00923B87">
        <w:rPr>
          <w:lang w:eastAsia="en-AU"/>
        </w:rPr>
        <w:t xml:space="preserve">claim </w:t>
      </w:r>
      <w:r>
        <w:rPr>
          <w:lang w:eastAsia="en-AU"/>
        </w:rPr>
        <w:t xml:space="preserve">(above standard care) </w:t>
      </w:r>
      <w:r w:rsidRPr="00923B87">
        <w:rPr>
          <w:lang w:eastAsia="en-AU"/>
        </w:rPr>
        <w:t xml:space="preserve">in the </w:t>
      </w:r>
      <w:r w:rsidR="005C78CD">
        <w:rPr>
          <w:lang w:eastAsia="en-AU"/>
        </w:rPr>
        <w:t>R-</w:t>
      </w:r>
      <w:r w:rsidRPr="00923B87">
        <w:rPr>
          <w:lang w:eastAsia="en-AU"/>
        </w:rPr>
        <w:t>ADL domain.</w:t>
      </w:r>
    </w:p>
    <w:p w:rsidR="00C51191" w:rsidRPr="00E224D5" w:rsidRDefault="00C51191" w:rsidP="00730D08">
      <w:pPr>
        <w:spacing w:before="120" w:after="0"/>
        <w:rPr>
          <w:rStyle w:val="Strong"/>
        </w:rPr>
      </w:pPr>
      <w:r w:rsidRPr="00E224D5">
        <w:rPr>
          <w:rStyle w:val="Strong"/>
        </w:rPr>
        <w:t>The Concept of Standard Care</w:t>
      </w:r>
    </w:p>
    <w:p w:rsidR="00980F62" w:rsidRDefault="00C51191" w:rsidP="0089181B">
      <w:pPr>
        <w:rPr>
          <w:lang w:eastAsia="en-AU"/>
        </w:rPr>
      </w:pPr>
      <w:r>
        <w:rPr>
          <w:lang w:eastAsia="en-AU"/>
        </w:rPr>
        <w:t>Standard care</w:t>
      </w:r>
      <w:r w:rsidRPr="002362D0">
        <w:rPr>
          <w:lang w:eastAsia="en-AU"/>
        </w:rPr>
        <w:t xml:space="preserve"> is considered a minimum level of assistance such as </w:t>
      </w:r>
      <w:r>
        <w:rPr>
          <w:lang w:eastAsia="en-AU"/>
        </w:rPr>
        <w:t xml:space="preserve">verbal assistance, </w:t>
      </w:r>
      <w:r w:rsidRPr="002362D0">
        <w:rPr>
          <w:lang w:eastAsia="en-AU"/>
        </w:rPr>
        <w:t xml:space="preserve">setting up activities and episodic assistance. </w:t>
      </w:r>
      <w:r>
        <w:rPr>
          <w:lang w:eastAsia="en-AU"/>
        </w:rPr>
        <w:t>Standard</w:t>
      </w:r>
      <w:r w:rsidRPr="002362D0">
        <w:rPr>
          <w:lang w:eastAsia="en-AU"/>
        </w:rPr>
        <w:t xml:space="preserve"> care is given to all residents from time to time and it does not differentiate between </w:t>
      </w:r>
      <w:r>
        <w:rPr>
          <w:lang w:eastAsia="en-AU"/>
        </w:rPr>
        <w:t>individual resident assessed care needs</w:t>
      </w:r>
      <w:r w:rsidRPr="002362D0">
        <w:rPr>
          <w:lang w:eastAsia="en-AU"/>
        </w:rPr>
        <w:t>.</w:t>
      </w:r>
      <w:r w:rsidR="005C78CD">
        <w:rPr>
          <w:lang w:eastAsia="en-AU"/>
        </w:rPr>
        <w:t xml:space="preserve"> To adjust for this change, all residents, irrespective of their rating in the domain, will qualify for the lowest level of the R-ACFI ADL domain funding.</w:t>
      </w:r>
    </w:p>
    <w:p w:rsidR="00980F62" w:rsidRDefault="00C51191" w:rsidP="00C51191">
      <w:pPr>
        <w:rPr>
          <w:lang w:eastAsia="en-AU"/>
        </w:rPr>
      </w:pPr>
      <w:r>
        <w:rPr>
          <w:lang w:eastAsia="en-AU"/>
        </w:rPr>
        <w:t xml:space="preserve">A definition of the </w:t>
      </w:r>
      <w:r w:rsidRPr="002362D0">
        <w:rPr>
          <w:lang w:eastAsia="en-AU"/>
        </w:rPr>
        <w:t xml:space="preserve">concept </w:t>
      </w:r>
      <w:r>
        <w:rPr>
          <w:lang w:eastAsia="en-AU"/>
        </w:rPr>
        <w:t xml:space="preserve">of standard care is included in </w:t>
      </w:r>
      <w:r w:rsidRPr="002362D0">
        <w:rPr>
          <w:lang w:eastAsia="en-AU"/>
        </w:rPr>
        <w:t xml:space="preserve">the new </w:t>
      </w:r>
      <w:r>
        <w:rPr>
          <w:lang w:eastAsia="en-AU"/>
        </w:rPr>
        <w:t>R-</w:t>
      </w:r>
      <w:r w:rsidRPr="002362D0">
        <w:rPr>
          <w:lang w:eastAsia="en-AU"/>
        </w:rPr>
        <w:t>ADL questions.</w:t>
      </w:r>
    </w:p>
    <w:p w:rsidR="00C51191" w:rsidRPr="004D324E" w:rsidRDefault="00C51191" w:rsidP="00730D08">
      <w:pPr>
        <w:spacing w:before="120" w:after="0"/>
        <w:rPr>
          <w:rStyle w:val="Strong"/>
        </w:rPr>
      </w:pPr>
      <w:r w:rsidRPr="004D324E">
        <w:rPr>
          <w:rStyle w:val="Strong"/>
        </w:rPr>
        <w:t>Usual Care Needs</w:t>
      </w:r>
    </w:p>
    <w:p w:rsidR="00C51191" w:rsidRPr="00C67607" w:rsidRDefault="00C51191" w:rsidP="00C51191">
      <w:pPr>
        <w:rPr>
          <w:lang w:eastAsia="en-AU"/>
        </w:rPr>
      </w:pPr>
      <w:r w:rsidRPr="00C67607">
        <w:rPr>
          <w:lang w:eastAsia="en-AU"/>
        </w:rPr>
        <w:t xml:space="preserve">The lack of a clear definition of what constitutes usual care needs has led to varying interpretations with providers tending to rate residents at a higher level than might be the case if the intent of the question was applied. </w:t>
      </w:r>
      <w:r w:rsidR="005C78CD">
        <w:rPr>
          <w:lang w:eastAsia="en-AU"/>
        </w:rPr>
        <w:t xml:space="preserve">This lack of clarity has often led to provider claims being downgraded on review. </w:t>
      </w:r>
      <w:r w:rsidRPr="00C67607">
        <w:rPr>
          <w:lang w:eastAsia="en-AU"/>
        </w:rPr>
        <w:t>Feedback from the consultations highlighted that usual may mean:</w:t>
      </w:r>
    </w:p>
    <w:p w:rsidR="00C51191" w:rsidRPr="00C67607" w:rsidRDefault="00C51191" w:rsidP="00F02312">
      <w:pPr>
        <w:pStyle w:val="ListParagraph"/>
        <w:numPr>
          <w:ilvl w:val="0"/>
          <w:numId w:val="104"/>
        </w:numPr>
        <w:rPr>
          <w:lang w:eastAsia="en-AU"/>
        </w:rPr>
      </w:pPr>
      <w:r w:rsidRPr="00C67607">
        <w:rPr>
          <w:lang w:eastAsia="en-AU"/>
        </w:rPr>
        <w:t>Usually every morning</w:t>
      </w:r>
    </w:p>
    <w:p w:rsidR="00C51191" w:rsidRPr="00C67607" w:rsidRDefault="00C51191" w:rsidP="00F02312">
      <w:pPr>
        <w:pStyle w:val="ListParagraph"/>
        <w:numPr>
          <w:ilvl w:val="0"/>
          <w:numId w:val="104"/>
        </w:numPr>
        <w:rPr>
          <w:lang w:eastAsia="en-AU"/>
        </w:rPr>
      </w:pPr>
      <w:r>
        <w:rPr>
          <w:lang w:eastAsia="en-AU"/>
        </w:rPr>
        <w:t>Often</w:t>
      </w:r>
      <w:r w:rsidRPr="00C67607">
        <w:rPr>
          <w:lang w:eastAsia="en-AU"/>
        </w:rPr>
        <w:t xml:space="preserve"> </w:t>
      </w:r>
      <w:r>
        <w:rPr>
          <w:lang w:eastAsia="en-AU"/>
        </w:rPr>
        <w:t>need help</w:t>
      </w:r>
    </w:p>
    <w:p w:rsidR="00C51191" w:rsidRPr="00C67607" w:rsidRDefault="00C51191" w:rsidP="00F02312">
      <w:pPr>
        <w:pStyle w:val="ListParagraph"/>
        <w:numPr>
          <w:ilvl w:val="0"/>
          <w:numId w:val="104"/>
        </w:numPr>
        <w:rPr>
          <w:lang w:eastAsia="en-AU"/>
        </w:rPr>
      </w:pPr>
      <w:r>
        <w:rPr>
          <w:lang w:eastAsia="en-AU"/>
        </w:rPr>
        <w:t>Usually once a day but at the same time</w:t>
      </w:r>
    </w:p>
    <w:p w:rsidR="00C51191" w:rsidRPr="00C67607" w:rsidRDefault="00C51191" w:rsidP="00F02312">
      <w:pPr>
        <w:pStyle w:val="ListParagraph"/>
        <w:numPr>
          <w:ilvl w:val="0"/>
          <w:numId w:val="104"/>
        </w:numPr>
        <w:rPr>
          <w:lang w:eastAsia="en-AU"/>
        </w:rPr>
      </w:pPr>
      <w:r>
        <w:rPr>
          <w:lang w:eastAsia="en-AU"/>
        </w:rPr>
        <w:t>Most days</w:t>
      </w:r>
    </w:p>
    <w:p w:rsidR="00C51191" w:rsidRPr="00C67607" w:rsidRDefault="00C51191" w:rsidP="0073683D">
      <w:r w:rsidRPr="00C67607">
        <w:t>To address this issue the R-ACFI has applied a clearer definition for a claim</w:t>
      </w:r>
      <w:r w:rsidR="00891B6E">
        <w:t xml:space="preserve"> which is now ‘daily care needs’</w:t>
      </w:r>
      <w:r w:rsidRPr="00C67607">
        <w:t>.</w:t>
      </w:r>
      <w:r w:rsidR="007A576E">
        <w:t xml:space="preserve"> </w:t>
      </w:r>
      <w:r w:rsidRPr="00C67607">
        <w:t>The staff support activity must be always required,</w:t>
      </w:r>
      <w:r w:rsidRPr="00C67607">
        <w:rPr>
          <w:rFonts w:ascii="Calibri" w:hAnsi="Calibri" w:cs="Calibri"/>
          <w:sz w:val="22"/>
        </w:rPr>
        <w:t xml:space="preserve"> </w:t>
      </w:r>
      <w:r w:rsidRPr="0075405D">
        <w:rPr>
          <w:rFonts w:ascii="Calibri" w:hAnsi="Calibri" w:cs="Calibri"/>
        </w:rPr>
        <w:t>whenever the activity is needed.</w:t>
      </w:r>
    </w:p>
    <w:p w:rsidR="00C51191" w:rsidRPr="004D324E" w:rsidRDefault="00C51191" w:rsidP="00730D08">
      <w:pPr>
        <w:spacing w:before="120" w:after="0"/>
        <w:rPr>
          <w:rStyle w:val="Strong"/>
        </w:rPr>
      </w:pPr>
      <w:r w:rsidRPr="004D324E">
        <w:rPr>
          <w:rStyle w:val="Strong"/>
        </w:rPr>
        <w:t>What constitutes Physical Assistance?</w:t>
      </w:r>
    </w:p>
    <w:p w:rsidR="00980F62" w:rsidRDefault="00C51191" w:rsidP="00C51191">
      <w:pPr>
        <w:rPr>
          <w:lang w:eastAsia="en-AU"/>
        </w:rPr>
      </w:pPr>
      <w:r w:rsidRPr="00C67607">
        <w:rPr>
          <w:lang w:eastAsia="en-AU"/>
        </w:rPr>
        <w:t>Feedback from th</w:t>
      </w:r>
      <w:r w:rsidR="001B4400">
        <w:rPr>
          <w:lang w:eastAsia="en-AU"/>
        </w:rPr>
        <w:t xml:space="preserve">e consultations with </w:t>
      </w:r>
      <w:r w:rsidRPr="00C67607">
        <w:rPr>
          <w:lang w:eastAsia="en-AU"/>
        </w:rPr>
        <w:t>provider</w:t>
      </w:r>
      <w:r w:rsidR="001B4400">
        <w:rPr>
          <w:lang w:eastAsia="en-AU"/>
        </w:rPr>
        <w:t xml:space="preserve">s </w:t>
      </w:r>
      <w:r w:rsidRPr="00C67607">
        <w:rPr>
          <w:lang w:eastAsia="en-AU"/>
        </w:rPr>
        <w:t>and Department ROs showed there is uncertainty on the difference between the supervision and physical assistance levels. As an example, when the Physiotherapist states ‘physically assist the resident by applying a gentle guiding hand’, there are different interpretations of whether this should be rated as the resident needing physical assistance or perhaps only supervision as the support is of a low intensity.</w:t>
      </w:r>
    </w:p>
    <w:p w:rsidR="00C51191" w:rsidRDefault="00C51191" w:rsidP="0073683D">
      <w:r w:rsidRPr="00C67607">
        <w:rPr>
          <w:lang w:eastAsia="en-AU"/>
        </w:rPr>
        <w:t>Further</w:t>
      </w:r>
      <w:r w:rsidR="00DD65D6">
        <w:rPr>
          <w:lang w:eastAsia="en-AU"/>
        </w:rPr>
        <w:t xml:space="preserve">, </w:t>
      </w:r>
      <w:r w:rsidRPr="00C67607">
        <w:rPr>
          <w:lang w:eastAsia="en-AU"/>
        </w:rPr>
        <w:t xml:space="preserve">the </w:t>
      </w:r>
      <w:r w:rsidRPr="00C67607">
        <w:t>ADL rating scales do not clearly identify the difference between residents needing minor or moderate levels of physical assistance</w:t>
      </w:r>
      <w:r w:rsidR="00DD65D6">
        <w:t>,</w:t>
      </w:r>
      <w:r w:rsidRPr="00C67607">
        <w:t xml:space="preserve"> from those requiring more </w:t>
      </w:r>
      <w:r>
        <w:t>intensive levels of physical assistance.</w:t>
      </w:r>
      <w:r w:rsidR="007A576E">
        <w:t xml:space="preserve"> </w:t>
      </w:r>
      <w:r>
        <w:t xml:space="preserve">This is a problem as there are a high number of residents being </w:t>
      </w:r>
      <w:r>
        <w:lastRenderedPageBreak/>
        <w:t>rated as requiring physical assistance when in fact their care needs can be significantly different.</w:t>
      </w:r>
      <w:r w:rsidR="007A576E">
        <w:t xml:space="preserve"> </w:t>
      </w:r>
      <w:r>
        <w:t xml:space="preserve">The problem is that residents receiving minor levels of physical help (e.g. a resident being ‘guided’ by a staff member while walking) can be rated the same as a person needing assistance by two staff </w:t>
      </w:r>
      <w:r w:rsidR="004302F5">
        <w:t xml:space="preserve">or more with their ADL </w:t>
      </w:r>
      <w:r>
        <w:t>support needs.</w:t>
      </w:r>
    </w:p>
    <w:p w:rsidR="00C51191" w:rsidRDefault="00C51191" w:rsidP="0073683D">
      <w:r>
        <w:t>The R-ACFI</w:t>
      </w:r>
      <w:r w:rsidR="006E0DB6">
        <w:t xml:space="preserve"> clarifies these issues </w:t>
      </w:r>
      <w:r w:rsidR="00DD65D6">
        <w:t>by removing the ‘supervision’ descriptor.</w:t>
      </w:r>
      <w:r w:rsidR="007A576E">
        <w:t xml:space="preserve"> </w:t>
      </w:r>
      <w:r w:rsidR="00DD65D6">
        <w:t xml:space="preserve">The R-ACFI </w:t>
      </w:r>
      <w:r>
        <w:t>describes two different levels of physical assistance</w:t>
      </w:r>
      <w:r w:rsidR="006E0DB6">
        <w:t xml:space="preserve"> </w:t>
      </w:r>
      <w:r>
        <w:t xml:space="preserve">- moderate and full assistance. Applying a gently guiding hand by one staff is Moderate Assistance. Two staff providing physical assistance with locomotion </w:t>
      </w:r>
      <w:r w:rsidRPr="0075405D">
        <w:rPr>
          <w:rFonts w:ascii="Calibri" w:hAnsi="Calibri" w:cs="Calibri"/>
        </w:rPr>
        <w:t>throughout the entire activity, whenever the activity is needed, is Full Assistance.</w:t>
      </w:r>
    </w:p>
    <w:p w:rsidR="00C51191" w:rsidRDefault="00C51191" w:rsidP="0073683D">
      <w:pPr>
        <w:rPr>
          <w:rFonts w:ascii="Calibri" w:hAnsi="Calibri" w:cs="Calibri"/>
        </w:rPr>
      </w:pPr>
      <w:r>
        <w:t xml:space="preserve">The R-ACFI definition for Full Assistance is now </w:t>
      </w:r>
      <w:r w:rsidRPr="0075405D">
        <w:rPr>
          <w:sz w:val="28"/>
        </w:rPr>
        <w:t>“</w:t>
      </w:r>
      <w:r w:rsidRPr="0075405D">
        <w:rPr>
          <w:rFonts w:ascii="Calibri" w:hAnsi="Calibri" w:cs="Calibri"/>
        </w:rPr>
        <w:t>Always providing physical assistance, by at least two staff, throughout the entire activity, whenever the activity is needed.”</w:t>
      </w:r>
    </w:p>
    <w:p w:rsidR="00980F62" w:rsidRDefault="00C51191" w:rsidP="008058D3">
      <w:pPr>
        <w:pStyle w:val="Heading4-Chapter432"/>
      </w:pPr>
      <w:bookmarkStart w:id="259" w:name="_Toc482012901"/>
      <w:r>
        <w:t xml:space="preserve">Recommended </w:t>
      </w:r>
      <w:r w:rsidRPr="00217DA1">
        <w:t>R-ACFI ADL Functional Rating Scale</w:t>
      </w:r>
      <w:bookmarkEnd w:id="259"/>
    </w:p>
    <w:p w:rsidR="000B73FE" w:rsidRPr="000B73FE" w:rsidRDefault="00C51191" w:rsidP="000B73FE">
      <w:pPr>
        <w:spacing w:after="0"/>
        <w:rPr>
          <w:rStyle w:val="Strong"/>
        </w:rPr>
      </w:pPr>
      <w:r w:rsidRPr="000B73FE">
        <w:rPr>
          <w:rStyle w:val="Strong"/>
        </w:rPr>
        <w:t>Recommendation</w:t>
      </w:r>
    </w:p>
    <w:p w:rsidR="00C51191" w:rsidRPr="002362D0" w:rsidRDefault="00C51191" w:rsidP="00C51191">
      <w:pPr>
        <w:rPr>
          <w:lang w:eastAsia="en-AU"/>
        </w:rPr>
      </w:pPr>
      <w:r>
        <w:rPr>
          <w:lang w:eastAsia="en-AU"/>
        </w:rPr>
        <w:t>T</w:t>
      </w:r>
      <w:r w:rsidRPr="002362D0">
        <w:rPr>
          <w:lang w:eastAsia="en-AU"/>
        </w:rPr>
        <w:t xml:space="preserve">hat the rating scale approach across the ADL </w:t>
      </w:r>
      <w:r w:rsidR="006E0DB6">
        <w:rPr>
          <w:lang w:eastAsia="en-AU"/>
        </w:rPr>
        <w:t>R-</w:t>
      </w:r>
      <w:r w:rsidRPr="002362D0">
        <w:rPr>
          <w:lang w:eastAsia="en-AU"/>
        </w:rPr>
        <w:t xml:space="preserve">ACFI </w:t>
      </w:r>
      <w:r w:rsidR="006E0DB6">
        <w:rPr>
          <w:lang w:eastAsia="en-AU"/>
        </w:rPr>
        <w:t>questions be as follows</w:t>
      </w:r>
      <w:r w:rsidRPr="002362D0">
        <w:rPr>
          <w:lang w:eastAsia="en-AU"/>
        </w:rPr>
        <w:t>:</w:t>
      </w:r>
    </w:p>
    <w:p w:rsidR="00C51191" w:rsidRPr="004D324E" w:rsidRDefault="00C51191" w:rsidP="001F2491">
      <w:pPr>
        <w:spacing w:before="120" w:after="0"/>
        <w:rPr>
          <w:rStyle w:val="Strong"/>
        </w:rPr>
      </w:pPr>
      <w:r w:rsidRPr="004D324E">
        <w:rPr>
          <w:rStyle w:val="Strong"/>
        </w:rPr>
        <w:t>Standard Care</w:t>
      </w:r>
    </w:p>
    <w:p w:rsidR="00C51191" w:rsidRDefault="00C51191" w:rsidP="00F02312">
      <w:pPr>
        <w:pStyle w:val="ListParagraph"/>
        <w:numPr>
          <w:ilvl w:val="0"/>
          <w:numId w:val="103"/>
        </w:numPr>
        <w:rPr>
          <w:rFonts w:cstheme="minorHAnsi"/>
          <w:szCs w:val="24"/>
        </w:rPr>
      </w:pPr>
      <w:r w:rsidRPr="007E3A6E">
        <w:rPr>
          <w:rFonts w:cstheme="minorHAnsi"/>
          <w:szCs w:val="24"/>
        </w:rPr>
        <w:t>Independent (with or without aids)</w:t>
      </w:r>
      <w:r w:rsidR="001235F6">
        <w:rPr>
          <w:rFonts w:cstheme="minorHAnsi"/>
          <w:szCs w:val="24"/>
        </w:rPr>
        <w:t xml:space="preserve"> OR</w:t>
      </w:r>
    </w:p>
    <w:p w:rsidR="00C51191" w:rsidRDefault="00C51191" w:rsidP="00F02312">
      <w:pPr>
        <w:pStyle w:val="ListParagraph"/>
        <w:numPr>
          <w:ilvl w:val="0"/>
          <w:numId w:val="103"/>
        </w:numPr>
        <w:rPr>
          <w:rFonts w:cstheme="minorHAnsi"/>
          <w:szCs w:val="24"/>
        </w:rPr>
      </w:pPr>
      <w:r w:rsidRPr="007E3A6E">
        <w:rPr>
          <w:rFonts w:cstheme="minorHAnsi"/>
          <w:szCs w:val="24"/>
        </w:rPr>
        <w:t>Standing by for occasional or episodic assistance</w:t>
      </w:r>
      <w:r w:rsidR="001235F6">
        <w:rPr>
          <w:rFonts w:cstheme="minorHAnsi"/>
          <w:szCs w:val="24"/>
        </w:rPr>
        <w:t xml:space="preserve"> OR</w:t>
      </w:r>
    </w:p>
    <w:p w:rsidR="00C51191" w:rsidRDefault="00C51191" w:rsidP="00F02312">
      <w:pPr>
        <w:pStyle w:val="ListParagraph"/>
        <w:numPr>
          <w:ilvl w:val="0"/>
          <w:numId w:val="103"/>
        </w:numPr>
        <w:rPr>
          <w:rFonts w:cstheme="minorHAnsi"/>
          <w:szCs w:val="24"/>
        </w:rPr>
      </w:pPr>
      <w:r w:rsidRPr="007E3A6E">
        <w:rPr>
          <w:rFonts w:cstheme="minorHAnsi"/>
          <w:szCs w:val="24"/>
        </w:rPr>
        <w:t xml:space="preserve">Setting up activities </w:t>
      </w:r>
      <w:r w:rsidR="001235F6">
        <w:rPr>
          <w:rFonts w:cstheme="minorHAnsi"/>
          <w:szCs w:val="24"/>
        </w:rPr>
        <w:t>OR</w:t>
      </w:r>
    </w:p>
    <w:p w:rsidR="00C51191" w:rsidRPr="007E3A6E" w:rsidRDefault="00C51191" w:rsidP="00F02312">
      <w:pPr>
        <w:pStyle w:val="ListParagraph"/>
        <w:numPr>
          <w:ilvl w:val="0"/>
          <w:numId w:val="103"/>
        </w:numPr>
        <w:rPr>
          <w:rFonts w:cstheme="minorHAnsi"/>
          <w:szCs w:val="24"/>
        </w:rPr>
      </w:pPr>
      <w:r w:rsidRPr="007E3A6E">
        <w:rPr>
          <w:rFonts w:cstheme="minorHAnsi"/>
          <w:szCs w:val="24"/>
        </w:rPr>
        <w:t>Verbal assistance, prompting, cuing.</w:t>
      </w:r>
    </w:p>
    <w:p w:rsidR="000B73FE" w:rsidRDefault="00C51191" w:rsidP="001F2491">
      <w:pPr>
        <w:spacing w:before="120" w:after="0"/>
        <w:rPr>
          <w:rStyle w:val="Strong"/>
        </w:rPr>
      </w:pPr>
      <w:r w:rsidRPr="004D324E">
        <w:rPr>
          <w:rStyle w:val="Strong"/>
        </w:rPr>
        <w:t>Moderate Assistance</w:t>
      </w:r>
    </w:p>
    <w:p w:rsidR="00C51191" w:rsidRPr="005E481A" w:rsidRDefault="00C51191" w:rsidP="00C51191">
      <w:pPr>
        <w:rPr>
          <w:szCs w:val="24"/>
          <w:lang w:eastAsia="en-AU"/>
        </w:rPr>
      </w:pPr>
      <w:r w:rsidRPr="0075405D">
        <w:rPr>
          <w:rFonts w:ascii="Calibri" w:hAnsi="Calibri" w:cs="Calibri"/>
          <w:szCs w:val="24"/>
        </w:rPr>
        <w:t>Always providing physical assistance, on a one-to-one basis, for at least part of the activity, whenever the activity is needed.</w:t>
      </w:r>
    </w:p>
    <w:p w:rsidR="000B73FE" w:rsidRDefault="00C51191" w:rsidP="001F2491">
      <w:pPr>
        <w:spacing w:before="120" w:after="0"/>
        <w:rPr>
          <w:rStyle w:val="Strong"/>
        </w:rPr>
      </w:pPr>
      <w:r w:rsidRPr="004D324E">
        <w:rPr>
          <w:rStyle w:val="Strong"/>
        </w:rPr>
        <w:t>Full Assistance</w:t>
      </w:r>
    </w:p>
    <w:p w:rsidR="00C51191" w:rsidRPr="005E481A" w:rsidRDefault="00C51191" w:rsidP="0073683D">
      <w:pPr>
        <w:rPr>
          <w:szCs w:val="24"/>
          <w:lang w:eastAsia="en-AU"/>
        </w:rPr>
      </w:pPr>
      <w:r w:rsidRPr="0075405D">
        <w:rPr>
          <w:rFonts w:ascii="Calibri" w:hAnsi="Calibri" w:cs="Calibri"/>
          <w:szCs w:val="24"/>
        </w:rPr>
        <w:t>Always providing physical assistance, by at least two staff, throughout the entire activity, whenever the activity is needed.</w:t>
      </w:r>
    </w:p>
    <w:p w:rsidR="000B73FE" w:rsidRPr="000B73FE" w:rsidRDefault="00C51191" w:rsidP="001F2491">
      <w:pPr>
        <w:spacing w:before="120" w:after="0"/>
        <w:rPr>
          <w:rStyle w:val="Strong"/>
        </w:rPr>
      </w:pPr>
      <w:r w:rsidRPr="000B73FE">
        <w:rPr>
          <w:rStyle w:val="Strong"/>
        </w:rPr>
        <w:t>Mechanical lifting</w:t>
      </w:r>
    </w:p>
    <w:p w:rsidR="00980F62" w:rsidRDefault="00861DF2" w:rsidP="00C51191">
      <w:pPr>
        <w:pStyle w:val="numberedtableheader2"/>
        <w:spacing w:after="0" w:line="276" w:lineRule="auto"/>
        <w:ind w:left="0" w:firstLine="0"/>
        <w:rPr>
          <w:rFonts w:ascii="Calibri" w:hAnsi="Calibri" w:cs="Calibri"/>
          <w:b w:val="0"/>
          <w:sz w:val="24"/>
          <w:szCs w:val="24"/>
        </w:rPr>
      </w:pPr>
      <w:r w:rsidRPr="00861DF2">
        <w:rPr>
          <w:rFonts w:ascii="Calibri" w:hAnsi="Calibri" w:cs="Calibri"/>
          <w:b w:val="0"/>
          <w:sz w:val="24"/>
          <w:szCs w:val="24"/>
        </w:rPr>
        <w:t>Always providing physical assistance by the use of mechanical lifting equipment, throughout the entire transfer activity, whenever the activity is needed.</w:t>
      </w:r>
    </w:p>
    <w:p w:rsidR="00C51191" w:rsidRDefault="00C51191" w:rsidP="0073683D">
      <w:pPr>
        <w:rPr>
          <w:lang w:eastAsia="en-AU"/>
        </w:rPr>
      </w:pPr>
      <w:r w:rsidRPr="002362D0">
        <w:rPr>
          <w:lang w:eastAsia="en-AU"/>
        </w:rPr>
        <w:t xml:space="preserve">This standardised </w:t>
      </w:r>
      <w:r w:rsidRPr="004D324E">
        <w:rPr>
          <w:rStyle w:val="Strong"/>
        </w:rPr>
        <w:t>approach</w:t>
      </w:r>
      <w:r>
        <w:rPr>
          <w:lang w:eastAsia="en-AU"/>
        </w:rPr>
        <w:t xml:space="preserve"> is common with most international ADL scales used in aged care</w:t>
      </w:r>
      <w:r w:rsidR="00DD65D6">
        <w:rPr>
          <w:lang w:eastAsia="en-AU"/>
        </w:rPr>
        <w:t>.</w:t>
      </w:r>
      <w:r w:rsidR="007A576E">
        <w:rPr>
          <w:lang w:eastAsia="en-AU"/>
        </w:rPr>
        <w:t xml:space="preserve"> </w:t>
      </w:r>
      <w:r w:rsidR="00DD65D6">
        <w:rPr>
          <w:lang w:eastAsia="en-AU"/>
        </w:rPr>
        <w:t>The</w:t>
      </w:r>
      <w:r w:rsidR="006E0DB6">
        <w:rPr>
          <w:lang w:eastAsia="en-AU"/>
        </w:rPr>
        <w:t xml:space="preserve"> approach</w:t>
      </w:r>
      <w:r w:rsidRPr="002362D0">
        <w:rPr>
          <w:lang w:eastAsia="en-AU"/>
        </w:rPr>
        <w:t>:</w:t>
      </w:r>
    </w:p>
    <w:p w:rsidR="00C51191" w:rsidRPr="00D97ECD" w:rsidRDefault="00C51191" w:rsidP="00F02312">
      <w:pPr>
        <w:pStyle w:val="ListParagraph"/>
        <w:numPr>
          <w:ilvl w:val="0"/>
          <w:numId w:val="102"/>
        </w:numPr>
        <w:ind w:left="357" w:hanging="357"/>
        <w:rPr>
          <w:rFonts w:cs="Tahoma"/>
        </w:rPr>
      </w:pPr>
      <w:r>
        <w:rPr>
          <w:rFonts w:cs="Tahoma"/>
        </w:rPr>
        <w:t xml:space="preserve">Defines the standard level of </w:t>
      </w:r>
      <w:r w:rsidRPr="00D97ECD">
        <w:rPr>
          <w:rFonts w:cs="Tahoma"/>
        </w:rPr>
        <w:t>care, including active but less intense care which is expected for all residents in residential aged care, from what is needed for a specific resident based on their assessed care need.</w:t>
      </w:r>
    </w:p>
    <w:p w:rsidR="00C51191" w:rsidRPr="000C593C" w:rsidRDefault="00C51191" w:rsidP="00F02312">
      <w:pPr>
        <w:pStyle w:val="ListParagraph"/>
        <w:numPr>
          <w:ilvl w:val="0"/>
          <w:numId w:val="102"/>
        </w:numPr>
        <w:ind w:left="357" w:hanging="357"/>
        <w:rPr>
          <w:rFonts w:cs="Tahoma"/>
        </w:rPr>
      </w:pPr>
      <w:r>
        <w:rPr>
          <w:rFonts w:cs="Tahoma"/>
        </w:rPr>
        <w:t xml:space="preserve">Clarifies the </w:t>
      </w:r>
      <w:r w:rsidRPr="00D97ECD">
        <w:rPr>
          <w:rFonts w:cs="Tahoma"/>
        </w:rPr>
        <w:t xml:space="preserve">meaning of </w:t>
      </w:r>
      <w:r w:rsidRPr="006E7D61">
        <w:rPr>
          <w:rFonts w:cs="Tahoma"/>
        </w:rPr>
        <w:t>Moderate</w:t>
      </w:r>
      <w:r>
        <w:rPr>
          <w:rFonts w:cs="Tahoma"/>
        </w:rPr>
        <w:t xml:space="preserve"> Assistance</w:t>
      </w:r>
      <w:r w:rsidRPr="00D97ECD">
        <w:rPr>
          <w:rFonts w:cs="Tahoma"/>
        </w:rPr>
        <w:t xml:space="preserve"> </w:t>
      </w:r>
      <w:r>
        <w:rPr>
          <w:rFonts w:cs="Tahoma"/>
        </w:rPr>
        <w:t>which involves at least some physical assistance, every time an activity is needed, on a one to one basis, for at least part of the activity.</w:t>
      </w:r>
    </w:p>
    <w:p w:rsidR="00C51191" w:rsidRPr="00D97ECD" w:rsidRDefault="00C51191" w:rsidP="00F02312">
      <w:pPr>
        <w:pStyle w:val="ListParagraph"/>
        <w:numPr>
          <w:ilvl w:val="0"/>
          <w:numId w:val="102"/>
        </w:numPr>
        <w:ind w:left="357" w:hanging="357"/>
        <w:rPr>
          <w:rFonts w:cs="Tahoma"/>
        </w:rPr>
      </w:pPr>
      <w:r>
        <w:rPr>
          <w:rFonts w:cs="Tahoma"/>
        </w:rPr>
        <w:t xml:space="preserve">Determines that Full Assistance only applies </w:t>
      </w:r>
      <w:r w:rsidRPr="00D97ECD">
        <w:rPr>
          <w:rFonts w:cs="Tahoma"/>
        </w:rPr>
        <w:t xml:space="preserve">to </w:t>
      </w:r>
      <w:r>
        <w:rPr>
          <w:rFonts w:cs="Tahoma"/>
        </w:rPr>
        <w:t xml:space="preserve">those residents needing </w:t>
      </w:r>
      <w:r w:rsidRPr="00D97ECD">
        <w:rPr>
          <w:rFonts w:cs="Tahoma"/>
        </w:rPr>
        <w:t>physical assistance</w:t>
      </w:r>
      <w:r>
        <w:rPr>
          <w:rFonts w:cs="Tahoma"/>
        </w:rPr>
        <w:t xml:space="preserve"> from at least two staff</w:t>
      </w:r>
      <w:r w:rsidRPr="00D97ECD">
        <w:rPr>
          <w:rFonts w:cs="Tahoma"/>
        </w:rPr>
        <w:t xml:space="preserve">, </w:t>
      </w:r>
      <w:r>
        <w:rPr>
          <w:rFonts w:cs="Tahoma"/>
        </w:rPr>
        <w:t xml:space="preserve">every time an activity is needed, </w:t>
      </w:r>
      <w:r w:rsidRPr="00D97ECD">
        <w:rPr>
          <w:rFonts w:cs="Tahoma"/>
        </w:rPr>
        <w:t>rewarding the more intense level of staff resourcing and time requirements.</w:t>
      </w:r>
    </w:p>
    <w:p w:rsidR="00C51191" w:rsidRPr="003A55D6" w:rsidRDefault="00C51191" w:rsidP="00F02312">
      <w:pPr>
        <w:pStyle w:val="ListParagraph"/>
        <w:numPr>
          <w:ilvl w:val="0"/>
          <w:numId w:val="102"/>
        </w:numPr>
        <w:ind w:left="357" w:hanging="357"/>
        <w:rPr>
          <w:lang w:eastAsia="en-AU"/>
        </w:rPr>
      </w:pPr>
      <w:r w:rsidRPr="00D97ECD">
        <w:rPr>
          <w:rFonts w:cs="Tahoma"/>
        </w:rPr>
        <w:lastRenderedPageBreak/>
        <w:t xml:space="preserve">Acknowledges that very highly dependent residents </w:t>
      </w:r>
      <w:r>
        <w:rPr>
          <w:rFonts w:cs="Tahoma"/>
        </w:rPr>
        <w:t>demand significant multiple staff resources and more highly funds residents needing mechanical lifting every time a transfer is required</w:t>
      </w:r>
    </w:p>
    <w:p w:rsidR="00C51191" w:rsidRPr="00954183" w:rsidRDefault="00C51191" w:rsidP="00C51191">
      <w:pPr>
        <w:rPr>
          <w:lang w:eastAsia="en-AU"/>
        </w:rPr>
      </w:pPr>
      <w:r w:rsidRPr="00954183">
        <w:rPr>
          <w:lang w:eastAsia="en-AU"/>
        </w:rPr>
        <w:t>Table</w:t>
      </w:r>
      <w:r w:rsidR="001235F6">
        <w:rPr>
          <w:lang w:eastAsia="en-AU"/>
        </w:rPr>
        <w:t>s</w:t>
      </w:r>
      <w:r w:rsidRPr="00954183">
        <w:rPr>
          <w:lang w:eastAsia="en-AU"/>
        </w:rPr>
        <w:t xml:space="preserve"> 4.5</w:t>
      </w:r>
      <w:r w:rsidR="001235F6">
        <w:rPr>
          <w:lang w:eastAsia="en-AU"/>
        </w:rPr>
        <w:t>a to 4.5c</w:t>
      </w:r>
      <w:r w:rsidRPr="00954183">
        <w:rPr>
          <w:lang w:eastAsia="en-AU"/>
        </w:rPr>
        <w:t xml:space="preserve"> describe the recommended new R-ACFI ADL rating and supporting evidence requirements.</w:t>
      </w:r>
    </w:p>
    <w:bookmarkEnd w:id="255"/>
    <w:p w:rsidR="003A55D6" w:rsidRDefault="003A55D6" w:rsidP="003A55D6">
      <w:pPr>
        <w:spacing w:after="0"/>
      </w:pPr>
    </w:p>
    <w:p w:rsidR="00557FD2" w:rsidRDefault="00557FD2" w:rsidP="00557FD2">
      <w:pPr>
        <w:spacing w:after="200"/>
        <w:sectPr w:rsidR="00557FD2" w:rsidSect="001F2491">
          <w:footerReference w:type="even" r:id="rId43"/>
          <w:type w:val="continuous"/>
          <w:pgSz w:w="11900" w:h="16840"/>
          <w:pgMar w:top="1146" w:right="1440" w:bottom="866" w:left="1440" w:header="568" w:footer="530" w:gutter="0"/>
          <w:cols w:space="708"/>
          <w:docGrid w:linePitch="360"/>
        </w:sectPr>
      </w:pPr>
    </w:p>
    <w:p w:rsidR="0087727F" w:rsidRDefault="0087727F" w:rsidP="0087727F">
      <w:pPr>
        <w:pStyle w:val="Caption"/>
        <w:keepNext/>
      </w:pPr>
      <w:bookmarkStart w:id="260" w:name="_Toc495415644"/>
      <w:bookmarkStart w:id="261" w:name="Tab0405a"/>
      <w:r>
        <w:lastRenderedPageBreak/>
        <w:t>Table 4.</w:t>
      </w:r>
      <w:r w:rsidR="009A3F5A">
        <w:fldChar w:fldCharType="begin"/>
      </w:r>
      <w:r w:rsidR="009A3F5A">
        <w:instrText xml:space="preserve"> SEQ Table_4. \* ARABIC </w:instrText>
      </w:r>
      <w:r w:rsidR="009A3F5A">
        <w:fldChar w:fldCharType="separate"/>
      </w:r>
      <w:r w:rsidR="00856E49">
        <w:rPr>
          <w:noProof/>
        </w:rPr>
        <w:t>5</w:t>
      </w:r>
      <w:r w:rsidR="009A3F5A">
        <w:rPr>
          <w:noProof/>
        </w:rPr>
        <w:fldChar w:fldCharType="end"/>
      </w:r>
      <w:r>
        <w:t xml:space="preserve">: </w:t>
      </w:r>
      <w:r w:rsidRPr="0087727F">
        <w:t>ACFI ADL rating (Nutrition)</w:t>
      </w:r>
      <w:bookmarkEnd w:id="260"/>
    </w:p>
    <w:tbl>
      <w:tblPr>
        <w:tblStyle w:val="TableGrid"/>
        <w:tblW w:w="0" w:type="auto"/>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able 4.5 is a list of details on the rating and supporting evidence requirements for nutrition under the revised aged care funding instrument (R-ACFI), as summarised in the text prior to this table. Ratings are zero (standard care), one (monitoring), two (moderate assistance) and three (full assistance). This table is to be read left to right, top to bottom, noting that ratings one, two and three require mandated evidence in the form of a Multi Nutritional Assessment (noted as MNA Short)."/>
      </w:tblPr>
      <w:tblGrid>
        <w:gridCol w:w="1619"/>
        <w:gridCol w:w="3407"/>
        <w:gridCol w:w="3134"/>
        <w:gridCol w:w="3134"/>
        <w:gridCol w:w="3134"/>
      </w:tblGrid>
      <w:tr w:rsidR="00090516" w:rsidRPr="00090516" w:rsidTr="00440BED">
        <w:trPr>
          <w:tblHeader/>
        </w:trPr>
        <w:tc>
          <w:tcPr>
            <w:tcW w:w="1619" w:type="dxa"/>
            <w:shd w:val="clear" w:color="auto" w:fill="5B9BD5" w:themeFill="accent5"/>
            <w:vAlign w:val="center"/>
          </w:tcPr>
          <w:bookmarkEnd w:id="261"/>
          <w:p w:rsidR="003A55D6" w:rsidRPr="00090516" w:rsidRDefault="000D3D66" w:rsidP="008A1B34">
            <w:pPr>
              <w:spacing w:after="0"/>
              <w:jc w:val="center"/>
              <w:rPr>
                <w:b/>
                <w:bCs/>
                <w:color w:val="FFFFFF" w:themeColor="background1"/>
                <w:szCs w:val="24"/>
              </w:rPr>
            </w:pPr>
            <w:r>
              <w:rPr>
                <w:b/>
                <w:bCs/>
                <w:color w:val="FFFFFF" w:themeColor="background1"/>
                <w:szCs w:val="24"/>
              </w:rPr>
              <w:t>Requirements</w:t>
            </w:r>
          </w:p>
        </w:tc>
        <w:tc>
          <w:tcPr>
            <w:tcW w:w="3407" w:type="dxa"/>
            <w:shd w:val="clear" w:color="auto" w:fill="5B9BD5" w:themeFill="accent5"/>
            <w:vAlign w:val="center"/>
          </w:tcPr>
          <w:p w:rsidR="003A55D6" w:rsidRPr="00090516" w:rsidRDefault="003A55D6" w:rsidP="008A1B34">
            <w:pPr>
              <w:spacing w:after="0"/>
              <w:jc w:val="center"/>
              <w:rPr>
                <w:b/>
                <w:bCs/>
                <w:color w:val="FFFFFF" w:themeColor="background1"/>
                <w:szCs w:val="24"/>
              </w:rPr>
            </w:pPr>
            <w:bookmarkStart w:id="262" w:name="_Hlk482692486"/>
            <w:r w:rsidRPr="00090516">
              <w:rPr>
                <w:b/>
                <w:bCs/>
                <w:color w:val="FFFFFF" w:themeColor="background1"/>
                <w:szCs w:val="24"/>
              </w:rPr>
              <w:t>0</w:t>
            </w:r>
          </w:p>
          <w:p w:rsidR="003A55D6" w:rsidRPr="00090516" w:rsidRDefault="003A55D6" w:rsidP="008A1B34">
            <w:pPr>
              <w:spacing w:after="0"/>
              <w:jc w:val="center"/>
              <w:rPr>
                <w:b/>
                <w:bCs/>
                <w:color w:val="FFFFFF" w:themeColor="background1"/>
                <w:szCs w:val="24"/>
              </w:rPr>
            </w:pPr>
            <w:r w:rsidRPr="00090516">
              <w:rPr>
                <w:b/>
                <w:bCs/>
                <w:color w:val="FFFFFF" w:themeColor="background1"/>
                <w:szCs w:val="24"/>
              </w:rPr>
              <w:t>Standard Care</w:t>
            </w:r>
          </w:p>
        </w:tc>
        <w:tc>
          <w:tcPr>
            <w:tcW w:w="3134" w:type="dxa"/>
            <w:shd w:val="clear" w:color="auto" w:fill="5B9BD5" w:themeFill="accent5"/>
            <w:vAlign w:val="center"/>
          </w:tcPr>
          <w:p w:rsidR="003A55D6" w:rsidRPr="00090516" w:rsidRDefault="003A55D6" w:rsidP="008A1B34">
            <w:pPr>
              <w:spacing w:after="0"/>
              <w:jc w:val="center"/>
              <w:rPr>
                <w:b/>
                <w:bCs/>
                <w:color w:val="FFFFFF" w:themeColor="background1"/>
                <w:szCs w:val="24"/>
              </w:rPr>
            </w:pPr>
            <w:r w:rsidRPr="00090516">
              <w:rPr>
                <w:b/>
                <w:bCs/>
                <w:color w:val="FFFFFF" w:themeColor="background1"/>
                <w:szCs w:val="24"/>
              </w:rPr>
              <w:t>1</w:t>
            </w:r>
          </w:p>
          <w:p w:rsidR="003A55D6" w:rsidRPr="00090516" w:rsidRDefault="003A55D6" w:rsidP="008A1B34">
            <w:pPr>
              <w:spacing w:after="0"/>
              <w:jc w:val="center"/>
              <w:rPr>
                <w:color w:val="FFFFFF" w:themeColor="background1"/>
                <w:szCs w:val="24"/>
              </w:rPr>
            </w:pPr>
            <w:r w:rsidRPr="00090516">
              <w:rPr>
                <w:b/>
                <w:bCs/>
                <w:color w:val="FFFFFF" w:themeColor="background1"/>
                <w:szCs w:val="24"/>
              </w:rPr>
              <w:t>Monitoring</w:t>
            </w:r>
          </w:p>
        </w:tc>
        <w:tc>
          <w:tcPr>
            <w:tcW w:w="3134" w:type="dxa"/>
            <w:shd w:val="clear" w:color="auto" w:fill="5B9BD5" w:themeFill="accent5"/>
            <w:vAlign w:val="center"/>
          </w:tcPr>
          <w:p w:rsidR="003A55D6" w:rsidRPr="00090516" w:rsidRDefault="003A55D6" w:rsidP="008A1B34">
            <w:pPr>
              <w:spacing w:after="0"/>
              <w:jc w:val="center"/>
              <w:rPr>
                <w:rFonts w:ascii="Calibri" w:hAnsi="Calibri" w:cs="Calibri"/>
                <w:b/>
                <w:bCs/>
                <w:color w:val="FFFFFF" w:themeColor="background1"/>
                <w:szCs w:val="24"/>
              </w:rPr>
            </w:pPr>
            <w:r w:rsidRPr="00090516">
              <w:rPr>
                <w:b/>
                <w:bCs/>
                <w:color w:val="FFFFFF" w:themeColor="background1"/>
                <w:szCs w:val="24"/>
              </w:rPr>
              <w:t>2</w:t>
            </w:r>
          </w:p>
          <w:p w:rsidR="003A55D6" w:rsidRPr="00090516" w:rsidRDefault="003A55D6" w:rsidP="008A1B34">
            <w:pPr>
              <w:spacing w:after="0"/>
              <w:jc w:val="center"/>
              <w:rPr>
                <w:color w:val="FFFFFF" w:themeColor="background1"/>
                <w:szCs w:val="24"/>
              </w:rPr>
            </w:pPr>
            <w:r w:rsidRPr="00090516">
              <w:rPr>
                <w:b/>
                <w:bCs/>
                <w:color w:val="FFFFFF" w:themeColor="background1"/>
                <w:szCs w:val="24"/>
              </w:rPr>
              <w:t>Moderate assistance</w:t>
            </w:r>
          </w:p>
        </w:tc>
        <w:tc>
          <w:tcPr>
            <w:tcW w:w="3134" w:type="dxa"/>
            <w:shd w:val="clear" w:color="auto" w:fill="5B9BD5" w:themeFill="accent5"/>
            <w:vAlign w:val="center"/>
          </w:tcPr>
          <w:p w:rsidR="003A55D6" w:rsidRPr="00090516" w:rsidRDefault="003A55D6" w:rsidP="008A1B34">
            <w:pPr>
              <w:spacing w:after="0"/>
              <w:jc w:val="center"/>
              <w:rPr>
                <w:b/>
                <w:bCs/>
                <w:color w:val="FFFFFF" w:themeColor="background1"/>
                <w:szCs w:val="24"/>
              </w:rPr>
            </w:pPr>
            <w:r w:rsidRPr="00090516">
              <w:rPr>
                <w:b/>
                <w:bCs/>
                <w:color w:val="FFFFFF" w:themeColor="background1"/>
                <w:szCs w:val="24"/>
              </w:rPr>
              <w:t>3</w:t>
            </w:r>
          </w:p>
          <w:p w:rsidR="003A55D6" w:rsidRPr="00090516" w:rsidRDefault="003A55D6" w:rsidP="008A1B34">
            <w:pPr>
              <w:spacing w:after="0"/>
              <w:jc w:val="center"/>
              <w:rPr>
                <w:color w:val="FFFFFF" w:themeColor="background1"/>
                <w:szCs w:val="24"/>
              </w:rPr>
            </w:pPr>
            <w:r w:rsidRPr="00090516">
              <w:rPr>
                <w:b/>
                <w:bCs/>
                <w:color w:val="FFFFFF" w:themeColor="background1"/>
                <w:szCs w:val="24"/>
              </w:rPr>
              <w:t>Full assistance</w:t>
            </w:r>
            <w:r w:rsidR="00DD65D6" w:rsidRPr="00090516">
              <w:rPr>
                <w:b/>
                <w:bCs/>
                <w:color w:val="FFFFFF" w:themeColor="background1"/>
                <w:szCs w:val="24"/>
              </w:rPr>
              <w:t xml:space="preserve"> Nutrition</w:t>
            </w:r>
          </w:p>
        </w:tc>
      </w:tr>
      <w:tr w:rsidR="003A55D6" w:rsidRPr="00A97C01" w:rsidTr="00440BED">
        <w:tc>
          <w:tcPr>
            <w:tcW w:w="1619" w:type="dxa"/>
          </w:tcPr>
          <w:p w:rsidR="003A55D6" w:rsidRPr="00A97C01" w:rsidRDefault="003A55D6" w:rsidP="009C3538">
            <w:pPr>
              <w:jc w:val="left"/>
              <w:rPr>
                <w:b/>
                <w:sz w:val="22"/>
              </w:rPr>
            </w:pPr>
            <w:r w:rsidRPr="00A97C01">
              <w:rPr>
                <w:b/>
                <w:sz w:val="22"/>
              </w:rPr>
              <w:t>Nutrition</w:t>
            </w:r>
          </w:p>
        </w:tc>
        <w:tc>
          <w:tcPr>
            <w:tcW w:w="3407" w:type="dxa"/>
            <w:shd w:val="clear" w:color="auto" w:fill="auto"/>
          </w:tcPr>
          <w:p w:rsidR="003A55D6" w:rsidRPr="00A97C01" w:rsidRDefault="003A55D6" w:rsidP="00A97C01">
            <w:pPr>
              <w:spacing w:after="60"/>
              <w:jc w:val="left"/>
              <w:rPr>
                <w:sz w:val="22"/>
                <w:lang w:eastAsia="en-AU"/>
              </w:rPr>
            </w:pPr>
            <w:r w:rsidRPr="00A97C01">
              <w:rPr>
                <w:sz w:val="22"/>
                <w:lang w:eastAsia="en-AU"/>
              </w:rPr>
              <w:t>Standard Care: Independent during the EATING activity.</w:t>
            </w:r>
          </w:p>
          <w:p w:rsidR="003A55D6" w:rsidRPr="00A97C01" w:rsidRDefault="003A55D6" w:rsidP="00A97C01">
            <w:pPr>
              <w:spacing w:after="60"/>
              <w:jc w:val="left"/>
              <w:rPr>
                <w:sz w:val="22"/>
                <w:lang w:eastAsia="en-AU"/>
              </w:rPr>
            </w:pPr>
            <w:r w:rsidRPr="00A97C01">
              <w:rPr>
                <w:sz w:val="22"/>
                <w:lang w:eastAsia="en-AU"/>
              </w:rPr>
              <w:t>Staff standing by for occasional or episodic assistance.</w:t>
            </w:r>
          </w:p>
          <w:p w:rsidR="003A55D6" w:rsidRPr="00A97C01" w:rsidRDefault="003A55D6" w:rsidP="00A97C01">
            <w:pPr>
              <w:spacing w:after="60"/>
              <w:jc w:val="left"/>
              <w:rPr>
                <w:sz w:val="22"/>
                <w:lang w:eastAsia="en-AU"/>
              </w:rPr>
            </w:pPr>
            <w:r w:rsidRPr="00A97C01">
              <w:rPr>
                <w:sz w:val="22"/>
                <w:lang w:eastAsia="en-AU"/>
              </w:rPr>
              <w:t>Provision of modified textured food and drinks.</w:t>
            </w:r>
          </w:p>
          <w:p w:rsidR="003A55D6" w:rsidRPr="00A97C01" w:rsidRDefault="003A55D6" w:rsidP="00A97C01">
            <w:pPr>
              <w:spacing w:after="60"/>
              <w:jc w:val="left"/>
              <w:rPr>
                <w:sz w:val="22"/>
              </w:rPr>
            </w:pPr>
            <w:r w:rsidRPr="00A97C01">
              <w:rPr>
                <w:sz w:val="22"/>
                <w:lang w:eastAsia="en-AU"/>
              </w:rPr>
              <w:t xml:space="preserve">Setting up activities </w:t>
            </w:r>
            <w:r w:rsidRPr="00A97C01">
              <w:rPr>
                <w:sz w:val="22"/>
              </w:rPr>
              <w:t>e.g.</w:t>
            </w:r>
            <w:r w:rsidR="007A576E" w:rsidRPr="00A97C01">
              <w:rPr>
                <w:sz w:val="22"/>
              </w:rPr>
              <w:t xml:space="preserve"> </w:t>
            </w:r>
            <w:r w:rsidRPr="00A97C01">
              <w:rPr>
                <w:sz w:val="22"/>
              </w:rPr>
              <w:t>taking lids off, cut up food, specialised plates and cutlery, special diets, placing food in front of resident.</w:t>
            </w:r>
          </w:p>
          <w:p w:rsidR="003A55D6" w:rsidRPr="00A97C01" w:rsidRDefault="003A55D6" w:rsidP="00A97C01">
            <w:pPr>
              <w:spacing w:after="60"/>
              <w:jc w:val="left"/>
              <w:rPr>
                <w:sz w:val="22"/>
                <w:lang w:eastAsia="en-AU"/>
              </w:rPr>
            </w:pPr>
            <w:r w:rsidRPr="00A97C01">
              <w:rPr>
                <w:sz w:val="22"/>
              </w:rPr>
              <w:t>Providing verbal assistance (e.g. prompting, cueing).</w:t>
            </w:r>
            <w:r w:rsidRPr="00A97C01">
              <w:rPr>
                <w:sz w:val="22"/>
                <w:lang w:eastAsia="en-AU"/>
              </w:rPr>
              <w:t xml:space="preserve"> </w:t>
            </w:r>
          </w:p>
        </w:tc>
        <w:tc>
          <w:tcPr>
            <w:tcW w:w="3134" w:type="dxa"/>
            <w:shd w:val="clear" w:color="auto" w:fill="auto"/>
          </w:tcPr>
          <w:p w:rsidR="003A55D6" w:rsidRPr="00A97C01" w:rsidRDefault="003A55D6" w:rsidP="00A97C01">
            <w:pPr>
              <w:spacing w:after="60"/>
              <w:jc w:val="left"/>
              <w:rPr>
                <w:sz w:val="22"/>
              </w:rPr>
            </w:pPr>
            <w:r w:rsidRPr="00A97C01">
              <w:rPr>
                <w:sz w:val="22"/>
                <w:lang w:eastAsia="en-AU"/>
              </w:rPr>
              <w:t>Needs general monitoring for an assessed nutritional need using the mandated assessment.</w:t>
            </w:r>
            <w:r w:rsidR="008A1B34" w:rsidRPr="00A97C01">
              <w:rPr>
                <w:sz w:val="22"/>
                <w:lang w:eastAsia="en-AU"/>
              </w:rPr>
              <w:t>.</w:t>
            </w:r>
          </w:p>
        </w:tc>
        <w:tc>
          <w:tcPr>
            <w:tcW w:w="3134" w:type="dxa"/>
            <w:shd w:val="clear" w:color="auto" w:fill="auto"/>
          </w:tcPr>
          <w:p w:rsidR="003A55D6" w:rsidRPr="00A97C01" w:rsidRDefault="003A55D6" w:rsidP="00A97C01">
            <w:pPr>
              <w:spacing w:after="60"/>
              <w:jc w:val="left"/>
              <w:rPr>
                <w:sz w:val="22"/>
                <w:lang w:eastAsia="en-AU"/>
              </w:rPr>
            </w:pPr>
            <w:r w:rsidRPr="00A97C01">
              <w:rPr>
                <w:sz w:val="22"/>
                <w:lang w:eastAsia="en-AU"/>
              </w:rPr>
              <w:t>Always providing physical assistance, on a one-to-one basis, for part of the EATING activity, whenever the activity is needed, due to a swallowing issue or other impairment.</w:t>
            </w:r>
          </w:p>
        </w:tc>
        <w:tc>
          <w:tcPr>
            <w:tcW w:w="3134" w:type="dxa"/>
            <w:shd w:val="clear" w:color="auto" w:fill="auto"/>
          </w:tcPr>
          <w:p w:rsidR="003A55D6" w:rsidRPr="00A97C01" w:rsidRDefault="003A55D6" w:rsidP="00A97C01">
            <w:pPr>
              <w:spacing w:after="60"/>
              <w:jc w:val="left"/>
              <w:rPr>
                <w:sz w:val="22"/>
                <w:lang w:eastAsia="en-AU"/>
              </w:rPr>
            </w:pPr>
            <w:r w:rsidRPr="00A97C01">
              <w:rPr>
                <w:sz w:val="22"/>
                <w:lang w:eastAsia="en-AU"/>
              </w:rPr>
              <w:t>Always providing physical assistance, on a one-to-one basis, throughout the entire activity, whenever the activity is needed.</w:t>
            </w:r>
          </w:p>
        </w:tc>
      </w:tr>
      <w:tr w:rsidR="00440BED" w:rsidRPr="00A97C01" w:rsidTr="00440BED">
        <w:tc>
          <w:tcPr>
            <w:tcW w:w="1619" w:type="dxa"/>
          </w:tcPr>
          <w:p w:rsidR="00440BED" w:rsidRPr="00A97C01" w:rsidRDefault="00440BED" w:rsidP="009C3538">
            <w:pPr>
              <w:jc w:val="left"/>
              <w:rPr>
                <w:b/>
                <w:sz w:val="22"/>
              </w:rPr>
            </w:pPr>
            <w:r w:rsidRPr="00A97C01">
              <w:rPr>
                <w:b/>
                <w:sz w:val="22"/>
              </w:rPr>
              <w:t>Mandated Evidence</w:t>
            </w:r>
          </w:p>
        </w:tc>
        <w:tc>
          <w:tcPr>
            <w:tcW w:w="3407" w:type="dxa"/>
            <w:shd w:val="clear" w:color="auto" w:fill="auto"/>
          </w:tcPr>
          <w:p w:rsidR="00440BED" w:rsidRPr="00A97C01" w:rsidRDefault="00440BED" w:rsidP="00A97C01">
            <w:pPr>
              <w:spacing w:after="60"/>
              <w:jc w:val="left"/>
              <w:rPr>
                <w:sz w:val="22"/>
              </w:rPr>
            </w:pPr>
            <w:r w:rsidRPr="007676EC">
              <w:rPr>
                <w:rFonts w:cstheme="minorHAnsi"/>
                <w:i/>
                <w:sz w:val="22"/>
              </w:rPr>
              <w:t>Not required for standard care.</w:t>
            </w:r>
          </w:p>
        </w:tc>
        <w:tc>
          <w:tcPr>
            <w:tcW w:w="9402" w:type="dxa"/>
            <w:gridSpan w:val="3"/>
            <w:shd w:val="clear" w:color="auto" w:fill="auto"/>
          </w:tcPr>
          <w:p w:rsidR="00440BED" w:rsidRPr="00A97C01" w:rsidRDefault="00440BED" w:rsidP="00A97C01">
            <w:pPr>
              <w:spacing w:after="60"/>
              <w:jc w:val="center"/>
              <w:rPr>
                <w:rFonts w:ascii="Calibri" w:hAnsi="Calibri" w:cs="Calibri"/>
                <w:sz w:val="22"/>
              </w:rPr>
            </w:pPr>
            <w:r w:rsidRPr="00A97C01">
              <w:rPr>
                <w:bCs/>
                <w:sz w:val="22"/>
              </w:rPr>
              <w:t>R-ACFI Q1: MNA Short (completed within last 3 months of appraisal)</w:t>
            </w:r>
          </w:p>
        </w:tc>
      </w:tr>
      <w:tr w:rsidR="00440BED" w:rsidRPr="00A97C01" w:rsidTr="00440BED">
        <w:tc>
          <w:tcPr>
            <w:tcW w:w="1619" w:type="dxa"/>
          </w:tcPr>
          <w:p w:rsidR="00440BED" w:rsidRPr="00A97C01" w:rsidRDefault="00440BED" w:rsidP="009C3538">
            <w:pPr>
              <w:jc w:val="left"/>
              <w:rPr>
                <w:b/>
                <w:sz w:val="22"/>
              </w:rPr>
            </w:pPr>
            <w:r w:rsidRPr="00A97C01">
              <w:rPr>
                <w:b/>
                <w:sz w:val="22"/>
              </w:rPr>
              <w:t>Supporting Evidence</w:t>
            </w:r>
          </w:p>
        </w:tc>
        <w:tc>
          <w:tcPr>
            <w:tcW w:w="3407" w:type="dxa"/>
            <w:shd w:val="clear" w:color="auto" w:fill="auto"/>
          </w:tcPr>
          <w:p w:rsidR="00440BED" w:rsidRPr="00A97C01" w:rsidRDefault="00440BED" w:rsidP="00A97C01">
            <w:pPr>
              <w:spacing w:after="60"/>
              <w:jc w:val="left"/>
              <w:rPr>
                <w:sz w:val="22"/>
              </w:rPr>
            </w:pPr>
            <w:r w:rsidRPr="007676EC">
              <w:rPr>
                <w:rFonts w:cstheme="minorHAnsi"/>
                <w:i/>
                <w:sz w:val="22"/>
              </w:rPr>
              <w:t>Not required for standard care.</w:t>
            </w:r>
          </w:p>
        </w:tc>
        <w:tc>
          <w:tcPr>
            <w:tcW w:w="3134" w:type="dxa"/>
            <w:shd w:val="clear" w:color="auto" w:fill="auto"/>
          </w:tcPr>
          <w:p w:rsidR="00440BED" w:rsidRPr="00A97C01" w:rsidRDefault="00440BED" w:rsidP="00A97C01">
            <w:pPr>
              <w:spacing w:after="60"/>
              <w:jc w:val="left"/>
              <w:rPr>
                <w:bCs/>
                <w:sz w:val="22"/>
              </w:rPr>
            </w:pPr>
            <w:r w:rsidRPr="007676EC">
              <w:rPr>
                <w:rFonts w:cstheme="minorHAnsi"/>
                <w:i/>
                <w:sz w:val="22"/>
              </w:rPr>
              <w:t>Not required for monitoring.</w:t>
            </w:r>
          </w:p>
        </w:tc>
        <w:tc>
          <w:tcPr>
            <w:tcW w:w="3134" w:type="dxa"/>
            <w:shd w:val="clear" w:color="auto" w:fill="auto"/>
          </w:tcPr>
          <w:p w:rsidR="00440BED" w:rsidRPr="00A97C01" w:rsidRDefault="00440BED" w:rsidP="00A97C01">
            <w:pPr>
              <w:spacing w:after="60"/>
              <w:jc w:val="left"/>
              <w:rPr>
                <w:rFonts w:ascii="Calibri" w:hAnsi="Calibri" w:cs="Calibri"/>
                <w:sz w:val="22"/>
              </w:rPr>
            </w:pPr>
            <w:r w:rsidRPr="00A97C01">
              <w:rPr>
                <w:rFonts w:ascii="Calibri" w:hAnsi="Calibri" w:cs="Calibri"/>
                <w:sz w:val="22"/>
              </w:rPr>
              <w:t>Swallowing impairment:</w:t>
            </w:r>
          </w:p>
          <w:p w:rsidR="00440BED" w:rsidRPr="00A97C01" w:rsidRDefault="00440BED" w:rsidP="00A97C01">
            <w:pPr>
              <w:spacing w:after="60"/>
              <w:jc w:val="left"/>
              <w:rPr>
                <w:rFonts w:ascii="Calibri" w:hAnsi="Calibri" w:cs="Calibri"/>
                <w:sz w:val="22"/>
              </w:rPr>
            </w:pPr>
            <w:r w:rsidRPr="00A97C01">
              <w:rPr>
                <w:sz w:val="22"/>
              </w:rPr>
              <w:t>Evidence- Speech Pathologist report</w:t>
            </w:r>
          </w:p>
          <w:p w:rsidR="00440BED" w:rsidRPr="00A97C01" w:rsidRDefault="00440BED" w:rsidP="00A97C01">
            <w:pPr>
              <w:spacing w:after="60"/>
              <w:jc w:val="left"/>
              <w:rPr>
                <w:sz w:val="22"/>
              </w:rPr>
            </w:pPr>
            <w:r w:rsidRPr="00A97C01">
              <w:rPr>
                <w:rFonts w:ascii="Calibri" w:hAnsi="Calibri" w:cs="Calibri"/>
                <w:sz w:val="22"/>
              </w:rPr>
              <w:t xml:space="preserve">Physical/ sensory impairment: </w:t>
            </w:r>
            <w:r w:rsidRPr="00A97C01">
              <w:rPr>
                <w:sz w:val="22"/>
              </w:rPr>
              <w:t>Evidence- NSAF, MP notes, diagnoses.</w:t>
            </w:r>
          </w:p>
          <w:p w:rsidR="00440BED" w:rsidRPr="00A97C01" w:rsidRDefault="00440BED" w:rsidP="00A97C01">
            <w:pPr>
              <w:spacing w:after="60"/>
              <w:jc w:val="left"/>
              <w:rPr>
                <w:sz w:val="22"/>
              </w:rPr>
            </w:pPr>
            <w:r w:rsidRPr="00A97C01">
              <w:rPr>
                <w:rFonts w:ascii="Calibri" w:hAnsi="Calibri" w:cs="Calibri"/>
                <w:sz w:val="22"/>
              </w:rPr>
              <w:t xml:space="preserve">Moderate Cognitive Impairment- </w:t>
            </w:r>
            <w:r w:rsidRPr="00A97C01">
              <w:rPr>
                <w:sz w:val="22"/>
              </w:rPr>
              <w:t>requires staff to initiate or complete the activity.</w:t>
            </w:r>
          </w:p>
          <w:p w:rsidR="00440BED" w:rsidRPr="00A97C01" w:rsidRDefault="00440BED" w:rsidP="00A97C01">
            <w:pPr>
              <w:spacing w:after="60"/>
              <w:jc w:val="left"/>
              <w:rPr>
                <w:sz w:val="22"/>
              </w:rPr>
            </w:pPr>
            <w:r w:rsidRPr="00A97C01">
              <w:rPr>
                <w:sz w:val="22"/>
              </w:rPr>
              <w:t>Evidence: Cognition Assessment (SMMSE), clinical report, NSAF, MP notes, diagnoses.</w:t>
            </w:r>
          </w:p>
        </w:tc>
        <w:tc>
          <w:tcPr>
            <w:tcW w:w="3134" w:type="dxa"/>
            <w:shd w:val="clear" w:color="auto" w:fill="auto"/>
          </w:tcPr>
          <w:p w:rsidR="00440BED" w:rsidRPr="00A97C01" w:rsidRDefault="00440BED" w:rsidP="00A97C01">
            <w:pPr>
              <w:spacing w:after="60"/>
              <w:jc w:val="left"/>
              <w:rPr>
                <w:rFonts w:ascii="Calibri" w:hAnsi="Calibri" w:cs="Calibri"/>
                <w:sz w:val="22"/>
              </w:rPr>
            </w:pPr>
            <w:r w:rsidRPr="00A97C01">
              <w:rPr>
                <w:rFonts w:ascii="Calibri" w:hAnsi="Calibri" w:cs="Calibri"/>
                <w:sz w:val="22"/>
              </w:rPr>
              <w:t>Swallowing impairment:</w:t>
            </w:r>
          </w:p>
          <w:p w:rsidR="00440BED" w:rsidRPr="00A97C01" w:rsidRDefault="00440BED" w:rsidP="00A97C01">
            <w:pPr>
              <w:spacing w:after="60"/>
              <w:jc w:val="left"/>
              <w:rPr>
                <w:rFonts w:ascii="Calibri" w:hAnsi="Calibri" w:cs="Calibri"/>
                <w:sz w:val="22"/>
              </w:rPr>
            </w:pPr>
            <w:r w:rsidRPr="00A97C01">
              <w:rPr>
                <w:sz w:val="22"/>
              </w:rPr>
              <w:t>Evidence- Speech Pathologist report</w:t>
            </w:r>
          </w:p>
          <w:p w:rsidR="00440BED" w:rsidRPr="00A97C01" w:rsidRDefault="00440BED" w:rsidP="00A97C01">
            <w:pPr>
              <w:spacing w:after="60"/>
              <w:jc w:val="left"/>
              <w:rPr>
                <w:sz w:val="22"/>
              </w:rPr>
            </w:pPr>
            <w:r w:rsidRPr="00A97C01">
              <w:rPr>
                <w:sz w:val="22"/>
              </w:rPr>
              <w:t>Physical/ sensory impairment: Evidence- NSAF, MP notes, diagnoses.</w:t>
            </w:r>
          </w:p>
          <w:p w:rsidR="00440BED" w:rsidRPr="00A97C01" w:rsidRDefault="00440BED" w:rsidP="00A97C01">
            <w:pPr>
              <w:spacing w:after="60"/>
              <w:jc w:val="left"/>
              <w:rPr>
                <w:sz w:val="22"/>
              </w:rPr>
            </w:pPr>
            <w:r w:rsidRPr="00A97C01">
              <w:rPr>
                <w:rFonts w:ascii="Calibri" w:hAnsi="Calibri" w:cs="Calibri"/>
                <w:sz w:val="22"/>
              </w:rPr>
              <w:t xml:space="preserve">Severe Cognitive Impairment: </w:t>
            </w:r>
            <w:r w:rsidRPr="00A97C01">
              <w:rPr>
                <w:sz w:val="22"/>
              </w:rPr>
              <w:t>e.g. does not participate in the activity</w:t>
            </w:r>
          </w:p>
          <w:p w:rsidR="00440BED" w:rsidRPr="00A97C01" w:rsidRDefault="00440BED" w:rsidP="00A97C01">
            <w:pPr>
              <w:spacing w:after="60"/>
              <w:jc w:val="left"/>
              <w:rPr>
                <w:sz w:val="22"/>
              </w:rPr>
            </w:pPr>
            <w:r w:rsidRPr="00A97C01">
              <w:rPr>
                <w:sz w:val="22"/>
              </w:rPr>
              <w:t>Evidence: Cognition Assessment (SMMSE), clinical report, NSAF, MP notes, diagnoses.</w:t>
            </w:r>
          </w:p>
        </w:tc>
      </w:tr>
    </w:tbl>
    <w:p w:rsidR="00A97C01" w:rsidRDefault="00A97C01" w:rsidP="00A97C01">
      <w:bookmarkStart w:id="263" w:name="_Toc489443097"/>
      <w:bookmarkStart w:id="264" w:name="_Toc489811498"/>
      <w:bookmarkStart w:id="265" w:name="_Toc489812767"/>
      <w:r>
        <w:br w:type="page"/>
      </w:r>
    </w:p>
    <w:p w:rsidR="00173379" w:rsidRDefault="00173379" w:rsidP="00173379">
      <w:pPr>
        <w:pStyle w:val="Caption"/>
        <w:keepNext/>
      </w:pPr>
      <w:bookmarkStart w:id="266" w:name="_Toc495415867"/>
      <w:bookmarkStart w:id="267" w:name="Tab0405b"/>
      <w:bookmarkEnd w:id="263"/>
      <w:bookmarkEnd w:id="264"/>
      <w:bookmarkEnd w:id="265"/>
      <w:r>
        <w:lastRenderedPageBreak/>
        <w:t>Table 4.5</w:t>
      </w:r>
      <w:r w:rsidR="009A3F5A">
        <w:fldChar w:fldCharType="begin"/>
      </w:r>
      <w:r w:rsidR="009A3F5A">
        <w:instrText xml:space="preserve"> SEQ Table_4.5 \* alphabetic </w:instrText>
      </w:r>
      <w:r w:rsidR="009A3F5A">
        <w:fldChar w:fldCharType="separate"/>
      </w:r>
      <w:r w:rsidR="00856E49">
        <w:rPr>
          <w:noProof/>
        </w:rPr>
        <w:t>a</w:t>
      </w:r>
      <w:r w:rsidR="009A3F5A">
        <w:rPr>
          <w:noProof/>
        </w:rPr>
        <w:fldChar w:fldCharType="end"/>
      </w:r>
      <w:r>
        <w:t xml:space="preserve">: </w:t>
      </w:r>
      <w:r w:rsidRPr="00173379">
        <w:t>R-ACFI ADL rating (Mobility)</w:t>
      </w:r>
      <w:bookmarkEnd w:id="266"/>
    </w:p>
    <w:tbl>
      <w:tblPr>
        <w:tblStyle w:val="TableGrid"/>
        <w:tblW w:w="0" w:type="auto"/>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able 4.5a is a list of details on the rating and supporting evidence requirements for mobility under the revised aged care funding instrument (R-ACFI) as summarised in the text prior to this table. Ratings are zero (standard care), one (moderate assistance), two (full assistance) and three (mechanical lifting). This table is to be read left to right, top to bottom, noting that ratings one, two and three require mandated evidence in the form of a completed physical mobility scale (PMS) and falls risk assessment tool (FRAT). These levels also require supporting evidence for sensory impairment, behavioural issues and physical impairment."/>
      </w:tblPr>
      <w:tblGrid>
        <w:gridCol w:w="1619"/>
        <w:gridCol w:w="3291"/>
        <w:gridCol w:w="3134"/>
        <w:gridCol w:w="3134"/>
        <w:gridCol w:w="3134"/>
      </w:tblGrid>
      <w:tr w:rsidR="00090516" w:rsidRPr="00090516" w:rsidTr="00440BED">
        <w:trPr>
          <w:tblHeader/>
        </w:trPr>
        <w:tc>
          <w:tcPr>
            <w:tcW w:w="1619" w:type="dxa"/>
            <w:shd w:val="clear" w:color="auto" w:fill="5B9BD5" w:themeFill="accent5"/>
            <w:vAlign w:val="center"/>
          </w:tcPr>
          <w:bookmarkEnd w:id="267"/>
          <w:p w:rsidR="003A55D6" w:rsidRPr="00090516" w:rsidRDefault="000D3D66" w:rsidP="008A1B34">
            <w:pPr>
              <w:spacing w:after="0"/>
              <w:jc w:val="center"/>
              <w:rPr>
                <w:b/>
                <w:bCs/>
                <w:color w:val="FFFFFF" w:themeColor="background1"/>
                <w:szCs w:val="24"/>
              </w:rPr>
            </w:pPr>
            <w:r>
              <w:rPr>
                <w:b/>
                <w:bCs/>
                <w:color w:val="FFFFFF" w:themeColor="background1"/>
                <w:szCs w:val="24"/>
              </w:rPr>
              <w:t>Requirements</w:t>
            </w:r>
          </w:p>
        </w:tc>
        <w:tc>
          <w:tcPr>
            <w:tcW w:w="3291" w:type="dxa"/>
            <w:shd w:val="clear" w:color="auto" w:fill="5B9BD5" w:themeFill="accent5"/>
            <w:vAlign w:val="center"/>
          </w:tcPr>
          <w:p w:rsidR="003A55D6" w:rsidRPr="00090516" w:rsidRDefault="003A55D6" w:rsidP="008A1B34">
            <w:pPr>
              <w:spacing w:after="0"/>
              <w:jc w:val="center"/>
              <w:rPr>
                <w:b/>
                <w:bCs/>
                <w:color w:val="FFFFFF" w:themeColor="background1"/>
                <w:szCs w:val="24"/>
              </w:rPr>
            </w:pPr>
            <w:r w:rsidRPr="00090516">
              <w:rPr>
                <w:b/>
                <w:bCs/>
                <w:color w:val="FFFFFF" w:themeColor="background1"/>
                <w:szCs w:val="24"/>
              </w:rPr>
              <w:t>0</w:t>
            </w:r>
          </w:p>
          <w:p w:rsidR="003A55D6" w:rsidRPr="00090516" w:rsidRDefault="003A55D6" w:rsidP="008A1B34">
            <w:pPr>
              <w:spacing w:after="0"/>
              <w:jc w:val="center"/>
              <w:rPr>
                <w:b/>
                <w:bCs/>
                <w:color w:val="FFFFFF" w:themeColor="background1"/>
                <w:szCs w:val="24"/>
              </w:rPr>
            </w:pPr>
            <w:r w:rsidRPr="00090516">
              <w:rPr>
                <w:b/>
                <w:bCs/>
                <w:color w:val="FFFFFF" w:themeColor="background1"/>
                <w:szCs w:val="24"/>
              </w:rPr>
              <w:t>Standard Care</w:t>
            </w:r>
          </w:p>
        </w:tc>
        <w:tc>
          <w:tcPr>
            <w:tcW w:w="3134" w:type="dxa"/>
            <w:shd w:val="clear" w:color="auto" w:fill="5B9BD5" w:themeFill="accent5"/>
            <w:vAlign w:val="center"/>
          </w:tcPr>
          <w:p w:rsidR="003A55D6" w:rsidRPr="00090516" w:rsidRDefault="003A55D6" w:rsidP="008A1B34">
            <w:pPr>
              <w:spacing w:after="0"/>
              <w:jc w:val="center"/>
              <w:rPr>
                <w:b/>
                <w:bCs/>
                <w:color w:val="FFFFFF" w:themeColor="background1"/>
                <w:szCs w:val="24"/>
              </w:rPr>
            </w:pPr>
            <w:r w:rsidRPr="00090516">
              <w:rPr>
                <w:b/>
                <w:bCs/>
                <w:color w:val="FFFFFF" w:themeColor="background1"/>
                <w:szCs w:val="24"/>
              </w:rPr>
              <w:t>1</w:t>
            </w:r>
          </w:p>
          <w:p w:rsidR="003A55D6" w:rsidRPr="00090516" w:rsidRDefault="003A55D6" w:rsidP="008A1B34">
            <w:pPr>
              <w:spacing w:after="0"/>
              <w:jc w:val="center"/>
              <w:rPr>
                <w:color w:val="FFFFFF" w:themeColor="background1"/>
                <w:szCs w:val="24"/>
              </w:rPr>
            </w:pPr>
            <w:r w:rsidRPr="00090516">
              <w:rPr>
                <w:b/>
                <w:bCs/>
                <w:color w:val="FFFFFF" w:themeColor="background1"/>
                <w:szCs w:val="24"/>
              </w:rPr>
              <w:t>Moderate assistance</w:t>
            </w:r>
          </w:p>
        </w:tc>
        <w:tc>
          <w:tcPr>
            <w:tcW w:w="3134" w:type="dxa"/>
            <w:shd w:val="clear" w:color="auto" w:fill="5B9BD5" w:themeFill="accent5"/>
            <w:vAlign w:val="center"/>
          </w:tcPr>
          <w:p w:rsidR="003A55D6" w:rsidRPr="00090516" w:rsidRDefault="003A55D6" w:rsidP="008A1B34">
            <w:pPr>
              <w:spacing w:after="0"/>
              <w:jc w:val="center"/>
              <w:rPr>
                <w:rFonts w:ascii="Calibri" w:hAnsi="Calibri" w:cs="Calibri"/>
                <w:b/>
                <w:bCs/>
                <w:color w:val="FFFFFF" w:themeColor="background1"/>
                <w:szCs w:val="24"/>
              </w:rPr>
            </w:pPr>
            <w:r w:rsidRPr="00090516">
              <w:rPr>
                <w:b/>
                <w:bCs/>
                <w:color w:val="FFFFFF" w:themeColor="background1"/>
                <w:szCs w:val="24"/>
              </w:rPr>
              <w:t>2</w:t>
            </w:r>
          </w:p>
          <w:p w:rsidR="003A55D6" w:rsidRPr="00090516" w:rsidRDefault="003A55D6" w:rsidP="008A1B34">
            <w:pPr>
              <w:spacing w:after="0"/>
              <w:jc w:val="center"/>
              <w:rPr>
                <w:color w:val="FFFFFF" w:themeColor="background1"/>
                <w:szCs w:val="24"/>
              </w:rPr>
            </w:pPr>
            <w:r w:rsidRPr="00090516">
              <w:rPr>
                <w:b/>
                <w:bCs/>
                <w:color w:val="FFFFFF" w:themeColor="background1"/>
                <w:szCs w:val="24"/>
              </w:rPr>
              <w:t>Full assistance</w:t>
            </w:r>
          </w:p>
        </w:tc>
        <w:tc>
          <w:tcPr>
            <w:tcW w:w="3134" w:type="dxa"/>
            <w:shd w:val="clear" w:color="auto" w:fill="5B9BD5" w:themeFill="accent5"/>
            <w:vAlign w:val="center"/>
          </w:tcPr>
          <w:p w:rsidR="003A55D6" w:rsidRPr="00090516" w:rsidRDefault="003A55D6" w:rsidP="008A1B34">
            <w:pPr>
              <w:spacing w:after="0"/>
              <w:jc w:val="center"/>
              <w:rPr>
                <w:b/>
                <w:bCs/>
                <w:color w:val="FFFFFF" w:themeColor="background1"/>
                <w:szCs w:val="24"/>
              </w:rPr>
            </w:pPr>
            <w:r w:rsidRPr="00090516">
              <w:rPr>
                <w:b/>
                <w:bCs/>
                <w:color w:val="FFFFFF" w:themeColor="background1"/>
                <w:szCs w:val="24"/>
              </w:rPr>
              <w:t>3</w:t>
            </w:r>
          </w:p>
          <w:p w:rsidR="003A55D6" w:rsidRPr="00090516" w:rsidRDefault="003A55D6" w:rsidP="008A1B34">
            <w:pPr>
              <w:spacing w:after="0"/>
              <w:jc w:val="center"/>
              <w:rPr>
                <w:color w:val="FFFFFF" w:themeColor="background1"/>
                <w:szCs w:val="24"/>
              </w:rPr>
            </w:pPr>
            <w:r w:rsidRPr="00090516">
              <w:rPr>
                <w:b/>
                <w:bCs/>
                <w:color w:val="FFFFFF" w:themeColor="background1"/>
                <w:szCs w:val="24"/>
              </w:rPr>
              <w:t>Mechanical Lifting</w:t>
            </w:r>
          </w:p>
        </w:tc>
      </w:tr>
      <w:tr w:rsidR="003A55D6" w:rsidRPr="00A97C01" w:rsidTr="00440BED">
        <w:tc>
          <w:tcPr>
            <w:tcW w:w="1619" w:type="dxa"/>
          </w:tcPr>
          <w:p w:rsidR="003A55D6" w:rsidRPr="00A97C01" w:rsidRDefault="003A55D6" w:rsidP="009C3538">
            <w:pPr>
              <w:jc w:val="left"/>
              <w:rPr>
                <w:b/>
                <w:sz w:val="22"/>
              </w:rPr>
            </w:pPr>
            <w:r w:rsidRPr="00A97C01">
              <w:rPr>
                <w:b/>
                <w:sz w:val="22"/>
              </w:rPr>
              <w:t>Mobility</w:t>
            </w:r>
          </w:p>
          <w:p w:rsidR="003A55D6" w:rsidRPr="00A97C01" w:rsidRDefault="003A55D6" w:rsidP="00F02312">
            <w:pPr>
              <w:pStyle w:val="ListParagraph"/>
              <w:numPr>
                <w:ilvl w:val="0"/>
                <w:numId w:val="182"/>
              </w:numPr>
              <w:ind w:left="227" w:hanging="227"/>
              <w:jc w:val="left"/>
              <w:rPr>
                <w:b/>
                <w:sz w:val="22"/>
              </w:rPr>
            </w:pPr>
            <w:r w:rsidRPr="00A97C01">
              <w:rPr>
                <w:b/>
                <w:sz w:val="22"/>
              </w:rPr>
              <w:t>Transfers</w:t>
            </w:r>
          </w:p>
          <w:p w:rsidR="003A55D6" w:rsidRPr="00A97C01" w:rsidRDefault="003A55D6" w:rsidP="00F02312">
            <w:pPr>
              <w:pStyle w:val="ListParagraph"/>
              <w:numPr>
                <w:ilvl w:val="0"/>
                <w:numId w:val="182"/>
              </w:numPr>
              <w:ind w:left="227" w:hanging="227"/>
              <w:jc w:val="left"/>
              <w:rPr>
                <w:b/>
                <w:sz w:val="22"/>
              </w:rPr>
            </w:pPr>
            <w:r w:rsidRPr="00A97C01">
              <w:rPr>
                <w:b/>
                <w:sz w:val="22"/>
              </w:rPr>
              <w:t>Locomotion</w:t>
            </w:r>
          </w:p>
        </w:tc>
        <w:tc>
          <w:tcPr>
            <w:tcW w:w="3291" w:type="dxa"/>
            <w:shd w:val="clear" w:color="auto" w:fill="auto"/>
          </w:tcPr>
          <w:p w:rsidR="003A55D6" w:rsidRPr="00A97C01" w:rsidRDefault="003A55D6" w:rsidP="00A97C01">
            <w:pPr>
              <w:spacing w:after="60"/>
              <w:jc w:val="left"/>
              <w:rPr>
                <w:sz w:val="22"/>
              </w:rPr>
            </w:pPr>
            <w:r w:rsidRPr="00A97C01">
              <w:rPr>
                <w:sz w:val="22"/>
              </w:rPr>
              <w:t>Independent (with or without aids).</w:t>
            </w:r>
          </w:p>
          <w:p w:rsidR="00980F62" w:rsidRDefault="003A55D6" w:rsidP="00A97C01">
            <w:pPr>
              <w:spacing w:after="60"/>
              <w:jc w:val="left"/>
              <w:rPr>
                <w:sz w:val="22"/>
              </w:rPr>
            </w:pPr>
            <w:r w:rsidRPr="00A97C01">
              <w:rPr>
                <w:sz w:val="22"/>
              </w:rPr>
              <w:t>Standing by for occasional or episodic assistance.</w:t>
            </w:r>
          </w:p>
          <w:p w:rsidR="003A55D6" w:rsidRPr="00A97C01" w:rsidRDefault="003A55D6" w:rsidP="00A97C01">
            <w:pPr>
              <w:spacing w:after="60"/>
              <w:jc w:val="left"/>
              <w:rPr>
                <w:sz w:val="22"/>
              </w:rPr>
            </w:pPr>
            <w:r w:rsidRPr="00A97C01">
              <w:rPr>
                <w:sz w:val="22"/>
              </w:rPr>
              <w:t>Transfer Setting up activities e.g. preparing or providing wheelchair or other transfer aid.</w:t>
            </w:r>
          </w:p>
          <w:p w:rsidR="003A55D6" w:rsidRPr="00A97C01" w:rsidRDefault="003A55D6" w:rsidP="00A97C01">
            <w:pPr>
              <w:spacing w:after="60"/>
              <w:jc w:val="left"/>
              <w:rPr>
                <w:sz w:val="22"/>
              </w:rPr>
            </w:pPr>
            <w:r w:rsidRPr="00A97C01">
              <w:rPr>
                <w:sz w:val="22"/>
              </w:rPr>
              <w:t>Locomotion Setting up activities e.g. handing the resident the mobility aid.</w:t>
            </w:r>
          </w:p>
          <w:p w:rsidR="003A55D6" w:rsidRPr="00A97C01" w:rsidRDefault="003A55D6" w:rsidP="00A97C01">
            <w:pPr>
              <w:spacing w:after="60"/>
              <w:jc w:val="left"/>
              <w:rPr>
                <w:sz w:val="22"/>
              </w:rPr>
            </w:pPr>
            <w:r w:rsidRPr="00A97C01">
              <w:rPr>
                <w:sz w:val="22"/>
              </w:rPr>
              <w:t>Verbal assistance, prompting, cuing.</w:t>
            </w:r>
          </w:p>
        </w:tc>
        <w:tc>
          <w:tcPr>
            <w:tcW w:w="3134" w:type="dxa"/>
            <w:shd w:val="clear" w:color="auto" w:fill="auto"/>
          </w:tcPr>
          <w:p w:rsidR="003A55D6" w:rsidRPr="00A97C01" w:rsidRDefault="003A55D6" w:rsidP="00A97C01">
            <w:pPr>
              <w:spacing w:after="60"/>
              <w:jc w:val="left"/>
              <w:rPr>
                <w:sz w:val="22"/>
              </w:rPr>
            </w:pPr>
            <w:r w:rsidRPr="00A97C01">
              <w:rPr>
                <w:rFonts w:ascii="Calibri" w:hAnsi="Calibri" w:cs="Calibri"/>
                <w:sz w:val="22"/>
              </w:rPr>
              <w:t xml:space="preserve">Always providing physical assistance, on a one-to-one basis, for </w:t>
            </w:r>
            <w:r w:rsidR="007E3A6E" w:rsidRPr="00A97C01">
              <w:rPr>
                <w:rFonts w:ascii="Calibri" w:hAnsi="Calibri" w:cs="Calibri"/>
                <w:sz w:val="22"/>
              </w:rPr>
              <w:t xml:space="preserve">at least </w:t>
            </w:r>
            <w:r w:rsidRPr="00A97C01">
              <w:rPr>
                <w:rFonts w:ascii="Calibri" w:hAnsi="Calibri" w:cs="Calibri"/>
                <w:sz w:val="22"/>
              </w:rPr>
              <w:t>part of the activity, whenever the activity is needed.</w:t>
            </w:r>
          </w:p>
        </w:tc>
        <w:tc>
          <w:tcPr>
            <w:tcW w:w="3134" w:type="dxa"/>
            <w:shd w:val="clear" w:color="auto" w:fill="auto"/>
          </w:tcPr>
          <w:p w:rsidR="003A55D6" w:rsidRPr="00A97C01" w:rsidRDefault="003A55D6" w:rsidP="00A97C01">
            <w:pPr>
              <w:spacing w:after="60"/>
              <w:jc w:val="left"/>
              <w:rPr>
                <w:sz w:val="22"/>
              </w:rPr>
            </w:pPr>
            <w:r w:rsidRPr="00A97C01">
              <w:rPr>
                <w:rFonts w:ascii="Calibri" w:hAnsi="Calibri" w:cs="Calibri"/>
                <w:sz w:val="22"/>
              </w:rPr>
              <w:t>Always providing physical assistance, by at least two staff, throughout the entire activity, whenever the activity is needed.</w:t>
            </w:r>
          </w:p>
        </w:tc>
        <w:tc>
          <w:tcPr>
            <w:tcW w:w="3134" w:type="dxa"/>
            <w:shd w:val="clear" w:color="auto" w:fill="auto"/>
          </w:tcPr>
          <w:p w:rsidR="00980F62" w:rsidRDefault="003A55D6" w:rsidP="00A97C01">
            <w:pPr>
              <w:spacing w:after="60"/>
              <w:jc w:val="left"/>
              <w:rPr>
                <w:rFonts w:ascii="Calibri" w:hAnsi="Calibri" w:cs="Calibri"/>
                <w:bCs/>
                <w:sz w:val="22"/>
              </w:rPr>
            </w:pPr>
            <w:r w:rsidRPr="00A97C01">
              <w:rPr>
                <w:rFonts w:ascii="Calibri" w:hAnsi="Calibri" w:cs="Calibri"/>
                <w:sz w:val="22"/>
              </w:rPr>
              <w:t>Use of Mechanical Lifting device for Transfers:</w:t>
            </w:r>
          </w:p>
          <w:p w:rsidR="003A55D6" w:rsidRPr="00A97C01" w:rsidRDefault="00861DF2" w:rsidP="00A97C01">
            <w:pPr>
              <w:spacing w:after="60"/>
              <w:jc w:val="left"/>
              <w:rPr>
                <w:rFonts w:ascii="Calibri" w:hAnsi="Calibri" w:cs="Calibri"/>
                <w:bCs/>
                <w:sz w:val="22"/>
              </w:rPr>
            </w:pPr>
            <w:r w:rsidRPr="00A97C01">
              <w:rPr>
                <w:rFonts w:ascii="Calibri" w:hAnsi="Calibri" w:cs="Calibri"/>
                <w:sz w:val="22"/>
              </w:rPr>
              <w:t xml:space="preserve">Always providing physical assistance by the use of mechanical lifting equipment, throughout the entire transfer activity, whenever the activity is needed. </w:t>
            </w:r>
          </w:p>
        </w:tc>
      </w:tr>
      <w:tr w:rsidR="00440BED" w:rsidRPr="00A97C01" w:rsidTr="00440BED">
        <w:tc>
          <w:tcPr>
            <w:tcW w:w="1619" w:type="dxa"/>
          </w:tcPr>
          <w:p w:rsidR="00440BED" w:rsidRPr="00A97C01" w:rsidRDefault="00440BED" w:rsidP="009C3538">
            <w:pPr>
              <w:jc w:val="left"/>
              <w:rPr>
                <w:b/>
                <w:sz w:val="22"/>
              </w:rPr>
            </w:pPr>
            <w:r w:rsidRPr="00A97C01">
              <w:rPr>
                <w:b/>
                <w:sz w:val="22"/>
              </w:rPr>
              <w:t>Mandated Evidence</w:t>
            </w:r>
          </w:p>
        </w:tc>
        <w:tc>
          <w:tcPr>
            <w:tcW w:w="3291" w:type="dxa"/>
            <w:shd w:val="clear" w:color="auto" w:fill="auto"/>
          </w:tcPr>
          <w:p w:rsidR="00440BED" w:rsidRPr="00A97C01" w:rsidRDefault="00440BED" w:rsidP="00A97C01">
            <w:pPr>
              <w:spacing w:after="60"/>
              <w:jc w:val="left"/>
              <w:rPr>
                <w:sz w:val="22"/>
              </w:rPr>
            </w:pPr>
            <w:r w:rsidRPr="00626604">
              <w:rPr>
                <w:rFonts w:cstheme="minorHAnsi"/>
                <w:i/>
                <w:sz w:val="20"/>
                <w:szCs w:val="20"/>
              </w:rPr>
              <w:t>Not required for standard care.</w:t>
            </w:r>
          </w:p>
        </w:tc>
        <w:tc>
          <w:tcPr>
            <w:tcW w:w="9402" w:type="dxa"/>
            <w:gridSpan w:val="3"/>
            <w:shd w:val="clear" w:color="auto" w:fill="auto"/>
          </w:tcPr>
          <w:p w:rsidR="00440BED" w:rsidRPr="00A97C01" w:rsidRDefault="00440BED" w:rsidP="00A97C01">
            <w:pPr>
              <w:spacing w:after="60"/>
              <w:jc w:val="center"/>
              <w:rPr>
                <w:sz w:val="22"/>
              </w:rPr>
            </w:pPr>
            <w:r w:rsidRPr="00A97C01">
              <w:rPr>
                <w:bCs/>
                <w:sz w:val="22"/>
              </w:rPr>
              <w:t>R-ACFI Q2: PMS &amp; FRAT items (completed within last 3 months of appraisal)</w:t>
            </w:r>
          </w:p>
        </w:tc>
      </w:tr>
      <w:tr w:rsidR="00440BED" w:rsidRPr="00A97C01" w:rsidTr="00440BED">
        <w:tc>
          <w:tcPr>
            <w:tcW w:w="1619" w:type="dxa"/>
          </w:tcPr>
          <w:p w:rsidR="00440BED" w:rsidRPr="00A97C01" w:rsidRDefault="00440BED" w:rsidP="009C3538">
            <w:pPr>
              <w:jc w:val="left"/>
              <w:rPr>
                <w:b/>
                <w:sz w:val="22"/>
              </w:rPr>
            </w:pPr>
            <w:r w:rsidRPr="00A97C01">
              <w:rPr>
                <w:b/>
                <w:sz w:val="22"/>
              </w:rPr>
              <w:t>Supporting Evidence</w:t>
            </w:r>
          </w:p>
        </w:tc>
        <w:tc>
          <w:tcPr>
            <w:tcW w:w="3291" w:type="dxa"/>
            <w:shd w:val="clear" w:color="auto" w:fill="auto"/>
          </w:tcPr>
          <w:p w:rsidR="00440BED" w:rsidRPr="00A97C01" w:rsidRDefault="00440BED" w:rsidP="00A97C01">
            <w:pPr>
              <w:spacing w:after="60"/>
              <w:jc w:val="left"/>
              <w:rPr>
                <w:sz w:val="22"/>
              </w:rPr>
            </w:pPr>
            <w:r w:rsidRPr="00626604">
              <w:rPr>
                <w:rFonts w:cstheme="minorHAnsi"/>
                <w:i/>
                <w:sz w:val="20"/>
                <w:szCs w:val="20"/>
              </w:rPr>
              <w:t>Not required for standard care.</w:t>
            </w:r>
          </w:p>
        </w:tc>
        <w:tc>
          <w:tcPr>
            <w:tcW w:w="9402" w:type="dxa"/>
            <w:gridSpan w:val="3"/>
            <w:shd w:val="clear" w:color="auto" w:fill="auto"/>
          </w:tcPr>
          <w:p w:rsidR="00440BED" w:rsidRPr="00A97C01" w:rsidRDefault="00440BED" w:rsidP="00A97C01">
            <w:pPr>
              <w:spacing w:after="60"/>
              <w:jc w:val="center"/>
              <w:rPr>
                <w:rFonts w:ascii="Calibri" w:hAnsi="Calibri" w:cs="Calibri"/>
                <w:sz w:val="22"/>
              </w:rPr>
            </w:pPr>
            <w:r w:rsidRPr="00A97C01">
              <w:rPr>
                <w:rFonts w:ascii="Calibri" w:hAnsi="Calibri" w:cs="Calibri"/>
                <w:sz w:val="22"/>
              </w:rPr>
              <w:t xml:space="preserve">Sensory Impairment: </w:t>
            </w:r>
            <w:r w:rsidRPr="00A97C01">
              <w:rPr>
                <w:sz w:val="22"/>
              </w:rPr>
              <w:t>Evidence: NSAF, MP notes, diagnoses</w:t>
            </w:r>
          </w:p>
          <w:p w:rsidR="00440BED" w:rsidRPr="00A97C01" w:rsidRDefault="00440BED" w:rsidP="00A97C01">
            <w:pPr>
              <w:spacing w:after="60"/>
              <w:jc w:val="center"/>
              <w:rPr>
                <w:sz w:val="22"/>
              </w:rPr>
            </w:pPr>
            <w:r w:rsidRPr="00A97C01">
              <w:rPr>
                <w:rFonts w:ascii="Calibri" w:hAnsi="Calibri" w:cs="Calibri"/>
                <w:sz w:val="22"/>
              </w:rPr>
              <w:t xml:space="preserve">Behavioural Issues: </w:t>
            </w:r>
            <w:r w:rsidRPr="00A97C01">
              <w:rPr>
                <w:sz w:val="22"/>
              </w:rPr>
              <w:t>Evidence- clinical report, NSAF, MP notes.</w:t>
            </w:r>
          </w:p>
          <w:p w:rsidR="00440BED" w:rsidRPr="00A97C01" w:rsidRDefault="00440BED" w:rsidP="00A97C01">
            <w:pPr>
              <w:spacing w:after="60"/>
              <w:jc w:val="center"/>
              <w:rPr>
                <w:sz w:val="22"/>
              </w:rPr>
            </w:pPr>
            <w:r w:rsidRPr="00A97C01">
              <w:rPr>
                <w:rFonts w:ascii="Calibri" w:hAnsi="Calibri" w:cs="Calibri"/>
                <w:sz w:val="22"/>
              </w:rPr>
              <w:t xml:space="preserve">Physical impairment e.g. gait, balance. </w:t>
            </w:r>
            <w:r w:rsidRPr="00A97C01">
              <w:rPr>
                <w:sz w:val="22"/>
              </w:rPr>
              <w:t>Evidence: Functional Assessment (PMS), Physiotherapy report, NSAF, MP notes, diagnoses.</w:t>
            </w:r>
          </w:p>
        </w:tc>
      </w:tr>
      <w:tr w:rsidR="00440BED" w:rsidRPr="00A97C01" w:rsidTr="00440BED">
        <w:tc>
          <w:tcPr>
            <w:tcW w:w="1619" w:type="dxa"/>
          </w:tcPr>
          <w:p w:rsidR="00440BED" w:rsidRPr="00A97C01" w:rsidRDefault="00440BED" w:rsidP="009C3538">
            <w:pPr>
              <w:jc w:val="left"/>
              <w:rPr>
                <w:b/>
                <w:sz w:val="22"/>
              </w:rPr>
            </w:pPr>
            <w:r w:rsidRPr="00A97C01">
              <w:rPr>
                <w:b/>
                <w:sz w:val="22"/>
              </w:rPr>
              <w:t>Supporting Evidence</w:t>
            </w:r>
          </w:p>
        </w:tc>
        <w:tc>
          <w:tcPr>
            <w:tcW w:w="3291" w:type="dxa"/>
            <w:shd w:val="clear" w:color="auto" w:fill="auto"/>
          </w:tcPr>
          <w:p w:rsidR="00440BED" w:rsidRPr="00A97C01" w:rsidRDefault="00440BED" w:rsidP="00A97C01">
            <w:pPr>
              <w:spacing w:after="60"/>
              <w:jc w:val="left"/>
              <w:rPr>
                <w:sz w:val="22"/>
              </w:rPr>
            </w:pPr>
            <w:r w:rsidRPr="00626604">
              <w:rPr>
                <w:rFonts w:cstheme="minorHAnsi"/>
                <w:i/>
                <w:sz w:val="20"/>
                <w:szCs w:val="20"/>
              </w:rPr>
              <w:t>Not required for standard care.</w:t>
            </w:r>
          </w:p>
        </w:tc>
        <w:tc>
          <w:tcPr>
            <w:tcW w:w="3134" w:type="dxa"/>
            <w:shd w:val="clear" w:color="auto" w:fill="auto"/>
          </w:tcPr>
          <w:p w:rsidR="00440BED" w:rsidRPr="00A97C01" w:rsidRDefault="00440BED" w:rsidP="00A97C01">
            <w:pPr>
              <w:spacing w:after="60"/>
              <w:jc w:val="left"/>
              <w:rPr>
                <w:sz w:val="22"/>
              </w:rPr>
            </w:pPr>
            <w:r w:rsidRPr="00A97C01">
              <w:rPr>
                <w:sz w:val="22"/>
              </w:rPr>
              <w:t>Moderate cognitive impairment, requires staff to initiate the activity.</w:t>
            </w:r>
          </w:p>
          <w:p w:rsidR="00440BED" w:rsidRPr="00A97C01" w:rsidRDefault="00440BED" w:rsidP="00A97C01">
            <w:pPr>
              <w:spacing w:after="60"/>
              <w:jc w:val="left"/>
              <w:rPr>
                <w:sz w:val="22"/>
              </w:rPr>
            </w:pPr>
            <w:r w:rsidRPr="00A97C01">
              <w:rPr>
                <w:sz w:val="22"/>
              </w:rPr>
              <w:t>Evidence: Cognition Assessment (SMMSE), clinical report, NSAF, MP notes.</w:t>
            </w:r>
          </w:p>
        </w:tc>
        <w:tc>
          <w:tcPr>
            <w:tcW w:w="3134" w:type="dxa"/>
            <w:shd w:val="clear" w:color="auto" w:fill="auto"/>
          </w:tcPr>
          <w:p w:rsidR="00440BED" w:rsidRPr="00A97C01" w:rsidRDefault="00440BED" w:rsidP="00A97C01">
            <w:pPr>
              <w:spacing w:after="60"/>
              <w:jc w:val="left"/>
              <w:rPr>
                <w:sz w:val="22"/>
              </w:rPr>
            </w:pPr>
            <w:r w:rsidRPr="00A97C01">
              <w:rPr>
                <w:sz w:val="22"/>
              </w:rPr>
              <w:t>Severe cognitive impairment e.g. does not participate in the activity.</w:t>
            </w:r>
          </w:p>
          <w:p w:rsidR="00440BED" w:rsidRPr="00A97C01" w:rsidRDefault="00440BED" w:rsidP="00A97C01">
            <w:pPr>
              <w:spacing w:after="60"/>
              <w:jc w:val="left"/>
              <w:rPr>
                <w:sz w:val="22"/>
              </w:rPr>
            </w:pPr>
            <w:r w:rsidRPr="00A97C01">
              <w:rPr>
                <w:sz w:val="22"/>
              </w:rPr>
              <w:t>Evidence: Cognition Assessment (SMMSE), clinical report, NSAF, MP notes, diagnoses</w:t>
            </w:r>
          </w:p>
        </w:tc>
        <w:tc>
          <w:tcPr>
            <w:tcW w:w="3134" w:type="dxa"/>
            <w:shd w:val="clear" w:color="auto" w:fill="auto"/>
          </w:tcPr>
          <w:p w:rsidR="00440BED" w:rsidRPr="00A97C01" w:rsidRDefault="00440BED" w:rsidP="00A97C01">
            <w:pPr>
              <w:spacing w:after="60"/>
              <w:jc w:val="left"/>
              <w:rPr>
                <w:bCs/>
                <w:sz w:val="22"/>
              </w:rPr>
            </w:pPr>
            <w:r w:rsidRPr="00A97C01">
              <w:rPr>
                <w:sz w:val="22"/>
              </w:rPr>
              <w:t>Evidence: Physiotherapy Assessment, NSAF, MP notes, diagnoses</w:t>
            </w:r>
          </w:p>
        </w:tc>
      </w:tr>
    </w:tbl>
    <w:p w:rsidR="00D4473B" w:rsidRDefault="00D4473B">
      <w:pPr>
        <w:spacing w:after="200"/>
        <w:rPr>
          <w:rFonts w:ascii="Calibri" w:hAnsi="Calibri" w:cs="Times New Roman"/>
          <w:b/>
          <w:iCs/>
          <w:szCs w:val="18"/>
        </w:rPr>
      </w:pPr>
      <w:r>
        <w:br w:type="page"/>
      </w:r>
    </w:p>
    <w:p w:rsidR="00173379" w:rsidRDefault="00173379" w:rsidP="00173379">
      <w:pPr>
        <w:pStyle w:val="Caption"/>
        <w:keepNext/>
      </w:pPr>
      <w:bookmarkStart w:id="268" w:name="_Toc495415868"/>
      <w:bookmarkStart w:id="269" w:name="Tab0405c"/>
      <w:r>
        <w:lastRenderedPageBreak/>
        <w:t>Table 4.5</w:t>
      </w:r>
      <w:r w:rsidR="009A3F5A">
        <w:fldChar w:fldCharType="begin"/>
      </w:r>
      <w:r w:rsidR="009A3F5A">
        <w:instrText xml:space="preserve"> SEQ Table_4.5 \* alphabetic </w:instrText>
      </w:r>
      <w:r w:rsidR="009A3F5A">
        <w:fldChar w:fldCharType="separate"/>
      </w:r>
      <w:r w:rsidR="00856E49">
        <w:rPr>
          <w:noProof/>
        </w:rPr>
        <w:t>b</w:t>
      </w:r>
      <w:r w:rsidR="009A3F5A">
        <w:rPr>
          <w:noProof/>
        </w:rPr>
        <w:fldChar w:fldCharType="end"/>
      </w:r>
      <w:r>
        <w:t xml:space="preserve">: </w:t>
      </w:r>
      <w:r w:rsidRPr="00173379">
        <w:t>R-ACFI ADL rating (Personal Hygiene, Toileting)</w:t>
      </w:r>
      <w:bookmarkEnd w:id="268"/>
    </w:p>
    <w:tbl>
      <w:tblPr>
        <w:tblStyle w:val="TableGrid"/>
        <w:tblW w:w="0" w:type="auto"/>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able 4.5b is a list of details on the rating and supporting evidence requirements for personal hygiene and toileting under the revised aged care funding instrument (R-ACFI), as summarised in the text prior to this table. Ratings are zero (standard care), one (moderate assistance) and two (full assistance). This table is to be read left to right, top to bottom."/>
      </w:tblPr>
      <w:tblGrid>
        <w:gridCol w:w="1980"/>
        <w:gridCol w:w="4257"/>
        <w:gridCol w:w="4110"/>
        <w:gridCol w:w="3969"/>
      </w:tblGrid>
      <w:tr w:rsidR="00090516" w:rsidRPr="00090516" w:rsidTr="00440BED">
        <w:trPr>
          <w:tblHeader/>
        </w:trPr>
        <w:tc>
          <w:tcPr>
            <w:tcW w:w="1980" w:type="dxa"/>
            <w:shd w:val="clear" w:color="auto" w:fill="5B9BD5" w:themeFill="accent5"/>
            <w:vAlign w:val="center"/>
          </w:tcPr>
          <w:bookmarkEnd w:id="269"/>
          <w:p w:rsidR="003A55D6" w:rsidRPr="00090516" w:rsidRDefault="00440BED" w:rsidP="00440BED">
            <w:pPr>
              <w:spacing w:after="0"/>
              <w:jc w:val="left"/>
              <w:rPr>
                <w:b/>
                <w:bCs/>
                <w:color w:val="FFFFFF" w:themeColor="background1"/>
                <w:sz w:val="20"/>
                <w:szCs w:val="20"/>
              </w:rPr>
            </w:pPr>
            <w:r>
              <w:rPr>
                <w:b/>
                <w:bCs/>
                <w:color w:val="FFFFFF" w:themeColor="background1"/>
                <w:sz w:val="20"/>
                <w:szCs w:val="20"/>
              </w:rPr>
              <w:t>Requirements</w:t>
            </w:r>
          </w:p>
        </w:tc>
        <w:tc>
          <w:tcPr>
            <w:tcW w:w="4257" w:type="dxa"/>
            <w:shd w:val="clear" w:color="auto" w:fill="5B9BD5" w:themeFill="accent5"/>
          </w:tcPr>
          <w:p w:rsidR="003A55D6" w:rsidRPr="00090516" w:rsidRDefault="003A55D6" w:rsidP="003A55D6">
            <w:pPr>
              <w:spacing w:after="0"/>
              <w:jc w:val="center"/>
              <w:rPr>
                <w:b/>
                <w:bCs/>
                <w:color w:val="FFFFFF" w:themeColor="background1"/>
                <w:szCs w:val="24"/>
              </w:rPr>
            </w:pPr>
            <w:r w:rsidRPr="00090516">
              <w:rPr>
                <w:b/>
                <w:bCs/>
                <w:color w:val="FFFFFF" w:themeColor="background1"/>
                <w:szCs w:val="24"/>
              </w:rPr>
              <w:t>0</w:t>
            </w:r>
          </w:p>
          <w:p w:rsidR="003A55D6" w:rsidRPr="00090516" w:rsidRDefault="003A55D6" w:rsidP="003A55D6">
            <w:pPr>
              <w:spacing w:after="0"/>
              <w:jc w:val="center"/>
              <w:rPr>
                <w:b/>
                <w:bCs/>
                <w:color w:val="FFFFFF" w:themeColor="background1"/>
                <w:szCs w:val="24"/>
              </w:rPr>
            </w:pPr>
            <w:r w:rsidRPr="00090516">
              <w:rPr>
                <w:b/>
                <w:bCs/>
                <w:color w:val="FFFFFF" w:themeColor="background1"/>
                <w:szCs w:val="24"/>
              </w:rPr>
              <w:t>Standard Care</w:t>
            </w:r>
          </w:p>
        </w:tc>
        <w:tc>
          <w:tcPr>
            <w:tcW w:w="4110" w:type="dxa"/>
            <w:shd w:val="clear" w:color="auto" w:fill="5B9BD5" w:themeFill="accent5"/>
          </w:tcPr>
          <w:p w:rsidR="003A55D6" w:rsidRPr="00090516" w:rsidRDefault="003A55D6" w:rsidP="003A55D6">
            <w:pPr>
              <w:spacing w:after="0"/>
              <w:jc w:val="center"/>
              <w:rPr>
                <w:b/>
                <w:bCs/>
                <w:color w:val="FFFFFF" w:themeColor="background1"/>
                <w:szCs w:val="24"/>
              </w:rPr>
            </w:pPr>
            <w:r w:rsidRPr="00090516">
              <w:rPr>
                <w:b/>
                <w:bCs/>
                <w:color w:val="FFFFFF" w:themeColor="background1"/>
                <w:szCs w:val="24"/>
              </w:rPr>
              <w:t>1</w:t>
            </w:r>
          </w:p>
          <w:p w:rsidR="003A55D6" w:rsidRPr="00090516" w:rsidRDefault="003A55D6" w:rsidP="003A55D6">
            <w:pPr>
              <w:spacing w:after="0"/>
              <w:jc w:val="center"/>
              <w:rPr>
                <w:color w:val="FFFFFF" w:themeColor="background1"/>
                <w:szCs w:val="24"/>
              </w:rPr>
            </w:pPr>
            <w:r w:rsidRPr="00090516">
              <w:rPr>
                <w:b/>
                <w:bCs/>
                <w:color w:val="FFFFFF" w:themeColor="background1"/>
                <w:szCs w:val="24"/>
              </w:rPr>
              <w:t xml:space="preserve">Moderate assistance </w:t>
            </w:r>
          </w:p>
        </w:tc>
        <w:tc>
          <w:tcPr>
            <w:tcW w:w="3969" w:type="dxa"/>
            <w:shd w:val="clear" w:color="auto" w:fill="5B9BD5" w:themeFill="accent5"/>
          </w:tcPr>
          <w:p w:rsidR="003A55D6" w:rsidRPr="00090516" w:rsidRDefault="003A55D6" w:rsidP="003A55D6">
            <w:pPr>
              <w:spacing w:after="0"/>
              <w:jc w:val="center"/>
              <w:rPr>
                <w:rFonts w:ascii="Calibri" w:hAnsi="Calibri" w:cs="Calibri"/>
                <w:b/>
                <w:bCs/>
                <w:color w:val="FFFFFF" w:themeColor="background1"/>
                <w:szCs w:val="24"/>
              </w:rPr>
            </w:pPr>
            <w:r w:rsidRPr="00090516">
              <w:rPr>
                <w:b/>
                <w:bCs/>
                <w:color w:val="FFFFFF" w:themeColor="background1"/>
                <w:szCs w:val="24"/>
              </w:rPr>
              <w:t>2</w:t>
            </w:r>
          </w:p>
          <w:p w:rsidR="003A55D6" w:rsidRPr="00090516" w:rsidRDefault="003A55D6" w:rsidP="003A55D6">
            <w:pPr>
              <w:spacing w:after="0"/>
              <w:jc w:val="center"/>
              <w:rPr>
                <w:color w:val="FFFFFF" w:themeColor="background1"/>
                <w:szCs w:val="24"/>
              </w:rPr>
            </w:pPr>
            <w:r w:rsidRPr="00090516">
              <w:rPr>
                <w:b/>
                <w:bCs/>
                <w:color w:val="FFFFFF" w:themeColor="background1"/>
                <w:szCs w:val="24"/>
              </w:rPr>
              <w:t xml:space="preserve">Full assistance </w:t>
            </w:r>
          </w:p>
        </w:tc>
      </w:tr>
      <w:tr w:rsidR="003A55D6" w:rsidRPr="00A97C01" w:rsidTr="00090516">
        <w:tc>
          <w:tcPr>
            <w:tcW w:w="1980" w:type="dxa"/>
          </w:tcPr>
          <w:p w:rsidR="003A55D6" w:rsidRPr="00A97C01" w:rsidRDefault="003A55D6" w:rsidP="009C3538">
            <w:pPr>
              <w:jc w:val="left"/>
              <w:rPr>
                <w:b/>
                <w:sz w:val="22"/>
              </w:rPr>
            </w:pPr>
            <w:r w:rsidRPr="00A97C01">
              <w:rPr>
                <w:b/>
                <w:sz w:val="22"/>
              </w:rPr>
              <w:t>Personal Hygiene</w:t>
            </w:r>
          </w:p>
          <w:p w:rsidR="003A55D6" w:rsidRPr="00A97C01" w:rsidRDefault="00A97C01" w:rsidP="00F02312">
            <w:pPr>
              <w:pStyle w:val="ListParagraph"/>
              <w:numPr>
                <w:ilvl w:val="0"/>
                <w:numId w:val="182"/>
              </w:numPr>
              <w:ind w:left="227" w:hanging="227"/>
              <w:jc w:val="left"/>
              <w:rPr>
                <w:b/>
                <w:sz w:val="22"/>
              </w:rPr>
            </w:pPr>
            <w:r w:rsidRPr="00A97C01">
              <w:rPr>
                <w:b/>
                <w:sz w:val="22"/>
              </w:rPr>
              <w:t>T</w:t>
            </w:r>
            <w:r w:rsidR="003A55D6" w:rsidRPr="00A97C01">
              <w:rPr>
                <w:b/>
                <w:sz w:val="22"/>
              </w:rPr>
              <w:t>oileting</w:t>
            </w:r>
          </w:p>
        </w:tc>
        <w:tc>
          <w:tcPr>
            <w:tcW w:w="4257" w:type="dxa"/>
            <w:shd w:val="clear" w:color="auto" w:fill="auto"/>
          </w:tcPr>
          <w:p w:rsidR="003A55D6" w:rsidRPr="00A97C01" w:rsidRDefault="003A55D6" w:rsidP="00A97C01">
            <w:pPr>
              <w:spacing w:after="60"/>
              <w:jc w:val="left"/>
              <w:rPr>
                <w:sz w:val="22"/>
              </w:rPr>
            </w:pPr>
            <w:r w:rsidRPr="00A97C01">
              <w:rPr>
                <w:sz w:val="22"/>
              </w:rPr>
              <w:t>Independent (with or without aids).</w:t>
            </w:r>
          </w:p>
          <w:p w:rsidR="00980F62" w:rsidRDefault="003A55D6" w:rsidP="00A97C01">
            <w:pPr>
              <w:spacing w:after="60"/>
              <w:jc w:val="left"/>
              <w:rPr>
                <w:sz w:val="22"/>
              </w:rPr>
            </w:pPr>
            <w:r w:rsidRPr="00A97C01">
              <w:rPr>
                <w:sz w:val="22"/>
              </w:rPr>
              <w:t>Standing by for occasional or episodic assistance.</w:t>
            </w:r>
          </w:p>
          <w:p w:rsidR="00980F62" w:rsidRDefault="003A55D6" w:rsidP="00A97C01">
            <w:pPr>
              <w:spacing w:after="60"/>
              <w:jc w:val="left"/>
              <w:rPr>
                <w:sz w:val="22"/>
              </w:rPr>
            </w:pPr>
            <w:r w:rsidRPr="00A97C01">
              <w:rPr>
                <w:sz w:val="22"/>
              </w:rPr>
              <w:t>Setting up activities:</w:t>
            </w:r>
          </w:p>
          <w:p w:rsidR="00980F62" w:rsidRDefault="003A55D6" w:rsidP="00A97C01">
            <w:pPr>
              <w:spacing w:after="60"/>
              <w:jc w:val="left"/>
              <w:rPr>
                <w:sz w:val="22"/>
              </w:rPr>
            </w:pPr>
            <w:r w:rsidRPr="00A97C01">
              <w:rPr>
                <w:sz w:val="22"/>
              </w:rPr>
              <w:t>Dressing e.g. choosing and laying out clothes</w:t>
            </w:r>
          </w:p>
          <w:p w:rsidR="003A55D6" w:rsidRPr="00A97C01" w:rsidRDefault="003A55D6" w:rsidP="00A97C01">
            <w:pPr>
              <w:spacing w:after="60"/>
              <w:jc w:val="left"/>
              <w:rPr>
                <w:sz w:val="22"/>
              </w:rPr>
            </w:pPr>
            <w:r w:rsidRPr="00A97C01">
              <w:rPr>
                <w:sz w:val="22"/>
              </w:rPr>
              <w:t>Washing e.g. up toiletries within reach, turning on or adjusting taps</w:t>
            </w:r>
          </w:p>
          <w:p w:rsidR="003A55D6" w:rsidRPr="00A97C01" w:rsidRDefault="003A55D6" w:rsidP="00A97C01">
            <w:pPr>
              <w:spacing w:after="60"/>
              <w:jc w:val="left"/>
              <w:rPr>
                <w:sz w:val="22"/>
              </w:rPr>
            </w:pPr>
            <w:r w:rsidRPr="00A97C01">
              <w:rPr>
                <w:sz w:val="22"/>
              </w:rPr>
              <w:t>Use of Toilet e.g. setting up toilet aids or handing the resident the bedpan or urinal, or placing ostomy articles in reach</w:t>
            </w:r>
          </w:p>
          <w:p w:rsidR="003A55D6" w:rsidRPr="00A97C01" w:rsidRDefault="003A55D6" w:rsidP="00A97C01">
            <w:pPr>
              <w:spacing w:after="60"/>
              <w:jc w:val="left"/>
              <w:rPr>
                <w:sz w:val="22"/>
              </w:rPr>
            </w:pPr>
            <w:r w:rsidRPr="00A97C01">
              <w:rPr>
                <w:sz w:val="22"/>
              </w:rPr>
              <w:t>Toilet Completion: e.g. emptying drainage bags, urinals, bed pans or commode bowl.</w:t>
            </w:r>
          </w:p>
          <w:p w:rsidR="003A55D6" w:rsidRPr="00A97C01" w:rsidRDefault="003A55D6" w:rsidP="00A97C01">
            <w:pPr>
              <w:spacing w:after="60"/>
              <w:jc w:val="left"/>
              <w:rPr>
                <w:sz w:val="22"/>
              </w:rPr>
            </w:pPr>
            <w:r w:rsidRPr="00A97C01">
              <w:rPr>
                <w:sz w:val="22"/>
              </w:rPr>
              <w:t>Verbal assistance, prompting, cuing.</w:t>
            </w:r>
          </w:p>
        </w:tc>
        <w:tc>
          <w:tcPr>
            <w:tcW w:w="4110" w:type="dxa"/>
            <w:shd w:val="clear" w:color="auto" w:fill="auto"/>
          </w:tcPr>
          <w:p w:rsidR="003A55D6" w:rsidRPr="00A97C01" w:rsidRDefault="003A55D6" w:rsidP="00A97C01">
            <w:pPr>
              <w:spacing w:after="60"/>
              <w:jc w:val="left"/>
              <w:rPr>
                <w:sz w:val="22"/>
              </w:rPr>
            </w:pPr>
            <w:r w:rsidRPr="00A97C01">
              <w:rPr>
                <w:rFonts w:ascii="Calibri" w:hAnsi="Calibri" w:cs="Calibri"/>
                <w:sz w:val="22"/>
              </w:rPr>
              <w:t xml:space="preserve">Always providing physical assistance, on a one-to-one basis, for </w:t>
            </w:r>
            <w:r w:rsidR="007E3A6E" w:rsidRPr="00A97C01">
              <w:rPr>
                <w:rFonts w:ascii="Calibri" w:hAnsi="Calibri" w:cs="Calibri"/>
                <w:sz w:val="22"/>
              </w:rPr>
              <w:t xml:space="preserve">at least </w:t>
            </w:r>
            <w:r w:rsidRPr="00A97C01">
              <w:rPr>
                <w:rFonts w:ascii="Calibri" w:hAnsi="Calibri" w:cs="Calibri"/>
                <w:sz w:val="22"/>
              </w:rPr>
              <w:t>part of the activity, whenever the activity is needed.</w:t>
            </w:r>
          </w:p>
        </w:tc>
        <w:tc>
          <w:tcPr>
            <w:tcW w:w="3969" w:type="dxa"/>
            <w:shd w:val="clear" w:color="auto" w:fill="auto"/>
          </w:tcPr>
          <w:p w:rsidR="003A55D6" w:rsidRPr="00A97C01" w:rsidRDefault="003A55D6" w:rsidP="00A97C01">
            <w:pPr>
              <w:spacing w:after="60"/>
              <w:jc w:val="left"/>
              <w:rPr>
                <w:sz w:val="22"/>
              </w:rPr>
            </w:pPr>
            <w:r w:rsidRPr="00A97C01">
              <w:rPr>
                <w:rFonts w:ascii="Calibri" w:hAnsi="Calibri" w:cs="Calibri"/>
                <w:sz w:val="22"/>
              </w:rPr>
              <w:t>Always providing physical assistance, by at least two staff, throughout the entire activity, whenever the activity is needed.</w:t>
            </w:r>
          </w:p>
        </w:tc>
      </w:tr>
      <w:tr w:rsidR="00411162" w:rsidRPr="00A97C01" w:rsidTr="00090516">
        <w:tc>
          <w:tcPr>
            <w:tcW w:w="1980" w:type="dxa"/>
          </w:tcPr>
          <w:p w:rsidR="00411162" w:rsidRPr="00A97C01" w:rsidRDefault="00411162" w:rsidP="009C3538">
            <w:pPr>
              <w:jc w:val="left"/>
              <w:rPr>
                <w:b/>
                <w:sz w:val="22"/>
              </w:rPr>
            </w:pPr>
            <w:r w:rsidRPr="00A97C01">
              <w:rPr>
                <w:b/>
                <w:sz w:val="22"/>
              </w:rPr>
              <w:t>Supporting Evidence</w:t>
            </w:r>
          </w:p>
        </w:tc>
        <w:tc>
          <w:tcPr>
            <w:tcW w:w="4257" w:type="dxa"/>
            <w:shd w:val="clear" w:color="auto" w:fill="auto"/>
          </w:tcPr>
          <w:p w:rsidR="00411162" w:rsidRPr="00411162" w:rsidRDefault="00411162" w:rsidP="00A97C01">
            <w:pPr>
              <w:spacing w:after="60"/>
              <w:jc w:val="left"/>
              <w:rPr>
                <w:sz w:val="22"/>
              </w:rPr>
            </w:pPr>
            <w:r w:rsidRPr="00411162">
              <w:rPr>
                <w:rFonts w:cstheme="minorHAnsi"/>
                <w:i/>
                <w:sz w:val="22"/>
              </w:rPr>
              <w:t>Not required for standard care.</w:t>
            </w:r>
          </w:p>
        </w:tc>
        <w:tc>
          <w:tcPr>
            <w:tcW w:w="4110" w:type="dxa"/>
            <w:shd w:val="clear" w:color="auto" w:fill="auto"/>
          </w:tcPr>
          <w:p w:rsidR="00980F62" w:rsidRDefault="00411162" w:rsidP="00A97C01">
            <w:pPr>
              <w:spacing w:after="60"/>
              <w:jc w:val="left"/>
              <w:rPr>
                <w:bCs/>
                <w:sz w:val="22"/>
              </w:rPr>
            </w:pPr>
            <w:r w:rsidRPr="00A97C01">
              <w:rPr>
                <w:bCs/>
                <w:sz w:val="22"/>
              </w:rPr>
              <w:t>Supporting Evidence R-ACFI Q3-4:</w:t>
            </w:r>
          </w:p>
          <w:p w:rsidR="00411162" w:rsidRPr="00A97C01" w:rsidRDefault="00411162" w:rsidP="00A97C01">
            <w:pPr>
              <w:spacing w:after="60"/>
              <w:jc w:val="left"/>
              <w:rPr>
                <w:bCs/>
                <w:sz w:val="22"/>
              </w:rPr>
            </w:pPr>
            <w:r w:rsidRPr="00A97C01">
              <w:rPr>
                <w:bCs/>
                <w:sz w:val="22"/>
              </w:rPr>
              <w:t>PMS/FRAT items, NSAF, MP/AHP notes.</w:t>
            </w:r>
          </w:p>
          <w:p w:rsidR="00411162" w:rsidRPr="00A97C01" w:rsidRDefault="00411162" w:rsidP="00A97C01">
            <w:pPr>
              <w:spacing w:after="60"/>
              <w:jc w:val="left"/>
              <w:rPr>
                <w:sz w:val="22"/>
              </w:rPr>
            </w:pPr>
            <w:r w:rsidRPr="00A97C01">
              <w:rPr>
                <w:sz w:val="22"/>
              </w:rPr>
              <w:t>Moderate cognitive impairment, requires staff to initiate the activity.</w:t>
            </w:r>
          </w:p>
          <w:p w:rsidR="00411162" w:rsidRPr="00A97C01" w:rsidRDefault="00411162" w:rsidP="00A97C01">
            <w:pPr>
              <w:spacing w:after="60"/>
              <w:jc w:val="left"/>
              <w:rPr>
                <w:sz w:val="22"/>
              </w:rPr>
            </w:pPr>
            <w:r w:rsidRPr="00A97C01">
              <w:rPr>
                <w:sz w:val="22"/>
              </w:rPr>
              <w:t>Evidence: Cognition Assessment (SMMSE), clinical report, NSAF, MP notes.</w:t>
            </w:r>
          </w:p>
          <w:p w:rsidR="00411162" w:rsidRPr="00A97C01" w:rsidRDefault="00411162" w:rsidP="00A97C01">
            <w:pPr>
              <w:spacing w:after="60"/>
              <w:jc w:val="left"/>
              <w:rPr>
                <w:rFonts w:ascii="Calibri" w:hAnsi="Calibri" w:cs="Calibri"/>
                <w:sz w:val="22"/>
              </w:rPr>
            </w:pPr>
            <w:r w:rsidRPr="00A97C01">
              <w:rPr>
                <w:rFonts w:ascii="Calibri" w:hAnsi="Calibri" w:cs="Calibri"/>
                <w:sz w:val="22"/>
              </w:rPr>
              <w:t xml:space="preserve">Sensory Impairment: </w:t>
            </w:r>
            <w:r w:rsidRPr="00A97C01">
              <w:rPr>
                <w:sz w:val="22"/>
              </w:rPr>
              <w:t>Evidence- NSAF, MP notes, diagnoses</w:t>
            </w:r>
          </w:p>
          <w:p w:rsidR="00411162" w:rsidRPr="00A97C01" w:rsidRDefault="00411162" w:rsidP="00A97C01">
            <w:pPr>
              <w:spacing w:after="60"/>
              <w:jc w:val="left"/>
              <w:rPr>
                <w:sz w:val="22"/>
              </w:rPr>
            </w:pPr>
            <w:r w:rsidRPr="00A97C01">
              <w:rPr>
                <w:rFonts w:ascii="Calibri" w:hAnsi="Calibri" w:cs="Calibri"/>
                <w:sz w:val="22"/>
              </w:rPr>
              <w:t xml:space="preserve">Behavioural Issues: </w:t>
            </w:r>
            <w:r w:rsidRPr="00A97C01">
              <w:rPr>
                <w:sz w:val="22"/>
              </w:rPr>
              <w:t>Evidence - clinical report, NSAF, MP notes.</w:t>
            </w:r>
          </w:p>
        </w:tc>
        <w:tc>
          <w:tcPr>
            <w:tcW w:w="3969" w:type="dxa"/>
            <w:shd w:val="clear" w:color="auto" w:fill="auto"/>
          </w:tcPr>
          <w:p w:rsidR="00411162" w:rsidRPr="00A97C01" w:rsidRDefault="00411162" w:rsidP="00A97C01">
            <w:pPr>
              <w:spacing w:after="60"/>
              <w:jc w:val="left"/>
              <w:rPr>
                <w:sz w:val="22"/>
              </w:rPr>
            </w:pPr>
            <w:r w:rsidRPr="00A97C01">
              <w:rPr>
                <w:sz w:val="22"/>
              </w:rPr>
              <w:t>Supporting Evidence</w:t>
            </w:r>
            <w:r w:rsidRPr="00A97C01">
              <w:rPr>
                <w:bCs/>
                <w:sz w:val="22"/>
              </w:rPr>
              <w:t xml:space="preserve">: PMS/FRAT items, NSAF, MP/AHP notes - </w:t>
            </w:r>
            <w:r w:rsidRPr="00A97C01">
              <w:rPr>
                <w:sz w:val="22"/>
              </w:rPr>
              <w:t>as directed by AHP or MP.</w:t>
            </w:r>
          </w:p>
          <w:p w:rsidR="00411162" w:rsidRPr="00A97C01" w:rsidRDefault="00411162" w:rsidP="00A97C01">
            <w:pPr>
              <w:spacing w:after="60"/>
              <w:jc w:val="left"/>
              <w:rPr>
                <w:sz w:val="22"/>
              </w:rPr>
            </w:pPr>
            <w:r w:rsidRPr="00A97C01">
              <w:rPr>
                <w:sz w:val="22"/>
              </w:rPr>
              <w:t>Severe cognitive impairment e.g. does not participate in the activity.</w:t>
            </w:r>
          </w:p>
          <w:p w:rsidR="00411162" w:rsidRPr="00A97C01" w:rsidRDefault="00411162" w:rsidP="00A97C01">
            <w:pPr>
              <w:spacing w:after="60"/>
              <w:jc w:val="left"/>
              <w:rPr>
                <w:sz w:val="22"/>
              </w:rPr>
            </w:pPr>
            <w:r w:rsidRPr="00A97C01">
              <w:rPr>
                <w:sz w:val="22"/>
              </w:rPr>
              <w:t>Evidence: COGNITION Assessment (SMMSE), clinical report, NSAF, MP notes, diagnoses.</w:t>
            </w:r>
          </w:p>
          <w:p w:rsidR="00411162" w:rsidRPr="00A97C01" w:rsidRDefault="00411162" w:rsidP="00A97C01">
            <w:pPr>
              <w:spacing w:after="60"/>
              <w:jc w:val="left"/>
              <w:rPr>
                <w:rFonts w:ascii="Calibri" w:hAnsi="Calibri" w:cs="Calibri"/>
                <w:sz w:val="22"/>
              </w:rPr>
            </w:pPr>
            <w:r w:rsidRPr="00A97C01">
              <w:rPr>
                <w:rFonts w:ascii="Calibri" w:hAnsi="Calibri" w:cs="Calibri"/>
                <w:sz w:val="22"/>
              </w:rPr>
              <w:t xml:space="preserve">Sensory Impairment: </w:t>
            </w:r>
            <w:r w:rsidRPr="00A97C01">
              <w:rPr>
                <w:sz w:val="22"/>
              </w:rPr>
              <w:t>Evidence- NSAF, MP notes, diagnoses</w:t>
            </w:r>
          </w:p>
          <w:p w:rsidR="00411162" w:rsidRPr="00A97C01" w:rsidRDefault="00411162" w:rsidP="00A97C01">
            <w:pPr>
              <w:spacing w:after="60"/>
              <w:jc w:val="left"/>
              <w:rPr>
                <w:sz w:val="22"/>
              </w:rPr>
            </w:pPr>
            <w:r w:rsidRPr="00A97C01">
              <w:rPr>
                <w:rFonts w:ascii="Calibri" w:hAnsi="Calibri" w:cs="Calibri"/>
                <w:sz w:val="22"/>
              </w:rPr>
              <w:t xml:space="preserve">Behavioural Issues: </w:t>
            </w:r>
            <w:r w:rsidRPr="00A97C01">
              <w:rPr>
                <w:sz w:val="22"/>
              </w:rPr>
              <w:t>Evidence- clinical report, NSAF, MP notes.</w:t>
            </w:r>
          </w:p>
        </w:tc>
      </w:tr>
      <w:bookmarkEnd w:id="262"/>
    </w:tbl>
    <w:p w:rsidR="00557FD2" w:rsidRDefault="00557FD2" w:rsidP="0073683D">
      <w:r>
        <w:br w:type="page"/>
      </w:r>
    </w:p>
    <w:bookmarkEnd w:id="256"/>
    <w:p w:rsidR="00557FD2" w:rsidRDefault="00557FD2" w:rsidP="00617254">
      <w:pPr>
        <w:pStyle w:val="Heading3"/>
        <w:sectPr w:rsidR="00557FD2" w:rsidSect="00A51750">
          <w:headerReference w:type="default" r:id="rId44"/>
          <w:footerReference w:type="default" r:id="rId45"/>
          <w:pgSz w:w="16840" w:h="11900" w:orient="landscape"/>
          <w:pgMar w:top="1440" w:right="1146" w:bottom="1440" w:left="866" w:header="708" w:footer="708" w:gutter="0"/>
          <w:cols w:space="708"/>
          <w:docGrid w:linePitch="360"/>
        </w:sectPr>
      </w:pPr>
    </w:p>
    <w:p w:rsidR="00557FD2" w:rsidRDefault="00557FD2" w:rsidP="00617254">
      <w:pPr>
        <w:pStyle w:val="Heading3"/>
        <w:rPr>
          <w:lang w:eastAsia="en-AU"/>
        </w:rPr>
      </w:pPr>
      <w:bookmarkStart w:id="270" w:name="_Toc486600009"/>
      <w:bookmarkStart w:id="271" w:name="_Toc486603053"/>
      <w:r w:rsidRPr="000569AE">
        <w:lastRenderedPageBreak/>
        <w:t xml:space="preserve">4.3.3 </w:t>
      </w:r>
      <w:r w:rsidRPr="008058D3">
        <w:rPr>
          <w:rStyle w:val="Heading3-Chapter43Char"/>
        </w:rPr>
        <w:t>Mandated Assessments</w:t>
      </w:r>
      <w:bookmarkEnd w:id="270"/>
      <w:bookmarkEnd w:id="271"/>
    </w:p>
    <w:p w:rsidR="00557FD2" w:rsidRPr="006C5EDD" w:rsidRDefault="00557FD2" w:rsidP="008058D3">
      <w:pPr>
        <w:pStyle w:val="Heading4-Chapter433"/>
      </w:pPr>
      <w:r w:rsidRPr="006C5EDD">
        <w:t>Resident Care Needs Assessment and Mandated Assessments</w:t>
      </w:r>
    </w:p>
    <w:p w:rsidR="00980F62" w:rsidRDefault="00557FD2" w:rsidP="0017119E">
      <w:pPr>
        <w:rPr>
          <w:lang w:eastAsia="en-AU"/>
        </w:rPr>
      </w:pPr>
      <w:r>
        <w:rPr>
          <w:lang w:eastAsia="en-AU"/>
        </w:rPr>
        <w:t xml:space="preserve">There are a range of assessments used in the residential aged care sector for determining care needs in the ADL domain. </w:t>
      </w:r>
      <w:r w:rsidR="00111AB1">
        <w:rPr>
          <w:lang w:eastAsia="en-AU"/>
        </w:rPr>
        <w:t>T</w:t>
      </w:r>
      <w:r>
        <w:rPr>
          <w:lang w:eastAsia="en-AU"/>
        </w:rPr>
        <w:t xml:space="preserve">hese are often based on the ACFI checklists or similar summary tools such as those found in the NSAF, </w:t>
      </w:r>
      <w:r w:rsidR="00F253FA">
        <w:rPr>
          <w:lang w:eastAsia="en-AU"/>
        </w:rPr>
        <w:t>RUGs</w:t>
      </w:r>
      <w:r>
        <w:rPr>
          <w:lang w:eastAsia="en-AU"/>
        </w:rPr>
        <w:t xml:space="preserve"> ADL scales, interRAI scales and the widely used modified Barthel Index.</w:t>
      </w:r>
    </w:p>
    <w:p w:rsidR="00557FD2" w:rsidRDefault="00557FD2" w:rsidP="0017119E">
      <w:pPr>
        <w:rPr>
          <w:lang w:eastAsia="en-AU"/>
        </w:rPr>
      </w:pPr>
      <w:r>
        <w:rPr>
          <w:lang w:eastAsia="en-AU"/>
        </w:rPr>
        <w:t xml:space="preserve">None of these measures are an actual assessment as they represent a summary of the assessment outcomes describing what a person can do based on an incremental Likert scale. </w:t>
      </w:r>
      <w:r w:rsidR="00111AB1">
        <w:rPr>
          <w:lang w:eastAsia="en-AU"/>
        </w:rPr>
        <w:t>I</w:t>
      </w:r>
      <w:r>
        <w:rPr>
          <w:lang w:eastAsia="en-AU"/>
        </w:rPr>
        <w:t xml:space="preserve">n the review of the ACFI, it has been widely acknowledged that improved actual assessment outcomes will be achieved if contemporary, well designed tools </w:t>
      </w:r>
      <w:r w:rsidR="00111AB1">
        <w:rPr>
          <w:lang w:eastAsia="en-AU"/>
        </w:rPr>
        <w:t>are</w:t>
      </w:r>
      <w:r>
        <w:rPr>
          <w:lang w:eastAsia="en-AU"/>
        </w:rPr>
        <w:t xml:space="preserve"> used as the fundamental assessment basis. This quality information will lead to better care planning outcomes and represent an </w:t>
      </w:r>
      <w:r w:rsidR="00111AB1">
        <w:rPr>
          <w:lang w:eastAsia="en-AU"/>
        </w:rPr>
        <w:t xml:space="preserve">industry wide </w:t>
      </w:r>
      <w:r>
        <w:rPr>
          <w:lang w:eastAsia="en-AU"/>
        </w:rPr>
        <w:t xml:space="preserve">improvement </w:t>
      </w:r>
      <w:r w:rsidR="00111AB1">
        <w:rPr>
          <w:lang w:eastAsia="en-AU"/>
        </w:rPr>
        <w:t xml:space="preserve">in assessment </w:t>
      </w:r>
      <w:r>
        <w:rPr>
          <w:lang w:eastAsia="en-AU"/>
        </w:rPr>
        <w:t>practices, but only if the tools are mandated within the R-ACFI framework. Training programs and software providers can also target the one set of tools which will assist with efficiency and collaboration across aged care services.</w:t>
      </w:r>
    </w:p>
    <w:p w:rsidR="00DD65D6" w:rsidRPr="004D324E" w:rsidRDefault="00DD65D6" w:rsidP="00DD65D6">
      <w:pPr>
        <w:spacing w:after="0" w:line="240" w:lineRule="auto"/>
        <w:rPr>
          <w:rStyle w:val="Strong"/>
        </w:rPr>
      </w:pPr>
      <w:r w:rsidRPr="004D324E">
        <w:rPr>
          <w:rStyle w:val="Strong"/>
        </w:rPr>
        <w:t>The R-ACFI is an Assessment and Funding Tool</w:t>
      </w:r>
    </w:p>
    <w:p w:rsidR="00557FD2" w:rsidRDefault="00557FD2" w:rsidP="0073683D">
      <w:pPr>
        <w:rPr>
          <w:lang w:eastAsia="en-AU"/>
        </w:rPr>
      </w:pPr>
      <w:r>
        <w:rPr>
          <w:lang w:eastAsia="en-AU"/>
        </w:rPr>
        <w:t>It is important to note that the R-ACFI is not simply a funding tool as it gives vital assessment and background information (e.g. diagnoses) to assist with resident care</w:t>
      </w:r>
      <w:r w:rsidR="00111AB1">
        <w:rPr>
          <w:lang w:eastAsia="en-AU"/>
        </w:rPr>
        <w:t xml:space="preserve"> planning</w:t>
      </w:r>
      <w:r>
        <w:rPr>
          <w:lang w:eastAsia="en-AU"/>
        </w:rPr>
        <w:t>. High quality, informative, mandated R-ACFI assessments will fit within the broader nursing process to assist with quality of care outcomes.</w:t>
      </w:r>
    </w:p>
    <w:p w:rsidR="00980F62" w:rsidRDefault="00557FD2" w:rsidP="0073683D">
      <w:pPr>
        <w:rPr>
          <w:szCs w:val="24"/>
        </w:rPr>
      </w:pPr>
      <w:r>
        <w:rPr>
          <w:lang w:eastAsia="en-AU"/>
        </w:rPr>
        <w:t xml:space="preserve">The R-ACFI </w:t>
      </w:r>
      <w:r w:rsidRPr="00DD65D6">
        <w:rPr>
          <w:lang w:eastAsia="en-AU"/>
        </w:rPr>
        <w:t>was designed around the International Classification of Functioning, Disability and Health (ICF) framework for describing and organising information on functioning and disability. This gives a standard language and a conceptual basis for the definition and measurement of health and disability. It also provides a scientific basis for understanding and studying health and health-related states, outcomes, determinants, and changes in</w:t>
      </w:r>
      <w:r w:rsidRPr="004C2A25">
        <w:rPr>
          <w:szCs w:val="24"/>
        </w:rPr>
        <w:t xml:space="preserve"> health status and functioning</w:t>
      </w:r>
      <w:r>
        <w:rPr>
          <w:szCs w:val="24"/>
        </w:rPr>
        <w:t>.</w:t>
      </w:r>
    </w:p>
    <w:p w:rsidR="00557FD2" w:rsidRDefault="00111AB1" w:rsidP="0017119E">
      <w:pPr>
        <w:rPr>
          <w:szCs w:val="24"/>
        </w:rPr>
      </w:pPr>
      <w:r>
        <w:rPr>
          <w:szCs w:val="24"/>
        </w:rPr>
        <w:t>The</w:t>
      </w:r>
      <w:r w:rsidR="00557FD2">
        <w:rPr>
          <w:szCs w:val="24"/>
        </w:rPr>
        <w:t xml:space="preserve"> R-ACFI fits into the nursing process and supports best practice in the following ways:</w:t>
      </w:r>
    </w:p>
    <w:p w:rsidR="00557FD2" w:rsidRPr="00AC0DEC" w:rsidRDefault="00557FD2" w:rsidP="00F02312">
      <w:pPr>
        <w:pStyle w:val="ListParagraph"/>
        <w:numPr>
          <w:ilvl w:val="0"/>
          <w:numId w:val="135"/>
        </w:numPr>
        <w:spacing w:after="0"/>
        <w:rPr>
          <w:rFonts w:cs="Tahoma"/>
        </w:rPr>
      </w:pPr>
      <w:r w:rsidRPr="0067225D">
        <w:rPr>
          <w:rFonts w:cs="Tahoma"/>
        </w:rPr>
        <w:t>The ACFI diagnoses and assessments identify body functions and structures (both impairments and strengths), but these alone do not always explain why a particular type of care is needed</w:t>
      </w:r>
      <w:r w:rsidR="005C6C92">
        <w:rPr>
          <w:rFonts w:cs="Tahoma"/>
        </w:rPr>
        <w:t>.</w:t>
      </w:r>
    </w:p>
    <w:p w:rsidR="00557FD2" w:rsidRPr="004C5986" w:rsidRDefault="00557FD2" w:rsidP="00F02312">
      <w:pPr>
        <w:pStyle w:val="ListParagraph"/>
        <w:numPr>
          <w:ilvl w:val="0"/>
          <w:numId w:val="135"/>
        </w:numPr>
        <w:spacing w:after="0"/>
        <w:rPr>
          <w:rFonts w:cs="Tahoma"/>
        </w:rPr>
      </w:pPr>
      <w:r w:rsidRPr="00AC0DEC">
        <w:rPr>
          <w:rFonts w:cs="Tahoma"/>
        </w:rPr>
        <w:t xml:space="preserve">The assessment outcomes </w:t>
      </w:r>
      <w:r w:rsidRPr="004C5986">
        <w:rPr>
          <w:rFonts w:cs="Tahoma"/>
        </w:rPr>
        <w:t>can be used to describe how they impact on the activities and participation levels of the resident (giving further contextual and individualised explanation of the reason why care is needed)</w:t>
      </w:r>
      <w:r w:rsidR="005C6C92">
        <w:rPr>
          <w:rFonts w:cs="Tahoma"/>
        </w:rPr>
        <w:t>.</w:t>
      </w:r>
    </w:p>
    <w:p w:rsidR="00557FD2" w:rsidRPr="00397C19" w:rsidRDefault="00557FD2" w:rsidP="00F02312">
      <w:pPr>
        <w:pStyle w:val="ListParagraph"/>
        <w:numPr>
          <w:ilvl w:val="0"/>
          <w:numId w:val="135"/>
        </w:numPr>
        <w:spacing w:after="0"/>
        <w:rPr>
          <w:szCs w:val="24"/>
        </w:rPr>
      </w:pPr>
      <w:r w:rsidRPr="00CD2573">
        <w:rPr>
          <w:rFonts w:cs="Tahoma"/>
        </w:rPr>
        <w:t>Th</w:t>
      </w:r>
      <w:r w:rsidRPr="0005776C">
        <w:rPr>
          <w:rFonts w:cs="Tahoma"/>
        </w:rPr>
        <w:t>e Care Plan describes the strategies to improve the participation of the resident (assessment outcomes can then be used to help evaluate the strategies)</w:t>
      </w:r>
      <w:r w:rsidR="00111AB1" w:rsidRPr="00793A8E">
        <w:rPr>
          <w:rFonts w:cs="Tahoma"/>
        </w:rPr>
        <w:t>.</w:t>
      </w:r>
    </w:p>
    <w:p w:rsidR="00557FD2" w:rsidRPr="0073683D" w:rsidRDefault="00557FD2" w:rsidP="008058D3">
      <w:pPr>
        <w:pStyle w:val="Heading4-Chapter433"/>
      </w:pPr>
      <w:r w:rsidRPr="0073683D">
        <w:lastRenderedPageBreak/>
        <w:t>Department Review Program and Mandated Assessments</w:t>
      </w:r>
    </w:p>
    <w:p w:rsidR="00980F62" w:rsidRDefault="00557FD2" w:rsidP="0017119E">
      <w:pPr>
        <w:rPr>
          <w:lang w:eastAsia="en-AU"/>
        </w:rPr>
      </w:pPr>
      <w:r w:rsidRPr="00624040">
        <w:rPr>
          <w:lang w:eastAsia="en-AU"/>
        </w:rPr>
        <w:t xml:space="preserve">Mandated assessments </w:t>
      </w:r>
      <w:r>
        <w:rPr>
          <w:lang w:eastAsia="en-AU"/>
        </w:rPr>
        <w:t xml:space="preserve">will further </w:t>
      </w:r>
      <w:r w:rsidRPr="00624040">
        <w:rPr>
          <w:lang w:eastAsia="en-AU"/>
        </w:rPr>
        <w:t xml:space="preserve">standardise the </w:t>
      </w:r>
      <w:r>
        <w:rPr>
          <w:lang w:eastAsia="en-AU"/>
        </w:rPr>
        <w:t xml:space="preserve">assessment </w:t>
      </w:r>
      <w:r w:rsidRPr="00624040">
        <w:rPr>
          <w:lang w:eastAsia="en-AU"/>
        </w:rPr>
        <w:t xml:space="preserve">approach </w:t>
      </w:r>
      <w:r>
        <w:rPr>
          <w:lang w:eastAsia="en-AU"/>
        </w:rPr>
        <w:t xml:space="preserve">and outcomes when used </w:t>
      </w:r>
      <w:r w:rsidRPr="00624040">
        <w:rPr>
          <w:lang w:eastAsia="en-AU"/>
        </w:rPr>
        <w:t>by all assessor</w:t>
      </w:r>
      <w:r>
        <w:rPr>
          <w:lang w:eastAsia="en-AU"/>
        </w:rPr>
        <w:t xml:space="preserve">s across the aged care pathway </w:t>
      </w:r>
      <w:r w:rsidRPr="00624040">
        <w:rPr>
          <w:lang w:eastAsia="en-AU"/>
        </w:rPr>
        <w:t xml:space="preserve">i.e. NSAF assessment, </w:t>
      </w:r>
      <w:r>
        <w:rPr>
          <w:lang w:eastAsia="en-AU"/>
        </w:rPr>
        <w:t>ACAT comprehensive assessment, residential aged care assessment and departmental audits/reviews of claims</w:t>
      </w:r>
      <w:r w:rsidRPr="00624040">
        <w:rPr>
          <w:lang w:eastAsia="en-AU"/>
        </w:rPr>
        <w:t>.</w:t>
      </w:r>
    </w:p>
    <w:p w:rsidR="00980F62" w:rsidRDefault="00557FD2" w:rsidP="0017119E">
      <w:pPr>
        <w:rPr>
          <w:lang w:eastAsia="en-AU"/>
        </w:rPr>
      </w:pPr>
      <w:r w:rsidRPr="00624040">
        <w:rPr>
          <w:lang w:eastAsia="en-AU"/>
        </w:rPr>
        <w:t xml:space="preserve">While there are recognised concerns with the currency of pre-entry assessments if changes have occurred to the </w:t>
      </w:r>
      <w:r>
        <w:rPr>
          <w:lang w:eastAsia="en-AU"/>
        </w:rPr>
        <w:t>persons</w:t>
      </w:r>
      <w:r w:rsidRPr="00624040">
        <w:rPr>
          <w:lang w:eastAsia="en-AU"/>
        </w:rPr>
        <w:t>’ health, data shows that 52</w:t>
      </w:r>
      <w:r w:rsidR="002965F2">
        <w:rPr>
          <w:lang w:eastAsia="en-AU"/>
        </w:rPr>
        <w:t xml:space="preserve"> per cent</w:t>
      </w:r>
      <w:r w:rsidRPr="00624040">
        <w:rPr>
          <w:lang w:eastAsia="en-AU"/>
        </w:rPr>
        <w:t xml:space="preserve"> of ACAT assessments are completed within 3-months of entry to a RACF. The shorter that time frame, the greater the likelihood the assessment will be a</w:t>
      </w:r>
      <w:r>
        <w:rPr>
          <w:lang w:eastAsia="en-AU"/>
        </w:rPr>
        <w:t xml:space="preserve"> more</w:t>
      </w:r>
      <w:r w:rsidRPr="00624040">
        <w:rPr>
          <w:lang w:eastAsia="en-AU"/>
        </w:rPr>
        <w:t xml:space="preserve"> accurate reflection of the </w:t>
      </w:r>
      <w:r>
        <w:rPr>
          <w:lang w:eastAsia="en-AU"/>
        </w:rPr>
        <w:t>resident</w:t>
      </w:r>
      <w:r w:rsidRPr="00624040">
        <w:rPr>
          <w:lang w:eastAsia="en-AU"/>
        </w:rPr>
        <w:t xml:space="preserve">’s needs at the time of admission. If the same </w:t>
      </w:r>
      <w:r>
        <w:rPr>
          <w:lang w:eastAsia="en-AU"/>
        </w:rPr>
        <w:t xml:space="preserve">assessment </w:t>
      </w:r>
      <w:r w:rsidRPr="00624040">
        <w:rPr>
          <w:lang w:eastAsia="en-AU"/>
        </w:rPr>
        <w:t>tool is used</w:t>
      </w:r>
      <w:r>
        <w:rPr>
          <w:lang w:eastAsia="en-AU"/>
        </w:rPr>
        <w:t>,</w:t>
      </w:r>
      <w:r w:rsidRPr="00624040">
        <w:rPr>
          <w:lang w:eastAsia="en-AU"/>
        </w:rPr>
        <w:t xml:space="preserve"> better </w:t>
      </w:r>
      <w:r>
        <w:rPr>
          <w:lang w:eastAsia="en-AU"/>
        </w:rPr>
        <w:t xml:space="preserve">understanding and </w:t>
      </w:r>
      <w:r w:rsidRPr="00624040">
        <w:rPr>
          <w:lang w:eastAsia="en-AU"/>
        </w:rPr>
        <w:t xml:space="preserve">communication about assessment outcomes </w:t>
      </w:r>
      <w:r>
        <w:rPr>
          <w:lang w:eastAsia="en-AU"/>
        </w:rPr>
        <w:t>will result</w:t>
      </w:r>
      <w:r w:rsidRPr="00624040">
        <w:rPr>
          <w:lang w:eastAsia="en-AU"/>
        </w:rPr>
        <w:t>.</w:t>
      </w:r>
    </w:p>
    <w:p w:rsidR="00557FD2" w:rsidRPr="00624040" w:rsidRDefault="00557FD2" w:rsidP="0017119E">
      <w:pPr>
        <w:rPr>
          <w:lang w:eastAsia="en-AU"/>
        </w:rPr>
      </w:pPr>
      <w:r w:rsidRPr="00624040">
        <w:rPr>
          <w:lang w:eastAsia="en-AU"/>
        </w:rPr>
        <w:t xml:space="preserve">By using the same set of recommended tools for both the facility staff and for other </w:t>
      </w:r>
      <w:r w:rsidR="00321A15">
        <w:rPr>
          <w:lang w:eastAsia="en-AU"/>
        </w:rPr>
        <w:t>External Assessor</w:t>
      </w:r>
      <w:r w:rsidRPr="00624040">
        <w:rPr>
          <w:lang w:eastAsia="en-AU"/>
        </w:rPr>
        <w:t>s</w:t>
      </w:r>
      <w:r>
        <w:rPr>
          <w:lang w:eastAsia="en-AU"/>
        </w:rPr>
        <w:t xml:space="preserve"> such as ACATs or RAS assessors</w:t>
      </w:r>
      <w:r w:rsidRPr="00624040">
        <w:rPr>
          <w:lang w:eastAsia="en-AU"/>
        </w:rPr>
        <w:t>, it also focus</w:t>
      </w:r>
      <w:r>
        <w:rPr>
          <w:lang w:eastAsia="en-AU"/>
        </w:rPr>
        <w:t>es</w:t>
      </w:r>
      <w:r w:rsidRPr="00624040">
        <w:rPr>
          <w:lang w:eastAsia="en-AU"/>
        </w:rPr>
        <w:t xml:space="preserve"> the assessments and review process on the </w:t>
      </w:r>
      <w:r w:rsidR="00111AB1">
        <w:rPr>
          <w:lang w:eastAsia="en-AU"/>
        </w:rPr>
        <w:t>‘</w:t>
      </w:r>
      <w:r w:rsidRPr="00624040">
        <w:rPr>
          <w:lang w:eastAsia="en-AU"/>
        </w:rPr>
        <w:t>assessed care need of the resident</w:t>
      </w:r>
      <w:r w:rsidR="00111AB1">
        <w:rPr>
          <w:lang w:eastAsia="en-AU"/>
        </w:rPr>
        <w:t>’</w:t>
      </w:r>
      <w:r w:rsidR="00111AB1" w:rsidRPr="00624040">
        <w:rPr>
          <w:lang w:eastAsia="en-AU"/>
        </w:rPr>
        <w:t xml:space="preserve"> </w:t>
      </w:r>
      <w:r w:rsidRPr="00624040">
        <w:rPr>
          <w:lang w:eastAsia="en-AU"/>
        </w:rPr>
        <w:t xml:space="preserve">and it will support a shared understanding of the revised </w:t>
      </w:r>
      <w:r>
        <w:rPr>
          <w:lang w:eastAsia="en-AU"/>
        </w:rPr>
        <w:t>R-</w:t>
      </w:r>
      <w:r w:rsidRPr="00624040">
        <w:rPr>
          <w:lang w:eastAsia="en-AU"/>
        </w:rPr>
        <w:t>ACFI items.</w:t>
      </w:r>
    </w:p>
    <w:p w:rsidR="00980F62" w:rsidRDefault="00557FD2" w:rsidP="0017119E">
      <w:pPr>
        <w:rPr>
          <w:lang w:eastAsia="en-AU"/>
        </w:rPr>
      </w:pPr>
      <w:r>
        <w:rPr>
          <w:lang w:eastAsia="en-AU"/>
        </w:rPr>
        <w:t xml:space="preserve">Departmental R-ACFI audits are likely to lead to more </w:t>
      </w:r>
      <w:r w:rsidRPr="00624040">
        <w:rPr>
          <w:lang w:eastAsia="en-AU"/>
        </w:rPr>
        <w:t xml:space="preserve">transparent </w:t>
      </w:r>
      <w:r>
        <w:rPr>
          <w:lang w:eastAsia="en-AU"/>
        </w:rPr>
        <w:t xml:space="preserve">outcomes as </w:t>
      </w:r>
      <w:r w:rsidRPr="00624040">
        <w:rPr>
          <w:lang w:eastAsia="en-AU"/>
        </w:rPr>
        <w:t>shared assessments could shift the focus of reviewers away from the care provided at the time of the visit (which may vary due to a resident’s variable needs or a change in staffing resources), to the assessed care need</w:t>
      </w:r>
      <w:r>
        <w:rPr>
          <w:lang w:eastAsia="en-AU"/>
        </w:rPr>
        <w:t xml:space="preserve"> which will be much more objective with the mandated tools</w:t>
      </w:r>
      <w:r w:rsidRPr="00624040">
        <w:rPr>
          <w:lang w:eastAsia="en-AU"/>
        </w:rPr>
        <w:t>. While an observation of a resident (e.g. mobilising without supervision) can give vital information, it should only flag a potential issue that needs further investigation. Inconsistencies with the claim (i.e. for supervision with locomotion</w:t>
      </w:r>
      <w:r>
        <w:rPr>
          <w:lang w:eastAsia="en-AU"/>
        </w:rPr>
        <w:t xml:space="preserve"> when resident observed walking with no staff supervision</w:t>
      </w:r>
      <w:r w:rsidRPr="00624040">
        <w:rPr>
          <w:lang w:eastAsia="en-AU"/>
        </w:rPr>
        <w:t xml:space="preserve">) may be due to cognitive impairments or </w:t>
      </w:r>
      <w:r>
        <w:rPr>
          <w:lang w:eastAsia="en-AU"/>
        </w:rPr>
        <w:t xml:space="preserve">a </w:t>
      </w:r>
      <w:r w:rsidRPr="00624040">
        <w:rPr>
          <w:lang w:eastAsia="en-AU"/>
        </w:rPr>
        <w:t>chang</w:t>
      </w:r>
      <w:r>
        <w:rPr>
          <w:lang w:eastAsia="en-AU"/>
        </w:rPr>
        <w:t>e</w:t>
      </w:r>
      <w:r w:rsidRPr="00624040">
        <w:rPr>
          <w:lang w:eastAsia="en-AU"/>
        </w:rPr>
        <w:t xml:space="preserve"> </w:t>
      </w:r>
      <w:r>
        <w:rPr>
          <w:lang w:eastAsia="en-AU"/>
        </w:rPr>
        <w:t xml:space="preserve">in </w:t>
      </w:r>
      <w:r w:rsidRPr="00624040">
        <w:rPr>
          <w:lang w:eastAsia="en-AU"/>
        </w:rPr>
        <w:t xml:space="preserve">resident needs. The use of mandated assessments </w:t>
      </w:r>
      <w:r>
        <w:rPr>
          <w:lang w:eastAsia="en-AU"/>
        </w:rPr>
        <w:t xml:space="preserve">and supporting evidence </w:t>
      </w:r>
      <w:r w:rsidRPr="00624040">
        <w:rPr>
          <w:lang w:eastAsia="en-AU"/>
        </w:rPr>
        <w:t xml:space="preserve">will help </w:t>
      </w:r>
      <w:r>
        <w:rPr>
          <w:lang w:eastAsia="en-AU"/>
        </w:rPr>
        <w:t xml:space="preserve">assessors </w:t>
      </w:r>
      <w:r w:rsidRPr="00624040">
        <w:rPr>
          <w:lang w:eastAsia="en-AU"/>
        </w:rPr>
        <w:t xml:space="preserve">to focus on the assessed care need and will </w:t>
      </w:r>
      <w:r>
        <w:rPr>
          <w:lang w:eastAsia="en-AU"/>
        </w:rPr>
        <w:t xml:space="preserve">reduce the variation between a Department </w:t>
      </w:r>
      <w:r w:rsidR="00BE5B21">
        <w:rPr>
          <w:lang w:eastAsia="en-AU"/>
        </w:rPr>
        <w:t>RO</w:t>
      </w:r>
      <w:r>
        <w:rPr>
          <w:lang w:eastAsia="en-AU"/>
        </w:rPr>
        <w:t xml:space="preserve"> and provider ACFI assessment</w:t>
      </w:r>
      <w:r w:rsidRPr="00624040">
        <w:rPr>
          <w:lang w:eastAsia="en-AU"/>
        </w:rPr>
        <w:t>.</w:t>
      </w:r>
      <w:r>
        <w:rPr>
          <w:lang w:eastAsia="en-AU"/>
        </w:rPr>
        <w:t xml:space="preserve"> </w:t>
      </w:r>
      <w:r w:rsidRPr="009C7F14">
        <w:rPr>
          <w:lang w:eastAsia="en-AU"/>
        </w:rPr>
        <w:t xml:space="preserve">The </w:t>
      </w:r>
      <w:r>
        <w:rPr>
          <w:lang w:eastAsia="en-AU"/>
        </w:rPr>
        <w:t xml:space="preserve">use of the mandated </w:t>
      </w:r>
      <w:r w:rsidR="00FB7B56">
        <w:rPr>
          <w:lang w:eastAsia="en-AU"/>
        </w:rPr>
        <w:t>physical mobility scale (</w:t>
      </w:r>
      <w:r w:rsidRPr="009C7F14">
        <w:rPr>
          <w:lang w:eastAsia="en-AU"/>
        </w:rPr>
        <w:t>PMS</w:t>
      </w:r>
      <w:r w:rsidR="00FB7B56">
        <w:rPr>
          <w:lang w:eastAsia="en-AU"/>
        </w:rPr>
        <w:t>)</w:t>
      </w:r>
      <w:r w:rsidRPr="009C7F14">
        <w:rPr>
          <w:lang w:eastAsia="en-AU"/>
        </w:rPr>
        <w:t xml:space="preserve"> will also assist with better consistency between physiotherapists</w:t>
      </w:r>
      <w:r>
        <w:rPr>
          <w:lang w:eastAsia="en-AU"/>
        </w:rPr>
        <w:t>’</w:t>
      </w:r>
      <w:r w:rsidRPr="009C7F14">
        <w:rPr>
          <w:lang w:eastAsia="en-AU"/>
        </w:rPr>
        <w:t xml:space="preserve"> assessments and care staff interpretations needed for R-ACFI completion.</w:t>
      </w:r>
    </w:p>
    <w:p w:rsidR="00AC0DEC" w:rsidRDefault="00AC0DEC" w:rsidP="0017119E">
      <w:pPr>
        <w:rPr>
          <w:lang w:eastAsia="en-AU"/>
        </w:rPr>
      </w:pPr>
      <w:r>
        <w:rPr>
          <w:lang w:eastAsia="en-AU"/>
        </w:rPr>
        <w:t>Detailed information on the recommended changes to the ADL domain in the R-</w:t>
      </w:r>
      <w:r w:rsidR="000331EA">
        <w:rPr>
          <w:lang w:eastAsia="en-AU"/>
        </w:rPr>
        <w:t>ACFI are contained in Appendix 4.1 to 4.5</w:t>
      </w:r>
      <w:r>
        <w:rPr>
          <w:lang w:eastAsia="en-AU"/>
        </w:rPr>
        <w:t xml:space="preserve"> which </w:t>
      </w:r>
      <w:r w:rsidR="004C5986">
        <w:rPr>
          <w:lang w:eastAsia="en-AU"/>
        </w:rPr>
        <w:t>covers:</w:t>
      </w:r>
    </w:p>
    <w:p w:rsidR="00980F62" w:rsidRDefault="00AC0DEC" w:rsidP="00F02312">
      <w:pPr>
        <w:pStyle w:val="ListParagraph"/>
        <w:numPr>
          <w:ilvl w:val="0"/>
          <w:numId w:val="135"/>
        </w:numPr>
        <w:spacing w:after="0"/>
        <w:rPr>
          <w:rFonts w:cs="Tahoma"/>
        </w:rPr>
      </w:pPr>
      <w:r w:rsidRPr="005D14F7">
        <w:rPr>
          <w:rFonts w:cs="Tahoma"/>
        </w:rPr>
        <w:t>How the change fits with the related assessment approaches such as the NSAF comprehensive assessment and the RUGs tool</w:t>
      </w:r>
      <w:r w:rsidR="001D5121">
        <w:rPr>
          <w:rFonts w:cs="Tahoma"/>
        </w:rPr>
        <w:t>s</w:t>
      </w:r>
      <w:r w:rsidRPr="005D14F7">
        <w:rPr>
          <w:rFonts w:cs="Tahoma"/>
        </w:rPr>
        <w:t xml:space="preserve"> embedded in the interRAI suite</w:t>
      </w:r>
      <w:r w:rsidR="0082051E">
        <w:rPr>
          <w:rFonts w:cs="Tahoma"/>
        </w:rPr>
        <w:t>.</w:t>
      </w:r>
    </w:p>
    <w:p w:rsidR="00AC0DEC" w:rsidRPr="005D14F7" w:rsidRDefault="00AC0DEC" w:rsidP="00F02312">
      <w:pPr>
        <w:pStyle w:val="ListParagraph"/>
        <w:numPr>
          <w:ilvl w:val="0"/>
          <w:numId w:val="135"/>
        </w:numPr>
        <w:spacing w:after="0"/>
        <w:rPr>
          <w:rFonts w:cs="Tahoma"/>
        </w:rPr>
      </w:pPr>
      <w:r w:rsidRPr="005D14F7">
        <w:rPr>
          <w:rFonts w:cs="Tahoma"/>
        </w:rPr>
        <w:t>How the modified ACFI would fit into an external assessment approach</w:t>
      </w:r>
      <w:r w:rsidR="0082051E">
        <w:rPr>
          <w:rFonts w:cs="Tahoma"/>
        </w:rPr>
        <w:t>.</w:t>
      </w:r>
    </w:p>
    <w:p w:rsidR="004C5986" w:rsidRDefault="00AC0DEC" w:rsidP="00F02312">
      <w:pPr>
        <w:pStyle w:val="ListParagraph"/>
        <w:numPr>
          <w:ilvl w:val="0"/>
          <w:numId w:val="135"/>
        </w:numPr>
        <w:spacing w:after="0"/>
        <w:rPr>
          <w:rFonts w:cs="Tahoma"/>
        </w:rPr>
      </w:pPr>
      <w:r w:rsidRPr="005D14F7">
        <w:rPr>
          <w:rFonts w:cs="Tahoma"/>
        </w:rPr>
        <w:t>Detailed changes needed covering descriptions, requirements, mandated assessment tools, checklists, modified R-ADL rating scales and the reasons for assistance being provided.</w:t>
      </w:r>
    </w:p>
    <w:p w:rsidR="004C5986" w:rsidRDefault="004C5986" w:rsidP="0017119E">
      <w:pPr>
        <w:spacing w:after="200"/>
        <w:rPr>
          <w:rFonts w:cs="Tahoma"/>
        </w:rPr>
      </w:pPr>
      <w:r>
        <w:rPr>
          <w:rFonts w:cs="Tahoma"/>
        </w:rPr>
        <w:br w:type="page"/>
      </w:r>
    </w:p>
    <w:p w:rsidR="00980F62" w:rsidRDefault="00557FD2" w:rsidP="00530D56">
      <w:pPr>
        <w:pStyle w:val="Heading2-Chapter4"/>
      </w:pPr>
      <w:bookmarkStart w:id="272" w:name="_Toc491426038"/>
      <w:bookmarkStart w:id="273" w:name="_Toc486600011"/>
      <w:bookmarkStart w:id="274" w:name="_Toc486603055"/>
      <w:bookmarkEnd w:id="254"/>
      <w:r w:rsidRPr="00F06AF0">
        <w:lastRenderedPageBreak/>
        <w:t xml:space="preserve">The ADL R-ACFI Recommended </w:t>
      </w:r>
      <w:r w:rsidR="00717EEB">
        <w:t xml:space="preserve">Question </w:t>
      </w:r>
      <w:r w:rsidRPr="00F06AF0">
        <w:t>Changes</w:t>
      </w:r>
      <w:bookmarkEnd w:id="272"/>
      <w:bookmarkEnd w:id="273"/>
      <w:bookmarkEnd w:id="274"/>
    </w:p>
    <w:p w:rsidR="00557FD2" w:rsidRPr="00F06AF0" w:rsidRDefault="00557FD2" w:rsidP="001F2491">
      <w:pPr>
        <w:pStyle w:val="Heading3-Chapter44"/>
      </w:pPr>
      <w:bookmarkStart w:id="275" w:name="_Toc482012908"/>
      <w:bookmarkStart w:id="276" w:name="_Toc486600012"/>
      <w:bookmarkStart w:id="277" w:name="_Toc486603056"/>
      <w:r w:rsidRPr="00F06AF0">
        <w:t>R-ACFI 1: Nutrition</w:t>
      </w:r>
      <w:bookmarkEnd w:id="275"/>
      <w:bookmarkEnd w:id="276"/>
      <w:bookmarkEnd w:id="277"/>
    </w:p>
    <w:p w:rsidR="00980F62" w:rsidRDefault="00557FD2" w:rsidP="001F2491">
      <w:pPr>
        <w:spacing w:after="100"/>
        <w:rPr>
          <w:lang w:eastAsia="en-AU"/>
        </w:rPr>
      </w:pPr>
      <w:r w:rsidRPr="00F06AF0">
        <w:rPr>
          <w:lang w:eastAsia="en-AU"/>
        </w:rPr>
        <w:t>The ACFI 1 Nutrition ratings for moderate assistance in this question have increased from around 3 in 10 residents in 2009 to over 6 in 10 residents in 2016 (</w:t>
      </w:r>
      <w:hyperlink w:anchor="Fig0402" w:history="1">
        <w:r w:rsidRPr="00A12242">
          <w:rPr>
            <w:rStyle w:val="Hyperlink"/>
            <w:lang w:eastAsia="en-AU"/>
          </w:rPr>
          <w:t>Figure 4.2</w:t>
        </w:r>
      </w:hyperlink>
      <w:r w:rsidRPr="00F06AF0">
        <w:rPr>
          <w:lang w:eastAsia="en-AU"/>
        </w:rPr>
        <w:t xml:space="preserve">). Both nutrition care need items (1.1 Readiness to Eat and 1.2 Eating) were reported to be </w:t>
      </w:r>
      <w:r w:rsidR="00BE5B21" w:rsidRPr="00F06AF0">
        <w:rPr>
          <w:lang w:eastAsia="en-AU"/>
        </w:rPr>
        <w:t>in</w:t>
      </w:r>
      <w:r w:rsidRPr="00F06AF0">
        <w:rPr>
          <w:lang w:eastAsia="en-AU"/>
        </w:rPr>
        <w:t>adequately discriminating between residents, as demonstrated by the very high percentage of claims for (i) physical assistance with readiness to eat (e.g. cutting up food) (</w:t>
      </w:r>
      <w:hyperlink w:anchor="Fig0403" w:history="1">
        <w:r w:rsidRPr="00A12242">
          <w:rPr>
            <w:rStyle w:val="Hyperlink"/>
            <w:lang w:eastAsia="en-AU"/>
          </w:rPr>
          <w:t>Figure 4.3</w:t>
        </w:r>
      </w:hyperlink>
      <w:r w:rsidRPr="00F06AF0">
        <w:rPr>
          <w:lang w:eastAsia="en-AU"/>
        </w:rPr>
        <w:t>; 81</w:t>
      </w:r>
      <w:r w:rsidR="002965F2">
        <w:rPr>
          <w:lang w:eastAsia="en-AU"/>
        </w:rPr>
        <w:t xml:space="preserve"> per cent</w:t>
      </w:r>
      <w:r w:rsidRPr="00F06AF0">
        <w:rPr>
          <w:lang w:eastAsia="en-AU"/>
        </w:rPr>
        <w:t>) and (ii) supervision with eating (</w:t>
      </w:r>
      <w:hyperlink w:anchor="Fig0404" w:history="1">
        <w:r w:rsidRPr="00A12242">
          <w:rPr>
            <w:rStyle w:val="Hyperlink"/>
            <w:lang w:eastAsia="en-AU"/>
          </w:rPr>
          <w:t>Figure 4.4</w:t>
        </w:r>
      </w:hyperlink>
      <w:r w:rsidRPr="00F06AF0">
        <w:rPr>
          <w:lang w:eastAsia="en-AU"/>
        </w:rPr>
        <w:t>; 76</w:t>
      </w:r>
      <w:r w:rsidR="002965F2">
        <w:rPr>
          <w:lang w:eastAsia="en-AU"/>
        </w:rPr>
        <w:t xml:space="preserve"> per cent</w:t>
      </w:r>
      <w:r w:rsidRPr="00F06AF0">
        <w:rPr>
          <w:lang w:eastAsia="en-AU"/>
        </w:rPr>
        <w:t>).</w:t>
      </w:r>
    </w:p>
    <w:p w:rsidR="00557FD2" w:rsidRPr="00F06AF0" w:rsidRDefault="00557FD2" w:rsidP="001F2491">
      <w:pPr>
        <w:spacing w:after="100"/>
        <w:rPr>
          <w:lang w:eastAsia="en-AU"/>
        </w:rPr>
      </w:pPr>
      <w:r w:rsidRPr="00F06AF0">
        <w:rPr>
          <w:lang w:eastAsia="en-AU"/>
        </w:rPr>
        <w:t xml:space="preserve">Department </w:t>
      </w:r>
      <w:r w:rsidR="00BE5B21" w:rsidRPr="00F06AF0">
        <w:rPr>
          <w:lang w:eastAsia="en-AU"/>
        </w:rPr>
        <w:t>ROs</w:t>
      </w:r>
      <w:r w:rsidRPr="00F06AF0">
        <w:rPr>
          <w:lang w:eastAsia="en-AU"/>
        </w:rPr>
        <w:t xml:space="preserve"> and provider assessors found it difficult to agree when </w:t>
      </w:r>
      <w:r w:rsidR="007401F8">
        <w:rPr>
          <w:lang w:eastAsia="en-AU"/>
        </w:rPr>
        <w:t xml:space="preserve">’cutting up food‘ </w:t>
      </w:r>
      <w:r w:rsidR="008E393D" w:rsidRPr="003A55D6">
        <w:rPr>
          <w:lang w:eastAsia="en-AU"/>
        </w:rPr>
        <w:t>i</w:t>
      </w:r>
      <w:r w:rsidR="008E393D" w:rsidRPr="00136C15">
        <w:rPr>
          <w:lang w:eastAsia="en-AU"/>
        </w:rPr>
        <w:t xml:space="preserve">s </w:t>
      </w:r>
      <w:r w:rsidRPr="00F06AF0">
        <w:rPr>
          <w:lang w:eastAsia="en-AU"/>
        </w:rPr>
        <w:t>a required care need. Often, it was associated with a diagnosis of arthritis in the hands with a presumed grip strength loss (without evidence of an assessment). Additionally, further clarification was requested on</w:t>
      </w:r>
      <w:r w:rsidR="007D7D36">
        <w:rPr>
          <w:lang w:eastAsia="en-AU"/>
        </w:rPr>
        <w:t xml:space="preserve"> what is ’sufficient </w:t>
      </w:r>
      <w:r w:rsidR="007401F8">
        <w:rPr>
          <w:lang w:eastAsia="en-AU"/>
        </w:rPr>
        <w:t>proximity‘</w:t>
      </w:r>
      <w:r w:rsidR="00235B4C">
        <w:rPr>
          <w:lang w:eastAsia="en-AU"/>
        </w:rPr>
        <w:t xml:space="preserve"> </w:t>
      </w:r>
      <w:r w:rsidRPr="00F06AF0">
        <w:rPr>
          <w:lang w:eastAsia="en-AU"/>
        </w:rPr>
        <w:t>for standing-by to provide assistance at the table (item 1.2), as this is a very common claim.</w:t>
      </w:r>
    </w:p>
    <w:p w:rsidR="008E393D" w:rsidRPr="003A55D6" w:rsidRDefault="007D7D36" w:rsidP="001F2491">
      <w:pPr>
        <w:spacing w:after="100"/>
        <w:rPr>
          <w:lang w:eastAsia="en-AU"/>
        </w:rPr>
      </w:pPr>
      <w:r>
        <w:rPr>
          <w:lang w:eastAsia="en-AU"/>
        </w:rPr>
        <w:t xml:space="preserve">It was </w:t>
      </w:r>
      <w:r w:rsidR="00BE5B21" w:rsidRPr="00F06AF0">
        <w:rPr>
          <w:lang w:eastAsia="en-AU"/>
        </w:rPr>
        <w:t xml:space="preserve">also found </w:t>
      </w:r>
      <w:r w:rsidR="00557FD2" w:rsidRPr="00F06AF0">
        <w:rPr>
          <w:lang w:eastAsia="en-AU"/>
        </w:rPr>
        <w:t xml:space="preserve">that the wording in the Nutrition item 1.2 does not </w:t>
      </w:r>
      <w:r w:rsidR="00557FD2" w:rsidRPr="00F06AF0">
        <w:t xml:space="preserve">reflect contemporary </w:t>
      </w:r>
      <w:r>
        <w:t>care practices</w:t>
      </w:r>
      <w:r w:rsidR="00557FD2" w:rsidRPr="00F06AF0">
        <w:t>. A focus on</w:t>
      </w:r>
      <w:r w:rsidR="00557FD2" w:rsidRPr="00F06AF0">
        <w:rPr>
          <w:lang w:eastAsia="en-AU"/>
        </w:rPr>
        <w:t xml:space="preserve"> </w:t>
      </w:r>
      <w:r w:rsidR="00557FD2" w:rsidRPr="00F06AF0">
        <w:t xml:space="preserve">texture-modified foods and thickened fluid rather than </w:t>
      </w:r>
      <w:r w:rsidR="00557FD2" w:rsidRPr="00F06AF0">
        <w:rPr>
          <w:lang w:eastAsia="en-AU"/>
        </w:rPr>
        <w:t xml:space="preserve">vitamised meals would be more consistent with modern dietary practices. Food modification is </w:t>
      </w:r>
      <w:r w:rsidR="00D62FF3">
        <w:rPr>
          <w:lang w:eastAsia="en-AU"/>
        </w:rPr>
        <w:t xml:space="preserve">also </w:t>
      </w:r>
      <w:r w:rsidR="00557FD2" w:rsidRPr="00F06AF0">
        <w:rPr>
          <w:lang w:eastAsia="en-AU"/>
        </w:rPr>
        <w:t xml:space="preserve">often completed by kitchen staff or by pre-prepared food companies and does not generally impact on care provision time from </w:t>
      </w:r>
      <w:r w:rsidR="00BE5B21" w:rsidRPr="00F06AF0">
        <w:rPr>
          <w:lang w:eastAsia="en-AU"/>
        </w:rPr>
        <w:t xml:space="preserve">direct care </w:t>
      </w:r>
      <w:r w:rsidR="00557FD2" w:rsidRPr="00F06AF0">
        <w:rPr>
          <w:lang w:eastAsia="en-AU"/>
        </w:rPr>
        <w:t xml:space="preserve">staff. </w:t>
      </w:r>
      <w:r w:rsidR="008E393D" w:rsidRPr="003A55D6">
        <w:rPr>
          <w:lang w:eastAsia="en-AU"/>
        </w:rPr>
        <w:t>Participants at the consultations also expressed views that any nutrition question should ideally focus on assistance needed due to evidence-based assessed nutritional risk.</w:t>
      </w:r>
    </w:p>
    <w:p w:rsidR="008E393D" w:rsidRPr="00136C15" w:rsidRDefault="008E393D" w:rsidP="0073683D">
      <w:pPr>
        <w:spacing w:after="0"/>
      </w:pPr>
      <w:r w:rsidRPr="001F2491">
        <w:rPr>
          <w:rStyle w:val="Strong"/>
        </w:rPr>
        <w:t>Recommendation</w:t>
      </w:r>
      <w:r w:rsidRPr="003A55D6">
        <w:t xml:space="preserve">: Revised </w:t>
      </w:r>
      <w:r w:rsidR="00557FD2" w:rsidRPr="003A55D6">
        <w:t>Nutrition question</w:t>
      </w:r>
      <w:r w:rsidRPr="003A55D6">
        <w:t>s</w:t>
      </w:r>
      <w:r w:rsidR="00557FD2" w:rsidRPr="003A55D6">
        <w:t xml:space="preserve"> </w:t>
      </w:r>
      <w:r w:rsidRPr="003A55D6">
        <w:t>be developed to:</w:t>
      </w:r>
    </w:p>
    <w:p w:rsidR="008E393D" w:rsidRPr="003A55D6" w:rsidRDefault="00F06AF0" w:rsidP="00F02312">
      <w:pPr>
        <w:pStyle w:val="ListParagraph"/>
        <w:numPr>
          <w:ilvl w:val="0"/>
          <w:numId w:val="136"/>
        </w:numPr>
        <w:ind w:left="357" w:hanging="357"/>
        <w:rPr>
          <w:rFonts w:cs="Tahoma"/>
        </w:rPr>
      </w:pPr>
      <w:r>
        <w:rPr>
          <w:rFonts w:cs="Tahoma"/>
        </w:rPr>
        <w:t>F</w:t>
      </w:r>
      <w:r w:rsidR="00557FD2" w:rsidRPr="003A55D6">
        <w:rPr>
          <w:rFonts w:cs="Tahoma"/>
        </w:rPr>
        <w:t>ocus on assistance needed due to evidence-based assessed nutritional risk</w:t>
      </w:r>
      <w:r w:rsidR="0082051E">
        <w:rPr>
          <w:rFonts w:cs="Tahoma"/>
        </w:rPr>
        <w:t>.</w:t>
      </w:r>
    </w:p>
    <w:p w:rsidR="00557FD2" w:rsidRDefault="00F06AF0" w:rsidP="00F02312">
      <w:pPr>
        <w:pStyle w:val="ListParagraph"/>
        <w:numPr>
          <w:ilvl w:val="0"/>
          <w:numId w:val="136"/>
        </w:numPr>
        <w:ind w:left="357" w:hanging="357"/>
        <w:rPr>
          <w:rFonts w:cs="Tahoma"/>
        </w:rPr>
      </w:pPr>
      <w:r>
        <w:rPr>
          <w:rFonts w:cs="Tahoma"/>
        </w:rPr>
        <w:t>I</w:t>
      </w:r>
      <w:r w:rsidR="00557FD2" w:rsidRPr="00F06AF0">
        <w:rPr>
          <w:rFonts w:cs="Tahoma"/>
        </w:rPr>
        <w:t>dentify residents needing either verbal or physical assistance due to a swallowing issue (i.e. dysphagia).</w:t>
      </w:r>
    </w:p>
    <w:p w:rsidR="00557FD2" w:rsidRPr="00F06AF0" w:rsidRDefault="00557FD2" w:rsidP="001F2491">
      <w:pPr>
        <w:spacing w:after="100"/>
        <w:rPr>
          <w:rFonts w:cstheme="minorHAnsi"/>
        </w:rPr>
      </w:pPr>
      <w:r w:rsidRPr="00F06AF0">
        <w:rPr>
          <w:lang w:eastAsia="en-AU"/>
        </w:rPr>
        <w:t xml:space="preserve">The NSAF comprehensive assessment approach was evaluated to decide if aspects on nutrition </w:t>
      </w:r>
      <w:r w:rsidR="007401F8">
        <w:rPr>
          <w:lang w:eastAsia="en-AU"/>
        </w:rPr>
        <w:t xml:space="preserve">assessment </w:t>
      </w:r>
      <w:r w:rsidRPr="00F06AF0">
        <w:rPr>
          <w:lang w:eastAsia="en-AU"/>
        </w:rPr>
        <w:t xml:space="preserve">could be included in the R-ACFI. The NSAF supplementary assessment tools include the </w:t>
      </w:r>
      <w:r w:rsidRPr="00F06AF0">
        <w:t xml:space="preserve">Mini Nutritional Assessment (MNA), South Australian Oral Health Referral Pad, and Oral Health Assessment Tool (OHAT) for non-dental professionals. The </w:t>
      </w:r>
      <w:r w:rsidRPr="00F06AF0">
        <w:rPr>
          <w:lang w:eastAsia="en-AU"/>
        </w:rPr>
        <w:t xml:space="preserve">NSAF approach includes items of </w:t>
      </w:r>
      <w:r w:rsidRPr="00F06AF0">
        <w:t>oral health, appetite, weight loss and fluid intake.</w:t>
      </w:r>
    </w:p>
    <w:p w:rsidR="008E393D" w:rsidRPr="003A55D6" w:rsidRDefault="00557FD2" w:rsidP="001F2491">
      <w:pPr>
        <w:spacing w:after="100"/>
      </w:pPr>
      <w:r w:rsidRPr="00F06AF0">
        <w:t>As part of the NSAF supplementary tools, the MNA was considered a suitable tool when assessing nutritional needs for the target population (older persons), and it will also support shared assessments across the community and residential settings. There are both long and short forms of the MNA. Some items of the full version are not needed or applicable to the modified R-ACFI nutrition item</w:t>
      </w:r>
      <w:r w:rsidR="008E393D" w:rsidRPr="003A55D6">
        <w:t>.</w:t>
      </w:r>
    </w:p>
    <w:p w:rsidR="00557FD2" w:rsidRDefault="008E393D" w:rsidP="001F2491">
      <w:pPr>
        <w:spacing w:after="100"/>
      </w:pPr>
      <w:r w:rsidRPr="001F2491">
        <w:rPr>
          <w:rStyle w:val="Strong"/>
        </w:rPr>
        <w:t>Recommendation</w:t>
      </w:r>
      <w:r w:rsidRPr="003A55D6">
        <w:t>:</w:t>
      </w:r>
      <w:r w:rsidR="00557FD2" w:rsidRPr="00136C15">
        <w:t xml:space="preserve"> </w:t>
      </w:r>
      <w:r w:rsidR="00557FD2" w:rsidRPr="00F06AF0">
        <w:t xml:space="preserve">the </w:t>
      </w:r>
      <w:r w:rsidR="006D13EE" w:rsidRPr="003A55D6">
        <w:t xml:space="preserve">MNA </w:t>
      </w:r>
      <w:r w:rsidR="00557FD2" w:rsidRPr="00136C15">
        <w:t xml:space="preserve">short form </w:t>
      </w:r>
      <w:r w:rsidR="006D13EE" w:rsidRPr="003A55D6">
        <w:t xml:space="preserve">be a mandated assessment tool in R-ACFI </w:t>
      </w:r>
      <w:r w:rsidR="00557FD2" w:rsidRPr="00136C15">
        <w:t>as</w:t>
      </w:r>
      <w:r w:rsidR="00557FD2" w:rsidRPr="00F06AF0">
        <w:t xml:space="preserve"> it gives the identified items for a nutritional approach based on a BMI and a nutrition risk assessment.</w:t>
      </w:r>
    </w:p>
    <w:p w:rsidR="00594C41" w:rsidRPr="004D324E" w:rsidRDefault="00D62FF3" w:rsidP="001F2491">
      <w:pPr>
        <w:spacing w:after="0" w:line="240" w:lineRule="auto"/>
        <w:rPr>
          <w:rStyle w:val="Strong"/>
        </w:rPr>
      </w:pPr>
      <w:r w:rsidRPr="004D324E">
        <w:rPr>
          <w:rStyle w:val="Strong"/>
        </w:rPr>
        <w:t xml:space="preserve">Further detail on the </w:t>
      </w:r>
      <w:r w:rsidR="00594C41" w:rsidRPr="004D324E">
        <w:rPr>
          <w:rStyle w:val="Strong"/>
        </w:rPr>
        <w:t xml:space="preserve">rationale for the new R-ACFI Nutrition Question </w:t>
      </w:r>
      <w:r w:rsidR="00851969" w:rsidRPr="004D324E">
        <w:rPr>
          <w:rStyle w:val="Strong"/>
        </w:rPr>
        <w:t xml:space="preserve">is </w:t>
      </w:r>
      <w:r w:rsidR="00594C41" w:rsidRPr="004D324E">
        <w:rPr>
          <w:rStyle w:val="Strong"/>
        </w:rPr>
        <w:t>in Appendix 4.1.</w:t>
      </w:r>
    </w:p>
    <w:p w:rsidR="00557FD2" w:rsidRDefault="00557FD2" w:rsidP="001F2491">
      <w:pPr>
        <w:pStyle w:val="Heading3-Chapter44"/>
      </w:pPr>
      <w:bookmarkStart w:id="278" w:name="_Hlk479690525"/>
      <w:bookmarkStart w:id="279" w:name="_Toc482012909"/>
      <w:r w:rsidRPr="00F06AF0">
        <w:lastRenderedPageBreak/>
        <w:t xml:space="preserve">Recommended </w:t>
      </w:r>
      <w:r w:rsidR="00441466">
        <w:t>Use</w:t>
      </w:r>
      <w:r w:rsidR="006B713E">
        <w:t>r</w:t>
      </w:r>
      <w:r w:rsidR="00441466">
        <w:t xml:space="preserve"> Guide </w:t>
      </w:r>
      <w:r w:rsidRPr="00F06AF0">
        <w:t xml:space="preserve">R-ACFI Format for </w:t>
      </w:r>
      <w:r w:rsidR="00D62FF3">
        <w:t xml:space="preserve">the </w:t>
      </w:r>
      <w:r w:rsidRPr="00F06AF0">
        <w:t>Nutrition Question</w:t>
      </w:r>
    </w:p>
    <w:p w:rsidR="00980F62" w:rsidRDefault="00557FD2" w:rsidP="0017119E">
      <w:pPr>
        <w:rPr>
          <w:rFonts w:cstheme="minorHAnsi"/>
          <w:szCs w:val="24"/>
        </w:rPr>
      </w:pPr>
      <w:r w:rsidRPr="004D324E">
        <w:rPr>
          <w:rStyle w:val="Strong"/>
        </w:rPr>
        <w:t xml:space="preserve">Description: </w:t>
      </w:r>
      <w:r w:rsidRPr="00F06AF0">
        <w:rPr>
          <w:rFonts w:cstheme="minorHAnsi"/>
          <w:szCs w:val="24"/>
        </w:rPr>
        <w:t xml:space="preserve">This question </w:t>
      </w:r>
      <w:r w:rsidR="00891B6E">
        <w:rPr>
          <w:rFonts w:cstheme="minorHAnsi"/>
          <w:szCs w:val="24"/>
        </w:rPr>
        <w:t xml:space="preserve">relates to the resident’s </w:t>
      </w:r>
      <w:r w:rsidRPr="00F06AF0">
        <w:rPr>
          <w:rFonts w:cstheme="minorHAnsi"/>
          <w:szCs w:val="24"/>
        </w:rPr>
        <w:t xml:space="preserve">day-to-day assessed care needs with regard to nutritional needs and eating </w:t>
      </w:r>
      <w:r w:rsidRPr="00F06AF0">
        <w:rPr>
          <w:rFonts w:cstheme="minorHAnsi"/>
          <w:szCs w:val="24"/>
          <w:lang w:eastAsia="en-AU"/>
        </w:rPr>
        <w:t>(the intake of food throughout the day)</w:t>
      </w:r>
      <w:r w:rsidRPr="00F06AF0">
        <w:rPr>
          <w:rFonts w:cstheme="minorHAnsi"/>
          <w:szCs w:val="24"/>
        </w:rPr>
        <w:t>.</w:t>
      </w:r>
    </w:p>
    <w:p w:rsidR="00557FD2" w:rsidRPr="00F06AF0" w:rsidRDefault="00557FD2" w:rsidP="0017119E">
      <w:pPr>
        <w:rPr>
          <w:rFonts w:cstheme="minorHAnsi"/>
          <w:szCs w:val="24"/>
        </w:rPr>
      </w:pPr>
      <w:r w:rsidRPr="00F06AF0">
        <w:rPr>
          <w:rFonts w:cstheme="minorHAnsi"/>
          <w:szCs w:val="24"/>
        </w:rPr>
        <w:t xml:space="preserve">For tube feeding refer to </w:t>
      </w:r>
      <w:r w:rsidR="007401F8">
        <w:rPr>
          <w:rFonts w:cstheme="minorHAnsi"/>
          <w:szCs w:val="24"/>
        </w:rPr>
        <w:t>R-</w:t>
      </w:r>
      <w:r w:rsidRPr="00F06AF0">
        <w:rPr>
          <w:rFonts w:cstheme="minorHAnsi"/>
          <w:szCs w:val="24"/>
        </w:rPr>
        <w:t xml:space="preserve">ACFI </w:t>
      </w:r>
      <w:r w:rsidR="007401F8">
        <w:rPr>
          <w:rFonts w:cstheme="minorHAnsi"/>
          <w:szCs w:val="24"/>
        </w:rPr>
        <w:t xml:space="preserve">8 </w:t>
      </w:r>
      <w:r w:rsidRPr="00F06AF0">
        <w:rPr>
          <w:rFonts w:cstheme="minorHAnsi"/>
          <w:szCs w:val="24"/>
        </w:rPr>
        <w:t>C</w:t>
      </w:r>
      <w:r w:rsidR="00CB6553" w:rsidRPr="00F06AF0">
        <w:rPr>
          <w:rFonts w:cstheme="minorHAnsi"/>
          <w:szCs w:val="24"/>
        </w:rPr>
        <w:t>HC</w:t>
      </w:r>
      <w:r w:rsidRPr="00F06AF0">
        <w:rPr>
          <w:rFonts w:cstheme="minorHAnsi"/>
          <w:szCs w:val="24"/>
        </w:rPr>
        <w:t xml:space="preserve">. For assisting a resident to the dining room or assisting residents who are unable to position their chair or position themselves in an upright posture appropriately, see </w:t>
      </w:r>
      <w:r w:rsidR="007401F8">
        <w:rPr>
          <w:rFonts w:cstheme="minorHAnsi"/>
          <w:szCs w:val="24"/>
        </w:rPr>
        <w:t>R-</w:t>
      </w:r>
      <w:r w:rsidRPr="00F06AF0">
        <w:rPr>
          <w:rFonts w:cstheme="minorHAnsi"/>
          <w:szCs w:val="24"/>
        </w:rPr>
        <w:t>ACFI 2</w:t>
      </w:r>
      <w:r w:rsidR="007401F8">
        <w:rPr>
          <w:rFonts w:cstheme="minorHAnsi"/>
          <w:szCs w:val="24"/>
        </w:rPr>
        <w:t xml:space="preserve"> Transfers and R-ACFI-3 Locomotion</w:t>
      </w:r>
      <w:r w:rsidRPr="00F06AF0">
        <w:rPr>
          <w:rFonts w:cstheme="minorHAnsi"/>
          <w:szCs w:val="24"/>
        </w:rPr>
        <w:t>.</w:t>
      </w:r>
    </w:p>
    <w:p w:rsidR="009A5312" w:rsidRDefault="00557FD2" w:rsidP="00D7448B">
      <w:pPr>
        <w:spacing w:after="0"/>
        <w:rPr>
          <w:rFonts w:cstheme="minorHAnsi"/>
          <w:szCs w:val="24"/>
        </w:rPr>
      </w:pPr>
      <w:r w:rsidRPr="004D324E">
        <w:rPr>
          <w:rStyle w:val="Strong"/>
        </w:rPr>
        <w:t>Requirements:</w:t>
      </w:r>
      <w:r w:rsidRPr="00F06AF0">
        <w:rPr>
          <w:b/>
          <w:szCs w:val="24"/>
        </w:rPr>
        <w:t xml:space="preserve"> </w:t>
      </w:r>
      <w:r w:rsidRPr="00F06AF0">
        <w:rPr>
          <w:rFonts w:cstheme="minorHAnsi"/>
          <w:szCs w:val="24"/>
        </w:rPr>
        <w:t xml:space="preserve">To support a claim </w:t>
      </w:r>
      <w:r w:rsidR="009112AE">
        <w:rPr>
          <w:rFonts w:cstheme="minorHAnsi"/>
          <w:szCs w:val="24"/>
        </w:rPr>
        <w:t xml:space="preserve">(above Standard Care) </w:t>
      </w:r>
      <w:r w:rsidRPr="00F06AF0">
        <w:rPr>
          <w:rFonts w:cstheme="minorHAnsi"/>
          <w:szCs w:val="24"/>
        </w:rPr>
        <w:t xml:space="preserve">in </w:t>
      </w:r>
      <w:r w:rsidR="009A5312">
        <w:rPr>
          <w:rFonts w:cstheme="minorHAnsi"/>
          <w:szCs w:val="24"/>
        </w:rPr>
        <w:t>R-</w:t>
      </w:r>
      <w:r w:rsidRPr="00F06AF0">
        <w:rPr>
          <w:rFonts w:cstheme="minorHAnsi"/>
          <w:szCs w:val="24"/>
        </w:rPr>
        <w:t>ACFI 1</w:t>
      </w:r>
      <w:r w:rsidR="009112AE">
        <w:rPr>
          <w:rFonts w:cstheme="minorHAnsi"/>
          <w:szCs w:val="24"/>
        </w:rPr>
        <w:t>.</w:t>
      </w:r>
    </w:p>
    <w:p w:rsidR="00980F62" w:rsidRDefault="009A5312" w:rsidP="00F02312">
      <w:pPr>
        <w:pStyle w:val="ListParagraph"/>
        <w:numPr>
          <w:ilvl w:val="0"/>
          <w:numId w:val="137"/>
        </w:numPr>
        <w:ind w:left="426" w:hanging="426"/>
      </w:pPr>
      <w:r w:rsidRPr="00D31F24">
        <w:rPr>
          <w:rFonts w:cstheme="minorHAnsi"/>
          <w:szCs w:val="24"/>
        </w:rPr>
        <w:t>T</w:t>
      </w:r>
      <w:r w:rsidR="00557FD2" w:rsidRPr="00D31F24">
        <w:rPr>
          <w:rFonts w:cstheme="minorHAnsi"/>
          <w:szCs w:val="24"/>
        </w:rPr>
        <w:t xml:space="preserve">he Mini Nutritional Assessment (MNA-short) must be completed and the requested outcomes entered into the Assessment Summary. </w:t>
      </w:r>
      <w:r w:rsidR="00557FD2" w:rsidRPr="00F06AF0">
        <w:t>The required assessment must have been completed within the last 3 months and it must continue to reflect the resident’s nutritional needs at the time of the appraisal.</w:t>
      </w:r>
    </w:p>
    <w:p w:rsidR="00980F62" w:rsidRDefault="009A5312" w:rsidP="00F02312">
      <w:pPr>
        <w:pStyle w:val="ListParagraph"/>
        <w:numPr>
          <w:ilvl w:val="0"/>
          <w:numId w:val="137"/>
        </w:numPr>
        <w:ind w:left="426" w:hanging="426"/>
        <w:rPr>
          <w:rFonts w:cstheme="minorHAnsi"/>
          <w:szCs w:val="24"/>
        </w:rPr>
      </w:pPr>
      <w:r w:rsidRPr="00D31F24">
        <w:rPr>
          <w:rFonts w:cstheme="minorHAnsi"/>
          <w:szCs w:val="24"/>
        </w:rPr>
        <w:t xml:space="preserve">The Nutrition </w:t>
      </w:r>
      <w:r w:rsidR="00D7448B" w:rsidRPr="00D31F24">
        <w:rPr>
          <w:rFonts w:cstheme="minorHAnsi"/>
          <w:szCs w:val="24"/>
        </w:rPr>
        <w:t xml:space="preserve">Checklist </w:t>
      </w:r>
      <w:r w:rsidRPr="00D31F24">
        <w:rPr>
          <w:rFonts w:cstheme="minorHAnsi"/>
          <w:szCs w:val="24"/>
        </w:rPr>
        <w:t>must be completed.</w:t>
      </w:r>
    </w:p>
    <w:p w:rsidR="00557FD2" w:rsidRPr="00F06AF0" w:rsidRDefault="00D25822" w:rsidP="00AB104B">
      <w:pPr>
        <w:spacing w:before="120" w:after="0"/>
        <w:rPr>
          <w:rFonts w:cstheme="minorHAnsi"/>
          <w:szCs w:val="24"/>
        </w:rPr>
      </w:pPr>
      <w:r>
        <w:rPr>
          <w:b/>
          <w:color w:val="2F5496" w:themeColor="accent1" w:themeShade="BF"/>
          <w:szCs w:val="24"/>
        </w:rPr>
        <w:t xml:space="preserve">Nutrition </w:t>
      </w:r>
      <w:r w:rsidR="00557FD2" w:rsidRPr="00235B4C">
        <w:rPr>
          <w:b/>
          <w:color w:val="2F5496" w:themeColor="accent1" w:themeShade="BF"/>
          <w:szCs w:val="24"/>
        </w:rPr>
        <w:t xml:space="preserve">Assessment </w:t>
      </w:r>
      <w:r w:rsidR="00D7448B">
        <w:rPr>
          <w:b/>
          <w:color w:val="2F5496" w:themeColor="accent1" w:themeShade="BF"/>
          <w:szCs w:val="24"/>
        </w:rPr>
        <w:t>S</w:t>
      </w:r>
      <w:r w:rsidR="00557FD2" w:rsidRPr="00235B4C">
        <w:rPr>
          <w:b/>
          <w:color w:val="2F5496" w:themeColor="accent1" w:themeShade="BF"/>
          <w:szCs w:val="24"/>
        </w:rPr>
        <w:t>ummary</w:t>
      </w:r>
      <w:r w:rsidR="00557FD2" w:rsidRPr="00F06AF0">
        <w:rPr>
          <w:b/>
          <w:szCs w:val="24"/>
        </w:rPr>
        <w:t xml:space="preserve">: </w:t>
      </w:r>
      <w:r w:rsidR="00557FD2" w:rsidRPr="00F06AF0">
        <w:rPr>
          <w:rFonts w:cstheme="minorHAnsi"/>
          <w:szCs w:val="24"/>
        </w:rPr>
        <w:t>Indicate if the mandatory assessment was completed and record the requested scores.</w:t>
      </w:r>
    </w:p>
    <w:tbl>
      <w:tblPr>
        <w:tblStyle w:val="TableGrid"/>
        <w:tblW w:w="9070" w:type="dxa"/>
        <w:tblInd w:w="85" w:type="dxa"/>
        <w:tblCellMar>
          <w:top w:w="85" w:type="dxa"/>
          <w:left w:w="85" w:type="dxa"/>
          <w:right w:w="85" w:type="dxa"/>
        </w:tblCellMar>
        <w:tblLook w:val="04A0" w:firstRow="1" w:lastRow="0" w:firstColumn="1" w:lastColumn="0" w:noHBand="0" w:noVBand="1"/>
        <w:tblDescription w:val="The Nutrition Assessment Summary table is an example of the tool used for noting the assessments conducted and scores for nutrition. This table is to be read left to right, top to bottom, noting that tick boxes are not functional."/>
      </w:tblPr>
      <w:tblGrid>
        <w:gridCol w:w="5722"/>
        <w:gridCol w:w="1418"/>
        <w:gridCol w:w="1930"/>
      </w:tblGrid>
      <w:tr w:rsidR="00557FD2" w:rsidRPr="00F06AF0" w:rsidTr="00A51750">
        <w:trPr>
          <w:trHeight w:val="217"/>
          <w:tblHeader/>
        </w:trPr>
        <w:tc>
          <w:tcPr>
            <w:tcW w:w="5722" w:type="dxa"/>
            <w:shd w:val="clear" w:color="auto" w:fill="D9D9D9" w:themeFill="background1" w:themeFillShade="D9"/>
          </w:tcPr>
          <w:p w:rsidR="00557FD2" w:rsidRPr="00F06AF0" w:rsidRDefault="00557FD2" w:rsidP="00A51750">
            <w:pPr>
              <w:pStyle w:val="Tableheader1"/>
              <w:rPr>
                <w:rFonts w:asciiTheme="minorHAnsi" w:hAnsiTheme="minorHAnsi" w:cstheme="minorHAnsi"/>
              </w:rPr>
            </w:pPr>
            <w:r w:rsidRPr="00F06AF0">
              <w:rPr>
                <w:rFonts w:asciiTheme="minorHAnsi" w:hAnsiTheme="minorHAnsi" w:cstheme="minorHAnsi"/>
              </w:rPr>
              <w:t xml:space="preserve">Nutrition Assessment Summary </w:t>
            </w:r>
          </w:p>
        </w:tc>
        <w:tc>
          <w:tcPr>
            <w:tcW w:w="1418" w:type="dxa"/>
            <w:shd w:val="clear" w:color="auto" w:fill="D9D9D9" w:themeFill="background1" w:themeFillShade="D9"/>
          </w:tcPr>
          <w:p w:rsidR="00557FD2" w:rsidRPr="00F06AF0" w:rsidRDefault="00557FD2" w:rsidP="00A51750">
            <w:pPr>
              <w:pStyle w:val="Tableheader1"/>
              <w:jc w:val="center"/>
              <w:rPr>
                <w:rFonts w:asciiTheme="minorHAnsi" w:hAnsiTheme="minorHAnsi" w:cstheme="minorHAnsi"/>
              </w:rPr>
            </w:pPr>
            <w:r w:rsidRPr="00F06AF0">
              <w:rPr>
                <w:rFonts w:asciiTheme="minorHAnsi" w:hAnsiTheme="minorHAnsi" w:cstheme="minorHAnsi"/>
              </w:rPr>
              <w:t>Tick if yes</w:t>
            </w:r>
          </w:p>
        </w:tc>
        <w:tc>
          <w:tcPr>
            <w:tcW w:w="1930" w:type="dxa"/>
            <w:shd w:val="clear" w:color="auto" w:fill="D9D9D9" w:themeFill="background1" w:themeFillShade="D9"/>
          </w:tcPr>
          <w:p w:rsidR="00557FD2" w:rsidRPr="00F06AF0" w:rsidRDefault="00557FD2" w:rsidP="00A51750">
            <w:pPr>
              <w:pStyle w:val="Tabletype1"/>
              <w:jc w:val="center"/>
              <w:rPr>
                <w:rFonts w:asciiTheme="minorHAnsi" w:hAnsiTheme="minorHAnsi" w:cstheme="minorHAnsi"/>
                <w:b/>
                <w:bCs/>
              </w:rPr>
            </w:pPr>
            <w:r w:rsidRPr="00F06AF0">
              <w:rPr>
                <w:rFonts w:asciiTheme="minorHAnsi" w:hAnsiTheme="minorHAnsi" w:cstheme="minorHAnsi"/>
                <w:b/>
                <w:bCs/>
              </w:rPr>
              <w:t>SCORE</w:t>
            </w:r>
          </w:p>
        </w:tc>
      </w:tr>
      <w:tr w:rsidR="00557FD2" w:rsidRPr="00F06AF0" w:rsidTr="00A51750">
        <w:tc>
          <w:tcPr>
            <w:tcW w:w="5722" w:type="dxa"/>
          </w:tcPr>
          <w:p w:rsidR="00557FD2" w:rsidRPr="00F06AF0" w:rsidRDefault="00557FD2" w:rsidP="00AB104B">
            <w:pPr>
              <w:pStyle w:val="Tabletype1"/>
              <w:jc w:val="left"/>
              <w:rPr>
                <w:rFonts w:asciiTheme="minorHAnsi" w:hAnsiTheme="minorHAnsi" w:cstheme="minorHAnsi"/>
              </w:rPr>
            </w:pPr>
            <w:r w:rsidRPr="00F06AF0">
              <w:rPr>
                <w:rFonts w:asciiTheme="minorHAnsi" w:hAnsiTheme="minorHAnsi" w:cstheme="minorHAnsi"/>
              </w:rPr>
              <w:t>Medical Practitioner or Speech Pathologist (SP) notes that provide evidence of a swallowing issue</w:t>
            </w:r>
          </w:p>
        </w:tc>
        <w:tc>
          <w:tcPr>
            <w:tcW w:w="1418" w:type="dxa"/>
          </w:tcPr>
          <w:p w:rsidR="00557FD2" w:rsidRPr="00F06AF0" w:rsidRDefault="00557FD2" w:rsidP="00A51750">
            <w:pPr>
              <w:pStyle w:val="Tabletype1"/>
              <w:jc w:val="center"/>
              <w:rPr>
                <w:rFonts w:asciiTheme="minorHAnsi" w:hAnsiTheme="minorHAnsi" w:cstheme="minorHAnsi"/>
              </w:rPr>
            </w:pPr>
            <w:r w:rsidRPr="00F06AF0">
              <w:rPr>
                <w:rFonts w:asciiTheme="minorHAnsi" w:hAnsiTheme="minorHAnsi" w:cstheme="minorHAnsi"/>
                <w:sz w:val="22"/>
              </w:rPr>
              <w:sym w:font="Wingdings" w:char="F06F"/>
            </w:r>
            <w:r w:rsidRPr="00F06AF0">
              <w:rPr>
                <w:rFonts w:asciiTheme="minorHAnsi" w:hAnsiTheme="minorHAnsi" w:cstheme="minorHAnsi"/>
              </w:rPr>
              <w:t xml:space="preserve"> 1.1</w:t>
            </w:r>
          </w:p>
        </w:tc>
        <w:tc>
          <w:tcPr>
            <w:tcW w:w="1930" w:type="dxa"/>
          </w:tcPr>
          <w:p w:rsidR="00557FD2" w:rsidRPr="00B376B9" w:rsidRDefault="00557FD2" w:rsidP="00A51750">
            <w:pPr>
              <w:pStyle w:val="Tabletype1"/>
              <w:jc w:val="center"/>
              <w:rPr>
                <w:rFonts w:asciiTheme="minorHAnsi" w:hAnsiTheme="minorHAnsi" w:cstheme="minorHAnsi"/>
                <w:i/>
              </w:rPr>
            </w:pPr>
            <w:r w:rsidRPr="00B376B9">
              <w:rPr>
                <w:rFonts w:asciiTheme="minorHAnsi" w:hAnsiTheme="minorHAnsi" w:cstheme="minorHAnsi"/>
                <w:i/>
              </w:rPr>
              <w:t>NA</w:t>
            </w:r>
          </w:p>
        </w:tc>
      </w:tr>
      <w:tr w:rsidR="00557FD2" w:rsidRPr="00F06AF0" w:rsidTr="00A51750">
        <w:tc>
          <w:tcPr>
            <w:tcW w:w="5722" w:type="dxa"/>
          </w:tcPr>
          <w:p w:rsidR="00557FD2" w:rsidRPr="00F06AF0" w:rsidRDefault="00557FD2" w:rsidP="00AB104B">
            <w:pPr>
              <w:pStyle w:val="Tabletype1"/>
              <w:jc w:val="left"/>
              <w:rPr>
                <w:rFonts w:asciiTheme="minorHAnsi" w:hAnsiTheme="minorHAnsi" w:cstheme="minorHAnsi"/>
              </w:rPr>
            </w:pPr>
            <w:r w:rsidRPr="00F06AF0">
              <w:rPr>
                <w:rFonts w:asciiTheme="minorHAnsi" w:hAnsiTheme="minorHAnsi" w:cstheme="minorHAnsi"/>
              </w:rPr>
              <w:t>No MNA-short undertaken - nil or minimal nutritional needs</w:t>
            </w:r>
          </w:p>
        </w:tc>
        <w:tc>
          <w:tcPr>
            <w:tcW w:w="1418" w:type="dxa"/>
          </w:tcPr>
          <w:p w:rsidR="00557FD2" w:rsidRPr="00F06AF0" w:rsidRDefault="00557FD2" w:rsidP="00A51750">
            <w:pPr>
              <w:pStyle w:val="Tabletype1"/>
              <w:jc w:val="center"/>
              <w:rPr>
                <w:rFonts w:asciiTheme="minorHAnsi" w:hAnsiTheme="minorHAnsi" w:cstheme="minorHAnsi"/>
              </w:rPr>
            </w:pPr>
            <w:r w:rsidRPr="00F06AF0">
              <w:rPr>
                <w:rFonts w:asciiTheme="minorHAnsi" w:hAnsiTheme="minorHAnsi" w:cstheme="minorHAnsi"/>
                <w:sz w:val="22"/>
              </w:rPr>
              <w:sym w:font="Wingdings" w:char="F06F"/>
            </w:r>
            <w:r w:rsidRPr="00F06AF0">
              <w:rPr>
                <w:rFonts w:asciiTheme="minorHAnsi" w:hAnsiTheme="minorHAnsi" w:cstheme="minorHAnsi"/>
              </w:rPr>
              <w:t xml:space="preserve"> 1.2</w:t>
            </w:r>
          </w:p>
        </w:tc>
        <w:tc>
          <w:tcPr>
            <w:tcW w:w="1930" w:type="dxa"/>
          </w:tcPr>
          <w:p w:rsidR="00557FD2" w:rsidRPr="00B376B9" w:rsidRDefault="00557FD2" w:rsidP="00A51750">
            <w:pPr>
              <w:pStyle w:val="Tabletype1"/>
              <w:jc w:val="center"/>
              <w:rPr>
                <w:rFonts w:asciiTheme="minorHAnsi" w:hAnsiTheme="minorHAnsi" w:cstheme="minorHAnsi"/>
                <w:i/>
              </w:rPr>
            </w:pPr>
            <w:r w:rsidRPr="00B376B9">
              <w:rPr>
                <w:rFonts w:asciiTheme="minorHAnsi" w:hAnsiTheme="minorHAnsi" w:cstheme="minorHAnsi"/>
                <w:i/>
              </w:rPr>
              <w:t>NA</w:t>
            </w:r>
          </w:p>
        </w:tc>
      </w:tr>
      <w:tr w:rsidR="00557FD2" w:rsidRPr="00F06AF0" w:rsidTr="00A51750">
        <w:tc>
          <w:tcPr>
            <w:tcW w:w="5722" w:type="dxa"/>
          </w:tcPr>
          <w:p w:rsidR="00557FD2" w:rsidRPr="00F06AF0" w:rsidRDefault="00557FD2" w:rsidP="00AB104B">
            <w:pPr>
              <w:pStyle w:val="Tabletype1"/>
              <w:tabs>
                <w:tab w:val="left" w:pos="2562"/>
              </w:tabs>
              <w:jc w:val="left"/>
              <w:rPr>
                <w:rFonts w:asciiTheme="minorHAnsi" w:hAnsiTheme="minorHAnsi" w:cstheme="minorHAnsi"/>
              </w:rPr>
            </w:pPr>
            <w:r w:rsidRPr="00F06AF0">
              <w:rPr>
                <w:rFonts w:asciiTheme="minorHAnsi" w:hAnsiTheme="minorHAnsi" w:cstheme="minorHAnsi"/>
              </w:rPr>
              <w:t>MNA-short - BMI score</w:t>
            </w:r>
          </w:p>
        </w:tc>
        <w:tc>
          <w:tcPr>
            <w:tcW w:w="1418" w:type="dxa"/>
          </w:tcPr>
          <w:p w:rsidR="00557FD2" w:rsidRPr="00F06AF0" w:rsidRDefault="00557FD2" w:rsidP="00A51750">
            <w:pPr>
              <w:pStyle w:val="Tabletype1"/>
              <w:jc w:val="center"/>
              <w:rPr>
                <w:rFonts w:asciiTheme="minorHAnsi" w:hAnsiTheme="minorHAnsi" w:cstheme="minorHAnsi"/>
              </w:rPr>
            </w:pPr>
            <w:r w:rsidRPr="00F06AF0">
              <w:rPr>
                <w:rFonts w:asciiTheme="minorHAnsi" w:hAnsiTheme="minorHAnsi" w:cstheme="minorHAnsi"/>
                <w:sz w:val="22"/>
              </w:rPr>
              <w:sym w:font="Wingdings" w:char="F06F"/>
            </w:r>
            <w:r w:rsidRPr="00F06AF0">
              <w:rPr>
                <w:rFonts w:asciiTheme="minorHAnsi" w:hAnsiTheme="minorHAnsi" w:cstheme="minorHAnsi"/>
              </w:rPr>
              <w:t xml:space="preserve"> 1.3</w:t>
            </w:r>
          </w:p>
        </w:tc>
        <w:tc>
          <w:tcPr>
            <w:tcW w:w="1930" w:type="dxa"/>
          </w:tcPr>
          <w:p w:rsidR="00557FD2" w:rsidRPr="00B376B9" w:rsidRDefault="00A97C01" w:rsidP="00A51750">
            <w:pPr>
              <w:pStyle w:val="Tabletype1"/>
              <w:jc w:val="center"/>
              <w:rPr>
                <w:rFonts w:asciiTheme="minorHAnsi" w:hAnsiTheme="minorHAnsi" w:cstheme="minorHAnsi"/>
                <w:i/>
              </w:rPr>
            </w:pPr>
            <w:r w:rsidRPr="00B376B9">
              <w:rPr>
                <w:rFonts w:asciiTheme="minorHAnsi" w:hAnsiTheme="minorHAnsi" w:cstheme="minorHAnsi"/>
                <w:i/>
              </w:rPr>
              <w:t>[note score]</w:t>
            </w:r>
          </w:p>
        </w:tc>
      </w:tr>
      <w:tr w:rsidR="00557FD2" w:rsidRPr="00F06AF0" w:rsidTr="00A51750">
        <w:tc>
          <w:tcPr>
            <w:tcW w:w="5722" w:type="dxa"/>
          </w:tcPr>
          <w:p w:rsidR="00557FD2" w:rsidRPr="00F06AF0" w:rsidRDefault="00557FD2" w:rsidP="00AB104B">
            <w:pPr>
              <w:pStyle w:val="Tabletype1"/>
              <w:jc w:val="left"/>
              <w:rPr>
                <w:rFonts w:asciiTheme="minorHAnsi" w:hAnsiTheme="minorHAnsi" w:cstheme="minorHAnsi"/>
              </w:rPr>
            </w:pPr>
            <w:r w:rsidRPr="00F06AF0">
              <w:rPr>
                <w:rFonts w:asciiTheme="minorHAnsi" w:hAnsiTheme="minorHAnsi" w:cstheme="minorHAnsi"/>
              </w:rPr>
              <w:t>MNA-short - Screening score</w:t>
            </w:r>
          </w:p>
        </w:tc>
        <w:tc>
          <w:tcPr>
            <w:tcW w:w="1418" w:type="dxa"/>
          </w:tcPr>
          <w:p w:rsidR="00557FD2" w:rsidRPr="00F06AF0" w:rsidRDefault="00557FD2" w:rsidP="00A51750">
            <w:pPr>
              <w:pStyle w:val="Tabletype1"/>
              <w:jc w:val="center"/>
              <w:rPr>
                <w:rFonts w:asciiTheme="minorHAnsi" w:hAnsiTheme="minorHAnsi" w:cstheme="minorHAnsi"/>
              </w:rPr>
            </w:pPr>
            <w:r w:rsidRPr="00F06AF0">
              <w:rPr>
                <w:rFonts w:asciiTheme="minorHAnsi" w:hAnsiTheme="minorHAnsi" w:cstheme="minorHAnsi"/>
                <w:sz w:val="22"/>
              </w:rPr>
              <w:sym w:font="Wingdings" w:char="F06F"/>
            </w:r>
            <w:r w:rsidRPr="00F06AF0">
              <w:rPr>
                <w:rFonts w:asciiTheme="minorHAnsi" w:hAnsiTheme="minorHAnsi" w:cstheme="minorHAnsi"/>
              </w:rPr>
              <w:t xml:space="preserve"> 1.4</w:t>
            </w:r>
          </w:p>
        </w:tc>
        <w:tc>
          <w:tcPr>
            <w:tcW w:w="1930" w:type="dxa"/>
          </w:tcPr>
          <w:p w:rsidR="00557FD2" w:rsidRPr="00B376B9" w:rsidRDefault="00A97C01" w:rsidP="00A51750">
            <w:pPr>
              <w:pStyle w:val="Tabletype1"/>
              <w:jc w:val="center"/>
              <w:rPr>
                <w:rFonts w:asciiTheme="minorHAnsi" w:hAnsiTheme="minorHAnsi" w:cstheme="minorHAnsi"/>
                <w:i/>
              </w:rPr>
            </w:pPr>
            <w:r w:rsidRPr="00B376B9">
              <w:rPr>
                <w:rFonts w:asciiTheme="minorHAnsi" w:hAnsiTheme="minorHAnsi" w:cstheme="minorHAnsi"/>
                <w:i/>
              </w:rPr>
              <w:t>[note score]</w:t>
            </w:r>
          </w:p>
        </w:tc>
      </w:tr>
    </w:tbl>
    <w:p w:rsidR="00557FD2" w:rsidRPr="00F06AF0" w:rsidRDefault="00557FD2" w:rsidP="00AB104B">
      <w:pPr>
        <w:spacing w:before="240" w:after="0"/>
        <w:rPr>
          <w:b/>
          <w:bCs/>
          <w:szCs w:val="24"/>
        </w:rPr>
      </w:pPr>
      <w:r w:rsidRPr="00304B01">
        <w:rPr>
          <w:b/>
          <w:color w:val="2F5496" w:themeColor="accent1" w:themeShade="BF"/>
          <w:szCs w:val="24"/>
        </w:rPr>
        <w:t xml:space="preserve">Nutrition </w:t>
      </w:r>
      <w:r w:rsidR="00D7448B" w:rsidRPr="00304B01">
        <w:rPr>
          <w:b/>
          <w:color w:val="2F5496" w:themeColor="accent1" w:themeShade="BF"/>
          <w:szCs w:val="24"/>
        </w:rPr>
        <w:t>Checklist</w:t>
      </w:r>
      <w:r w:rsidR="00861DF2" w:rsidRPr="00304B01">
        <w:rPr>
          <w:b/>
          <w:color w:val="2F5496" w:themeColor="accent1" w:themeShade="BF"/>
          <w:szCs w:val="24"/>
        </w:rPr>
        <w:t>:</w:t>
      </w:r>
      <w:r w:rsidR="00861DF2">
        <w:rPr>
          <w:b/>
          <w:szCs w:val="24"/>
        </w:rPr>
        <w:t xml:space="preserve"> </w:t>
      </w:r>
      <w:r w:rsidR="00861DF2" w:rsidRPr="00F06AF0">
        <w:rPr>
          <w:rFonts w:cstheme="minorHAnsi"/>
          <w:szCs w:val="24"/>
        </w:rPr>
        <w:t xml:space="preserve">Rate the level of assistance for the </w:t>
      </w:r>
      <w:r w:rsidR="00E879ED">
        <w:rPr>
          <w:rFonts w:cstheme="minorHAnsi"/>
          <w:szCs w:val="24"/>
        </w:rPr>
        <w:t>Nutrition</w:t>
      </w:r>
      <w:r w:rsidR="00861DF2">
        <w:rPr>
          <w:rFonts w:cstheme="minorHAnsi"/>
          <w:szCs w:val="24"/>
        </w:rPr>
        <w:t xml:space="preserve"> question</w:t>
      </w:r>
    </w:p>
    <w:tbl>
      <w:tblPr>
        <w:tblStyle w:val="TableGrid"/>
        <w:tblW w:w="9071" w:type="dxa"/>
        <w:tblInd w:w="85" w:type="dxa"/>
        <w:tblCellMar>
          <w:top w:w="85" w:type="dxa"/>
          <w:left w:w="85" w:type="dxa"/>
          <w:right w:w="85" w:type="dxa"/>
        </w:tblCellMar>
        <w:tblLook w:val="04A0" w:firstRow="1" w:lastRow="0" w:firstColumn="1" w:lastColumn="0" w:noHBand="0" w:noVBand="1"/>
        <w:tblDescription w:val="The Nutrition Checklist table is an example of a tool used by assessors to assist identifying the daily care needs for eating under nutrition. This table is to be read left to right, top to bottom, noting that tick boxes are not functional."/>
      </w:tblPr>
      <w:tblGrid>
        <w:gridCol w:w="7230"/>
        <w:gridCol w:w="1841"/>
      </w:tblGrid>
      <w:tr w:rsidR="00557FD2" w:rsidRPr="00F06AF0" w:rsidTr="00A51750">
        <w:trPr>
          <w:trHeight w:val="217"/>
          <w:tblHeader/>
        </w:trPr>
        <w:tc>
          <w:tcPr>
            <w:tcW w:w="7230" w:type="dxa"/>
            <w:shd w:val="clear" w:color="auto" w:fill="D9D9D9" w:themeFill="background1" w:themeFillShade="D9"/>
          </w:tcPr>
          <w:p w:rsidR="00980F62" w:rsidRDefault="00557FD2" w:rsidP="00557DB1">
            <w:pPr>
              <w:pStyle w:val="Tableheader1"/>
              <w:numPr>
                <w:ilvl w:val="0"/>
                <w:numId w:val="17"/>
              </w:numPr>
              <w:rPr>
                <w:rFonts w:asciiTheme="minorHAnsi" w:hAnsiTheme="minorHAnsi" w:cstheme="minorHAnsi"/>
              </w:rPr>
            </w:pPr>
            <w:r w:rsidRPr="00F06AF0">
              <w:rPr>
                <w:rFonts w:asciiTheme="minorHAnsi" w:hAnsiTheme="minorHAnsi" w:cstheme="minorHAnsi"/>
              </w:rPr>
              <w:t>Nutrition</w:t>
            </w:r>
          </w:p>
          <w:p w:rsidR="00557FD2" w:rsidRPr="00F06AF0" w:rsidRDefault="00891B6E" w:rsidP="00A51750">
            <w:pPr>
              <w:pStyle w:val="Tableheader1"/>
              <w:rPr>
                <w:rFonts w:asciiTheme="minorHAnsi" w:hAnsiTheme="minorHAnsi" w:cstheme="minorHAnsi"/>
                <w:b w:val="0"/>
                <w:i/>
              </w:rPr>
            </w:pPr>
            <w:r>
              <w:rPr>
                <w:rFonts w:asciiTheme="minorHAnsi" w:hAnsiTheme="minorHAnsi" w:cstheme="minorHAnsi"/>
                <w:b w:val="0"/>
                <w:i/>
              </w:rPr>
              <w:t>D</w:t>
            </w:r>
            <w:r w:rsidR="00557FD2" w:rsidRPr="00F06AF0">
              <w:rPr>
                <w:rFonts w:asciiTheme="minorHAnsi" w:hAnsiTheme="minorHAnsi" w:cstheme="minorHAnsi"/>
                <w:b w:val="0"/>
                <w:i/>
              </w:rPr>
              <w:t>aily care needs for Eating activities</w:t>
            </w:r>
          </w:p>
        </w:tc>
        <w:tc>
          <w:tcPr>
            <w:tcW w:w="1841" w:type="dxa"/>
            <w:shd w:val="clear" w:color="auto" w:fill="D9D9D9" w:themeFill="background1" w:themeFillShade="D9"/>
          </w:tcPr>
          <w:p w:rsidR="00557FD2" w:rsidRPr="00F06AF0" w:rsidRDefault="00557FD2" w:rsidP="007401F8">
            <w:pPr>
              <w:pStyle w:val="Tableheader1"/>
              <w:jc w:val="center"/>
              <w:rPr>
                <w:rFonts w:asciiTheme="minorHAnsi" w:hAnsiTheme="minorHAnsi" w:cstheme="minorHAnsi"/>
              </w:rPr>
            </w:pPr>
            <w:r w:rsidRPr="00F06AF0">
              <w:rPr>
                <w:rFonts w:asciiTheme="minorHAnsi" w:hAnsiTheme="minorHAnsi" w:cstheme="minorHAnsi"/>
              </w:rPr>
              <w:t>Assistance level</w:t>
            </w:r>
          </w:p>
          <w:p w:rsidR="00557FD2" w:rsidRPr="00F06AF0" w:rsidRDefault="00557FD2" w:rsidP="007401F8">
            <w:pPr>
              <w:pStyle w:val="Tabletype1"/>
              <w:jc w:val="center"/>
              <w:rPr>
                <w:rFonts w:asciiTheme="minorHAnsi" w:hAnsiTheme="minorHAnsi" w:cstheme="minorHAnsi"/>
              </w:rPr>
            </w:pPr>
            <w:r w:rsidRPr="00F06AF0">
              <w:rPr>
                <w:rFonts w:asciiTheme="minorHAnsi" w:hAnsiTheme="minorHAnsi" w:cstheme="minorHAnsi"/>
              </w:rPr>
              <w:t>(Tick one)</w:t>
            </w:r>
          </w:p>
        </w:tc>
      </w:tr>
      <w:tr w:rsidR="00557FD2" w:rsidRPr="00F06AF0" w:rsidTr="00A51750">
        <w:tc>
          <w:tcPr>
            <w:tcW w:w="7230" w:type="dxa"/>
          </w:tcPr>
          <w:p w:rsidR="00557FD2" w:rsidRPr="00F06AF0" w:rsidRDefault="00557FD2" w:rsidP="00AB104B">
            <w:pPr>
              <w:pStyle w:val="numberedtableheader2"/>
              <w:ind w:left="0" w:firstLine="0"/>
              <w:jc w:val="left"/>
              <w:rPr>
                <w:rFonts w:asciiTheme="minorHAnsi" w:hAnsiTheme="minorHAnsi" w:cstheme="minorHAnsi"/>
                <w:b w:val="0"/>
              </w:rPr>
            </w:pPr>
            <w:r w:rsidRPr="00F06AF0">
              <w:rPr>
                <w:rFonts w:asciiTheme="minorHAnsi" w:hAnsiTheme="minorHAnsi" w:cstheme="minorHAnsi"/>
                <w:sz w:val="20"/>
                <w:szCs w:val="20"/>
              </w:rPr>
              <w:t xml:space="preserve">Standard Care: </w:t>
            </w:r>
            <w:r w:rsidRPr="00F06AF0">
              <w:rPr>
                <w:rFonts w:asciiTheme="minorHAnsi" w:hAnsiTheme="minorHAnsi" w:cstheme="minorHAnsi"/>
                <w:b w:val="0"/>
                <w:sz w:val="20"/>
                <w:szCs w:val="20"/>
              </w:rPr>
              <w:t xml:space="preserve">Independent during the activity, staff standing by for occasional or episodic assistance, </w:t>
            </w:r>
            <w:r w:rsidR="00D00CFF">
              <w:rPr>
                <w:rFonts w:asciiTheme="minorHAnsi" w:hAnsiTheme="minorHAnsi" w:cstheme="minorHAnsi"/>
                <w:b w:val="0"/>
                <w:sz w:val="20"/>
                <w:szCs w:val="20"/>
              </w:rPr>
              <w:t xml:space="preserve">or </w:t>
            </w:r>
            <w:r w:rsidRPr="00F06AF0">
              <w:rPr>
                <w:rFonts w:asciiTheme="minorHAnsi" w:hAnsiTheme="minorHAnsi" w:cstheme="minorHAnsi"/>
                <w:b w:val="0"/>
                <w:sz w:val="20"/>
                <w:szCs w:val="20"/>
              </w:rPr>
              <w:t>provision of modified textured food and drinks</w:t>
            </w:r>
            <w:r w:rsidR="008B7D4D">
              <w:rPr>
                <w:rFonts w:asciiTheme="minorHAnsi" w:hAnsiTheme="minorHAnsi" w:cstheme="minorHAnsi"/>
                <w:b w:val="0"/>
                <w:sz w:val="20"/>
                <w:szCs w:val="20"/>
              </w:rPr>
              <w:t xml:space="preserve">, </w:t>
            </w:r>
            <w:r w:rsidR="00D00CFF">
              <w:rPr>
                <w:rFonts w:asciiTheme="minorHAnsi" w:hAnsiTheme="minorHAnsi" w:cstheme="minorHAnsi"/>
                <w:b w:val="0"/>
                <w:sz w:val="20"/>
                <w:szCs w:val="20"/>
              </w:rPr>
              <w:t xml:space="preserve">or </w:t>
            </w:r>
            <w:r w:rsidR="008B7D4D">
              <w:rPr>
                <w:rFonts w:asciiTheme="minorHAnsi" w:hAnsiTheme="minorHAnsi" w:cstheme="minorHAnsi"/>
                <w:b w:val="0"/>
                <w:sz w:val="20"/>
                <w:szCs w:val="20"/>
              </w:rPr>
              <w:t>verbal assistance</w:t>
            </w:r>
            <w:r w:rsidR="00EA45D1">
              <w:rPr>
                <w:rFonts w:asciiTheme="minorHAnsi" w:hAnsiTheme="minorHAnsi" w:cstheme="minorHAnsi"/>
                <w:b w:val="0"/>
                <w:sz w:val="20"/>
                <w:szCs w:val="20"/>
              </w:rPr>
              <w:t xml:space="preserve">, </w:t>
            </w:r>
            <w:r w:rsidR="00D00CFF">
              <w:rPr>
                <w:rFonts w:asciiTheme="minorHAnsi" w:hAnsiTheme="minorHAnsi" w:cstheme="minorHAnsi"/>
                <w:b w:val="0"/>
                <w:sz w:val="20"/>
                <w:szCs w:val="20"/>
              </w:rPr>
              <w:t xml:space="preserve">or </w:t>
            </w:r>
            <w:r w:rsidRPr="00F06AF0">
              <w:rPr>
                <w:rFonts w:asciiTheme="minorHAnsi" w:hAnsiTheme="minorHAnsi" w:cstheme="minorHAnsi"/>
                <w:b w:val="0"/>
                <w:sz w:val="20"/>
                <w:szCs w:val="20"/>
              </w:rPr>
              <w:t>setting up activities e.g.</w:t>
            </w:r>
            <w:r w:rsidR="007A576E">
              <w:rPr>
                <w:rFonts w:asciiTheme="minorHAnsi" w:hAnsiTheme="minorHAnsi" w:cstheme="minorHAnsi"/>
                <w:b w:val="0"/>
                <w:sz w:val="20"/>
                <w:szCs w:val="20"/>
              </w:rPr>
              <w:t xml:space="preserve"> </w:t>
            </w:r>
            <w:r w:rsidRPr="00F06AF0">
              <w:rPr>
                <w:rFonts w:asciiTheme="minorHAnsi" w:hAnsiTheme="minorHAnsi" w:cstheme="minorHAnsi"/>
                <w:b w:val="0"/>
                <w:sz w:val="20"/>
                <w:szCs w:val="20"/>
              </w:rPr>
              <w:t>taking lids off, cut up food, specialised plates and cutlery, special diets, placing food in front of resident etc.</w:t>
            </w:r>
          </w:p>
        </w:tc>
        <w:tc>
          <w:tcPr>
            <w:tcW w:w="1841" w:type="dxa"/>
          </w:tcPr>
          <w:p w:rsidR="00557FD2" w:rsidRPr="00F06AF0" w:rsidRDefault="00557FD2" w:rsidP="00A51750">
            <w:pPr>
              <w:pStyle w:val="Tabletype1"/>
              <w:spacing w:after="0"/>
              <w:jc w:val="center"/>
              <w:rPr>
                <w:rFonts w:asciiTheme="minorHAnsi" w:hAnsiTheme="minorHAnsi" w:cstheme="minorHAnsi"/>
              </w:rPr>
            </w:pPr>
            <w:r w:rsidRPr="00F06AF0">
              <w:rPr>
                <w:rFonts w:asciiTheme="minorHAnsi" w:hAnsiTheme="minorHAnsi" w:cstheme="minorHAnsi"/>
                <w:sz w:val="22"/>
              </w:rPr>
              <w:sym w:font="Wingdings" w:char="F06F"/>
            </w:r>
            <w:r w:rsidRPr="00F06AF0">
              <w:rPr>
                <w:rFonts w:asciiTheme="minorHAnsi" w:hAnsiTheme="minorHAnsi" w:cstheme="minorHAnsi"/>
              </w:rPr>
              <w:t xml:space="preserve"> 0</w:t>
            </w:r>
          </w:p>
        </w:tc>
      </w:tr>
      <w:tr w:rsidR="00557FD2" w:rsidRPr="00F06AF0" w:rsidTr="00A51750">
        <w:trPr>
          <w:trHeight w:val="32"/>
        </w:trPr>
        <w:tc>
          <w:tcPr>
            <w:tcW w:w="7230" w:type="dxa"/>
          </w:tcPr>
          <w:p w:rsidR="00557FD2" w:rsidRPr="009572ED" w:rsidRDefault="00557FD2" w:rsidP="00AB104B">
            <w:pPr>
              <w:pStyle w:val="Tabletype1"/>
              <w:jc w:val="left"/>
              <w:rPr>
                <w:rFonts w:asciiTheme="minorHAnsi" w:hAnsiTheme="minorHAnsi" w:cstheme="minorHAnsi"/>
              </w:rPr>
            </w:pPr>
            <w:r w:rsidRPr="00F06AF0">
              <w:rPr>
                <w:rFonts w:asciiTheme="minorHAnsi" w:hAnsiTheme="minorHAnsi" w:cstheme="minorHAnsi"/>
                <w:b/>
                <w:sz w:val="20"/>
                <w:szCs w:val="20"/>
                <w:lang w:eastAsia="en-AU"/>
              </w:rPr>
              <w:t xml:space="preserve">Monitoring: </w:t>
            </w:r>
            <w:r w:rsidRPr="00F06AF0">
              <w:rPr>
                <w:rFonts w:asciiTheme="minorHAnsi" w:hAnsiTheme="minorHAnsi" w:cstheme="minorHAnsi"/>
                <w:sz w:val="20"/>
                <w:szCs w:val="20"/>
                <w:lang w:eastAsia="en-AU"/>
              </w:rPr>
              <w:t xml:space="preserve">Needs general monitoring for an assessed nutritional need </w:t>
            </w:r>
            <w:r w:rsidR="007401F8">
              <w:rPr>
                <w:rFonts w:asciiTheme="minorHAnsi" w:hAnsiTheme="minorHAnsi" w:cstheme="minorHAnsi"/>
                <w:sz w:val="20"/>
                <w:szCs w:val="20"/>
                <w:lang w:eastAsia="en-AU"/>
              </w:rPr>
              <w:t xml:space="preserve">as defined by </w:t>
            </w:r>
            <w:r w:rsidRPr="00F06AF0">
              <w:rPr>
                <w:rFonts w:asciiTheme="minorHAnsi" w:hAnsiTheme="minorHAnsi" w:cstheme="minorHAnsi"/>
                <w:sz w:val="20"/>
                <w:szCs w:val="20"/>
                <w:lang w:eastAsia="en-AU"/>
              </w:rPr>
              <w:t>the mandated assessment.</w:t>
            </w:r>
          </w:p>
        </w:tc>
        <w:tc>
          <w:tcPr>
            <w:tcW w:w="1841" w:type="dxa"/>
          </w:tcPr>
          <w:p w:rsidR="00557FD2" w:rsidRPr="00F06AF0" w:rsidRDefault="00557FD2" w:rsidP="00A51750">
            <w:pPr>
              <w:pStyle w:val="Tabletype1"/>
              <w:spacing w:after="0"/>
              <w:jc w:val="center"/>
              <w:rPr>
                <w:rFonts w:asciiTheme="minorHAnsi" w:hAnsiTheme="minorHAnsi" w:cstheme="minorHAnsi"/>
              </w:rPr>
            </w:pPr>
            <w:r w:rsidRPr="00F06AF0">
              <w:rPr>
                <w:rFonts w:asciiTheme="minorHAnsi" w:hAnsiTheme="minorHAnsi" w:cstheme="minorHAnsi"/>
                <w:sz w:val="22"/>
              </w:rPr>
              <w:sym w:font="Wingdings" w:char="F06F"/>
            </w:r>
            <w:r w:rsidRPr="00F06AF0">
              <w:rPr>
                <w:rFonts w:asciiTheme="minorHAnsi" w:hAnsiTheme="minorHAnsi" w:cstheme="minorHAnsi"/>
              </w:rPr>
              <w:t xml:space="preserve"> 1</w:t>
            </w:r>
          </w:p>
        </w:tc>
      </w:tr>
      <w:tr w:rsidR="00557FD2" w:rsidRPr="00F06AF0" w:rsidTr="00A51750">
        <w:trPr>
          <w:trHeight w:val="32"/>
        </w:trPr>
        <w:tc>
          <w:tcPr>
            <w:tcW w:w="7230" w:type="dxa"/>
          </w:tcPr>
          <w:p w:rsidR="00557FD2" w:rsidRPr="009572ED" w:rsidRDefault="00557FD2" w:rsidP="00AB104B">
            <w:pPr>
              <w:pStyle w:val="numberedtableheader2"/>
              <w:ind w:left="0" w:firstLine="0"/>
              <w:jc w:val="left"/>
              <w:rPr>
                <w:rFonts w:asciiTheme="minorHAnsi" w:hAnsiTheme="minorHAnsi" w:cstheme="minorHAnsi"/>
                <w:b w:val="0"/>
              </w:rPr>
            </w:pPr>
            <w:r w:rsidRPr="00F06AF0">
              <w:rPr>
                <w:rFonts w:asciiTheme="minorHAnsi" w:hAnsiTheme="minorHAnsi" w:cstheme="minorHAnsi"/>
                <w:sz w:val="20"/>
                <w:szCs w:val="20"/>
                <w:lang w:eastAsia="en-AU"/>
              </w:rPr>
              <w:t>Moderate Assistance:</w:t>
            </w:r>
            <w:r w:rsidRPr="00F06AF0">
              <w:rPr>
                <w:rFonts w:asciiTheme="minorHAnsi" w:hAnsiTheme="minorHAnsi" w:cstheme="minorHAnsi"/>
                <w:b w:val="0"/>
                <w:sz w:val="20"/>
                <w:szCs w:val="20"/>
                <w:lang w:eastAsia="en-AU"/>
              </w:rPr>
              <w:t xml:space="preserve"> </w:t>
            </w:r>
            <w:r w:rsidRPr="00F06AF0">
              <w:rPr>
                <w:rFonts w:ascii="Calibri" w:hAnsi="Calibri" w:cs="Calibri"/>
                <w:b w:val="0"/>
                <w:sz w:val="20"/>
                <w:szCs w:val="20"/>
              </w:rPr>
              <w:t xml:space="preserve">Always providing physical assistance, on a one-to-one basis, for part of the activity, whenever the activity is needed </w:t>
            </w:r>
            <w:r w:rsidRPr="00F06AF0">
              <w:rPr>
                <w:rFonts w:asciiTheme="minorHAnsi" w:hAnsiTheme="minorHAnsi" w:cstheme="minorHAnsi"/>
                <w:b w:val="0"/>
                <w:sz w:val="20"/>
                <w:szCs w:val="20"/>
                <w:lang w:eastAsia="en-AU"/>
              </w:rPr>
              <w:t>due to a swallowing issue or other impairment.</w:t>
            </w:r>
          </w:p>
        </w:tc>
        <w:tc>
          <w:tcPr>
            <w:tcW w:w="1841" w:type="dxa"/>
          </w:tcPr>
          <w:p w:rsidR="00557FD2" w:rsidRPr="00F06AF0" w:rsidRDefault="00557FD2" w:rsidP="00A51750">
            <w:pPr>
              <w:pStyle w:val="Tabletype1"/>
              <w:spacing w:after="0"/>
              <w:jc w:val="center"/>
              <w:rPr>
                <w:rFonts w:asciiTheme="minorHAnsi" w:hAnsiTheme="minorHAnsi" w:cstheme="minorHAnsi"/>
              </w:rPr>
            </w:pPr>
            <w:r w:rsidRPr="00F06AF0">
              <w:rPr>
                <w:rFonts w:asciiTheme="minorHAnsi" w:hAnsiTheme="minorHAnsi" w:cstheme="minorHAnsi"/>
                <w:sz w:val="22"/>
              </w:rPr>
              <w:sym w:font="Wingdings" w:char="F06F"/>
            </w:r>
            <w:r w:rsidRPr="00F06AF0">
              <w:rPr>
                <w:rFonts w:asciiTheme="minorHAnsi" w:hAnsiTheme="minorHAnsi" w:cstheme="minorHAnsi"/>
              </w:rPr>
              <w:t xml:space="preserve"> 2</w:t>
            </w:r>
          </w:p>
        </w:tc>
      </w:tr>
      <w:tr w:rsidR="00557FD2" w:rsidRPr="00F06AF0" w:rsidTr="00A51750">
        <w:trPr>
          <w:trHeight w:val="32"/>
        </w:trPr>
        <w:tc>
          <w:tcPr>
            <w:tcW w:w="7230" w:type="dxa"/>
          </w:tcPr>
          <w:p w:rsidR="00557FD2" w:rsidRPr="009572ED" w:rsidRDefault="00557FD2" w:rsidP="00AB104B">
            <w:pPr>
              <w:pStyle w:val="numberedtableheader2"/>
              <w:ind w:left="0" w:firstLine="0"/>
              <w:jc w:val="left"/>
              <w:rPr>
                <w:rFonts w:asciiTheme="minorHAnsi" w:hAnsiTheme="minorHAnsi" w:cstheme="minorHAnsi"/>
                <w:b w:val="0"/>
              </w:rPr>
            </w:pPr>
            <w:r w:rsidRPr="00F06AF0">
              <w:rPr>
                <w:rFonts w:asciiTheme="minorHAnsi" w:hAnsiTheme="minorHAnsi" w:cstheme="minorHAnsi"/>
                <w:sz w:val="20"/>
                <w:szCs w:val="20"/>
                <w:lang w:eastAsia="en-AU"/>
              </w:rPr>
              <w:t xml:space="preserve">Full assistance: </w:t>
            </w:r>
            <w:r w:rsidRPr="00F06AF0">
              <w:rPr>
                <w:rFonts w:ascii="Calibri" w:hAnsi="Calibri" w:cs="Calibri"/>
                <w:b w:val="0"/>
                <w:sz w:val="20"/>
                <w:szCs w:val="20"/>
              </w:rPr>
              <w:t>Always providing physical assistance, on a one-to-one basis, throughout the entire activity, whenever the activity is needed.</w:t>
            </w:r>
          </w:p>
        </w:tc>
        <w:tc>
          <w:tcPr>
            <w:tcW w:w="1841" w:type="dxa"/>
          </w:tcPr>
          <w:p w:rsidR="00557FD2" w:rsidRPr="00F06AF0" w:rsidRDefault="00557FD2" w:rsidP="00A51750">
            <w:pPr>
              <w:pStyle w:val="Tabletype1"/>
              <w:spacing w:after="0"/>
              <w:jc w:val="center"/>
              <w:rPr>
                <w:rFonts w:asciiTheme="minorHAnsi" w:hAnsiTheme="minorHAnsi" w:cstheme="minorHAnsi"/>
              </w:rPr>
            </w:pPr>
            <w:r w:rsidRPr="00F06AF0">
              <w:rPr>
                <w:rFonts w:asciiTheme="minorHAnsi" w:hAnsiTheme="minorHAnsi" w:cstheme="minorHAnsi"/>
                <w:sz w:val="22"/>
              </w:rPr>
              <w:sym w:font="Wingdings" w:char="F06F"/>
            </w:r>
            <w:r w:rsidRPr="00F06AF0">
              <w:rPr>
                <w:rFonts w:asciiTheme="minorHAnsi" w:hAnsiTheme="minorHAnsi" w:cstheme="minorHAnsi"/>
              </w:rPr>
              <w:t xml:space="preserve"> 3</w:t>
            </w:r>
          </w:p>
        </w:tc>
      </w:tr>
      <w:bookmarkEnd w:id="278"/>
    </w:tbl>
    <w:p w:rsidR="00557FD2" w:rsidRPr="00F06AF0" w:rsidRDefault="00557FD2" w:rsidP="001F2491">
      <w:pPr>
        <w:pStyle w:val="Heading3-Chapter44"/>
      </w:pPr>
      <w:r w:rsidRPr="00F06AF0">
        <w:br w:type="page"/>
      </w:r>
      <w:bookmarkStart w:id="280" w:name="_Toc486600013"/>
      <w:bookmarkStart w:id="281" w:name="_Toc486603057"/>
      <w:r w:rsidRPr="00F06AF0">
        <w:lastRenderedPageBreak/>
        <w:t>R-ACFI 2: Mobility</w:t>
      </w:r>
      <w:bookmarkEnd w:id="279"/>
      <w:bookmarkEnd w:id="280"/>
      <w:bookmarkEnd w:id="281"/>
    </w:p>
    <w:p w:rsidR="00557FD2" w:rsidRPr="00F06AF0" w:rsidRDefault="00557FD2" w:rsidP="0017119E">
      <w:r w:rsidRPr="00F06AF0">
        <w:rPr>
          <w:lang w:eastAsia="en-AU"/>
        </w:rPr>
        <w:t xml:space="preserve">The NSAF comprehensive assessment approach was investigated to determine if aspects could be included in the R-ACFI. NSAF supplementary assessment tools include the </w:t>
      </w:r>
      <w:r w:rsidRPr="00F06AF0">
        <w:t>Older Americans Resources and Services (OARS)</w:t>
      </w:r>
      <w:r w:rsidR="006B713E">
        <w:t xml:space="preserve"> </w:t>
      </w:r>
      <w:r w:rsidRPr="00F06AF0">
        <w:t>Activities of Daily Living, Barthel Index of Activities of Daily Living</w:t>
      </w:r>
      <w:r w:rsidR="00793A8E" w:rsidRPr="009572ED">
        <w:t xml:space="preserve"> and</w:t>
      </w:r>
      <w:r w:rsidRPr="00F06AF0">
        <w:t xml:space="preserve"> Kimberly Indigenous Cognitive Assessment - Activities of Daily Living (KICA-ADL). These tools were </w:t>
      </w:r>
      <w:r w:rsidR="00322470">
        <w:t xml:space="preserve">not suitable for the R-ACFI </w:t>
      </w:r>
      <w:r w:rsidR="00432262">
        <w:t xml:space="preserve">assessment model </w:t>
      </w:r>
      <w:r w:rsidR="008B47A9">
        <w:t>as they record a rating summary</w:t>
      </w:r>
      <w:r w:rsidRPr="00F06AF0">
        <w:t xml:space="preserve"> and do not provide the evidence to support the </w:t>
      </w:r>
      <w:r w:rsidR="008B47A9">
        <w:t>assessed care need</w:t>
      </w:r>
      <w:r w:rsidRPr="00F06AF0">
        <w:t xml:space="preserve"> outcome.</w:t>
      </w:r>
    </w:p>
    <w:p w:rsidR="00980F62" w:rsidRDefault="00557FD2" w:rsidP="0017119E">
      <w:r w:rsidRPr="00F06AF0">
        <w:t>The Physical Mobility Scale (PMS) and the Falls Risk Assessment Tool (FRAT) were reviewed and determined to be suitable for use by both external and provider assessors</w:t>
      </w:r>
      <w:r w:rsidR="00432262">
        <w:t xml:space="preserve"> (Appendix 4.2; 4.6)</w:t>
      </w:r>
      <w:r w:rsidRPr="00F06AF0">
        <w:t>.</w:t>
      </w:r>
      <w:r w:rsidR="007A576E">
        <w:t xml:space="preserve"> </w:t>
      </w:r>
      <w:r w:rsidR="00432262">
        <w:t xml:space="preserve">Guidelines for the use and scoring of the PMS </w:t>
      </w:r>
      <w:r w:rsidR="007D1171">
        <w:t xml:space="preserve">were developed </w:t>
      </w:r>
      <w:r w:rsidR="00CF5E6B">
        <w:t xml:space="preserve">by AACS </w:t>
      </w:r>
      <w:r w:rsidR="007D1171">
        <w:t xml:space="preserve">and </w:t>
      </w:r>
      <w:r w:rsidR="00432262">
        <w:t>are included in Appendix 4.6.</w:t>
      </w:r>
    </w:p>
    <w:p w:rsidR="00557FD2" w:rsidRPr="00F06AF0" w:rsidRDefault="00557FD2" w:rsidP="0017119E">
      <w:r w:rsidRPr="00F06AF0">
        <w:t xml:space="preserve">The </w:t>
      </w:r>
      <w:r w:rsidR="007D1171">
        <w:t xml:space="preserve">assessment </w:t>
      </w:r>
      <w:r w:rsidRPr="00F06AF0">
        <w:t xml:space="preserve">outcomes of these validated tools can be directly compared to the selected ADL rating level for Mobility (Transfers and Locomotion), and for </w:t>
      </w:r>
      <w:r w:rsidR="006B713E">
        <w:t xml:space="preserve">supporting </w:t>
      </w:r>
      <w:r w:rsidRPr="00F06AF0">
        <w:t>the Personal Hygiene and Toileting items. The information from the tools provide valu</w:t>
      </w:r>
      <w:r w:rsidR="00793A8E" w:rsidRPr="009572ED">
        <w:t xml:space="preserve">able </w:t>
      </w:r>
      <w:r w:rsidRPr="00F06AF0">
        <w:t xml:space="preserve">added information for care planning as it directly informs on the specific aspects of mobility </w:t>
      </w:r>
      <w:r w:rsidR="00793A8E" w:rsidRPr="009572ED">
        <w:t>assistance required by the resident</w:t>
      </w:r>
      <w:r w:rsidRPr="00F06AF0">
        <w:t>. For example, can they roll in bed? (vital in deciding if staff need to regularly turn a resident to protect their skin integrity); is their sitting balance good enough to leave them sitting on</w:t>
      </w:r>
      <w:r w:rsidR="000331EA">
        <w:t xml:space="preserve"> the edge of the bed or toilet? </w:t>
      </w:r>
      <w:r w:rsidRPr="00F06AF0">
        <w:t>and can they push up to stand? It is the detailed aspects that are important in understanding the type and degree of assistance needed, while still safely encouraging independence.</w:t>
      </w:r>
    </w:p>
    <w:p w:rsidR="00980F62" w:rsidRDefault="00557FD2" w:rsidP="0017119E">
      <w:r w:rsidRPr="00F06AF0">
        <w:t>The changes to the ADL rating scale in R-ACFI 2-4 (Mobility, Personal Hygiene, Toileting) will also identify residents who need extra staffing resources (e.g. needing bariatric care).</w:t>
      </w:r>
    </w:p>
    <w:p w:rsidR="006050AC" w:rsidRPr="004D324E" w:rsidRDefault="007D1171" w:rsidP="00E67014">
      <w:pPr>
        <w:rPr>
          <w:rStyle w:val="Strong"/>
        </w:rPr>
      </w:pPr>
      <w:bookmarkStart w:id="282" w:name="_Toc482012910"/>
      <w:r w:rsidRPr="004D324E">
        <w:rPr>
          <w:rStyle w:val="Strong"/>
        </w:rPr>
        <w:t>Further detail on t</w:t>
      </w:r>
      <w:r w:rsidR="006050AC" w:rsidRPr="004D324E">
        <w:rPr>
          <w:rStyle w:val="Strong"/>
        </w:rPr>
        <w:t>he rationale for the new R-ACFI Mobility Question</w:t>
      </w:r>
      <w:r w:rsidR="00851969" w:rsidRPr="004D324E">
        <w:rPr>
          <w:rStyle w:val="Strong"/>
        </w:rPr>
        <w:t xml:space="preserve"> is</w:t>
      </w:r>
      <w:r w:rsidR="006050AC" w:rsidRPr="004D324E">
        <w:rPr>
          <w:rStyle w:val="Strong"/>
        </w:rPr>
        <w:t xml:space="preserve"> in Appendix 4.</w:t>
      </w:r>
      <w:r w:rsidR="00594C41" w:rsidRPr="004D324E">
        <w:rPr>
          <w:rStyle w:val="Strong"/>
        </w:rPr>
        <w:t>2</w:t>
      </w:r>
      <w:r w:rsidR="006050AC" w:rsidRPr="004D324E">
        <w:rPr>
          <w:rStyle w:val="Strong"/>
        </w:rPr>
        <w:t>.</w:t>
      </w:r>
    </w:p>
    <w:p w:rsidR="00557FD2" w:rsidRPr="00F06AF0" w:rsidRDefault="001F09F2" w:rsidP="001F2491">
      <w:pPr>
        <w:pStyle w:val="Heading3-Chapter44"/>
      </w:pPr>
      <w:r w:rsidRPr="00F06AF0">
        <w:t xml:space="preserve">Recommended </w:t>
      </w:r>
      <w:r>
        <w:t>Use</w:t>
      </w:r>
      <w:r w:rsidR="007D1171">
        <w:t>r</w:t>
      </w:r>
      <w:r>
        <w:t xml:space="preserve"> Guide </w:t>
      </w:r>
      <w:r w:rsidR="00557FD2" w:rsidRPr="00F06AF0">
        <w:t xml:space="preserve">R-ACFI Format for </w:t>
      </w:r>
      <w:r w:rsidR="002F3777">
        <w:t xml:space="preserve">the </w:t>
      </w:r>
      <w:r w:rsidR="00557FD2" w:rsidRPr="00F06AF0">
        <w:t>Mobility Question</w:t>
      </w:r>
      <w:r w:rsidR="002F3777">
        <w:t>s</w:t>
      </w:r>
    </w:p>
    <w:p w:rsidR="00980F62" w:rsidRDefault="00557FD2" w:rsidP="0017119E">
      <w:pPr>
        <w:rPr>
          <w:rFonts w:cstheme="minorHAnsi"/>
          <w:szCs w:val="24"/>
        </w:rPr>
      </w:pPr>
      <w:r w:rsidRPr="004D324E">
        <w:rPr>
          <w:rStyle w:val="Strong"/>
        </w:rPr>
        <w:t>Description:</w:t>
      </w:r>
      <w:r w:rsidRPr="00F06AF0">
        <w:rPr>
          <w:b/>
          <w:szCs w:val="24"/>
        </w:rPr>
        <w:t xml:space="preserve"> </w:t>
      </w:r>
      <w:r w:rsidRPr="00632AE8">
        <w:rPr>
          <w:szCs w:val="24"/>
        </w:rPr>
        <w:t>T</w:t>
      </w:r>
      <w:r w:rsidR="002F3777">
        <w:rPr>
          <w:rFonts w:cstheme="minorHAnsi"/>
          <w:szCs w:val="24"/>
        </w:rPr>
        <w:t>hese</w:t>
      </w:r>
      <w:r w:rsidRPr="00632AE8">
        <w:rPr>
          <w:rFonts w:cstheme="minorHAnsi"/>
          <w:szCs w:val="24"/>
        </w:rPr>
        <w:t xml:space="preserve"> question</w:t>
      </w:r>
      <w:r w:rsidR="002F3777">
        <w:rPr>
          <w:rFonts w:cstheme="minorHAnsi"/>
          <w:szCs w:val="24"/>
        </w:rPr>
        <w:t>s relate</w:t>
      </w:r>
      <w:r w:rsidRPr="00632AE8">
        <w:rPr>
          <w:rFonts w:cstheme="minorHAnsi"/>
          <w:szCs w:val="24"/>
        </w:rPr>
        <w:t xml:space="preserve"> to the resident’s day-to-day assessed care needs </w:t>
      </w:r>
      <w:r w:rsidR="007D1171" w:rsidRPr="00632AE8">
        <w:rPr>
          <w:rFonts w:cstheme="minorHAnsi"/>
          <w:szCs w:val="24"/>
        </w:rPr>
        <w:t xml:space="preserve">in </w:t>
      </w:r>
      <w:r w:rsidRPr="00632AE8">
        <w:rPr>
          <w:rFonts w:cstheme="minorHAnsi"/>
          <w:szCs w:val="24"/>
        </w:rPr>
        <w:t xml:space="preserve">regard to mobility. For manual handling for maintenance of skin integrity, such as frequent </w:t>
      </w:r>
      <w:r w:rsidRPr="000331EA">
        <w:rPr>
          <w:rFonts w:cstheme="minorHAnsi"/>
          <w:szCs w:val="24"/>
        </w:rPr>
        <w:t xml:space="preserve">changing of the position of a resident with severely impaired mobility, refer to </w:t>
      </w:r>
      <w:r w:rsidR="007D1171" w:rsidRPr="000331EA">
        <w:rPr>
          <w:rFonts w:cstheme="minorHAnsi"/>
          <w:szCs w:val="24"/>
        </w:rPr>
        <w:t>R-</w:t>
      </w:r>
      <w:r w:rsidRPr="000331EA">
        <w:rPr>
          <w:rFonts w:cstheme="minorHAnsi"/>
          <w:szCs w:val="24"/>
        </w:rPr>
        <w:t xml:space="preserve">ACFI </w:t>
      </w:r>
      <w:r w:rsidR="007D1171" w:rsidRPr="000331EA">
        <w:rPr>
          <w:rFonts w:cstheme="minorHAnsi"/>
          <w:szCs w:val="24"/>
        </w:rPr>
        <w:t>8</w:t>
      </w:r>
      <w:r w:rsidRPr="000331EA">
        <w:rPr>
          <w:rFonts w:cstheme="minorHAnsi"/>
          <w:szCs w:val="24"/>
        </w:rPr>
        <w:t xml:space="preserve"> C</w:t>
      </w:r>
      <w:r w:rsidR="00793A8E" w:rsidRPr="000331EA">
        <w:rPr>
          <w:rFonts w:cstheme="minorHAnsi"/>
          <w:szCs w:val="24"/>
        </w:rPr>
        <w:t>HC</w:t>
      </w:r>
      <w:r w:rsidR="00632AE8" w:rsidRPr="000331EA">
        <w:rPr>
          <w:rFonts w:cstheme="minorHAnsi"/>
          <w:szCs w:val="24"/>
        </w:rPr>
        <w:t>, item 4</w:t>
      </w:r>
      <w:r w:rsidRPr="000331EA">
        <w:rPr>
          <w:rFonts w:cstheme="minorHAnsi"/>
          <w:szCs w:val="24"/>
        </w:rPr>
        <w:t xml:space="preserve">. Generally, a claim of </w:t>
      </w:r>
      <w:r w:rsidR="00EE0B94" w:rsidRPr="000331EA">
        <w:rPr>
          <w:rFonts w:cstheme="minorHAnsi"/>
          <w:szCs w:val="24"/>
        </w:rPr>
        <w:t>full assistance with</w:t>
      </w:r>
      <w:r w:rsidRPr="000331EA">
        <w:rPr>
          <w:rFonts w:cstheme="minorHAnsi"/>
          <w:szCs w:val="24"/>
        </w:rPr>
        <w:t xml:space="preserve"> ACFI 2 </w:t>
      </w:r>
      <w:r w:rsidR="002F3777">
        <w:rPr>
          <w:rFonts w:cstheme="minorHAnsi"/>
          <w:szCs w:val="24"/>
        </w:rPr>
        <w:t xml:space="preserve">mobility for </w:t>
      </w:r>
      <w:r w:rsidR="00EE0B94" w:rsidRPr="000331EA">
        <w:rPr>
          <w:rFonts w:cstheme="minorHAnsi"/>
          <w:szCs w:val="24"/>
        </w:rPr>
        <w:t xml:space="preserve">transfers or mechanical lifting </w:t>
      </w:r>
      <w:r w:rsidR="002F3777">
        <w:rPr>
          <w:rFonts w:cstheme="minorHAnsi"/>
          <w:szCs w:val="24"/>
        </w:rPr>
        <w:t xml:space="preserve">or for </w:t>
      </w:r>
      <w:r w:rsidR="00EE0B94" w:rsidRPr="000331EA">
        <w:rPr>
          <w:rFonts w:cstheme="minorHAnsi"/>
          <w:szCs w:val="24"/>
        </w:rPr>
        <w:t>loc</w:t>
      </w:r>
      <w:r w:rsidR="000331EA" w:rsidRPr="000331EA">
        <w:rPr>
          <w:rFonts w:cstheme="minorHAnsi"/>
          <w:szCs w:val="24"/>
        </w:rPr>
        <w:t>omotion</w:t>
      </w:r>
      <w:r w:rsidR="00EE0B94" w:rsidRPr="000331EA">
        <w:rPr>
          <w:rFonts w:cstheme="minorHAnsi"/>
          <w:szCs w:val="24"/>
        </w:rPr>
        <w:t xml:space="preserve"> will not be accompanied by a claim in </w:t>
      </w:r>
      <w:r w:rsidR="002F3777">
        <w:rPr>
          <w:rFonts w:cstheme="minorHAnsi"/>
          <w:szCs w:val="24"/>
        </w:rPr>
        <w:t>ACFI 7 Behaviour item</w:t>
      </w:r>
      <w:r w:rsidR="000331EA" w:rsidRPr="000331EA">
        <w:rPr>
          <w:rFonts w:cstheme="minorHAnsi"/>
          <w:szCs w:val="24"/>
        </w:rPr>
        <w:t xml:space="preserve"> W1 ‘interfering while wandering’.</w:t>
      </w:r>
    </w:p>
    <w:p w:rsidR="00EA45D1" w:rsidRDefault="00557FD2" w:rsidP="0017119E">
      <w:pPr>
        <w:rPr>
          <w:rFonts w:cstheme="minorHAnsi"/>
          <w:szCs w:val="24"/>
        </w:rPr>
      </w:pPr>
      <w:r w:rsidRPr="004D324E">
        <w:rPr>
          <w:rStyle w:val="Strong"/>
        </w:rPr>
        <w:t>Requirements:</w:t>
      </w:r>
      <w:r w:rsidRPr="00F06AF0">
        <w:rPr>
          <w:b/>
          <w:szCs w:val="24"/>
        </w:rPr>
        <w:t xml:space="preserve"> </w:t>
      </w:r>
      <w:r w:rsidRPr="00F06AF0">
        <w:rPr>
          <w:rFonts w:cstheme="minorHAnsi"/>
          <w:szCs w:val="24"/>
        </w:rPr>
        <w:t xml:space="preserve">To support a claim </w:t>
      </w:r>
      <w:r w:rsidR="00EA45D1">
        <w:rPr>
          <w:rFonts w:cstheme="minorHAnsi"/>
          <w:szCs w:val="24"/>
        </w:rPr>
        <w:t xml:space="preserve">(above Standard Care) </w:t>
      </w:r>
      <w:r w:rsidRPr="00F06AF0">
        <w:rPr>
          <w:rFonts w:cstheme="minorHAnsi"/>
          <w:szCs w:val="24"/>
        </w:rPr>
        <w:t xml:space="preserve">in </w:t>
      </w:r>
      <w:r w:rsidR="00303D02">
        <w:rPr>
          <w:rFonts w:cstheme="minorHAnsi"/>
          <w:szCs w:val="24"/>
        </w:rPr>
        <w:t xml:space="preserve">the </w:t>
      </w:r>
      <w:r w:rsidRPr="00F06AF0">
        <w:rPr>
          <w:rFonts w:cstheme="minorHAnsi"/>
          <w:szCs w:val="24"/>
        </w:rPr>
        <w:t>ACFI 2</w:t>
      </w:r>
      <w:r w:rsidR="00EA45D1">
        <w:rPr>
          <w:rFonts w:cstheme="minorHAnsi"/>
          <w:szCs w:val="24"/>
        </w:rPr>
        <w:t>.</w:t>
      </w:r>
    </w:p>
    <w:p w:rsidR="00980F62" w:rsidRDefault="00EA45D1" w:rsidP="00F02312">
      <w:pPr>
        <w:pStyle w:val="ListParagraph"/>
        <w:numPr>
          <w:ilvl w:val="0"/>
          <w:numId w:val="138"/>
        </w:numPr>
        <w:ind w:left="426" w:hanging="426"/>
      </w:pPr>
      <w:r w:rsidRPr="007F1D25">
        <w:rPr>
          <w:rFonts w:cstheme="minorHAnsi"/>
          <w:szCs w:val="24"/>
        </w:rPr>
        <w:t>T</w:t>
      </w:r>
      <w:r w:rsidR="00557FD2" w:rsidRPr="007F1D25">
        <w:rPr>
          <w:rFonts w:cstheme="minorHAnsi"/>
          <w:szCs w:val="24"/>
        </w:rPr>
        <w:t>he PMS and the FRAT must be completed and the requested outcomes entered i</w:t>
      </w:r>
      <w:r w:rsidR="00D25822">
        <w:rPr>
          <w:rFonts w:cstheme="minorHAnsi"/>
          <w:szCs w:val="24"/>
        </w:rPr>
        <w:t>nto the Assessment Summary</w:t>
      </w:r>
      <w:r w:rsidR="00557FD2" w:rsidRPr="007F1D25">
        <w:rPr>
          <w:rFonts w:cstheme="minorHAnsi"/>
          <w:szCs w:val="24"/>
        </w:rPr>
        <w:t xml:space="preserve">. </w:t>
      </w:r>
      <w:r w:rsidR="002F3777">
        <w:t>The required a</w:t>
      </w:r>
      <w:r w:rsidR="00557FD2" w:rsidRPr="00F06AF0">
        <w:t xml:space="preserve">ssessments must have been completed within the last 3 months and continue to reflect the resident’s mobility </w:t>
      </w:r>
      <w:r w:rsidR="00BA5C7F">
        <w:t>needs</w:t>
      </w:r>
      <w:r w:rsidR="00BA5C7F" w:rsidRPr="00F06AF0">
        <w:t xml:space="preserve"> </w:t>
      </w:r>
      <w:r w:rsidR="00557FD2" w:rsidRPr="00F06AF0">
        <w:t>at the time of the appraisal.</w:t>
      </w:r>
    </w:p>
    <w:p w:rsidR="00F37133" w:rsidRPr="007B4332" w:rsidRDefault="00F37133" w:rsidP="00F02312">
      <w:pPr>
        <w:pStyle w:val="ListParagraph"/>
        <w:numPr>
          <w:ilvl w:val="0"/>
          <w:numId w:val="138"/>
        </w:numPr>
        <w:ind w:left="426" w:hanging="426"/>
        <w:rPr>
          <w:rFonts w:cstheme="minorHAnsi"/>
          <w:szCs w:val="24"/>
        </w:rPr>
      </w:pPr>
      <w:r w:rsidRPr="007B4332">
        <w:rPr>
          <w:rFonts w:cstheme="minorHAnsi"/>
          <w:szCs w:val="24"/>
        </w:rPr>
        <w:t xml:space="preserve">The Mobility </w:t>
      </w:r>
      <w:r w:rsidR="00D00CFF">
        <w:rPr>
          <w:rFonts w:cstheme="minorHAnsi"/>
          <w:szCs w:val="24"/>
        </w:rPr>
        <w:t>Checklists</w:t>
      </w:r>
      <w:r w:rsidRPr="007B4332">
        <w:rPr>
          <w:rFonts w:cstheme="minorHAnsi"/>
          <w:szCs w:val="24"/>
        </w:rPr>
        <w:t xml:space="preserve"> must be completed using the Rating Scales.</w:t>
      </w:r>
      <w:r w:rsidR="007A576E">
        <w:rPr>
          <w:rFonts w:cstheme="minorHAnsi"/>
          <w:szCs w:val="24"/>
        </w:rPr>
        <w:t xml:space="preserve"> </w:t>
      </w:r>
      <w:r w:rsidRPr="007B4332">
        <w:rPr>
          <w:rFonts w:cstheme="minorHAnsi"/>
          <w:szCs w:val="24"/>
        </w:rPr>
        <w:t>The care needs to be rated are:</w:t>
      </w:r>
    </w:p>
    <w:p w:rsidR="00F37133" w:rsidRDefault="00F37133" w:rsidP="00F02312">
      <w:pPr>
        <w:pStyle w:val="ListParagraph"/>
        <w:numPr>
          <w:ilvl w:val="0"/>
          <w:numId w:val="128"/>
        </w:numPr>
        <w:ind w:left="851" w:hanging="425"/>
        <w:rPr>
          <w:rFonts w:cstheme="minorHAnsi"/>
          <w:szCs w:val="24"/>
        </w:rPr>
      </w:pPr>
      <w:r>
        <w:rPr>
          <w:rFonts w:cstheme="minorHAnsi"/>
          <w:szCs w:val="24"/>
        </w:rPr>
        <w:t>Transfers</w:t>
      </w:r>
      <w:r w:rsidR="008E7759">
        <w:rPr>
          <w:rFonts w:cstheme="minorHAnsi"/>
          <w:szCs w:val="24"/>
        </w:rPr>
        <w:t>;</w:t>
      </w:r>
    </w:p>
    <w:p w:rsidR="00F37133" w:rsidRPr="00F37133" w:rsidRDefault="00F37133" w:rsidP="00F02312">
      <w:pPr>
        <w:pStyle w:val="ListParagraph"/>
        <w:numPr>
          <w:ilvl w:val="0"/>
          <w:numId w:val="128"/>
        </w:numPr>
        <w:ind w:left="851" w:hanging="425"/>
        <w:rPr>
          <w:rFonts w:cstheme="minorHAnsi"/>
          <w:szCs w:val="24"/>
        </w:rPr>
      </w:pPr>
      <w:r>
        <w:rPr>
          <w:rFonts w:cstheme="minorHAnsi"/>
          <w:szCs w:val="24"/>
        </w:rPr>
        <w:t>Locomotion</w:t>
      </w:r>
      <w:r w:rsidR="008E7759">
        <w:rPr>
          <w:rFonts w:cstheme="minorHAnsi"/>
          <w:szCs w:val="24"/>
        </w:rPr>
        <w:t>.</w:t>
      </w:r>
    </w:p>
    <w:p w:rsidR="00557FD2" w:rsidRPr="00F06AF0" w:rsidRDefault="00D25822" w:rsidP="00AB104B">
      <w:pPr>
        <w:spacing w:after="0"/>
        <w:rPr>
          <w:rFonts w:cstheme="minorHAnsi"/>
          <w:szCs w:val="24"/>
        </w:rPr>
      </w:pPr>
      <w:r w:rsidRPr="00D25822">
        <w:rPr>
          <w:rFonts w:cstheme="minorHAnsi"/>
          <w:b/>
          <w:color w:val="2F5496" w:themeColor="accent1" w:themeShade="BF"/>
          <w:szCs w:val="24"/>
        </w:rPr>
        <w:t xml:space="preserve">Mobility </w:t>
      </w:r>
      <w:r w:rsidR="00557FD2" w:rsidRPr="00D25822">
        <w:rPr>
          <w:rFonts w:cstheme="minorHAnsi"/>
          <w:b/>
          <w:color w:val="2F5496" w:themeColor="accent1" w:themeShade="BF"/>
          <w:szCs w:val="24"/>
        </w:rPr>
        <w:t>Assess</w:t>
      </w:r>
      <w:r w:rsidR="00235B4C">
        <w:rPr>
          <w:rFonts w:cstheme="minorHAnsi"/>
          <w:b/>
          <w:color w:val="2F5496" w:themeColor="accent1" w:themeShade="BF"/>
          <w:szCs w:val="24"/>
        </w:rPr>
        <w:t>ment S</w:t>
      </w:r>
      <w:r w:rsidR="00557FD2" w:rsidRPr="00D25822">
        <w:rPr>
          <w:rFonts w:cstheme="minorHAnsi"/>
          <w:b/>
          <w:color w:val="2F5496" w:themeColor="accent1" w:themeShade="BF"/>
          <w:szCs w:val="24"/>
        </w:rPr>
        <w:t>ummary</w:t>
      </w:r>
      <w:r w:rsidR="00557FD2" w:rsidRPr="00FF0E95">
        <w:rPr>
          <w:color w:val="2F5496" w:themeColor="accent1" w:themeShade="BF"/>
        </w:rPr>
        <w:t xml:space="preserve">: </w:t>
      </w:r>
      <w:r w:rsidR="00557FD2" w:rsidRPr="00F06AF0">
        <w:rPr>
          <w:rFonts w:cstheme="minorHAnsi"/>
          <w:szCs w:val="24"/>
        </w:rPr>
        <w:t>Indicate if the mandatory assessments were completed and record the requested scores.</w:t>
      </w:r>
    </w:p>
    <w:tbl>
      <w:tblPr>
        <w:tblStyle w:val="TableGrid"/>
        <w:tblW w:w="7088" w:type="dxa"/>
        <w:tblInd w:w="85" w:type="dxa"/>
        <w:tblCellMar>
          <w:top w:w="85" w:type="dxa"/>
          <w:left w:w="85" w:type="dxa"/>
          <w:right w:w="85" w:type="dxa"/>
        </w:tblCellMar>
        <w:tblLook w:val="04A0" w:firstRow="1" w:lastRow="0" w:firstColumn="1" w:lastColumn="0" w:noHBand="0" w:noVBand="1"/>
        <w:tblDescription w:val="The Mobility Assessment Summary table is an example of the tool used for noting the assessments conducted and scores for mobility. This table is to be read left to right, top to bottom, noting that tick boxes are not functional and assessments that do not require a score have been indicated with NA."/>
      </w:tblPr>
      <w:tblGrid>
        <w:gridCol w:w="3969"/>
        <w:gridCol w:w="1276"/>
        <w:gridCol w:w="1843"/>
      </w:tblGrid>
      <w:tr w:rsidR="00557FD2" w:rsidRPr="00F06AF0" w:rsidTr="003209B0">
        <w:trPr>
          <w:trHeight w:val="217"/>
          <w:tblHeader/>
        </w:trPr>
        <w:tc>
          <w:tcPr>
            <w:tcW w:w="3969" w:type="dxa"/>
            <w:shd w:val="clear" w:color="auto" w:fill="D9D9D9" w:themeFill="background1" w:themeFillShade="D9"/>
          </w:tcPr>
          <w:p w:rsidR="00557FD2" w:rsidRPr="00F06AF0" w:rsidRDefault="00557FD2" w:rsidP="00A51750">
            <w:pPr>
              <w:pStyle w:val="Tableheader1"/>
              <w:spacing w:after="0"/>
              <w:rPr>
                <w:rFonts w:asciiTheme="minorHAnsi" w:hAnsiTheme="minorHAnsi" w:cstheme="minorHAnsi"/>
                <w:sz w:val="24"/>
                <w:szCs w:val="24"/>
              </w:rPr>
            </w:pPr>
            <w:r w:rsidRPr="00F06AF0">
              <w:rPr>
                <w:rFonts w:asciiTheme="minorHAnsi" w:hAnsiTheme="minorHAnsi" w:cstheme="minorHAnsi"/>
                <w:sz w:val="24"/>
                <w:szCs w:val="24"/>
              </w:rPr>
              <w:t xml:space="preserve">Mobility Assessment Summary </w:t>
            </w:r>
          </w:p>
        </w:tc>
        <w:tc>
          <w:tcPr>
            <w:tcW w:w="1276" w:type="dxa"/>
            <w:shd w:val="clear" w:color="auto" w:fill="D9D9D9" w:themeFill="background1" w:themeFillShade="D9"/>
          </w:tcPr>
          <w:p w:rsidR="00557FD2" w:rsidRPr="00F06AF0" w:rsidRDefault="00557FD2" w:rsidP="00A51750">
            <w:pPr>
              <w:pStyle w:val="Tableheader1"/>
              <w:spacing w:after="0"/>
              <w:jc w:val="center"/>
              <w:rPr>
                <w:rFonts w:asciiTheme="minorHAnsi" w:hAnsiTheme="minorHAnsi" w:cstheme="minorHAnsi"/>
                <w:sz w:val="24"/>
                <w:szCs w:val="24"/>
              </w:rPr>
            </w:pPr>
            <w:r w:rsidRPr="00F06AF0">
              <w:rPr>
                <w:rFonts w:asciiTheme="minorHAnsi" w:hAnsiTheme="minorHAnsi" w:cstheme="minorHAnsi"/>
                <w:sz w:val="24"/>
                <w:szCs w:val="24"/>
              </w:rPr>
              <w:t>Tick if yes</w:t>
            </w:r>
          </w:p>
        </w:tc>
        <w:tc>
          <w:tcPr>
            <w:tcW w:w="1843" w:type="dxa"/>
            <w:shd w:val="clear" w:color="auto" w:fill="D9D9D9" w:themeFill="background1" w:themeFillShade="D9"/>
          </w:tcPr>
          <w:p w:rsidR="00557FD2" w:rsidRPr="00F06AF0" w:rsidRDefault="00557FD2" w:rsidP="00A51750">
            <w:pPr>
              <w:pStyle w:val="Tabletype1"/>
              <w:spacing w:after="0"/>
              <w:jc w:val="center"/>
              <w:rPr>
                <w:rFonts w:asciiTheme="minorHAnsi" w:hAnsiTheme="minorHAnsi" w:cstheme="minorHAnsi"/>
                <w:b/>
                <w:bCs/>
                <w:sz w:val="24"/>
                <w:szCs w:val="24"/>
              </w:rPr>
            </w:pPr>
            <w:r w:rsidRPr="00F06AF0">
              <w:rPr>
                <w:rFonts w:asciiTheme="minorHAnsi" w:hAnsiTheme="minorHAnsi" w:cstheme="minorHAnsi"/>
                <w:b/>
                <w:bCs/>
                <w:sz w:val="24"/>
                <w:szCs w:val="24"/>
              </w:rPr>
              <w:t>SCORE</w:t>
            </w:r>
          </w:p>
        </w:tc>
      </w:tr>
      <w:tr w:rsidR="00557FD2" w:rsidRPr="003209B0" w:rsidTr="003209B0">
        <w:tc>
          <w:tcPr>
            <w:tcW w:w="3969" w:type="dxa"/>
          </w:tcPr>
          <w:p w:rsidR="00557FD2" w:rsidRPr="003209B0" w:rsidRDefault="00557FD2" w:rsidP="00AB104B">
            <w:pPr>
              <w:pStyle w:val="Tabletype1"/>
              <w:spacing w:after="0"/>
              <w:jc w:val="left"/>
              <w:rPr>
                <w:rFonts w:asciiTheme="minorHAnsi" w:hAnsiTheme="minorHAnsi" w:cstheme="minorHAnsi"/>
                <w:sz w:val="22"/>
                <w:szCs w:val="22"/>
              </w:rPr>
            </w:pPr>
            <w:r w:rsidRPr="003209B0">
              <w:rPr>
                <w:rFonts w:asciiTheme="minorHAnsi" w:hAnsiTheme="minorHAnsi" w:cstheme="minorHAnsi"/>
                <w:sz w:val="22"/>
                <w:szCs w:val="22"/>
              </w:rPr>
              <w:t>No PMS undertaken</w:t>
            </w:r>
          </w:p>
        </w:tc>
        <w:tc>
          <w:tcPr>
            <w:tcW w:w="1276" w:type="dxa"/>
          </w:tcPr>
          <w:p w:rsidR="00557FD2" w:rsidRPr="003209B0" w:rsidRDefault="00557FD2"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2.1</w:t>
            </w:r>
          </w:p>
        </w:tc>
        <w:tc>
          <w:tcPr>
            <w:tcW w:w="1843" w:type="dxa"/>
          </w:tcPr>
          <w:p w:rsidR="00557FD2" w:rsidRPr="00B376B9" w:rsidRDefault="00557FD2" w:rsidP="00A51750">
            <w:pPr>
              <w:pStyle w:val="Tabletype1"/>
              <w:spacing w:after="0"/>
              <w:jc w:val="center"/>
              <w:rPr>
                <w:rFonts w:asciiTheme="minorHAnsi" w:hAnsiTheme="minorHAnsi" w:cstheme="minorHAnsi"/>
                <w:i/>
                <w:sz w:val="22"/>
                <w:szCs w:val="22"/>
              </w:rPr>
            </w:pPr>
            <w:r w:rsidRPr="00B376B9">
              <w:rPr>
                <w:rFonts w:asciiTheme="minorHAnsi" w:hAnsiTheme="minorHAnsi" w:cstheme="minorHAnsi"/>
                <w:i/>
                <w:sz w:val="22"/>
                <w:szCs w:val="22"/>
              </w:rPr>
              <w:t>NA</w:t>
            </w:r>
          </w:p>
        </w:tc>
      </w:tr>
      <w:tr w:rsidR="00557FD2" w:rsidRPr="003209B0" w:rsidTr="003209B0">
        <w:tc>
          <w:tcPr>
            <w:tcW w:w="3969" w:type="dxa"/>
          </w:tcPr>
          <w:p w:rsidR="00557FD2" w:rsidRPr="003209B0" w:rsidRDefault="00557FD2" w:rsidP="00AB104B">
            <w:pPr>
              <w:pStyle w:val="Tabletype1"/>
              <w:tabs>
                <w:tab w:val="left" w:pos="2562"/>
              </w:tabs>
              <w:spacing w:after="0"/>
              <w:jc w:val="left"/>
              <w:rPr>
                <w:rFonts w:asciiTheme="minorHAnsi" w:hAnsiTheme="minorHAnsi" w:cstheme="minorHAnsi"/>
                <w:sz w:val="22"/>
                <w:szCs w:val="22"/>
              </w:rPr>
            </w:pPr>
            <w:r w:rsidRPr="003209B0">
              <w:rPr>
                <w:rFonts w:asciiTheme="minorHAnsi" w:hAnsiTheme="minorHAnsi" w:cstheme="minorHAnsi"/>
                <w:sz w:val="22"/>
                <w:szCs w:val="22"/>
              </w:rPr>
              <w:t>PMS supine to side (L)</w:t>
            </w:r>
          </w:p>
        </w:tc>
        <w:tc>
          <w:tcPr>
            <w:tcW w:w="1276" w:type="dxa"/>
          </w:tcPr>
          <w:p w:rsidR="00557FD2" w:rsidRPr="003209B0" w:rsidRDefault="00557FD2"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2.2</w:t>
            </w:r>
          </w:p>
        </w:tc>
        <w:tc>
          <w:tcPr>
            <w:tcW w:w="1843" w:type="dxa"/>
          </w:tcPr>
          <w:p w:rsidR="00557FD2" w:rsidRPr="00B376B9" w:rsidRDefault="003209B0" w:rsidP="00A51750">
            <w:pPr>
              <w:pStyle w:val="Tabletype1"/>
              <w:spacing w:after="0"/>
              <w:jc w:val="center"/>
              <w:rPr>
                <w:rFonts w:asciiTheme="minorHAnsi" w:hAnsiTheme="minorHAnsi" w:cstheme="minorHAnsi"/>
                <w:i/>
                <w:sz w:val="22"/>
                <w:szCs w:val="22"/>
              </w:rPr>
            </w:pPr>
            <w:r w:rsidRPr="00B376B9">
              <w:rPr>
                <w:rFonts w:asciiTheme="minorHAnsi" w:hAnsiTheme="minorHAnsi" w:cstheme="minorHAnsi"/>
                <w:i/>
                <w:sz w:val="22"/>
                <w:szCs w:val="22"/>
              </w:rPr>
              <w:t>[enter score]</w:t>
            </w:r>
          </w:p>
        </w:tc>
      </w:tr>
      <w:tr w:rsidR="003209B0" w:rsidRPr="003209B0" w:rsidTr="003209B0">
        <w:tc>
          <w:tcPr>
            <w:tcW w:w="3969" w:type="dxa"/>
          </w:tcPr>
          <w:p w:rsidR="003209B0" w:rsidRPr="003209B0" w:rsidRDefault="003209B0" w:rsidP="00AB104B">
            <w:pPr>
              <w:pStyle w:val="Tabletype1"/>
              <w:spacing w:after="0"/>
              <w:jc w:val="left"/>
              <w:rPr>
                <w:rFonts w:asciiTheme="minorHAnsi" w:hAnsiTheme="minorHAnsi" w:cstheme="minorHAnsi"/>
                <w:sz w:val="22"/>
                <w:szCs w:val="22"/>
              </w:rPr>
            </w:pPr>
            <w:r w:rsidRPr="003209B0">
              <w:rPr>
                <w:rFonts w:asciiTheme="minorHAnsi" w:hAnsiTheme="minorHAnsi" w:cstheme="minorHAnsi"/>
                <w:sz w:val="22"/>
                <w:szCs w:val="22"/>
              </w:rPr>
              <w:t>PMS supine to side (R)</w:t>
            </w:r>
          </w:p>
        </w:tc>
        <w:tc>
          <w:tcPr>
            <w:tcW w:w="1276" w:type="dxa"/>
          </w:tcPr>
          <w:p w:rsidR="003209B0" w:rsidRPr="003209B0" w:rsidRDefault="003209B0"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2.3</w:t>
            </w:r>
          </w:p>
        </w:tc>
        <w:tc>
          <w:tcPr>
            <w:tcW w:w="1843" w:type="dxa"/>
          </w:tcPr>
          <w:p w:rsidR="003209B0" w:rsidRPr="00B376B9" w:rsidRDefault="003209B0" w:rsidP="00A51750">
            <w:pPr>
              <w:pStyle w:val="Tabletype1"/>
              <w:spacing w:after="0"/>
              <w:jc w:val="center"/>
              <w:rPr>
                <w:rFonts w:asciiTheme="minorHAnsi" w:hAnsiTheme="minorHAnsi" w:cstheme="minorHAnsi"/>
                <w:i/>
                <w:sz w:val="22"/>
                <w:szCs w:val="22"/>
              </w:rPr>
            </w:pPr>
            <w:r w:rsidRPr="00B376B9">
              <w:rPr>
                <w:rFonts w:asciiTheme="minorHAnsi" w:hAnsiTheme="minorHAnsi" w:cstheme="minorHAnsi"/>
                <w:i/>
                <w:sz w:val="22"/>
                <w:szCs w:val="22"/>
              </w:rPr>
              <w:t>[enter score]</w:t>
            </w:r>
          </w:p>
        </w:tc>
      </w:tr>
      <w:tr w:rsidR="003209B0" w:rsidRPr="003209B0" w:rsidTr="003209B0">
        <w:tc>
          <w:tcPr>
            <w:tcW w:w="3969" w:type="dxa"/>
          </w:tcPr>
          <w:p w:rsidR="003209B0" w:rsidRPr="003209B0" w:rsidRDefault="003209B0" w:rsidP="00AB104B">
            <w:pPr>
              <w:pStyle w:val="Tabletype1"/>
              <w:spacing w:after="0"/>
              <w:jc w:val="left"/>
              <w:rPr>
                <w:rFonts w:asciiTheme="minorHAnsi" w:hAnsiTheme="minorHAnsi" w:cstheme="minorHAnsi"/>
                <w:sz w:val="22"/>
                <w:szCs w:val="22"/>
              </w:rPr>
            </w:pPr>
            <w:r w:rsidRPr="003209B0">
              <w:rPr>
                <w:rFonts w:asciiTheme="minorHAnsi" w:hAnsiTheme="minorHAnsi" w:cstheme="minorHAnsi"/>
                <w:sz w:val="22"/>
                <w:szCs w:val="22"/>
              </w:rPr>
              <w:t>PMS Supine to sit</w:t>
            </w:r>
          </w:p>
        </w:tc>
        <w:tc>
          <w:tcPr>
            <w:tcW w:w="1276" w:type="dxa"/>
          </w:tcPr>
          <w:p w:rsidR="003209B0" w:rsidRPr="003209B0" w:rsidRDefault="003209B0"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2.4</w:t>
            </w:r>
          </w:p>
        </w:tc>
        <w:tc>
          <w:tcPr>
            <w:tcW w:w="1843" w:type="dxa"/>
          </w:tcPr>
          <w:p w:rsidR="003209B0" w:rsidRPr="00B376B9" w:rsidRDefault="003209B0" w:rsidP="00A51750">
            <w:pPr>
              <w:pStyle w:val="Tabletype1"/>
              <w:spacing w:after="0"/>
              <w:jc w:val="center"/>
              <w:rPr>
                <w:rFonts w:asciiTheme="minorHAnsi" w:hAnsiTheme="minorHAnsi" w:cstheme="minorHAnsi"/>
                <w:i/>
                <w:sz w:val="22"/>
                <w:szCs w:val="22"/>
              </w:rPr>
            </w:pPr>
            <w:r w:rsidRPr="00B376B9">
              <w:rPr>
                <w:rFonts w:asciiTheme="minorHAnsi" w:hAnsiTheme="minorHAnsi" w:cstheme="minorHAnsi"/>
                <w:i/>
                <w:sz w:val="22"/>
                <w:szCs w:val="22"/>
              </w:rPr>
              <w:t>[enter score]</w:t>
            </w:r>
          </w:p>
        </w:tc>
      </w:tr>
      <w:tr w:rsidR="003209B0" w:rsidRPr="003209B0" w:rsidTr="003209B0">
        <w:tc>
          <w:tcPr>
            <w:tcW w:w="3969" w:type="dxa"/>
          </w:tcPr>
          <w:p w:rsidR="003209B0" w:rsidRPr="003209B0" w:rsidRDefault="003209B0" w:rsidP="00AB104B">
            <w:pPr>
              <w:pStyle w:val="Tabletype1"/>
              <w:spacing w:after="0"/>
              <w:jc w:val="left"/>
              <w:rPr>
                <w:rFonts w:asciiTheme="minorHAnsi" w:hAnsiTheme="minorHAnsi" w:cstheme="minorHAnsi"/>
                <w:sz w:val="22"/>
                <w:szCs w:val="22"/>
              </w:rPr>
            </w:pPr>
            <w:r w:rsidRPr="003209B0">
              <w:rPr>
                <w:rFonts w:asciiTheme="minorHAnsi" w:hAnsiTheme="minorHAnsi" w:cstheme="minorHAnsi"/>
                <w:sz w:val="22"/>
                <w:szCs w:val="22"/>
              </w:rPr>
              <w:t>PMS Sitting Balance</w:t>
            </w:r>
          </w:p>
        </w:tc>
        <w:tc>
          <w:tcPr>
            <w:tcW w:w="1276" w:type="dxa"/>
          </w:tcPr>
          <w:p w:rsidR="003209B0" w:rsidRPr="003209B0" w:rsidRDefault="003209B0"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2.5</w:t>
            </w:r>
          </w:p>
        </w:tc>
        <w:tc>
          <w:tcPr>
            <w:tcW w:w="1843" w:type="dxa"/>
          </w:tcPr>
          <w:p w:rsidR="003209B0" w:rsidRPr="00B376B9" w:rsidRDefault="003209B0" w:rsidP="00A51750">
            <w:pPr>
              <w:pStyle w:val="Tabletype1"/>
              <w:spacing w:after="0"/>
              <w:jc w:val="center"/>
              <w:rPr>
                <w:rFonts w:asciiTheme="minorHAnsi" w:hAnsiTheme="minorHAnsi" w:cstheme="minorHAnsi"/>
                <w:i/>
                <w:sz w:val="22"/>
                <w:szCs w:val="22"/>
              </w:rPr>
            </w:pPr>
            <w:r w:rsidRPr="00B376B9">
              <w:rPr>
                <w:rFonts w:asciiTheme="minorHAnsi" w:hAnsiTheme="minorHAnsi" w:cstheme="minorHAnsi"/>
                <w:i/>
                <w:sz w:val="22"/>
                <w:szCs w:val="22"/>
              </w:rPr>
              <w:t>[enter score]</w:t>
            </w:r>
          </w:p>
        </w:tc>
      </w:tr>
      <w:tr w:rsidR="003209B0" w:rsidRPr="003209B0" w:rsidTr="003209B0">
        <w:tc>
          <w:tcPr>
            <w:tcW w:w="3969" w:type="dxa"/>
          </w:tcPr>
          <w:p w:rsidR="003209B0" w:rsidRPr="003209B0" w:rsidRDefault="003209B0" w:rsidP="00AB104B">
            <w:pPr>
              <w:pStyle w:val="Tabletype1"/>
              <w:spacing w:after="0"/>
              <w:jc w:val="left"/>
              <w:rPr>
                <w:rFonts w:asciiTheme="minorHAnsi" w:hAnsiTheme="minorHAnsi" w:cstheme="minorHAnsi"/>
                <w:sz w:val="22"/>
                <w:szCs w:val="22"/>
              </w:rPr>
            </w:pPr>
            <w:r w:rsidRPr="003209B0">
              <w:rPr>
                <w:rFonts w:asciiTheme="minorHAnsi" w:hAnsiTheme="minorHAnsi" w:cstheme="minorHAnsi"/>
                <w:sz w:val="22"/>
                <w:szCs w:val="22"/>
              </w:rPr>
              <w:t>PMS Sitting to standing</w:t>
            </w:r>
          </w:p>
        </w:tc>
        <w:tc>
          <w:tcPr>
            <w:tcW w:w="1276" w:type="dxa"/>
          </w:tcPr>
          <w:p w:rsidR="003209B0" w:rsidRPr="003209B0" w:rsidRDefault="003209B0"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2.6</w:t>
            </w:r>
          </w:p>
        </w:tc>
        <w:tc>
          <w:tcPr>
            <w:tcW w:w="1843" w:type="dxa"/>
          </w:tcPr>
          <w:p w:rsidR="003209B0" w:rsidRPr="00B376B9" w:rsidRDefault="003209B0" w:rsidP="00A51750">
            <w:pPr>
              <w:pStyle w:val="Tabletype1"/>
              <w:spacing w:after="0"/>
              <w:jc w:val="center"/>
              <w:rPr>
                <w:rFonts w:asciiTheme="minorHAnsi" w:hAnsiTheme="minorHAnsi" w:cstheme="minorHAnsi"/>
                <w:i/>
                <w:sz w:val="22"/>
                <w:szCs w:val="22"/>
              </w:rPr>
            </w:pPr>
            <w:r w:rsidRPr="00B376B9">
              <w:rPr>
                <w:rFonts w:asciiTheme="minorHAnsi" w:hAnsiTheme="minorHAnsi" w:cstheme="minorHAnsi"/>
                <w:i/>
                <w:sz w:val="22"/>
                <w:szCs w:val="22"/>
              </w:rPr>
              <w:t>[enter score]</w:t>
            </w:r>
          </w:p>
        </w:tc>
      </w:tr>
      <w:tr w:rsidR="003209B0" w:rsidRPr="003209B0" w:rsidTr="003209B0">
        <w:tc>
          <w:tcPr>
            <w:tcW w:w="3969" w:type="dxa"/>
          </w:tcPr>
          <w:p w:rsidR="003209B0" w:rsidRPr="003209B0" w:rsidRDefault="003209B0" w:rsidP="00AB104B">
            <w:pPr>
              <w:pStyle w:val="Tabletype1"/>
              <w:spacing w:after="0"/>
              <w:jc w:val="left"/>
              <w:rPr>
                <w:rFonts w:asciiTheme="minorHAnsi" w:hAnsiTheme="minorHAnsi" w:cstheme="minorHAnsi"/>
                <w:sz w:val="22"/>
                <w:szCs w:val="22"/>
              </w:rPr>
            </w:pPr>
            <w:r w:rsidRPr="003209B0">
              <w:rPr>
                <w:rFonts w:asciiTheme="minorHAnsi" w:hAnsiTheme="minorHAnsi" w:cstheme="minorHAnsi"/>
                <w:sz w:val="22"/>
                <w:szCs w:val="22"/>
              </w:rPr>
              <w:t>PMS Standing to sitting</w:t>
            </w:r>
          </w:p>
        </w:tc>
        <w:tc>
          <w:tcPr>
            <w:tcW w:w="1276" w:type="dxa"/>
          </w:tcPr>
          <w:p w:rsidR="003209B0" w:rsidRPr="003209B0" w:rsidRDefault="003209B0"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2.7</w:t>
            </w:r>
          </w:p>
        </w:tc>
        <w:tc>
          <w:tcPr>
            <w:tcW w:w="1843" w:type="dxa"/>
          </w:tcPr>
          <w:p w:rsidR="003209B0" w:rsidRPr="00B376B9" w:rsidRDefault="003209B0" w:rsidP="00A51750">
            <w:pPr>
              <w:pStyle w:val="Tabletype1"/>
              <w:spacing w:after="0"/>
              <w:jc w:val="center"/>
              <w:rPr>
                <w:rFonts w:asciiTheme="minorHAnsi" w:hAnsiTheme="minorHAnsi" w:cstheme="minorHAnsi"/>
                <w:i/>
                <w:sz w:val="22"/>
                <w:szCs w:val="22"/>
              </w:rPr>
            </w:pPr>
            <w:r w:rsidRPr="00B376B9">
              <w:rPr>
                <w:rFonts w:asciiTheme="minorHAnsi" w:hAnsiTheme="minorHAnsi" w:cstheme="minorHAnsi"/>
                <w:i/>
                <w:sz w:val="22"/>
                <w:szCs w:val="22"/>
              </w:rPr>
              <w:t>[enter score]</w:t>
            </w:r>
          </w:p>
        </w:tc>
      </w:tr>
      <w:tr w:rsidR="003209B0" w:rsidRPr="003209B0" w:rsidTr="003209B0">
        <w:tc>
          <w:tcPr>
            <w:tcW w:w="3969" w:type="dxa"/>
          </w:tcPr>
          <w:p w:rsidR="003209B0" w:rsidRPr="003209B0" w:rsidRDefault="003209B0" w:rsidP="00AB104B">
            <w:pPr>
              <w:pStyle w:val="Tabletype1"/>
              <w:spacing w:after="0"/>
              <w:jc w:val="left"/>
              <w:rPr>
                <w:rFonts w:asciiTheme="minorHAnsi" w:hAnsiTheme="minorHAnsi" w:cstheme="minorHAnsi"/>
                <w:sz w:val="22"/>
                <w:szCs w:val="22"/>
              </w:rPr>
            </w:pPr>
            <w:r w:rsidRPr="003209B0">
              <w:rPr>
                <w:rFonts w:asciiTheme="minorHAnsi" w:hAnsiTheme="minorHAnsi" w:cstheme="minorHAnsi"/>
                <w:sz w:val="22"/>
                <w:szCs w:val="22"/>
              </w:rPr>
              <w:t>PMS Standing Balance</w:t>
            </w:r>
          </w:p>
        </w:tc>
        <w:tc>
          <w:tcPr>
            <w:tcW w:w="1276" w:type="dxa"/>
          </w:tcPr>
          <w:p w:rsidR="003209B0" w:rsidRPr="003209B0" w:rsidRDefault="003209B0"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2.8</w:t>
            </w:r>
          </w:p>
        </w:tc>
        <w:tc>
          <w:tcPr>
            <w:tcW w:w="1843" w:type="dxa"/>
          </w:tcPr>
          <w:p w:rsidR="003209B0" w:rsidRPr="00B376B9" w:rsidRDefault="003209B0" w:rsidP="00A51750">
            <w:pPr>
              <w:pStyle w:val="Tabletype1"/>
              <w:spacing w:after="0"/>
              <w:jc w:val="center"/>
              <w:rPr>
                <w:rFonts w:asciiTheme="minorHAnsi" w:hAnsiTheme="minorHAnsi" w:cstheme="minorHAnsi"/>
                <w:i/>
                <w:sz w:val="22"/>
                <w:szCs w:val="22"/>
              </w:rPr>
            </w:pPr>
            <w:r w:rsidRPr="00B376B9">
              <w:rPr>
                <w:rFonts w:asciiTheme="minorHAnsi" w:hAnsiTheme="minorHAnsi" w:cstheme="minorHAnsi"/>
                <w:i/>
                <w:sz w:val="22"/>
                <w:szCs w:val="22"/>
              </w:rPr>
              <w:t>[enter score]</w:t>
            </w:r>
          </w:p>
        </w:tc>
      </w:tr>
      <w:tr w:rsidR="003209B0" w:rsidRPr="003209B0" w:rsidTr="003209B0">
        <w:tc>
          <w:tcPr>
            <w:tcW w:w="3969" w:type="dxa"/>
          </w:tcPr>
          <w:p w:rsidR="003209B0" w:rsidRPr="003209B0" w:rsidRDefault="003209B0" w:rsidP="00AB104B">
            <w:pPr>
              <w:pStyle w:val="Tabletype1"/>
              <w:spacing w:after="0"/>
              <w:jc w:val="left"/>
              <w:rPr>
                <w:rFonts w:asciiTheme="minorHAnsi" w:hAnsiTheme="minorHAnsi" w:cstheme="minorHAnsi"/>
                <w:sz w:val="22"/>
                <w:szCs w:val="22"/>
              </w:rPr>
            </w:pPr>
            <w:r w:rsidRPr="003209B0">
              <w:rPr>
                <w:rFonts w:asciiTheme="minorHAnsi" w:hAnsiTheme="minorHAnsi" w:cstheme="minorHAnsi"/>
                <w:sz w:val="22"/>
                <w:szCs w:val="22"/>
              </w:rPr>
              <w:t xml:space="preserve">PMS Transfer Item </w:t>
            </w:r>
          </w:p>
        </w:tc>
        <w:tc>
          <w:tcPr>
            <w:tcW w:w="1276" w:type="dxa"/>
          </w:tcPr>
          <w:p w:rsidR="003209B0" w:rsidRPr="003209B0" w:rsidRDefault="003209B0"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2.9</w:t>
            </w:r>
          </w:p>
        </w:tc>
        <w:tc>
          <w:tcPr>
            <w:tcW w:w="1843" w:type="dxa"/>
          </w:tcPr>
          <w:p w:rsidR="003209B0" w:rsidRPr="00B376B9" w:rsidRDefault="003209B0" w:rsidP="00A51750">
            <w:pPr>
              <w:pStyle w:val="Tabletype1"/>
              <w:spacing w:after="0"/>
              <w:jc w:val="center"/>
              <w:rPr>
                <w:rFonts w:asciiTheme="minorHAnsi" w:hAnsiTheme="minorHAnsi" w:cstheme="minorHAnsi"/>
                <w:i/>
                <w:sz w:val="22"/>
                <w:szCs w:val="22"/>
              </w:rPr>
            </w:pPr>
            <w:r w:rsidRPr="00B376B9">
              <w:rPr>
                <w:rFonts w:asciiTheme="minorHAnsi" w:hAnsiTheme="minorHAnsi" w:cstheme="minorHAnsi"/>
                <w:i/>
                <w:sz w:val="22"/>
                <w:szCs w:val="22"/>
              </w:rPr>
              <w:t>[enter score]</w:t>
            </w:r>
          </w:p>
        </w:tc>
      </w:tr>
      <w:tr w:rsidR="003209B0" w:rsidRPr="003209B0" w:rsidTr="003209B0">
        <w:tc>
          <w:tcPr>
            <w:tcW w:w="3969" w:type="dxa"/>
          </w:tcPr>
          <w:p w:rsidR="003209B0" w:rsidRPr="003209B0" w:rsidRDefault="003209B0" w:rsidP="00AB104B">
            <w:pPr>
              <w:pStyle w:val="Tabletype1"/>
              <w:spacing w:after="0"/>
              <w:jc w:val="left"/>
              <w:rPr>
                <w:rFonts w:asciiTheme="minorHAnsi" w:hAnsiTheme="minorHAnsi" w:cstheme="minorHAnsi"/>
                <w:sz w:val="22"/>
                <w:szCs w:val="22"/>
              </w:rPr>
            </w:pPr>
            <w:r w:rsidRPr="003209B0">
              <w:rPr>
                <w:rFonts w:asciiTheme="minorHAnsi" w:hAnsiTheme="minorHAnsi" w:cstheme="minorHAnsi"/>
                <w:sz w:val="22"/>
                <w:szCs w:val="22"/>
              </w:rPr>
              <w:t>PMS Ambulation Item</w:t>
            </w:r>
          </w:p>
        </w:tc>
        <w:tc>
          <w:tcPr>
            <w:tcW w:w="1276" w:type="dxa"/>
          </w:tcPr>
          <w:p w:rsidR="003209B0" w:rsidRPr="003209B0" w:rsidRDefault="003209B0"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2.10</w:t>
            </w:r>
          </w:p>
        </w:tc>
        <w:tc>
          <w:tcPr>
            <w:tcW w:w="1843" w:type="dxa"/>
          </w:tcPr>
          <w:p w:rsidR="003209B0" w:rsidRPr="00B376B9" w:rsidRDefault="003209B0" w:rsidP="00A51750">
            <w:pPr>
              <w:pStyle w:val="Tabletype1"/>
              <w:spacing w:after="0"/>
              <w:jc w:val="center"/>
              <w:rPr>
                <w:rFonts w:asciiTheme="minorHAnsi" w:hAnsiTheme="minorHAnsi" w:cstheme="minorHAnsi"/>
                <w:i/>
                <w:sz w:val="22"/>
                <w:szCs w:val="22"/>
              </w:rPr>
            </w:pPr>
            <w:r w:rsidRPr="00B376B9">
              <w:rPr>
                <w:rFonts w:asciiTheme="minorHAnsi" w:hAnsiTheme="minorHAnsi" w:cstheme="minorHAnsi"/>
                <w:i/>
                <w:sz w:val="22"/>
                <w:szCs w:val="22"/>
              </w:rPr>
              <w:t>[enter score]</w:t>
            </w:r>
          </w:p>
        </w:tc>
      </w:tr>
      <w:tr w:rsidR="00557FD2" w:rsidRPr="003209B0" w:rsidTr="003209B0">
        <w:tc>
          <w:tcPr>
            <w:tcW w:w="3969" w:type="dxa"/>
          </w:tcPr>
          <w:p w:rsidR="00557FD2" w:rsidRPr="003209B0" w:rsidRDefault="00557FD2" w:rsidP="00AB104B">
            <w:pPr>
              <w:pStyle w:val="Tabletype1"/>
              <w:spacing w:after="0"/>
              <w:jc w:val="left"/>
              <w:rPr>
                <w:rFonts w:asciiTheme="minorHAnsi" w:hAnsiTheme="minorHAnsi" w:cstheme="minorHAnsi"/>
                <w:sz w:val="22"/>
                <w:szCs w:val="22"/>
              </w:rPr>
            </w:pPr>
            <w:r w:rsidRPr="003209B0">
              <w:rPr>
                <w:rFonts w:asciiTheme="minorHAnsi" w:hAnsiTheme="minorHAnsi" w:cstheme="minorHAnsi"/>
                <w:sz w:val="22"/>
                <w:szCs w:val="22"/>
              </w:rPr>
              <w:t>No FRAT undertaken</w:t>
            </w:r>
          </w:p>
        </w:tc>
        <w:tc>
          <w:tcPr>
            <w:tcW w:w="1276" w:type="dxa"/>
          </w:tcPr>
          <w:p w:rsidR="00557FD2" w:rsidRPr="003209B0" w:rsidRDefault="00557FD2"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2.11</w:t>
            </w:r>
          </w:p>
        </w:tc>
        <w:tc>
          <w:tcPr>
            <w:tcW w:w="1843" w:type="dxa"/>
          </w:tcPr>
          <w:p w:rsidR="00557FD2" w:rsidRPr="00B376B9" w:rsidRDefault="00557FD2" w:rsidP="00A51750">
            <w:pPr>
              <w:pStyle w:val="Tabletype1"/>
              <w:spacing w:after="0"/>
              <w:jc w:val="center"/>
              <w:rPr>
                <w:rFonts w:asciiTheme="minorHAnsi" w:hAnsiTheme="minorHAnsi" w:cstheme="minorHAnsi"/>
                <w:i/>
                <w:sz w:val="22"/>
                <w:szCs w:val="22"/>
              </w:rPr>
            </w:pPr>
            <w:r w:rsidRPr="00B376B9">
              <w:rPr>
                <w:rFonts w:asciiTheme="minorHAnsi" w:hAnsiTheme="minorHAnsi" w:cstheme="minorHAnsi"/>
                <w:i/>
                <w:sz w:val="22"/>
                <w:szCs w:val="22"/>
              </w:rPr>
              <w:t>NA</w:t>
            </w:r>
          </w:p>
        </w:tc>
      </w:tr>
      <w:tr w:rsidR="00557FD2" w:rsidRPr="003209B0" w:rsidTr="003209B0">
        <w:tc>
          <w:tcPr>
            <w:tcW w:w="3969" w:type="dxa"/>
          </w:tcPr>
          <w:p w:rsidR="00557FD2" w:rsidRPr="003209B0" w:rsidRDefault="00557FD2" w:rsidP="00AB104B">
            <w:pPr>
              <w:pStyle w:val="Tabletype1"/>
              <w:spacing w:after="0"/>
              <w:jc w:val="left"/>
              <w:rPr>
                <w:rFonts w:asciiTheme="minorHAnsi" w:hAnsiTheme="minorHAnsi" w:cstheme="minorHAnsi"/>
                <w:sz w:val="22"/>
                <w:szCs w:val="22"/>
              </w:rPr>
            </w:pPr>
            <w:r w:rsidRPr="003209B0">
              <w:rPr>
                <w:rFonts w:asciiTheme="minorHAnsi" w:hAnsiTheme="minorHAnsi" w:cstheme="minorHAnsi"/>
                <w:sz w:val="22"/>
                <w:szCs w:val="22"/>
              </w:rPr>
              <w:t>FRAT Risk score</w:t>
            </w:r>
          </w:p>
        </w:tc>
        <w:tc>
          <w:tcPr>
            <w:tcW w:w="1276" w:type="dxa"/>
          </w:tcPr>
          <w:p w:rsidR="00557FD2" w:rsidRPr="003209B0" w:rsidRDefault="00557FD2"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2.12</w:t>
            </w:r>
          </w:p>
        </w:tc>
        <w:tc>
          <w:tcPr>
            <w:tcW w:w="1843" w:type="dxa"/>
          </w:tcPr>
          <w:p w:rsidR="00557FD2" w:rsidRPr="00B376B9" w:rsidRDefault="003209B0" w:rsidP="00A51750">
            <w:pPr>
              <w:pStyle w:val="Tabletype1"/>
              <w:spacing w:after="0"/>
              <w:jc w:val="center"/>
              <w:rPr>
                <w:rFonts w:asciiTheme="minorHAnsi" w:hAnsiTheme="minorHAnsi" w:cstheme="minorHAnsi"/>
                <w:i/>
                <w:sz w:val="22"/>
                <w:szCs w:val="22"/>
              </w:rPr>
            </w:pPr>
            <w:r w:rsidRPr="00B376B9">
              <w:rPr>
                <w:rFonts w:asciiTheme="minorHAnsi" w:hAnsiTheme="minorHAnsi" w:cstheme="minorHAnsi"/>
                <w:i/>
                <w:sz w:val="22"/>
                <w:szCs w:val="22"/>
              </w:rPr>
              <w:t>[enter score]</w:t>
            </w:r>
          </w:p>
        </w:tc>
      </w:tr>
    </w:tbl>
    <w:p w:rsidR="00557FD2" w:rsidRPr="00F06AF0" w:rsidRDefault="00891B6E" w:rsidP="00AB104B">
      <w:pPr>
        <w:spacing w:before="240" w:after="0"/>
        <w:rPr>
          <w:rFonts w:cstheme="minorHAnsi"/>
          <w:szCs w:val="24"/>
        </w:rPr>
      </w:pPr>
      <w:r w:rsidRPr="008A6495">
        <w:rPr>
          <w:b/>
          <w:color w:val="2F5496" w:themeColor="accent1" w:themeShade="BF"/>
        </w:rPr>
        <w:t xml:space="preserve">Mobility </w:t>
      </w:r>
      <w:r w:rsidR="00D25822" w:rsidRPr="008A6495">
        <w:rPr>
          <w:b/>
          <w:color w:val="2F5496" w:themeColor="accent1" w:themeShade="BF"/>
        </w:rPr>
        <w:t>Checklist</w:t>
      </w:r>
      <w:r w:rsidR="008A6495" w:rsidRPr="008A6495">
        <w:rPr>
          <w:b/>
          <w:color w:val="2F5496" w:themeColor="accent1" w:themeShade="BF"/>
        </w:rPr>
        <w:t>s</w:t>
      </w:r>
      <w:r w:rsidR="00557FD2" w:rsidRPr="008A6495">
        <w:rPr>
          <w:b/>
          <w:color w:val="2F5496" w:themeColor="accent1" w:themeShade="BF"/>
        </w:rPr>
        <w:t>:</w:t>
      </w:r>
      <w:r w:rsidR="00557FD2" w:rsidRPr="00F06AF0">
        <w:rPr>
          <w:rStyle w:val="Strong"/>
          <w:rFonts w:cstheme="minorHAnsi"/>
          <w:szCs w:val="24"/>
        </w:rPr>
        <w:t xml:space="preserve"> </w:t>
      </w:r>
      <w:r w:rsidR="00557FD2" w:rsidRPr="00F06AF0">
        <w:rPr>
          <w:rFonts w:cstheme="minorHAnsi"/>
          <w:szCs w:val="24"/>
        </w:rPr>
        <w:t xml:space="preserve">Rate the level of assistance for each of the two </w:t>
      </w:r>
      <w:r w:rsidR="002F3777">
        <w:rPr>
          <w:rFonts w:cstheme="minorHAnsi"/>
          <w:szCs w:val="24"/>
        </w:rPr>
        <w:t xml:space="preserve">mobility </w:t>
      </w:r>
      <w:r w:rsidR="00D25822">
        <w:rPr>
          <w:rFonts w:cstheme="minorHAnsi"/>
          <w:szCs w:val="24"/>
        </w:rPr>
        <w:t>care needs</w:t>
      </w:r>
      <w:r w:rsidR="00F37133">
        <w:rPr>
          <w:rFonts w:cstheme="minorHAnsi"/>
          <w:szCs w:val="24"/>
        </w:rPr>
        <w:t>.</w:t>
      </w:r>
    </w:p>
    <w:tbl>
      <w:tblPr>
        <w:tblStyle w:val="TableGrid"/>
        <w:tblW w:w="9072" w:type="dxa"/>
        <w:tblInd w:w="85" w:type="dxa"/>
        <w:tblCellMar>
          <w:top w:w="85" w:type="dxa"/>
          <w:left w:w="85" w:type="dxa"/>
          <w:right w:w="85" w:type="dxa"/>
        </w:tblCellMar>
        <w:tblLook w:val="04A0" w:firstRow="1" w:lastRow="0" w:firstColumn="1" w:lastColumn="0" w:noHBand="0" w:noVBand="1"/>
        <w:tblDescription w:val="The Mobility Checklists table is an example of a tool used by assessors to assist identifying the daily care needs for transfers under the mobility. This table, which covers the ratings for transfers, is to be read left to right, top to bottom, noting that tick boxes are not functional."/>
      </w:tblPr>
      <w:tblGrid>
        <w:gridCol w:w="7655"/>
        <w:gridCol w:w="1417"/>
      </w:tblGrid>
      <w:tr w:rsidR="00557FD2" w:rsidRPr="003209B0" w:rsidTr="003209B0">
        <w:trPr>
          <w:trHeight w:val="139"/>
          <w:tblHeader/>
        </w:trPr>
        <w:tc>
          <w:tcPr>
            <w:tcW w:w="7655" w:type="dxa"/>
            <w:shd w:val="clear" w:color="auto" w:fill="D9D9D9" w:themeFill="background1" w:themeFillShade="D9"/>
          </w:tcPr>
          <w:p w:rsidR="00557FD2" w:rsidRPr="003209B0" w:rsidRDefault="00891B6E" w:rsidP="00A51750">
            <w:pPr>
              <w:pStyle w:val="Tableheader1"/>
              <w:rPr>
                <w:rFonts w:asciiTheme="minorHAnsi" w:hAnsiTheme="minorHAnsi" w:cstheme="minorHAnsi"/>
                <w:sz w:val="24"/>
                <w:szCs w:val="24"/>
              </w:rPr>
            </w:pPr>
            <w:bookmarkStart w:id="283" w:name="_Hlk489263802"/>
            <w:bookmarkStart w:id="284" w:name="_Hlk488254904"/>
            <w:r w:rsidRPr="003209B0">
              <w:rPr>
                <w:rFonts w:asciiTheme="minorHAnsi" w:hAnsiTheme="minorHAnsi" w:cstheme="minorHAnsi"/>
                <w:sz w:val="24"/>
                <w:szCs w:val="24"/>
              </w:rPr>
              <w:t>2.1 Transfer</w:t>
            </w:r>
            <w:r w:rsidR="00861DF2" w:rsidRPr="003209B0">
              <w:rPr>
                <w:rFonts w:asciiTheme="minorHAnsi" w:hAnsiTheme="minorHAnsi" w:cstheme="minorHAnsi"/>
                <w:sz w:val="24"/>
                <w:szCs w:val="24"/>
              </w:rPr>
              <w:t>s</w:t>
            </w:r>
          </w:p>
          <w:p w:rsidR="00557FD2" w:rsidRPr="003209B0" w:rsidRDefault="00891B6E" w:rsidP="00A51750">
            <w:pPr>
              <w:pStyle w:val="Tableheader1"/>
              <w:rPr>
                <w:rFonts w:asciiTheme="minorHAnsi" w:hAnsiTheme="minorHAnsi" w:cstheme="minorHAnsi"/>
                <w:b w:val="0"/>
                <w:i/>
                <w:sz w:val="24"/>
                <w:szCs w:val="24"/>
              </w:rPr>
            </w:pPr>
            <w:r w:rsidRPr="003209B0">
              <w:rPr>
                <w:rFonts w:asciiTheme="minorHAnsi" w:hAnsiTheme="minorHAnsi" w:cstheme="minorHAnsi"/>
                <w:b w:val="0"/>
                <w:i/>
                <w:sz w:val="22"/>
                <w:szCs w:val="24"/>
              </w:rPr>
              <w:t>D</w:t>
            </w:r>
            <w:r w:rsidR="00557FD2" w:rsidRPr="003209B0">
              <w:rPr>
                <w:rFonts w:asciiTheme="minorHAnsi" w:hAnsiTheme="minorHAnsi" w:cstheme="minorHAnsi"/>
                <w:b w:val="0"/>
                <w:i/>
                <w:sz w:val="22"/>
                <w:szCs w:val="24"/>
              </w:rPr>
              <w:t>aily care needs for m</w:t>
            </w:r>
            <w:r w:rsidR="00557FD2" w:rsidRPr="003209B0">
              <w:rPr>
                <w:rFonts w:asciiTheme="minorHAnsi" w:hAnsiTheme="minorHAnsi" w:cstheme="minorHAnsi"/>
                <w:b w:val="0"/>
                <w:i/>
                <w:sz w:val="22"/>
                <w:szCs w:val="24"/>
                <w:lang w:eastAsia="en-AU"/>
              </w:rPr>
              <w:t>oving to or from chairs, or wheelchairs or beds</w:t>
            </w:r>
            <w:bookmarkEnd w:id="283"/>
          </w:p>
        </w:tc>
        <w:tc>
          <w:tcPr>
            <w:tcW w:w="1417" w:type="dxa"/>
            <w:shd w:val="clear" w:color="auto" w:fill="D9D9D9" w:themeFill="background1" w:themeFillShade="D9"/>
          </w:tcPr>
          <w:p w:rsidR="00557FD2" w:rsidRPr="003209B0" w:rsidRDefault="00557FD2" w:rsidP="00A51750">
            <w:pPr>
              <w:pStyle w:val="Tableheader1"/>
              <w:jc w:val="center"/>
              <w:rPr>
                <w:rFonts w:asciiTheme="minorHAnsi" w:hAnsiTheme="minorHAnsi" w:cstheme="minorHAnsi"/>
                <w:sz w:val="24"/>
                <w:szCs w:val="24"/>
              </w:rPr>
            </w:pPr>
            <w:r w:rsidRPr="003209B0">
              <w:rPr>
                <w:rFonts w:asciiTheme="minorHAnsi" w:hAnsiTheme="minorHAnsi" w:cstheme="minorHAnsi"/>
                <w:sz w:val="24"/>
                <w:szCs w:val="24"/>
              </w:rPr>
              <w:t>Assistance level</w:t>
            </w:r>
          </w:p>
          <w:p w:rsidR="00557FD2" w:rsidRPr="003209B0" w:rsidRDefault="00557FD2" w:rsidP="00A51750">
            <w:pPr>
              <w:pStyle w:val="Tabletype1"/>
              <w:jc w:val="center"/>
              <w:rPr>
                <w:rFonts w:asciiTheme="minorHAnsi" w:hAnsiTheme="minorHAnsi" w:cstheme="minorHAnsi"/>
                <w:sz w:val="24"/>
                <w:szCs w:val="24"/>
              </w:rPr>
            </w:pPr>
            <w:r w:rsidRPr="003209B0">
              <w:rPr>
                <w:rFonts w:asciiTheme="minorHAnsi" w:hAnsiTheme="minorHAnsi" w:cstheme="minorHAnsi"/>
                <w:sz w:val="22"/>
                <w:szCs w:val="24"/>
              </w:rPr>
              <w:t>(Tick one)</w:t>
            </w:r>
          </w:p>
        </w:tc>
      </w:tr>
      <w:tr w:rsidR="00557FD2" w:rsidRPr="003209B0" w:rsidTr="003209B0">
        <w:tc>
          <w:tcPr>
            <w:tcW w:w="7655" w:type="dxa"/>
          </w:tcPr>
          <w:p w:rsidR="00557FD2" w:rsidRPr="003209B0" w:rsidRDefault="00557FD2" w:rsidP="00AB104B">
            <w:pPr>
              <w:pStyle w:val="numberedtableheader2"/>
              <w:ind w:left="0" w:firstLine="0"/>
              <w:jc w:val="left"/>
              <w:rPr>
                <w:rFonts w:asciiTheme="minorHAnsi" w:hAnsiTheme="minorHAnsi" w:cstheme="minorHAnsi"/>
                <w:b w:val="0"/>
                <w:sz w:val="22"/>
              </w:rPr>
            </w:pPr>
            <w:r w:rsidRPr="003209B0">
              <w:rPr>
                <w:rFonts w:asciiTheme="minorHAnsi" w:hAnsiTheme="minorHAnsi" w:cstheme="minorHAnsi"/>
                <w:sz w:val="22"/>
              </w:rPr>
              <w:t>Standard Care:</w:t>
            </w:r>
            <w:r w:rsidRPr="003209B0">
              <w:rPr>
                <w:rFonts w:asciiTheme="minorHAnsi" w:hAnsiTheme="minorHAnsi" w:cstheme="minorHAnsi"/>
                <w:b w:val="0"/>
                <w:sz w:val="22"/>
              </w:rPr>
              <w:t xml:space="preserve"> Independent (including when using aids), staff standing by for occasional or episodic assistance, </w:t>
            </w:r>
            <w:r w:rsidR="008B7D4D" w:rsidRPr="003209B0">
              <w:rPr>
                <w:rFonts w:asciiTheme="minorHAnsi" w:hAnsiTheme="minorHAnsi" w:cstheme="minorHAnsi"/>
                <w:b w:val="0"/>
                <w:sz w:val="22"/>
              </w:rPr>
              <w:t>verbal assistance</w:t>
            </w:r>
            <w:r w:rsidR="00EA45D1" w:rsidRPr="003209B0">
              <w:rPr>
                <w:rFonts w:asciiTheme="minorHAnsi" w:hAnsiTheme="minorHAnsi" w:cstheme="minorHAnsi"/>
                <w:b w:val="0"/>
                <w:sz w:val="22"/>
              </w:rPr>
              <w:t xml:space="preserve">, </w:t>
            </w:r>
            <w:r w:rsidRPr="003209B0">
              <w:rPr>
                <w:rFonts w:asciiTheme="minorHAnsi" w:hAnsiTheme="minorHAnsi" w:cstheme="minorHAnsi"/>
                <w:b w:val="0"/>
                <w:sz w:val="22"/>
              </w:rPr>
              <w:t>setting up activities e.g. preparing wheelchair or other transfer aid.</w:t>
            </w:r>
          </w:p>
        </w:tc>
        <w:tc>
          <w:tcPr>
            <w:tcW w:w="1417" w:type="dxa"/>
          </w:tcPr>
          <w:p w:rsidR="00557FD2" w:rsidRPr="003209B0" w:rsidRDefault="00557FD2"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0</w:t>
            </w:r>
          </w:p>
        </w:tc>
      </w:tr>
      <w:tr w:rsidR="00557FD2" w:rsidRPr="003209B0" w:rsidTr="003209B0">
        <w:trPr>
          <w:trHeight w:val="418"/>
        </w:trPr>
        <w:tc>
          <w:tcPr>
            <w:tcW w:w="7655" w:type="dxa"/>
          </w:tcPr>
          <w:p w:rsidR="00557FD2" w:rsidRPr="003209B0" w:rsidRDefault="00557FD2" w:rsidP="00AB104B">
            <w:pPr>
              <w:pStyle w:val="Tabletype1"/>
              <w:jc w:val="left"/>
              <w:rPr>
                <w:rFonts w:asciiTheme="minorHAnsi" w:hAnsiTheme="minorHAnsi" w:cstheme="minorHAnsi"/>
                <w:sz w:val="22"/>
                <w:szCs w:val="22"/>
                <w:lang w:eastAsia="en-AU"/>
              </w:rPr>
            </w:pPr>
            <w:r w:rsidRPr="003209B0">
              <w:rPr>
                <w:rFonts w:asciiTheme="minorHAnsi" w:hAnsiTheme="minorHAnsi" w:cstheme="minorHAnsi"/>
                <w:b/>
                <w:sz w:val="22"/>
                <w:szCs w:val="22"/>
                <w:lang w:eastAsia="en-AU"/>
              </w:rPr>
              <w:t xml:space="preserve">Moderate Assistance: </w:t>
            </w:r>
            <w:r w:rsidR="00D33907" w:rsidRPr="003209B0">
              <w:rPr>
                <w:rFonts w:ascii="Calibri" w:hAnsi="Calibri" w:cs="Calibri"/>
                <w:sz w:val="22"/>
                <w:szCs w:val="22"/>
              </w:rPr>
              <w:t>Always providing physical assistance, on a one-to-one basis, for at least part of the activity, whenever the activity is needed.</w:t>
            </w:r>
          </w:p>
        </w:tc>
        <w:tc>
          <w:tcPr>
            <w:tcW w:w="1417" w:type="dxa"/>
          </w:tcPr>
          <w:p w:rsidR="00557FD2" w:rsidRPr="003209B0" w:rsidRDefault="00557FD2"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1</w:t>
            </w:r>
          </w:p>
        </w:tc>
      </w:tr>
      <w:tr w:rsidR="00557FD2" w:rsidRPr="003209B0" w:rsidTr="003209B0">
        <w:trPr>
          <w:trHeight w:val="32"/>
        </w:trPr>
        <w:tc>
          <w:tcPr>
            <w:tcW w:w="7655" w:type="dxa"/>
          </w:tcPr>
          <w:p w:rsidR="00557FD2" w:rsidRPr="003209B0" w:rsidRDefault="00D33907" w:rsidP="00AB104B">
            <w:pPr>
              <w:pStyle w:val="numberedtableheader2"/>
              <w:ind w:left="0" w:firstLine="0"/>
              <w:jc w:val="left"/>
              <w:rPr>
                <w:rFonts w:asciiTheme="minorHAnsi" w:hAnsiTheme="minorHAnsi" w:cstheme="minorHAnsi"/>
                <w:b w:val="0"/>
                <w:sz w:val="22"/>
              </w:rPr>
            </w:pPr>
            <w:r w:rsidRPr="003209B0">
              <w:rPr>
                <w:rFonts w:asciiTheme="minorHAnsi" w:hAnsiTheme="minorHAnsi" w:cstheme="minorHAnsi"/>
                <w:sz w:val="22"/>
                <w:lang w:eastAsia="en-AU"/>
              </w:rPr>
              <w:t>Full A</w:t>
            </w:r>
            <w:r w:rsidR="00557FD2" w:rsidRPr="003209B0">
              <w:rPr>
                <w:rFonts w:asciiTheme="minorHAnsi" w:hAnsiTheme="minorHAnsi" w:cstheme="minorHAnsi"/>
                <w:sz w:val="22"/>
                <w:lang w:eastAsia="en-AU"/>
              </w:rPr>
              <w:t xml:space="preserve">ssistance: </w:t>
            </w:r>
            <w:r w:rsidRPr="003209B0">
              <w:rPr>
                <w:rFonts w:ascii="Calibri" w:hAnsi="Calibri" w:cs="Calibri"/>
                <w:b w:val="0"/>
                <w:sz w:val="22"/>
              </w:rPr>
              <w:t>Always providing physical assistance, by at least two staff, throughout the entire activity, whenever the activity is needed.</w:t>
            </w:r>
            <w:r w:rsidR="007A576E" w:rsidRPr="003209B0">
              <w:rPr>
                <w:rFonts w:ascii="Calibri" w:hAnsi="Calibri" w:cs="Calibri"/>
                <w:b w:val="0"/>
                <w:sz w:val="22"/>
              </w:rPr>
              <w:t xml:space="preserve"> </w:t>
            </w:r>
          </w:p>
        </w:tc>
        <w:tc>
          <w:tcPr>
            <w:tcW w:w="1417" w:type="dxa"/>
          </w:tcPr>
          <w:p w:rsidR="00557FD2" w:rsidRPr="003209B0" w:rsidRDefault="00557FD2"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2</w:t>
            </w:r>
          </w:p>
        </w:tc>
      </w:tr>
      <w:tr w:rsidR="00557FD2" w:rsidRPr="003209B0" w:rsidTr="003209B0">
        <w:trPr>
          <w:trHeight w:val="32"/>
        </w:trPr>
        <w:tc>
          <w:tcPr>
            <w:tcW w:w="7655" w:type="dxa"/>
          </w:tcPr>
          <w:p w:rsidR="00557FD2" w:rsidRPr="003209B0" w:rsidRDefault="00557FD2" w:rsidP="00AB104B">
            <w:pPr>
              <w:pStyle w:val="numberedtableheader2"/>
              <w:spacing w:after="0" w:line="276" w:lineRule="auto"/>
              <w:ind w:left="0" w:firstLine="0"/>
              <w:jc w:val="left"/>
              <w:rPr>
                <w:rFonts w:asciiTheme="minorHAnsi" w:hAnsiTheme="minorHAnsi" w:cstheme="minorHAnsi"/>
                <w:b w:val="0"/>
                <w:bCs/>
                <w:sz w:val="22"/>
              </w:rPr>
            </w:pPr>
            <w:r w:rsidRPr="003209B0">
              <w:rPr>
                <w:rFonts w:asciiTheme="minorHAnsi" w:hAnsiTheme="minorHAnsi" w:cstheme="minorHAnsi"/>
                <w:sz w:val="22"/>
                <w:lang w:eastAsia="en-AU"/>
              </w:rPr>
              <w:t>Mechanical Lifting</w:t>
            </w:r>
            <w:r w:rsidRPr="003209B0">
              <w:rPr>
                <w:rFonts w:asciiTheme="minorHAnsi" w:hAnsiTheme="minorHAnsi" w:cstheme="minorHAnsi"/>
                <w:b w:val="0"/>
                <w:sz w:val="22"/>
                <w:lang w:eastAsia="en-AU"/>
              </w:rPr>
              <w:t xml:space="preserve"> </w:t>
            </w:r>
            <w:r w:rsidR="008D4A68" w:rsidRPr="003209B0">
              <w:rPr>
                <w:rFonts w:asciiTheme="minorHAnsi" w:hAnsiTheme="minorHAnsi" w:cstheme="minorHAnsi"/>
                <w:sz w:val="22"/>
              </w:rPr>
              <w:t>Assistance</w:t>
            </w:r>
            <w:r w:rsidRPr="003209B0">
              <w:rPr>
                <w:rFonts w:asciiTheme="minorHAnsi" w:hAnsiTheme="minorHAnsi" w:cstheme="minorHAnsi"/>
                <w:sz w:val="22"/>
              </w:rPr>
              <w:t>:</w:t>
            </w:r>
            <w:r w:rsidRPr="003209B0">
              <w:rPr>
                <w:rFonts w:asciiTheme="minorHAnsi" w:hAnsiTheme="minorHAnsi" w:cstheme="minorHAnsi"/>
                <w:b w:val="0"/>
                <w:sz w:val="22"/>
                <w:lang w:eastAsia="en-AU"/>
              </w:rPr>
              <w:t xml:space="preserve"> </w:t>
            </w:r>
            <w:r w:rsidR="008B47A9" w:rsidRPr="003209B0">
              <w:rPr>
                <w:rFonts w:ascii="Calibri" w:hAnsi="Calibri" w:cs="Calibri"/>
                <w:b w:val="0"/>
                <w:sz w:val="22"/>
              </w:rPr>
              <w:t xml:space="preserve">Always providing physical assistance by the use of mechanical lifting equipment, throughout the entire transfer activity, whenever the activity is needed. </w:t>
            </w:r>
          </w:p>
        </w:tc>
        <w:tc>
          <w:tcPr>
            <w:tcW w:w="1417" w:type="dxa"/>
          </w:tcPr>
          <w:p w:rsidR="00557FD2" w:rsidRPr="003209B0" w:rsidRDefault="00557FD2"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3</w:t>
            </w:r>
          </w:p>
        </w:tc>
      </w:tr>
      <w:bookmarkEnd w:id="284"/>
    </w:tbl>
    <w:p w:rsidR="00AB104B" w:rsidRDefault="00AB104B">
      <w:pPr>
        <w:spacing w:after="200"/>
        <w:jc w:val="left"/>
        <w:rPr>
          <w:highlight w:val="yellow"/>
        </w:rPr>
      </w:pPr>
      <w:r>
        <w:rPr>
          <w:highlight w:val="yellow"/>
        </w:rPr>
        <w:br w:type="page"/>
      </w:r>
    </w:p>
    <w:p w:rsidR="00AB104B" w:rsidRPr="00FF0E95" w:rsidRDefault="00AB104B" w:rsidP="00AB104B">
      <w:pPr>
        <w:spacing w:before="240" w:after="0"/>
        <w:rPr>
          <w:color w:val="2F5496" w:themeColor="accent1" w:themeShade="BF"/>
        </w:rPr>
      </w:pPr>
      <w:r w:rsidRPr="00FF0E95">
        <w:rPr>
          <w:b/>
          <w:color w:val="2F5496" w:themeColor="accent1" w:themeShade="BF"/>
        </w:rPr>
        <w:lastRenderedPageBreak/>
        <w:t>Mobility Checklists (cont.)</w:t>
      </w:r>
    </w:p>
    <w:tbl>
      <w:tblPr>
        <w:tblStyle w:val="TableGrid"/>
        <w:tblW w:w="9071" w:type="dxa"/>
        <w:tblInd w:w="85" w:type="dxa"/>
        <w:tblCellMar>
          <w:top w:w="85" w:type="dxa"/>
          <w:left w:w="85" w:type="dxa"/>
          <w:right w:w="85" w:type="dxa"/>
        </w:tblCellMar>
        <w:tblLook w:val="04A0" w:firstRow="1" w:lastRow="0" w:firstColumn="1" w:lastColumn="0" w:noHBand="0" w:noVBand="1"/>
        <w:tblDescription w:val="The Mobility Checklists table is an example of a tool used by assessors to assist identifying the daily care needs for locomotion under the mobility. This table, which covers the ratings for locomotion, is to be read left to right, top to bottom, noting that tick boxes are not functional."/>
      </w:tblPr>
      <w:tblGrid>
        <w:gridCol w:w="7650"/>
        <w:gridCol w:w="1421"/>
      </w:tblGrid>
      <w:tr w:rsidR="00557FD2" w:rsidRPr="003209B0" w:rsidTr="00A51750">
        <w:trPr>
          <w:trHeight w:val="1030"/>
          <w:tblHeader/>
        </w:trPr>
        <w:tc>
          <w:tcPr>
            <w:tcW w:w="7650" w:type="dxa"/>
            <w:shd w:val="clear" w:color="auto" w:fill="D9D9D9" w:themeFill="background1" w:themeFillShade="D9"/>
          </w:tcPr>
          <w:p w:rsidR="00980F62" w:rsidRDefault="00557FD2" w:rsidP="00AB104B">
            <w:pPr>
              <w:pStyle w:val="Tableheader1"/>
              <w:jc w:val="left"/>
              <w:rPr>
                <w:rFonts w:asciiTheme="minorHAnsi" w:hAnsiTheme="minorHAnsi" w:cstheme="minorHAnsi"/>
                <w:sz w:val="24"/>
                <w:szCs w:val="24"/>
              </w:rPr>
            </w:pPr>
            <w:r w:rsidRPr="003209B0">
              <w:rPr>
                <w:rFonts w:asciiTheme="minorHAnsi" w:hAnsiTheme="minorHAnsi" w:cstheme="minorHAnsi"/>
                <w:sz w:val="24"/>
                <w:szCs w:val="24"/>
              </w:rPr>
              <w:t>2.2 Locomotion</w:t>
            </w:r>
          </w:p>
          <w:p w:rsidR="00557FD2" w:rsidRPr="003209B0" w:rsidRDefault="002C205F" w:rsidP="00AB104B">
            <w:pPr>
              <w:pStyle w:val="Tableheader1"/>
              <w:jc w:val="left"/>
              <w:rPr>
                <w:rFonts w:asciiTheme="minorHAnsi" w:hAnsiTheme="minorHAnsi" w:cstheme="minorHAnsi"/>
                <w:i/>
                <w:sz w:val="24"/>
                <w:szCs w:val="24"/>
              </w:rPr>
            </w:pPr>
            <w:r w:rsidRPr="003209B0">
              <w:rPr>
                <w:rFonts w:asciiTheme="minorHAnsi" w:hAnsiTheme="minorHAnsi" w:cstheme="minorHAnsi"/>
                <w:b w:val="0"/>
                <w:i/>
                <w:sz w:val="22"/>
                <w:szCs w:val="24"/>
              </w:rPr>
              <w:t>D</w:t>
            </w:r>
            <w:r w:rsidR="00557FD2" w:rsidRPr="003209B0">
              <w:rPr>
                <w:rFonts w:asciiTheme="minorHAnsi" w:hAnsiTheme="minorHAnsi" w:cstheme="minorHAnsi"/>
                <w:b w:val="0"/>
                <w:i/>
                <w:sz w:val="22"/>
                <w:szCs w:val="24"/>
              </w:rPr>
              <w:t>aily care needs for f</w:t>
            </w:r>
            <w:r w:rsidR="00557FD2" w:rsidRPr="003209B0">
              <w:rPr>
                <w:rFonts w:asciiTheme="minorHAnsi" w:hAnsiTheme="minorHAnsi" w:cstheme="minorHAnsi"/>
                <w:b w:val="0"/>
                <w:i/>
                <w:sz w:val="22"/>
                <w:szCs w:val="24"/>
                <w:lang w:eastAsia="en-AU"/>
              </w:rPr>
              <w:t>itting of lower limb items to enable locomotion (callipers, leg braces, prostheses); moving around inside the facility; Physical Assistance includes pushing a wheelchair.</w:t>
            </w:r>
            <w:r w:rsidR="00557FD2" w:rsidRPr="003209B0">
              <w:rPr>
                <w:rFonts w:asciiTheme="minorHAnsi" w:hAnsiTheme="minorHAnsi" w:cstheme="minorHAnsi"/>
                <w:i/>
                <w:sz w:val="22"/>
                <w:szCs w:val="24"/>
                <w:lang w:eastAsia="en-AU"/>
              </w:rPr>
              <w:t xml:space="preserve"> </w:t>
            </w:r>
          </w:p>
        </w:tc>
        <w:tc>
          <w:tcPr>
            <w:tcW w:w="1421" w:type="dxa"/>
            <w:shd w:val="clear" w:color="auto" w:fill="D9D9D9" w:themeFill="background1" w:themeFillShade="D9"/>
          </w:tcPr>
          <w:p w:rsidR="00557FD2" w:rsidRPr="003209B0" w:rsidRDefault="00557FD2" w:rsidP="00A51750">
            <w:pPr>
              <w:pStyle w:val="Tableheader1"/>
              <w:jc w:val="center"/>
              <w:rPr>
                <w:rFonts w:asciiTheme="minorHAnsi" w:hAnsiTheme="minorHAnsi" w:cstheme="minorHAnsi"/>
                <w:sz w:val="24"/>
                <w:szCs w:val="24"/>
              </w:rPr>
            </w:pPr>
            <w:r w:rsidRPr="003209B0">
              <w:rPr>
                <w:rFonts w:asciiTheme="minorHAnsi" w:hAnsiTheme="minorHAnsi" w:cstheme="minorHAnsi"/>
                <w:sz w:val="24"/>
                <w:szCs w:val="24"/>
              </w:rPr>
              <w:t>Assistance level</w:t>
            </w:r>
          </w:p>
          <w:p w:rsidR="00557FD2" w:rsidRPr="003209B0" w:rsidRDefault="00557FD2" w:rsidP="00A51750">
            <w:pPr>
              <w:pStyle w:val="Tabletype1"/>
              <w:jc w:val="center"/>
              <w:rPr>
                <w:rFonts w:asciiTheme="minorHAnsi" w:hAnsiTheme="minorHAnsi" w:cstheme="minorHAnsi"/>
                <w:sz w:val="24"/>
                <w:szCs w:val="24"/>
              </w:rPr>
            </w:pPr>
            <w:r w:rsidRPr="003209B0">
              <w:rPr>
                <w:rFonts w:asciiTheme="minorHAnsi" w:hAnsiTheme="minorHAnsi" w:cstheme="minorHAnsi"/>
                <w:sz w:val="22"/>
                <w:szCs w:val="24"/>
              </w:rPr>
              <w:t>(Tick one)</w:t>
            </w:r>
          </w:p>
        </w:tc>
      </w:tr>
      <w:tr w:rsidR="00557FD2" w:rsidRPr="003209B0" w:rsidTr="00A51750">
        <w:tc>
          <w:tcPr>
            <w:tcW w:w="7650" w:type="dxa"/>
          </w:tcPr>
          <w:p w:rsidR="00557FD2" w:rsidRPr="003209B0" w:rsidRDefault="00557FD2" w:rsidP="00AB104B">
            <w:pPr>
              <w:pStyle w:val="numberedtableheader2"/>
              <w:ind w:left="0" w:firstLine="0"/>
              <w:jc w:val="left"/>
              <w:rPr>
                <w:rFonts w:asciiTheme="minorHAnsi" w:hAnsiTheme="minorHAnsi" w:cstheme="minorHAnsi"/>
                <w:sz w:val="22"/>
              </w:rPr>
            </w:pPr>
            <w:r w:rsidRPr="003209B0">
              <w:rPr>
                <w:rFonts w:asciiTheme="minorHAnsi" w:hAnsiTheme="minorHAnsi" w:cstheme="minorHAnsi"/>
                <w:sz w:val="22"/>
              </w:rPr>
              <w:t>Standard Care:</w:t>
            </w:r>
            <w:r w:rsidRPr="003209B0">
              <w:rPr>
                <w:rFonts w:asciiTheme="minorHAnsi" w:hAnsiTheme="minorHAnsi" w:cstheme="minorHAnsi"/>
                <w:b w:val="0"/>
                <w:sz w:val="22"/>
              </w:rPr>
              <w:t xml:space="preserve"> Independent (including when using mobility aids), or staff standing by to supervise for occasional or episodic assistance,</w:t>
            </w:r>
            <w:r w:rsidR="00F37133" w:rsidRPr="003209B0">
              <w:rPr>
                <w:rFonts w:asciiTheme="minorHAnsi" w:hAnsiTheme="minorHAnsi" w:cstheme="minorHAnsi"/>
                <w:b w:val="0"/>
                <w:sz w:val="22"/>
              </w:rPr>
              <w:t xml:space="preserve"> </w:t>
            </w:r>
            <w:r w:rsidR="00D25822" w:rsidRPr="003209B0">
              <w:rPr>
                <w:rFonts w:asciiTheme="minorHAnsi" w:hAnsiTheme="minorHAnsi" w:cstheme="minorHAnsi"/>
                <w:b w:val="0"/>
                <w:sz w:val="22"/>
              </w:rPr>
              <w:t xml:space="preserve">or </w:t>
            </w:r>
            <w:r w:rsidR="00F37133" w:rsidRPr="003209B0">
              <w:rPr>
                <w:rFonts w:asciiTheme="minorHAnsi" w:hAnsiTheme="minorHAnsi" w:cstheme="minorHAnsi"/>
                <w:b w:val="0"/>
                <w:sz w:val="22"/>
              </w:rPr>
              <w:t>verbal assistance</w:t>
            </w:r>
            <w:r w:rsidR="00EA45D1" w:rsidRPr="003209B0">
              <w:rPr>
                <w:rFonts w:asciiTheme="minorHAnsi" w:hAnsiTheme="minorHAnsi" w:cstheme="minorHAnsi"/>
                <w:b w:val="0"/>
                <w:sz w:val="22"/>
              </w:rPr>
              <w:t xml:space="preserve">, </w:t>
            </w:r>
            <w:r w:rsidR="00D25822" w:rsidRPr="003209B0">
              <w:rPr>
                <w:rFonts w:asciiTheme="minorHAnsi" w:hAnsiTheme="minorHAnsi" w:cstheme="minorHAnsi"/>
                <w:b w:val="0"/>
                <w:sz w:val="22"/>
              </w:rPr>
              <w:t xml:space="preserve">or </w:t>
            </w:r>
            <w:r w:rsidRPr="003209B0">
              <w:rPr>
                <w:rFonts w:asciiTheme="minorHAnsi" w:hAnsiTheme="minorHAnsi" w:cstheme="minorHAnsi"/>
                <w:b w:val="0"/>
                <w:sz w:val="22"/>
              </w:rPr>
              <w:t xml:space="preserve">setting up </w:t>
            </w:r>
            <w:r w:rsidR="00F37133" w:rsidRPr="003209B0">
              <w:rPr>
                <w:rFonts w:asciiTheme="minorHAnsi" w:hAnsiTheme="minorHAnsi" w:cstheme="minorHAnsi"/>
                <w:b w:val="0"/>
                <w:sz w:val="22"/>
              </w:rPr>
              <w:t xml:space="preserve">activities </w:t>
            </w:r>
            <w:r w:rsidRPr="003209B0">
              <w:rPr>
                <w:rFonts w:asciiTheme="minorHAnsi" w:hAnsiTheme="minorHAnsi" w:cstheme="minorHAnsi"/>
                <w:b w:val="0"/>
                <w:sz w:val="22"/>
              </w:rPr>
              <w:t>e.g. handing the resident the mobility aid.</w:t>
            </w:r>
          </w:p>
        </w:tc>
        <w:tc>
          <w:tcPr>
            <w:tcW w:w="1421" w:type="dxa"/>
          </w:tcPr>
          <w:p w:rsidR="00557FD2" w:rsidRPr="003209B0" w:rsidRDefault="00557FD2"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0</w:t>
            </w:r>
          </w:p>
        </w:tc>
      </w:tr>
      <w:tr w:rsidR="00557FD2" w:rsidRPr="003209B0" w:rsidTr="00A51750">
        <w:trPr>
          <w:trHeight w:val="32"/>
        </w:trPr>
        <w:tc>
          <w:tcPr>
            <w:tcW w:w="7650" w:type="dxa"/>
          </w:tcPr>
          <w:p w:rsidR="00557FD2" w:rsidRPr="003209B0" w:rsidRDefault="00557FD2" w:rsidP="00AB104B">
            <w:pPr>
              <w:pStyle w:val="Tabletype1"/>
              <w:jc w:val="left"/>
              <w:rPr>
                <w:rFonts w:asciiTheme="minorHAnsi" w:hAnsiTheme="minorHAnsi" w:cstheme="minorHAnsi"/>
                <w:sz w:val="22"/>
                <w:szCs w:val="22"/>
                <w:lang w:eastAsia="en-AU"/>
              </w:rPr>
            </w:pPr>
            <w:r w:rsidRPr="003209B0">
              <w:rPr>
                <w:rFonts w:asciiTheme="minorHAnsi" w:hAnsiTheme="minorHAnsi" w:cstheme="minorHAnsi"/>
                <w:b/>
                <w:sz w:val="22"/>
                <w:szCs w:val="22"/>
                <w:lang w:eastAsia="en-AU"/>
              </w:rPr>
              <w:t xml:space="preserve">Moderate Assistance: </w:t>
            </w:r>
            <w:r w:rsidR="00D33907" w:rsidRPr="003209B0">
              <w:rPr>
                <w:rFonts w:ascii="Calibri" w:hAnsi="Calibri" w:cs="Calibri"/>
                <w:sz w:val="22"/>
                <w:szCs w:val="22"/>
              </w:rPr>
              <w:t>Always providing physical assistance, on a one-to-one basis, for at least part of the activity, whenever the activity is needed.</w:t>
            </w:r>
          </w:p>
        </w:tc>
        <w:tc>
          <w:tcPr>
            <w:tcW w:w="1421" w:type="dxa"/>
          </w:tcPr>
          <w:p w:rsidR="00557FD2" w:rsidRPr="003209B0" w:rsidRDefault="00557FD2"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1</w:t>
            </w:r>
          </w:p>
        </w:tc>
      </w:tr>
      <w:tr w:rsidR="00557FD2" w:rsidRPr="003209B0" w:rsidTr="00A51750">
        <w:trPr>
          <w:trHeight w:val="32"/>
        </w:trPr>
        <w:tc>
          <w:tcPr>
            <w:tcW w:w="7650" w:type="dxa"/>
          </w:tcPr>
          <w:p w:rsidR="00557FD2" w:rsidRPr="003209B0" w:rsidRDefault="00D33907" w:rsidP="00AB104B">
            <w:pPr>
              <w:pStyle w:val="numberedtableheader2"/>
              <w:ind w:left="0" w:firstLine="0"/>
              <w:jc w:val="left"/>
              <w:rPr>
                <w:rFonts w:asciiTheme="minorHAnsi" w:hAnsiTheme="minorHAnsi" w:cstheme="minorHAnsi"/>
                <w:b w:val="0"/>
                <w:sz w:val="22"/>
              </w:rPr>
            </w:pPr>
            <w:r w:rsidRPr="003209B0">
              <w:rPr>
                <w:rFonts w:asciiTheme="minorHAnsi" w:hAnsiTheme="minorHAnsi" w:cstheme="minorHAnsi"/>
                <w:sz w:val="22"/>
                <w:lang w:eastAsia="en-AU"/>
              </w:rPr>
              <w:t>Full A</w:t>
            </w:r>
            <w:r w:rsidR="00557FD2" w:rsidRPr="003209B0">
              <w:rPr>
                <w:rFonts w:asciiTheme="minorHAnsi" w:hAnsiTheme="minorHAnsi" w:cstheme="minorHAnsi"/>
                <w:sz w:val="22"/>
                <w:lang w:eastAsia="en-AU"/>
              </w:rPr>
              <w:t xml:space="preserve">ssistance: </w:t>
            </w:r>
            <w:r w:rsidRPr="003209B0">
              <w:rPr>
                <w:rFonts w:ascii="Calibri" w:hAnsi="Calibri" w:cs="Calibri"/>
                <w:b w:val="0"/>
                <w:sz w:val="22"/>
              </w:rPr>
              <w:t>Always providing physical assistance, by at least two staff, throughout the entire activity, whenever the activity is needed.</w:t>
            </w:r>
          </w:p>
        </w:tc>
        <w:tc>
          <w:tcPr>
            <w:tcW w:w="1421" w:type="dxa"/>
          </w:tcPr>
          <w:p w:rsidR="00557FD2" w:rsidRPr="003209B0" w:rsidRDefault="00557FD2"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2</w:t>
            </w:r>
          </w:p>
        </w:tc>
      </w:tr>
    </w:tbl>
    <w:p w:rsidR="00557FD2" w:rsidRPr="00403732" w:rsidRDefault="00557FD2" w:rsidP="001F2491">
      <w:pPr>
        <w:pStyle w:val="Heading3-Chapter44"/>
      </w:pPr>
      <w:bookmarkStart w:id="285" w:name="_Toc486600014"/>
      <w:bookmarkStart w:id="286" w:name="_Toc486603058"/>
      <w:r w:rsidRPr="00403732">
        <w:t>R-ACFI 3 &amp; 4: Personal Hygiene</w:t>
      </w:r>
      <w:bookmarkEnd w:id="282"/>
      <w:r w:rsidRPr="00403732">
        <w:t xml:space="preserve"> &amp; Toileting</w:t>
      </w:r>
      <w:bookmarkEnd w:id="285"/>
      <w:bookmarkEnd w:id="286"/>
      <w:r w:rsidR="00861DF2" w:rsidRPr="00403732">
        <w:t xml:space="preserve"> Questions</w:t>
      </w:r>
    </w:p>
    <w:p w:rsidR="00557FD2" w:rsidRPr="00F06AF0" w:rsidRDefault="00557FD2" w:rsidP="0017119E">
      <w:r w:rsidRPr="00F06AF0">
        <w:rPr>
          <w:lang w:eastAsia="en-AU"/>
        </w:rPr>
        <w:t>The NSAF comprehensive assessment approach was investigated to de</w:t>
      </w:r>
      <w:r w:rsidR="00793A8E" w:rsidRPr="009572ED">
        <w:rPr>
          <w:lang w:eastAsia="en-AU"/>
        </w:rPr>
        <w:t xml:space="preserve">termine whether </w:t>
      </w:r>
      <w:r w:rsidRPr="00F06AF0">
        <w:rPr>
          <w:lang w:eastAsia="en-AU"/>
        </w:rPr>
        <w:t xml:space="preserve">aspects </w:t>
      </w:r>
      <w:r w:rsidR="00793A8E" w:rsidRPr="009572ED">
        <w:rPr>
          <w:lang w:eastAsia="en-AU"/>
        </w:rPr>
        <w:t>c</w:t>
      </w:r>
      <w:r w:rsidRPr="00F06AF0">
        <w:rPr>
          <w:lang w:eastAsia="en-AU"/>
        </w:rPr>
        <w:t>ould be included in the R-ACFI. NSAF supplementary assessment tools include the same tools for personal hy</w:t>
      </w:r>
      <w:r w:rsidR="008B47A9">
        <w:rPr>
          <w:lang w:eastAsia="en-AU"/>
        </w:rPr>
        <w:t xml:space="preserve">giene and toileting as discussed previously in the </w:t>
      </w:r>
      <w:r w:rsidRPr="00F06AF0">
        <w:rPr>
          <w:lang w:eastAsia="en-AU"/>
        </w:rPr>
        <w:t>Mobility</w:t>
      </w:r>
      <w:r w:rsidR="008B47A9">
        <w:rPr>
          <w:lang w:eastAsia="en-AU"/>
        </w:rPr>
        <w:t xml:space="preserve"> section</w:t>
      </w:r>
      <w:r w:rsidRPr="00F06AF0">
        <w:rPr>
          <w:lang w:eastAsia="en-AU"/>
        </w:rPr>
        <w:t xml:space="preserve"> (OARS-ADL, Barthel, KICA-ADL)</w:t>
      </w:r>
      <w:r w:rsidRPr="00F06AF0">
        <w:t>.</w:t>
      </w:r>
      <w:r w:rsidR="008B47A9">
        <w:t xml:space="preserve"> These tools were not suitable</w:t>
      </w:r>
      <w:r w:rsidRPr="00F06AF0">
        <w:t xml:space="preserve"> for use in the R-AC</w:t>
      </w:r>
      <w:r w:rsidR="008B47A9">
        <w:t xml:space="preserve">FI as they record a </w:t>
      </w:r>
      <w:r w:rsidRPr="00F06AF0">
        <w:t xml:space="preserve">summary </w:t>
      </w:r>
      <w:r w:rsidR="008B47A9">
        <w:t>rating</w:t>
      </w:r>
      <w:r w:rsidRPr="00F06AF0">
        <w:t xml:space="preserve"> and as such</w:t>
      </w:r>
      <w:r w:rsidR="00793A8E" w:rsidRPr="009572ED">
        <w:t>,</w:t>
      </w:r>
      <w:r w:rsidRPr="00F06AF0">
        <w:t xml:space="preserve"> they do not give </w:t>
      </w:r>
      <w:r w:rsidR="00793A8E" w:rsidRPr="009572ED">
        <w:t xml:space="preserve">sufficient </w:t>
      </w:r>
      <w:r w:rsidRPr="00F06AF0">
        <w:t xml:space="preserve">evidence to support the </w:t>
      </w:r>
      <w:r w:rsidR="008B47A9">
        <w:t xml:space="preserve">assessment care need </w:t>
      </w:r>
      <w:r w:rsidRPr="00F06AF0">
        <w:t>outcome.</w:t>
      </w:r>
    </w:p>
    <w:p w:rsidR="00980F62" w:rsidRDefault="00557FD2" w:rsidP="0017119E">
      <w:pPr>
        <w:rPr>
          <w:lang w:eastAsia="en-AU"/>
        </w:rPr>
      </w:pPr>
      <w:r w:rsidRPr="00F06AF0">
        <w:rPr>
          <w:lang w:eastAsia="en-AU"/>
        </w:rPr>
        <w:t xml:space="preserve">As most ADL assessments are standardised (they have scaled outcomes) they do not give the reason for the selected outcomes, so by themselves do not give an objective rationale for the selected outcome. For example, reporting that the person cannot dress without help does not give objective evidence </w:t>
      </w:r>
      <w:r w:rsidR="008B47A9">
        <w:rPr>
          <w:lang w:eastAsia="en-AU"/>
        </w:rPr>
        <w:t xml:space="preserve">of </w:t>
      </w:r>
      <w:r w:rsidR="00891B6E">
        <w:rPr>
          <w:lang w:eastAsia="en-AU"/>
        </w:rPr>
        <w:t xml:space="preserve">why </w:t>
      </w:r>
      <w:r w:rsidR="008B47A9">
        <w:rPr>
          <w:lang w:eastAsia="en-AU"/>
        </w:rPr>
        <w:t xml:space="preserve">the care </w:t>
      </w:r>
      <w:r w:rsidR="00891B6E">
        <w:rPr>
          <w:lang w:eastAsia="en-AU"/>
        </w:rPr>
        <w:t xml:space="preserve">is </w:t>
      </w:r>
      <w:r w:rsidR="008B47A9">
        <w:rPr>
          <w:lang w:eastAsia="en-AU"/>
        </w:rPr>
        <w:t>need</w:t>
      </w:r>
      <w:r w:rsidR="00891B6E">
        <w:rPr>
          <w:lang w:eastAsia="en-AU"/>
        </w:rPr>
        <w:t>ed</w:t>
      </w:r>
      <w:r w:rsidRPr="00F06AF0">
        <w:rPr>
          <w:lang w:eastAsia="en-AU"/>
        </w:rPr>
        <w:t xml:space="preserve">. The outcome </w:t>
      </w:r>
      <w:r w:rsidR="00891B6E">
        <w:rPr>
          <w:lang w:eastAsia="en-AU"/>
        </w:rPr>
        <w:t>would</w:t>
      </w:r>
      <w:r w:rsidRPr="00F06AF0">
        <w:rPr>
          <w:lang w:eastAsia="en-AU"/>
        </w:rPr>
        <w:t xml:space="preserve"> be strengthened with evidence of the underlying impairments that impact on the resident’s level of independence</w:t>
      </w:r>
      <w:r w:rsidR="00235B4C">
        <w:rPr>
          <w:lang w:eastAsia="en-AU"/>
        </w:rPr>
        <w:t xml:space="preserve"> (described in</w:t>
      </w:r>
      <w:r w:rsidR="00D4473B">
        <w:rPr>
          <w:lang w:eastAsia="en-AU"/>
        </w:rPr>
        <w:t xml:space="preserve"> section </w:t>
      </w:r>
      <w:r w:rsidR="004135EF">
        <w:rPr>
          <w:lang w:eastAsia="en-AU"/>
        </w:rPr>
        <w:t>4.4.10 Supporting Evidence requirements)</w:t>
      </w:r>
      <w:r w:rsidRPr="00F06AF0">
        <w:rPr>
          <w:lang w:eastAsia="en-AU"/>
        </w:rPr>
        <w:t>.</w:t>
      </w:r>
    </w:p>
    <w:p w:rsidR="001B4DD1" w:rsidRPr="004D324E" w:rsidRDefault="001B4DD1" w:rsidP="0017119E">
      <w:pPr>
        <w:rPr>
          <w:rStyle w:val="Strong"/>
        </w:rPr>
      </w:pPr>
      <w:r w:rsidRPr="004D324E">
        <w:rPr>
          <w:rStyle w:val="Strong"/>
        </w:rPr>
        <w:t>The rationale for the new R-ACFI Personal Hygiene Questions is described in Appendix 4.3.</w:t>
      </w:r>
    </w:p>
    <w:p w:rsidR="00557FD2" w:rsidRPr="00600679" w:rsidRDefault="001F09F2" w:rsidP="001F2491">
      <w:pPr>
        <w:pStyle w:val="Heading3-Chapter44"/>
      </w:pPr>
      <w:r w:rsidRPr="00600679">
        <w:t>Recommended Use</w:t>
      </w:r>
      <w:r w:rsidR="00C62499">
        <w:t>r</w:t>
      </w:r>
      <w:r w:rsidRPr="00600679">
        <w:t xml:space="preserve"> Guide</w:t>
      </w:r>
      <w:r w:rsidR="00557FD2" w:rsidRPr="00600679">
        <w:t xml:space="preserve"> R-ACFI Format for the Personal Hygiene Question</w:t>
      </w:r>
      <w:r w:rsidR="00861DF2" w:rsidRPr="00600679">
        <w:t>s</w:t>
      </w:r>
    </w:p>
    <w:p w:rsidR="00557FD2" w:rsidRPr="00F06AF0" w:rsidRDefault="00557FD2" w:rsidP="0017119E">
      <w:pPr>
        <w:rPr>
          <w:rFonts w:cstheme="minorHAnsi"/>
          <w:szCs w:val="24"/>
        </w:rPr>
      </w:pPr>
      <w:r w:rsidRPr="004D324E">
        <w:rPr>
          <w:rStyle w:val="Strong"/>
        </w:rPr>
        <w:t>Description:</w:t>
      </w:r>
      <w:r w:rsidRPr="00F06AF0">
        <w:rPr>
          <w:b/>
          <w:szCs w:val="24"/>
        </w:rPr>
        <w:t xml:space="preserve"> </w:t>
      </w:r>
      <w:r w:rsidR="00891B6E">
        <w:rPr>
          <w:rFonts w:cstheme="minorHAnsi"/>
          <w:szCs w:val="24"/>
        </w:rPr>
        <w:t>These</w:t>
      </w:r>
      <w:r w:rsidRPr="00F06AF0">
        <w:rPr>
          <w:rFonts w:cstheme="minorHAnsi"/>
          <w:szCs w:val="24"/>
        </w:rPr>
        <w:t xml:space="preserve"> question</w:t>
      </w:r>
      <w:r w:rsidR="00891B6E">
        <w:rPr>
          <w:rFonts w:cstheme="minorHAnsi"/>
          <w:szCs w:val="24"/>
        </w:rPr>
        <w:t>s relate</w:t>
      </w:r>
      <w:r w:rsidR="002C205F">
        <w:rPr>
          <w:rFonts w:cstheme="minorHAnsi"/>
          <w:szCs w:val="24"/>
        </w:rPr>
        <w:t xml:space="preserve"> to the resident’s </w:t>
      </w:r>
      <w:r w:rsidRPr="00F06AF0">
        <w:rPr>
          <w:rFonts w:cstheme="minorHAnsi"/>
          <w:szCs w:val="24"/>
        </w:rPr>
        <w:t>day-to-day assessed care needs with regard to personal hygiene.</w:t>
      </w:r>
    </w:p>
    <w:p w:rsidR="00D00CFF" w:rsidRDefault="00557FD2" w:rsidP="0087727F">
      <w:pPr>
        <w:spacing w:after="0"/>
        <w:rPr>
          <w:szCs w:val="24"/>
        </w:rPr>
      </w:pPr>
      <w:r w:rsidRPr="004D324E">
        <w:rPr>
          <w:rStyle w:val="Strong"/>
        </w:rPr>
        <w:t>Requirements:</w:t>
      </w:r>
      <w:r w:rsidRPr="00F06AF0">
        <w:rPr>
          <w:b/>
          <w:szCs w:val="24"/>
        </w:rPr>
        <w:t xml:space="preserve"> </w:t>
      </w:r>
      <w:r w:rsidR="00EA45D1" w:rsidRPr="00133CEF">
        <w:rPr>
          <w:szCs w:val="24"/>
        </w:rPr>
        <w:t>To support a claim (above Standard Care)</w:t>
      </w:r>
    </w:p>
    <w:p w:rsidR="00980F62" w:rsidRDefault="00D00CFF" w:rsidP="00F02312">
      <w:pPr>
        <w:pStyle w:val="ListParagraph"/>
        <w:numPr>
          <w:ilvl w:val="0"/>
          <w:numId w:val="139"/>
        </w:numPr>
        <w:ind w:left="426" w:hanging="426"/>
      </w:pPr>
      <w:r>
        <w:t>An a</w:t>
      </w:r>
      <w:r w:rsidRPr="00F06AF0">
        <w:t xml:space="preserve">ssessment must have been completed within the last 3 months and continue to reflect the resident’s </w:t>
      </w:r>
      <w:r>
        <w:t>personal hygiene needs</w:t>
      </w:r>
      <w:r w:rsidRPr="00F06AF0">
        <w:t xml:space="preserve"> at the time of the appraisal.</w:t>
      </w:r>
    </w:p>
    <w:p w:rsidR="00980F62" w:rsidRDefault="00C62499" w:rsidP="00F02312">
      <w:pPr>
        <w:pStyle w:val="ListParagraph"/>
        <w:numPr>
          <w:ilvl w:val="0"/>
          <w:numId w:val="139"/>
        </w:numPr>
        <w:ind w:left="426" w:hanging="426"/>
        <w:rPr>
          <w:rFonts w:cstheme="minorHAnsi"/>
          <w:szCs w:val="24"/>
        </w:rPr>
      </w:pPr>
      <w:r w:rsidRPr="00D00CFF">
        <w:rPr>
          <w:szCs w:val="24"/>
        </w:rPr>
        <w:t>The</w:t>
      </w:r>
      <w:r w:rsidRPr="00D00CFF">
        <w:rPr>
          <w:b/>
          <w:szCs w:val="24"/>
        </w:rPr>
        <w:t xml:space="preserve"> </w:t>
      </w:r>
      <w:r w:rsidRPr="00D00CFF">
        <w:rPr>
          <w:rFonts w:cstheme="minorHAnsi"/>
          <w:szCs w:val="24"/>
        </w:rPr>
        <w:t>Personal Hygiene checklists must be completed using the Rating Scale</w:t>
      </w:r>
      <w:r w:rsidR="00F37133" w:rsidRPr="00D00CFF">
        <w:rPr>
          <w:rFonts w:cstheme="minorHAnsi"/>
          <w:szCs w:val="24"/>
        </w:rPr>
        <w:t>s</w:t>
      </w:r>
      <w:r w:rsidRPr="00D00CFF">
        <w:rPr>
          <w:rFonts w:cstheme="minorHAnsi"/>
          <w:szCs w:val="24"/>
        </w:rPr>
        <w:t>.</w:t>
      </w:r>
      <w:r w:rsidR="00557FD2" w:rsidRPr="00D00CFF">
        <w:rPr>
          <w:rFonts w:cstheme="minorHAnsi"/>
          <w:szCs w:val="24"/>
        </w:rPr>
        <w:t xml:space="preserve"> </w:t>
      </w:r>
      <w:r w:rsidR="00861DF2" w:rsidRPr="00D00CFF">
        <w:rPr>
          <w:rFonts w:cstheme="minorHAnsi"/>
          <w:szCs w:val="24"/>
        </w:rPr>
        <w:t>The c</w:t>
      </w:r>
      <w:r w:rsidR="00557FD2" w:rsidRPr="00D00CFF">
        <w:rPr>
          <w:rFonts w:cstheme="minorHAnsi"/>
          <w:szCs w:val="24"/>
        </w:rPr>
        <w:t>ar</w:t>
      </w:r>
      <w:r w:rsidR="00861DF2" w:rsidRPr="00D00CFF">
        <w:rPr>
          <w:rFonts w:cstheme="minorHAnsi"/>
          <w:szCs w:val="24"/>
        </w:rPr>
        <w:t>e needs to be rated are</w:t>
      </w:r>
      <w:r w:rsidR="00F37133" w:rsidRPr="00D00CFF">
        <w:rPr>
          <w:rFonts w:cstheme="minorHAnsi"/>
          <w:szCs w:val="24"/>
        </w:rPr>
        <w:t>:</w:t>
      </w:r>
    </w:p>
    <w:p w:rsidR="00980F62" w:rsidRDefault="00557FD2" w:rsidP="00F02312">
      <w:pPr>
        <w:pStyle w:val="ListParagraph"/>
        <w:numPr>
          <w:ilvl w:val="0"/>
          <w:numId w:val="127"/>
        </w:numPr>
        <w:ind w:left="851" w:hanging="425"/>
        <w:rPr>
          <w:rFonts w:cstheme="minorHAnsi"/>
          <w:szCs w:val="24"/>
        </w:rPr>
      </w:pPr>
      <w:r w:rsidRPr="00F37133">
        <w:rPr>
          <w:rFonts w:cstheme="minorHAnsi"/>
          <w:szCs w:val="24"/>
        </w:rPr>
        <w:t xml:space="preserve">Dressing and </w:t>
      </w:r>
      <w:r w:rsidR="00861DF2" w:rsidRPr="00F37133">
        <w:rPr>
          <w:rFonts w:cstheme="minorHAnsi"/>
          <w:szCs w:val="24"/>
        </w:rPr>
        <w:t>Undressing;</w:t>
      </w:r>
    </w:p>
    <w:p w:rsidR="00980F62" w:rsidRDefault="00861DF2" w:rsidP="00F02312">
      <w:pPr>
        <w:pStyle w:val="ListParagraph"/>
        <w:numPr>
          <w:ilvl w:val="0"/>
          <w:numId w:val="127"/>
        </w:numPr>
        <w:ind w:left="851" w:hanging="425"/>
        <w:rPr>
          <w:rFonts w:cstheme="minorHAnsi"/>
          <w:szCs w:val="24"/>
        </w:rPr>
      </w:pPr>
      <w:r w:rsidRPr="00F37133">
        <w:rPr>
          <w:rFonts w:cstheme="minorHAnsi"/>
          <w:szCs w:val="24"/>
        </w:rPr>
        <w:t>Washing and D</w:t>
      </w:r>
      <w:r w:rsidR="00557FD2" w:rsidRPr="00F37133">
        <w:rPr>
          <w:rFonts w:cstheme="minorHAnsi"/>
          <w:szCs w:val="24"/>
        </w:rPr>
        <w:t>rying.</w:t>
      </w:r>
    </w:p>
    <w:p w:rsidR="000A03A6" w:rsidRPr="00F06AF0" w:rsidRDefault="00891B6E" w:rsidP="0059454D">
      <w:pPr>
        <w:spacing w:after="0" w:line="240" w:lineRule="auto"/>
        <w:rPr>
          <w:rFonts w:cstheme="minorHAnsi"/>
          <w:szCs w:val="24"/>
        </w:rPr>
      </w:pPr>
      <w:r w:rsidRPr="00AF550C">
        <w:rPr>
          <w:b/>
          <w:color w:val="2F5496" w:themeColor="accent1" w:themeShade="BF"/>
        </w:rPr>
        <w:t xml:space="preserve">Personal Hygiene </w:t>
      </w:r>
      <w:r w:rsidR="00D00CFF" w:rsidRPr="00AF550C">
        <w:rPr>
          <w:b/>
          <w:color w:val="2F5496" w:themeColor="accent1" w:themeShade="BF"/>
        </w:rPr>
        <w:t>Checklists</w:t>
      </w:r>
      <w:r w:rsidR="000A03A6" w:rsidRPr="00AF550C">
        <w:rPr>
          <w:b/>
          <w:color w:val="2F5496" w:themeColor="accent1" w:themeShade="BF"/>
        </w:rPr>
        <w:t>:</w:t>
      </w:r>
      <w:r w:rsidR="000A03A6" w:rsidRPr="00FF0E95">
        <w:rPr>
          <w:color w:val="2F5496" w:themeColor="accent1" w:themeShade="BF"/>
        </w:rPr>
        <w:t xml:space="preserve"> </w:t>
      </w:r>
      <w:r w:rsidR="000A03A6" w:rsidRPr="00F06AF0">
        <w:rPr>
          <w:rFonts w:cstheme="minorHAnsi"/>
          <w:szCs w:val="24"/>
        </w:rPr>
        <w:t xml:space="preserve">Rate the level of assistance for each of the two </w:t>
      </w:r>
      <w:r w:rsidR="000A03A6">
        <w:rPr>
          <w:rFonts w:cstheme="minorHAnsi"/>
          <w:szCs w:val="24"/>
        </w:rPr>
        <w:t xml:space="preserve">Personal Hygiene </w:t>
      </w:r>
      <w:r w:rsidR="00D00CFF">
        <w:rPr>
          <w:rFonts w:cstheme="minorHAnsi"/>
          <w:szCs w:val="24"/>
        </w:rPr>
        <w:t>care needs</w:t>
      </w:r>
      <w:r w:rsidR="00F37133">
        <w:rPr>
          <w:rFonts w:cstheme="minorHAnsi"/>
          <w:szCs w:val="24"/>
        </w:rPr>
        <w:t>.</w:t>
      </w:r>
    </w:p>
    <w:tbl>
      <w:tblPr>
        <w:tblStyle w:val="TableGrid"/>
        <w:tblW w:w="9179" w:type="dxa"/>
        <w:tblInd w:w="85" w:type="dxa"/>
        <w:tblCellMar>
          <w:top w:w="85" w:type="dxa"/>
          <w:left w:w="85" w:type="dxa"/>
          <w:right w:w="85" w:type="dxa"/>
        </w:tblCellMar>
        <w:tblLook w:val="04A0" w:firstRow="1" w:lastRow="0" w:firstColumn="1" w:lastColumn="0" w:noHBand="0" w:noVBand="1"/>
        <w:tblDescription w:val="The Personal Hygiene Checklists table is an example of a tool used by assessors to assist identifying the daily care needs for personal hygiene. This table is to be read left to right, top to bottom, noting that tick boxes are not functional."/>
      </w:tblPr>
      <w:tblGrid>
        <w:gridCol w:w="7938"/>
        <w:gridCol w:w="1241"/>
      </w:tblGrid>
      <w:tr w:rsidR="00557FD2" w:rsidRPr="003209B0" w:rsidTr="003209B0">
        <w:trPr>
          <w:trHeight w:val="217"/>
          <w:tblHeader/>
        </w:trPr>
        <w:tc>
          <w:tcPr>
            <w:tcW w:w="7938" w:type="dxa"/>
            <w:shd w:val="clear" w:color="auto" w:fill="D9D9D9" w:themeFill="background1" w:themeFillShade="D9"/>
          </w:tcPr>
          <w:p w:rsidR="00557FD2" w:rsidRPr="003209B0" w:rsidRDefault="00557FD2" w:rsidP="00AB104B">
            <w:pPr>
              <w:pStyle w:val="Tableheader1"/>
              <w:jc w:val="left"/>
              <w:rPr>
                <w:rFonts w:asciiTheme="minorHAnsi" w:hAnsiTheme="minorHAnsi" w:cstheme="minorHAnsi"/>
                <w:sz w:val="24"/>
                <w:szCs w:val="24"/>
              </w:rPr>
            </w:pPr>
            <w:r w:rsidRPr="003209B0">
              <w:rPr>
                <w:rFonts w:asciiTheme="minorHAnsi" w:hAnsiTheme="minorHAnsi" w:cstheme="minorHAnsi"/>
                <w:sz w:val="24"/>
                <w:szCs w:val="24"/>
              </w:rPr>
              <w:t>3.1 Dressing &amp; Undressing</w:t>
            </w:r>
          </w:p>
          <w:p w:rsidR="00980F62" w:rsidRDefault="002C205F" w:rsidP="00AB104B">
            <w:pPr>
              <w:pStyle w:val="Tableheader1"/>
              <w:jc w:val="left"/>
              <w:rPr>
                <w:rFonts w:asciiTheme="minorHAnsi" w:hAnsiTheme="minorHAnsi" w:cstheme="minorHAnsi"/>
                <w:b w:val="0"/>
                <w:i/>
                <w:sz w:val="22"/>
              </w:rPr>
            </w:pPr>
            <w:r w:rsidRPr="003209B0">
              <w:rPr>
                <w:rFonts w:asciiTheme="minorHAnsi" w:hAnsiTheme="minorHAnsi" w:cstheme="minorHAnsi"/>
                <w:b w:val="0"/>
                <w:i/>
                <w:sz w:val="22"/>
              </w:rPr>
              <w:t>Da</w:t>
            </w:r>
            <w:r w:rsidR="00557FD2" w:rsidRPr="003209B0">
              <w:rPr>
                <w:rFonts w:asciiTheme="minorHAnsi" w:hAnsiTheme="minorHAnsi" w:cstheme="minorHAnsi"/>
                <w:b w:val="0"/>
                <w:i/>
                <w:sz w:val="22"/>
              </w:rPr>
              <w:t>ily care needs for:</w:t>
            </w:r>
          </w:p>
          <w:p w:rsidR="00980F62" w:rsidRDefault="00557FD2" w:rsidP="00F02312">
            <w:pPr>
              <w:pStyle w:val="Tableheader1"/>
              <w:numPr>
                <w:ilvl w:val="0"/>
                <w:numId w:val="114"/>
              </w:numPr>
              <w:spacing w:after="0"/>
              <w:jc w:val="left"/>
              <w:rPr>
                <w:rFonts w:asciiTheme="minorHAnsi" w:hAnsiTheme="minorHAnsi" w:cstheme="minorHAnsi"/>
                <w:b w:val="0"/>
                <w:i/>
                <w:sz w:val="22"/>
              </w:rPr>
            </w:pPr>
            <w:r w:rsidRPr="003209B0">
              <w:rPr>
                <w:rFonts w:asciiTheme="minorHAnsi" w:hAnsiTheme="minorHAnsi" w:cstheme="minorHAnsi"/>
                <w:b w:val="0"/>
                <w:i/>
                <w:sz w:val="22"/>
              </w:rPr>
              <w:t>Undoing and doing up zips, buttons or other fasteners including velcro.</w:t>
            </w:r>
          </w:p>
          <w:p w:rsidR="00557FD2" w:rsidRPr="003209B0" w:rsidRDefault="00557FD2" w:rsidP="00F02312">
            <w:pPr>
              <w:pStyle w:val="Tableheader1"/>
              <w:numPr>
                <w:ilvl w:val="0"/>
                <w:numId w:val="114"/>
              </w:numPr>
              <w:spacing w:after="0"/>
              <w:jc w:val="left"/>
              <w:rPr>
                <w:rFonts w:asciiTheme="minorHAnsi" w:hAnsiTheme="minorHAnsi" w:cstheme="minorHAnsi"/>
                <w:b w:val="0"/>
                <w:i/>
                <w:sz w:val="22"/>
              </w:rPr>
            </w:pPr>
            <w:r w:rsidRPr="003209B0">
              <w:rPr>
                <w:rFonts w:asciiTheme="minorHAnsi" w:hAnsiTheme="minorHAnsi" w:cstheme="minorHAnsi"/>
                <w:b w:val="0"/>
                <w:i/>
                <w:sz w:val="22"/>
              </w:rPr>
              <w:t>Putting on or taking off clothing and footwear (e.g. Underwear, shirts, skirts, pants, cardigan, socks, stockings);</w:t>
            </w:r>
          </w:p>
          <w:p w:rsidR="00557FD2" w:rsidRPr="003209B0" w:rsidRDefault="00557FD2" w:rsidP="00F02312">
            <w:pPr>
              <w:pStyle w:val="Tableheader1"/>
              <w:numPr>
                <w:ilvl w:val="0"/>
                <w:numId w:val="114"/>
              </w:numPr>
              <w:jc w:val="left"/>
              <w:rPr>
                <w:rFonts w:asciiTheme="minorHAnsi" w:hAnsiTheme="minorHAnsi" w:cstheme="minorHAnsi"/>
                <w:i/>
                <w:sz w:val="22"/>
              </w:rPr>
            </w:pPr>
            <w:r w:rsidRPr="003209B0">
              <w:rPr>
                <w:rFonts w:asciiTheme="minorHAnsi" w:hAnsiTheme="minorHAnsi" w:cstheme="minorHAnsi"/>
                <w:b w:val="0"/>
                <w:i/>
                <w:sz w:val="22"/>
              </w:rPr>
              <w:t>Fitting and removing of hip protectors, slings, cuffs, splints, medical braces, tubular elasticised support bandage, and prostheses other than for the lower limb.</w:t>
            </w:r>
          </w:p>
        </w:tc>
        <w:tc>
          <w:tcPr>
            <w:tcW w:w="1241" w:type="dxa"/>
            <w:shd w:val="clear" w:color="auto" w:fill="D9D9D9" w:themeFill="background1" w:themeFillShade="D9"/>
          </w:tcPr>
          <w:p w:rsidR="00557FD2" w:rsidRPr="003209B0" w:rsidRDefault="00557FD2" w:rsidP="00A51750">
            <w:pPr>
              <w:pStyle w:val="Tableheader1"/>
              <w:jc w:val="center"/>
              <w:rPr>
                <w:rFonts w:asciiTheme="minorHAnsi" w:hAnsiTheme="minorHAnsi" w:cstheme="minorHAnsi"/>
                <w:sz w:val="24"/>
              </w:rPr>
            </w:pPr>
            <w:r w:rsidRPr="003209B0">
              <w:rPr>
                <w:rFonts w:asciiTheme="minorHAnsi" w:hAnsiTheme="minorHAnsi" w:cstheme="minorHAnsi"/>
                <w:sz w:val="24"/>
              </w:rPr>
              <w:t>Assistance level</w:t>
            </w:r>
          </w:p>
          <w:p w:rsidR="00557FD2" w:rsidRPr="003209B0" w:rsidRDefault="00557FD2" w:rsidP="00A51750">
            <w:pPr>
              <w:pStyle w:val="Tabletype1"/>
              <w:jc w:val="center"/>
              <w:rPr>
                <w:rFonts w:asciiTheme="minorHAnsi" w:hAnsiTheme="minorHAnsi" w:cstheme="minorHAnsi"/>
                <w:sz w:val="22"/>
                <w:szCs w:val="22"/>
              </w:rPr>
            </w:pPr>
            <w:r w:rsidRPr="003209B0">
              <w:rPr>
                <w:rFonts w:asciiTheme="minorHAnsi" w:hAnsiTheme="minorHAnsi" w:cstheme="minorHAnsi"/>
                <w:sz w:val="22"/>
                <w:szCs w:val="22"/>
              </w:rPr>
              <w:t>(Tick one)</w:t>
            </w:r>
          </w:p>
        </w:tc>
      </w:tr>
      <w:tr w:rsidR="00557FD2" w:rsidRPr="003209B0" w:rsidTr="003209B0">
        <w:tc>
          <w:tcPr>
            <w:tcW w:w="7938" w:type="dxa"/>
          </w:tcPr>
          <w:p w:rsidR="00557FD2" w:rsidRPr="003209B0" w:rsidRDefault="00557FD2" w:rsidP="00AB104B">
            <w:pPr>
              <w:pStyle w:val="numberedtableheader2"/>
              <w:ind w:left="0" w:firstLine="0"/>
              <w:jc w:val="left"/>
              <w:rPr>
                <w:rFonts w:asciiTheme="minorHAnsi" w:hAnsiTheme="minorHAnsi" w:cstheme="minorHAnsi"/>
                <w:b w:val="0"/>
                <w:sz w:val="22"/>
              </w:rPr>
            </w:pPr>
            <w:r w:rsidRPr="003209B0">
              <w:rPr>
                <w:rFonts w:asciiTheme="minorHAnsi" w:hAnsiTheme="minorHAnsi" w:cstheme="minorHAnsi"/>
                <w:sz w:val="22"/>
              </w:rPr>
              <w:t xml:space="preserve">Standard Care: </w:t>
            </w:r>
            <w:r w:rsidRPr="003209B0">
              <w:rPr>
                <w:rFonts w:asciiTheme="minorHAnsi" w:hAnsiTheme="minorHAnsi" w:cstheme="minorHAnsi"/>
                <w:b w:val="0"/>
                <w:sz w:val="22"/>
              </w:rPr>
              <w:t xml:space="preserve">Independent, staff standing by for occasional or episodic assistance, </w:t>
            </w:r>
            <w:r w:rsidR="00F37133" w:rsidRPr="003209B0">
              <w:rPr>
                <w:rFonts w:asciiTheme="minorHAnsi" w:hAnsiTheme="minorHAnsi" w:cstheme="minorHAnsi"/>
                <w:b w:val="0"/>
                <w:sz w:val="22"/>
              </w:rPr>
              <w:t>verbal assistance</w:t>
            </w:r>
            <w:r w:rsidR="00EA45D1" w:rsidRPr="003209B0">
              <w:rPr>
                <w:rFonts w:asciiTheme="minorHAnsi" w:hAnsiTheme="minorHAnsi" w:cstheme="minorHAnsi"/>
                <w:b w:val="0"/>
                <w:sz w:val="22"/>
              </w:rPr>
              <w:t>,</w:t>
            </w:r>
            <w:r w:rsidR="00F37133" w:rsidRPr="003209B0">
              <w:rPr>
                <w:rFonts w:asciiTheme="minorHAnsi" w:hAnsiTheme="minorHAnsi" w:cstheme="minorHAnsi"/>
                <w:b w:val="0"/>
                <w:sz w:val="22"/>
              </w:rPr>
              <w:t xml:space="preserve"> </w:t>
            </w:r>
            <w:r w:rsidRPr="003209B0">
              <w:rPr>
                <w:rFonts w:asciiTheme="minorHAnsi" w:hAnsiTheme="minorHAnsi" w:cstheme="minorHAnsi"/>
                <w:b w:val="0"/>
                <w:sz w:val="22"/>
              </w:rPr>
              <w:t>setting up activities (e.g. choosing and laying out clothes).</w:t>
            </w:r>
          </w:p>
        </w:tc>
        <w:tc>
          <w:tcPr>
            <w:tcW w:w="1241" w:type="dxa"/>
          </w:tcPr>
          <w:p w:rsidR="00557FD2" w:rsidRPr="003209B0" w:rsidRDefault="00557FD2"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0</w:t>
            </w:r>
          </w:p>
        </w:tc>
      </w:tr>
      <w:tr w:rsidR="002B07F2" w:rsidRPr="003209B0" w:rsidTr="003209B0">
        <w:trPr>
          <w:trHeight w:val="32"/>
        </w:trPr>
        <w:tc>
          <w:tcPr>
            <w:tcW w:w="7938" w:type="dxa"/>
          </w:tcPr>
          <w:p w:rsidR="002B07F2" w:rsidRPr="003209B0" w:rsidRDefault="002B07F2" w:rsidP="00AB104B">
            <w:pPr>
              <w:pStyle w:val="Tabletype1"/>
              <w:spacing w:line="276" w:lineRule="auto"/>
              <w:jc w:val="left"/>
              <w:rPr>
                <w:rFonts w:ascii="Calibri" w:hAnsi="Calibri" w:cs="Calibri"/>
                <w:b/>
                <w:bCs/>
                <w:sz w:val="22"/>
                <w:szCs w:val="22"/>
              </w:rPr>
            </w:pPr>
            <w:r w:rsidRPr="003209B0">
              <w:rPr>
                <w:rFonts w:asciiTheme="minorHAnsi" w:hAnsiTheme="minorHAnsi" w:cstheme="minorHAnsi"/>
                <w:b/>
                <w:sz w:val="22"/>
                <w:szCs w:val="22"/>
                <w:lang w:eastAsia="en-AU"/>
              </w:rPr>
              <w:t xml:space="preserve">Moderate Assistance: </w:t>
            </w:r>
            <w:r w:rsidRPr="003209B0">
              <w:rPr>
                <w:rFonts w:ascii="Calibri" w:hAnsi="Calibri" w:cs="Calibri"/>
                <w:sz w:val="22"/>
                <w:szCs w:val="22"/>
              </w:rPr>
              <w:t>Always providing physical assistance, on a one-to-one basis, for at least part of the activity, whenever the activity is needed.</w:t>
            </w:r>
          </w:p>
        </w:tc>
        <w:tc>
          <w:tcPr>
            <w:tcW w:w="1241" w:type="dxa"/>
          </w:tcPr>
          <w:p w:rsidR="002B07F2" w:rsidRPr="003209B0" w:rsidRDefault="002B07F2" w:rsidP="002B07F2">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1</w:t>
            </w:r>
          </w:p>
        </w:tc>
      </w:tr>
      <w:tr w:rsidR="002B07F2" w:rsidRPr="003209B0" w:rsidTr="003209B0">
        <w:trPr>
          <w:trHeight w:val="32"/>
        </w:trPr>
        <w:tc>
          <w:tcPr>
            <w:tcW w:w="7938" w:type="dxa"/>
          </w:tcPr>
          <w:p w:rsidR="002B07F2" w:rsidRPr="003209B0" w:rsidRDefault="002B07F2" w:rsidP="00AB104B">
            <w:pPr>
              <w:pStyle w:val="Tabletype1"/>
              <w:spacing w:line="276" w:lineRule="auto"/>
              <w:jc w:val="left"/>
              <w:rPr>
                <w:rFonts w:ascii="Calibri" w:hAnsi="Calibri" w:cs="Calibri"/>
                <w:sz w:val="22"/>
                <w:szCs w:val="22"/>
              </w:rPr>
            </w:pPr>
            <w:r w:rsidRPr="003209B0">
              <w:rPr>
                <w:rFonts w:asciiTheme="minorHAnsi" w:hAnsiTheme="minorHAnsi" w:cstheme="minorHAnsi"/>
                <w:b/>
                <w:sz w:val="22"/>
                <w:szCs w:val="22"/>
                <w:lang w:eastAsia="en-AU"/>
              </w:rPr>
              <w:t>Full Assistance:</w:t>
            </w:r>
            <w:r w:rsidRPr="003209B0">
              <w:rPr>
                <w:rFonts w:asciiTheme="minorHAnsi" w:hAnsiTheme="minorHAnsi" w:cstheme="minorHAnsi"/>
                <w:sz w:val="22"/>
                <w:szCs w:val="22"/>
                <w:lang w:eastAsia="en-AU"/>
              </w:rPr>
              <w:t xml:space="preserve"> </w:t>
            </w:r>
            <w:r w:rsidRPr="003209B0">
              <w:rPr>
                <w:rFonts w:ascii="Calibri" w:hAnsi="Calibri" w:cs="Calibri"/>
                <w:sz w:val="22"/>
                <w:szCs w:val="22"/>
              </w:rPr>
              <w:t>Always providing physical assistance, by at least two staff, throughout the entire activity, whenever the activity is needed.</w:t>
            </w:r>
          </w:p>
        </w:tc>
        <w:tc>
          <w:tcPr>
            <w:tcW w:w="1241" w:type="dxa"/>
          </w:tcPr>
          <w:p w:rsidR="002B07F2" w:rsidRPr="003209B0" w:rsidRDefault="002B07F2" w:rsidP="002B07F2">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2</w:t>
            </w:r>
          </w:p>
        </w:tc>
      </w:tr>
      <w:tr w:rsidR="00557FD2" w:rsidRPr="003209B0" w:rsidTr="003209B0">
        <w:trPr>
          <w:trHeight w:val="217"/>
          <w:tblHeader/>
        </w:trPr>
        <w:tc>
          <w:tcPr>
            <w:tcW w:w="7938" w:type="dxa"/>
            <w:shd w:val="clear" w:color="auto" w:fill="D9D9D9" w:themeFill="background1" w:themeFillShade="D9"/>
          </w:tcPr>
          <w:p w:rsidR="00557FD2" w:rsidRPr="003209B0" w:rsidRDefault="00557FD2" w:rsidP="00AB104B">
            <w:pPr>
              <w:pStyle w:val="Tableheader1"/>
              <w:jc w:val="left"/>
              <w:rPr>
                <w:rFonts w:asciiTheme="minorHAnsi" w:hAnsiTheme="minorHAnsi" w:cstheme="minorHAnsi"/>
                <w:sz w:val="22"/>
              </w:rPr>
            </w:pPr>
            <w:r w:rsidRPr="003209B0">
              <w:rPr>
                <w:rFonts w:asciiTheme="minorHAnsi" w:hAnsiTheme="minorHAnsi" w:cstheme="minorHAnsi"/>
                <w:sz w:val="22"/>
              </w:rPr>
              <w:t>3.2 Washing &amp; Drying</w:t>
            </w:r>
          </w:p>
          <w:p w:rsidR="00557FD2" w:rsidRPr="003209B0" w:rsidRDefault="002C205F" w:rsidP="00AB104B">
            <w:pPr>
              <w:pStyle w:val="Tableheader1"/>
              <w:jc w:val="left"/>
              <w:rPr>
                <w:rFonts w:asciiTheme="minorHAnsi" w:hAnsiTheme="minorHAnsi" w:cstheme="minorHAnsi"/>
                <w:b w:val="0"/>
                <w:i/>
                <w:sz w:val="22"/>
              </w:rPr>
            </w:pPr>
            <w:r w:rsidRPr="003209B0">
              <w:rPr>
                <w:rFonts w:asciiTheme="minorHAnsi" w:hAnsiTheme="minorHAnsi" w:cstheme="minorHAnsi"/>
                <w:b w:val="0"/>
                <w:i/>
                <w:sz w:val="22"/>
              </w:rPr>
              <w:t>D</w:t>
            </w:r>
            <w:r w:rsidR="00557FD2" w:rsidRPr="003209B0">
              <w:rPr>
                <w:rFonts w:asciiTheme="minorHAnsi" w:hAnsiTheme="minorHAnsi" w:cstheme="minorHAnsi"/>
                <w:b w:val="0"/>
                <w:i/>
                <w:sz w:val="22"/>
              </w:rPr>
              <w:t xml:space="preserve">aily care needs for washing &amp; drying </w:t>
            </w:r>
            <w:r w:rsidR="00F37133" w:rsidRPr="003209B0">
              <w:rPr>
                <w:rFonts w:asciiTheme="minorHAnsi" w:hAnsiTheme="minorHAnsi" w:cstheme="minorHAnsi"/>
                <w:b w:val="0"/>
                <w:i/>
                <w:sz w:val="22"/>
              </w:rPr>
              <w:t xml:space="preserve">the </w:t>
            </w:r>
            <w:r w:rsidR="00557FD2" w:rsidRPr="003209B0">
              <w:rPr>
                <w:rFonts w:asciiTheme="minorHAnsi" w:hAnsiTheme="minorHAnsi" w:cstheme="minorHAnsi"/>
                <w:b w:val="0"/>
                <w:i/>
                <w:sz w:val="22"/>
              </w:rPr>
              <w:t>body</w:t>
            </w:r>
          </w:p>
        </w:tc>
        <w:tc>
          <w:tcPr>
            <w:tcW w:w="1241" w:type="dxa"/>
            <w:shd w:val="clear" w:color="auto" w:fill="D9D9D9" w:themeFill="background1" w:themeFillShade="D9"/>
          </w:tcPr>
          <w:p w:rsidR="00557FD2" w:rsidRPr="003209B0" w:rsidRDefault="00557FD2" w:rsidP="00A51750">
            <w:pPr>
              <w:pStyle w:val="Tableheader1"/>
              <w:jc w:val="center"/>
              <w:rPr>
                <w:rFonts w:asciiTheme="minorHAnsi" w:hAnsiTheme="minorHAnsi" w:cstheme="minorHAnsi"/>
                <w:sz w:val="22"/>
              </w:rPr>
            </w:pPr>
            <w:r w:rsidRPr="003209B0">
              <w:rPr>
                <w:rFonts w:asciiTheme="minorHAnsi" w:hAnsiTheme="minorHAnsi" w:cstheme="minorHAnsi"/>
                <w:sz w:val="22"/>
              </w:rPr>
              <w:t>Assistance level</w:t>
            </w:r>
          </w:p>
          <w:p w:rsidR="00557FD2" w:rsidRPr="003209B0" w:rsidRDefault="00557FD2" w:rsidP="00A51750">
            <w:pPr>
              <w:pStyle w:val="Tabletype1"/>
              <w:jc w:val="center"/>
              <w:rPr>
                <w:rFonts w:asciiTheme="minorHAnsi" w:hAnsiTheme="minorHAnsi" w:cstheme="minorHAnsi"/>
                <w:sz w:val="22"/>
                <w:szCs w:val="22"/>
              </w:rPr>
            </w:pPr>
            <w:r w:rsidRPr="003209B0">
              <w:rPr>
                <w:rFonts w:asciiTheme="minorHAnsi" w:hAnsiTheme="minorHAnsi" w:cstheme="minorHAnsi"/>
                <w:sz w:val="22"/>
                <w:szCs w:val="22"/>
              </w:rPr>
              <w:t>(Tick one)</w:t>
            </w:r>
          </w:p>
        </w:tc>
      </w:tr>
      <w:tr w:rsidR="00557FD2" w:rsidRPr="003209B0" w:rsidTr="003209B0">
        <w:tc>
          <w:tcPr>
            <w:tcW w:w="7938" w:type="dxa"/>
          </w:tcPr>
          <w:p w:rsidR="00557FD2" w:rsidRPr="003209B0" w:rsidRDefault="00557FD2" w:rsidP="00AB104B">
            <w:pPr>
              <w:pStyle w:val="numberedtableheader2"/>
              <w:ind w:left="0" w:firstLine="0"/>
              <w:jc w:val="left"/>
              <w:rPr>
                <w:rFonts w:asciiTheme="minorHAnsi" w:hAnsiTheme="minorHAnsi" w:cstheme="minorHAnsi"/>
                <w:b w:val="0"/>
                <w:sz w:val="22"/>
              </w:rPr>
            </w:pPr>
            <w:r w:rsidRPr="003209B0">
              <w:rPr>
                <w:rFonts w:asciiTheme="minorHAnsi" w:hAnsiTheme="minorHAnsi" w:cstheme="minorHAnsi"/>
                <w:sz w:val="22"/>
              </w:rPr>
              <w:t xml:space="preserve">Standard Care: </w:t>
            </w:r>
            <w:r w:rsidRPr="003209B0">
              <w:rPr>
                <w:rFonts w:asciiTheme="minorHAnsi" w:hAnsiTheme="minorHAnsi" w:cstheme="minorHAnsi"/>
                <w:b w:val="0"/>
                <w:sz w:val="22"/>
              </w:rPr>
              <w:t xml:space="preserve">Independent, staff standing by for occasional or episodic assistance, </w:t>
            </w:r>
            <w:r w:rsidR="00F37133" w:rsidRPr="003209B0">
              <w:rPr>
                <w:rFonts w:asciiTheme="minorHAnsi" w:hAnsiTheme="minorHAnsi" w:cstheme="minorHAnsi"/>
                <w:b w:val="0"/>
                <w:sz w:val="22"/>
              </w:rPr>
              <w:t>verbal assistance</w:t>
            </w:r>
            <w:r w:rsidR="00EA45D1" w:rsidRPr="003209B0">
              <w:rPr>
                <w:rFonts w:asciiTheme="minorHAnsi" w:hAnsiTheme="minorHAnsi" w:cstheme="minorHAnsi"/>
                <w:b w:val="0"/>
                <w:sz w:val="22"/>
              </w:rPr>
              <w:t>,</w:t>
            </w:r>
            <w:r w:rsidR="00F37133" w:rsidRPr="003209B0">
              <w:rPr>
                <w:rFonts w:asciiTheme="minorHAnsi" w:hAnsiTheme="minorHAnsi" w:cstheme="minorHAnsi"/>
                <w:b w:val="0"/>
                <w:sz w:val="22"/>
              </w:rPr>
              <w:t xml:space="preserve"> </w:t>
            </w:r>
            <w:r w:rsidRPr="003209B0">
              <w:rPr>
                <w:rFonts w:asciiTheme="minorHAnsi" w:hAnsiTheme="minorHAnsi" w:cstheme="minorHAnsi"/>
                <w:b w:val="0"/>
                <w:sz w:val="22"/>
              </w:rPr>
              <w:t xml:space="preserve">setting up activities (e.g. </w:t>
            </w:r>
            <w:r w:rsidRPr="003209B0">
              <w:rPr>
                <w:rFonts w:asciiTheme="minorHAnsi" w:hAnsiTheme="minorHAnsi"/>
                <w:b w:val="0"/>
                <w:sz w:val="22"/>
              </w:rPr>
              <w:t>up toiletries within reach, turning on or adjusting taps)</w:t>
            </w:r>
            <w:r w:rsidRPr="003209B0">
              <w:rPr>
                <w:rFonts w:ascii="Calibri" w:hAnsi="Calibri" w:cs="Calibri"/>
                <w:b w:val="0"/>
                <w:sz w:val="22"/>
              </w:rPr>
              <w:t>.</w:t>
            </w:r>
          </w:p>
        </w:tc>
        <w:tc>
          <w:tcPr>
            <w:tcW w:w="1241" w:type="dxa"/>
          </w:tcPr>
          <w:p w:rsidR="00557FD2" w:rsidRPr="003209B0" w:rsidRDefault="00557FD2"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0</w:t>
            </w:r>
          </w:p>
        </w:tc>
      </w:tr>
      <w:tr w:rsidR="002B07F2" w:rsidRPr="003209B0" w:rsidTr="003209B0">
        <w:trPr>
          <w:trHeight w:val="32"/>
        </w:trPr>
        <w:tc>
          <w:tcPr>
            <w:tcW w:w="7938" w:type="dxa"/>
          </w:tcPr>
          <w:p w:rsidR="002B07F2" w:rsidRPr="003209B0" w:rsidRDefault="002B07F2" w:rsidP="00AB104B">
            <w:pPr>
              <w:pStyle w:val="Tabletype1"/>
              <w:jc w:val="left"/>
              <w:rPr>
                <w:rFonts w:asciiTheme="minorHAnsi" w:hAnsiTheme="minorHAnsi" w:cstheme="minorHAnsi"/>
                <w:sz w:val="22"/>
                <w:szCs w:val="22"/>
                <w:lang w:eastAsia="en-AU"/>
              </w:rPr>
            </w:pPr>
            <w:r w:rsidRPr="003209B0">
              <w:rPr>
                <w:rFonts w:asciiTheme="minorHAnsi" w:hAnsiTheme="minorHAnsi" w:cstheme="minorHAnsi"/>
                <w:b/>
                <w:sz w:val="22"/>
                <w:szCs w:val="22"/>
                <w:lang w:eastAsia="en-AU"/>
              </w:rPr>
              <w:t xml:space="preserve">Moderate Assistance: </w:t>
            </w:r>
            <w:r w:rsidRPr="003209B0">
              <w:rPr>
                <w:rFonts w:ascii="Calibri" w:hAnsi="Calibri" w:cs="Calibri"/>
                <w:sz w:val="22"/>
                <w:szCs w:val="22"/>
              </w:rPr>
              <w:t>Always providing physical assistance, on a one-to-one basis, for at least part of the activity, whenever the activity is needed.</w:t>
            </w:r>
          </w:p>
        </w:tc>
        <w:tc>
          <w:tcPr>
            <w:tcW w:w="1241" w:type="dxa"/>
          </w:tcPr>
          <w:p w:rsidR="002B07F2" w:rsidRPr="003209B0" w:rsidRDefault="002B07F2" w:rsidP="002B07F2">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1</w:t>
            </w:r>
          </w:p>
        </w:tc>
      </w:tr>
      <w:tr w:rsidR="002B07F2" w:rsidRPr="003209B0" w:rsidTr="003209B0">
        <w:trPr>
          <w:trHeight w:val="32"/>
        </w:trPr>
        <w:tc>
          <w:tcPr>
            <w:tcW w:w="7938" w:type="dxa"/>
          </w:tcPr>
          <w:p w:rsidR="002B07F2" w:rsidRPr="003209B0" w:rsidRDefault="002B07F2" w:rsidP="00AB104B">
            <w:pPr>
              <w:pStyle w:val="numberedtableheader2"/>
              <w:ind w:left="0" w:firstLine="0"/>
              <w:jc w:val="left"/>
              <w:rPr>
                <w:rFonts w:asciiTheme="minorHAnsi" w:hAnsiTheme="minorHAnsi" w:cstheme="minorHAnsi"/>
                <w:b w:val="0"/>
                <w:sz w:val="22"/>
              </w:rPr>
            </w:pPr>
            <w:r w:rsidRPr="003209B0">
              <w:rPr>
                <w:rFonts w:asciiTheme="minorHAnsi" w:hAnsiTheme="minorHAnsi" w:cstheme="minorHAnsi"/>
                <w:sz w:val="22"/>
                <w:lang w:eastAsia="en-AU"/>
              </w:rPr>
              <w:t xml:space="preserve">Full Assistance: </w:t>
            </w:r>
            <w:r w:rsidRPr="003209B0">
              <w:rPr>
                <w:rFonts w:ascii="Calibri" w:hAnsi="Calibri" w:cs="Calibri"/>
                <w:b w:val="0"/>
                <w:sz w:val="22"/>
              </w:rPr>
              <w:t>Always providing physical assistance, by at least two staff, throughout the entire activity, whenever the activity is needed.</w:t>
            </w:r>
          </w:p>
        </w:tc>
        <w:tc>
          <w:tcPr>
            <w:tcW w:w="1241" w:type="dxa"/>
          </w:tcPr>
          <w:p w:rsidR="002B07F2" w:rsidRPr="003209B0" w:rsidRDefault="002B07F2" w:rsidP="002B07F2">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2</w:t>
            </w:r>
          </w:p>
        </w:tc>
      </w:tr>
    </w:tbl>
    <w:p w:rsidR="00557FD2" w:rsidRPr="00600679" w:rsidRDefault="001F09F2" w:rsidP="001F2491">
      <w:pPr>
        <w:pStyle w:val="Heading3-Chapter44"/>
      </w:pPr>
      <w:bookmarkStart w:id="287" w:name="_Toc482012912"/>
      <w:r w:rsidRPr="00600679">
        <w:t>Recommended Use</w:t>
      </w:r>
      <w:r w:rsidR="00EE366F">
        <w:t>r</w:t>
      </w:r>
      <w:r w:rsidRPr="00600679">
        <w:t xml:space="preserve"> Guide </w:t>
      </w:r>
      <w:r w:rsidR="00557FD2" w:rsidRPr="00600679">
        <w:t>R-ACFI Format for the Toileting Question</w:t>
      </w:r>
      <w:r w:rsidR="00303D02" w:rsidRPr="00600679">
        <w:t>s</w:t>
      </w:r>
    </w:p>
    <w:p w:rsidR="00557FD2" w:rsidRPr="00F06AF0" w:rsidRDefault="00557FD2" w:rsidP="00AB104B">
      <w:r w:rsidRPr="004D324E">
        <w:rPr>
          <w:rStyle w:val="Strong"/>
        </w:rPr>
        <w:t>Description:</w:t>
      </w:r>
      <w:r w:rsidRPr="00F06AF0">
        <w:rPr>
          <w:b/>
        </w:rPr>
        <w:t xml:space="preserve"> </w:t>
      </w:r>
      <w:r w:rsidR="00F37133">
        <w:t>This</w:t>
      </w:r>
      <w:r w:rsidR="00F37133" w:rsidRPr="00F06AF0">
        <w:t xml:space="preserve"> </w:t>
      </w:r>
      <w:r w:rsidRPr="00F06AF0">
        <w:t>question</w:t>
      </w:r>
      <w:r w:rsidR="009D1D9F">
        <w:t xml:space="preserve"> relate</w:t>
      </w:r>
      <w:r w:rsidR="00F37133">
        <w:t>s</w:t>
      </w:r>
      <w:r w:rsidRPr="00F06AF0">
        <w:t xml:space="preserve"> t</w:t>
      </w:r>
      <w:r w:rsidR="002C205F">
        <w:t xml:space="preserve">o the resident’s </w:t>
      </w:r>
      <w:r w:rsidRPr="00F06AF0">
        <w:t xml:space="preserve">day-to-day assessed care needs with regard to toileting. It relates to the assessed needs with regard to use of a toilet, commode, urinal or bedpan. It also includes emptying drainage bags </w:t>
      </w:r>
      <w:r w:rsidR="00793A8E" w:rsidRPr="009572ED">
        <w:t xml:space="preserve">for </w:t>
      </w:r>
      <w:r w:rsidRPr="00F06AF0">
        <w:t>residents who have stomas and catheters.</w:t>
      </w:r>
    </w:p>
    <w:p w:rsidR="003209B0" w:rsidRDefault="00557FD2" w:rsidP="00AB104B">
      <w:r w:rsidRPr="00F06AF0">
        <w:t xml:space="preserve">For location change related to toileting, refer to </w:t>
      </w:r>
      <w:r w:rsidR="00C95CBC">
        <w:t xml:space="preserve">the </w:t>
      </w:r>
      <w:r w:rsidRPr="00F06AF0">
        <w:t>R-ACFI 2 Mobility</w:t>
      </w:r>
      <w:r w:rsidR="00C95CBC">
        <w:t xml:space="preserve"> questions</w:t>
      </w:r>
      <w:r w:rsidRPr="00F06AF0">
        <w:t>. For the clinical care of catheters, stomas and the administration of suppositories and enemas in continence management see ACFI 8 C</w:t>
      </w:r>
      <w:r w:rsidR="00793A8E" w:rsidRPr="009572ED">
        <w:t>HC</w:t>
      </w:r>
      <w:r w:rsidRPr="00F06AF0">
        <w:t>.</w:t>
      </w:r>
    </w:p>
    <w:p w:rsidR="003209B0" w:rsidRDefault="003209B0">
      <w:pPr>
        <w:spacing w:after="200"/>
        <w:jc w:val="left"/>
      </w:pPr>
      <w:r>
        <w:br w:type="page"/>
      </w:r>
    </w:p>
    <w:p w:rsidR="00D00CFF" w:rsidRDefault="00557FD2" w:rsidP="0017119E">
      <w:pPr>
        <w:rPr>
          <w:szCs w:val="24"/>
        </w:rPr>
      </w:pPr>
      <w:r w:rsidRPr="004D324E">
        <w:rPr>
          <w:rStyle w:val="Strong"/>
        </w:rPr>
        <w:lastRenderedPageBreak/>
        <w:t>Requirements:</w:t>
      </w:r>
      <w:r w:rsidRPr="00F06AF0">
        <w:rPr>
          <w:b/>
          <w:szCs w:val="24"/>
        </w:rPr>
        <w:t xml:space="preserve"> </w:t>
      </w:r>
      <w:r w:rsidR="00EA45D1" w:rsidRPr="00235B4C">
        <w:rPr>
          <w:szCs w:val="24"/>
        </w:rPr>
        <w:t>To support a claim (above Standard Care)</w:t>
      </w:r>
    </w:p>
    <w:p w:rsidR="00980F62" w:rsidRDefault="00D00CFF" w:rsidP="00F02312">
      <w:pPr>
        <w:pStyle w:val="ListParagraph"/>
        <w:numPr>
          <w:ilvl w:val="0"/>
          <w:numId w:val="140"/>
        </w:numPr>
        <w:ind w:left="426" w:hanging="426"/>
      </w:pPr>
      <w:r>
        <w:t>An a</w:t>
      </w:r>
      <w:r w:rsidRPr="00F06AF0">
        <w:t xml:space="preserve">ssessment must have been completed within the last 3 months and continue to reflect the resident’s </w:t>
      </w:r>
      <w:r>
        <w:t>toileting needs</w:t>
      </w:r>
      <w:r w:rsidRPr="00F06AF0">
        <w:t xml:space="preserve"> at the time of the appraisal.</w:t>
      </w:r>
    </w:p>
    <w:p w:rsidR="00980F62" w:rsidRDefault="00D00CFF" w:rsidP="00F02312">
      <w:pPr>
        <w:pStyle w:val="ListParagraph"/>
        <w:numPr>
          <w:ilvl w:val="0"/>
          <w:numId w:val="140"/>
        </w:numPr>
        <w:spacing w:after="0"/>
        <w:ind w:left="426" w:hanging="426"/>
        <w:rPr>
          <w:rFonts w:cstheme="minorHAnsi"/>
          <w:szCs w:val="24"/>
        </w:rPr>
      </w:pPr>
      <w:r>
        <w:rPr>
          <w:szCs w:val="24"/>
        </w:rPr>
        <w:t>T</w:t>
      </w:r>
      <w:r w:rsidR="009D1D9F" w:rsidRPr="00E532A7">
        <w:rPr>
          <w:szCs w:val="24"/>
        </w:rPr>
        <w:t xml:space="preserve">he </w:t>
      </w:r>
      <w:r w:rsidR="00557FD2" w:rsidRPr="00C30B09">
        <w:rPr>
          <w:rFonts w:cstheme="minorHAnsi"/>
          <w:szCs w:val="24"/>
        </w:rPr>
        <w:t xml:space="preserve">Toileting </w:t>
      </w:r>
      <w:r w:rsidR="00F37133" w:rsidRPr="00351320">
        <w:rPr>
          <w:rFonts w:cstheme="minorHAnsi"/>
          <w:szCs w:val="24"/>
        </w:rPr>
        <w:t xml:space="preserve">items </w:t>
      </w:r>
      <w:r w:rsidR="00557FD2" w:rsidRPr="0089181B">
        <w:rPr>
          <w:rFonts w:cstheme="minorHAnsi"/>
          <w:szCs w:val="24"/>
        </w:rPr>
        <w:t>must be completed using the Rating Scale</w:t>
      </w:r>
      <w:r w:rsidR="009D1D9F" w:rsidRPr="00235B4C">
        <w:rPr>
          <w:rFonts w:cstheme="minorHAnsi"/>
          <w:szCs w:val="24"/>
        </w:rPr>
        <w:t>s covering</w:t>
      </w:r>
      <w:r w:rsidR="00F37133" w:rsidRPr="00235B4C">
        <w:rPr>
          <w:rFonts w:cstheme="minorHAnsi"/>
          <w:szCs w:val="24"/>
        </w:rPr>
        <w:t>. The care needs to be rated are</w:t>
      </w:r>
      <w:r w:rsidR="009D1D9F" w:rsidRPr="00235B4C">
        <w:rPr>
          <w:rFonts w:cstheme="minorHAnsi"/>
          <w:szCs w:val="24"/>
        </w:rPr>
        <w:t>:</w:t>
      </w:r>
    </w:p>
    <w:p w:rsidR="00557FD2" w:rsidRPr="0017119E" w:rsidRDefault="0017119E" w:rsidP="008E7759">
      <w:pPr>
        <w:tabs>
          <w:tab w:val="left" w:pos="720"/>
        </w:tabs>
        <w:spacing w:after="0" w:line="240" w:lineRule="auto"/>
        <w:ind w:left="720" w:hanging="294"/>
        <w:rPr>
          <w:rFonts w:cstheme="minorHAnsi"/>
          <w:szCs w:val="24"/>
        </w:rPr>
      </w:pPr>
      <w:r>
        <w:t xml:space="preserve">1. </w:t>
      </w:r>
      <w:r w:rsidR="00557FD2" w:rsidRPr="0017119E">
        <w:rPr>
          <w:rFonts w:cstheme="minorHAnsi"/>
          <w:szCs w:val="24"/>
        </w:rPr>
        <w:t>Use of toilet (setting up to use the toilet)</w:t>
      </w:r>
      <w:r w:rsidR="008E7759">
        <w:rPr>
          <w:rFonts w:cstheme="minorHAnsi"/>
          <w:szCs w:val="24"/>
        </w:rPr>
        <w:t>;</w:t>
      </w:r>
    </w:p>
    <w:p w:rsidR="00557FD2" w:rsidRPr="0017119E" w:rsidRDefault="0017119E" w:rsidP="008E7759">
      <w:pPr>
        <w:tabs>
          <w:tab w:val="left" w:pos="720"/>
        </w:tabs>
        <w:spacing w:line="240" w:lineRule="auto"/>
        <w:ind w:left="720" w:hanging="294"/>
        <w:rPr>
          <w:rFonts w:cstheme="minorHAnsi"/>
          <w:szCs w:val="24"/>
        </w:rPr>
      </w:pPr>
      <w:r>
        <w:t xml:space="preserve">2. </w:t>
      </w:r>
      <w:r w:rsidR="00557FD2" w:rsidRPr="0017119E">
        <w:rPr>
          <w:rFonts w:cstheme="minorHAnsi"/>
          <w:szCs w:val="24"/>
        </w:rPr>
        <w:t>Toilet completion (the ability to appropriately manage the toileting activity)</w:t>
      </w:r>
      <w:r w:rsidR="008E7759">
        <w:rPr>
          <w:rFonts w:cstheme="minorHAnsi"/>
          <w:szCs w:val="24"/>
        </w:rPr>
        <w:t>.</w:t>
      </w:r>
    </w:p>
    <w:p w:rsidR="00303D02" w:rsidRPr="00F06AF0" w:rsidRDefault="00303D02" w:rsidP="00303D02">
      <w:pPr>
        <w:rPr>
          <w:rFonts w:cstheme="minorHAnsi"/>
          <w:szCs w:val="24"/>
        </w:rPr>
      </w:pPr>
      <w:r w:rsidRPr="00FF0E95">
        <w:rPr>
          <w:b/>
          <w:color w:val="2F5496" w:themeColor="accent1" w:themeShade="BF"/>
        </w:rPr>
        <w:t xml:space="preserve">Toileting </w:t>
      </w:r>
      <w:r w:rsidR="00D00CFF" w:rsidRPr="00FF0E95">
        <w:rPr>
          <w:b/>
          <w:color w:val="2F5496" w:themeColor="accent1" w:themeShade="BF"/>
        </w:rPr>
        <w:t>Checklist</w:t>
      </w:r>
      <w:r w:rsidR="00F37133" w:rsidRPr="00FF0E95">
        <w:rPr>
          <w:b/>
          <w:color w:val="2F5496" w:themeColor="accent1" w:themeShade="BF"/>
        </w:rPr>
        <w:t>s</w:t>
      </w:r>
      <w:r w:rsidRPr="00FF0E95">
        <w:rPr>
          <w:b/>
          <w:color w:val="2F5496" w:themeColor="accent1" w:themeShade="BF"/>
        </w:rPr>
        <w:t>:</w:t>
      </w:r>
      <w:r w:rsidRPr="00F06AF0">
        <w:rPr>
          <w:rStyle w:val="Strong"/>
          <w:rFonts w:cstheme="minorHAnsi"/>
          <w:szCs w:val="24"/>
        </w:rPr>
        <w:t xml:space="preserve"> </w:t>
      </w:r>
      <w:r w:rsidRPr="00F06AF0">
        <w:rPr>
          <w:rFonts w:cstheme="minorHAnsi"/>
          <w:szCs w:val="24"/>
        </w:rPr>
        <w:t xml:space="preserve">Rate the level of assistance for each of the two </w:t>
      </w:r>
      <w:r>
        <w:rPr>
          <w:rFonts w:cstheme="minorHAnsi"/>
          <w:szCs w:val="24"/>
        </w:rPr>
        <w:t xml:space="preserve">toileting </w:t>
      </w:r>
      <w:r w:rsidR="00D00CFF">
        <w:rPr>
          <w:rFonts w:cstheme="minorHAnsi"/>
          <w:szCs w:val="24"/>
        </w:rPr>
        <w:t>care needs</w:t>
      </w:r>
      <w:r w:rsidR="00EA45D1">
        <w:rPr>
          <w:rFonts w:cstheme="minorHAnsi"/>
          <w:szCs w:val="24"/>
        </w:rPr>
        <w:t>.</w:t>
      </w:r>
    </w:p>
    <w:tbl>
      <w:tblPr>
        <w:tblStyle w:val="TableGrid"/>
        <w:tblW w:w="9071" w:type="dxa"/>
        <w:tblInd w:w="85" w:type="dxa"/>
        <w:tblCellMar>
          <w:top w:w="85" w:type="dxa"/>
          <w:left w:w="85" w:type="dxa"/>
          <w:right w:w="85" w:type="dxa"/>
        </w:tblCellMar>
        <w:tblLook w:val="04A0" w:firstRow="1" w:lastRow="0" w:firstColumn="1" w:lastColumn="0" w:noHBand="0" w:noVBand="1"/>
        <w:tblDescription w:val="The Toileting Checklists table is an example of a tool used by assessors to assist identifying the daily care needs for toileting. This table is to be read left to right, top to bottom, noting that tick boxes are not functional."/>
      </w:tblPr>
      <w:tblGrid>
        <w:gridCol w:w="7230"/>
        <w:gridCol w:w="1841"/>
      </w:tblGrid>
      <w:tr w:rsidR="00557FD2" w:rsidRPr="003209B0" w:rsidTr="00A51750">
        <w:trPr>
          <w:trHeight w:val="217"/>
          <w:tblHeader/>
        </w:trPr>
        <w:tc>
          <w:tcPr>
            <w:tcW w:w="7230" w:type="dxa"/>
            <w:shd w:val="clear" w:color="auto" w:fill="D9D9D9" w:themeFill="background1" w:themeFillShade="D9"/>
          </w:tcPr>
          <w:p w:rsidR="00557FD2" w:rsidRPr="003209B0" w:rsidRDefault="00557FD2" w:rsidP="00AB104B">
            <w:pPr>
              <w:pStyle w:val="Tableheader1"/>
              <w:jc w:val="left"/>
              <w:rPr>
                <w:rFonts w:asciiTheme="minorHAnsi" w:hAnsiTheme="minorHAnsi" w:cstheme="minorHAnsi"/>
                <w:sz w:val="24"/>
              </w:rPr>
            </w:pPr>
            <w:r w:rsidRPr="003209B0">
              <w:rPr>
                <w:rFonts w:asciiTheme="minorHAnsi" w:hAnsiTheme="minorHAnsi" w:cstheme="minorHAnsi"/>
                <w:sz w:val="24"/>
              </w:rPr>
              <w:t>4.1 Use of Toilet</w:t>
            </w:r>
          </w:p>
          <w:p w:rsidR="00557FD2" w:rsidRPr="003209B0" w:rsidRDefault="002C205F" w:rsidP="00AB104B">
            <w:pPr>
              <w:pStyle w:val="Tableheader1"/>
              <w:jc w:val="left"/>
              <w:rPr>
                <w:rFonts w:asciiTheme="minorHAnsi" w:hAnsiTheme="minorHAnsi" w:cstheme="minorHAnsi"/>
                <w:i/>
                <w:sz w:val="22"/>
              </w:rPr>
            </w:pPr>
            <w:r w:rsidRPr="003209B0">
              <w:rPr>
                <w:rFonts w:asciiTheme="minorHAnsi" w:hAnsiTheme="minorHAnsi" w:cstheme="minorHAnsi"/>
                <w:b w:val="0"/>
                <w:i/>
                <w:sz w:val="22"/>
              </w:rPr>
              <w:t>D</w:t>
            </w:r>
            <w:r w:rsidR="00557FD2" w:rsidRPr="003209B0">
              <w:rPr>
                <w:rFonts w:asciiTheme="minorHAnsi" w:hAnsiTheme="minorHAnsi" w:cstheme="minorHAnsi"/>
                <w:b w:val="0"/>
                <w:i/>
                <w:sz w:val="22"/>
              </w:rPr>
              <w:t xml:space="preserve">aily care needs </w:t>
            </w:r>
            <w:bookmarkStart w:id="288" w:name="_Hlk489263877"/>
            <w:r w:rsidR="00557FD2" w:rsidRPr="003209B0">
              <w:rPr>
                <w:rFonts w:asciiTheme="minorHAnsi" w:hAnsiTheme="minorHAnsi" w:cstheme="minorHAnsi"/>
                <w:b w:val="0"/>
                <w:i/>
                <w:sz w:val="22"/>
              </w:rPr>
              <w:t>for positioning resident for use of toilet or commode or bedpan or urinal</w:t>
            </w:r>
            <w:bookmarkEnd w:id="288"/>
          </w:p>
        </w:tc>
        <w:tc>
          <w:tcPr>
            <w:tcW w:w="1841" w:type="dxa"/>
            <w:shd w:val="clear" w:color="auto" w:fill="D9D9D9" w:themeFill="background1" w:themeFillShade="D9"/>
          </w:tcPr>
          <w:p w:rsidR="00557FD2" w:rsidRPr="003209B0" w:rsidRDefault="00557FD2" w:rsidP="00A51750">
            <w:pPr>
              <w:pStyle w:val="Tableheader1"/>
              <w:jc w:val="center"/>
              <w:rPr>
                <w:rFonts w:asciiTheme="minorHAnsi" w:hAnsiTheme="minorHAnsi" w:cstheme="minorHAnsi"/>
                <w:sz w:val="24"/>
              </w:rPr>
            </w:pPr>
            <w:r w:rsidRPr="003209B0">
              <w:rPr>
                <w:rFonts w:asciiTheme="minorHAnsi" w:hAnsiTheme="minorHAnsi" w:cstheme="minorHAnsi"/>
                <w:sz w:val="24"/>
              </w:rPr>
              <w:t>Assistance level</w:t>
            </w:r>
          </w:p>
          <w:p w:rsidR="00557FD2" w:rsidRPr="003209B0" w:rsidRDefault="00557FD2" w:rsidP="00A51750">
            <w:pPr>
              <w:pStyle w:val="Tabletype1"/>
              <w:jc w:val="center"/>
              <w:rPr>
                <w:rFonts w:asciiTheme="minorHAnsi" w:hAnsiTheme="minorHAnsi" w:cstheme="minorHAnsi"/>
                <w:sz w:val="22"/>
                <w:szCs w:val="22"/>
              </w:rPr>
            </w:pPr>
            <w:r w:rsidRPr="003209B0">
              <w:rPr>
                <w:rFonts w:asciiTheme="minorHAnsi" w:hAnsiTheme="minorHAnsi" w:cstheme="minorHAnsi"/>
                <w:sz w:val="22"/>
                <w:szCs w:val="22"/>
              </w:rPr>
              <w:t>(Tick one)</w:t>
            </w:r>
          </w:p>
        </w:tc>
      </w:tr>
      <w:tr w:rsidR="00557FD2" w:rsidRPr="003209B0" w:rsidTr="00A51750">
        <w:tc>
          <w:tcPr>
            <w:tcW w:w="7230" w:type="dxa"/>
          </w:tcPr>
          <w:p w:rsidR="00557FD2" w:rsidRPr="003209B0" w:rsidRDefault="00557FD2" w:rsidP="00AB104B">
            <w:pPr>
              <w:pStyle w:val="numberedtableheader2"/>
              <w:ind w:left="0" w:firstLine="0"/>
              <w:jc w:val="left"/>
              <w:rPr>
                <w:rFonts w:asciiTheme="minorHAnsi" w:hAnsiTheme="minorHAnsi" w:cstheme="minorHAnsi"/>
                <w:b w:val="0"/>
                <w:sz w:val="22"/>
              </w:rPr>
            </w:pPr>
            <w:r w:rsidRPr="003209B0">
              <w:rPr>
                <w:rFonts w:asciiTheme="minorHAnsi" w:hAnsiTheme="minorHAnsi" w:cstheme="minorHAnsi"/>
                <w:sz w:val="22"/>
              </w:rPr>
              <w:t xml:space="preserve">Standard Care: </w:t>
            </w:r>
            <w:r w:rsidRPr="003209B0">
              <w:rPr>
                <w:rFonts w:asciiTheme="minorHAnsi" w:hAnsiTheme="minorHAnsi" w:cstheme="minorHAnsi"/>
                <w:b w:val="0"/>
                <w:sz w:val="22"/>
              </w:rPr>
              <w:t xml:space="preserve">Independent, staff standing by for occasional or episodic assistance, </w:t>
            </w:r>
            <w:r w:rsidR="00EA45D1" w:rsidRPr="003209B0">
              <w:rPr>
                <w:rFonts w:asciiTheme="minorHAnsi" w:hAnsiTheme="minorHAnsi" w:cstheme="minorHAnsi"/>
                <w:b w:val="0"/>
                <w:sz w:val="22"/>
              </w:rPr>
              <w:t xml:space="preserve">verbal assistance, </w:t>
            </w:r>
            <w:r w:rsidRPr="003209B0">
              <w:rPr>
                <w:rFonts w:asciiTheme="minorHAnsi" w:hAnsiTheme="minorHAnsi" w:cstheme="minorHAnsi"/>
                <w:b w:val="0"/>
                <w:sz w:val="22"/>
              </w:rPr>
              <w:t>setting up activities (e.g. setting up toilet aids or handing the resident the bedpan or urinal, or placing ostomy articles in reach)</w:t>
            </w:r>
            <w:r w:rsidRPr="003209B0">
              <w:rPr>
                <w:rFonts w:ascii="Calibri" w:hAnsi="Calibri" w:cs="Calibri"/>
                <w:b w:val="0"/>
                <w:sz w:val="22"/>
              </w:rPr>
              <w:t>.</w:t>
            </w:r>
          </w:p>
        </w:tc>
        <w:tc>
          <w:tcPr>
            <w:tcW w:w="1841" w:type="dxa"/>
          </w:tcPr>
          <w:p w:rsidR="00557FD2" w:rsidRPr="003209B0" w:rsidRDefault="00557FD2"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0</w:t>
            </w:r>
          </w:p>
        </w:tc>
      </w:tr>
      <w:tr w:rsidR="002B07F2" w:rsidRPr="003209B0" w:rsidTr="00A51750">
        <w:trPr>
          <w:trHeight w:val="32"/>
        </w:trPr>
        <w:tc>
          <w:tcPr>
            <w:tcW w:w="7230" w:type="dxa"/>
          </w:tcPr>
          <w:p w:rsidR="002B07F2" w:rsidRPr="003209B0" w:rsidRDefault="002B07F2" w:rsidP="00AB104B">
            <w:pPr>
              <w:pStyle w:val="Tabletype1"/>
              <w:spacing w:after="0" w:line="276" w:lineRule="auto"/>
              <w:jc w:val="left"/>
              <w:rPr>
                <w:rFonts w:ascii="Calibri" w:hAnsi="Calibri" w:cs="Calibri"/>
                <w:b/>
                <w:bCs/>
                <w:sz w:val="22"/>
                <w:szCs w:val="22"/>
              </w:rPr>
            </w:pPr>
            <w:r w:rsidRPr="003209B0">
              <w:rPr>
                <w:rFonts w:asciiTheme="minorHAnsi" w:hAnsiTheme="minorHAnsi" w:cstheme="minorHAnsi"/>
                <w:b/>
                <w:sz w:val="22"/>
                <w:szCs w:val="22"/>
                <w:lang w:eastAsia="en-AU"/>
              </w:rPr>
              <w:t xml:space="preserve">Moderate Assistance: </w:t>
            </w:r>
            <w:r w:rsidRPr="003209B0">
              <w:rPr>
                <w:rFonts w:ascii="Calibri" w:hAnsi="Calibri" w:cs="Calibri"/>
                <w:sz w:val="22"/>
                <w:szCs w:val="22"/>
              </w:rPr>
              <w:t>Always providing physical assistance, on a one-to-one basis, for at least part of the activity, whenever the activity is needed.</w:t>
            </w:r>
          </w:p>
        </w:tc>
        <w:tc>
          <w:tcPr>
            <w:tcW w:w="1841" w:type="dxa"/>
          </w:tcPr>
          <w:p w:rsidR="002B07F2" w:rsidRPr="003209B0" w:rsidRDefault="002B07F2" w:rsidP="002B07F2">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1</w:t>
            </w:r>
          </w:p>
        </w:tc>
      </w:tr>
      <w:tr w:rsidR="002B07F2" w:rsidRPr="003209B0" w:rsidTr="00A51750">
        <w:trPr>
          <w:trHeight w:val="32"/>
        </w:trPr>
        <w:tc>
          <w:tcPr>
            <w:tcW w:w="7230" w:type="dxa"/>
          </w:tcPr>
          <w:p w:rsidR="002B07F2" w:rsidRPr="003209B0" w:rsidRDefault="002B07F2" w:rsidP="00AB104B">
            <w:pPr>
              <w:pStyle w:val="numberedtableheader2"/>
              <w:ind w:left="0" w:firstLine="0"/>
              <w:jc w:val="left"/>
              <w:rPr>
                <w:rFonts w:asciiTheme="minorHAnsi" w:hAnsiTheme="minorHAnsi" w:cstheme="minorHAnsi"/>
                <w:b w:val="0"/>
                <w:sz w:val="22"/>
              </w:rPr>
            </w:pPr>
            <w:r w:rsidRPr="003209B0">
              <w:rPr>
                <w:rFonts w:asciiTheme="minorHAnsi" w:hAnsiTheme="minorHAnsi" w:cstheme="minorHAnsi"/>
                <w:sz w:val="22"/>
                <w:lang w:eastAsia="en-AU"/>
              </w:rPr>
              <w:t xml:space="preserve">Full Assistance: </w:t>
            </w:r>
            <w:r w:rsidRPr="003209B0">
              <w:rPr>
                <w:rFonts w:ascii="Calibri" w:hAnsi="Calibri" w:cs="Calibri"/>
                <w:b w:val="0"/>
                <w:sz w:val="22"/>
              </w:rPr>
              <w:t>Always providing physical assistance, by at least two staff, throughout the entire activity, whenever the activity is needed.</w:t>
            </w:r>
          </w:p>
        </w:tc>
        <w:tc>
          <w:tcPr>
            <w:tcW w:w="1841" w:type="dxa"/>
          </w:tcPr>
          <w:p w:rsidR="002B07F2" w:rsidRPr="003209B0" w:rsidRDefault="002B07F2" w:rsidP="002B07F2">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2</w:t>
            </w:r>
          </w:p>
        </w:tc>
      </w:tr>
      <w:tr w:rsidR="003209B0" w:rsidRPr="003209B0" w:rsidTr="00A51750">
        <w:trPr>
          <w:trHeight w:val="217"/>
          <w:tblHeader/>
        </w:trPr>
        <w:tc>
          <w:tcPr>
            <w:tcW w:w="7230" w:type="dxa"/>
            <w:shd w:val="clear" w:color="auto" w:fill="D9D9D9" w:themeFill="background1" w:themeFillShade="D9"/>
          </w:tcPr>
          <w:p w:rsidR="003209B0" w:rsidRPr="003209B0" w:rsidRDefault="003209B0" w:rsidP="003209B0">
            <w:pPr>
              <w:pStyle w:val="Tableheader1"/>
              <w:jc w:val="left"/>
              <w:rPr>
                <w:rFonts w:asciiTheme="minorHAnsi" w:hAnsiTheme="minorHAnsi" w:cstheme="minorHAnsi"/>
                <w:sz w:val="24"/>
              </w:rPr>
            </w:pPr>
            <w:r w:rsidRPr="003209B0">
              <w:rPr>
                <w:rFonts w:asciiTheme="minorHAnsi" w:hAnsiTheme="minorHAnsi" w:cstheme="minorHAnsi"/>
                <w:sz w:val="24"/>
              </w:rPr>
              <w:t>4.2 Toilet Completion</w:t>
            </w:r>
          </w:p>
          <w:p w:rsidR="003209B0" w:rsidRPr="003209B0" w:rsidRDefault="003209B0" w:rsidP="003209B0">
            <w:pPr>
              <w:pStyle w:val="Tableheader1"/>
              <w:jc w:val="left"/>
              <w:rPr>
                <w:rFonts w:asciiTheme="minorHAnsi" w:hAnsiTheme="minorHAnsi" w:cstheme="minorHAnsi"/>
                <w:b w:val="0"/>
                <w:i/>
                <w:sz w:val="22"/>
              </w:rPr>
            </w:pPr>
            <w:r w:rsidRPr="003209B0">
              <w:rPr>
                <w:rFonts w:asciiTheme="minorHAnsi" w:hAnsiTheme="minorHAnsi" w:cstheme="minorHAnsi"/>
                <w:b w:val="0"/>
                <w:i/>
                <w:sz w:val="22"/>
              </w:rPr>
              <w:t>Daily care needs for adjusting clothing &amp; wiping the peri-anal area</w:t>
            </w:r>
          </w:p>
        </w:tc>
        <w:tc>
          <w:tcPr>
            <w:tcW w:w="1841" w:type="dxa"/>
            <w:shd w:val="clear" w:color="auto" w:fill="D9D9D9" w:themeFill="background1" w:themeFillShade="D9"/>
          </w:tcPr>
          <w:p w:rsidR="003209B0" w:rsidRPr="003209B0" w:rsidRDefault="003209B0" w:rsidP="00893803">
            <w:pPr>
              <w:pStyle w:val="Tableheader1"/>
              <w:jc w:val="center"/>
              <w:rPr>
                <w:rFonts w:asciiTheme="minorHAnsi" w:hAnsiTheme="minorHAnsi" w:cstheme="minorHAnsi"/>
                <w:sz w:val="24"/>
              </w:rPr>
            </w:pPr>
            <w:r w:rsidRPr="003209B0">
              <w:rPr>
                <w:rFonts w:asciiTheme="minorHAnsi" w:hAnsiTheme="minorHAnsi" w:cstheme="minorHAnsi"/>
                <w:sz w:val="24"/>
              </w:rPr>
              <w:t>Assistance level</w:t>
            </w:r>
          </w:p>
          <w:p w:rsidR="003209B0" w:rsidRPr="003209B0" w:rsidRDefault="003209B0"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t>(Tick one)</w:t>
            </w:r>
          </w:p>
        </w:tc>
      </w:tr>
      <w:tr w:rsidR="00557FD2" w:rsidRPr="003209B0" w:rsidTr="00A51750">
        <w:tc>
          <w:tcPr>
            <w:tcW w:w="7230" w:type="dxa"/>
          </w:tcPr>
          <w:p w:rsidR="00557FD2" w:rsidRPr="003209B0" w:rsidRDefault="00557FD2" w:rsidP="00AB104B">
            <w:pPr>
              <w:pStyle w:val="numberedtableheader2"/>
              <w:ind w:left="0" w:firstLine="0"/>
              <w:jc w:val="left"/>
              <w:rPr>
                <w:rFonts w:asciiTheme="minorHAnsi" w:hAnsiTheme="minorHAnsi" w:cstheme="minorHAnsi"/>
                <w:b w:val="0"/>
                <w:sz w:val="22"/>
              </w:rPr>
            </w:pPr>
            <w:r w:rsidRPr="003209B0">
              <w:rPr>
                <w:rFonts w:asciiTheme="minorHAnsi" w:hAnsiTheme="minorHAnsi" w:cstheme="minorHAnsi"/>
                <w:sz w:val="22"/>
              </w:rPr>
              <w:t xml:space="preserve">Standard Care: </w:t>
            </w:r>
            <w:r w:rsidRPr="003209B0">
              <w:rPr>
                <w:rFonts w:asciiTheme="minorHAnsi" w:hAnsiTheme="minorHAnsi" w:cstheme="minorHAnsi"/>
                <w:b w:val="0"/>
                <w:sz w:val="22"/>
              </w:rPr>
              <w:t xml:space="preserve">Independent, staff standing by for occasional or episodic assistance, </w:t>
            </w:r>
            <w:r w:rsidR="00BE6BEF" w:rsidRPr="003209B0">
              <w:rPr>
                <w:rFonts w:asciiTheme="minorHAnsi" w:hAnsiTheme="minorHAnsi" w:cstheme="minorHAnsi"/>
                <w:b w:val="0"/>
                <w:sz w:val="22"/>
              </w:rPr>
              <w:t xml:space="preserve">verbal assistance, </w:t>
            </w:r>
            <w:r w:rsidRPr="003209B0">
              <w:rPr>
                <w:rFonts w:asciiTheme="minorHAnsi" w:hAnsiTheme="minorHAnsi" w:cstheme="minorHAnsi"/>
                <w:b w:val="0"/>
                <w:sz w:val="22"/>
              </w:rPr>
              <w:t>emptying toileting items (e.g. emptying drainage bags, urinals, bed pans or commode bowls).</w:t>
            </w:r>
          </w:p>
        </w:tc>
        <w:tc>
          <w:tcPr>
            <w:tcW w:w="1841" w:type="dxa"/>
          </w:tcPr>
          <w:p w:rsidR="00557FD2" w:rsidRPr="003209B0" w:rsidRDefault="00557FD2" w:rsidP="00A51750">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0</w:t>
            </w:r>
          </w:p>
        </w:tc>
      </w:tr>
      <w:tr w:rsidR="002B07F2" w:rsidRPr="003209B0" w:rsidTr="00A51750">
        <w:trPr>
          <w:trHeight w:val="32"/>
        </w:trPr>
        <w:tc>
          <w:tcPr>
            <w:tcW w:w="7230" w:type="dxa"/>
          </w:tcPr>
          <w:p w:rsidR="002B07F2" w:rsidRPr="003209B0" w:rsidRDefault="002B07F2" w:rsidP="00AB104B">
            <w:pPr>
              <w:pStyle w:val="Tabletype1"/>
              <w:jc w:val="left"/>
              <w:rPr>
                <w:rFonts w:asciiTheme="minorHAnsi" w:hAnsiTheme="minorHAnsi" w:cstheme="minorHAnsi"/>
                <w:sz w:val="22"/>
                <w:szCs w:val="22"/>
                <w:lang w:eastAsia="en-AU"/>
              </w:rPr>
            </w:pPr>
            <w:r w:rsidRPr="003209B0">
              <w:rPr>
                <w:rFonts w:asciiTheme="minorHAnsi" w:hAnsiTheme="minorHAnsi" w:cstheme="minorHAnsi"/>
                <w:b/>
                <w:sz w:val="22"/>
                <w:szCs w:val="22"/>
                <w:lang w:eastAsia="en-AU"/>
              </w:rPr>
              <w:t xml:space="preserve">Moderate Assistance: </w:t>
            </w:r>
            <w:r w:rsidRPr="003209B0">
              <w:rPr>
                <w:rFonts w:ascii="Calibri" w:hAnsi="Calibri" w:cs="Calibri"/>
                <w:sz w:val="22"/>
                <w:szCs w:val="22"/>
              </w:rPr>
              <w:t>Always providing physical assistance, on a one-to-one basis, for at least part of the activity, whenever the activity is needed.</w:t>
            </w:r>
          </w:p>
        </w:tc>
        <w:tc>
          <w:tcPr>
            <w:tcW w:w="1841" w:type="dxa"/>
          </w:tcPr>
          <w:p w:rsidR="002B07F2" w:rsidRPr="003209B0" w:rsidRDefault="002B07F2" w:rsidP="002B07F2">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1</w:t>
            </w:r>
          </w:p>
        </w:tc>
      </w:tr>
      <w:tr w:rsidR="002B07F2" w:rsidRPr="003209B0" w:rsidTr="00A51750">
        <w:trPr>
          <w:trHeight w:val="32"/>
        </w:trPr>
        <w:tc>
          <w:tcPr>
            <w:tcW w:w="7230" w:type="dxa"/>
          </w:tcPr>
          <w:p w:rsidR="002B07F2" w:rsidRPr="003209B0" w:rsidRDefault="002B07F2" w:rsidP="00AB104B">
            <w:pPr>
              <w:pStyle w:val="numberedtableheader2"/>
              <w:ind w:left="0" w:firstLine="0"/>
              <w:jc w:val="left"/>
              <w:rPr>
                <w:rFonts w:asciiTheme="minorHAnsi" w:hAnsiTheme="minorHAnsi" w:cstheme="minorHAnsi"/>
                <w:b w:val="0"/>
                <w:sz w:val="22"/>
              </w:rPr>
            </w:pPr>
            <w:r w:rsidRPr="003209B0">
              <w:rPr>
                <w:rFonts w:asciiTheme="minorHAnsi" w:hAnsiTheme="minorHAnsi" w:cstheme="minorHAnsi"/>
                <w:sz w:val="22"/>
                <w:lang w:eastAsia="en-AU"/>
              </w:rPr>
              <w:t xml:space="preserve">Full Assistance: </w:t>
            </w:r>
            <w:r w:rsidRPr="003209B0">
              <w:rPr>
                <w:rFonts w:ascii="Calibri" w:hAnsi="Calibri" w:cs="Calibri"/>
                <w:b w:val="0"/>
                <w:sz w:val="22"/>
              </w:rPr>
              <w:t>Always providing physical assistance, by at least two staff, throughout the entire activity, whenever the activity is needed.</w:t>
            </w:r>
          </w:p>
        </w:tc>
        <w:tc>
          <w:tcPr>
            <w:tcW w:w="1841" w:type="dxa"/>
          </w:tcPr>
          <w:p w:rsidR="002B07F2" w:rsidRPr="003209B0" w:rsidRDefault="002B07F2" w:rsidP="002B07F2">
            <w:pPr>
              <w:pStyle w:val="Tabletype1"/>
              <w:spacing w:after="0"/>
              <w:jc w:val="center"/>
              <w:rPr>
                <w:rFonts w:asciiTheme="minorHAnsi" w:hAnsiTheme="minorHAnsi" w:cstheme="minorHAnsi"/>
                <w:sz w:val="22"/>
                <w:szCs w:val="22"/>
              </w:rPr>
            </w:pPr>
            <w:r w:rsidRPr="003209B0">
              <w:rPr>
                <w:rFonts w:asciiTheme="minorHAnsi" w:hAnsiTheme="minorHAnsi" w:cstheme="minorHAnsi"/>
                <w:sz w:val="22"/>
                <w:szCs w:val="22"/>
              </w:rPr>
              <w:sym w:font="Wingdings" w:char="F06F"/>
            </w:r>
            <w:r w:rsidRPr="003209B0">
              <w:rPr>
                <w:rFonts w:asciiTheme="minorHAnsi" w:hAnsiTheme="minorHAnsi" w:cstheme="minorHAnsi"/>
                <w:sz w:val="22"/>
                <w:szCs w:val="22"/>
              </w:rPr>
              <w:t xml:space="preserve"> 2</w:t>
            </w:r>
          </w:p>
        </w:tc>
      </w:tr>
    </w:tbl>
    <w:p w:rsidR="00557FD2" w:rsidRPr="00F06AF0" w:rsidRDefault="00557FD2" w:rsidP="001F2491">
      <w:pPr>
        <w:pStyle w:val="Heading3-Chapter44"/>
      </w:pPr>
      <w:bookmarkStart w:id="289" w:name="_Toc486600015"/>
      <w:bookmarkStart w:id="290" w:name="_Toc486603059"/>
      <w:r w:rsidRPr="00F06AF0">
        <w:t>R-ACFI 5: Continence</w:t>
      </w:r>
      <w:bookmarkEnd w:id="287"/>
      <w:bookmarkEnd w:id="289"/>
      <w:bookmarkEnd w:id="290"/>
    </w:p>
    <w:p w:rsidR="00557FD2" w:rsidRPr="00F06AF0" w:rsidRDefault="00557FD2" w:rsidP="0017119E">
      <w:pPr>
        <w:rPr>
          <w:lang w:eastAsia="en-AU"/>
        </w:rPr>
      </w:pPr>
      <w:r w:rsidRPr="00F06AF0">
        <w:rPr>
          <w:lang w:eastAsia="en-AU"/>
        </w:rPr>
        <w:t>It was reported that Records (for both Continence and Behaviours) alone do not provide objective evidence that can be checked for accuracy. Also, a Continence Record with frequency collected over several days (e.g. 3 days for bladder and 7 days for bowels) needs reliable informants for completion ‘on the spot’ by an External Assessor.</w:t>
      </w:r>
    </w:p>
    <w:p w:rsidR="00980F62" w:rsidRDefault="00557FD2" w:rsidP="0017119E">
      <w:pPr>
        <w:rPr>
          <w:lang w:eastAsia="en-AU"/>
        </w:rPr>
      </w:pPr>
      <w:r w:rsidRPr="00F06AF0">
        <w:rPr>
          <w:lang w:eastAsia="en-AU"/>
        </w:rPr>
        <w:t>It was suggested that a full continence assessment wou</w:t>
      </w:r>
      <w:r w:rsidR="00592DFA">
        <w:rPr>
          <w:lang w:eastAsia="en-AU"/>
        </w:rPr>
        <w:t>ld give evidence to show that a</w:t>
      </w:r>
      <w:r w:rsidR="00EE366F">
        <w:rPr>
          <w:lang w:eastAsia="en-AU"/>
        </w:rPr>
        <w:t>n</w:t>
      </w:r>
      <w:r w:rsidR="00592DFA">
        <w:rPr>
          <w:lang w:eastAsia="en-AU"/>
        </w:rPr>
        <w:t xml:space="preserve"> evidence based </w:t>
      </w:r>
      <w:r w:rsidRPr="00F06AF0">
        <w:rPr>
          <w:lang w:eastAsia="en-AU"/>
        </w:rPr>
        <w:t>assessment has been undertaken and that it would inform on the accuracy of the records.</w:t>
      </w:r>
    </w:p>
    <w:p w:rsidR="00980F62" w:rsidRDefault="00557FD2" w:rsidP="0017119E">
      <w:r w:rsidRPr="00F06AF0">
        <w:rPr>
          <w:lang w:eastAsia="en-AU"/>
        </w:rPr>
        <w:t>The NSAF approach was investigated to de</w:t>
      </w:r>
      <w:r w:rsidR="00793A8E" w:rsidRPr="009572ED">
        <w:rPr>
          <w:lang w:eastAsia="en-AU"/>
        </w:rPr>
        <w:t>termine its applicability for inclusion</w:t>
      </w:r>
      <w:r w:rsidRPr="00F06AF0">
        <w:rPr>
          <w:lang w:eastAsia="en-AU"/>
        </w:rPr>
        <w:t xml:space="preserve"> in the R-ACFI. The NSAF supplementary assessments are the </w:t>
      </w:r>
      <w:r w:rsidRPr="00F06AF0">
        <w:t xml:space="preserve">Revised Urinary Incontinence and Revised Faecal Incontinence Scales. These tools rely on self-report and are therefore unsuitable for much of the residential </w:t>
      </w:r>
      <w:r w:rsidR="00793A8E" w:rsidRPr="009572ED">
        <w:t xml:space="preserve">aged </w:t>
      </w:r>
      <w:r w:rsidRPr="00F06AF0">
        <w:t>care population.</w:t>
      </w:r>
    </w:p>
    <w:p w:rsidR="00557FD2" w:rsidRPr="00F06AF0" w:rsidRDefault="00557FD2" w:rsidP="0017119E">
      <w:pPr>
        <w:rPr>
          <w:rFonts w:cstheme="minorHAnsi"/>
        </w:rPr>
      </w:pPr>
      <w:r w:rsidRPr="00F06AF0">
        <w:t xml:space="preserve">The Continence Tools for Residential Aged Care, </w:t>
      </w:r>
      <w:r w:rsidRPr="00F06AF0">
        <w:rPr>
          <w:lang w:eastAsia="en-AU"/>
        </w:rPr>
        <w:t>developed by researchers from Deakin University and funded under the National Continence Management Strategy in 2011</w:t>
      </w:r>
      <w:r w:rsidR="00793A8E" w:rsidRPr="009572ED">
        <w:rPr>
          <w:rFonts w:cstheme="minorHAnsi"/>
        </w:rPr>
        <w:t>,</w:t>
      </w:r>
      <w:r w:rsidRPr="00F06AF0">
        <w:rPr>
          <w:rFonts w:cstheme="minorHAnsi"/>
        </w:rPr>
        <w:t xml:space="preserve"> was reviewed as an Australian comprehensive continence assessment that is freely available. The 2011 toolkit (which is being revised in 2017) includes the following:</w:t>
      </w:r>
    </w:p>
    <w:p w:rsidR="00557FD2" w:rsidRPr="00F06AF0" w:rsidRDefault="00557FD2" w:rsidP="00F02312">
      <w:pPr>
        <w:pStyle w:val="ListParagraph"/>
        <w:numPr>
          <w:ilvl w:val="0"/>
          <w:numId w:val="93"/>
        </w:numPr>
        <w:ind w:left="357" w:hanging="357"/>
        <w:rPr>
          <w:rFonts w:cs="Tahoma"/>
        </w:rPr>
      </w:pPr>
      <w:r w:rsidRPr="00F06AF0">
        <w:rPr>
          <w:rFonts w:cs="Tahoma"/>
        </w:rPr>
        <w:t>Continence management flow chart</w:t>
      </w:r>
      <w:r w:rsidR="008E7759">
        <w:rPr>
          <w:rFonts w:cs="Tahoma"/>
        </w:rPr>
        <w:t>.</w:t>
      </w:r>
    </w:p>
    <w:p w:rsidR="00557FD2" w:rsidRPr="00F06AF0" w:rsidRDefault="00557FD2" w:rsidP="00F02312">
      <w:pPr>
        <w:pStyle w:val="ListParagraph"/>
        <w:numPr>
          <w:ilvl w:val="0"/>
          <w:numId w:val="93"/>
        </w:numPr>
        <w:ind w:left="357" w:hanging="357"/>
        <w:rPr>
          <w:rFonts w:cs="Tahoma"/>
        </w:rPr>
      </w:pPr>
      <w:r w:rsidRPr="00F06AF0">
        <w:rPr>
          <w:rFonts w:cs="Tahoma"/>
        </w:rPr>
        <w:t>Continence screening form</w:t>
      </w:r>
      <w:r w:rsidR="008E7759">
        <w:rPr>
          <w:rFonts w:cs="Tahoma"/>
        </w:rPr>
        <w:t>.</w:t>
      </w:r>
    </w:p>
    <w:p w:rsidR="00557FD2" w:rsidRPr="00F06AF0" w:rsidRDefault="00557FD2" w:rsidP="00F02312">
      <w:pPr>
        <w:pStyle w:val="ListParagraph"/>
        <w:numPr>
          <w:ilvl w:val="0"/>
          <w:numId w:val="93"/>
        </w:numPr>
        <w:ind w:left="357" w:hanging="357"/>
        <w:rPr>
          <w:rFonts w:cs="Tahoma"/>
        </w:rPr>
      </w:pPr>
      <w:r w:rsidRPr="00F06AF0">
        <w:rPr>
          <w:rFonts w:cs="Tahoma"/>
        </w:rPr>
        <w:t>Three-day bladder chart</w:t>
      </w:r>
      <w:r w:rsidR="008E7759">
        <w:rPr>
          <w:rFonts w:cs="Tahoma"/>
        </w:rPr>
        <w:t>.</w:t>
      </w:r>
    </w:p>
    <w:p w:rsidR="00557FD2" w:rsidRPr="00F06AF0" w:rsidRDefault="00557FD2" w:rsidP="00F02312">
      <w:pPr>
        <w:pStyle w:val="ListParagraph"/>
        <w:numPr>
          <w:ilvl w:val="0"/>
          <w:numId w:val="93"/>
        </w:numPr>
        <w:ind w:left="357" w:hanging="357"/>
        <w:rPr>
          <w:rFonts w:cs="Tahoma"/>
        </w:rPr>
      </w:pPr>
      <w:r w:rsidRPr="00F06AF0">
        <w:rPr>
          <w:rFonts w:cs="Tahoma"/>
        </w:rPr>
        <w:t>Seven-day bowel chart</w:t>
      </w:r>
      <w:r w:rsidR="008E7759">
        <w:rPr>
          <w:rFonts w:cs="Tahoma"/>
        </w:rPr>
        <w:t>.</w:t>
      </w:r>
    </w:p>
    <w:p w:rsidR="00557FD2" w:rsidRPr="00F06AF0" w:rsidRDefault="00557FD2" w:rsidP="00F02312">
      <w:pPr>
        <w:pStyle w:val="ListParagraph"/>
        <w:numPr>
          <w:ilvl w:val="0"/>
          <w:numId w:val="93"/>
        </w:numPr>
        <w:ind w:left="357" w:hanging="357"/>
        <w:rPr>
          <w:rFonts w:cs="Tahoma"/>
        </w:rPr>
      </w:pPr>
      <w:r w:rsidRPr="00F06AF0">
        <w:rPr>
          <w:rFonts w:cs="Tahoma"/>
        </w:rPr>
        <w:t>Monthly bowel chart</w:t>
      </w:r>
      <w:r w:rsidR="008E7759">
        <w:rPr>
          <w:rFonts w:cs="Tahoma"/>
        </w:rPr>
        <w:t>.</w:t>
      </w:r>
    </w:p>
    <w:p w:rsidR="00557FD2" w:rsidRPr="00F06AF0" w:rsidRDefault="00557FD2" w:rsidP="00F02312">
      <w:pPr>
        <w:pStyle w:val="ListParagraph"/>
        <w:numPr>
          <w:ilvl w:val="0"/>
          <w:numId w:val="93"/>
        </w:numPr>
        <w:ind w:left="357" w:hanging="357"/>
        <w:rPr>
          <w:rFonts w:cs="Tahoma"/>
        </w:rPr>
      </w:pPr>
      <w:r w:rsidRPr="00F06AF0">
        <w:rPr>
          <w:rFonts w:cs="Tahoma"/>
        </w:rPr>
        <w:t>Continence assessment form and care plan</w:t>
      </w:r>
      <w:r w:rsidR="008E7759">
        <w:rPr>
          <w:rFonts w:cs="Tahoma"/>
        </w:rPr>
        <w:t>.</w:t>
      </w:r>
    </w:p>
    <w:p w:rsidR="00557FD2" w:rsidRPr="00F06AF0" w:rsidRDefault="00557FD2" w:rsidP="00F02312">
      <w:pPr>
        <w:pStyle w:val="ListParagraph"/>
        <w:numPr>
          <w:ilvl w:val="0"/>
          <w:numId w:val="93"/>
        </w:numPr>
        <w:ind w:left="357" w:hanging="357"/>
      </w:pPr>
      <w:r w:rsidRPr="00F06AF0">
        <w:rPr>
          <w:rFonts w:cs="Tahoma"/>
        </w:rPr>
        <w:t>Continence care summary</w:t>
      </w:r>
      <w:r w:rsidR="0067225D" w:rsidRPr="00F06AF0">
        <w:rPr>
          <w:rFonts w:cs="Tahoma"/>
        </w:rPr>
        <w:t>.</w:t>
      </w:r>
    </w:p>
    <w:p w:rsidR="00980F62" w:rsidRDefault="00557FD2" w:rsidP="0017119E">
      <w:r w:rsidRPr="00F06AF0">
        <w:t>It includes a User Guide with clear processes and simple tools.</w:t>
      </w:r>
    </w:p>
    <w:p w:rsidR="00980F62" w:rsidRDefault="00557FD2" w:rsidP="0017119E">
      <w:pPr>
        <w:rPr>
          <w:lang w:eastAsia="en-AU"/>
        </w:rPr>
      </w:pPr>
      <w:r w:rsidRPr="00F06AF0">
        <w:rPr>
          <w:lang w:eastAsia="en-AU"/>
        </w:rPr>
        <w:t>Consultations were undertaken with the Continence Foundation Australia (CFA) who are reviewing and refining the Continence Tools for use across both community and residential aged care (in Australia). The tools are evidence-based, reflect current best practice, and their usability across community and residential care will make</w:t>
      </w:r>
      <w:r w:rsidR="00592DFA">
        <w:rPr>
          <w:lang w:eastAsia="en-AU"/>
        </w:rPr>
        <w:t xml:space="preserve"> them suitable for use by both External and provider </w:t>
      </w:r>
      <w:r w:rsidRPr="00F06AF0">
        <w:rPr>
          <w:lang w:eastAsia="en-AU"/>
        </w:rPr>
        <w:t>assessors.</w:t>
      </w:r>
    </w:p>
    <w:p w:rsidR="00980F62" w:rsidRDefault="00557FD2" w:rsidP="0017119E">
      <w:pPr>
        <w:rPr>
          <w:lang w:eastAsia="en-AU"/>
        </w:rPr>
      </w:pPr>
      <w:r w:rsidRPr="00F06AF0">
        <w:rPr>
          <w:lang w:eastAsia="en-AU"/>
        </w:rPr>
        <w:t>Along with an improved assessment approach, evidence requirements could be strengthened by adding the prerequisite of a diagnosis when the recommended (i.e. not mandated) comprehensive assessment has not been completed. Medical diagnoses give an objective construct that can be validated, and the recommended continence tool gives contextual information that will help to validate the claim.</w:t>
      </w:r>
    </w:p>
    <w:p w:rsidR="00557FD2" w:rsidRPr="00F06AF0" w:rsidRDefault="00557FD2" w:rsidP="0017119E">
      <w:pPr>
        <w:rPr>
          <w:lang w:eastAsia="en-AU"/>
        </w:rPr>
      </w:pPr>
      <w:r w:rsidRPr="00F06AF0">
        <w:rPr>
          <w:lang w:eastAsia="en-AU"/>
        </w:rPr>
        <w:t>Importantly, the continence tools which have information about interventions and how to use the assessment outcomes f</w:t>
      </w:r>
      <w:r w:rsidR="00592DFA">
        <w:rPr>
          <w:lang w:eastAsia="en-AU"/>
        </w:rPr>
        <w:t>or care planning purposes, will</w:t>
      </w:r>
      <w:r w:rsidRPr="00F06AF0">
        <w:rPr>
          <w:lang w:eastAsia="en-AU"/>
        </w:rPr>
        <w:t xml:space="preserve"> give value-added information for quality care delivery. They will also encourage residential </w:t>
      </w:r>
      <w:r w:rsidR="00793A8E" w:rsidRPr="009572ED">
        <w:rPr>
          <w:lang w:eastAsia="en-AU"/>
        </w:rPr>
        <w:t xml:space="preserve">aged care </w:t>
      </w:r>
      <w:r w:rsidRPr="00F06AF0">
        <w:rPr>
          <w:lang w:eastAsia="en-AU"/>
        </w:rPr>
        <w:t xml:space="preserve">staff to view continence as an area that can be managed beyond containment, using evidence-based strategies that aim to improve the </w:t>
      </w:r>
      <w:r w:rsidR="00793A8E" w:rsidRPr="009572ED">
        <w:rPr>
          <w:lang w:eastAsia="en-AU"/>
        </w:rPr>
        <w:t xml:space="preserve">resident’s </w:t>
      </w:r>
      <w:r w:rsidRPr="00F06AF0">
        <w:rPr>
          <w:lang w:eastAsia="en-AU"/>
        </w:rPr>
        <w:t>quality of life.</w:t>
      </w:r>
    </w:p>
    <w:p w:rsidR="00980F62" w:rsidRDefault="006D13EE" w:rsidP="0017119E">
      <w:r w:rsidRPr="009572ED">
        <w:rPr>
          <w:lang w:eastAsia="en-AU"/>
        </w:rPr>
        <w:t xml:space="preserve">Recommendation: </w:t>
      </w:r>
      <w:r w:rsidR="00557FD2" w:rsidRPr="00F06AF0">
        <w:rPr>
          <w:lang w:eastAsia="en-AU"/>
        </w:rPr>
        <w:t xml:space="preserve">The continence tools are recommended (not mandated for RACFs), with a small sub-set of specified questions being mandated for use by </w:t>
      </w:r>
      <w:r w:rsidR="00321A15">
        <w:rPr>
          <w:lang w:eastAsia="en-AU"/>
        </w:rPr>
        <w:t>External Assessor</w:t>
      </w:r>
      <w:r w:rsidR="00557FD2" w:rsidRPr="00F06AF0">
        <w:rPr>
          <w:lang w:eastAsia="en-AU"/>
        </w:rPr>
        <w:t>s.</w:t>
      </w:r>
    </w:p>
    <w:p w:rsidR="00851969" w:rsidRPr="004D324E" w:rsidRDefault="00851969" w:rsidP="0017119E">
      <w:pPr>
        <w:rPr>
          <w:rStyle w:val="Strong"/>
        </w:rPr>
      </w:pPr>
      <w:r w:rsidRPr="004D324E">
        <w:rPr>
          <w:rStyle w:val="Strong"/>
        </w:rPr>
        <w:t>The rationale for the new R-ACFI Continence Question is described in Appendix 4.</w:t>
      </w:r>
      <w:r w:rsidR="00156EDA" w:rsidRPr="004D324E">
        <w:rPr>
          <w:rStyle w:val="Strong"/>
        </w:rPr>
        <w:t>5</w:t>
      </w:r>
      <w:r w:rsidRPr="004D324E">
        <w:rPr>
          <w:rStyle w:val="Strong"/>
        </w:rPr>
        <w:t>.</w:t>
      </w:r>
    </w:p>
    <w:p w:rsidR="00557FD2" w:rsidRPr="00F06AF0" w:rsidRDefault="001F09F2" w:rsidP="001F2491">
      <w:pPr>
        <w:pStyle w:val="Heading3-Chapter44"/>
      </w:pPr>
      <w:r w:rsidRPr="00F06AF0">
        <w:lastRenderedPageBreak/>
        <w:t xml:space="preserve">Recommended </w:t>
      </w:r>
      <w:r>
        <w:t>Use</w:t>
      </w:r>
      <w:r w:rsidR="00EE366F">
        <w:t>r</w:t>
      </w:r>
      <w:r>
        <w:t xml:space="preserve"> Guide </w:t>
      </w:r>
      <w:r w:rsidR="00557FD2" w:rsidRPr="00F06AF0">
        <w:t>R-ACFI Format for the Continence Question</w:t>
      </w:r>
    </w:p>
    <w:p w:rsidR="00557FD2" w:rsidRPr="00F06AF0" w:rsidRDefault="00557FD2" w:rsidP="0017119E">
      <w:pPr>
        <w:rPr>
          <w:rFonts w:cstheme="minorHAnsi"/>
          <w:szCs w:val="24"/>
        </w:rPr>
      </w:pPr>
      <w:r w:rsidRPr="004D324E">
        <w:rPr>
          <w:rStyle w:val="Strong"/>
        </w:rPr>
        <w:t>Description:</w:t>
      </w:r>
      <w:r w:rsidRPr="00F06AF0">
        <w:rPr>
          <w:b/>
          <w:szCs w:val="24"/>
        </w:rPr>
        <w:t xml:space="preserve"> </w:t>
      </w:r>
      <w:r w:rsidRPr="00F06AF0">
        <w:rPr>
          <w:rFonts w:cstheme="minorHAnsi"/>
          <w:szCs w:val="24"/>
        </w:rPr>
        <w:t xml:space="preserve">This question </w:t>
      </w:r>
      <w:r w:rsidR="002C205F">
        <w:rPr>
          <w:rFonts w:cstheme="minorHAnsi"/>
          <w:szCs w:val="24"/>
        </w:rPr>
        <w:t xml:space="preserve">relates to the resident’s </w:t>
      </w:r>
      <w:r w:rsidRPr="00F06AF0">
        <w:rPr>
          <w:rFonts w:cstheme="minorHAnsi"/>
          <w:szCs w:val="24"/>
        </w:rPr>
        <w:t>assessed needs with regard to urine and faeces continence.</w:t>
      </w:r>
    </w:p>
    <w:p w:rsidR="00557FD2" w:rsidRPr="00F06AF0" w:rsidRDefault="00557FD2" w:rsidP="0017119E">
      <w:pPr>
        <w:rPr>
          <w:rFonts w:cstheme="minorHAnsi"/>
          <w:szCs w:val="24"/>
        </w:rPr>
      </w:pPr>
      <w:r w:rsidRPr="00F06AF0">
        <w:rPr>
          <w:rFonts w:cstheme="minorHAnsi"/>
          <w:szCs w:val="24"/>
        </w:rPr>
        <w:t>For the administration of stool softeners, aperients, suppositories or enemas for continence management see the Medication item 9a</w:t>
      </w:r>
      <w:r w:rsidR="00BE3BD0" w:rsidRPr="00F06AF0">
        <w:rPr>
          <w:rFonts w:cstheme="minorHAnsi"/>
          <w:szCs w:val="24"/>
        </w:rPr>
        <w:t xml:space="preserve"> </w:t>
      </w:r>
      <w:r w:rsidRPr="00F06AF0">
        <w:rPr>
          <w:rFonts w:cstheme="minorHAnsi"/>
          <w:szCs w:val="24"/>
        </w:rPr>
        <w:t>in R-ACFI 8 C</w:t>
      </w:r>
      <w:r w:rsidR="00BE3BD0" w:rsidRPr="00F06AF0">
        <w:rPr>
          <w:rFonts w:cstheme="minorHAnsi"/>
          <w:szCs w:val="24"/>
        </w:rPr>
        <w:t>HC</w:t>
      </w:r>
      <w:r w:rsidRPr="00F06AF0">
        <w:rPr>
          <w:rFonts w:cstheme="minorHAnsi"/>
          <w:szCs w:val="24"/>
        </w:rPr>
        <w:t>. For the care and management of an indwelling ca</w:t>
      </w:r>
      <w:r w:rsidR="009D1D9F">
        <w:rPr>
          <w:rFonts w:cstheme="minorHAnsi"/>
          <w:szCs w:val="24"/>
        </w:rPr>
        <w:t>theter or ostomy see R-ACFI 8 CHC item 4</w:t>
      </w:r>
      <w:r w:rsidRPr="00F06AF0">
        <w:rPr>
          <w:rFonts w:cstheme="minorHAnsi"/>
          <w:szCs w:val="24"/>
        </w:rPr>
        <w:t>.</w:t>
      </w:r>
    </w:p>
    <w:p w:rsidR="00557FD2" w:rsidRPr="00F06AF0" w:rsidRDefault="00557FD2" w:rsidP="0080276C">
      <w:pPr>
        <w:spacing w:after="0"/>
        <w:rPr>
          <w:rFonts w:cstheme="minorHAnsi"/>
          <w:szCs w:val="24"/>
        </w:rPr>
      </w:pPr>
      <w:r w:rsidRPr="00F06AF0">
        <w:rPr>
          <w:rFonts w:cstheme="minorHAnsi"/>
          <w:szCs w:val="24"/>
        </w:rPr>
        <w:t xml:space="preserve">Episodes </w:t>
      </w:r>
      <w:r w:rsidRPr="00F06AF0">
        <w:rPr>
          <w:rFonts w:cstheme="minorHAnsi"/>
          <w:b/>
          <w:szCs w:val="24"/>
        </w:rPr>
        <w:t xml:space="preserve">of </w:t>
      </w:r>
      <w:r w:rsidRPr="004D324E">
        <w:rPr>
          <w:rStyle w:val="Strong"/>
        </w:rPr>
        <w:t>incontinence</w:t>
      </w:r>
      <w:r w:rsidRPr="00F06AF0">
        <w:rPr>
          <w:rFonts w:cstheme="minorHAnsi"/>
          <w:szCs w:val="24"/>
        </w:rPr>
        <w:t xml:space="preserve"> include:</w:t>
      </w:r>
    </w:p>
    <w:p w:rsidR="00980F62" w:rsidRDefault="0067225D" w:rsidP="00F02312">
      <w:pPr>
        <w:pStyle w:val="ListParagraph"/>
        <w:numPr>
          <w:ilvl w:val="0"/>
          <w:numId w:val="94"/>
        </w:numPr>
        <w:ind w:left="357" w:hanging="357"/>
        <w:rPr>
          <w:rFonts w:cs="Tahoma"/>
        </w:rPr>
      </w:pPr>
      <w:r w:rsidRPr="00F06AF0">
        <w:rPr>
          <w:rFonts w:cs="Tahoma"/>
        </w:rPr>
        <w:t xml:space="preserve">Changing </w:t>
      </w:r>
      <w:r w:rsidR="00557FD2" w:rsidRPr="00F06AF0">
        <w:rPr>
          <w:rFonts w:cs="Tahoma"/>
        </w:rPr>
        <w:t>of wet or soiled pads;</w:t>
      </w:r>
    </w:p>
    <w:p w:rsidR="00980F62" w:rsidRDefault="0067225D" w:rsidP="00F02312">
      <w:pPr>
        <w:pStyle w:val="ListParagraph"/>
        <w:numPr>
          <w:ilvl w:val="0"/>
          <w:numId w:val="94"/>
        </w:numPr>
        <w:ind w:left="357" w:hanging="357"/>
        <w:rPr>
          <w:rFonts w:cs="Tahoma"/>
        </w:rPr>
      </w:pPr>
      <w:r w:rsidRPr="00F06AF0">
        <w:rPr>
          <w:rFonts w:cs="Tahoma"/>
        </w:rPr>
        <w:t xml:space="preserve">Increase </w:t>
      </w:r>
      <w:r w:rsidR="00557FD2" w:rsidRPr="00F06AF0">
        <w:rPr>
          <w:rFonts w:cs="Tahoma"/>
        </w:rPr>
        <w:t>in pad wetness;</w:t>
      </w:r>
    </w:p>
    <w:p w:rsidR="00557FD2" w:rsidRPr="00F06AF0" w:rsidRDefault="0067225D" w:rsidP="00F02312">
      <w:pPr>
        <w:pStyle w:val="ListParagraph"/>
        <w:numPr>
          <w:ilvl w:val="0"/>
          <w:numId w:val="94"/>
        </w:numPr>
        <w:ind w:left="357" w:hanging="357"/>
        <w:rPr>
          <w:rFonts w:cs="Tahoma"/>
        </w:rPr>
      </w:pPr>
      <w:r w:rsidRPr="00F06AF0">
        <w:rPr>
          <w:rFonts w:cs="Tahoma"/>
        </w:rPr>
        <w:t xml:space="preserve">Passing </w:t>
      </w:r>
      <w:r w:rsidR="00557FD2" w:rsidRPr="00F06AF0">
        <w:rPr>
          <w:rFonts w:cs="Tahoma"/>
        </w:rPr>
        <w:t>urine/ bowels open during scheduled toileting (as this is an avoided incontinence episode).</w:t>
      </w:r>
    </w:p>
    <w:p w:rsidR="00557FD2" w:rsidRPr="00F06AF0" w:rsidRDefault="00557FD2" w:rsidP="00AE003E">
      <w:pPr>
        <w:spacing w:after="0"/>
        <w:rPr>
          <w:rFonts w:cstheme="minorHAnsi"/>
          <w:szCs w:val="24"/>
        </w:rPr>
      </w:pPr>
      <w:r w:rsidRPr="00F06AF0">
        <w:rPr>
          <w:rFonts w:cstheme="minorHAnsi"/>
          <w:szCs w:val="24"/>
        </w:rPr>
        <w:t xml:space="preserve">For the purposes of this ACFI question, </w:t>
      </w:r>
      <w:r w:rsidRPr="004D324E">
        <w:rPr>
          <w:rStyle w:val="Strong"/>
        </w:rPr>
        <w:t>scheduled toileting</w:t>
      </w:r>
      <w:r w:rsidRPr="00F06AF0">
        <w:rPr>
          <w:rFonts w:cstheme="minorHAnsi"/>
          <w:szCs w:val="24"/>
        </w:rPr>
        <w:t xml:space="preserve"> is:</w:t>
      </w:r>
    </w:p>
    <w:p w:rsidR="00980F62" w:rsidRDefault="0067225D" w:rsidP="00F02312">
      <w:pPr>
        <w:pStyle w:val="ListParagraph"/>
        <w:numPr>
          <w:ilvl w:val="0"/>
          <w:numId w:val="95"/>
        </w:numPr>
        <w:ind w:left="357" w:hanging="357"/>
        <w:rPr>
          <w:rFonts w:cs="Tahoma"/>
        </w:rPr>
      </w:pPr>
      <w:r w:rsidRPr="00F06AF0">
        <w:rPr>
          <w:rFonts w:cs="Tahoma"/>
        </w:rPr>
        <w:t xml:space="preserve">Staff </w:t>
      </w:r>
      <w:r w:rsidR="00557FD2" w:rsidRPr="00F06AF0">
        <w:rPr>
          <w:rFonts w:cs="Tahoma"/>
        </w:rPr>
        <w:t>accompanying a resident to the toilet (or commode); or</w:t>
      </w:r>
    </w:p>
    <w:p w:rsidR="00557FD2" w:rsidRPr="00F06AF0" w:rsidRDefault="0067225D" w:rsidP="00F02312">
      <w:pPr>
        <w:pStyle w:val="ListParagraph"/>
        <w:numPr>
          <w:ilvl w:val="0"/>
          <w:numId w:val="95"/>
        </w:numPr>
        <w:ind w:left="357" w:hanging="357"/>
        <w:rPr>
          <w:rFonts w:cs="Tahoma"/>
        </w:rPr>
      </w:pPr>
      <w:r w:rsidRPr="00F06AF0">
        <w:rPr>
          <w:rFonts w:cs="Tahoma"/>
        </w:rPr>
        <w:t xml:space="preserve">Providing </w:t>
      </w:r>
      <w:r w:rsidR="00557FD2" w:rsidRPr="00F06AF0">
        <w:rPr>
          <w:rFonts w:cs="Tahoma"/>
        </w:rPr>
        <w:t>a urinal or bedpan or other materials for planned voiding or evacuation according to a documented or assessed daily schedule designed to reduce incontinence.</w:t>
      </w:r>
    </w:p>
    <w:p w:rsidR="00980F62" w:rsidRDefault="00557FD2" w:rsidP="0080276C">
      <w:pPr>
        <w:spacing w:after="0"/>
        <w:rPr>
          <w:rStyle w:val="Strong"/>
        </w:rPr>
      </w:pPr>
      <w:r w:rsidRPr="004D324E">
        <w:rPr>
          <w:rStyle w:val="Strong"/>
        </w:rPr>
        <w:t>Requirements:</w:t>
      </w:r>
    </w:p>
    <w:p w:rsidR="007741AC" w:rsidRPr="00E2660A" w:rsidRDefault="00557FD2" w:rsidP="00F02312">
      <w:pPr>
        <w:pStyle w:val="ListParagraph"/>
        <w:numPr>
          <w:ilvl w:val="0"/>
          <w:numId w:val="94"/>
        </w:numPr>
        <w:spacing w:after="0"/>
        <w:rPr>
          <w:rFonts w:cs="Tahoma"/>
        </w:rPr>
      </w:pPr>
      <w:r w:rsidRPr="00E2660A">
        <w:rPr>
          <w:rFonts w:cs="Tahoma"/>
        </w:rPr>
        <w:t xml:space="preserve">A medical diagnosis of incontinence or a completed Continence Assessment Form and Care Plan is required if claiming </w:t>
      </w:r>
      <w:r w:rsidR="00EE366F" w:rsidRPr="00E2660A">
        <w:rPr>
          <w:rFonts w:cs="Tahoma"/>
        </w:rPr>
        <w:t>incontinence</w:t>
      </w:r>
      <w:r w:rsidRPr="00E2660A">
        <w:rPr>
          <w:rFonts w:cs="Tahoma"/>
        </w:rPr>
        <w:t xml:space="preserve">. The medical diagnosis must meet the requirements for a medical diagnosis as stated under the section </w:t>
      </w:r>
      <w:r w:rsidR="00BE3BD0" w:rsidRPr="00E2660A">
        <w:rPr>
          <w:rFonts w:cs="Tahoma"/>
        </w:rPr>
        <w:t>‘</w:t>
      </w:r>
      <w:r w:rsidRPr="00E2660A">
        <w:rPr>
          <w:rFonts w:cs="Tahoma"/>
        </w:rPr>
        <w:t>Medical Diagnosis</w:t>
      </w:r>
      <w:r w:rsidR="00BE3BD0" w:rsidRPr="00E2660A">
        <w:rPr>
          <w:rFonts w:cs="Tahoma"/>
        </w:rPr>
        <w:t>’</w:t>
      </w:r>
      <w:r w:rsidRPr="00E2660A">
        <w:rPr>
          <w:rFonts w:cs="Tahoma"/>
        </w:rPr>
        <w:t xml:space="preserve"> (</w:t>
      </w:r>
      <w:r w:rsidR="009D1D9F" w:rsidRPr="00E2660A">
        <w:rPr>
          <w:rFonts w:cs="Tahoma"/>
        </w:rPr>
        <w:t>R-</w:t>
      </w:r>
      <w:r w:rsidRPr="00E2660A">
        <w:rPr>
          <w:rFonts w:cs="Tahoma"/>
        </w:rPr>
        <w:t>ACFI User Guide). The Continence Assessment Form and Care Plan is the mandated comprehensive continence assessment tool, when a medical diagnosis of incontinence is not provided.</w:t>
      </w:r>
      <w:r w:rsidR="007A576E">
        <w:rPr>
          <w:rFonts w:cs="Tahoma"/>
        </w:rPr>
        <w:t xml:space="preserve"> </w:t>
      </w:r>
      <w:r w:rsidRPr="00E2660A">
        <w:rPr>
          <w:rFonts w:cs="Tahoma"/>
        </w:rPr>
        <w:t xml:space="preserve">The </w:t>
      </w:r>
      <w:r w:rsidR="00EE366F" w:rsidRPr="00E2660A">
        <w:rPr>
          <w:rFonts w:cs="Tahoma"/>
        </w:rPr>
        <w:t>assessment</w:t>
      </w:r>
      <w:r w:rsidRPr="00E2660A">
        <w:rPr>
          <w:rFonts w:cs="Tahoma"/>
        </w:rPr>
        <w:t xml:space="preserve"> must have been completed within the last 3 months and it must continue to reflect the resident’s continence needs at the time of the appraisal.</w:t>
      </w:r>
    </w:p>
    <w:p w:rsidR="00980F62" w:rsidRDefault="007741AC" w:rsidP="00F02312">
      <w:pPr>
        <w:pStyle w:val="ListParagraph"/>
        <w:numPr>
          <w:ilvl w:val="0"/>
          <w:numId w:val="94"/>
        </w:numPr>
        <w:spacing w:after="0"/>
        <w:rPr>
          <w:rFonts w:cs="Tahoma"/>
        </w:rPr>
      </w:pPr>
      <w:r w:rsidRPr="00E2660A">
        <w:rPr>
          <w:rFonts w:cs="Tahoma"/>
        </w:rPr>
        <w:t>To support a claim (above continence) a Continence Record must be completed.</w:t>
      </w:r>
    </w:p>
    <w:p w:rsidR="00557FD2" w:rsidRPr="007F1D25" w:rsidRDefault="00EE366F" w:rsidP="00F02312">
      <w:pPr>
        <w:pStyle w:val="ListParagraph"/>
        <w:numPr>
          <w:ilvl w:val="0"/>
          <w:numId w:val="94"/>
        </w:numPr>
        <w:spacing w:after="0"/>
        <w:rPr>
          <w:rFonts w:cstheme="minorHAnsi"/>
          <w:szCs w:val="24"/>
        </w:rPr>
      </w:pPr>
      <w:r w:rsidRPr="00E2660A">
        <w:rPr>
          <w:rFonts w:cs="Tahoma"/>
        </w:rPr>
        <w:t>To support a claim</w:t>
      </w:r>
      <w:r w:rsidRPr="00133CEF">
        <w:rPr>
          <w:szCs w:val="24"/>
        </w:rPr>
        <w:t xml:space="preserve"> (above </w:t>
      </w:r>
      <w:r>
        <w:rPr>
          <w:szCs w:val="24"/>
        </w:rPr>
        <w:t>continence</w:t>
      </w:r>
      <w:r w:rsidRPr="00133CEF">
        <w:rPr>
          <w:szCs w:val="24"/>
        </w:rPr>
        <w:t>)</w:t>
      </w:r>
      <w:r>
        <w:rPr>
          <w:szCs w:val="24"/>
        </w:rPr>
        <w:t xml:space="preserve"> t</w:t>
      </w:r>
      <w:r w:rsidRPr="009D1D9F">
        <w:rPr>
          <w:szCs w:val="24"/>
        </w:rPr>
        <w:t xml:space="preserve">he </w:t>
      </w:r>
      <w:r>
        <w:rPr>
          <w:rFonts w:cstheme="minorHAnsi"/>
          <w:szCs w:val="24"/>
        </w:rPr>
        <w:t>Continence</w:t>
      </w:r>
      <w:r w:rsidRPr="00F06AF0">
        <w:rPr>
          <w:rFonts w:cstheme="minorHAnsi"/>
          <w:szCs w:val="24"/>
        </w:rPr>
        <w:t xml:space="preserve"> </w:t>
      </w:r>
      <w:r>
        <w:rPr>
          <w:rFonts w:cstheme="minorHAnsi"/>
          <w:szCs w:val="24"/>
        </w:rPr>
        <w:t xml:space="preserve">items </w:t>
      </w:r>
      <w:r w:rsidRPr="00F06AF0">
        <w:rPr>
          <w:rFonts w:cstheme="minorHAnsi"/>
          <w:szCs w:val="24"/>
        </w:rPr>
        <w:t>must be completed</w:t>
      </w:r>
      <w:r>
        <w:rPr>
          <w:rFonts w:cstheme="minorHAnsi"/>
          <w:szCs w:val="24"/>
        </w:rPr>
        <w:t xml:space="preserve">. </w:t>
      </w:r>
      <w:r w:rsidR="0080276C">
        <w:rPr>
          <w:rFonts w:cstheme="minorHAnsi"/>
          <w:szCs w:val="24"/>
        </w:rPr>
        <w:br/>
      </w:r>
      <w:r>
        <w:rPr>
          <w:rFonts w:cstheme="minorHAnsi"/>
          <w:szCs w:val="24"/>
        </w:rPr>
        <w:t>The c</w:t>
      </w:r>
      <w:r w:rsidRPr="00F06AF0">
        <w:rPr>
          <w:rFonts w:cstheme="minorHAnsi"/>
          <w:szCs w:val="24"/>
        </w:rPr>
        <w:t>ar</w:t>
      </w:r>
      <w:r>
        <w:rPr>
          <w:rFonts w:cstheme="minorHAnsi"/>
          <w:szCs w:val="24"/>
        </w:rPr>
        <w:t>e needs to be rated are:</w:t>
      </w:r>
    </w:p>
    <w:p w:rsidR="00557FD2" w:rsidRPr="00F06AF0" w:rsidRDefault="00557FD2" w:rsidP="00557DB1">
      <w:pPr>
        <w:pStyle w:val="ListParagraph"/>
        <w:numPr>
          <w:ilvl w:val="0"/>
          <w:numId w:val="18"/>
        </w:numPr>
        <w:ind w:left="993" w:hanging="567"/>
        <w:rPr>
          <w:rFonts w:cstheme="minorHAnsi"/>
          <w:szCs w:val="24"/>
        </w:rPr>
      </w:pPr>
      <w:r w:rsidRPr="00F06AF0">
        <w:rPr>
          <w:rFonts w:cstheme="minorHAnsi"/>
          <w:szCs w:val="24"/>
        </w:rPr>
        <w:t>Urinary incontinence</w:t>
      </w:r>
      <w:r w:rsidR="00E2660A">
        <w:rPr>
          <w:rFonts w:cstheme="minorHAnsi"/>
          <w:szCs w:val="24"/>
        </w:rPr>
        <w:t>.</w:t>
      </w:r>
    </w:p>
    <w:p w:rsidR="00557FD2" w:rsidRPr="00F06AF0" w:rsidRDefault="00557FD2" w:rsidP="00557DB1">
      <w:pPr>
        <w:pStyle w:val="ListParagraph"/>
        <w:numPr>
          <w:ilvl w:val="0"/>
          <w:numId w:val="18"/>
        </w:numPr>
        <w:ind w:left="993" w:hanging="567"/>
        <w:rPr>
          <w:rFonts w:cstheme="minorHAnsi"/>
          <w:szCs w:val="24"/>
        </w:rPr>
      </w:pPr>
      <w:r w:rsidRPr="00F06AF0">
        <w:rPr>
          <w:rFonts w:cstheme="minorHAnsi"/>
          <w:szCs w:val="24"/>
        </w:rPr>
        <w:t>Faecal incontinence</w:t>
      </w:r>
      <w:r w:rsidR="00E2660A">
        <w:rPr>
          <w:rFonts w:cstheme="minorHAnsi"/>
          <w:szCs w:val="24"/>
        </w:rPr>
        <w:t>.</w:t>
      </w:r>
    </w:p>
    <w:p w:rsidR="00557FD2" w:rsidRPr="00F06AF0" w:rsidRDefault="00BA5C7F" w:rsidP="0017119E">
      <w:pPr>
        <w:rPr>
          <w:szCs w:val="24"/>
        </w:rPr>
      </w:pPr>
      <w:r w:rsidRPr="001F2491">
        <w:rPr>
          <w:rStyle w:val="Strong"/>
        </w:rPr>
        <w:t xml:space="preserve">Continence </w:t>
      </w:r>
      <w:r w:rsidR="007741AC" w:rsidRPr="001F2491">
        <w:rPr>
          <w:rStyle w:val="Strong"/>
        </w:rPr>
        <w:t>Records</w:t>
      </w:r>
      <w:r w:rsidR="00557FD2" w:rsidRPr="00F06AF0">
        <w:rPr>
          <w:b/>
          <w:szCs w:val="24"/>
        </w:rPr>
        <w:t xml:space="preserve">: </w:t>
      </w:r>
      <w:r w:rsidR="00557FD2" w:rsidRPr="00F06AF0">
        <w:rPr>
          <w:szCs w:val="24"/>
        </w:rPr>
        <w:t>The required Continence Record</w:t>
      </w:r>
      <w:r w:rsidR="007741AC">
        <w:rPr>
          <w:szCs w:val="24"/>
        </w:rPr>
        <w:t xml:space="preserve"> is</w:t>
      </w:r>
      <w:r w:rsidR="00557FD2" w:rsidRPr="00F06AF0">
        <w:rPr>
          <w:szCs w:val="24"/>
        </w:rPr>
        <w:t xml:space="preserve"> f</w:t>
      </w:r>
      <w:r w:rsidR="007741AC">
        <w:rPr>
          <w:szCs w:val="24"/>
        </w:rPr>
        <w:t xml:space="preserve">ound in </w:t>
      </w:r>
      <w:r w:rsidR="00557FD2" w:rsidRPr="00F06AF0">
        <w:rPr>
          <w:szCs w:val="24"/>
        </w:rPr>
        <w:t xml:space="preserve">the </w:t>
      </w:r>
      <w:r w:rsidR="007741AC">
        <w:rPr>
          <w:szCs w:val="24"/>
        </w:rPr>
        <w:t xml:space="preserve">ACFI </w:t>
      </w:r>
      <w:r w:rsidR="00557FD2" w:rsidRPr="00F06AF0">
        <w:rPr>
          <w:szCs w:val="24"/>
        </w:rPr>
        <w:t>Assessment Pack. The Continence Record includes a three-day Urinary Record and a seven-day Bowel Record. Alternatively, continence logs or diaries that were completed within the three months prior to the appraisal may be used to complete the Continence Record if the log or diary accurately informs on the Continence Record and it continues to reflect the resident’s continence status at the time of the appraisal.</w:t>
      </w:r>
    </w:p>
    <w:p w:rsidR="00557FD2" w:rsidRPr="00F06AF0" w:rsidRDefault="00557FD2" w:rsidP="0080276C">
      <w:pPr>
        <w:spacing w:after="100"/>
        <w:rPr>
          <w:szCs w:val="24"/>
        </w:rPr>
      </w:pPr>
      <w:r w:rsidRPr="00F06AF0">
        <w:rPr>
          <w:szCs w:val="24"/>
        </w:rPr>
        <w:t xml:space="preserve">A urine assessment (i.e. urine continence section of the Continence Record) is not needed if the resident is continent of urine (including residents with a urinary catheter) or self-manages continence devices. A bowel assessment (i.e. faecal continence section of the Continence </w:t>
      </w:r>
      <w:r w:rsidRPr="00F06AF0">
        <w:rPr>
          <w:szCs w:val="24"/>
        </w:rPr>
        <w:lastRenderedPageBreak/>
        <w:t>Record) is not needed if the resident is continent of faeces (including residents with an ostomy) or self-manages continence devices.</w:t>
      </w:r>
    </w:p>
    <w:p w:rsidR="00AB104B" w:rsidRDefault="00557FD2" w:rsidP="0080276C">
      <w:pPr>
        <w:spacing w:after="100"/>
        <w:rPr>
          <w:szCs w:val="24"/>
        </w:rPr>
      </w:pPr>
      <w:r w:rsidRPr="00F06AF0">
        <w:rPr>
          <w:szCs w:val="24"/>
        </w:rPr>
        <w:t>Complete the urinary record for three consecutive days and bowel record for seven consecutive days. In exceptional circumstances where the resident is unavailable in a 24-hour period, then an extra 24 hours can be taken, and the reason noted on the record. Use the codes provided and complete the record. Codes 1 to 4 relate to episodes of urinary incontinence. Codes 5 to 7 relate to episodes of faecal incontinence.</w:t>
      </w:r>
    </w:p>
    <w:p w:rsidR="00557FD2" w:rsidRPr="00F06AF0" w:rsidRDefault="00557FD2" w:rsidP="0080276C">
      <w:pPr>
        <w:spacing w:after="40"/>
        <w:ind w:left="720"/>
        <w:rPr>
          <w:szCs w:val="24"/>
        </w:rPr>
      </w:pPr>
      <w:r w:rsidRPr="00F06AF0">
        <w:rPr>
          <w:szCs w:val="24"/>
        </w:rPr>
        <w:t>Code 1: incontinent of urine</w:t>
      </w:r>
    </w:p>
    <w:p w:rsidR="00557FD2" w:rsidRPr="00F06AF0" w:rsidRDefault="00557FD2" w:rsidP="0080276C">
      <w:pPr>
        <w:spacing w:after="40"/>
        <w:ind w:left="720"/>
        <w:rPr>
          <w:szCs w:val="24"/>
        </w:rPr>
      </w:pPr>
      <w:r w:rsidRPr="00F06AF0">
        <w:rPr>
          <w:szCs w:val="24"/>
        </w:rPr>
        <w:t>Code 2: pad change for incontinence of urine</w:t>
      </w:r>
    </w:p>
    <w:p w:rsidR="00557FD2" w:rsidRPr="00F06AF0" w:rsidRDefault="00557FD2" w:rsidP="0080276C">
      <w:pPr>
        <w:spacing w:after="40"/>
        <w:ind w:left="720"/>
        <w:rPr>
          <w:szCs w:val="24"/>
        </w:rPr>
      </w:pPr>
      <w:r w:rsidRPr="00F06AF0">
        <w:rPr>
          <w:szCs w:val="24"/>
        </w:rPr>
        <w:t>Code 3: increase in pad wetness</w:t>
      </w:r>
    </w:p>
    <w:p w:rsidR="00557FD2" w:rsidRPr="00F06AF0" w:rsidRDefault="00557FD2" w:rsidP="0080276C">
      <w:pPr>
        <w:spacing w:after="40"/>
        <w:ind w:left="720"/>
        <w:rPr>
          <w:szCs w:val="24"/>
        </w:rPr>
      </w:pPr>
      <w:r w:rsidRPr="00F06AF0">
        <w:rPr>
          <w:szCs w:val="24"/>
        </w:rPr>
        <w:t>Code 4: passed urine during scheduled toileting</w:t>
      </w:r>
    </w:p>
    <w:p w:rsidR="00557FD2" w:rsidRPr="00F06AF0" w:rsidRDefault="00557FD2" w:rsidP="0080276C">
      <w:pPr>
        <w:spacing w:after="40"/>
        <w:ind w:left="720"/>
        <w:rPr>
          <w:szCs w:val="24"/>
        </w:rPr>
      </w:pPr>
      <w:r w:rsidRPr="00F06AF0">
        <w:rPr>
          <w:szCs w:val="24"/>
        </w:rPr>
        <w:t>Code 5: incontinent of faeces</w:t>
      </w:r>
    </w:p>
    <w:p w:rsidR="00557FD2" w:rsidRPr="00F06AF0" w:rsidRDefault="00557FD2" w:rsidP="0080276C">
      <w:pPr>
        <w:spacing w:after="40"/>
        <w:ind w:left="720"/>
        <w:rPr>
          <w:szCs w:val="24"/>
        </w:rPr>
      </w:pPr>
      <w:r w:rsidRPr="00F06AF0">
        <w:rPr>
          <w:szCs w:val="24"/>
        </w:rPr>
        <w:t>Code 6: pad change for incontinence of faeces</w:t>
      </w:r>
    </w:p>
    <w:p w:rsidR="00557FD2" w:rsidRPr="00F06AF0" w:rsidRDefault="00557FD2" w:rsidP="0080276C">
      <w:pPr>
        <w:spacing w:after="100"/>
        <w:ind w:left="720"/>
        <w:rPr>
          <w:szCs w:val="24"/>
        </w:rPr>
      </w:pPr>
      <w:r w:rsidRPr="00F06AF0">
        <w:rPr>
          <w:szCs w:val="24"/>
        </w:rPr>
        <w:t>Code 7: bowel open during scheduled toileting</w:t>
      </w:r>
    </w:p>
    <w:p w:rsidR="00557FD2" w:rsidRPr="00F06AF0" w:rsidRDefault="00BA5C7F" w:rsidP="00AB104B">
      <w:pPr>
        <w:spacing w:before="120" w:after="0"/>
        <w:rPr>
          <w:rFonts w:cstheme="minorHAnsi"/>
          <w:sz w:val="22"/>
        </w:rPr>
      </w:pPr>
      <w:r w:rsidRPr="00235B4C">
        <w:rPr>
          <w:b/>
          <w:color w:val="2F5496" w:themeColor="accent1" w:themeShade="BF"/>
          <w:szCs w:val="24"/>
        </w:rPr>
        <w:t xml:space="preserve">Continence </w:t>
      </w:r>
      <w:r w:rsidR="00557FD2" w:rsidRPr="00235B4C">
        <w:rPr>
          <w:b/>
          <w:color w:val="2F5496" w:themeColor="accent1" w:themeShade="BF"/>
          <w:szCs w:val="24"/>
        </w:rPr>
        <w:t xml:space="preserve">Assessment </w:t>
      </w:r>
      <w:r>
        <w:rPr>
          <w:b/>
          <w:color w:val="2F5496" w:themeColor="accent1" w:themeShade="BF"/>
          <w:szCs w:val="24"/>
        </w:rPr>
        <w:t>S</w:t>
      </w:r>
      <w:r w:rsidR="00557FD2" w:rsidRPr="00235B4C">
        <w:rPr>
          <w:b/>
          <w:color w:val="2F5496" w:themeColor="accent1" w:themeShade="BF"/>
          <w:szCs w:val="24"/>
        </w:rPr>
        <w:t>ummary</w:t>
      </w:r>
      <w:r w:rsidR="00557FD2" w:rsidRPr="00F06AF0">
        <w:rPr>
          <w:b/>
          <w:szCs w:val="24"/>
        </w:rPr>
        <w:t xml:space="preserve">: </w:t>
      </w:r>
      <w:r w:rsidR="00557FD2" w:rsidRPr="00F06AF0">
        <w:rPr>
          <w:rFonts w:cstheme="minorHAnsi"/>
          <w:sz w:val="22"/>
        </w:rPr>
        <w:t>Indicate which assessments and medical diagnoses of incontinence have been completed.</w:t>
      </w:r>
    </w:p>
    <w:tbl>
      <w:tblPr>
        <w:tblStyle w:val="TableGrid"/>
        <w:tblW w:w="9356" w:type="dxa"/>
        <w:tblInd w:w="85" w:type="dxa"/>
        <w:tblCellMar>
          <w:top w:w="85" w:type="dxa"/>
          <w:left w:w="85" w:type="dxa"/>
          <w:right w:w="85" w:type="dxa"/>
        </w:tblCellMar>
        <w:tblLook w:val="04A0" w:firstRow="1" w:lastRow="0" w:firstColumn="1" w:lastColumn="0" w:noHBand="0" w:noVBand="1"/>
        <w:tblDescription w:val="The Continence Assessment Summary table is an example of the tool used for noting the assessments conducted and scores for continence. This table is to be read left to right, top to bottom, noting that tick boxes are not functional."/>
      </w:tblPr>
      <w:tblGrid>
        <w:gridCol w:w="8080"/>
        <w:gridCol w:w="1276"/>
      </w:tblGrid>
      <w:tr w:rsidR="00557FD2" w:rsidRPr="009C2C03" w:rsidTr="00050A53">
        <w:trPr>
          <w:tblHeader/>
        </w:trPr>
        <w:tc>
          <w:tcPr>
            <w:tcW w:w="8080" w:type="dxa"/>
            <w:shd w:val="clear" w:color="auto" w:fill="D9D9D9" w:themeFill="background1" w:themeFillShade="D9"/>
          </w:tcPr>
          <w:p w:rsidR="00557FD2" w:rsidRPr="009C2C03" w:rsidRDefault="00557FD2" w:rsidP="00050A53">
            <w:pPr>
              <w:pStyle w:val="Tableheader1"/>
              <w:spacing w:after="100"/>
              <w:rPr>
                <w:rFonts w:asciiTheme="minorHAnsi" w:hAnsiTheme="minorHAnsi" w:cstheme="minorHAnsi"/>
                <w:sz w:val="24"/>
              </w:rPr>
            </w:pPr>
            <w:r w:rsidRPr="009C2C03">
              <w:rPr>
                <w:rFonts w:asciiTheme="minorHAnsi" w:hAnsiTheme="minorHAnsi" w:cstheme="minorHAnsi"/>
                <w:sz w:val="24"/>
              </w:rPr>
              <w:t>Continence Assessment Summary</w:t>
            </w:r>
          </w:p>
        </w:tc>
        <w:tc>
          <w:tcPr>
            <w:tcW w:w="1276" w:type="dxa"/>
            <w:shd w:val="clear" w:color="auto" w:fill="D9D9D9" w:themeFill="background1" w:themeFillShade="D9"/>
          </w:tcPr>
          <w:p w:rsidR="00557FD2" w:rsidRPr="009C2C03" w:rsidRDefault="00557FD2" w:rsidP="00050A53">
            <w:pPr>
              <w:pStyle w:val="Tableheader1"/>
              <w:spacing w:after="100"/>
              <w:jc w:val="center"/>
              <w:rPr>
                <w:rFonts w:asciiTheme="minorHAnsi" w:hAnsiTheme="minorHAnsi" w:cstheme="minorHAnsi"/>
                <w:sz w:val="24"/>
              </w:rPr>
            </w:pPr>
            <w:r w:rsidRPr="009C2C03">
              <w:rPr>
                <w:rFonts w:asciiTheme="minorHAnsi" w:hAnsiTheme="minorHAnsi" w:cstheme="minorHAnsi"/>
                <w:sz w:val="24"/>
              </w:rPr>
              <w:t>Tick if YES</w:t>
            </w:r>
          </w:p>
        </w:tc>
      </w:tr>
      <w:tr w:rsidR="00557FD2" w:rsidRPr="009C2C03" w:rsidTr="00050A53">
        <w:tc>
          <w:tcPr>
            <w:tcW w:w="8080" w:type="dxa"/>
          </w:tcPr>
          <w:p w:rsidR="00557FD2" w:rsidRPr="009C2C03" w:rsidRDefault="00557FD2" w:rsidP="00050A53">
            <w:pPr>
              <w:pStyle w:val="Tabletype1"/>
              <w:spacing w:after="80"/>
              <w:jc w:val="left"/>
              <w:rPr>
                <w:rFonts w:asciiTheme="minorHAnsi" w:hAnsiTheme="minorHAnsi" w:cstheme="minorHAnsi"/>
                <w:sz w:val="22"/>
                <w:szCs w:val="22"/>
              </w:rPr>
            </w:pPr>
            <w:r w:rsidRPr="009C2C03">
              <w:rPr>
                <w:rFonts w:asciiTheme="minorHAnsi" w:hAnsiTheme="minorHAnsi" w:cstheme="minorHAnsi"/>
                <w:sz w:val="22"/>
                <w:szCs w:val="22"/>
              </w:rPr>
              <w:t>No incontinence recorded</w:t>
            </w:r>
          </w:p>
        </w:tc>
        <w:tc>
          <w:tcPr>
            <w:tcW w:w="1276" w:type="dxa"/>
          </w:tcPr>
          <w:p w:rsidR="00557FD2" w:rsidRPr="009C2C03" w:rsidRDefault="00557FD2" w:rsidP="00050A53">
            <w:pPr>
              <w:pStyle w:val="Tabletype1"/>
              <w:spacing w:after="100"/>
              <w:jc w:val="center"/>
              <w:rPr>
                <w:rFonts w:asciiTheme="minorHAnsi" w:hAnsiTheme="minorHAnsi" w:cstheme="minorHAnsi"/>
                <w:sz w:val="22"/>
                <w:szCs w:val="22"/>
              </w:rPr>
            </w:pPr>
            <w:r w:rsidRPr="009C2C03">
              <w:rPr>
                <w:rFonts w:asciiTheme="minorHAnsi" w:hAnsiTheme="minorHAnsi" w:cstheme="minorHAnsi"/>
                <w:sz w:val="22"/>
                <w:szCs w:val="22"/>
              </w:rPr>
              <w:sym w:font="Wingdings" w:char="F06F"/>
            </w:r>
            <w:r w:rsidRPr="009C2C03">
              <w:rPr>
                <w:rFonts w:asciiTheme="minorHAnsi" w:hAnsiTheme="minorHAnsi" w:cstheme="minorHAnsi"/>
                <w:sz w:val="22"/>
                <w:szCs w:val="22"/>
              </w:rPr>
              <w:t xml:space="preserve"> 5.1</w:t>
            </w:r>
          </w:p>
        </w:tc>
      </w:tr>
      <w:tr w:rsidR="00557FD2" w:rsidRPr="009C2C03" w:rsidTr="00050A53">
        <w:tc>
          <w:tcPr>
            <w:tcW w:w="8080" w:type="dxa"/>
          </w:tcPr>
          <w:p w:rsidR="00557FD2" w:rsidRPr="009C2C03" w:rsidRDefault="00557FD2" w:rsidP="00050A53">
            <w:pPr>
              <w:pStyle w:val="Tabletype1"/>
              <w:spacing w:after="80"/>
              <w:jc w:val="left"/>
              <w:rPr>
                <w:rFonts w:asciiTheme="minorHAnsi" w:hAnsiTheme="minorHAnsi" w:cstheme="minorHAnsi"/>
                <w:sz w:val="22"/>
                <w:szCs w:val="22"/>
              </w:rPr>
            </w:pPr>
            <w:r w:rsidRPr="009C2C03">
              <w:rPr>
                <w:rFonts w:asciiTheme="minorHAnsi" w:hAnsiTheme="minorHAnsi" w:cstheme="minorHAnsi"/>
                <w:sz w:val="22"/>
                <w:szCs w:val="22"/>
              </w:rPr>
              <w:t>3-day Urine Continence Record</w:t>
            </w:r>
          </w:p>
        </w:tc>
        <w:tc>
          <w:tcPr>
            <w:tcW w:w="1276" w:type="dxa"/>
          </w:tcPr>
          <w:p w:rsidR="00557FD2" w:rsidRPr="009C2C03" w:rsidRDefault="00557FD2" w:rsidP="00050A53">
            <w:pPr>
              <w:pStyle w:val="Tabletype1"/>
              <w:spacing w:after="100"/>
              <w:jc w:val="center"/>
              <w:rPr>
                <w:rFonts w:asciiTheme="minorHAnsi" w:hAnsiTheme="minorHAnsi" w:cstheme="minorHAnsi"/>
                <w:sz w:val="22"/>
                <w:szCs w:val="22"/>
              </w:rPr>
            </w:pPr>
            <w:r w:rsidRPr="009C2C03">
              <w:rPr>
                <w:rFonts w:asciiTheme="minorHAnsi" w:hAnsiTheme="minorHAnsi" w:cstheme="minorHAnsi"/>
                <w:sz w:val="22"/>
                <w:szCs w:val="22"/>
              </w:rPr>
              <w:sym w:font="Wingdings" w:char="F06F"/>
            </w:r>
            <w:r w:rsidRPr="009C2C03">
              <w:rPr>
                <w:rFonts w:asciiTheme="minorHAnsi" w:hAnsiTheme="minorHAnsi" w:cstheme="minorHAnsi"/>
                <w:sz w:val="22"/>
                <w:szCs w:val="22"/>
              </w:rPr>
              <w:t>5.2</w:t>
            </w:r>
          </w:p>
        </w:tc>
      </w:tr>
      <w:tr w:rsidR="00557FD2" w:rsidRPr="009C2C03" w:rsidTr="00050A53">
        <w:tc>
          <w:tcPr>
            <w:tcW w:w="8080" w:type="dxa"/>
          </w:tcPr>
          <w:p w:rsidR="00557FD2" w:rsidRPr="009C2C03" w:rsidRDefault="00557FD2" w:rsidP="00050A53">
            <w:pPr>
              <w:pStyle w:val="Tabletype1"/>
              <w:spacing w:after="80"/>
              <w:jc w:val="left"/>
              <w:rPr>
                <w:rFonts w:asciiTheme="minorHAnsi" w:hAnsiTheme="minorHAnsi" w:cstheme="minorHAnsi"/>
                <w:sz w:val="22"/>
                <w:szCs w:val="22"/>
              </w:rPr>
            </w:pPr>
            <w:r w:rsidRPr="009C2C03">
              <w:rPr>
                <w:rFonts w:asciiTheme="minorHAnsi" w:hAnsiTheme="minorHAnsi" w:cstheme="minorHAnsi"/>
                <w:sz w:val="22"/>
                <w:szCs w:val="22"/>
              </w:rPr>
              <w:t>7-day Bowel Continence Record</w:t>
            </w:r>
          </w:p>
        </w:tc>
        <w:tc>
          <w:tcPr>
            <w:tcW w:w="1276" w:type="dxa"/>
          </w:tcPr>
          <w:p w:rsidR="00557FD2" w:rsidRPr="009C2C03" w:rsidRDefault="00557FD2" w:rsidP="00050A53">
            <w:pPr>
              <w:pStyle w:val="Tabletype1"/>
              <w:spacing w:after="100"/>
              <w:jc w:val="center"/>
              <w:rPr>
                <w:rFonts w:asciiTheme="minorHAnsi" w:hAnsiTheme="minorHAnsi" w:cstheme="minorHAnsi"/>
                <w:sz w:val="22"/>
                <w:szCs w:val="22"/>
              </w:rPr>
            </w:pPr>
            <w:r w:rsidRPr="009C2C03">
              <w:rPr>
                <w:rFonts w:asciiTheme="minorHAnsi" w:hAnsiTheme="minorHAnsi" w:cstheme="minorHAnsi"/>
                <w:sz w:val="22"/>
                <w:szCs w:val="22"/>
              </w:rPr>
              <w:sym w:font="Wingdings" w:char="F06F"/>
            </w:r>
            <w:r w:rsidRPr="009C2C03">
              <w:rPr>
                <w:rFonts w:asciiTheme="minorHAnsi" w:hAnsiTheme="minorHAnsi" w:cstheme="minorHAnsi"/>
                <w:sz w:val="22"/>
                <w:szCs w:val="22"/>
              </w:rPr>
              <w:t xml:space="preserve"> 5.3</w:t>
            </w:r>
          </w:p>
        </w:tc>
      </w:tr>
      <w:tr w:rsidR="00557FD2" w:rsidRPr="009C2C03" w:rsidTr="00050A53">
        <w:tc>
          <w:tcPr>
            <w:tcW w:w="8080" w:type="dxa"/>
          </w:tcPr>
          <w:p w:rsidR="00557FD2" w:rsidRPr="009C2C03" w:rsidRDefault="00557FD2" w:rsidP="00050A53">
            <w:pPr>
              <w:pStyle w:val="Tabletype1"/>
              <w:spacing w:after="80"/>
              <w:jc w:val="left"/>
              <w:rPr>
                <w:rFonts w:asciiTheme="minorHAnsi" w:hAnsiTheme="minorHAnsi" w:cstheme="minorHAnsi"/>
                <w:sz w:val="22"/>
                <w:szCs w:val="22"/>
              </w:rPr>
            </w:pPr>
            <w:r w:rsidRPr="009C2C03">
              <w:rPr>
                <w:rFonts w:asciiTheme="minorHAnsi" w:hAnsiTheme="minorHAnsi" w:cstheme="minorHAnsi"/>
                <w:sz w:val="22"/>
                <w:szCs w:val="22"/>
              </w:rPr>
              <w:t>Continence Assessment Form and Care Plan</w:t>
            </w:r>
          </w:p>
        </w:tc>
        <w:tc>
          <w:tcPr>
            <w:tcW w:w="1276" w:type="dxa"/>
          </w:tcPr>
          <w:p w:rsidR="00557FD2" w:rsidRPr="009C2C03" w:rsidRDefault="00557FD2" w:rsidP="00050A53">
            <w:pPr>
              <w:pStyle w:val="Tabletype1"/>
              <w:spacing w:after="100"/>
              <w:jc w:val="center"/>
              <w:rPr>
                <w:rFonts w:asciiTheme="minorHAnsi" w:hAnsiTheme="minorHAnsi" w:cstheme="minorHAnsi"/>
                <w:sz w:val="22"/>
                <w:szCs w:val="22"/>
              </w:rPr>
            </w:pPr>
            <w:r w:rsidRPr="009C2C03">
              <w:rPr>
                <w:rFonts w:asciiTheme="minorHAnsi" w:hAnsiTheme="minorHAnsi" w:cstheme="minorHAnsi"/>
                <w:sz w:val="22"/>
                <w:szCs w:val="22"/>
              </w:rPr>
              <w:sym w:font="Wingdings" w:char="F06F"/>
            </w:r>
            <w:r w:rsidRPr="009C2C03">
              <w:rPr>
                <w:rFonts w:asciiTheme="minorHAnsi" w:hAnsiTheme="minorHAnsi" w:cstheme="minorHAnsi"/>
                <w:sz w:val="22"/>
                <w:szCs w:val="22"/>
              </w:rPr>
              <w:t xml:space="preserve"> 5.4</w:t>
            </w:r>
          </w:p>
        </w:tc>
      </w:tr>
      <w:tr w:rsidR="00557FD2" w:rsidRPr="009C2C03" w:rsidTr="00050A53">
        <w:tc>
          <w:tcPr>
            <w:tcW w:w="8080" w:type="dxa"/>
          </w:tcPr>
          <w:p w:rsidR="00557FD2" w:rsidRPr="009C2C03" w:rsidRDefault="00557FD2" w:rsidP="00050A53">
            <w:pPr>
              <w:pStyle w:val="Tabletype1"/>
              <w:spacing w:after="80"/>
              <w:jc w:val="left"/>
              <w:rPr>
                <w:rFonts w:asciiTheme="minorHAnsi" w:hAnsiTheme="minorHAnsi" w:cstheme="minorHAnsi"/>
                <w:sz w:val="22"/>
                <w:szCs w:val="22"/>
              </w:rPr>
            </w:pPr>
            <w:r w:rsidRPr="009C2C03">
              <w:rPr>
                <w:rFonts w:asciiTheme="minorHAnsi" w:hAnsiTheme="minorHAnsi" w:cstheme="minorHAnsi"/>
                <w:sz w:val="22"/>
                <w:szCs w:val="22"/>
              </w:rPr>
              <w:t>Diagnosis of Urinary incontinence</w:t>
            </w:r>
          </w:p>
        </w:tc>
        <w:tc>
          <w:tcPr>
            <w:tcW w:w="1276" w:type="dxa"/>
          </w:tcPr>
          <w:p w:rsidR="00557FD2" w:rsidRPr="009C2C03" w:rsidRDefault="00557FD2" w:rsidP="00050A53">
            <w:pPr>
              <w:pStyle w:val="Tabletype1"/>
              <w:spacing w:after="100"/>
              <w:jc w:val="center"/>
              <w:rPr>
                <w:rFonts w:asciiTheme="minorHAnsi" w:hAnsiTheme="minorHAnsi" w:cstheme="minorHAnsi"/>
                <w:sz w:val="22"/>
                <w:szCs w:val="22"/>
              </w:rPr>
            </w:pPr>
            <w:r w:rsidRPr="009C2C03">
              <w:rPr>
                <w:rFonts w:asciiTheme="minorHAnsi" w:hAnsiTheme="minorHAnsi" w:cstheme="minorHAnsi"/>
                <w:sz w:val="22"/>
                <w:szCs w:val="22"/>
              </w:rPr>
              <w:sym w:font="Wingdings" w:char="F06F"/>
            </w:r>
            <w:r w:rsidRPr="009C2C03">
              <w:rPr>
                <w:rFonts w:asciiTheme="minorHAnsi" w:hAnsiTheme="minorHAnsi" w:cstheme="minorHAnsi"/>
                <w:sz w:val="22"/>
                <w:szCs w:val="22"/>
              </w:rPr>
              <w:t xml:space="preserve"> 5.5</w:t>
            </w:r>
          </w:p>
        </w:tc>
      </w:tr>
      <w:tr w:rsidR="00557FD2" w:rsidRPr="009C2C03" w:rsidTr="00050A53">
        <w:tc>
          <w:tcPr>
            <w:tcW w:w="8080" w:type="dxa"/>
          </w:tcPr>
          <w:p w:rsidR="00557FD2" w:rsidRPr="009C2C03" w:rsidRDefault="00557FD2" w:rsidP="00050A53">
            <w:pPr>
              <w:pStyle w:val="Tabletype1"/>
              <w:spacing w:after="80"/>
              <w:jc w:val="left"/>
              <w:rPr>
                <w:rFonts w:asciiTheme="minorHAnsi" w:hAnsiTheme="minorHAnsi" w:cstheme="minorHAnsi"/>
                <w:sz w:val="22"/>
                <w:szCs w:val="22"/>
              </w:rPr>
            </w:pPr>
            <w:r w:rsidRPr="009C2C03">
              <w:rPr>
                <w:rFonts w:asciiTheme="minorHAnsi" w:hAnsiTheme="minorHAnsi" w:cstheme="minorHAnsi"/>
                <w:sz w:val="22"/>
                <w:szCs w:val="22"/>
              </w:rPr>
              <w:t>Diagnosis of Faecal incontinence</w:t>
            </w:r>
          </w:p>
        </w:tc>
        <w:tc>
          <w:tcPr>
            <w:tcW w:w="1276" w:type="dxa"/>
          </w:tcPr>
          <w:p w:rsidR="00557FD2" w:rsidRPr="009C2C03" w:rsidRDefault="00557FD2" w:rsidP="00050A53">
            <w:pPr>
              <w:pStyle w:val="Tabletype1"/>
              <w:spacing w:after="100"/>
              <w:jc w:val="center"/>
              <w:rPr>
                <w:rFonts w:asciiTheme="minorHAnsi" w:hAnsiTheme="minorHAnsi" w:cstheme="minorHAnsi"/>
                <w:sz w:val="22"/>
                <w:szCs w:val="22"/>
              </w:rPr>
            </w:pPr>
            <w:r w:rsidRPr="009C2C03">
              <w:rPr>
                <w:rFonts w:asciiTheme="minorHAnsi" w:hAnsiTheme="minorHAnsi" w:cstheme="minorHAnsi"/>
                <w:sz w:val="22"/>
                <w:szCs w:val="22"/>
              </w:rPr>
              <w:sym w:font="Wingdings" w:char="F06F"/>
            </w:r>
            <w:r w:rsidRPr="009C2C03">
              <w:rPr>
                <w:rFonts w:asciiTheme="minorHAnsi" w:hAnsiTheme="minorHAnsi" w:cstheme="minorHAnsi"/>
                <w:sz w:val="22"/>
                <w:szCs w:val="22"/>
              </w:rPr>
              <w:t xml:space="preserve"> 5.6</w:t>
            </w:r>
          </w:p>
        </w:tc>
      </w:tr>
    </w:tbl>
    <w:p w:rsidR="00C95CBC" w:rsidRPr="00235B4C" w:rsidRDefault="00C95CBC" w:rsidP="00050A53">
      <w:pPr>
        <w:spacing w:before="240" w:after="0"/>
        <w:ind w:right="-330"/>
        <w:rPr>
          <w:rFonts w:cstheme="minorHAnsi"/>
          <w:szCs w:val="24"/>
        </w:rPr>
      </w:pPr>
      <w:r w:rsidRPr="00263CCC">
        <w:rPr>
          <w:b/>
          <w:color w:val="2F5496" w:themeColor="accent1" w:themeShade="BF"/>
          <w:szCs w:val="24"/>
        </w:rPr>
        <w:t xml:space="preserve">Continence </w:t>
      </w:r>
      <w:r w:rsidR="00BA5C7F" w:rsidRPr="00263CCC">
        <w:rPr>
          <w:b/>
          <w:color w:val="2F5496" w:themeColor="accent1" w:themeShade="BF"/>
          <w:szCs w:val="24"/>
        </w:rPr>
        <w:t>Checklist</w:t>
      </w:r>
      <w:r w:rsidR="00EE366F" w:rsidRPr="00263CCC">
        <w:rPr>
          <w:b/>
          <w:color w:val="2F5496" w:themeColor="accent1" w:themeShade="BF"/>
          <w:szCs w:val="24"/>
        </w:rPr>
        <w:t>s</w:t>
      </w:r>
      <w:r w:rsidRPr="00263CCC">
        <w:rPr>
          <w:b/>
          <w:color w:val="2F5496" w:themeColor="accent1" w:themeShade="BF"/>
          <w:szCs w:val="24"/>
        </w:rPr>
        <w:t>:</w:t>
      </w:r>
      <w:r w:rsidRPr="00FF0E95">
        <w:rPr>
          <w:color w:val="2F5496" w:themeColor="accent1" w:themeShade="BF"/>
        </w:rPr>
        <w:t xml:space="preserve"> </w:t>
      </w:r>
      <w:r w:rsidRPr="00F06AF0">
        <w:rPr>
          <w:rFonts w:cstheme="minorHAnsi"/>
          <w:szCs w:val="24"/>
        </w:rPr>
        <w:t xml:space="preserve">Rate the level of </w:t>
      </w:r>
      <w:r>
        <w:rPr>
          <w:rFonts w:cstheme="minorHAnsi"/>
          <w:szCs w:val="24"/>
        </w:rPr>
        <w:t xml:space="preserve">continence </w:t>
      </w:r>
      <w:r w:rsidRPr="00F06AF0">
        <w:rPr>
          <w:rFonts w:cstheme="minorHAnsi"/>
          <w:szCs w:val="24"/>
        </w:rPr>
        <w:t xml:space="preserve">for each of the </w:t>
      </w:r>
      <w:r w:rsidR="00EE366F">
        <w:rPr>
          <w:rFonts w:cstheme="minorHAnsi"/>
          <w:szCs w:val="24"/>
        </w:rPr>
        <w:t xml:space="preserve">two </w:t>
      </w:r>
      <w:r>
        <w:rPr>
          <w:rFonts w:cstheme="minorHAnsi"/>
          <w:szCs w:val="24"/>
        </w:rPr>
        <w:t xml:space="preserve">continence </w:t>
      </w:r>
      <w:r w:rsidR="00BA5C7F">
        <w:rPr>
          <w:rFonts w:cstheme="minorHAnsi"/>
          <w:szCs w:val="24"/>
        </w:rPr>
        <w:t>care needs</w:t>
      </w:r>
      <w:r w:rsidR="00EE366F">
        <w:rPr>
          <w:rFonts w:cstheme="minorHAnsi"/>
          <w:szCs w:val="24"/>
        </w:rPr>
        <w:t>.</w:t>
      </w:r>
    </w:p>
    <w:tbl>
      <w:tblPr>
        <w:tblStyle w:val="TableGrid"/>
        <w:tblW w:w="9355" w:type="dxa"/>
        <w:tblInd w:w="85" w:type="dxa"/>
        <w:tblCellMar>
          <w:top w:w="85" w:type="dxa"/>
          <w:left w:w="85" w:type="dxa"/>
          <w:right w:w="85" w:type="dxa"/>
        </w:tblCellMar>
        <w:tblLook w:val="04A0" w:firstRow="1" w:lastRow="0" w:firstColumn="1" w:lastColumn="0" w:noHBand="0" w:noVBand="1"/>
        <w:tblDescription w:val="The Continence Checklists table is an example of a tool used by assessors to assist identifying the daily care needs for continence. This table is to be read left to right, top to bottom, noting that tick boxes are not functional."/>
      </w:tblPr>
      <w:tblGrid>
        <w:gridCol w:w="8222"/>
        <w:gridCol w:w="1133"/>
      </w:tblGrid>
      <w:tr w:rsidR="00557FD2" w:rsidRPr="009C2C03" w:rsidTr="00050A53">
        <w:trPr>
          <w:tblHeader/>
        </w:trPr>
        <w:tc>
          <w:tcPr>
            <w:tcW w:w="8222" w:type="dxa"/>
            <w:shd w:val="clear" w:color="auto" w:fill="D9D9D9" w:themeFill="background1" w:themeFillShade="D9"/>
          </w:tcPr>
          <w:p w:rsidR="00557FD2" w:rsidRPr="009C2C03" w:rsidRDefault="00C95CBC" w:rsidP="00050A53">
            <w:pPr>
              <w:pStyle w:val="Tableheader1"/>
              <w:spacing w:after="100"/>
              <w:rPr>
                <w:rFonts w:asciiTheme="minorHAnsi" w:hAnsiTheme="minorHAnsi" w:cstheme="minorHAnsi"/>
                <w:sz w:val="24"/>
              </w:rPr>
            </w:pPr>
            <w:r w:rsidRPr="009C2C03">
              <w:rPr>
                <w:rFonts w:asciiTheme="minorHAnsi" w:hAnsiTheme="minorHAnsi" w:cstheme="minorHAnsi"/>
                <w:sz w:val="24"/>
              </w:rPr>
              <w:t>5.1 Urinary Continence</w:t>
            </w:r>
          </w:p>
        </w:tc>
        <w:tc>
          <w:tcPr>
            <w:tcW w:w="1133" w:type="dxa"/>
            <w:shd w:val="clear" w:color="auto" w:fill="D9D9D9" w:themeFill="background1" w:themeFillShade="D9"/>
          </w:tcPr>
          <w:p w:rsidR="00557FD2" w:rsidRPr="009C2C03" w:rsidRDefault="00557FD2" w:rsidP="00050A53">
            <w:pPr>
              <w:pStyle w:val="Tableheader1"/>
              <w:spacing w:after="100"/>
              <w:jc w:val="center"/>
              <w:rPr>
                <w:rFonts w:asciiTheme="minorHAnsi" w:hAnsiTheme="minorHAnsi" w:cstheme="minorHAnsi"/>
                <w:sz w:val="24"/>
              </w:rPr>
            </w:pPr>
            <w:r w:rsidRPr="009C2C03">
              <w:rPr>
                <w:rFonts w:asciiTheme="minorHAnsi" w:hAnsiTheme="minorHAnsi" w:cstheme="minorHAnsi"/>
                <w:sz w:val="24"/>
              </w:rPr>
              <w:t>Tick one</w:t>
            </w:r>
          </w:p>
        </w:tc>
      </w:tr>
      <w:tr w:rsidR="00557FD2" w:rsidRPr="009C2C03" w:rsidTr="00050A53">
        <w:tc>
          <w:tcPr>
            <w:tcW w:w="8222" w:type="dxa"/>
          </w:tcPr>
          <w:p w:rsidR="00557FD2" w:rsidRPr="009C2C03" w:rsidRDefault="00557FD2" w:rsidP="00050A53">
            <w:pPr>
              <w:pStyle w:val="Tabletype1"/>
              <w:spacing w:after="80"/>
              <w:jc w:val="left"/>
              <w:rPr>
                <w:rFonts w:asciiTheme="minorHAnsi" w:hAnsiTheme="minorHAnsi" w:cstheme="minorHAnsi"/>
                <w:sz w:val="22"/>
                <w:szCs w:val="22"/>
              </w:rPr>
            </w:pPr>
            <w:r w:rsidRPr="009C2C03">
              <w:rPr>
                <w:rFonts w:asciiTheme="minorHAnsi" w:hAnsiTheme="minorHAnsi" w:cstheme="minorHAnsi"/>
                <w:sz w:val="22"/>
                <w:szCs w:val="22"/>
              </w:rPr>
              <w:t xml:space="preserve">No episodes of urinary incontinence or self-manages continence devices </w:t>
            </w:r>
            <w:r w:rsidRPr="009C2C03">
              <w:rPr>
                <w:rFonts w:asciiTheme="minorHAnsi" w:hAnsiTheme="minorHAnsi" w:cstheme="minorHAnsi"/>
                <w:i/>
                <w:sz w:val="22"/>
                <w:szCs w:val="22"/>
              </w:rPr>
              <w:t>OR has catheter</w:t>
            </w:r>
          </w:p>
        </w:tc>
        <w:tc>
          <w:tcPr>
            <w:tcW w:w="1133" w:type="dxa"/>
          </w:tcPr>
          <w:p w:rsidR="00557FD2" w:rsidRPr="009C2C03" w:rsidRDefault="00557FD2" w:rsidP="00050A53">
            <w:pPr>
              <w:pStyle w:val="Tabletype1"/>
              <w:spacing w:after="100"/>
              <w:jc w:val="center"/>
              <w:rPr>
                <w:rFonts w:asciiTheme="minorHAnsi" w:hAnsiTheme="minorHAnsi" w:cstheme="minorHAnsi"/>
                <w:sz w:val="22"/>
                <w:szCs w:val="22"/>
              </w:rPr>
            </w:pPr>
            <w:r w:rsidRPr="009C2C03">
              <w:rPr>
                <w:rFonts w:asciiTheme="minorHAnsi" w:hAnsiTheme="minorHAnsi" w:cstheme="minorHAnsi"/>
                <w:sz w:val="22"/>
                <w:szCs w:val="22"/>
              </w:rPr>
              <w:sym w:font="Wingdings" w:char="F06F"/>
            </w:r>
            <w:r w:rsidRPr="009C2C03">
              <w:rPr>
                <w:rFonts w:asciiTheme="minorHAnsi" w:hAnsiTheme="minorHAnsi" w:cstheme="minorHAnsi"/>
                <w:sz w:val="22"/>
                <w:szCs w:val="22"/>
              </w:rPr>
              <w:t xml:space="preserve"> 1</w:t>
            </w:r>
          </w:p>
        </w:tc>
      </w:tr>
      <w:tr w:rsidR="00557FD2" w:rsidRPr="009C2C03" w:rsidTr="00050A53">
        <w:tc>
          <w:tcPr>
            <w:tcW w:w="8222" w:type="dxa"/>
          </w:tcPr>
          <w:p w:rsidR="00557FD2" w:rsidRPr="009C2C03" w:rsidRDefault="00557FD2" w:rsidP="00050A53">
            <w:pPr>
              <w:spacing w:after="80"/>
              <w:jc w:val="left"/>
              <w:rPr>
                <w:sz w:val="22"/>
              </w:rPr>
            </w:pPr>
            <w:r w:rsidRPr="009C2C03">
              <w:rPr>
                <w:sz w:val="22"/>
              </w:rPr>
              <w:t>Incontinent of urine up to 4 times per day</w:t>
            </w:r>
          </w:p>
        </w:tc>
        <w:tc>
          <w:tcPr>
            <w:tcW w:w="1133" w:type="dxa"/>
          </w:tcPr>
          <w:p w:rsidR="00557FD2" w:rsidRPr="009C2C03" w:rsidRDefault="00557FD2" w:rsidP="00050A53">
            <w:pPr>
              <w:pStyle w:val="Tabletype1"/>
              <w:spacing w:after="100"/>
              <w:jc w:val="center"/>
              <w:rPr>
                <w:rFonts w:asciiTheme="minorHAnsi" w:hAnsiTheme="minorHAnsi" w:cstheme="minorHAnsi"/>
                <w:sz w:val="22"/>
                <w:szCs w:val="22"/>
              </w:rPr>
            </w:pPr>
            <w:r w:rsidRPr="009C2C03">
              <w:rPr>
                <w:rFonts w:asciiTheme="minorHAnsi" w:hAnsiTheme="minorHAnsi" w:cstheme="minorHAnsi"/>
                <w:sz w:val="22"/>
                <w:szCs w:val="22"/>
              </w:rPr>
              <w:sym w:font="Wingdings" w:char="F06F"/>
            </w:r>
            <w:r w:rsidRPr="009C2C03">
              <w:rPr>
                <w:rFonts w:asciiTheme="minorHAnsi" w:hAnsiTheme="minorHAnsi" w:cstheme="minorHAnsi"/>
                <w:sz w:val="22"/>
                <w:szCs w:val="22"/>
              </w:rPr>
              <w:t xml:space="preserve"> 2</w:t>
            </w:r>
          </w:p>
        </w:tc>
      </w:tr>
      <w:tr w:rsidR="00557FD2" w:rsidRPr="009C2C03" w:rsidTr="00050A53">
        <w:tc>
          <w:tcPr>
            <w:tcW w:w="8222" w:type="dxa"/>
            <w:tcBorders>
              <w:bottom w:val="single" w:sz="4" w:space="0" w:color="auto"/>
            </w:tcBorders>
          </w:tcPr>
          <w:p w:rsidR="00557FD2" w:rsidRPr="009C2C03" w:rsidRDefault="00557FD2" w:rsidP="00050A53">
            <w:pPr>
              <w:spacing w:after="80"/>
              <w:jc w:val="left"/>
              <w:rPr>
                <w:sz w:val="22"/>
              </w:rPr>
            </w:pPr>
            <w:r w:rsidRPr="009C2C03">
              <w:rPr>
                <w:sz w:val="22"/>
              </w:rPr>
              <w:t xml:space="preserve">Incontinent of urine &gt; 4 times per day (always or most of the time) </w:t>
            </w:r>
          </w:p>
        </w:tc>
        <w:tc>
          <w:tcPr>
            <w:tcW w:w="1133" w:type="dxa"/>
            <w:tcBorders>
              <w:bottom w:val="single" w:sz="4" w:space="0" w:color="auto"/>
            </w:tcBorders>
          </w:tcPr>
          <w:p w:rsidR="00557FD2" w:rsidRPr="009C2C03" w:rsidRDefault="00557FD2" w:rsidP="00050A53">
            <w:pPr>
              <w:pStyle w:val="Tabletype1"/>
              <w:spacing w:after="100"/>
              <w:jc w:val="center"/>
              <w:rPr>
                <w:rFonts w:asciiTheme="minorHAnsi" w:hAnsiTheme="minorHAnsi" w:cstheme="minorHAnsi"/>
                <w:sz w:val="22"/>
                <w:szCs w:val="22"/>
              </w:rPr>
            </w:pPr>
            <w:r w:rsidRPr="009C2C03">
              <w:rPr>
                <w:rFonts w:asciiTheme="minorHAnsi" w:hAnsiTheme="minorHAnsi" w:cstheme="minorHAnsi"/>
                <w:sz w:val="22"/>
                <w:szCs w:val="22"/>
              </w:rPr>
              <w:sym w:font="Wingdings" w:char="F06F"/>
            </w:r>
            <w:r w:rsidRPr="009C2C03">
              <w:rPr>
                <w:rFonts w:asciiTheme="minorHAnsi" w:hAnsiTheme="minorHAnsi" w:cstheme="minorHAnsi"/>
                <w:sz w:val="22"/>
                <w:szCs w:val="22"/>
              </w:rPr>
              <w:t xml:space="preserve"> 3</w:t>
            </w:r>
          </w:p>
        </w:tc>
      </w:tr>
      <w:tr w:rsidR="009C2C03" w:rsidRPr="009C2C03" w:rsidTr="00050A53">
        <w:trPr>
          <w:tblHeader/>
        </w:trPr>
        <w:tc>
          <w:tcPr>
            <w:tcW w:w="8222" w:type="dxa"/>
            <w:shd w:val="clear" w:color="auto" w:fill="D9D9D9" w:themeFill="background1" w:themeFillShade="D9"/>
          </w:tcPr>
          <w:p w:rsidR="009C2C03" w:rsidRPr="009C2C03" w:rsidRDefault="009C2C03" w:rsidP="00050A53">
            <w:pPr>
              <w:pStyle w:val="Tableheader1"/>
              <w:spacing w:after="100"/>
              <w:rPr>
                <w:sz w:val="24"/>
              </w:rPr>
            </w:pPr>
            <w:bookmarkStart w:id="291" w:name="_Toc486600016"/>
            <w:bookmarkStart w:id="292" w:name="_Toc486603060"/>
            <w:bookmarkStart w:id="293" w:name="_Hlk488270765"/>
            <w:bookmarkStart w:id="294" w:name="_Hlk479865202"/>
            <w:r w:rsidRPr="009C2C03">
              <w:rPr>
                <w:rFonts w:asciiTheme="minorHAnsi" w:hAnsiTheme="minorHAnsi" w:cstheme="minorHAnsi"/>
                <w:sz w:val="24"/>
              </w:rPr>
              <w:t>5.2 Faecal Continence</w:t>
            </w:r>
          </w:p>
        </w:tc>
        <w:tc>
          <w:tcPr>
            <w:tcW w:w="1133" w:type="dxa"/>
            <w:shd w:val="clear" w:color="auto" w:fill="D9D9D9" w:themeFill="background1" w:themeFillShade="D9"/>
          </w:tcPr>
          <w:p w:rsidR="009C2C03" w:rsidRPr="009C2C03" w:rsidRDefault="009C2C03" w:rsidP="00050A53">
            <w:pPr>
              <w:pStyle w:val="Tabletype1"/>
              <w:spacing w:after="100"/>
              <w:jc w:val="center"/>
              <w:rPr>
                <w:rFonts w:asciiTheme="minorHAnsi" w:hAnsiTheme="minorHAnsi" w:cstheme="minorHAnsi"/>
                <w:b/>
                <w:sz w:val="24"/>
                <w:szCs w:val="22"/>
              </w:rPr>
            </w:pPr>
            <w:r w:rsidRPr="009C2C03">
              <w:rPr>
                <w:rFonts w:asciiTheme="minorHAnsi" w:hAnsiTheme="minorHAnsi" w:cstheme="minorHAnsi"/>
                <w:b/>
                <w:sz w:val="24"/>
                <w:szCs w:val="22"/>
              </w:rPr>
              <w:t>Tick one</w:t>
            </w:r>
          </w:p>
        </w:tc>
      </w:tr>
      <w:tr w:rsidR="009C2C03" w:rsidRPr="009C2C03" w:rsidTr="00050A53">
        <w:tc>
          <w:tcPr>
            <w:tcW w:w="8222" w:type="dxa"/>
          </w:tcPr>
          <w:p w:rsidR="009C2C03" w:rsidRPr="009C2C03" w:rsidRDefault="009C2C03" w:rsidP="00050A53">
            <w:pPr>
              <w:pStyle w:val="Tabletype1"/>
              <w:spacing w:after="80"/>
              <w:jc w:val="left"/>
              <w:rPr>
                <w:rFonts w:asciiTheme="minorHAnsi" w:hAnsiTheme="minorHAnsi" w:cstheme="minorHAnsi"/>
                <w:sz w:val="22"/>
                <w:szCs w:val="22"/>
              </w:rPr>
            </w:pPr>
            <w:r w:rsidRPr="009C2C03">
              <w:rPr>
                <w:rFonts w:asciiTheme="minorHAnsi" w:hAnsiTheme="minorHAnsi" w:cstheme="minorHAnsi"/>
                <w:sz w:val="22"/>
                <w:szCs w:val="22"/>
              </w:rPr>
              <w:t xml:space="preserve">No episodes of faecal incontinence in past week, or self-manages continence devices </w:t>
            </w:r>
            <w:r w:rsidRPr="009C2C03">
              <w:rPr>
                <w:rFonts w:asciiTheme="minorHAnsi" w:hAnsiTheme="minorHAnsi" w:cstheme="minorHAnsi"/>
                <w:i/>
                <w:sz w:val="22"/>
                <w:szCs w:val="22"/>
              </w:rPr>
              <w:t>OR has ostomy</w:t>
            </w:r>
          </w:p>
        </w:tc>
        <w:tc>
          <w:tcPr>
            <w:tcW w:w="1133" w:type="dxa"/>
          </w:tcPr>
          <w:p w:rsidR="009C2C03" w:rsidRPr="009C2C03" w:rsidRDefault="009C2C03" w:rsidP="00050A53">
            <w:pPr>
              <w:pStyle w:val="Tabletype1"/>
              <w:spacing w:after="100"/>
              <w:jc w:val="center"/>
              <w:rPr>
                <w:rFonts w:asciiTheme="minorHAnsi" w:hAnsiTheme="minorHAnsi" w:cstheme="minorHAnsi"/>
                <w:sz w:val="22"/>
                <w:szCs w:val="22"/>
              </w:rPr>
            </w:pPr>
            <w:r w:rsidRPr="009C2C03">
              <w:rPr>
                <w:rFonts w:asciiTheme="minorHAnsi" w:hAnsiTheme="minorHAnsi" w:cstheme="minorHAnsi"/>
                <w:sz w:val="22"/>
                <w:szCs w:val="22"/>
              </w:rPr>
              <w:sym w:font="Wingdings" w:char="F06F"/>
            </w:r>
            <w:r w:rsidRPr="009C2C03">
              <w:rPr>
                <w:rFonts w:asciiTheme="minorHAnsi" w:hAnsiTheme="minorHAnsi" w:cstheme="minorHAnsi"/>
                <w:sz w:val="22"/>
                <w:szCs w:val="22"/>
              </w:rPr>
              <w:t xml:space="preserve"> 1</w:t>
            </w:r>
          </w:p>
        </w:tc>
      </w:tr>
      <w:tr w:rsidR="009C2C03" w:rsidRPr="009C2C03" w:rsidTr="00050A53">
        <w:tc>
          <w:tcPr>
            <w:tcW w:w="8222" w:type="dxa"/>
          </w:tcPr>
          <w:p w:rsidR="009C2C03" w:rsidRPr="009C2C03" w:rsidRDefault="009C2C03" w:rsidP="00050A53">
            <w:pPr>
              <w:spacing w:after="80"/>
              <w:jc w:val="left"/>
              <w:rPr>
                <w:sz w:val="22"/>
              </w:rPr>
            </w:pPr>
            <w:r w:rsidRPr="009C2C03">
              <w:rPr>
                <w:sz w:val="22"/>
              </w:rPr>
              <w:t>Incontinent of faeces up to 4 times per week</w:t>
            </w:r>
          </w:p>
        </w:tc>
        <w:tc>
          <w:tcPr>
            <w:tcW w:w="1133" w:type="dxa"/>
          </w:tcPr>
          <w:p w:rsidR="009C2C03" w:rsidRPr="009C2C03" w:rsidRDefault="009C2C03" w:rsidP="00050A53">
            <w:pPr>
              <w:pStyle w:val="Tabletype1"/>
              <w:spacing w:after="100"/>
              <w:jc w:val="center"/>
              <w:rPr>
                <w:rFonts w:asciiTheme="minorHAnsi" w:hAnsiTheme="minorHAnsi" w:cstheme="minorHAnsi"/>
                <w:sz w:val="22"/>
                <w:szCs w:val="22"/>
              </w:rPr>
            </w:pPr>
            <w:r w:rsidRPr="009C2C03">
              <w:rPr>
                <w:rFonts w:asciiTheme="minorHAnsi" w:hAnsiTheme="minorHAnsi" w:cstheme="minorHAnsi"/>
                <w:sz w:val="22"/>
                <w:szCs w:val="22"/>
              </w:rPr>
              <w:sym w:font="Wingdings" w:char="F06F"/>
            </w:r>
            <w:r w:rsidRPr="009C2C03">
              <w:rPr>
                <w:rFonts w:asciiTheme="minorHAnsi" w:hAnsiTheme="minorHAnsi" w:cstheme="minorHAnsi"/>
                <w:sz w:val="22"/>
                <w:szCs w:val="22"/>
              </w:rPr>
              <w:t xml:space="preserve"> 2</w:t>
            </w:r>
          </w:p>
        </w:tc>
      </w:tr>
      <w:tr w:rsidR="009C2C03" w:rsidRPr="009C2C03" w:rsidTr="00050A53">
        <w:tc>
          <w:tcPr>
            <w:tcW w:w="8222" w:type="dxa"/>
          </w:tcPr>
          <w:p w:rsidR="009C2C03" w:rsidRPr="009C2C03" w:rsidRDefault="009C2C03" w:rsidP="00050A53">
            <w:pPr>
              <w:spacing w:after="80"/>
              <w:jc w:val="left"/>
              <w:rPr>
                <w:sz w:val="22"/>
              </w:rPr>
            </w:pPr>
            <w:r w:rsidRPr="009C2C03">
              <w:rPr>
                <w:sz w:val="22"/>
              </w:rPr>
              <w:t>Incontinent of faeces &gt;4 episodes per week</w:t>
            </w:r>
          </w:p>
        </w:tc>
        <w:tc>
          <w:tcPr>
            <w:tcW w:w="1133" w:type="dxa"/>
          </w:tcPr>
          <w:p w:rsidR="009C2C03" w:rsidRPr="009C2C03" w:rsidRDefault="009C2C03" w:rsidP="00050A53">
            <w:pPr>
              <w:pStyle w:val="Tabletype1"/>
              <w:spacing w:after="100"/>
              <w:jc w:val="center"/>
              <w:rPr>
                <w:rFonts w:asciiTheme="minorHAnsi" w:hAnsiTheme="minorHAnsi" w:cstheme="minorHAnsi"/>
                <w:sz w:val="22"/>
                <w:szCs w:val="22"/>
              </w:rPr>
            </w:pPr>
            <w:r w:rsidRPr="009C2C03">
              <w:rPr>
                <w:rFonts w:asciiTheme="minorHAnsi" w:hAnsiTheme="minorHAnsi" w:cstheme="minorHAnsi"/>
                <w:sz w:val="22"/>
                <w:szCs w:val="22"/>
              </w:rPr>
              <w:sym w:font="Wingdings" w:char="F06F"/>
            </w:r>
            <w:r w:rsidRPr="009C2C03">
              <w:rPr>
                <w:rFonts w:asciiTheme="minorHAnsi" w:hAnsiTheme="minorHAnsi" w:cstheme="minorHAnsi"/>
                <w:sz w:val="22"/>
                <w:szCs w:val="22"/>
              </w:rPr>
              <w:t xml:space="preserve"> 3</w:t>
            </w:r>
          </w:p>
        </w:tc>
      </w:tr>
    </w:tbl>
    <w:p w:rsidR="00980F62" w:rsidRDefault="00557FD2" w:rsidP="001F2491">
      <w:pPr>
        <w:pStyle w:val="Heading3-Chapter44"/>
      </w:pPr>
      <w:r w:rsidRPr="001F2491">
        <w:lastRenderedPageBreak/>
        <w:t>The New R-ACFI - Supporting Evidence Requirements</w:t>
      </w:r>
      <w:bookmarkEnd w:id="291"/>
      <w:bookmarkEnd w:id="292"/>
    </w:p>
    <w:p w:rsidR="00980F62" w:rsidRDefault="00DD410D" w:rsidP="0017119E">
      <w:pPr>
        <w:rPr>
          <w:szCs w:val="24"/>
          <w:lang w:eastAsia="en-AU"/>
        </w:rPr>
      </w:pPr>
      <w:r w:rsidRPr="004D324E">
        <w:rPr>
          <w:rStyle w:val="Strong"/>
        </w:rPr>
        <w:t>Recommendation:</w:t>
      </w:r>
      <w:r w:rsidRPr="009572ED">
        <w:rPr>
          <w:szCs w:val="24"/>
          <w:lang w:eastAsia="en-AU"/>
        </w:rPr>
        <w:t xml:space="preserve"> </w:t>
      </w:r>
      <w:r w:rsidR="00557FD2" w:rsidRPr="00F06AF0">
        <w:rPr>
          <w:szCs w:val="24"/>
          <w:lang w:eastAsia="en-AU"/>
        </w:rPr>
        <w:t xml:space="preserve">To improve the objectivity of the Appraisal Pack, a new checklist </w:t>
      </w:r>
      <w:r w:rsidRPr="009572ED">
        <w:rPr>
          <w:szCs w:val="24"/>
          <w:lang w:eastAsia="en-AU"/>
        </w:rPr>
        <w:t xml:space="preserve">be added to </w:t>
      </w:r>
      <w:r w:rsidR="00557FD2" w:rsidRPr="00F06AF0">
        <w:rPr>
          <w:szCs w:val="24"/>
          <w:lang w:eastAsia="en-AU"/>
        </w:rPr>
        <w:t>the ADL section relating to R-ACFI questions 1 to 4.</w:t>
      </w:r>
    </w:p>
    <w:p w:rsidR="00980F62" w:rsidRDefault="00557FD2" w:rsidP="0017119E">
      <w:pPr>
        <w:rPr>
          <w:szCs w:val="24"/>
          <w:lang w:eastAsia="en-AU"/>
        </w:rPr>
      </w:pPr>
      <w:r w:rsidRPr="00F06AF0">
        <w:rPr>
          <w:szCs w:val="24"/>
          <w:lang w:eastAsia="en-AU"/>
        </w:rPr>
        <w:t>Users are requested to inform why staff</w:t>
      </w:r>
      <w:r w:rsidRPr="00F06AF0">
        <w:rPr>
          <w:rFonts w:ascii="Arial" w:hAnsi="Arial" w:cs="Arial"/>
          <w:szCs w:val="24"/>
        </w:rPr>
        <w:t xml:space="preserve"> </w:t>
      </w:r>
      <w:r w:rsidRPr="00F06AF0">
        <w:rPr>
          <w:szCs w:val="24"/>
        </w:rPr>
        <w:t>assistance is need</w:t>
      </w:r>
      <w:r w:rsidR="002C205F">
        <w:rPr>
          <w:szCs w:val="24"/>
        </w:rPr>
        <w:t xml:space="preserve">ed for the resident’s </w:t>
      </w:r>
      <w:r w:rsidRPr="00F06AF0">
        <w:rPr>
          <w:szCs w:val="24"/>
        </w:rPr>
        <w:t>day-to-day care needs covering physical, sensory, cognitive impairment or behavioural issues</w:t>
      </w:r>
      <w:r w:rsidRPr="00F06AF0">
        <w:rPr>
          <w:szCs w:val="24"/>
          <w:lang w:eastAsia="en-AU"/>
        </w:rPr>
        <w:t xml:space="preserve">. The required evidence is set out to support the </w:t>
      </w:r>
      <w:r w:rsidR="009A36B3">
        <w:rPr>
          <w:szCs w:val="24"/>
          <w:lang w:eastAsia="en-AU"/>
        </w:rPr>
        <w:t>R-</w:t>
      </w:r>
      <w:r w:rsidRPr="00F06AF0">
        <w:rPr>
          <w:szCs w:val="24"/>
          <w:lang w:eastAsia="en-AU"/>
        </w:rPr>
        <w:t>ACFI claim.</w:t>
      </w:r>
    </w:p>
    <w:p w:rsidR="00BA5C7F" w:rsidRPr="004D324E" w:rsidRDefault="00BA5C7F" w:rsidP="00AB104B">
      <w:pPr>
        <w:spacing w:after="0"/>
        <w:rPr>
          <w:rStyle w:val="Strong"/>
        </w:rPr>
      </w:pPr>
      <w:r w:rsidRPr="004D324E">
        <w:rPr>
          <w:rStyle w:val="Strong"/>
        </w:rPr>
        <w:t>Requirements:</w:t>
      </w:r>
    </w:p>
    <w:p w:rsidR="009E0A55" w:rsidRPr="00775BC4" w:rsidRDefault="009E0A55" w:rsidP="009E0A55">
      <w:pPr>
        <w:rPr>
          <w:sz w:val="22"/>
        </w:rPr>
      </w:pPr>
      <w:r w:rsidRPr="00775BC4">
        <w:t xml:space="preserve">The checklist identifies evidence to support the </w:t>
      </w:r>
      <w:r w:rsidR="003A58FC" w:rsidRPr="00775BC4">
        <w:t>R-</w:t>
      </w:r>
      <w:r w:rsidRPr="00775BC4">
        <w:t>ADL questions 1 to 4 for the resident’s day-to-day care needs.</w:t>
      </w:r>
    </w:p>
    <w:p w:rsidR="00980F62" w:rsidRDefault="009E0A55" w:rsidP="00F02312">
      <w:pPr>
        <w:pStyle w:val="ListParagraph"/>
        <w:numPr>
          <w:ilvl w:val="0"/>
          <w:numId w:val="141"/>
        </w:numPr>
        <w:ind w:left="426" w:hanging="426"/>
      </w:pPr>
      <w:r w:rsidRPr="00775BC4">
        <w:t>The evidence supports the reason staff assistance is required.</w:t>
      </w:r>
    </w:p>
    <w:p w:rsidR="00980F62" w:rsidRDefault="009E0A55" w:rsidP="00F02312">
      <w:pPr>
        <w:pStyle w:val="ListParagraph"/>
        <w:numPr>
          <w:ilvl w:val="0"/>
          <w:numId w:val="141"/>
        </w:numPr>
        <w:ind w:left="426" w:hanging="426"/>
      </w:pPr>
      <w:r w:rsidRPr="00775BC4">
        <w:t>The evidence requirements for each reason are described.</w:t>
      </w:r>
    </w:p>
    <w:p w:rsidR="009E0A55" w:rsidRDefault="009E0A55" w:rsidP="00F02312">
      <w:pPr>
        <w:pStyle w:val="ListParagraph"/>
        <w:numPr>
          <w:ilvl w:val="0"/>
          <w:numId w:val="141"/>
        </w:numPr>
        <w:ind w:left="426" w:hanging="426"/>
      </w:pPr>
      <w:r w:rsidRPr="00775BC4">
        <w:t>At least one of the requested evidence sources (per reason) should be in the ACFI Pack to support the claim.</w:t>
      </w:r>
    </w:p>
    <w:p w:rsidR="007741AC" w:rsidRPr="00A7646B" w:rsidRDefault="00BA5C7F" w:rsidP="00A7646B">
      <w:pPr>
        <w:spacing w:after="0"/>
        <w:rPr>
          <w:rStyle w:val="Strong"/>
        </w:rPr>
      </w:pPr>
      <w:r w:rsidRPr="00A7646B">
        <w:rPr>
          <w:rStyle w:val="Strong"/>
        </w:rPr>
        <w:t xml:space="preserve">ADL </w:t>
      </w:r>
      <w:r w:rsidR="007741AC" w:rsidRPr="00A7646B">
        <w:rPr>
          <w:rStyle w:val="Strong"/>
        </w:rPr>
        <w:t>Checklist</w:t>
      </w:r>
    </w:p>
    <w:tbl>
      <w:tblPr>
        <w:tblStyle w:val="TableGrid"/>
        <w:tblW w:w="9071" w:type="dxa"/>
        <w:tblInd w:w="85" w:type="dxa"/>
        <w:tblCellMar>
          <w:top w:w="85" w:type="dxa"/>
          <w:left w:w="85" w:type="dxa"/>
          <w:right w:w="85" w:type="dxa"/>
        </w:tblCellMar>
        <w:tblLook w:val="04A0" w:firstRow="1" w:lastRow="0" w:firstColumn="1" w:lastColumn="0" w:noHBand="0" w:noVBand="1"/>
        <w:tblDescription w:val="The ADL Checklist table is an example of the checklist for activities of daily living (ADL). This table is to be read left to right, top to bottom, noting that tick boxes are not functional."/>
      </w:tblPr>
      <w:tblGrid>
        <w:gridCol w:w="7513"/>
        <w:gridCol w:w="1558"/>
      </w:tblGrid>
      <w:tr w:rsidR="00557FD2" w:rsidRPr="009C2C03" w:rsidTr="009C2C03">
        <w:trPr>
          <w:trHeight w:val="217"/>
          <w:tblHeader/>
        </w:trPr>
        <w:tc>
          <w:tcPr>
            <w:tcW w:w="7513" w:type="dxa"/>
            <w:shd w:val="clear" w:color="auto" w:fill="D9D9D9" w:themeFill="background1" w:themeFillShade="D9"/>
          </w:tcPr>
          <w:p w:rsidR="00557FD2" w:rsidRPr="009C2C03" w:rsidRDefault="00557FD2" w:rsidP="00AB104B">
            <w:pPr>
              <w:pStyle w:val="Tableheader1"/>
              <w:spacing w:after="0"/>
              <w:jc w:val="left"/>
              <w:rPr>
                <w:rFonts w:asciiTheme="minorHAnsi" w:hAnsiTheme="minorHAnsi" w:cstheme="minorHAnsi"/>
                <w:sz w:val="24"/>
              </w:rPr>
            </w:pPr>
            <w:bookmarkStart w:id="295" w:name="_Hlk488270815"/>
            <w:bookmarkEnd w:id="293"/>
            <w:r w:rsidRPr="009C2C03">
              <w:rPr>
                <w:rFonts w:asciiTheme="minorHAnsi" w:hAnsiTheme="minorHAnsi" w:cstheme="minorHAnsi"/>
                <w:sz w:val="24"/>
              </w:rPr>
              <w:t>Reason for Assistance with ADLs</w:t>
            </w:r>
          </w:p>
        </w:tc>
        <w:tc>
          <w:tcPr>
            <w:tcW w:w="1558" w:type="dxa"/>
            <w:shd w:val="clear" w:color="auto" w:fill="D9D9D9" w:themeFill="background1" w:themeFillShade="D9"/>
          </w:tcPr>
          <w:p w:rsidR="00557FD2" w:rsidRPr="009C2C03" w:rsidRDefault="00557FD2" w:rsidP="009C2C03">
            <w:pPr>
              <w:pStyle w:val="Tabletype1"/>
              <w:spacing w:after="0"/>
              <w:jc w:val="center"/>
              <w:rPr>
                <w:rFonts w:asciiTheme="minorHAnsi" w:hAnsiTheme="minorHAnsi" w:cstheme="minorHAnsi"/>
                <w:sz w:val="22"/>
                <w:szCs w:val="22"/>
              </w:rPr>
            </w:pPr>
            <w:r w:rsidRPr="009C2C03">
              <w:rPr>
                <w:rFonts w:asciiTheme="minorHAnsi" w:hAnsiTheme="minorHAnsi" w:cstheme="minorHAnsi"/>
                <w:sz w:val="22"/>
                <w:szCs w:val="22"/>
              </w:rPr>
              <w:t>(Can tick more than one)</w:t>
            </w:r>
          </w:p>
        </w:tc>
      </w:tr>
      <w:tr w:rsidR="00557FD2" w:rsidRPr="009C2C03" w:rsidTr="009C2C03">
        <w:tc>
          <w:tcPr>
            <w:tcW w:w="7513" w:type="dxa"/>
          </w:tcPr>
          <w:p w:rsidR="00557FD2" w:rsidRPr="009C2C03" w:rsidRDefault="00557FD2" w:rsidP="00AB104B">
            <w:pPr>
              <w:pStyle w:val="numberedtableheader2"/>
              <w:spacing w:after="0"/>
              <w:ind w:left="0" w:firstLine="0"/>
              <w:jc w:val="left"/>
              <w:rPr>
                <w:rFonts w:asciiTheme="minorHAnsi" w:hAnsiTheme="minorHAnsi" w:cstheme="minorHAnsi"/>
                <w:sz w:val="22"/>
              </w:rPr>
            </w:pPr>
            <w:r w:rsidRPr="009C2C03">
              <w:rPr>
                <w:rFonts w:asciiTheme="minorHAnsi" w:hAnsiTheme="minorHAnsi" w:cstheme="minorHAnsi"/>
                <w:sz w:val="22"/>
              </w:rPr>
              <w:t xml:space="preserve">Not Applicable </w:t>
            </w:r>
          </w:p>
        </w:tc>
        <w:tc>
          <w:tcPr>
            <w:tcW w:w="1558" w:type="dxa"/>
          </w:tcPr>
          <w:p w:rsidR="00557FD2" w:rsidRPr="009C2C03" w:rsidRDefault="00557FD2" w:rsidP="00FA6E44">
            <w:pPr>
              <w:pStyle w:val="Tabletype1"/>
              <w:spacing w:after="0"/>
              <w:jc w:val="center"/>
              <w:rPr>
                <w:rFonts w:asciiTheme="minorHAnsi" w:hAnsiTheme="minorHAnsi" w:cstheme="minorHAnsi"/>
                <w:sz w:val="22"/>
                <w:szCs w:val="22"/>
              </w:rPr>
            </w:pPr>
            <w:r w:rsidRPr="009C2C03">
              <w:rPr>
                <w:rFonts w:asciiTheme="minorHAnsi" w:hAnsiTheme="minorHAnsi" w:cstheme="minorHAnsi"/>
                <w:sz w:val="22"/>
                <w:szCs w:val="22"/>
              </w:rPr>
              <w:sym w:font="Wingdings" w:char="F06F"/>
            </w:r>
            <w:r w:rsidRPr="009C2C03">
              <w:rPr>
                <w:rFonts w:asciiTheme="minorHAnsi" w:hAnsiTheme="minorHAnsi" w:cstheme="minorHAnsi"/>
                <w:sz w:val="22"/>
                <w:szCs w:val="22"/>
              </w:rPr>
              <w:t xml:space="preserve"> 0</w:t>
            </w:r>
          </w:p>
        </w:tc>
      </w:tr>
      <w:tr w:rsidR="00557FD2" w:rsidRPr="009C2C03" w:rsidTr="009C2C03">
        <w:trPr>
          <w:trHeight w:val="32"/>
        </w:trPr>
        <w:tc>
          <w:tcPr>
            <w:tcW w:w="7513" w:type="dxa"/>
          </w:tcPr>
          <w:p w:rsidR="00980F62" w:rsidRDefault="00557FD2" w:rsidP="00AB104B">
            <w:pPr>
              <w:pStyle w:val="Tabletype1"/>
              <w:spacing w:after="0"/>
              <w:jc w:val="left"/>
              <w:rPr>
                <w:rFonts w:asciiTheme="minorHAnsi" w:hAnsiTheme="minorHAnsi" w:cstheme="minorHAnsi"/>
                <w:b/>
                <w:sz w:val="22"/>
                <w:szCs w:val="22"/>
                <w:lang w:eastAsia="en-AU"/>
              </w:rPr>
            </w:pPr>
            <w:r w:rsidRPr="009C2C03">
              <w:rPr>
                <w:rFonts w:asciiTheme="minorHAnsi" w:hAnsiTheme="minorHAnsi" w:cstheme="minorHAnsi"/>
                <w:b/>
                <w:sz w:val="22"/>
                <w:szCs w:val="22"/>
                <w:lang w:eastAsia="en-AU"/>
              </w:rPr>
              <w:t>Physical Impairment</w:t>
            </w:r>
          </w:p>
          <w:p w:rsidR="00557FD2" w:rsidRPr="009C2C03" w:rsidRDefault="00557FD2" w:rsidP="00AB104B">
            <w:pPr>
              <w:pStyle w:val="Tabletype1"/>
              <w:spacing w:after="0"/>
              <w:jc w:val="left"/>
              <w:rPr>
                <w:rFonts w:asciiTheme="minorHAnsi" w:hAnsiTheme="minorHAnsi" w:cstheme="minorHAnsi"/>
                <w:sz w:val="22"/>
                <w:szCs w:val="22"/>
              </w:rPr>
            </w:pPr>
            <w:r w:rsidRPr="009C2C03">
              <w:rPr>
                <w:rFonts w:asciiTheme="minorHAnsi" w:hAnsiTheme="minorHAnsi" w:cstheme="minorHAnsi"/>
                <w:sz w:val="22"/>
                <w:szCs w:val="22"/>
                <w:lang w:eastAsia="en-AU"/>
              </w:rPr>
              <w:t>Requested Evidence:</w:t>
            </w:r>
            <w:r w:rsidR="00BA4210">
              <w:rPr>
                <w:rFonts w:asciiTheme="minorHAnsi" w:hAnsiTheme="minorHAnsi" w:cstheme="minorHAnsi"/>
                <w:sz w:val="22"/>
                <w:szCs w:val="22"/>
                <w:lang w:eastAsia="en-AU"/>
              </w:rPr>
              <w:t xml:space="preserve">  </w:t>
            </w:r>
            <w:r w:rsidRPr="009C2C03">
              <w:rPr>
                <w:rFonts w:asciiTheme="minorHAnsi" w:hAnsiTheme="minorHAnsi" w:cstheme="minorHAnsi"/>
                <w:sz w:val="22"/>
                <w:szCs w:val="22"/>
                <w:lang w:eastAsia="en-AU"/>
              </w:rPr>
              <w:sym w:font="Wingdings" w:char="F06F"/>
            </w:r>
            <w:r w:rsidRPr="009C2C03">
              <w:rPr>
                <w:rFonts w:asciiTheme="minorHAnsi" w:hAnsiTheme="minorHAnsi" w:cstheme="minorHAnsi"/>
                <w:sz w:val="22"/>
                <w:szCs w:val="22"/>
                <w:lang w:eastAsia="en-AU"/>
              </w:rPr>
              <w:t xml:space="preserve"> NSAF </w:t>
            </w:r>
            <w:r w:rsidRPr="009C2C03">
              <w:rPr>
                <w:rFonts w:asciiTheme="minorHAnsi" w:hAnsiTheme="minorHAnsi" w:cstheme="minorHAnsi"/>
                <w:sz w:val="22"/>
                <w:szCs w:val="22"/>
                <w:lang w:eastAsia="en-AU"/>
              </w:rPr>
              <w:sym w:font="Wingdings" w:char="F06F"/>
            </w:r>
            <w:r w:rsidRPr="009C2C03">
              <w:rPr>
                <w:rFonts w:asciiTheme="minorHAnsi" w:hAnsiTheme="minorHAnsi" w:cstheme="minorHAnsi"/>
                <w:sz w:val="22"/>
                <w:szCs w:val="22"/>
                <w:lang w:eastAsia="en-AU"/>
              </w:rPr>
              <w:t xml:space="preserve"> MP notes </w:t>
            </w:r>
            <w:r w:rsidRPr="009C2C03">
              <w:rPr>
                <w:rFonts w:asciiTheme="minorHAnsi" w:hAnsiTheme="minorHAnsi" w:cstheme="minorHAnsi"/>
                <w:sz w:val="22"/>
                <w:szCs w:val="22"/>
                <w:lang w:eastAsia="en-AU"/>
              </w:rPr>
              <w:sym w:font="Wingdings" w:char="F06F"/>
            </w:r>
            <w:r w:rsidR="00EE0B94" w:rsidRPr="009C2C03">
              <w:rPr>
                <w:rFonts w:asciiTheme="minorHAnsi" w:hAnsiTheme="minorHAnsi" w:cstheme="minorHAnsi"/>
                <w:sz w:val="22"/>
                <w:szCs w:val="22"/>
                <w:lang w:eastAsia="en-AU"/>
              </w:rPr>
              <w:t xml:space="preserve"> Physical Therapist</w:t>
            </w:r>
            <w:r w:rsidR="00EE0B94" w:rsidRPr="009C2C03">
              <w:rPr>
                <w:rFonts w:asciiTheme="minorHAnsi" w:hAnsiTheme="minorHAnsi" w:cstheme="minorHAnsi"/>
                <w:sz w:val="22"/>
                <w:szCs w:val="22"/>
                <w:vertAlign w:val="superscript"/>
                <w:lang w:eastAsia="en-AU"/>
              </w:rPr>
              <w:t>1</w:t>
            </w:r>
            <w:r w:rsidR="00EE0B94" w:rsidRPr="009C2C03">
              <w:rPr>
                <w:rFonts w:asciiTheme="minorHAnsi" w:hAnsiTheme="minorHAnsi" w:cstheme="minorHAnsi"/>
                <w:sz w:val="22"/>
                <w:szCs w:val="22"/>
                <w:lang w:eastAsia="en-AU"/>
              </w:rPr>
              <w:t xml:space="preserve"> </w:t>
            </w:r>
            <w:r w:rsidRPr="009C2C03">
              <w:rPr>
                <w:rFonts w:asciiTheme="minorHAnsi" w:hAnsiTheme="minorHAnsi" w:cstheme="minorHAnsi"/>
                <w:sz w:val="22"/>
                <w:szCs w:val="22"/>
                <w:lang w:eastAsia="en-AU"/>
              </w:rPr>
              <w:t>notes</w:t>
            </w:r>
          </w:p>
        </w:tc>
        <w:tc>
          <w:tcPr>
            <w:tcW w:w="1558" w:type="dxa"/>
          </w:tcPr>
          <w:p w:rsidR="00557FD2" w:rsidRPr="009C2C03" w:rsidRDefault="00557FD2" w:rsidP="00FA6E44">
            <w:pPr>
              <w:pStyle w:val="Tabletype1"/>
              <w:spacing w:after="0"/>
              <w:jc w:val="center"/>
              <w:rPr>
                <w:rFonts w:asciiTheme="minorHAnsi" w:hAnsiTheme="minorHAnsi" w:cstheme="minorHAnsi"/>
                <w:sz w:val="22"/>
                <w:szCs w:val="22"/>
              </w:rPr>
            </w:pPr>
            <w:r w:rsidRPr="009C2C03">
              <w:rPr>
                <w:rFonts w:asciiTheme="minorHAnsi" w:hAnsiTheme="minorHAnsi" w:cstheme="minorHAnsi"/>
                <w:sz w:val="22"/>
                <w:szCs w:val="22"/>
              </w:rPr>
              <w:sym w:font="Wingdings" w:char="F06F"/>
            </w:r>
            <w:r w:rsidRPr="009C2C03">
              <w:rPr>
                <w:rFonts w:asciiTheme="minorHAnsi" w:hAnsiTheme="minorHAnsi" w:cstheme="minorHAnsi"/>
                <w:sz w:val="22"/>
                <w:szCs w:val="22"/>
              </w:rPr>
              <w:t xml:space="preserve"> 1</w:t>
            </w:r>
          </w:p>
        </w:tc>
      </w:tr>
      <w:tr w:rsidR="00557FD2" w:rsidRPr="009C2C03" w:rsidTr="009C2C03">
        <w:trPr>
          <w:trHeight w:val="32"/>
        </w:trPr>
        <w:tc>
          <w:tcPr>
            <w:tcW w:w="7513" w:type="dxa"/>
          </w:tcPr>
          <w:p w:rsidR="00980F62" w:rsidRDefault="00557FD2" w:rsidP="00AB104B">
            <w:pPr>
              <w:pStyle w:val="numberedtableheader2"/>
              <w:spacing w:after="0"/>
              <w:ind w:left="0" w:firstLine="0"/>
              <w:jc w:val="left"/>
              <w:rPr>
                <w:rFonts w:asciiTheme="minorHAnsi" w:hAnsiTheme="minorHAnsi" w:cstheme="minorHAnsi"/>
                <w:sz w:val="22"/>
                <w:lang w:eastAsia="en-AU"/>
              </w:rPr>
            </w:pPr>
            <w:r w:rsidRPr="009C2C03">
              <w:rPr>
                <w:rFonts w:asciiTheme="minorHAnsi" w:hAnsiTheme="minorHAnsi" w:cstheme="minorHAnsi"/>
                <w:sz w:val="22"/>
                <w:lang w:eastAsia="en-AU"/>
              </w:rPr>
              <w:t>Sensory Impairment (vision)</w:t>
            </w:r>
          </w:p>
          <w:p w:rsidR="00557FD2" w:rsidRPr="009C2C03" w:rsidRDefault="00557FD2" w:rsidP="00AB104B">
            <w:pPr>
              <w:pStyle w:val="numberedtableheader2"/>
              <w:spacing w:after="0"/>
              <w:ind w:left="0" w:firstLine="0"/>
              <w:jc w:val="left"/>
              <w:rPr>
                <w:rFonts w:asciiTheme="minorHAnsi" w:hAnsiTheme="minorHAnsi" w:cstheme="minorHAnsi"/>
                <w:b w:val="0"/>
                <w:sz w:val="22"/>
              </w:rPr>
            </w:pPr>
            <w:r w:rsidRPr="009C2C03">
              <w:rPr>
                <w:rFonts w:asciiTheme="minorHAnsi" w:hAnsiTheme="minorHAnsi" w:cstheme="minorHAnsi"/>
                <w:b w:val="0"/>
                <w:sz w:val="22"/>
                <w:lang w:eastAsia="en-AU"/>
              </w:rPr>
              <w:t>Requested Evidence:</w:t>
            </w:r>
            <w:r w:rsidR="00BA4210">
              <w:rPr>
                <w:rFonts w:asciiTheme="minorHAnsi" w:hAnsiTheme="minorHAnsi" w:cstheme="minorHAnsi"/>
                <w:b w:val="0"/>
                <w:sz w:val="22"/>
                <w:lang w:eastAsia="en-AU"/>
              </w:rPr>
              <w:t xml:space="preserve"> </w:t>
            </w:r>
            <w:r w:rsidRPr="009C2C03">
              <w:rPr>
                <w:rFonts w:asciiTheme="minorHAnsi" w:hAnsiTheme="minorHAnsi" w:cstheme="minorHAnsi"/>
                <w:b w:val="0"/>
                <w:sz w:val="22"/>
                <w:lang w:eastAsia="en-AU"/>
              </w:rPr>
              <w:t xml:space="preserve"> </w:t>
            </w:r>
            <w:r w:rsidRPr="009C2C03">
              <w:rPr>
                <w:rFonts w:asciiTheme="minorHAnsi" w:hAnsiTheme="minorHAnsi" w:cstheme="minorHAnsi"/>
                <w:b w:val="0"/>
                <w:sz w:val="22"/>
                <w:lang w:eastAsia="en-AU"/>
              </w:rPr>
              <w:sym w:font="Wingdings" w:char="F06F"/>
            </w:r>
            <w:r w:rsidRPr="009C2C03">
              <w:rPr>
                <w:rFonts w:asciiTheme="minorHAnsi" w:hAnsiTheme="minorHAnsi" w:cstheme="minorHAnsi"/>
                <w:b w:val="0"/>
                <w:sz w:val="22"/>
                <w:lang w:eastAsia="en-AU"/>
              </w:rPr>
              <w:t xml:space="preserve"> NSAF </w:t>
            </w:r>
            <w:r w:rsidRPr="009C2C03">
              <w:rPr>
                <w:rFonts w:asciiTheme="minorHAnsi" w:hAnsiTheme="minorHAnsi" w:cstheme="minorHAnsi"/>
                <w:sz w:val="22"/>
                <w:lang w:eastAsia="en-AU"/>
              </w:rPr>
              <w:sym w:font="Wingdings" w:char="F06F"/>
            </w:r>
            <w:r w:rsidRPr="009C2C03">
              <w:rPr>
                <w:rFonts w:asciiTheme="minorHAnsi" w:hAnsiTheme="minorHAnsi" w:cstheme="minorHAnsi"/>
                <w:sz w:val="22"/>
                <w:lang w:eastAsia="en-AU"/>
              </w:rPr>
              <w:t xml:space="preserve"> </w:t>
            </w:r>
            <w:r w:rsidRPr="009C2C03">
              <w:rPr>
                <w:rFonts w:asciiTheme="minorHAnsi" w:hAnsiTheme="minorHAnsi" w:cstheme="minorHAnsi"/>
                <w:b w:val="0"/>
                <w:sz w:val="22"/>
                <w:lang w:eastAsia="en-AU"/>
              </w:rPr>
              <w:t>MP notes</w:t>
            </w:r>
            <w:r w:rsidRPr="009C2C03">
              <w:rPr>
                <w:rFonts w:asciiTheme="minorHAnsi" w:hAnsiTheme="minorHAnsi" w:cstheme="minorHAnsi"/>
                <w:sz w:val="22"/>
                <w:lang w:eastAsia="en-AU"/>
              </w:rPr>
              <w:t xml:space="preserve"> </w:t>
            </w:r>
            <w:r w:rsidRPr="009C2C03">
              <w:rPr>
                <w:rFonts w:asciiTheme="minorHAnsi" w:hAnsiTheme="minorHAnsi" w:cstheme="minorHAnsi"/>
                <w:b w:val="0"/>
                <w:sz w:val="22"/>
                <w:lang w:eastAsia="en-AU"/>
              </w:rPr>
              <w:sym w:font="Wingdings" w:char="F06F"/>
            </w:r>
            <w:r w:rsidRPr="009C2C03">
              <w:rPr>
                <w:rFonts w:asciiTheme="minorHAnsi" w:hAnsiTheme="minorHAnsi" w:cstheme="minorHAnsi"/>
                <w:b w:val="0"/>
                <w:sz w:val="22"/>
                <w:lang w:eastAsia="en-AU"/>
              </w:rPr>
              <w:t xml:space="preserve"> Clinical Report </w:t>
            </w:r>
          </w:p>
        </w:tc>
        <w:tc>
          <w:tcPr>
            <w:tcW w:w="1558" w:type="dxa"/>
          </w:tcPr>
          <w:p w:rsidR="00557FD2" w:rsidRPr="009C2C03" w:rsidRDefault="00557FD2" w:rsidP="00FA6E44">
            <w:pPr>
              <w:pStyle w:val="Tabletype1"/>
              <w:spacing w:after="0"/>
              <w:jc w:val="center"/>
              <w:rPr>
                <w:rFonts w:asciiTheme="minorHAnsi" w:hAnsiTheme="minorHAnsi" w:cstheme="minorHAnsi"/>
                <w:sz w:val="22"/>
                <w:szCs w:val="22"/>
              </w:rPr>
            </w:pPr>
            <w:r w:rsidRPr="009C2C03">
              <w:rPr>
                <w:rFonts w:asciiTheme="minorHAnsi" w:hAnsiTheme="minorHAnsi" w:cstheme="minorHAnsi"/>
                <w:sz w:val="22"/>
                <w:szCs w:val="22"/>
              </w:rPr>
              <w:sym w:font="Wingdings" w:char="F06F"/>
            </w:r>
            <w:r w:rsidRPr="009C2C03">
              <w:rPr>
                <w:rFonts w:asciiTheme="minorHAnsi" w:hAnsiTheme="minorHAnsi" w:cstheme="minorHAnsi"/>
                <w:sz w:val="22"/>
                <w:szCs w:val="22"/>
              </w:rPr>
              <w:t xml:space="preserve"> 2</w:t>
            </w:r>
          </w:p>
        </w:tc>
      </w:tr>
      <w:tr w:rsidR="00557FD2" w:rsidRPr="009C2C03" w:rsidTr="009C2C03">
        <w:trPr>
          <w:trHeight w:val="32"/>
        </w:trPr>
        <w:tc>
          <w:tcPr>
            <w:tcW w:w="7513" w:type="dxa"/>
          </w:tcPr>
          <w:p w:rsidR="00980F62" w:rsidRDefault="00557FD2" w:rsidP="00AB104B">
            <w:pPr>
              <w:pStyle w:val="numberedtableheader2"/>
              <w:spacing w:after="0"/>
              <w:ind w:left="0" w:firstLine="0"/>
              <w:jc w:val="left"/>
              <w:rPr>
                <w:rFonts w:asciiTheme="minorHAnsi" w:hAnsiTheme="minorHAnsi" w:cstheme="minorHAnsi"/>
                <w:sz w:val="22"/>
                <w:lang w:eastAsia="en-AU"/>
              </w:rPr>
            </w:pPr>
            <w:r w:rsidRPr="009C2C03">
              <w:rPr>
                <w:rFonts w:asciiTheme="minorHAnsi" w:hAnsiTheme="minorHAnsi" w:cstheme="minorHAnsi"/>
                <w:sz w:val="22"/>
                <w:lang w:eastAsia="en-AU"/>
              </w:rPr>
              <w:t>Cognitive Impairment</w:t>
            </w:r>
          </w:p>
          <w:p w:rsidR="00557FD2" w:rsidRPr="009C2C03" w:rsidRDefault="00557FD2" w:rsidP="00AB104B">
            <w:pPr>
              <w:pStyle w:val="numberedtableheader2"/>
              <w:spacing w:after="0"/>
              <w:ind w:left="0" w:firstLine="0"/>
              <w:jc w:val="left"/>
              <w:rPr>
                <w:rFonts w:asciiTheme="minorHAnsi" w:hAnsiTheme="minorHAnsi" w:cstheme="minorHAnsi"/>
                <w:b w:val="0"/>
                <w:sz w:val="22"/>
              </w:rPr>
            </w:pPr>
            <w:r w:rsidRPr="009C2C03">
              <w:rPr>
                <w:rFonts w:asciiTheme="minorHAnsi" w:hAnsiTheme="minorHAnsi" w:cstheme="minorHAnsi"/>
                <w:b w:val="0"/>
                <w:sz w:val="22"/>
                <w:lang w:eastAsia="en-AU"/>
              </w:rPr>
              <w:t xml:space="preserve">Requested Evidence: </w:t>
            </w:r>
            <w:r w:rsidR="00BA4210">
              <w:rPr>
                <w:rFonts w:asciiTheme="minorHAnsi" w:hAnsiTheme="minorHAnsi" w:cstheme="minorHAnsi"/>
                <w:b w:val="0"/>
                <w:sz w:val="22"/>
                <w:lang w:eastAsia="en-AU"/>
              </w:rPr>
              <w:t xml:space="preserve"> </w:t>
            </w:r>
            <w:r w:rsidRPr="009C2C03">
              <w:rPr>
                <w:rFonts w:asciiTheme="minorHAnsi" w:hAnsiTheme="minorHAnsi" w:cstheme="minorHAnsi"/>
                <w:b w:val="0"/>
                <w:sz w:val="22"/>
                <w:lang w:eastAsia="en-AU"/>
              </w:rPr>
              <w:sym w:font="Wingdings" w:char="F06F"/>
            </w:r>
            <w:r w:rsidRPr="009C2C03">
              <w:rPr>
                <w:rFonts w:asciiTheme="minorHAnsi" w:hAnsiTheme="minorHAnsi" w:cstheme="minorHAnsi"/>
                <w:b w:val="0"/>
                <w:sz w:val="22"/>
                <w:lang w:eastAsia="en-AU"/>
              </w:rPr>
              <w:t xml:space="preserve"> NSAF </w:t>
            </w:r>
            <w:r w:rsidRPr="009C2C03">
              <w:rPr>
                <w:rFonts w:asciiTheme="minorHAnsi" w:hAnsiTheme="minorHAnsi" w:cstheme="minorHAnsi"/>
                <w:sz w:val="22"/>
                <w:lang w:eastAsia="en-AU"/>
              </w:rPr>
              <w:sym w:font="Wingdings" w:char="F06F"/>
            </w:r>
            <w:r w:rsidRPr="009C2C03">
              <w:rPr>
                <w:rFonts w:asciiTheme="minorHAnsi" w:hAnsiTheme="minorHAnsi" w:cstheme="minorHAnsi"/>
                <w:sz w:val="22"/>
                <w:lang w:eastAsia="en-AU"/>
              </w:rPr>
              <w:t xml:space="preserve"> </w:t>
            </w:r>
            <w:r w:rsidRPr="009C2C03">
              <w:rPr>
                <w:rFonts w:asciiTheme="minorHAnsi" w:hAnsiTheme="minorHAnsi" w:cstheme="minorHAnsi"/>
                <w:b w:val="0"/>
                <w:sz w:val="22"/>
                <w:lang w:eastAsia="en-AU"/>
              </w:rPr>
              <w:t>MP notes</w:t>
            </w:r>
            <w:r w:rsidRPr="009C2C03">
              <w:rPr>
                <w:rFonts w:asciiTheme="minorHAnsi" w:hAnsiTheme="minorHAnsi" w:cstheme="minorHAnsi"/>
                <w:sz w:val="22"/>
                <w:lang w:eastAsia="en-AU"/>
              </w:rPr>
              <w:t xml:space="preserve"> </w:t>
            </w:r>
            <w:r w:rsidRPr="009C2C03">
              <w:rPr>
                <w:rFonts w:asciiTheme="minorHAnsi" w:hAnsiTheme="minorHAnsi" w:cstheme="minorHAnsi"/>
                <w:b w:val="0"/>
                <w:sz w:val="22"/>
                <w:lang w:eastAsia="en-AU"/>
              </w:rPr>
              <w:sym w:font="Wingdings" w:char="F06F"/>
            </w:r>
            <w:r w:rsidRPr="009C2C03">
              <w:rPr>
                <w:rFonts w:asciiTheme="minorHAnsi" w:hAnsiTheme="minorHAnsi" w:cstheme="minorHAnsi"/>
                <w:b w:val="0"/>
                <w:sz w:val="22"/>
                <w:lang w:eastAsia="en-AU"/>
              </w:rPr>
              <w:t xml:space="preserve"> Clinical Report </w:t>
            </w:r>
            <w:r w:rsidRPr="009C2C03">
              <w:rPr>
                <w:rFonts w:asciiTheme="minorHAnsi" w:hAnsiTheme="minorHAnsi" w:cstheme="minorHAnsi"/>
                <w:b w:val="0"/>
                <w:sz w:val="22"/>
                <w:lang w:eastAsia="en-AU"/>
              </w:rPr>
              <w:sym w:font="Wingdings" w:char="F06F"/>
            </w:r>
            <w:r w:rsidRPr="009C2C03">
              <w:rPr>
                <w:rFonts w:asciiTheme="minorHAnsi" w:hAnsiTheme="minorHAnsi" w:cstheme="minorHAnsi"/>
                <w:b w:val="0"/>
                <w:sz w:val="22"/>
                <w:lang w:eastAsia="en-AU"/>
              </w:rPr>
              <w:t xml:space="preserve"> SMMSE</w:t>
            </w:r>
          </w:p>
        </w:tc>
        <w:tc>
          <w:tcPr>
            <w:tcW w:w="1558" w:type="dxa"/>
          </w:tcPr>
          <w:p w:rsidR="00557FD2" w:rsidRPr="009C2C03" w:rsidRDefault="00557FD2" w:rsidP="00FA6E44">
            <w:pPr>
              <w:pStyle w:val="Tabletype1"/>
              <w:spacing w:after="0"/>
              <w:jc w:val="center"/>
              <w:rPr>
                <w:rFonts w:asciiTheme="minorHAnsi" w:hAnsiTheme="minorHAnsi" w:cstheme="minorHAnsi"/>
                <w:sz w:val="22"/>
                <w:szCs w:val="22"/>
              </w:rPr>
            </w:pPr>
            <w:r w:rsidRPr="009C2C03">
              <w:rPr>
                <w:rFonts w:asciiTheme="minorHAnsi" w:hAnsiTheme="minorHAnsi" w:cstheme="minorHAnsi"/>
                <w:sz w:val="22"/>
                <w:szCs w:val="22"/>
              </w:rPr>
              <w:sym w:font="Wingdings" w:char="F06F"/>
            </w:r>
            <w:r w:rsidRPr="009C2C03">
              <w:rPr>
                <w:rFonts w:asciiTheme="minorHAnsi" w:hAnsiTheme="minorHAnsi" w:cstheme="minorHAnsi"/>
                <w:sz w:val="22"/>
                <w:szCs w:val="22"/>
              </w:rPr>
              <w:t xml:space="preserve"> 3</w:t>
            </w:r>
          </w:p>
        </w:tc>
      </w:tr>
      <w:tr w:rsidR="00557FD2" w:rsidRPr="009C2C03" w:rsidTr="009C2C03">
        <w:trPr>
          <w:trHeight w:val="32"/>
        </w:trPr>
        <w:tc>
          <w:tcPr>
            <w:tcW w:w="7513" w:type="dxa"/>
          </w:tcPr>
          <w:p w:rsidR="00557FD2" w:rsidRPr="009C2C03" w:rsidRDefault="00557FD2" w:rsidP="00AB104B">
            <w:pPr>
              <w:pStyle w:val="numberedtableheader2"/>
              <w:spacing w:after="0"/>
              <w:ind w:left="0" w:firstLine="0"/>
              <w:jc w:val="left"/>
              <w:rPr>
                <w:rFonts w:asciiTheme="minorHAnsi" w:hAnsiTheme="minorHAnsi" w:cstheme="minorHAnsi"/>
                <w:sz w:val="22"/>
                <w:lang w:eastAsia="en-AU"/>
              </w:rPr>
            </w:pPr>
            <w:r w:rsidRPr="009C2C03">
              <w:rPr>
                <w:rFonts w:asciiTheme="minorHAnsi" w:hAnsiTheme="minorHAnsi" w:cstheme="minorHAnsi"/>
                <w:sz w:val="22"/>
                <w:lang w:eastAsia="en-AU"/>
              </w:rPr>
              <w:t>Behavioural</w:t>
            </w:r>
          </w:p>
          <w:p w:rsidR="00557FD2" w:rsidRPr="009C2C03" w:rsidRDefault="00557FD2" w:rsidP="00AB104B">
            <w:pPr>
              <w:pStyle w:val="numberedtableheader2"/>
              <w:spacing w:after="0"/>
              <w:ind w:left="0" w:firstLine="0"/>
              <w:jc w:val="left"/>
              <w:rPr>
                <w:rFonts w:asciiTheme="minorHAnsi" w:hAnsiTheme="minorHAnsi" w:cstheme="minorHAnsi"/>
                <w:b w:val="0"/>
                <w:sz w:val="22"/>
                <w:vertAlign w:val="superscript"/>
                <w:lang w:eastAsia="en-AU"/>
              </w:rPr>
            </w:pPr>
            <w:r w:rsidRPr="009C2C03">
              <w:rPr>
                <w:rFonts w:asciiTheme="minorHAnsi" w:hAnsiTheme="minorHAnsi" w:cstheme="minorHAnsi"/>
                <w:b w:val="0"/>
                <w:sz w:val="22"/>
                <w:lang w:eastAsia="en-AU"/>
              </w:rPr>
              <w:t>Requested Evidence:</w:t>
            </w:r>
            <w:r w:rsidR="00BA4210">
              <w:rPr>
                <w:rFonts w:asciiTheme="minorHAnsi" w:hAnsiTheme="minorHAnsi" w:cstheme="minorHAnsi"/>
                <w:b w:val="0"/>
                <w:sz w:val="22"/>
                <w:lang w:eastAsia="en-AU"/>
              </w:rPr>
              <w:t xml:space="preserve"> </w:t>
            </w:r>
            <w:r w:rsidRPr="009C2C03">
              <w:rPr>
                <w:rFonts w:asciiTheme="minorHAnsi" w:hAnsiTheme="minorHAnsi" w:cstheme="minorHAnsi"/>
                <w:b w:val="0"/>
                <w:sz w:val="22"/>
                <w:lang w:eastAsia="en-AU"/>
              </w:rPr>
              <w:t xml:space="preserve"> </w:t>
            </w:r>
            <w:r w:rsidRPr="009C2C03">
              <w:rPr>
                <w:rFonts w:asciiTheme="minorHAnsi" w:hAnsiTheme="minorHAnsi" w:cstheme="minorHAnsi"/>
                <w:b w:val="0"/>
                <w:sz w:val="22"/>
                <w:lang w:eastAsia="en-AU"/>
              </w:rPr>
              <w:sym w:font="Wingdings" w:char="F06F"/>
            </w:r>
            <w:r w:rsidRPr="009C2C03">
              <w:rPr>
                <w:rFonts w:asciiTheme="minorHAnsi" w:hAnsiTheme="minorHAnsi" w:cstheme="minorHAnsi"/>
                <w:b w:val="0"/>
                <w:sz w:val="22"/>
                <w:lang w:eastAsia="en-AU"/>
              </w:rPr>
              <w:t xml:space="preserve"> NSAF </w:t>
            </w:r>
            <w:r w:rsidRPr="009C2C03">
              <w:rPr>
                <w:rFonts w:asciiTheme="minorHAnsi" w:hAnsiTheme="minorHAnsi" w:cstheme="minorHAnsi"/>
                <w:sz w:val="22"/>
                <w:lang w:eastAsia="en-AU"/>
              </w:rPr>
              <w:sym w:font="Wingdings" w:char="F06F"/>
            </w:r>
            <w:r w:rsidRPr="009C2C03">
              <w:rPr>
                <w:rFonts w:asciiTheme="minorHAnsi" w:hAnsiTheme="minorHAnsi" w:cstheme="minorHAnsi"/>
                <w:sz w:val="22"/>
                <w:lang w:eastAsia="en-AU"/>
              </w:rPr>
              <w:t xml:space="preserve"> </w:t>
            </w:r>
            <w:r w:rsidRPr="009C2C03">
              <w:rPr>
                <w:rFonts w:asciiTheme="minorHAnsi" w:hAnsiTheme="minorHAnsi" w:cstheme="minorHAnsi"/>
                <w:b w:val="0"/>
                <w:sz w:val="22"/>
                <w:lang w:eastAsia="en-AU"/>
              </w:rPr>
              <w:t>MP notes</w:t>
            </w:r>
            <w:r w:rsidRPr="009C2C03">
              <w:rPr>
                <w:rFonts w:asciiTheme="minorHAnsi" w:hAnsiTheme="minorHAnsi" w:cstheme="minorHAnsi"/>
                <w:sz w:val="22"/>
                <w:lang w:eastAsia="en-AU"/>
              </w:rPr>
              <w:t xml:space="preserve"> </w:t>
            </w:r>
            <w:r w:rsidRPr="009C2C03">
              <w:rPr>
                <w:rFonts w:asciiTheme="minorHAnsi" w:hAnsiTheme="minorHAnsi" w:cstheme="minorHAnsi"/>
                <w:b w:val="0"/>
                <w:sz w:val="22"/>
                <w:lang w:eastAsia="en-AU"/>
              </w:rPr>
              <w:sym w:font="Wingdings" w:char="F06F"/>
            </w:r>
            <w:r w:rsidRPr="009C2C03">
              <w:rPr>
                <w:rFonts w:asciiTheme="minorHAnsi" w:hAnsiTheme="minorHAnsi" w:cstheme="minorHAnsi"/>
                <w:b w:val="0"/>
                <w:sz w:val="22"/>
                <w:lang w:eastAsia="en-AU"/>
              </w:rPr>
              <w:t xml:space="preserve"> Clinical Report</w:t>
            </w:r>
            <w:r w:rsidR="00AE25B7" w:rsidRPr="009C2C03">
              <w:rPr>
                <w:rFonts w:asciiTheme="minorHAnsi" w:hAnsiTheme="minorHAnsi" w:cstheme="minorHAnsi"/>
                <w:b w:val="0"/>
                <w:sz w:val="22"/>
                <w:lang w:eastAsia="en-AU"/>
              </w:rPr>
              <w:t xml:space="preserve"> </w:t>
            </w:r>
            <w:r w:rsidR="00AE25B7" w:rsidRPr="009C2C03">
              <w:rPr>
                <w:rFonts w:asciiTheme="minorHAnsi" w:hAnsiTheme="minorHAnsi" w:cstheme="minorHAnsi"/>
                <w:b w:val="0"/>
                <w:sz w:val="22"/>
                <w:lang w:eastAsia="en-AU"/>
              </w:rPr>
              <w:sym w:font="Wingdings" w:char="F06F"/>
            </w:r>
            <w:r w:rsidR="00AE25B7" w:rsidRPr="009C2C03">
              <w:rPr>
                <w:rFonts w:asciiTheme="minorHAnsi" w:hAnsiTheme="minorHAnsi" w:cstheme="minorHAnsi"/>
                <w:b w:val="0"/>
                <w:sz w:val="22"/>
                <w:lang w:eastAsia="en-AU"/>
              </w:rPr>
              <w:t xml:space="preserve"> Behaviour Report</w:t>
            </w:r>
          </w:p>
        </w:tc>
        <w:tc>
          <w:tcPr>
            <w:tcW w:w="1558" w:type="dxa"/>
          </w:tcPr>
          <w:p w:rsidR="00557FD2" w:rsidRPr="009C2C03" w:rsidRDefault="00557FD2" w:rsidP="00FA6E44">
            <w:pPr>
              <w:pStyle w:val="Tabletype1"/>
              <w:spacing w:after="0"/>
              <w:jc w:val="center"/>
              <w:rPr>
                <w:rFonts w:asciiTheme="minorHAnsi" w:hAnsiTheme="minorHAnsi" w:cstheme="minorHAnsi"/>
                <w:sz w:val="22"/>
                <w:szCs w:val="22"/>
              </w:rPr>
            </w:pPr>
            <w:r w:rsidRPr="009C2C03">
              <w:rPr>
                <w:rFonts w:asciiTheme="minorHAnsi" w:hAnsiTheme="minorHAnsi" w:cstheme="minorHAnsi"/>
                <w:sz w:val="22"/>
                <w:szCs w:val="22"/>
              </w:rPr>
              <w:sym w:font="Wingdings" w:char="F06F"/>
            </w:r>
            <w:r w:rsidRPr="009C2C03">
              <w:rPr>
                <w:rFonts w:asciiTheme="minorHAnsi" w:hAnsiTheme="minorHAnsi" w:cstheme="minorHAnsi"/>
                <w:sz w:val="22"/>
                <w:szCs w:val="22"/>
              </w:rPr>
              <w:t xml:space="preserve"> 4</w:t>
            </w:r>
          </w:p>
        </w:tc>
      </w:tr>
    </w:tbl>
    <w:bookmarkEnd w:id="294"/>
    <w:bookmarkEnd w:id="295"/>
    <w:p w:rsidR="00557FD2" w:rsidRPr="00F06AF0" w:rsidRDefault="00EE0B94" w:rsidP="00557FD2">
      <w:pPr>
        <w:pStyle w:val="Tabletitle1"/>
        <w:pBdr>
          <w:bottom w:val="none" w:sz="0" w:space="0" w:color="auto"/>
        </w:pBdr>
        <w:spacing w:after="0"/>
        <w:rPr>
          <w:rFonts w:asciiTheme="minorHAnsi" w:eastAsiaTheme="majorEastAsia" w:hAnsiTheme="minorHAnsi" w:cstheme="minorHAnsi"/>
          <w:b w:val="0"/>
          <w:sz w:val="20"/>
          <w:szCs w:val="20"/>
        </w:rPr>
      </w:pPr>
      <w:r w:rsidRPr="00FA6E44">
        <w:rPr>
          <w:rFonts w:asciiTheme="minorHAnsi" w:hAnsiTheme="minorHAnsi" w:cstheme="minorHAnsi"/>
          <w:b w:val="0"/>
          <w:sz w:val="20"/>
          <w:szCs w:val="20"/>
          <w:vertAlign w:val="superscript"/>
          <w:lang w:eastAsia="en-AU"/>
        </w:rPr>
        <w:t>1</w:t>
      </w:r>
      <w:r>
        <w:rPr>
          <w:rFonts w:asciiTheme="minorHAnsi" w:hAnsiTheme="minorHAnsi" w:cstheme="minorHAnsi"/>
          <w:sz w:val="20"/>
          <w:szCs w:val="20"/>
          <w:vertAlign w:val="superscript"/>
          <w:lang w:eastAsia="en-AU"/>
        </w:rPr>
        <w:t xml:space="preserve"> </w:t>
      </w:r>
      <w:r w:rsidR="00557FD2" w:rsidRPr="00F06AF0">
        <w:rPr>
          <w:rFonts w:asciiTheme="minorHAnsi" w:hAnsiTheme="minorHAnsi" w:cstheme="minorHAnsi"/>
          <w:b w:val="0"/>
          <w:sz w:val="20"/>
          <w:szCs w:val="20"/>
        </w:rPr>
        <w:t>Physical Therapist</w:t>
      </w:r>
      <w:r w:rsidR="00557FD2" w:rsidRPr="00F06AF0">
        <w:rPr>
          <w:rFonts w:asciiTheme="minorHAnsi" w:eastAsiaTheme="majorEastAsia" w:hAnsiTheme="minorHAnsi" w:cstheme="minorHAnsi"/>
          <w:b w:val="0"/>
          <w:sz w:val="20"/>
          <w:szCs w:val="20"/>
        </w:rPr>
        <w:t xml:space="preserve"> is defined as a registered Physiotherapist or Exercise Physiologist.</w:t>
      </w:r>
    </w:p>
    <w:p w:rsidR="00BA5C7F" w:rsidRPr="004D324E" w:rsidRDefault="00BA5C7F" w:rsidP="00AB104B">
      <w:pPr>
        <w:spacing w:before="120" w:after="0"/>
        <w:rPr>
          <w:rStyle w:val="Strong"/>
        </w:rPr>
      </w:pPr>
      <w:r w:rsidRPr="004D324E">
        <w:rPr>
          <w:rStyle w:val="Strong"/>
        </w:rPr>
        <w:t>Clinical Reports</w:t>
      </w:r>
    </w:p>
    <w:p w:rsidR="00980F62" w:rsidRDefault="00BA5C7F" w:rsidP="00BA5C7F">
      <w:pPr>
        <w:rPr>
          <w:rFonts w:cstheme="minorHAnsi"/>
          <w:szCs w:val="24"/>
        </w:rPr>
      </w:pPr>
      <w:r w:rsidRPr="00F06AF0">
        <w:rPr>
          <w:rFonts w:cstheme="minorHAnsi"/>
          <w:szCs w:val="24"/>
        </w:rPr>
        <w:t xml:space="preserve">If there is an existing clinical report </w:t>
      </w:r>
      <w:r>
        <w:t>available</w:t>
      </w:r>
      <w:r w:rsidRPr="00F06AF0">
        <w:rPr>
          <w:rFonts w:cstheme="minorHAnsi"/>
          <w:szCs w:val="24"/>
        </w:rPr>
        <w:t xml:space="preserve"> it may be included in the </w:t>
      </w:r>
      <w:r>
        <w:rPr>
          <w:rFonts w:cstheme="minorHAnsi"/>
          <w:szCs w:val="24"/>
        </w:rPr>
        <w:t>R-</w:t>
      </w:r>
      <w:r w:rsidRPr="00F06AF0">
        <w:rPr>
          <w:rFonts w:cstheme="minorHAnsi"/>
          <w:szCs w:val="24"/>
        </w:rPr>
        <w:t>ACFI Answer Appraisal Pack to support the rating or the reason for assistance with ADLs.</w:t>
      </w:r>
      <w:r>
        <w:rPr>
          <w:rFonts w:cstheme="minorHAnsi"/>
          <w:szCs w:val="24"/>
        </w:rPr>
        <w:t xml:space="preserve"> </w:t>
      </w:r>
      <w:r w:rsidRPr="00F06AF0">
        <w:rPr>
          <w:rFonts w:cstheme="minorHAnsi"/>
          <w:szCs w:val="24"/>
        </w:rPr>
        <w:t xml:space="preserve">The clinical report must be completed </w:t>
      </w:r>
      <w:r w:rsidRPr="009572ED">
        <w:t>by a registered health professional</w:t>
      </w:r>
      <w:r w:rsidRPr="00F06AF0">
        <w:rPr>
          <w:rFonts w:cstheme="minorHAnsi"/>
          <w:szCs w:val="24"/>
        </w:rPr>
        <w:t xml:space="preserve"> in the following disciplines:</w:t>
      </w:r>
    </w:p>
    <w:p w:rsidR="00AE25B7" w:rsidRDefault="00BA5C7F" w:rsidP="00F02312">
      <w:pPr>
        <w:pStyle w:val="ListParagraph"/>
        <w:numPr>
          <w:ilvl w:val="0"/>
          <w:numId w:val="96"/>
        </w:numPr>
        <w:rPr>
          <w:rFonts w:cstheme="minorHAnsi"/>
          <w:szCs w:val="24"/>
        </w:rPr>
      </w:pPr>
      <w:r w:rsidRPr="00BA5C7F">
        <w:rPr>
          <w:rFonts w:cstheme="minorHAnsi"/>
          <w:szCs w:val="24"/>
        </w:rPr>
        <w:t xml:space="preserve">Medical </w:t>
      </w:r>
      <w:r w:rsidR="00AE25B7">
        <w:rPr>
          <w:rFonts w:cstheme="minorHAnsi"/>
          <w:szCs w:val="24"/>
        </w:rPr>
        <w:t>P</w:t>
      </w:r>
      <w:r w:rsidRPr="00BA5C7F">
        <w:rPr>
          <w:rFonts w:cstheme="minorHAnsi"/>
          <w:szCs w:val="24"/>
        </w:rPr>
        <w:t xml:space="preserve">ractitioner; </w:t>
      </w:r>
      <w:r w:rsidRPr="00AE25B7">
        <w:rPr>
          <w:rFonts w:cstheme="minorHAnsi"/>
          <w:szCs w:val="24"/>
        </w:rPr>
        <w:t>Medical specialist</w:t>
      </w:r>
      <w:r w:rsidR="00AE25B7">
        <w:rPr>
          <w:rFonts w:cstheme="minorHAnsi"/>
          <w:szCs w:val="24"/>
        </w:rPr>
        <w:t xml:space="preserve">; </w:t>
      </w:r>
      <w:r w:rsidR="00AE25B7" w:rsidRPr="00AE25B7">
        <w:rPr>
          <w:rFonts w:cstheme="minorHAnsi"/>
          <w:szCs w:val="24"/>
        </w:rPr>
        <w:t>Psychiatrist</w:t>
      </w:r>
      <w:r w:rsidR="005B51AE">
        <w:rPr>
          <w:rFonts w:cstheme="minorHAnsi"/>
          <w:szCs w:val="24"/>
        </w:rPr>
        <w:t>.</w:t>
      </w:r>
    </w:p>
    <w:p w:rsidR="00BA5C7F" w:rsidRPr="00AE25B7" w:rsidRDefault="00BA5C7F" w:rsidP="00F02312">
      <w:pPr>
        <w:pStyle w:val="ListParagraph"/>
        <w:numPr>
          <w:ilvl w:val="0"/>
          <w:numId w:val="96"/>
        </w:numPr>
        <w:rPr>
          <w:rFonts w:cstheme="minorHAnsi"/>
          <w:szCs w:val="24"/>
        </w:rPr>
      </w:pPr>
      <w:r w:rsidRPr="00AE25B7">
        <w:rPr>
          <w:rFonts w:cstheme="minorHAnsi"/>
          <w:szCs w:val="24"/>
        </w:rPr>
        <w:t>Psychologist</w:t>
      </w:r>
      <w:r w:rsidR="005B51AE">
        <w:rPr>
          <w:rFonts w:cstheme="minorHAnsi"/>
          <w:szCs w:val="24"/>
        </w:rPr>
        <w:t>.</w:t>
      </w:r>
    </w:p>
    <w:p w:rsidR="00980F62" w:rsidRDefault="00AE25B7" w:rsidP="00F02312">
      <w:pPr>
        <w:pStyle w:val="ListParagraph"/>
        <w:numPr>
          <w:ilvl w:val="0"/>
          <w:numId w:val="96"/>
        </w:numPr>
        <w:rPr>
          <w:rFonts w:cstheme="minorHAnsi"/>
          <w:szCs w:val="24"/>
        </w:rPr>
      </w:pPr>
      <w:r>
        <w:rPr>
          <w:rFonts w:cstheme="minorHAnsi"/>
          <w:szCs w:val="24"/>
        </w:rPr>
        <w:t>N</w:t>
      </w:r>
      <w:r w:rsidR="00BA5C7F" w:rsidRPr="00F06AF0">
        <w:rPr>
          <w:rFonts w:cstheme="minorHAnsi"/>
          <w:szCs w:val="24"/>
        </w:rPr>
        <w:t>urse practitioner.</w:t>
      </w:r>
    </w:p>
    <w:p w:rsidR="00AE25B7" w:rsidRPr="00AE25B7" w:rsidRDefault="00AE25B7" w:rsidP="00AB104B">
      <w:pPr>
        <w:spacing w:before="120" w:after="0"/>
        <w:rPr>
          <w:rStyle w:val="Strong"/>
          <w:rFonts w:cstheme="minorHAnsi"/>
        </w:rPr>
      </w:pPr>
      <w:r>
        <w:rPr>
          <w:rStyle w:val="Strong"/>
          <w:rFonts w:cstheme="minorHAnsi"/>
        </w:rPr>
        <w:t>Behaviour</w:t>
      </w:r>
      <w:r w:rsidRPr="00AE25B7">
        <w:rPr>
          <w:rStyle w:val="Strong"/>
          <w:rFonts w:cstheme="minorHAnsi"/>
        </w:rPr>
        <w:t xml:space="preserve"> Reports</w:t>
      </w:r>
    </w:p>
    <w:p w:rsidR="00980F62" w:rsidRDefault="00AE25B7" w:rsidP="00BA5C7F">
      <w:pPr>
        <w:rPr>
          <w:rFonts w:cstheme="minorHAnsi"/>
          <w:szCs w:val="24"/>
        </w:rPr>
      </w:pPr>
      <w:r>
        <w:rPr>
          <w:rFonts w:cstheme="minorHAnsi"/>
          <w:szCs w:val="24"/>
        </w:rPr>
        <w:t>A</w:t>
      </w:r>
      <w:r w:rsidR="00BA5C7F" w:rsidRPr="00F06AF0">
        <w:rPr>
          <w:rFonts w:cstheme="minorHAnsi"/>
          <w:szCs w:val="24"/>
        </w:rPr>
        <w:t xml:space="preserve"> report from a government funded Behaviour Support Team (i.e. DBMAS, Severe Behaviour Response Team) may be included as evidence for the reason for assistance with ADLs.</w:t>
      </w:r>
    </w:p>
    <w:p w:rsidR="00980F62" w:rsidRDefault="00557FD2" w:rsidP="001F2491">
      <w:pPr>
        <w:pStyle w:val="Heading3-Chapter44"/>
      </w:pPr>
      <w:bookmarkStart w:id="296" w:name="_Toc486600017"/>
      <w:bookmarkStart w:id="297" w:name="_Toc486603061"/>
      <w:r w:rsidRPr="00F06AF0">
        <w:t>The R-ACFI Classification Model</w:t>
      </w:r>
      <w:bookmarkEnd w:id="296"/>
      <w:bookmarkEnd w:id="297"/>
    </w:p>
    <w:p w:rsidR="00980F62" w:rsidRDefault="00557FD2" w:rsidP="0017119E">
      <w:pPr>
        <w:rPr>
          <w:lang w:eastAsia="en-AU"/>
        </w:rPr>
      </w:pPr>
      <w:r w:rsidRPr="00F06AF0">
        <w:rPr>
          <w:lang w:eastAsia="en-AU"/>
        </w:rPr>
        <w:t xml:space="preserve">Currently, the ADL domain classification is determined from the </w:t>
      </w:r>
      <w:r w:rsidR="00FA6E44">
        <w:rPr>
          <w:lang w:eastAsia="en-AU"/>
        </w:rPr>
        <w:t xml:space="preserve">conversion of the checklists in the </w:t>
      </w:r>
      <w:r w:rsidRPr="00F06AF0">
        <w:rPr>
          <w:lang w:eastAsia="en-AU"/>
        </w:rPr>
        <w:t xml:space="preserve">A, B, C, D question weights which are summed and then grouped </w:t>
      </w:r>
      <w:r w:rsidR="00FA6E44">
        <w:rPr>
          <w:lang w:eastAsia="en-AU"/>
        </w:rPr>
        <w:t xml:space="preserve">via cut points </w:t>
      </w:r>
      <w:r w:rsidRPr="00F06AF0">
        <w:rPr>
          <w:lang w:eastAsia="en-AU"/>
        </w:rPr>
        <w:t>into the domain categories of Nil, Low, Medium and High.</w:t>
      </w:r>
    </w:p>
    <w:p w:rsidR="00980F62" w:rsidRDefault="00557FD2" w:rsidP="0017119E">
      <w:pPr>
        <w:rPr>
          <w:lang w:eastAsia="en-AU"/>
        </w:rPr>
      </w:pPr>
      <w:r w:rsidRPr="00F06AF0">
        <w:rPr>
          <w:lang w:eastAsia="en-AU"/>
        </w:rPr>
        <w:t>In contrast, the R-ACFI ADL analysis uses the checklists</w:t>
      </w:r>
      <w:r w:rsidR="00F40635">
        <w:rPr>
          <w:lang w:eastAsia="en-AU"/>
        </w:rPr>
        <w:t xml:space="preserve"> </w:t>
      </w:r>
      <w:r w:rsidR="00034988">
        <w:rPr>
          <w:lang w:eastAsia="en-AU"/>
        </w:rPr>
        <w:t>underlying each question</w:t>
      </w:r>
      <w:r w:rsidRPr="00F06AF0">
        <w:rPr>
          <w:lang w:eastAsia="en-AU"/>
        </w:rPr>
        <w:t xml:space="preserve"> (e.g. mobility has transfers </w:t>
      </w:r>
      <w:r w:rsidR="000532A0">
        <w:rPr>
          <w:lang w:eastAsia="en-AU"/>
        </w:rPr>
        <w:t xml:space="preserve">and </w:t>
      </w:r>
      <w:r w:rsidRPr="00F06AF0">
        <w:rPr>
          <w:lang w:eastAsia="en-AU"/>
        </w:rPr>
        <w:t>locomotion checklists) and determines the domain weightings based on the assistance level (e.g. standard, moderate, full)</w:t>
      </w:r>
      <w:r w:rsidR="00034988">
        <w:rPr>
          <w:lang w:eastAsia="en-AU"/>
        </w:rPr>
        <w:t xml:space="preserve"> in each </w:t>
      </w:r>
      <w:r w:rsidRPr="00F06AF0">
        <w:rPr>
          <w:lang w:eastAsia="en-AU"/>
        </w:rPr>
        <w:t>checklist item.</w:t>
      </w:r>
      <w:r w:rsidR="007A576E">
        <w:rPr>
          <w:lang w:eastAsia="en-AU"/>
        </w:rPr>
        <w:t xml:space="preserve"> </w:t>
      </w:r>
      <w:r w:rsidR="005001E4">
        <w:rPr>
          <w:lang w:eastAsia="en-AU"/>
        </w:rPr>
        <w:t xml:space="preserve">The new R-ACFI ADL “question” </w:t>
      </w:r>
      <w:r w:rsidRPr="00F06AF0">
        <w:rPr>
          <w:lang w:eastAsia="en-AU"/>
        </w:rPr>
        <w:t xml:space="preserve">weightings have been determined using IRT analysis </w:t>
      </w:r>
      <w:r w:rsidR="005001E4">
        <w:rPr>
          <w:lang w:eastAsia="en-AU"/>
        </w:rPr>
        <w:t xml:space="preserve">from </w:t>
      </w:r>
      <w:r w:rsidRPr="00F06AF0">
        <w:rPr>
          <w:lang w:eastAsia="en-AU"/>
        </w:rPr>
        <w:t xml:space="preserve">the supplied ACFI dataset. All the weightings from the </w:t>
      </w:r>
      <w:r w:rsidR="005001E4">
        <w:rPr>
          <w:lang w:eastAsia="en-AU"/>
        </w:rPr>
        <w:t>new questions</w:t>
      </w:r>
      <w:r w:rsidRPr="00F06AF0">
        <w:rPr>
          <w:lang w:eastAsia="en-AU"/>
        </w:rPr>
        <w:t xml:space="preserve"> across the ADL </w:t>
      </w:r>
      <w:r w:rsidR="005001E4">
        <w:rPr>
          <w:lang w:eastAsia="en-AU"/>
        </w:rPr>
        <w:t>domain</w:t>
      </w:r>
      <w:r w:rsidRPr="00F06AF0">
        <w:rPr>
          <w:lang w:eastAsia="en-AU"/>
        </w:rPr>
        <w:t xml:space="preserve"> are then summed and </w:t>
      </w:r>
      <w:r w:rsidR="005001E4">
        <w:rPr>
          <w:lang w:eastAsia="en-AU"/>
        </w:rPr>
        <w:t xml:space="preserve">grouped into </w:t>
      </w:r>
      <w:r w:rsidRPr="00F06AF0">
        <w:rPr>
          <w:lang w:eastAsia="en-AU"/>
        </w:rPr>
        <w:t>funding categories (</w:t>
      </w:r>
      <w:r w:rsidR="005001E4">
        <w:rPr>
          <w:lang w:eastAsia="en-AU"/>
        </w:rPr>
        <w:t xml:space="preserve">refer to </w:t>
      </w:r>
      <w:hyperlink w:anchor="Ch08" w:history="1">
        <w:r w:rsidRPr="00A91929">
          <w:rPr>
            <w:rStyle w:val="Hyperlink"/>
            <w:lang w:eastAsia="en-AU"/>
          </w:rPr>
          <w:t>Chapter 8</w:t>
        </w:r>
      </w:hyperlink>
      <w:r w:rsidRPr="00F06AF0">
        <w:rPr>
          <w:lang w:eastAsia="en-AU"/>
        </w:rPr>
        <w:t>).</w:t>
      </w:r>
    </w:p>
    <w:p w:rsidR="00557FD2" w:rsidRPr="00F06AF0" w:rsidRDefault="00557FD2" w:rsidP="001F2491">
      <w:pPr>
        <w:pStyle w:val="Heading3-Chapter44"/>
      </w:pPr>
      <w:bookmarkStart w:id="298" w:name="_Toc486600018"/>
      <w:bookmarkStart w:id="299" w:name="_Toc486603062"/>
      <w:r w:rsidRPr="00F06AF0">
        <w:t>Accountability</w:t>
      </w:r>
      <w:bookmarkEnd w:id="298"/>
      <w:bookmarkEnd w:id="299"/>
    </w:p>
    <w:p w:rsidR="00557FD2" w:rsidRPr="00F06AF0" w:rsidRDefault="00557FD2" w:rsidP="0017119E">
      <w:pPr>
        <w:rPr>
          <w:color w:val="000000" w:themeColor="text1"/>
          <w:lang w:eastAsia="en-AU"/>
        </w:rPr>
      </w:pPr>
      <w:r w:rsidRPr="00F06AF0">
        <w:rPr>
          <w:color w:val="000000" w:themeColor="text1"/>
          <w:lang w:eastAsia="en-AU"/>
        </w:rPr>
        <w:t>The strategies to improve accountability are:</w:t>
      </w:r>
    </w:p>
    <w:p w:rsidR="00557FD2" w:rsidRDefault="00557FD2" w:rsidP="00F02312">
      <w:pPr>
        <w:pStyle w:val="ListParagraph"/>
        <w:numPr>
          <w:ilvl w:val="0"/>
          <w:numId w:val="97"/>
        </w:numPr>
        <w:spacing w:after="0"/>
        <w:rPr>
          <w:rFonts w:cs="Tahoma"/>
        </w:rPr>
      </w:pPr>
      <w:r w:rsidRPr="00F06AF0">
        <w:rPr>
          <w:rFonts w:cs="Tahoma"/>
        </w:rPr>
        <w:t xml:space="preserve">Recommended mandated assessments in Nutrition, Mobility and Continence to improve the objectivity of the </w:t>
      </w:r>
      <w:r w:rsidR="001F687C" w:rsidRPr="00F06AF0">
        <w:rPr>
          <w:rFonts w:cs="Tahoma"/>
        </w:rPr>
        <w:t>outcomes</w:t>
      </w:r>
      <w:r w:rsidR="001F687C">
        <w:rPr>
          <w:rFonts w:cs="Tahoma"/>
        </w:rPr>
        <w:t>.</w:t>
      </w:r>
    </w:p>
    <w:p w:rsidR="00980F62" w:rsidRDefault="00034988" w:rsidP="00F02312">
      <w:pPr>
        <w:pStyle w:val="ListParagraph"/>
        <w:numPr>
          <w:ilvl w:val="0"/>
          <w:numId w:val="97"/>
        </w:numPr>
        <w:spacing w:after="0"/>
        <w:rPr>
          <w:rFonts w:cs="Tahoma"/>
        </w:rPr>
      </w:pPr>
      <w:r>
        <w:rPr>
          <w:rFonts w:cs="Tahoma"/>
        </w:rPr>
        <w:t>Recommended standard supporting evidence</w:t>
      </w:r>
      <w:r w:rsidRPr="00F06AF0">
        <w:rPr>
          <w:rFonts w:cs="Tahoma"/>
        </w:rPr>
        <w:t xml:space="preserve"> </w:t>
      </w:r>
      <w:r>
        <w:rPr>
          <w:rFonts w:cs="Tahoma"/>
        </w:rPr>
        <w:t>for</w:t>
      </w:r>
      <w:r w:rsidRPr="00F06AF0">
        <w:rPr>
          <w:rFonts w:cs="Tahoma"/>
        </w:rPr>
        <w:t xml:space="preserve"> </w:t>
      </w:r>
      <w:r>
        <w:rPr>
          <w:rFonts w:cs="Tahoma"/>
        </w:rPr>
        <w:t>why assistance is needed in the ADL questions</w:t>
      </w:r>
      <w:r w:rsidR="00345D71">
        <w:rPr>
          <w:rFonts w:cs="Tahoma"/>
        </w:rPr>
        <w:t xml:space="preserve"> </w:t>
      </w:r>
      <w:r w:rsidRPr="00F06AF0">
        <w:rPr>
          <w:rFonts w:cs="Tahoma"/>
        </w:rPr>
        <w:t xml:space="preserve">to improve the objectivity of the </w:t>
      </w:r>
      <w:r>
        <w:rPr>
          <w:rFonts w:cs="Tahoma"/>
        </w:rPr>
        <w:t>supporting evidence</w:t>
      </w:r>
      <w:r w:rsidR="001F687C">
        <w:rPr>
          <w:rFonts w:cs="Tahoma"/>
        </w:rPr>
        <w:t>.</w:t>
      </w:r>
    </w:p>
    <w:p w:rsidR="00557FD2" w:rsidRPr="00F06AF0" w:rsidRDefault="00557FD2" w:rsidP="00F02312">
      <w:pPr>
        <w:pStyle w:val="ListParagraph"/>
        <w:numPr>
          <w:ilvl w:val="0"/>
          <w:numId w:val="97"/>
        </w:numPr>
        <w:spacing w:after="0"/>
        <w:rPr>
          <w:rFonts w:cs="Tahoma"/>
        </w:rPr>
      </w:pPr>
      <w:r w:rsidRPr="00F06AF0">
        <w:rPr>
          <w:rFonts w:cs="Tahoma"/>
        </w:rPr>
        <w:t xml:space="preserve">Recommended changes to improve the assurance/audit system by recommending assessments that fit with </w:t>
      </w:r>
      <w:r w:rsidR="001D49AB">
        <w:rPr>
          <w:rFonts w:cs="Tahoma"/>
        </w:rPr>
        <w:t xml:space="preserve">an </w:t>
      </w:r>
      <w:r w:rsidR="001F687C">
        <w:rPr>
          <w:rFonts w:cs="Tahoma"/>
        </w:rPr>
        <w:t>e</w:t>
      </w:r>
      <w:r w:rsidRPr="00F06AF0">
        <w:rPr>
          <w:rFonts w:cs="Tahoma"/>
        </w:rPr>
        <w:t xml:space="preserve">xternal </w:t>
      </w:r>
      <w:r w:rsidR="001F687C">
        <w:rPr>
          <w:rFonts w:cs="Tahoma"/>
        </w:rPr>
        <w:t>a</w:t>
      </w:r>
      <w:r w:rsidRPr="00F06AF0">
        <w:rPr>
          <w:rFonts w:cs="Tahoma"/>
        </w:rPr>
        <w:t>ssessment and/or gateway approaches, or by providing standardised and objective outcomes for review</w:t>
      </w:r>
      <w:r w:rsidR="001F687C">
        <w:rPr>
          <w:rFonts w:cs="Tahoma"/>
        </w:rPr>
        <w:t>.</w:t>
      </w:r>
    </w:p>
    <w:p w:rsidR="00557FD2" w:rsidRPr="00F06AF0" w:rsidRDefault="00557FD2" w:rsidP="00F02312">
      <w:pPr>
        <w:pStyle w:val="ListParagraph"/>
        <w:numPr>
          <w:ilvl w:val="0"/>
          <w:numId w:val="97"/>
        </w:numPr>
        <w:spacing w:after="0"/>
        <w:rPr>
          <w:rFonts w:cs="Tahoma"/>
        </w:rPr>
      </w:pPr>
      <w:r w:rsidRPr="00F06AF0">
        <w:rPr>
          <w:rFonts w:cs="Tahoma"/>
        </w:rPr>
        <w:t>Recommendations to remove items that lacked agreement on definitions (e.g. cutting up food), or to add more contemporary items (e.g. nutritional risk)</w:t>
      </w:r>
      <w:r w:rsidR="001F687C">
        <w:rPr>
          <w:rFonts w:cs="Tahoma"/>
        </w:rPr>
        <w:t>.</w:t>
      </w:r>
    </w:p>
    <w:p w:rsidR="00557FD2" w:rsidRPr="00F06AF0" w:rsidRDefault="00557FD2" w:rsidP="00F02312">
      <w:pPr>
        <w:pStyle w:val="ListParagraph"/>
        <w:numPr>
          <w:ilvl w:val="0"/>
          <w:numId w:val="97"/>
        </w:numPr>
        <w:spacing w:after="0"/>
        <w:rPr>
          <w:rFonts w:cs="Tahoma"/>
        </w:rPr>
      </w:pPr>
      <w:r w:rsidRPr="009572ED">
        <w:rPr>
          <w:rFonts w:cs="Tahoma"/>
        </w:rPr>
        <w:t>Supporting family members to sign off on the ACFI pack – this would also support C</w:t>
      </w:r>
      <w:r w:rsidR="00D96963" w:rsidRPr="009572ED">
        <w:rPr>
          <w:rFonts w:cs="Tahoma"/>
        </w:rPr>
        <w:t>DC</w:t>
      </w:r>
      <w:r w:rsidRPr="009572ED">
        <w:rPr>
          <w:rFonts w:cs="Tahoma"/>
        </w:rPr>
        <w:t xml:space="preserve"> </w:t>
      </w:r>
      <w:r w:rsidRPr="00F06AF0">
        <w:rPr>
          <w:rFonts w:cs="Tahoma"/>
        </w:rPr>
        <w:t xml:space="preserve">by ensuring that </w:t>
      </w:r>
      <w:r w:rsidR="00D96963" w:rsidRPr="00F06AF0">
        <w:rPr>
          <w:rFonts w:cs="Tahoma"/>
        </w:rPr>
        <w:t>family</w:t>
      </w:r>
      <w:r w:rsidRPr="00F06AF0">
        <w:rPr>
          <w:rFonts w:cs="Tahoma"/>
        </w:rPr>
        <w:t xml:space="preserve"> have a clear understanding of their relative’s care needs and required services</w:t>
      </w:r>
      <w:r w:rsidR="001F687C">
        <w:rPr>
          <w:rFonts w:cs="Tahoma"/>
        </w:rPr>
        <w:t>.</w:t>
      </w:r>
    </w:p>
    <w:p w:rsidR="00980F62" w:rsidRDefault="00557FD2" w:rsidP="00F02312">
      <w:pPr>
        <w:pStyle w:val="ListParagraph"/>
        <w:numPr>
          <w:ilvl w:val="0"/>
          <w:numId w:val="97"/>
        </w:numPr>
        <w:spacing w:after="0"/>
        <w:rPr>
          <w:rFonts w:cs="Tahoma"/>
        </w:rPr>
      </w:pPr>
      <w:r w:rsidRPr="009572ED">
        <w:rPr>
          <w:rFonts w:cs="Tahoma"/>
        </w:rPr>
        <w:t>Mandating that a R</w:t>
      </w:r>
      <w:r w:rsidR="00D96963" w:rsidRPr="009572ED">
        <w:rPr>
          <w:rFonts w:cs="Tahoma"/>
        </w:rPr>
        <w:t>N</w:t>
      </w:r>
      <w:r w:rsidRPr="009572ED">
        <w:rPr>
          <w:rFonts w:cs="Tahoma"/>
        </w:rPr>
        <w:t xml:space="preserve"> or AHP sign off on all assessments as this is current practice in most organisations, for both legal and quality requirements.</w:t>
      </w:r>
    </w:p>
    <w:p w:rsidR="00980F62" w:rsidRDefault="00557FD2" w:rsidP="00F02312">
      <w:pPr>
        <w:pStyle w:val="ListParagraph"/>
        <w:numPr>
          <w:ilvl w:val="0"/>
          <w:numId w:val="97"/>
        </w:numPr>
        <w:spacing w:after="0"/>
        <w:rPr>
          <w:rFonts w:cs="Tahoma"/>
        </w:rPr>
      </w:pPr>
      <w:r w:rsidRPr="009572ED">
        <w:rPr>
          <w:rFonts w:cs="Tahoma"/>
        </w:rPr>
        <w:t xml:space="preserve">The </w:t>
      </w:r>
      <w:r w:rsidR="001D49AB">
        <w:rPr>
          <w:rFonts w:cs="Tahoma"/>
        </w:rPr>
        <w:t>R-</w:t>
      </w:r>
      <w:r w:rsidRPr="009572ED">
        <w:rPr>
          <w:rFonts w:cs="Tahoma"/>
        </w:rPr>
        <w:t>ACFI User G</w:t>
      </w:r>
      <w:r w:rsidR="001D49AB">
        <w:rPr>
          <w:rFonts w:cs="Tahoma"/>
        </w:rPr>
        <w:t xml:space="preserve">uide will </w:t>
      </w:r>
      <w:r w:rsidRPr="009572ED">
        <w:rPr>
          <w:rFonts w:cs="Tahoma"/>
        </w:rPr>
        <w:t>emphasise that Health Professionals are accountable to their registration body (AHPRA) for their professional decisions, and identified issues will be referred to AHPRA.</w:t>
      </w:r>
    </w:p>
    <w:p w:rsidR="009C2C03" w:rsidRDefault="009C2C03">
      <w:pPr>
        <w:spacing w:after="200"/>
        <w:jc w:val="left"/>
        <w:rPr>
          <w:rFonts w:cs="Tahoma"/>
        </w:rPr>
      </w:pPr>
      <w:r>
        <w:rPr>
          <w:rFonts w:cs="Tahoma"/>
        </w:rPr>
        <w:br w:type="page"/>
      </w:r>
    </w:p>
    <w:p w:rsidR="004C5986" w:rsidRDefault="004C5986" w:rsidP="001F2491">
      <w:pPr>
        <w:pStyle w:val="Heading3-Chapter44"/>
      </w:pPr>
      <w:r w:rsidRPr="005F4409">
        <w:lastRenderedPageBreak/>
        <w:t xml:space="preserve">The ADL Domain </w:t>
      </w:r>
      <w:r>
        <w:t>– R-ACFI snapshot</w:t>
      </w:r>
    </w:p>
    <w:p w:rsidR="00980F62" w:rsidRDefault="004265DB" w:rsidP="004265DB">
      <w:pPr>
        <w:rPr>
          <w:lang w:eastAsia="en-AU"/>
        </w:rPr>
      </w:pPr>
      <w:r w:rsidRPr="00975B57">
        <w:rPr>
          <w:lang w:eastAsia="en-AU"/>
        </w:rPr>
        <w:t>A summary of the changes to the ADL domain include:</w:t>
      </w:r>
    </w:p>
    <w:p w:rsidR="004265DB" w:rsidRDefault="004265DB" w:rsidP="00F02312">
      <w:pPr>
        <w:pStyle w:val="ListParagraph"/>
        <w:numPr>
          <w:ilvl w:val="0"/>
          <w:numId w:val="159"/>
        </w:numPr>
        <w:spacing w:line="23" w:lineRule="atLeast"/>
        <w:ind w:left="357" w:hanging="357"/>
        <w:rPr>
          <w:lang w:eastAsia="en-AU"/>
        </w:rPr>
      </w:pPr>
      <w:r w:rsidRPr="00975B57">
        <w:rPr>
          <w:lang w:eastAsia="en-AU"/>
        </w:rPr>
        <w:t xml:space="preserve">The ADL becomes a four-level domain with levels </w:t>
      </w:r>
      <w:r w:rsidR="00CC53C8">
        <w:rPr>
          <w:lang w:eastAsia="en-AU"/>
        </w:rPr>
        <w:t>Low, Medium, High and Very High</w:t>
      </w:r>
      <w:r w:rsidR="00B66B5E">
        <w:rPr>
          <w:lang w:eastAsia="en-AU"/>
        </w:rPr>
        <w:t>.</w:t>
      </w:r>
    </w:p>
    <w:p w:rsidR="004265DB" w:rsidRDefault="004265DB" w:rsidP="00F02312">
      <w:pPr>
        <w:pStyle w:val="ListParagraph"/>
        <w:numPr>
          <w:ilvl w:val="0"/>
          <w:numId w:val="159"/>
        </w:numPr>
        <w:spacing w:line="23" w:lineRule="atLeast"/>
        <w:ind w:left="357" w:hanging="357"/>
        <w:rPr>
          <w:lang w:eastAsia="en-AU"/>
        </w:rPr>
      </w:pPr>
      <w:r w:rsidRPr="00975B57">
        <w:rPr>
          <w:lang w:eastAsia="en-AU"/>
        </w:rPr>
        <w:t>At a minimum, all residents will be</w:t>
      </w:r>
      <w:r w:rsidR="00CC53C8">
        <w:rPr>
          <w:lang w:eastAsia="en-AU"/>
        </w:rPr>
        <w:t xml:space="preserve"> funded at the Low domain level</w:t>
      </w:r>
      <w:r w:rsidR="00B66B5E">
        <w:rPr>
          <w:lang w:eastAsia="en-AU"/>
        </w:rPr>
        <w:t>.</w:t>
      </w:r>
    </w:p>
    <w:p w:rsidR="004265DB" w:rsidRDefault="004265DB" w:rsidP="00F02312">
      <w:pPr>
        <w:pStyle w:val="ListParagraph"/>
        <w:numPr>
          <w:ilvl w:val="0"/>
          <w:numId w:val="159"/>
        </w:numPr>
        <w:spacing w:line="23" w:lineRule="atLeast"/>
        <w:ind w:left="357" w:hanging="357"/>
        <w:rPr>
          <w:lang w:eastAsia="en-AU"/>
        </w:rPr>
      </w:pPr>
      <w:r w:rsidRPr="00975B57">
        <w:rPr>
          <w:lang w:eastAsia="en-AU"/>
        </w:rPr>
        <w:t xml:space="preserve">The ACFI Question ratings of A, B, C, D are dropped as the revised weightings are based on </w:t>
      </w:r>
      <w:r w:rsidR="004901DC" w:rsidRPr="00975B57">
        <w:rPr>
          <w:lang w:eastAsia="en-AU"/>
        </w:rPr>
        <w:t xml:space="preserve">ACFI </w:t>
      </w:r>
      <w:r w:rsidR="00CC53C8">
        <w:rPr>
          <w:lang w:eastAsia="en-AU"/>
        </w:rPr>
        <w:t>checklist items only</w:t>
      </w:r>
      <w:r w:rsidR="00B66B5E">
        <w:rPr>
          <w:lang w:eastAsia="en-AU"/>
        </w:rPr>
        <w:t>.</w:t>
      </w:r>
    </w:p>
    <w:p w:rsidR="004265DB" w:rsidRPr="0080276C" w:rsidRDefault="004265DB" w:rsidP="00F02312">
      <w:pPr>
        <w:pStyle w:val="ListParagraph"/>
        <w:numPr>
          <w:ilvl w:val="0"/>
          <w:numId w:val="159"/>
        </w:numPr>
        <w:spacing w:line="23" w:lineRule="atLeast"/>
        <w:ind w:left="357" w:hanging="357"/>
        <w:rPr>
          <w:rFonts w:cstheme="minorHAnsi"/>
          <w:szCs w:val="24"/>
          <w:lang w:eastAsia="en-AU"/>
        </w:rPr>
      </w:pPr>
      <w:r w:rsidRPr="00975B57">
        <w:rPr>
          <w:lang w:eastAsia="en-AU"/>
        </w:rPr>
        <w:t>New rating scale descriptors of Standard Care, Moderate Assistance</w:t>
      </w:r>
      <w:r w:rsidRPr="00975B57">
        <w:t xml:space="preserve">, and </w:t>
      </w:r>
      <w:r w:rsidRPr="00975B57">
        <w:rPr>
          <w:lang w:eastAsia="en-AU"/>
        </w:rPr>
        <w:t>Full Assistance</w:t>
      </w:r>
      <w:r w:rsidRPr="0080276C">
        <w:rPr>
          <w:szCs w:val="24"/>
          <w:lang w:eastAsia="en-AU"/>
        </w:rPr>
        <w:t xml:space="preserve"> (with </w:t>
      </w:r>
      <w:r w:rsidRPr="0080276C">
        <w:rPr>
          <w:rFonts w:cstheme="minorHAnsi"/>
          <w:szCs w:val="24"/>
          <w:lang w:eastAsia="en-AU"/>
        </w:rPr>
        <w:t>Mechanical Lifting for Transfers)</w:t>
      </w:r>
      <w:r w:rsidR="00CC53C8" w:rsidRPr="0080276C">
        <w:rPr>
          <w:rFonts w:cstheme="minorHAnsi"/>
          <w:szCs w:val="24"/>
          <w:lang w:eastAsia="en-AU"/>
        </w:rPr>
        <w:t xml:space="preserve"> now included in the weightings</w:t>
      </w:r>
      <w:r w:rsidR="00B66B5E" w:rsidRPr="0080276C">
        <w:rPr>
          <w:rFonts w:cstheme="minorHAnsi"/>
          <w:szCs w:val="24"/>
          <w:lang w:eastAsia="en-AU"/>
        </w:rPr>
        <w:t>.</w:t>
      </w:r>
    </w:p>
    <w:p w:rsidR="004265DB" w:rsidRDefault="004265DB" w:rsidP="00F02312">
      <w:pPr>
        <w:pStyle w:val="ListParagraph"/>
        <w:numPr>
          <w:ilvl w:val="0"/>
          <w:numId w:val="159"/>
        </w:numPr>
        <w:spacing w:line="23" w:lineRule="atLeast"/>
        <w:ind w:left="357" w:hanging="357"/>
        <w:rPr>
          <w:lang w:eastAsia="en-AU"/>
        </w:rPr>
      </w:pPr>
      <w:r w:rsidRPr="00975B57">
        <w:rPr>
          <w:lang w:eastAsia="en-AU"/>
        </w:rPr>
        <w:t>Removal of the Grooming checklist item as it</w:t>
      </w:r>
      <w:r w:rsidR="00365721">
        <w:rPr>
          <w:lang w:eastAsia="en-AU"/>
        </w:rPr>
        <w:t xml:space="preserve"> is </w:t>
      </w:r>
      <w:r w:rsidR="00CC53C8">
        <w:rPr>
          <w:lang w:eastAsia="en-AU"/>
        </w:rPr>
        <w:t>redundant</w:t>
      </w:r>
      <w:r w:rsidR="00B66B5E">
        <w:rPr>
          <w:lang w:eastAsia="en-AU"/>
        </w:rPr>
        <w:t>.</w:t>
      </w:r>
    </w:p>
    <w:p w:rsidR="00980F62" w:rsidRDefault="004265DB" w:rsidP="00F02312">
      <w:pPr>
        <w:pStyle w:val="ListParagraph"/>
        <w:numPr>
          <w:ilvl w:val="0"/>
          <w:numId w:val="159"/>
        </w:numPr>
        <w:spacing w:line="23" w:lineRule="atLeast"/>
        <w:ind w:left="357" w:hanging="357"/>
        <w:rPr>
          <w:lang w:eastAsia="en-AU"/>
        </w:rPr>
      </w:pPr>
      <w:r w:rsidRPr="00975B57">
        <w:rPr>
          <w:lang w:eastAsia="en-AU"/>
        </w:rPr>
        <w:t xml:space="preserve">Inclusion of </w:t>
      </w:r>
      <w:r w:rsidR="00975B57" w:rsidRPr="00975B57">
        <w:rPr>
          <w:lang w:eastAsia="en-AU"/>
        </w:rPr>
        <w:t xml:space="preserve">a suite of </w:t>
      </w:r>
      <w:r w:rsidRPr="00975B57">
        <w:rPr>
          <w:lang w:eastAsia="en-AU"/>
        </w:rPr>
        <w:t xml:space="preserve">Mandated Assessments for the </w:t>
      </w:r>
      <w:r w:rsidR="00975B57" w:rsidRPr="00975B57">
        <w:rPr>
          <w:lang w:eastAsia="en-AU"/>
        </w:rPr>
        <w:t xml:space="preserve">R-ACFI </w:t>
      </w:r>
      <w:r w:rsidRPr="00975B57">
        <w:rPr>
          <w:lang w:eastAsia="en-AU"/>
        </w:rPr>
        <w:t>ADL domain. Assessments are current for 3</w:t>
      </w:r>
      <w:r w:rsidR="00365721">
        <w:rPr>
          <w:lang w:eastAsia="en-AU"/>
        </w:rPr>
        <w:t xml:space="preserve"> </w:t>
      </w:r>
      <w:r w:rsidRPr="00975B57">
        <w:rPr>
          <w:lang w:eastAsia="en-AU"/>
        </w:rPr>
        <w:t>months.</w:t>
      </w:r>
    </w:p>
    <w:p w:rsidR="0045003D" w:rsidRPr="0080276C" w:rsidRDefault="0045003D" w:rsidP="00F02312">
      <w:pPr>
        <w:pStyle w:val="ListParagraph"/>
        <w:widowControl w:val="0"/>
        <w:numPr>
          <w:ilvl w:val="0"/>
          <w:numId w:val="159"/>
        </w:numPr>
        <w:tabs>
          <w:tab w:val="left" w:pos="481"/>
        </w:tabs>
        <w:spacing w:line="23" w:lineRule="atLeast"/>
        <w:ind w:left="357" w:right="377" w:hanging="357"/>
        <w:rPr>
          <w:rFonts w:ascii="Calibri" w:eastAsia="Calibri" w:hAnsi="Calibri" w:cs="Calibri"/>
          <w:szCs w:val="24"/>
        </w:rPr>
      </w:pPr>
      <w:r w:rsidRPr="0080276C">
        <w:rPr>
          <w:rFonts w:ascii="Calibri"/>
          <w:spacing w:val="-1"/>
        </w:rPr>
        <w:t>Supporting</w:t>
      </w:r>
      <w:r w:rsidRPr="0080276C">
        <w:rPr>
          <w:rFonts w:ascii="Calibri"/>
          <w:spacing w:val="-2"/>
        </w:rPr>
        <w:t xml:space="preserve"> </w:t>
      </w:r>
      <w:r w:rsidRPr="0080276C">
        <w:rPr>
          <w:rFonts w:ascii="Calibri"/>
          <w:spacing w:val="-1"/>
        </w:rPr>
        <w:t>evidence</w:t>
      </w:r>
      <w:r w:rsidRPr="0080276C">
        <w:rPr>
          <w:rFonts w:ascii="Calibri"/>
          <w:spacing w:val="-3"/>
        </w:rPr>
        <w:t xml:space="preserve"> </w:t>
      </w:r>
      <w:r w:rsidRPr="0080276C">
        <w:rPr>
          <w:rFonts w:ascii="Calibri"/>
          <w:spacing w:val="-2"/>
        </w:rPr>
        <w:t>is</w:t>
      </w:r>
      <w:r w:rsidRPr="0080276C">
        <w:rPr>
          <w:rFonts w:ascii="Calibri"/>
          <w:spacing w:val="-3"/>
        </w:rPr>
        <w:t xml:space="preserve"> </w:t>
      </w:r>
      <w:r w:rsidRPr="0080276C">
        <w:rPr>
          <w:rFonts w:ascii="Calibri"/>
          <w:spacing w:val="-1"/>
        </w:rPr>
        <w:t>required</w:t>
      </w:r>
      <w:r w:rsidRPr="0080276C">
        <w:rPr>
          <w:rFonts w:ascii="Calibri"/>
        </w:rPr>
        <w:t xml:space="preserve"> </w:t>
      </w:r>
      <w:r w:rsidRPr="0080276C">
        <w:rPr>
          <w:rFonts w:ascii="Calibri"/>
          <w:spacing w:val="-2"/>
        </w:rPr>
        <w:t xml:space="preserve">regarding </w:t>
      </w:r>
      <w:r w:rsidRPr="0080276C">
        <w:rPr>
          <w:rFonts w:ascii="Calibri"/>
          <w:spacing w:val="1"/>
        </w:rPr>
        <w:t>the</w:t>
      </w:r>
      <w:r w:rsidRPr="0080276C">
        <w:rPr>
          <w:rFonts w:ascii="Calibri"/>
          <w:spacing w:val="-4"/>
        </w:rPr>
        <w:t xml:space="preserve"> </w:t>
      </w:r>
      <w:r w:rsidRPr="0080276C">
        <w:rPr>
          <w:rFonts w:ascii="Calibri"/>
          <w:spacing w:val="-1"/>
        </w:rPr>
        <w:t>reasons</w:t>
      </w:r>
      <w:r w:rsidRPr="0080276C">
        <w:rPr>
          <w:rFonts w:ascii="Calibri"/>
          <w:spacing w:val="-2"/>
        </w:rPr>
        <w:t xml:space="preserve"> </w:t>
      </w:r>
      <w:r w:rsidRPr="0080276C">
        <w:rPr>
          <w:rFonts w:ascii="Calibri"/>
        </w:rPr>
        <w:t>for</w:t>
      </w:r>
      <w:r w:rsidRPr="0080276C">
        <w:rPr>
          <w:rFonts w:ascii="Calibri"/>
          <w:spacing w:val="-6"/>
        </w:rPr>
        <w:t xml:space="preserve"> </w:t>
      </w:r>
      <w:r w:rsidRPr="0080276C">
        <w:rPr>
          <w:rFonts w:ascii="Calibri"/>
          <w:spacing w:val="-1"/>
        </w:rPr>
        <w:t>the</w:t>
      </w:r>
      <w:r w:rsidRPr="0080276C">
        <w:rPr>
          <w:rFonts w:ascii="Calibri"/>
          <w:spacing w:val="-4"/>
        </w:rPr>
        <w:t xml:space="preserve"> </w:t>
      </w:r>
      <w:r w:rsidRPr="0080276C">
        <w:rPr>
          <w:rFonts w:ascii="Calibri"/>
        </w:rPr>
        <w:t>assistance</w:t>
      </w:r>
      <w:r w:rsidRPr="0080276C">
        <w:rPr>
          <w:rFonts w:ascii="Calibri"/>
          <w:spacing w:val="-3"/>
        </w:rPr>
        <w:t xml:space="preserve"> </w:t>
      </w:r>
      <w:r w:rsidRPr="0080276C">
        <w:rPr>
          <w:rFonts w:ascii="Calibri"/>
          <w:spacing w:val="-1"/>
        </w:rPr>
        <w:t>needed.</w:t>
      </w:r>
    </w:p>
    <w:p w:rsidR="00975B57" w:rsidRPr="006E3D4F" w:rsidRDefault="00975B57" w:rsidP="006577A2">
      <w:pPr>
        <w:pStyle w:val="Heading4-Chapter4413"/>
        <w:rPr>
          <w:rStyle w:val="Strong"/>
        </w:rPr>
      </w:pPr>
      <w:r w:rsidRPr="006E3D4F">
        <w:rPr>
          <w:rStyle w:val="Strong"/>
        </w:rPr>
        <w:t>Key Points</w:t>
      </w:r>
    </w:p>
    <w:p w:rsidR="00975B57" w:rsidRPr="004D324E" w:rsidRDefault="00975B57" w:rsidP="00EB7E15">
      <w:pPr>
        <w:spacing w:after="0"/>
        <w:rPr>
          <w:rStyle w:val="Strong"/>
        </w:rPr>
      </w:pPr>
      <w:r w:rsidRPr="004D324E">
        <w:rPr>
          <w:rStyle w:val="Strong"/>
        </w:rPr>
        <w:t>New Rating Scale</w:t>
      </w:r>
    </w:p>
    <w:p w:rsidR="00A04239" w:rsidRPr="007E3A6E" w:rsidRDefault="00A04239" w:rsidP="00785966">
      <w:pPr>
        <w:jc w:val="left"/>
        <w:rPr>
          <w:rFonts w:cstheme="minorHAnsi"/>
          <w:szCs w:val="24"/>
        </w:rPr>
      </w:pPr>
      <w:r w:rsidRPr="004D324E">
        <w:rPr>
          <w:rStyle w:val="Strong"/>
        </w:rPr>
        <w:t>Standard Care</w:t>
      </w:r>
      <w:r w:rsidRPr="00CC53C8">
        <w:rPr>
          <w:lang w:eastAsia="en-AU"/>
        </w:rPr>
        <w:t>:</w:t>
      </w:r>
      <w:r w:rsidR="00785966" w:rsidRPr="002362D0">
        <w:t xml:space="preserve"> </w:t>
      </w:r>
      <w:r w:rsidRPr="002362D0">
        <w:t xml:space="preserve">Independent or staff standing by </w:t>
      </w:r>
      <w:r>
        <w:t>for occasional assistance</w:t>
      </w:r>
      <w:r w:rsidR="00345D71">
        <w:t xml:space="preserve"> or verbal assistance</w:t>
      </w:r>
      <w:r>
        <w:t xml:space="preserve"> </w:t>
      </w:r>
      <w:r w:rsidRPr="002362D0">
        <w:t>or pro</w:t>
      </w:r>
      <w:r w:rsidR="00CC53C8">
        <w:t>vision of setting up activities (</w:t>
      </w:r>
      <w:r w:rsidR="00CC53C8">
        <w:rPr>
          <w:rFonts w:cstheme="minorHAnsi"/>
          <w:szCs w:val="24"/>
        </w:rPr>
        <w:t>Independent, standing by, s</w:t>
      </w:r>
      <w:r w:rsidRPr="007E3A6E">
        <w:rPr>
          <w:rFonts w:cstheme="minorHAnsi"/>
          <w:szCs w:val="24"/>
        </w:rPr>
        <w:t>etting up</w:t>
      </w:r>
      <w:r w:rsidR="00CC53C8">
        <w:rPr>
          <w:rFonts w:cstheme="minorHAnsi"/>
          <w:szCs w:val="24"/>
        </w:rPr>
        <w:t>, v</w:t>
      </w:r>
      <w:r w:rsidRPr="007E3A6E">
        <w:rPr>
          <w:rFonts w:cstheme="minorHAnsi"/>
          <w:szCs w:val="24"/>
        </w:rPr>
        <w:t>erbal assistance</w:t>
      </w:r>
      <w:r w:rsidR="00CC53C8">
        <w:rPr>
          <w:rFonts w:cstheme="minorHAnsi"/>
          <w:szCs w:val="24"/>
        </w:rPr>
        <w:t>)</w:t>
      </w:r>
    </w:p>
    <w:p w:rsidR="00A04239" w:rsidRPr="005E481A" w:rsidRDefault="00A04239" w:rsidP="00785966">
      <w:pPr>
        <w:jc w:val="left"/>
        <w:rPr>
          <w:szCs w:val="24"/>
          <w:lang w:eastAsia="en-AU"/>
        </w:rPr>
      </w:pPr>
      <w:r w:rsidRPr="004D324E">
        <w:rPr>
          <w:rStyle w:val="Strong"/>
        </w:rPr>
        <w:t>Moderate Assistance</w:t>
      </w:r>
      <w:r w:rsidRPr="00CC53C8">
        <w:rPr>
          <w:szCs w:val="24"/>
        </w:rPr>
        <w:t>:</w:t>
      </w:r>
      <w:r w:rsidR="00785966">
        <w:rPr>
          <w:szCs w:val="24"/>
        </w:rPr>
        <w:t xml:space="preserve"> </w:t>
      </w:r>
      <w:r w:rsidRPr="0075405D">
        <w:rPr>
          <w:rFonts w:ascii="Calibri" w:hAnsi="Calibri" w:cs="Calibri"/>
          <w:szCs w:val="24"/>
        </w:rPr>
        <w:t>Always providing physical assistance, on a one-to-one basis, for at least part of the activity, whenever the activity is needed.</w:t>
      </w:r>
    </w:p>
    <w:p w:rsidR="00A04239" w:rsidRPr="005E481A" w:rsidRDefault="00A04239" w:rsidP="00785966">
      <w:pPr>
        <w:jc w:val="left"/>
        <w:rPr>
          <w:szCs w:val="24"/>
          <w:lang w:eastAsia="en-AU"/>
        </w:rPr>
      </w:pPr>
      <w:r w:rsidRPr="004D324E">
        <w:rPr>
          <w:rStyle w:val="Strong"/>
        </w:rPr>
        <w:t>Full Assistance</w:t>
      </w:r>
      <w:r w:rsidR="00785966">
        <w:rPr>
          <w:b/>
          <w:szCs w:val="24"/>
          <w:lang w:eastAsia="en-AU"/>
        </w:rPr>
        <w:t xml:space="preserve">: </w:t>
      </w:r>
      <w:r w:rsidRPr="0075405D">
        <w:rPr>
          <w:rFonts w:ascii="Calibri" w:hAnsi="Calibri" w:cs="Calibri"/>
          <w:szCs w:val="24"/>
        </w:rPr>
        <w:t>Always providing physical assistance, by at least two staff, throughout the entire activity, whenever the activity is needed.</w:t>
      </w:r>
    </w:p>
    <w:p w:rsidR="00980F62" w:rsidRDefault="00A04239" w:rsidP="00785966">
      <w:pPr>
        <w:jc w:val="left"/>
        <w:rPr>
          <w:rFonts w:ascii="Calibri" w:hAnsi="Calibri" w:cs="Calibri"/>
          <w:szCs w:val="24"/>
        </w:rPr>
      </w:pPr>
      <w:r w:rsidRPr="004D324E">
        <w:rPr>
          <w:rStyle w:val="Strong"/>
        </w:rPr>
        <w:t>Mechanical lifting</w:t>
      </w:r>
      <w:r w:rsidR="00785966">
        <w:rPr>
          <w:rFonts w:cstheme="minorHAnsi"/>
          <w:b/>
          <w:szCs w:val="24"/>
          <w:lang w:eastAsia="en-AU"/>
        </w:rPr>
        <w:t xml:space="preserve">: </w:t>
      </w:r>
      <w:r w:rsidRPr="0080276C">
        <w:rPr>
          <w:rFonts w:ascii="Calibri" w:hAnsi="Calibri" w:cs="Calibri"/>
          <w:szCs w:val="24"/>
        </w:rPr>
        <w:t>Always providing physical assistance by the use of mechanical lifting equipment, throughout the entire transfer activity, whenever the activity is needed.</w:t>
      </w:r>
    </w:p>
    <w:p w:rsidR="00975B57" w:rsidRPr="004D324E" w:rsidRDefault="00975B57" w:rsidP="00EB7E15">
      <w:pPr>
        <w:spacing w:after="0"/>
        <w:rPr>
          <w:rStyle w:val="Strong"/>
        </w:rPr>
      </w:pPr>
      <w:r w:rsidRPr="004D324E">
        <w:rPr>
          <w:rStyle w:val="Strong"/>
        </w:rPr>
        <w:t>Four Level ADL Domain</w:t>
      </w:r>
    </w:p>
    <w:p w:rsidR="00980F62" w:rsidRDefault="004265DB" w:rsidP="0080276C">
      <w:r w:rsidRPr="00975B57">
        <w:t>The R-ACFI is recommended to have four ADL domain levels (Low, Medium, High, Very High) with the highest level receiving increased funding</w:t>
      </w:r>
      <w:r w:rsidR="004901DC" w:rsidRPr="00975B57">
        <w:t xml:space="preserve"> compared to the current ACFI</w:t>
      </w:r>
      <w:r w:rsidRPr="00975B57">
        <w:t>.</w:t>
      </w:r>
      <w:r w:rsidR="007A576E">
        <w:t xml:space="preserve"> </w:t>
      </w:r>
      <w:r w:rsidRPr="00975B57">
        <w:t>In addition, it is recommended that all approved residents in aged care facilities should (at a minimum) receive the base payment o</w:t>
      </w:r>
      <w:r w:rsidR="004901DC" w:rsidRPr="00975B57">
        <w:t>f the ADL lowest funding level.</w:t>
      </w:r>
    </w:p>
    <w:p w:rsidR="00980F62" w:rsidRDefault="004265DB" w:rsidP="0080276C">
      <w:r w:rsidRPr="00975B57">
        <w:t xml:space="preserve">There were a number </w:t>
      </w:r>
      <w:r w:rsidR="00975B57" w:rsidRPr="00975B57">
        <w:t>of factors that influenced this</w:t>
      </w:r>
      <w:r w:rsidRPr="00975B57">
        <w:t xml:space="preserve"> recommendation.</w:t>
      </w:r>
      <w:r w:rsidR="007A576E">
        <w:t xml:space="preserve"> </w:t>
      </w:r>
      <w:r w:rsidRPr="00975B57">
        <w:t>Firstly, analysis of the ADL domain data indicated that the top funding category (ADL – High) had increased from around 33</w:t>
      </w:r>
      <w:r w:rsidR="002965F2">
        <w:t xml:space="preserve"> per cent</w:t>
      </w:r>
      <w:r w:rsidRPr="00975B57">
        <w:t xml:space="preserve"> of residents in 2009 to 5</w:t>
      </w:r>
      <w:r w:rsidR="00975B57" w:rsidRPr="00975B57">
        <w:t>6.1</w:t>
      </w:r>
      <w:r w:rsidR="002965F2">
        <w:t xml:space="preserve"> per cent</w:t>
      </w:r>
      <w:r w:rsidR="00975B57" w:rsidRPr="00975B57">
        <w:t xml:space="preserve"> at 30 June 2016 (</w:t>
      </w:r>
      <w:hyperlink w:anchor="Fig0402" w:history="1">
        <w:r w:rsidR="00975B57" w:rsidRPr="00A12242">
          <w:rPr>
            <w:rStyle w:val="Hyperlink"/>
          </w:rPr>
          <w:t>Figure 4.2</w:t>
        </w:r>
      </w:hyperlink>
      <w:r w:rsidR="00975B57" w:rsidRPr="00975B57">
        <w:t>)</w:t>
      </w:r>
      <w:r w:rsidRPr="00975B57">
        <w:t>.</w:t>
      </w:r>
      <w:r w:rsidR="007A576E">
        <w:t xml:space="preserve"> </w:t>
      </w:r>
      <w:r w:rsidRPr="00975B57">
        <w:t>There was also a group of residents receiving the highest ADL funding that also needed mechanical lifting for all transfers.</w:t>
      </w:r>
      <w:r w:rsidR="007A576E">
        <w:t xml:space="preserve"> </w:t>
      </w:r>
      <w:r w:rsidRPr="00975B57">
        <w:t>As these residents are even more resource intensive, requiring multiple staff assistance</w:t>
      </w:r>
      <w:r w:rsidR="00975B57" w:rsidRPr="00975B57">
        <w:t>,</w:t>
      </w:r>
      <w:r w:rsidRPr="00975B57">
        <w:t xml:space="preserve"> it was decided to additionally weight this aspect. As the ACFI is a relative resource tool and payments were determined on the basis of the initial relativities and frequencies, an adjustment was needed to re-calibrate the distribution.</w:t>
      </w:r>
      <w:r w:rsidR="007A576E">
        <w:t xml:space="preserve"> </w:t>
      </w:r>
      <w:r w:rsidRPr="00975B57">
        <w:t xml:space="preserve">IRT (item response theory) analysis (described in </w:t>
      </w:r>
      <w:hyperlink w:anchor="Ch02" w:history="1">
        <w:r w:rsidRPr="00F578E2">
          <w:rPr>
            <w:rStyle w:val="Hyperlink"/>
          </w:rPr>
          <w:t>Chapter 2</w:t>
        </w:r>
      </w:hyperlink>
      <w:r w:rsidRPr="00975B57">
        <w:t>) was used to re-calibrate the relativities and weightings using only the checklist items</w:t>
      </w:r>
      <w:r w:rsidR="00975B57" w:rsidRPr="00975B57">
        <w:t>.</w:t>
      </w:r>
      <w:r w:rsidR="007A576E">
        <w:t xml:space="preserve"> </w:t>
      </w:r>
      <w:r w:rsidRPr="00975B57">
        <w:t xml:space="preserve">The IRT scores were then used to create an updated </w:t>
      </w:r>
      <w:r w:rsidRPr="00975B57">
        <w:lastRenderedPageBreak/>
        <w:t xml:space="preserve">ADL scale and distribution that was best categorised into four levels with a very high payment band. </w:t>
      </w:r>
      <w:r w:rsidR="00975B57" w:rsidRPr="00975B57">
        <w:t xml:space="preserve">Details of the new weightings and funding are shown in </w:t>
      </w:r>
      <w:hyperlink w:anchor="Ch08" w:history="1">
        <w:r w:rsidR="00975B57" w:rsidRPr="00A91929">
          <w:rPr>
            <w:rStyle w:val="Hyperlink"/>
          </w:rPr>
          <w:t>Chapter 8</w:t>
        </w:r>
      </w:hyperlink>
      <w:r w:rsidR="00975B57" w:rsidRPr="00975B57">
        <w:t>.</w:t>
      </w:r>
    </w:p>
    <w:p w:rsidR="00975B57" w:rsidRPr="004D324E" w:rsidRDefault="00975B57" w:rsidP="00EB7E15">
      <w:pPr>
        <w:spacing w:after="0"/>
        <w:rPr>
          <w:rStyle w:val="Strong"/>
        </w:rPr>
      </w:pPr>
      <w:r w:rsidRPr="004D324E">
        <w:rPr>
          <w:rStyle w:val="Strong"/>
        </w:rPr>
        <w:t>ADL Low Funding as a Minimum</w:t>
      </w:r>
    </w:p>
    <w:p w:rsidR="001D49AB" w:rsidRPr="00975B57" w:rsidRDefault="004265DB" w:rsidP="0080276C">
      <w:r w:rsidRPr="00975B57">
        <w:t>A decision was also made to recommend that the lowest ADL category funding should apply as a minimum to all residents.</w:t>
      </w:r>
      <w:r w:rsidR="007A576E">
        <w:t xml:space="preserve"> </w:t>
      </w:r>
      <w:r w:rsidRPr="00975B57">
        <w:t>This recommendation was made as</w:t>
      </w:r>
      <w:r w:rsidR="001D49AB" w:rsidRPr="00975B57">
        <w:t>:</w:t>
      </w:r>
    </w:p>
    <w:p w:rsidR="001D49AB" w:rsidRPr="00975B57" w:rsidRDefault="004265DB" w:rsidP="00F02312">
      <w:pPr>
        <w:pStyle w:val="ListParagraph"/>
        <w:numPr>
          <w:ilvl w:val="3"/>
          <w:numId w:val="160"/>
        </w:numPr>
        <w:ind w:left="357" w:hanging="357"/>
      </w:pPr>
      <w:r w:rsidRPr="00975B57">
        <w:t>the number of residents receiving no ACFI ADL domain funding once in care had reduced significantly from 8.8</w:t>
      </w:r>
      <w:r w:rsidR="002965F2">
        <w:t xml:space="preserve"> per cent</w:t>
      </w:r>
      <w:r w:rsidRPr="00975B57">
        <w:t xml:space="preserve"> in 200</w:t>
      </w:r>
      <w:r w:rsidR="00975B57" w:rsidRPr="00975B57">
        <w:t>9 to only 0.6</w:t>
      </w:r>
      <w:r w:rsidR="002965F2">
        <w:t xml:space="preserve"> per cent</w:t>
      </w:r>
      <w:r w:rsidR="00975B57" w:rsidRPr="00975B57">
        <w:t xml:space="preserve"> at 30 June 2016</w:t>
      </w:r>
      <w:r w:rsidR="00B66B5E">
        <w:t>;</w:t>
      </w:r>
    </w:p>
    <w:p w:rsidR="001D49AB" w:rsidRPr="00975B57" w:rsidRDefault="004265DB" w:rsidP="00F02312">
      <w:pPr>
        <w:pStyle w:val="ListParagraph"/>
        <w:numPr>
          <w:ilvl w:val="3"/>
          <w:numId w:val="160"/>
        </w:numPr>
        <w:ind w:left="357" w:hanging="357"/>
      </w:pPr>
      <w:r w:rsidRPr="00975B57">
        <w:t>the ACAT role as residential care “gate keeper” is likely to further reduce the numbers of negligible low care residents being</w:t>
      </w:r>
      <w:r w:rsidR="00975B57" w:rsidRPr="00975B57">
        <w:t xml:space="preserve"> approved for residential care</w:t>
      </w:r>
      <w:r w:rsidR="00B66B5E">
        <w:t>;</w:t>
      </w:r>
    </w:p>
    <w:p w:rsidR="00980F62" w:rsidRDefault="004265DB" w:rsidP="00F02312">
      <w:pPr>
        <w:pStyle w:val="ListParagraph"/>
        <w:numPr>
          <w:ilvl w:val="3"/>
          <w:numId w:val="160"/>
        </w:numPr>
        <w:ind w:left="357" w:hanging="357"/>
      </w:pPr>
      <w:r w:rsidRPr="00975B57">
        <w:t>the increased provision of community care services will mean even fewer people with no ADL care needs would be entering care; and</w:t>
      </w:r>
    </w:p>
    <w:p w:rsidR="00980F62" w:rsidRDefault="004265DB" w:rsidP="00F02312">
      <w:pPr>
        <w:pStyle w:val="ListParagraph"/>
        <w:numPr>
          <w:ilvl w:val="3"/>
          <w:numId w:val="160"/>
        </w:numPr>
        <w:ind w:left="357" w:hanging="357"/>
      </w:pPr>
      <w:r w:rsidRPr="00975B57">
        <w:t>there was a strong view in the consultations that all residents in care should receive a base ADL payment or “fixed base layer payment” to cover off basic care provision requirements.</w:t>
      </w:r>
    </w:p>
    <w:p w:rsidR="00975B57" w:rsidRPr="006E3D4F" w:rsidRDefault="00975B57" w:rsidP="00EB7E15">
      <w:pPr>
        <w:spacing w:after="0"/>
        <w:rPr>
          <w:rStyle w:val="Strong"/>
        </w:rPr>
      </w:pPr>
      <w:r w:rsidRPr="006E3D4F">
        <w:rPr>
          <w:rStyle w:val="Strong"/>
        </w:rPr>
        <w:t>ADL Assessment Suite</w:t>
      </w:r>
    </w:p>
    <w:p w:rsidR="00AB104B" w:rsidRDefault="00975B57" w:rsidP="0080276C">
      <w:pPr>
        <w:rPr>
          <w:lang w:eastAsia="en-AU"/>
        </w:rPr>
      </w:pPr>
      <w:bookmarkStart w:id="300" w:name="_Hlk480883307"/>
      <w:r w:rsidRPr="00975B57">
        <w:rPr>
          <w:lang w:eastAsia="en-AU"/>
        </w:rPr>
        <w:t xml:space="preserve">The R-ACFI now has a more clearly defined purpose as an assessment and funding tool. </w:t>
      </w:r>
      <w:hyperlink w:anchor="Tab0406" w:history="1">
        <w:r w:rsidRPr="002D5330">
          <w:rPr>
            <w:rStyle w:val="Hyperlink"/>
            <w:lang w:eastAsia="en-AU"/>
          </w:rPr>
          <w:t>Table 4.6</w:t>
        </w:r>
      </w:hyperlink>
      <w:r w:rsidRPr="00975B57">
        <w:rPr>
          <w:lang w:eastAsia="en-AU"/>
        </w:rPr>
        <w:t xml:space="preserve"> provides a summary of the R-ACFI ADL mandated and recommended assessments.</w:t>
      </w:r>
    </w:p>
    <w:p w:rsidR="0087727F" w:rsidRDefault="0087727F" w:rsidP="0087727F">
      <w:pPr>
        <w:pStyle w:val="Caption"/>
        <w:keepNext/>
      </w:pPr>
      <w:bookmarkStart w:id="301" w:name="_Toc495415645"/>
      <w:bookmarkStart w:id="302" w:name="Tab0406"/>
      <w:bookmarkEnd w:id="300"/>
      <w:r>
        <w:t>Table 4.</w:t>
      </w:r>
      <w:r w:rsidR="009A3F5A">
        <w:fldChar w:fldCharType="begin"/>
      </w:r>
      <w:r w:rsidR="009A3F5A">
        <w:instrText xml:space="preserve"> SEQ Table_4. \* ARABIC </w:instrText>
      </w:r>
      <w:r w:rsidR="009A3F5A">
        <w:fldChar w:fldCharType="separate"/>
      </w:r>
      <w:r w:rsidR="00856E49">
        <w:rPr>
          <w:noProof/>
        </w:rPr>
        <w:t>6</w:t>
      </w:r>
      <w:r w:rsidR="009A3F5A">
        <w:rPr>
          <w:noProof/>
        </w:rPr>
        <w:fldChar w:fldCharType="end"/>
      </w:r>
      <w:r>
        <w:t xml:space="preserve">: </w:t>
      </w:r>
      <w:r w:rsidRPr="0087727F">
        <w:t>R-ACFI ADL Domain Assessment Tools Recommendations</w:t>
      </w:r>
      <w:bookmarkEnd w:id="301"/>
    </w:p>
    <w:tbl>
      <w:tblPr>
        <w:tblStyle w:val="ListTable3-Accent511"/>
        <w:tblW w:w="9180" w:type="dxa"/>
        <w:tblInd w:w="108" w:type="dxa"/>
        <w:tblLook w:val="00A0" w:firstRow="1" w:lastRow="0" w:firstColumn="1" w:lastColumn="0" w:noHBand="0" w:noVBand="0"/>
        <w:tblDescription w:val="Table 4.6 is a list of mandatory and recommended assessment tools for the activities of daily living (ADL) domain (nutrition, functional and continence) for the revised aged care funding instrument (R-ACFI), including the sources of the tools. This table is to be read left to right, top to bottom."/>
      </w:tblPr>
      <w:tblGrid>
        <w:gridCol w:w="2943"/>
        <w:gridCol w:w="3806"/>
        <w:gridCol w:w="2431"/>
      </w:tblGrid>
      <w:tr w:rsidR="00BC2715" w:rsidRPr="00BC2715" w:rsidTr="008772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180" w:type="dxa"/>
            <w:gridSpan w:val="3"/>
          </w:tcPr>
          <w:p w:rsidR="009B35FF" w:rsidRPr="00BC2715" w:rsidRDefault="009B35FF" w:rsidP="00362D43">
            <w:pPr>
              <w:spacing w:before="40" w:after="40"/>
              <w:jc w:val="left"/>
              <w:rPr>
                <w:rFonts w:cstheme="minorHAnsi"/>
                <w:szCs w:val="24"/>
                <w:lang w:val="en-US"/>
              </w:rPr>
            </w:pPr>
            <w:bookmarkStart w:id="303" w:name="_Hlk486241978"/>
            <w:bookmarkEnd w:id="302"/>
            <w:r w:rsidRPr="00BC2715">
              <w:rPr>
                <w:rFonts w:cstheme="minorHAnsi"/>
                <w:szCs w:val="24"/>
                <w:lang w:val="en-US"/>
              </w:rPr>
              <w:t>Nutrition</w:t>
            </w:r>
          </w:p>
        </w:tc>
      </w:tr>
      <w:tr w:rsidR="004265DB" w:rsidRPr="009B35FF" w:rsidTr="00877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DEEAF6" w:themeFill="accent5" w:themeFillTint="33"/>
          </w:tcPr>
          <w:p w:rsidR="004265DB" w:rsidRPr="009B35FF" w:rsidRDefault="004265DB" w:rsidP="00362D43">
            <w:pPr>
              <w:spacing w:before="40" w:after="40"/>
              <w:jc w:val="left"/>
              <w:rPr>
                <w:sz w:val="22"/>
                <w:lang w:eastAsia="en-AU"/>
              </w:rPr>
            </w:pPr>
            <w:r w:rsidRPr="009B35FF">
              <w:rPr>
                <w:sz w:val="22"/>
                <w:lang w:eastAsia="en-AU"/>
              </w:rPr>
              <w:t>Mandatory</w:t>
            </w:r>
          </w:p>
        </w:tc>
        <w:tc>
          <w:tcPr>
            <w:cnfStyle w:val="000010000000" w:firstRow="0" w:lastRow="0" w:firstColumn="0" w:lastColumn="0" w:oddVBand="1" w:evenVBand="0" w:oddHBand="0" w:evenHBand="0" w:firstRowFirstColumn="0" w:firstRowLastColumn="0" w:lastRowFirstColumn="0" w:lastRowLastColumn="0"/>
            <w:tcW w:w="3806" w:type="dxa"/>
            <w:shd w:val="clear" w:color="auto" w:fill="DEEAF6" w:themeFill="accent5" w:themeFillTint="33"/>
          </w:tcPr>
          <w:p w:rsidR="004265DB" w:rsidRPr="009B35FF" w:rsidRDefault="004265DB" w:rsidP="00362D43">
            <w:pPr>
              <w:spacing w:before="40" w:after="40"/>
              <w:jc w:val="left"/>
              <w:rPr>
                <w:b/>
                <w:sz w:val="22"/>
                <w:lang w:eastAsia="en-AU"/>
              </w:rPr>
            </w:pPr>
            <w:r w:rsidRPr="009B35FF">
              <w:rPr>
                <w:b/>
                <w:sz w:val="22"/>
                <w:lang w:eastAsia="en-AU"/>
              </w:rPr>
              <w:t>Recommended</w:t>
            </w:r>
          </w:p>
        </w:tc>
        <w:tc>
          <w:tcPr>
            <w:tcW w:w="2431" w:type="dxa"/>
            <w:shd w:val="clear" w:color="auto" w:fill="DEEAF6" w:themeFill="accent5" w:themeFillTint="33"/>
          </w:tcPr>
          <w:p w:rsidR="004265DB" w:rsidRPr="009B35FF" w:rsidRDefault="004265DB" w:rsidP="00362D43">
            <w:pPr>
              <w:spacing w:before="40" w:after="40"/>
              <w:jc w:val="left"/>
              <w:cnfStyle w:val="000000100000" w:firstRow="0" w:lastRow="0" w:firstColumn="0" w:lastColumn="0" w:oddVBand="0" w:evenVBand="0" w:oddHBand="1" w:evenHBand="0" w:firstRowFirstColumn="0" w:firstRowLastColumn="0" w:lastRowFirstColumn="0" w:lastRowLastColumn="0"/>
              <w:rPr>
                <w:b/>
                <w:sz w:val="22"/>
                <w:lang w:eastAsia="en-AU"/>
              </w:rPr>
            </w:pPr>
            <w:r w:rsidRPr="009B35FF">
              <w:rPr>
                <w:b/>
                <w:sz w:val="22"/>
                <w:lang w:eastAsia="en-AU"/>
              </w:rPr>
              <w:t>Source</w:t>
            </w:r>
          </w:p>
        </w:tc>
      </w:tr>
      <w:tr w:rsidR="00411162" w:rsidRPr="00FE0F48" w:rsidTr="0087727F">
        <w:tc>
          <w:tcPr>
            <w:cnfStyle w:val="001000000000" w:firstRow="0" w:lastRow="0" w:firstColumn="1" w:lastColumn="0" w:oddVBand="0" w:evenVBand="0" w:oddHBand="0" w:evenHBand="0" w:firstRowFirstColumn="0" w:firstRowLastColumn="0" w:lastRowFirstColumn="0" w:lastRowLastColumn="0"/>
            <w:tcW w:w="2943" w:type="dxa"/>
            <w:hideMark/>
          </w:tcPr>
          <w:p w:rsidR="00411162" w:rsidRPr="00B04B3D" w:rsidRDefault="00411162" w:rsidP="00362D43">
            <w:pPr>
              <w:spacing w:after="40"/>
              <w:jc w:val="left"/>
              <w:rPr>
                <w:rFonts w:cstheme="minorHAnsi"/>
                <w:b w:val="0"/>
                <w:sz w:val="22"/>
                <w:lang w:val="en-US"/>
              </w:rPr>
            </w:pPr>
            <w:r w:rsidRPr="00B04B3D">
              <w:rPr>
                <w:b w:val="0"/>
                <w:sz w:val="22"/>
                <w:lang w:eastAsia="en-AU"/>
              </w:rPr>
              <w:t>Mini Nutritional Assessment (MNA Short)</w:t>
            </w:r>
          </w:p>
        </w:tc>
        <w:tc>
          <w:tcPr>
            <w:cnfStyle w:val="000010000000" w:firstRow="0" w:lastRow="0" w:firstColumn="0" w:lastColumn="0" w:oddVBand="1" w:evenVBand="0" w:oddHBand="0" w:evenHBand="0" w:firstRowFirstColumn="0" w:firstRowLastColumn="0" w:lastRowFirstColumn="0" w:lastRowLastColumn="0"/>
            <w:tcW w:w="3806" w:type="dxa"/>
            <w:hideMark/>
          </w:tcPr>
          <w:p w:rsidR="00411162" w:rsidRPr="009C2C03" w:rsidRDefault="002C1CC9" w:rsidP="00445607">
            <w:pPr>
              <w:spacing w:after="40"/>
              <w:jc w:val="left"/>
              <w:rPr>
                <w:rFonts w:cstheme="minorHAnsi"/>
                <w:sz w:val="22"/>
                <w:lang w:val="en-US"/>
              </w:rPr>
            </w:pPr>
            <w:r>
              <w:rPr>
                <w:rFonts w:cstheme="minorHAnsi"/>
                <w:i/>
                <w:sz w:val="22"/>
                <w:lang w:val="en-US"/>
              </w:rPr>
              <w:t>No recommendation</w:t>
            </w:r>
          </w:p>
        </w:tc>
        <w:tc>
          <w:tcPr>
            <w:tcW w:w="2431" w:type="dxa"/>
            <w:hideMark/>
          </w:tcPr>
          <w:p w:rsidR="00411162" w:rsidRPr="00FE0F48" w:rsidRDefault="00411162" w:rsidP="00362D43">
            <w:pPr>
              <w:spacing w:after="40"/>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FE0F48">
              <w:rPr>
                <w:rFonts w:cstheme="minorHAnsi"/>
                <w:sz w:val="22"/>
              </w:rPr>
              <w:t>NATFRAME</w:t>
            </w:r>
          </w:p>
        </w:tc>
      </w:tr>
      <w:tr w:rsidR="00090516" w:rsidRPr="00090516" w:rsidTr="00877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3"/>
            <w:shd w:val="clear" w:color="auto" w:fill="5B9BD5" w:themeFill="accent5"/>
          </w:tcPr>
          <w:p w:rsidR="009B35FF" w:rsidRPr="00090516" w:rsidRDefault="009B35FF" w:rsidP="00362D43">
            <w:pPr>
              <w:spacing w:before="40" w:after="40"/>
              <w:jc w:val="left"/>
              <w:rPr>
                <w:rFonts w:cstheme="minorHAnsi"/>
                <w:color w:val="FFFFFF" w:themeColor="background1"/>
                <w:szCs w:val="24"/>
                <w:lang w:val="en-US"/>
              </w:rPr>
            </w:pPr>
            <w:r w:rsidRPr="00090516">
              <w:rPr>
                <w:rFonts w:cstheme="minorHAnsi"/>
                <w:color w:val="FFFFFF" w:themeColor="background1"/>
                <w:szCs w:val="24"/>
                <w:lang w:val="en-US"/>
              </w:rPr>
              <w:t>Functional</w:t>
            </w:r>
          </w:p>
        </w:tc>
      </w:tr>
      <w:tr w:rsidR="009B35FF" w:rsidRPr="009B35FF" w:rsidTr="0087727F">
        <w:tc>
          <w:tcPr>
            <w:cnfStyle w:val="001000000000" w:firstRow="0" w:lastRow="0" w:firstColumn="1" w:lastColumn="0" w:oddVBand="0" w:evenVBand="0" w:oddHBand="0" w:evenHBand="0" w:firstRowFirstColumn="0" w:firstRowLastColumn="0" w:lastRowFirstColumn="0" w:lastRowLastColumn="0"/>
            <w:tcW w:w="2943" w:type="dxa"/>
            <w:shd w:val="clear" w:color="auto" w:fill="DEEAF6" w:themeFill="accent5" w:themeFillTint="33"/>
          </w:tcPr>
          <w:p w:rsidR="009B35FF" w:rsidRPr="009B35FF" w:rsidRDefault="009B35FF" w:rsidP="00362D43">
            <w:pPr>
              <w:spacing w:before="40" w:after="40"/>
              <w:jc w:val="left"/>
              <w:rPr>
                <w:sz w:val="22"/>
                <w:lang w:eastAsia="en-AU"/>
              </w:rPr>
            </w:pPr>
            <w:r w:rsidRPr="009B35FF">
              <w:rPr>
                <w:sz w:val="22"/>
                <w:lang w:eastAsia="en-AU"/>
              </w:rPr>
              <w:t>Mandatory</w:t>
            </w:r>
          </w:p>
        </w:tc>
        <w:tc>
          <w:tcPr>
            <w:cnfStyle w:val="000010000000" w:firstRow="0" w:lastRow="0" w:firstColumn="0" w:lastColumn="0" w:oddVBand="1" w:evenVBand="0" w:oddHBand="0" w:evenHBand="0" w:firstRowFirstColumn="0" w:firstRowLastColumn="0" w:lastRowFirstColumn="0" w:lastRowLastColumn="0"/>
            <w:tcW w:w="3806" w:type="dxa"/>
            <w:shd w:val="clear" w:color="auto" w:fill="DEEAF6" w:themeFill="accent5" w:themeFillTint="33"/>
          </w:tcPr>
          <w:p w:rsidR="009B35FF" w:rsidRPr="009B35FF" w:rsidRDefault="009B35FF" w:rsidP="00362D43">
            <w:pPr>
              <w:spacing w:before="40" w:after="40"/>
              <w:jc w:val="left"/>
              <w:rPr>
                <w:b/>
                <w:sz w:val="22"/>
                <w:lang w:eastAsia="en-AU"/>
              </w:rPr>
            </w:pPr>
            <w:r w:rsidRPr="009B35FF">
              <w:rPr>
                <w:b/>
                <w:sz w:val="22"/>
                <w:lang w:eastAsia="en-AU"/>
              </w:rPr>
              <w:t>Recommended</w:t>
            </w:r>
          </w:p>
        </w:tc>
        <w:tc>
          <w:tcPr>
            <w:tcW w:w="2431" w:type="dxa"/>
            <w:shd w:val="clear" w:color="auto" w:fill="DEEAF6" w:themeFill="accent5" w:themeFillTint="33"/>
          </w:tcPr>
          <w:p w:rsidR="009B35FF" w:rsidRPr="009B35FF" w:rsidRDefault="009B35FF" w:rsidP="00362D43">
            <w:pPr>
              <w:spacing w:before="40" w:after="40"/>
              <w:jc w:val="left"/>
              <w:cnfStyle w:val="000000000000" w:firstRow="0" w:lastRow="0" w:firstColumn="0" w:lastColumn="0" w:oddVBand="0" w:evenVBand="0" w:oddHBand="0" w:evenHBand="0" w:firstRowFirstColumn="0" w:firstRowLastColumn="0" w:lastRowFirstColumn="0" w:lastRowLastColumn="0"/>
              <w:rPr>
                <w:b/>
                <w:sz w:val="22"/>
                <w:lang w:eastAsia="en-AU"/>
              </w:rPr>
            </w:pPr>
            <w:r w:rsidRPr="009B35FF">
              <w:rPr>
                <w:b/>
                <w:sz w:val="22"/>
                <w:lang w:eastAsia="en-AU"/>
              </w:rPr>
              <w:t>Source</w:t>
            </w:r>
          </w:p>
        </w:tc>
      </w:tr>
      <w:tr w:rsidR="002C1CC9" w:rsidRPr="00FE0F48" w:rsidTr="00877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hideMark/>
          </w:tcPr>
          <w:p w:rsidR="002C1CC9" w:rsidRPr="00B04B3D" w:rsidRDefault="002C1CC9" w:rsidP="00362D43">
            <w:pPr>
              <w:spacing w:after="40"/>
              <w:jc w:val="left"/>
              <w:rPr>
                <w:rFonts w:cstheme="minorHAnsi"/>
                <w:b w:val="0"/>
                <w:sz w:val="22"/>
                <w:lang w:val="en-US"/>
              </w:rPr>
            </w:pPr>
            <w:r w:rsidRPr="00B04B3D">
              <w:rPr>
                <w:rFonts w:cstheme="minorHAnsi"/>
                <w:b w:val="0"/>
                <w:sz w:val="22"/>
              </w:rPr>
              <w:t>Physical Mobility Scale (PMS) with guided instructions</w:t>
            </w:r>
          </w:p>
        </w:tc>
        <w:tc>
          <w:tcPr>
            <w:cnfStyle w:val="000010000000" w:firstRow="0" w:lastRow="0" w:firstColumn="0" w:lastColumn="0" w:oddVBand="1" w:evenVBand="0" w:oddHBand="0" w:evenHBand="0" w:firstRowFirstColumn="0" w:firstRowLastColumn="0" w:lastRowFirstColumn="0" w:lastRowLastColumn="0"/>
            <w:tcW w:w="3806" w:type="dxa"/>
            <w:hideMark/>
          </w:tcPr>
          <w:p w:rsidR="002C1CC9" w:rsidRPr="009C2C03" w:rsidRDefault="002C1CC9" w:rsidP="002A18FA">
            <w:pPr>
              <w:spacing w:after="40"/>
              <w:jc w:val="left"/>
              <w:rPr>
                <w:rFonts w:cstheme="minorHAnsi"/>
                <w:sz w:val="22"/>
                <w:lang w:val="en-US"/>
              </w:rPr>
            </w:pPr>
            <w:r w:rsidRPr="00E77FFD">
              <w:rPr>
                <w:rFonts w:cstheme="minorHAnsi"/>
                <w:i/>
                <w:sz w:val="22"/>
                <w:lang w:val="en-US"/>
              </w:rPr>
              <w:t>No recommendation</w:t>
            </w:r>
          </w:p>
        </w:tc>
        <w:tc>
          <w:tcPr>
            <w:tcW w:w="2431" w:type="dxa"/>
            <w:hideMark/>
          </w:tcPr>
          <w:p w:rsidR="002C1CC9" w:rsidRPr="00FE0F48" w:rsidRDefault="002C1CC9" w:rsidP="00362D43">
            <w:pPr>
              <w:spacing w:after="40"/>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FE0F48">
              <w:rPr>
                <w:sz w:val="22"/>
                <w:lang w:val="en-US"/>
              </w:rPr>
              <w:t xml:space="preserve">R-ACFI Assessment Pack </w:t>
            </w:r>
          </w:p>
        </w:tc>
      </w:tr>
      <w:tr w:rsidR="002C1CC9" w:rsidRPr="00FE0F48" w:rsidTr="0087727F">
        <w:tc>
          <w:tcPr>
            <w:cnfStyle w:val="001000000000" w:firstRow="0" w:lastRow="0" w:firstColumn="1" w:lastColumn="0" w:oddVBand="0" w:evenVBand="0" w:oddHBand="0" w:evenHBand="0" w:firstRowFirstColumn="0" w:firstRowLastColumn="0" w:lastRowFirstColumn="0" w:lastRowLastColumn="0"/>
            <w:tcW w:w="2943" w:type="dxa"/>
            <w:hideMark/>
          </w:tcPr>
          <w:p w:rsidR="002C1CC9" w:rsidRPr="00B04B3D" w:rsidRDefault="002C1CC9" w:rsidP="00362D43">
            <w:pPr>
              <w:spacing w:after="40"/>
              <w:jc w:val="left"/>
              <w:rPr>
                <w:rFonts w:cstheme="minorHAnsi"/>
                <w:b w:val="0"/>
                <w:sz w:val="22"/>
                <w:lang w:val="en-US"/>
              </w:rPr>
            </w:pPr>
            <w:r w:rsidRPr="00B04B3D">
              <w:rPr>
                <w:rFonts w:cstheme="minorHAnsi"/>
                <w:b w:val="0"/>
                <w:sz w:val="22"/>
              </w:rPr>
              <w:t>Falls Risk Assessment Tool (FRAT)</w:t>
            </w:r>
          </w:p>
        </w:tc>
        <w:tc>
          <w:tcPr>
            <w:cnfStyle w:val="000010000000" w:firstRow="0" w:lastRow="0" w:firstColumn="0" w:lastColumn="0" w:oddVBand="1" w:evenVBand="0" w:oddHBand="0" w:evenHBand="0" w:firstRowFirstColumn="0" w:firstRowLastColumn="0" w:lastRowFirstColumn="0" w:lastRowLastColumn="0"/>
            <w:tcW w:w="3806" w:type="dxa"/>
            <w:hideMark/>
          </w:tcPr>
          <w:p w:rsidR="002C1CC9" w:rsidRPr="009C2C03" w:rsidRDefault="002C1CC9" w:rsidP="002A18FA">
            <w:pPr>
              <w:spacing w:after="40"/>
              <w:jc w:val="left"/>
              <w:rPr>
                <w:rFonts w:cstheme="minorHAnsi"/>
                <w:sz w:val="22"/>
                <w:lang w:val="en-US"/>
              </w:rPr>
            </w:pPr>
            <w:r w:rsidRPr="00E77FFD">
              <w:rPr>
                <w:rFonts w:cstheme="minorHAnsi"/>
                <w:i/>
                <w:sz w:val="22"/>
                <w:lang w:val="en-US"/>
              </w:rPr>
              <w:t>No recommendation</w:t>
            </w:r>
          </w:p>
        </w:tc>
        <w:tc>
          <w:tcPr>
            <w:tcW w:w="2431" w:type="dxa"/>
            <w:hideMark/>
          </w:tcPr>
          <w:p w:rsidR="002C1CC9" w:rsidRPr="00FE0F48" w:rsidRDefault="002C1CC9" w:rsidP="00362D43">
            <w:pPr>
              <w:spacing w:after="40"/>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FE0F48">
              <w:rPr>
                <w:rFonts w:cstheme="minorHAnsi"/>
                <w:sz w:val="22"/>
              </w:rPr>
              <w:t>NATFRAME</w:t>
            </w:r>
          </w:p>
        </w:tc>
      </w:tr>
      <w:tr w:rsidR="00BC2715" w:rsidRPr="00BC2715" w:rsidTr="00877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3"/>
            <w:shd w:val="clear" w:color="auto" w:fill="5B9BD5" w:themeFill="accent5"/>
          </w:tcPr>
          <w:p w:rsidR="009B35FF" w:rsidRPr="00BC2715" w:rsidRDefault="009B35FF" w:rsidP="00362D43">
            <w:pPr>
              <w:spacing w:before="40" w:after="40"/>
              <w:jc w:val="left"/>
              <w:rPr>
                <w:rFonts w:cstheme="minorHAnsi"/>
                <w:color w:val="FFFFFF" w:themeColor="background1"/>
                <w:szCs w:val="24"/>
                <w:lang w:val="en-US"/>
              </w:rPr>
            </w:pPr>
            <w:r w:rsidRPr="00BC2715">
              <w:rPr>
                <w:rFonts w:cstheme="minorHAnsi"/>
                <w:color w:val="FFFFFF" w:themeColor="background1"/>
                <w:szCs w:val="24"/>
                <w:lang w:val="en-US"/>
              </w:rPr>
              <w:t>Continence</w:t>
            </w:r>
          </w:p>
        </w:tc>
      </w:tr>
      <w:tr w:rsidR="009B35FF" w:rsidRPr="009B35FF" w:rsidTr="0087727F">
        <w:tc>
          <w:tcPr>
            <w:cnfStyle w:val="001000000000" w:firstRow="0" w:lastRow="0" w:firstColumn="1" w:lastColumn="0" w:oddVBand="0" w:evenVBand="0" w:oddHBand="0" w:evenHBand="0" w:firstRowFirstColumn="0" w:firstRowLastColumn="0" w:lastRowFirstColumn="0" w:lastRowLastColumn="0"/>
            <w:tcW w:w="2943" w:type="dxa"/>
            <w:shd w:val="clear" w:color="auto" w:fill="DEEAF6" w:themeFill="accent5" w:themeFillTint="33"/>
          </w:tcPr>
          <w:p w:rsidR="009B35FF" w:rsidRPr="009B35FF" w:rsidRDefault="009B35FF" w:rsidP="00362D43">
            <w:pPr>
              <w:spacing w:before="40" w:after="40"/>
              <w:jc w:val="left"/>
              <w:rPr>
                <w:sz w:val="22"/>
                <w:lang w:eastAsia="en-AU"/>
              </w:rPr>
            </w:pPr>
            <w:r w:rsidRPr="009B35FF">
              <w:rPr>
                <w:sz w:val="22"/>
                <w:lang w:eastAsia="en-AU"/>
              </w:rPr>
              <w:t>Mandatory</w:t>
            </w:r>
          </w:p>
        </w:tc>
        <w:tc>
          <w:tcPr>
            <w:cnfStyle w:val="000010000000" w:firstRow="0" w:lastRow="0" w:firstColumn="0" w:lastColumn="0" w:oddVBand="1" w:evenVBand="0" w:oddHBand="0" w:evenHBand="0" w:firstRowFirstColumn="0" w:firstRowLastColumn="0" w:lastRowFirstColumn="0" w:lastRowLastColumn="0"/>
            <w:tcW w:w="3806" w:type="dxa"/>
            <w:shd w:val="clear" w:color="auto" w:fill="DEEAF6" w:themeFill="accent5" w:themeFillTint="33"/>
          </w:tcPr>
          <w:p w:rsidR="009B35FF" w:rsidRPr="009B35FF" w:rsidRDefault="009B35FF" w:rsidP="00362D43">
            <w:pPr>
              <w:spacing w:before="40" w:after="40"/>
              <w:jc w:val="left"/>
              <w:rPr>
                <w:b/>
                <w:sz w:val="22"/>
                <w:lang w:eastAsia="en-AU"/>
              </w:rPr>
            </w:pPr>
            <w:r w:rsidRPr="009B35FF">
              <w:rPr>
                <w:b/>
                <w:sz w:val="22"/>
                <w:lang w:eastAsia="en-AU"/>
              </w:rPr>
              <w:t>Recommended</w:t>
            </w:r>
          </w:p>
        </w:tc>
        <w:tc>
          <w:tcPr>
            <w:tcW w:w="2431" w:type="dxa"/>
            <w:shd w:val="clear" w:color="auto" w:fill="DEEAF6" w:themeFill="accent5" w:themeFillTint="33"/>
          </w:tcPr>
          <w:p w:rsidR="009B35FF" w:rsidRPr="009B35FF" w:rsidRDefault="009B35FF" w:rsidP="00362D43">
            <w:pPr>
              <w:spacing w:before="40" w:after="40"/>
              <w:jc w:val="left"/>
              <w:cnfStyle w:val="000000000000" w:firstRow="0" w:lastRow="0" w:firstColumn="0" w:lastColumn="0" w:oddVBand="0" w:evenVBand="0" w:oddHBand="0" w:evenHBand="0" w:firstRowFirstColumn="0" w:firstRowLastColumn="0" w:lastRowFirstColumn="0" w:lastRowLastColumn="0"/>
              <w:rPr>
                <w:b/>
                <w:sz w:val="22"/>
                <w:lang w:eastAsia="en-AU"/>
              </w:rPr>
            </w:pPr>
            <w:r w:rsidRPr="009B35FF">
              <w:rPr>
                <w:b/>
                <w:sz w:val="22"/>
                <w:lang w:eastAsia="en-AU"/>
              </w:rPr>
              <w:t>Source</w:t>
            </w:r>
          </w:p>
        </w:tc>
      </w:tr>
      <w:tr w:rsidR="00411162" w:rsidRPr="00FE0F48" w:rsidTr="00877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hideMark/>
          </w:tcPr>
          <w:p w:rsidR="00411162" w:rsidRPr="00B04B3D" w:rsidRDefault="00411162" w:rsidP="00362D43">
            <w:pPr>
              <w:spacing w:after="40"/>
              <w:jc w:val="left"/>
              <w:rPr>
                <w:rFonts w:cstheme="minorHAnsi"/>
                <w:b w:val="0"/>
                <w:sz w:val="22"/>
                <w:lang w:val="en-US"/>
              </w:rPr>
            </w:pPr>
            <w:r w:rsidRPr="00B04B3D">
              <w:rPr>
                <w:b w:val="0"/>
                <w:sz w:val="22"/>
                <w:lang w:eastAsia="en-AU"/>
              </w:rPr>
              <w:t>Continence Record</w:t>
            </w:r>
          </w:p>
        </w:tc>
        <w:tc>
          <w:tcPr>
            <w:cnfStyle w:val="000010000000" w:firstRow="0" w:lastRow="0" w:firstColumn="0" w:lastColumn="0" w:oddVBand="1" w:evenVBand="0" w:oddHBand="0" w:evenHBand="0" w:firstRowFirstColumn="0" w:firstRowLastColumn="0" w:lastRowFirstColumn="0" w:lastRowLastColumn="0"/>
            <w:tcW w:w="3806" w:type="dxa"/>
          </w:tcPr>
          <w:p w:rsidR="00411162" w:rsidRPr="009C2C03" w:rsidRDefault="002C1CC9" w:rsidP="002A18FA">
            <w:pPr>
              <w:spacing w:after="40"/>
              <w:jc w:val="left"/>
              <w:rPr>
                <w:rFonts w:cstheme="minorHAnsi"/>
                <w:sz w:val="22"/>
                <w:lang w:val="en-US"/>
              </w:rPr>
            </w:pPr>
            <w:r>
              <w:rPr>
                <w:rFonts w:cstheme="minorHAnsi"/>
                <w:i/>
                <w:sz w:val="22"/>
                <w:lang w:val="en-US"/>
              </w:rPr>
              <w:t>No recommendation</w:t>
            </w:r>
          </w:p>
        </w:tc>
        <w:tc>
          <w:tcPr>
            <w:tcW w:w="2431" w:type="dxa"/>
          </w:tcPr>
          <w:p w:rsidR="00411162" w:rsidRPr="00FE0F48" w:rsidRDefault="00411162" w:rsidP="00362D43">
            <w:pPr>
              <w:spacing w:after="40"/>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FE0F48">
              <w:rPr>
                <w:sz w:val="22"/>
                <w:lang w:val="en-US"/>
              </w:rPr>
              <w:t>ACFI Assessment Pack</w:t>
            </w:r>
          </w:p>
        </w:tc>
      </w:tr>
      <w:tr w:rsidR="00445607" w:rsidRPr="00FE0F48" w:rsidTr="0087727F">
        <w:tc>
          <w:tcPr>
            <w:cnfStyle w:val="001000000000" w:firstRow="0" w:lastRow="0" w:firstColumn="1" w:lastColumn="0" w:oddVBand="0" w:evenVBand="0" w:oddHBand="0" w:evenHBand="0" w:firstRowFirstColumn="0" w:firstRowLastColumn="0" w:lastRowFirstColumn="0" w:lastRowLastColumn="0"/>
            <w:tcW w:w="2943" w:type="dxa"/>
            <w:hideMark/>
          </w:tcPr>
          <w:p w:rsidR="00445607" w:rsidRPr="00B04B3D" w:rsidRDefault="00445607" w:rsidP="00362D43">
            <w:pPr>
              <w:spacing w:after="40"/>
              <w:jc w:val="left"/>
              <w:rPr>
                <w:rFonts w:cstheme="minorHAnsi"/>
                <w:b w:val="0"/>
                <w:sz w:val="22"/>
                <w:lang w:val="en-US"/>
              </w:rPr>
            </w:pPr>
            <w:r w:rsidRPr="00B04B3D">
              <w:rPr>
                <w:b w:val="0"/>
                <w:sz w:val="22"/>
                <w:lang w:eastAsia="en-AU"/>
              </w:rPr>
              <w:t>Continence Assessment Form and Care Plan (if no diagnosis)</w:t>
            </w:r>
          </w:p>
        </w:tc>
        <w:tc>
          <w:tcPr>
            <w:cnfStyle w:val="000010000000" w:firstRow="0" w:lastRow="0" w:firstColumn="0" w:lastColumn="0" w:oddVBand="1" w:evenVBand="0" w:oddHBand="0" w:evenHBand="0" w:firstRowFirstColumn="0" w:firstRowLastColumn="0" w:lastRowFirstColumn="0" w:lastRowLastColumn="0"/>
            <w:tcW w:w="3806" w:type="dxa"/>
          </w:tcPr>
          <w:p w:rsidR="00445607" w:rsidRPr="00FE0F48" w:rsidRDefault="00445607" w:rsidP="00362D43">
            <w:pPr>
              <w:spacing w:after="40"/>
              <w:jc w:val="left"/>
              <w:rPr>
                <w:rFonts w:cstheme="minorHAnsi"/>
                <w:sz w:val="22"/>
              </w:rPr>
            </w:pPr>
            <w:r w:rsidRPr="00FE0F48">
              <w:rPr>
                <w:sz w:val="22"/>
              </w:rPr>
              <w:t xml:space="preserve">Continence Toolkit </w:t>
            </w:r>
            <w:r>
              <w:rPr>
                <w:sz w:val="22"/>
              </w:rPr>
              <w:t xml:space="preserve">which </w:t>
            </w:r>
            <w:r w:rsidRPr="00FE0F48">
              <w:rPr>
                <w:rFonts w:cstheme="minorHAnsi"/>
                <w:sz w:val="22"/>
              </w:rPr>
              <w:t>includes:</w:t>
            </w:r>
          </w:p>
          <w:p w:rsidR="00445607" w:rsidRPr="00AB104B" w:rsidRDefault="00445607" w:rsidP="00F02312">
            <w:pPr>
              <w:pStyle w:val="ListParagraph"/>
              <w:numPr>
                <w:ilvl w:val="1"/>
                <w:numId w:val="180"/>
              </w:numPr>
              <w:spacing w:after="0"/>
              <w:ind w:left="357" w:hanging="357"/>
              <w:jc w:val="left"/>
              <w:rPr>
                <w:sz w:val="22"/>
              </w:rPr>
            </w:pPr>
            <w:r w:rsidRPr="00AB104B">
              <w:rPr>
                <w:sz w:val="22"/>
              </w:rPr>
              <w:t>Management flow chart</w:t>
            </w:r>
          </w:p>
          <w:p w:rsidR="00445607" w:rsidRPr="00AB104B" w:rsidRDefault="00445607" w:rsidP="00F02312">
            <w:pPr>
              <w:pStyle w:val="ListParagraph"/>
              <w:numPr>
                <w:ilvl w:val="1"/>
                <w:numId w:val="180"/>
              </w:numPr>
              <w:spacing w:after="0"/>
              <w:ind w:left="357" w:hanging="357"/>
              <w:jc w:val="left"/>
              <w:rPr>
                <w:sz w:val="22"/>
              </w:rPr>
            </w:pPr>
            <w:r w:rsidRPr="00AB104B">
              <w:rPr>
                <w:sz w:val="22"/>
              </w:rPr>
              <w:t>Screening form</w:t>
            </w:r>
          </w:p>
          <w:p w:rsidR="00445607" w:rsidRPr="00AB104B" w:rsidRDefault="00445607" w:rsidP="00F02312">
            <w:pPr>
              <w:pStyle w:val="ListParagraph"/>
              <w:numPr>
                <w:ilvl w:val="1"/>
                <w:numId w:val="180"/>
              </w:numPr>
              <w:spacing w:after="0"/>
              <w:ind w:left="357" w:hanging="357"/>
              <w:jc w:val="left"/>
              <w:rPr>
                <w:sz w:val="22"/>
              </w:rPr>
            </w:pPr>
            <w:r w:rsidRPr="00AB104B">
              <w:rPr>
                <w:sz w:val="22"/>
              </w:rPr>
              <w:t>Three-day bladder chart</w:t>
            </w:r>
          </w:p>
          <w:p w:rsidR="00445607" w:rsidRPr="00AB104B" w:rsidRDefault="00445607" w:rsidP="00F02312">
            <w:pPr>
              <w:pStyle w:val="ListParagraph"/>
              <w:numPr>
                <w:ilvl w:val="1"/>
                <w:numId w:val="180"/>
              </w:numPr>
              <w:spacing w:after="0"/>
              <w:ind w:left="357" w:hanging="357"/>
              <w:jc w:val="left"/>
              <w:rPr>
                <w:sz w:val="22"/>
              </w:rPr>
            </w:pPr>
            <w:r w:rsidRPr="00AB104B">
              <w:rPr>
                <w:sz w:val="22"/>
              </w:rPr>
              <w:t>Seven-day bowel chart</w:t>
            </w:r>
          </w:p>
          <w:p w:rsidR="00445607" w:rsidRPr="00AB104B" w:rsidRDefault="00445607" w:rsidP="00F02312">
            <w:pPr>
              <w:pStyle w:val="ListParagraph"/>
              <w:numPr>
                <w:ilvl w:val="1"/>
                <w:numId w:val="180"/>
              </w:numPr>
              <w:spacing w:after="0"/>
              <w:ind w:left="357" w:hanging="357"/>
              <w:jc w:val="left"/>
              <w:rPr>
                <w:sz w:val="22"/>
              </w:rPr>
            </w:pPr>
            <w:r w:rsidRPr="00AB104B">
              <w:rPr>
                <w:sz w:val="22"/>
              </w:rPr>
              <w:t>Monthly bowel chart</w:t>
            </w:r>
          </w:p>
          <w:p w:rsidR="00445607" w:rsidRPr="00AB104B" w:rsidRDefault="00445607" w:rsidP="00F02312">
            <w:pPr>
              <w:pStyle w:val="ListParagraph"/>
              <w:numPr>
                <w:ilvl w:val="1"/>
                <w:numId w:val="180"/>
              </w:numPr>
              <w:spacing w:after="0"/>
              <w:ind w:left="357" w:hanging="357"/>
              <w:jc w:val="left"/>
              <w:rPr>
                <w:sz w:val="22"/>
              </w:rPr>
            </w:pPr>
            <w:r w:rsidRPr="00AB104B">
              <w:rPr>
                <w:sz w:val="22"/>
              </w:rPr>
              <w:t>Assessment form and care plan</w:t>
            </w:r>
          </w:p>
          <w:p w:rsidR="00445607" w:rsidRPr="00AB104B" w:rsidRDefault="00445607" w:rsidP="00F02312">
            <w:pPr>
              <w:pStyle w:val="ListParagraph"/>
              <w:numPr>
                <w:ilvl w:val="0"/>
                <w:numId w:val="179"/>
              </w:numPr>
              <w:spacing w:after="0"/>
              <w:ind w:left="357" w:hanging="357"/>
              <w:jc w:val="left"/>
              <w:rPr>
                <w:rFonts w:cstheme="minorHAnsi"/>
                <w:sz w:val="22"/>
                <w:lang w:val="en-US"/>
              </w:rPr>
            </w:pPr>
            <w:r w:rsidRPr="00AB104B">
              <w:rPr>
                <w:sz w:val="22"/>
              </w:rPr>
              <w:t>Care summary</w:t>
            </w:r>
          </w:p>
        </w:tc>
        <w:tc>
          <w:tcPr>
            <w:tcW w:w="2431" w:type="dxa"/>
          </w:tcPr>
          <w:p w:rsidR="00445607" w:rsidRPr="00FE0F48" w:rsidRDefault="00445607" w:rsidP="00362D43">
            <w:pPr>
              <w:spacing w:after="40"/>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FE0F48">
              <w:rPr>
                <w:sz w:val="22"/>
              </w:rPr>
              <w:t>The Continence Tools for Residential Aged Care</w:t>
            </w:r>
            <w:r w:rsidRPr="00FE0F48">
              <w:rPr>
                <w:sz w:val="22"/>
                <w:lang w:eastAsia="en-AU"/>
              </w:rPr>
              <w:t xml:space="preserve"> (</w:t>
            </w:r>
            <w:r>
              <w:rPr>
                <w:sz w:val="22"/>
                <w:lang w:eastAsia="en-AU"/>
              </w:rPr>
              <w:t>updated 2017</w:t>
            </w:r>
            <w:r w:rsidRPr="00FE0F48">
              <w:rPr>
                <w:sz w:val="22"/>
                <w:lang w:eastAsia="en-AU"/>
              </w:rPr>
              <w:t>)</w:t>
            </w:r>
          </w:p>
        </w:tc>
      </w:tr>
    </w:tbl>
    <w:bookmarkEnd w:id="303"/>
    <w:p w:rsidR="00557FD2" w:rsidRPr="009C2C03" w:rsidRDefault="002D5330" w:rsidP="0080276C">
      <w:pPr>
        <w:spacing w:before="120" w:after="0"/>
      </w:pPr>
      <w:r>
        <w:fldChar w:fldCharType="begin"/>
      </w:r>
      <w:r>
        <w:instrText xml:space="preserve"> HYPERLINK  \l "Tab0407" </w:instrText>
      </w:r>
      <w:r>
        <w:fldChar w:fldCharType="separate"/>
      </w:r>
      <w:r w:rsidR="001D49AB" w:rsidRPr="002D5330">
        <w:rPr>
          <w:rStyle w:val="Hyperlink"/>
        </w:rPr>
        <w:t>Table 4.7</w:t>
      </w:r>
      <w:r>
        <w:fldChar w:fldCharType="end"/>
      </w:r>
      <w:r w:rsidR="001D49AB" w:rsidRPr="001D49AB">
        <w:t xml:space="preserve"> following provides a summary of the ADL domain recommendations.</w:t>
      </w:r>
      <w:r w:rsidR="00D05C8D">
        <w:t xml:space="preserve"> </w:t>
      </w:r>
      <w:r w:rsidR="0062110E">
        <w:t>N</w:t>
      </w:r>
      <w:r w:rsidR="0062110E" w:rsidRPr="006249BC">
        <w:t>ot</w:t>
      </w:r>
      <w:r w:rsidR="0062110E">
        <w:t>e</w:t>
      </w:r>
      <w:r w:rsidR="0062110E" w:rsidRPr="006249BC">
        <w:t xml:space="preserve"> any "N</w:t>
      </w:r>
      <w:r w:rsidR="00C86B67">
        <w:t>R</w:t>
      </w:r>
      <w:r w:rsidR="0062110E" w:rsidRPr="006249BC">
        <w:t>" references indicate no recommendation was provided.</w:t>
      </w:r>
      <w:r w:rsidR="00557FD2" w:rsidRPr="001F09F2">
        <w:rPr>
          <w:color w:val="FF0000"/>
        </w:rPr>
        <w:br w:type="page"/>
      </w:r>
    </w:p>
    <w:p w:rsidR="00557FD2" w:rsidRDefault="00557FD2" w:rsidP="00557FD2">
      <w:pPr>
        <w:sectPr w:rsidR="00557FD2" w:rsidSect="00A51750">
          <w:headerReference w:type="default" r:id="rId46"/>
          <w:footerReference w:type="even" r:id="rId47"/>
          <w:footerReference w:type="default" r:id="rId48"/>
          <w:footerReference w:type="first" r:id="rId49"/>
          <w:type w:val="continuous"/>
          <w:pgSz w:w="11906" w:h="16838"/>
          <w:pgMar w:top="1440" w:right="1440" w:bottom="1440" w:left="1440" w:header="708" w:footer="708" w:gutter="0"/>
          <w:cols w:space="708"/>
          <w:docGrid w:linePitch="360"/>
        </w:sectPr>
      </w:pPr>
    </w:p>
    <w:p w:rsidR="0087727F" w:rsidRDefault="0087727F" w:rsidP="0087727F">
      <w:pPr>
        <w:pStyle w:val="Caption"/>
        <w:keepNext/>
        <w:spacing w:before="0"/>
      </w:pPr>
      <w:bookmarkStart w:id="304" w:name="_Toc495415646"/>
      <w:bookmarkStart w:id="305" w:name="Tab0407"/>
      <w:r>
        <w:lastRenderedPageBreak/>
        <w:t>Table 4.</w:t>
      </w:r>
      <w:r w:rsidR="009A3F5A">
        <w:fldChar w:fldCharType="begin"/>
      </w:r>
      <w:r w:rsidR="009A3F5A">
        <w:instrText xml:space="preserve"> SEQ Table_4. \* ARABIC </w:instrText>
      </w:r>
      <w:r w:rsidR="009A3F5A">
        <w:fldChar w:fldCharType="separate"/>
      </w:r>
      <w:r w:rsidR="00856E49">
        <w:rPr>
          <w:noProof/>
        </w:rPr>
        <w:t>7</w:t>
      </w:r>
      <w:r w:rsidR="009A3F5A">
        <w:rPr>
          <w:noProof/>
        </w:rPr>
        <w:fldChar w:fldCharType="end"/>
      </w:r>
      <w:r>
        <w:t xml:space="preserve">: </w:t>
      </w:r>
      <w:r w:rsidRPr="0087727F">
        <w:t>Summary of ADL Recommendations</w:t>
      </w:r>
      <w:bookmarkEnd w:id="304"/>
    </w:p>
    <w:tbl>
      <w:tblPr>
        <w:tblStyle w:val="TableGrid"/>
        <w:tblW w:w="14694" w:type="dxa"/>
        <w:tblInd w:w="-318"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Description w:val="Table 4.7 is a summary of the recommendations for the activities of daily living (ADL) domain (nutrition, functional and continence) for the revised aged care funding instrument (R-ACFI), as summarised in the text prior to this table. This table is to be read left to right, top to bottom, noting there are four sections for the main headers:&#10;1.  Item&#10;2.  Change&#10;3.  Assessments, checklists and ratings, which includes headers Mandated, Validated assessment, Standardised information, Contemporary and Outcomes&#10;4. Audit system, which includes Fit to External Assessment, Fit to RAC workforce, Fit to Gateway, Clarifies and Improves reviews.&#10;"/>
      </w:tblPr>
      <w:tblGrid>
        <w:gridCol w:w="1135"/>
        <w:gridCol w:w="1134"/>
        <w:gridCol w:w="1193"/>
        <w:gridCol w:w="1192"/>
        <w:gridCol w:w="1184"/>
        <w:gridCol w:w="1349"/>
        <w:gridCol w:w="1603"/>
        <w:gridCol w:w="1051"/>
        <w:gridCol w:w="1193"/>
        <w:gridCol w:w="1016"/>
        <w:gridCol w:w="1451"/>
        <w:gridCol w:w="1193"/>
      </w:tblGrid>
      <w:tr w:rsidR="00557FD2" w:rsidRPr="00F02369" w:rsidTr="0013195C">
        <w:trPr>
          <w:tblHeader/>
        </w:trPr>
        <w:tc>
          <w:tcPr>
            <w:tcW w:w="1135" w:type="dxa"/>
            <w:shd w:val="clear" w:color="auto" w:fill="5B9BD5" w:themeFill="accent5"/>
          </w:tcPr>
          <w:bookmarkEnd w:id="305"/>
          <w:p w:rsidR="00557FD2" w:rsidRPr="00F02369" w:rsidRDefault="00557FD2" w:rsidP="0013195C">
            <w:pPr>
              <w:spacing w:before="40" w:after="40"/>
              <w:jc w:val="center"/>
              <w:rPr>
                <w:sz w:val="20"/>
                <w:szCs w:val="20"/>
              </w:rPr>
            </w:pPr>
            <w:r w:rsidRPr="00F02369">
              <w:rPr>
                <w:b/>
                <w:sz w:val="20"/>
                <w:szCs w:val="20"/>
              </w:rPr>
              <w:t>Item</w:t>
            </w:r>
          </w:p>
        </w:tc>
        <w:tc>
          <w:tcPr>
            <w:tcW w:w="1134" w:type="dxa"/>
            <w:shd w:val="clear" w:color="auto" w:fill="5B9BD5" w:themeFill="accent5"/>
          </w:tcPr>
          <w:p w:rsidR="00557FD2" w:rsidRPr="00F02369" w:rsidRDefault="00557FD2" w:rsidP="0013195C">
            <w:pPr>
              <w:spacing w:before="40" w:after="40"/>
              <w:jc w:val="center"/>
              <w:rPr>
                <w:sz w:val="20"/>
                <w:szCs w:val="20"/>
              </w:rPr>
            </w:pPr>
            <w:r w:rsidRPr="00F02369">
              <w:rPr>
                <w:b/>
                <w:sz w:val="20"/>
                <w:szCs w:val="20"/>
              </w:rPr>
              <w:t>Change</w:t>
            </w:r>
          </w:p>
        </w:tc>
        <w:tc>
          <w:tcPr>
            <w:tcW w:w="6521" w:type="dxa"/>
            <w:gridSpan w:val="5"/>
            <w:shd w:val="clear" w:color="auto" w:fill="5B9BD5" w:themeFill="accent5"/>
          </w:tcPr>
          <w:p w:rsidR="00557FD2" w:rsidRPr="00F02369" w:rsidRDefault="00557FD2" w:rsidP="0013195C">
            <w:pPr>
              <w:spacing w:before="40" w:after="40"/>
              <w:jc w:val="center"/>
              <w:rPr>
                <w:b/>
                <w:color w:val="4472C4" w:themeColor="accent1"/>
                <w:sz w:val="20"/>
                <w:szCs w:val="20"/>
              </w:rPr>
            </w:pPr>
            <w:r w:rsidRPr="00F02369">
              <w:rPr>
                <w:b/>
                <w:sz w:val="20"/>
                <w:szCs w:val="20"/>
              </w:rPr>
              <w:t xml:space="preserve">Assessments, </w:t>
            </w:r>
            <w:r w:rsidR="00C30B09" w:rsidRPr="00F02369">
              <w:rPr>
                <w:b/>
                <w:sz w:val="20"/>
                <w:szCs w:val="20"/>
              </w:rPr>
              <w:t>Checklists</w:t>
            </w:r>
            <w:r w:rsidRPr="00F02369">
              <w:rPr>
                <w:b/>
                <w:sz w:val="20"/>
                <w:szCs w:val="20"/>
              </w:rPr>
              <w:t>, Ratings</w:t>
            </w:r>
          </w:p>
        </w:tc>
        <w:tc>
          <w:tcPr>
            <w:tcW w:w="5904" w:type="dxa"/>
            <w:gridSpan w:val="5"/>
            <w:shd w:val="clear" w:color="auto" w:fill="5B9BD5" w:themeFill="accent5"/>
          </w:tcPr>
          <w:p w:rsidR="00557FD2" w:rsidRPr="00F02369" w:rsidRDefault="00557FD2" w:rsidP="0013195C">
            <w:pPr>
              <w:spacing w:before="40" w:after="40"/>
              <w:jc w:val="center"/>
              <w:rPr>
                <w:rFonts w:ascii="Calibri" w:hAnsi="Calibri" w:cs="Calibri"/>
                <w:b/>
                <w:color w:val="4472C4" w:themeColor="accent1"/>
                <w:sz w:val="20"/>
                <w:szCs w:val="20"/>
              </w:rPr>
            </w:pPr>
            <w:r w:rsidRPr="00F02369">
              <w:rPr>
                <w:b/>
                <w:sz w:val="20"/>
                <w:szCs w:val="20"/>
              </w:rPr>
              <w:t>Audit system</w:t>
            </w:r>
          </w:p>
        </w:tc>
      </w:tr>
      <w:tr w:rsidR="00557FD2" w:rsidRPr="00F02369" w:rsidTr="0013195C">
        <w:tc>
          <w:tcPr>
            <w:tcW w:w="1135" w:type="dxa"/>
            <w:shd w:val="clear" w:color="auto" w:fill="D9E2F3" w:themeFill="accent1" w:themeFillTint="33"/>
            <w:vAlign w:val="center"/>
          </w:tcPr>
          <w:p w:rsidR="00557FD2" w:rsidRPr="00700522" w:rsidRDefault="00D935A6" w:rsidP="0013195C">
            <w:pPr>
              <w:spacing w:before="40" w:after="40"/>
              <w:jc w:val="center"/>
              <w:rPr>
                <w:i/>
                <w:sz w:val="17"/>
                <w:szCs w:val="17"/>
              </w:rPr>
            </w:pPr>
            <w:r w:rsidRPr="00700522">
              <w:rPr>
                <w:i/>
                <w:sz w:val="17"/>
                <w:szCs w:val="17"/>
              </w:rPr>
              <w:t>Item</w:t>
            </w:r>
            <w:r w:rsidR="008F6E2F" w:rsidRPr="00700522">
              <w:rPr>
                <w:i/>
                <w:sz w:val="17"/>
                <w:szCs w:val="17"/>
              </w:rPr>
              <w:t>s noted below</w:t>
            </w:r>
          </w:p>
        </w:tc>
        <w:tc>
          <w:tcPr>
            <w:tcW w:w="1134" w:type="dxa"/>
            <w:shd w:val="clear" w:color="auto" w:fill="D9E2F3" w:themeFill="accent1" w:themeFillTint="33"/>
            <w:vAlign w:val="center"/>
          </w:tcPr>
          <w:p w:rsidR="00557FD2" w:rsidRPr="00700522" w:rsidRDefault="00D935A6" w:rsidP="0013195C">
            <w:pPr>
              <w:spacing w:before="40" w:after="40"/>
              <w:jc w:val="center"/>
              <w:rPr>
                <w:i/>
                <w:sz w:val="17"/>
                <w:szCs w:val="17"/>
              </w:rPr>
            </w:pPr>
            <w:r w:rsidRPr="00700522">
              <w:rPr>
                <w:i/>
                <w:sz w:val="17"/>
                <w:szCs w:val="17"/>
              </w:rPr>
              <w:t>Change</w:t>
            </w:r>
            <w:r w:rsidR="008F6E2F" w:rsidRPr="00700522">
              <w:rPr>
                <w:i/>
                <w:sz w:val="17"/>
                <w:szCs w:val="17"/>
              </w:rPr>
              <w:t>s noted below</w:t>
            </w:r>
          </w:p>
        </w:tc>
        <w:tc>
          <w:tcPr>
            <w:tcW w:w="1193" w:type="dxa"/>
            <w:shd w:val="clear" w:color="auto" w:fill="D9E2F3" w:themeFill="accent1" w:themeFillTint="33"/>
            <w:vAlign w:val="center"/>
          </w:tcPr>
          <w:p w:rsidR="00557FD2" w:rsidRPr="00F02369" w:rsidRDefault="00557FD2" w:rsidP="0013195C">
            <w:pPr>
              <w:spacing w:before="40" w:after="40"/>
              <w:jc w:val="center"/>
              <w:rPr>
                <w:b/>
                <w:color w:val="4472C4" w:themeColor="accent1"/>
                <w:sz w:val="17"/>
                <w:szCs w:val="17"/>
              </w:rPr>
            </w:pPr>
            <w:r w:rsidRPr="00F02369">
              <w:rPr>
                <w:b/>
                <w:color w:val="4472C4" w:themeColor="accent1"/>
                <w:sz w:val="17"/>
                <w:szCs w:val="17"/>
              </w:rPr>
              <w:t>Mandated</w:t>
            </w:r>
          </w:p>
        </w:tc>
        <w:tc>
          <w:tcPr>
            <w:tcW w:w="1192" w:type="dxa"/>
            <w:shd w:val="clear" w:color="auto" w:fill="D9E2F3" w:themeFill="accent1" w:themeFillTint="33"/>
            <w:vAlign w:val="center"/>
          </w:tcPr>
          <w:p w:rsidR="00557FD2" w:rsidRPr="00F02369" w:rsidRDefault="00557FD2" w:rsidP="0013195C">
            <w:pPr>
              <w:spacing w:before="40" w:after="40"/>
              <w:jc w:val="center"/>
              <w:rPr>
                <w:b/>
                <w:color w:val="4472C4" w:themeColor="accent1"/>
                <w:sz w:val="17"/>
                <w:szCs w:val="17"/>
              </w:rPr>
            </w:pPr>
            <w:r w:rsidRPr="00F02369">
              <w:rPr>
                <w:b/>
                <w:color w:val="4472C4" w:themeColor="accent1"/>
                <w:sz w:val="17"/>
                <w:szCs w:val="17"/>
              </w:rPr>
              <w:t>Validated assessment</w:t>
            </w:r>
          </w:p>
        </w:tc>
        <w:tc>
          <w:tcPr>
            <w:tcW w:w="1184" w:type="dxa"/>
            <w:shd w:val="clear" w:color="auto" w:fill="D9E2F3" w:themeFill="accent1" w:themeFillTint="33"/>
            <w:vAlign w:val="center"/>
          </w:tcPr>
          <w:p w:rsidR="00557FD2" w:rsidRPr="00F02369" w:rsidRDefault="00557FD2" w:rsidP="0013195C">
            <w:pPr>
              <w:spacing w:before="40" w:after="40"/>
              <w:jc w:val="center"/>
              <w:rPr>
                <w:b/>
                <w:color w:val="4472C4" w:themeColor="accent1"/>
                <w:sz w:val="17"/>
                <w:szCs w:val="17"/>
              </w:rPr>
            </w:pPr>
            <w:r w:rsidRPr="00F02369">
              <w:rPr>
                <w:b/>
                <w:color w:val="4472C4" w:themeColor="accent1"/>
                <w:sz w:val="17"/>
                <w:szCs w:val="17"/>
              </w:rPr>
              <w:t>Standardised information</w:t>
            </w:r>
          </w:p>
        </w:tc>
        <w:tc>
          <w:tcPr>
            <w:tcW w:w="1349" w:type="dxa"/>
            <w:shd w:val="clear" w:color="auto" w:fill="D9E2F3" w:themeFill="accent1" w:themeFillTint="33"/>
            <w:vAlign w:val="center"/>
          </w:tcPr>
          <w:p w:rsidR="00557FD2" w:rsidRPr="00F02369" w:rsidRDefault="00557FD2" w:rsidP="0013195C">
            <w:pPr>
              <w:spacing w:before="40" w:after="40"/>
              <w:jc w:val="center"/>
              <w:rPr>
                <w:b/>
                <w:color w:val="4472C4" w:themeColor="accent1"/>
                <w:sz w:val="17"/>
                <w:szCs w:val="17"/>
              </w:rPr>
            </w:pPr>
            <w:r w:rsidRPr="00F02369">
              <w:rPr>
                <w:b/>
                <w:color w:val="4472C4" w:themeColor="accent1"/>
                <w:sz w:val="17"/>
                <w:szCs w:val="17"/>
              </w:rPr>
              <w:t>Contemporary</w:t>
            </w:r>
          </w:p>
        </w:tc>
        <w:tc>
          <w:tcPr>
            <w:tcW w:w="1603" w:type="dxa"/>
            <w:shd w:val="clear" w:color="auto" w:fill="D9E2F3" w:themeFill="accent1" w:themeFillTint="33"/>
            <w:vAlign w:val="center"/>
          </w:tcPr>
          <w:p w:rsidR="00557FD2" w:rsidRPr="00F02369" w:rsidRDefault="00557FD2" w:rsidP="0013195C">
            <w:pPr>
              <w:spacing w:before="40" w:after="40"/>
              <w:jc w:val="center"/>
              <w:rPr>
                <w:b/>
                <w:color w:val="4472C4" w:themeColor="accent1"/>
                <w:sz w:val="17"/>
                <w:szCs w:val="17"/>
              </w:rPr>
            </w:pPr>
            <w:r w:rsidRPr="00F02369">
              <w:rPr>
                <w:b/>
                <w:color w:val="4472C4" w:themeColor="accent1"/>
                <w:sz w:val="17"/>
                <w:szCs w:val="17"/>
              </w:rPr>
              <w:t>Outcomes</w:t>
            </w:r>
          </w:p>
        </w:tc>
        <w:tc>
          <w:tcPr>
            <w:tcW w:w="1051" w:type="dxa"/>
            <w:shd w:val="clear" w:color="auto" w:fill="D9E2F3" w:themeFill="accent1" w:themeFillTint="33"/>
            <w:vAlign w:val="center"/>
          </w:tcPr>
          <w:p w:rsidR="00557FD2" w:rsidRPr="00F02369" w:rsidRDefault="00557FD2" w:rsidP="0013195C">
            <w:pPr>
              <w:spacing w:before="40" w:after="40"/>
              <w:jc w:val="center"/>
              <w:rPr>
                <w:b/>
                <w:color w:val="4472C4" w:themeColor="accent1"/>
                <w:sz w:val="17"/>
                <w:szCs w:val="17"/>
              </w:rPr>
            </w:pPr>
            <w:r w:rsidRPr="00F02369">
              <w:rPr>
                <w:rFonts w:ascii="Calibri" w:hAnsi="Calibri" w:cs="Calibri"/>
                <w:b/>
                <w:color w:val="4472C4" w:themeColor="accent1"/>
                <w:sz w:val="17"/>
                <w:szCs w:val="17"/>
              </w:rPr>
              <w:t xml:space="preserve">Fit to </w:t>
            </w:r>
            <w:r w:rsidRPr="00F02369">
              <w:rPr>
                <w:rStyle w:val="font711"/>
                <w:b/>
                <w:color w:val="4472C4" w:themeColor="accent1"/>
                <w:sz w:val="17"/>
                <w:szCs w:val="17"/>
              </w:rPr>
              <w:t>External Assessment</w:t>
            </w:r>
          </w:p>
        </w:tc>
        <w:tc>
          <w:tcPr>
            <w:tcW w:w="1193" w:type="dxa"/>
            <w:shd w:val="clear" w:color="auto" w:fill="D9E2F3" w:themeFill="accent1" w:themeFillTint="33"/>
            <w:vAlign w:val="center"/>
          </w:tcPr>
          <w:p w:rsidR="00557FD2" w:rsidRPr="00F02369" w:rsidRDefault="00557FD2" w:rsidP="0013195C">
            <w:pPr>
              <w:spacing w:before="40" w:after="40"/>
              <w:jc w:val="center"/>
              <w:rPr>
                <w:b/>
                <w:color w:val="4472C4" w:themeColor="accent1"/>
                <w:sz w:val="17"/>
                <w:szCs w:val="17"/>
              </w:rPr>
            </w:pPr>
            <w:r w:rsidRPr="00F02369">
              <w:rPr>
                <w:rFonts w:ascii="Calibri" w:hAnsi="Calibri" w:cs="Calibri"/>
                <w:b/>
                <w:color w:val="4472C4" w:themeColor="accent1"/>
                <w:sz w:val="17"/>
                <w:szCs w:val="17"/>
              </w:rPr>
              <w:t xml:space="preserve">Fit to </w:t>
            </w:r>
            <w:r w:rsidRPr="00F02369">
              <w:rPr>
                <w:rStyle w:val="font711"/>
                <w:b/>
                <w:color w:val="4472C4" w:themeColor="accent1"/>
                <w:sz w:val="17"/>
                <w:szCs w:val="17"/>
              </w:rPr>
              <w:t>RAC workforce</w:t>
            </w:r>
          </w:p>
        </w:tc>
        <w:tc>
          <w:tcPr>
            <w:tcW w:w="1016" w:type="dxa"/>
            <w:shd w:val="clear" w:color="auto" w:fill="D9E2F3" w:themeFill="accent1" w:themeFillTint="33"/>
            <w:vAlign w:val="center"/>
          </w:tcPr>
          <w:p w:rsidR="00557FD2" w:rsidRPr="00F02369" w:rsidRDefault="00557FD2" w:rsidP="0013195C">
            <w:pPr>
              <w:spacing w:before="40" w:after="40"/>
              <w:jc w:val="center"/>
              <w:rPr>
                <w:b/>
                <w:color w:val="4472C4" w:themeColor="accent1"/>
                <w:sz w:val="17"/>
                <w:szCs w:val="17"/>
              </w:rPr>
            </w:pPr>
            <w:r w:rsidRPr="00F02369">
              <w:rPr>
                <w:rFonts w:ascii="Calibri" w:hAnsi="Calibri" w:cs="Calibri"/>
                <w:b/>
                <w:color w:val="4472C4" w:themeColor="accent1"/>
                <w:sz w:val="17"/>
                <w:szCs w:val="17"/>
              </w:rPr>
              <w:t xml:space="preserve">Fit to </w:t>
            </w:r>
            <w:r w:rsidRPr="00F02369">
              <w:rPr>
                <w:rStyle w:val="font711"/>
                <w:b/>
                <w:color w:val="4472C4" w:themeColor="accent1"/>
                <w:sz w:val="17"/>
                <w:szCs w:val="17"/>
              </w:rPr>
              <w:t>Gateway</w:t>
            </w:r>
          </w:p>
        </w:tc>
        <w:tc>
          <w:tcPr>
            <w:tcW w:w="1451" w:type="dxa"/>
            <w:shd w:val="clear" w:color="auto" w:fill="D9E2F3" w:themeFill="accent1" w:themeFillTint="33"/>
            <w:vAlign w:val="center"/>
          </w:tcPr>
          <w:p w:rsidR="00557FD2" w:rsidRPr="00F02369" w:rsidRDefault="00557FD2" w:rsidP="0013195C">
            <w:pPr>
              <w:spacing w:before="40" w:after="40"/>
              <w:jc w:val="center"/>
              <w:rPr>
                <w:b/>
                <w:color w:val="4472C4" w:themeColor="accent1"/>
                <w:sz w:val="17"/>
                <w:szCs w:val="17"/>
              </w:rPr>
            </w:pPr>
            <w:r w:rsidRPr="00F02369">
              <w:rPr>
                <w:rFonts w:ascii="Calibri" w:hAnsi="Calibri" w:cs="Calibri"/>
                <w:b/>
                <w:color w:val="4472C4" w:themeColor="accent1"/>
                <w:sz w:val="17"/>
                <w:szCs w:val="17"/>
              </w:rPr>
              <w:t>Clarifies</w:t>
            </w:r>
          </w:p>
        </w:tc>
        <w:tc>
          <w:tcPr>
            <w:tcW w:w="1193" w:type="dxa"/>
            <w:shd w:val="clear" w:color="auto" w:fill="D9E2F3" w:themeFill="accent1" w:themeFillTint="33"/>
            <w:vAlign w:val="center"/>
          </w:tcPr>
          <w:p w:rsidR="00557FD2" w:rsidRPr="00F02369" w:rsidRDefault="00557FD2" w:rsidP="0013195C">
            <w:pPr>
              <w:spacing w:before="40" w:after="40"/>
              <w:jc w:val="center"/>
              <w:rPr>
                <w:b/>
                <w:color w:val="4472C4" w:themeColor="accent1"/>
                <w:sz w:val="17"/>
                <w:szCs w:val="17"/>
              </w:rPr>
            </w:pPr>
            <w:r w:rsidRPr="00F02369">
              <w:rPr>
                <w:rFonts w:ascii="Calibri" w:hAnsi="Calibri" w:cs="Calibri"/>
                <w:b/>
                <w:color w:val="4472C4" w:themeColor="accent1"/>
                <w:sz w:val="17"/>
                <w:szCs w:val="17"/>
              </w:rPr>
              <w:t>Improves reviews</w:t>
            </w:r>
          </w:p>
        </w:tc>
      </w:tr>
      <w:tr w:rsidR="00C86B67" w:rsidRPr="00F02369" w:rsidTr="0013195C">
        <w:tc>
          <w:tcPr>
            <w:tcW w:w="1135" w:type="dxa"/>
            <w:shd w:val="clear" w:color="auto" w:fill="D9E2F3" w:themeFill="accent1" w:themeFillTint="33"/>
          </w:tcPr>
          <w:p w:rsidR="00C86B67" w:rsidRPr="00F02369" w:rsidRDefault="00C86B67" w:rsidP="00F02369">
            <w:pPr>
              <w:spacing w:after="0"/>
              <w:jc w:val="left"/>
              <w:rPr>
                <w:b/>
                <w:sz w:val="17"/>
                <w:szCs w:val="17"/>
              </w:rPr>
            </w:pPr>
            <w:r w:rsidRPr="00F02369">
              <w:rPr>
                <w:b/>
                <w:sz w:val="17"/>
                <w:szCs w:val="17"/>
              </w:rPr>
              <w:t>Assessments (Ax)</w:t>
            </w:r>
          </w:p>
        </w:tc>
        <w:tc>
          <w:tcPr>
            <w:tcW w:w="1134" w:type="dxa"/>
          </w:tcPr>
          <w:p w:rsidR="00C86B67" w:rsidRPr="00F02369" w:rsidRDefault="00C86B67" w:rsidP="00F02369">
            <w:pPr>
              <w:spacing w:after="0"/>
              <w:jc w:val="center"/>
              <w:rPr>
                <w:sz w:val="17"/>
                <w:szCs w:val="17"/>
              </w:rPr>
            </w:pPr>
            <w:r w:rsidRPr="00F02369">
              <w:rPr>
                <w:sz w:val="17"/>
                <w:szCs w:val="17"/>
              </w:rPr>
              <w:t>Rules</w:t>
            </w:r>
          </w:p>
        </w:tc>
        <w:tc>
          <w:tcPr>
            <w:tcW w:w="1193" w:type="dxa"/>
          </w:tcPr>
          <w:p w:rsidR="00C86B67" w:rsidRPr="00F02369" w:rsidRDefault="00C86B67" w:rsidP="00C86B67">
            <w:pPr>
              <w:spacing w:after="0"/>
              <w:jc w:val="center"/>
              <w:rPr>
                <w:i/>
                <w:sz w:val="17"/>
                <w:szCs w:val="17"/>
              </w:rPr>
            </w:pPr>
            <w:r w:rsidRPr="00F02369">
              <w:rPr>
                <w:i/>
                <w:sz w:val="17"/>
                <w:szCs w:val="17"/>
              </w:rPr>
              <w:t>N</w:t>
            </w:r>
            <w:r>
              <w:rPr>
                <w:i/>
                <w:sz w:val="17"/>
                <w:szCs w:val="17"/>
              </w:rPr>
              <w:t>R</w:t>
            </w:r>
          </w:p>
        </w:tc>
        <w:tc>
          <w:tcPr>
            <w:tcW w:w="1192"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84"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349"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603" w:type="dxa"/>
          </w:tcPr>
          <w:p w:rsidR="00C86B67" w:rsidRPr="00F02369" w:rsidRDefault="00C86B67" w:rsidP="00A51750">
            <w:pPr>
              <w:spacing w:after="0"/>
              <w:jc w:val="center"/>
              <w:rPr>
                <w:sz w:val="17"/>
                <w:szCs w:val="17"/>
              </w:rPr>
            </w:pPr>
            <w:r w:rsidRPr="00F02369">
              <w:rPr>
                <w:sz w:val="17"/>
                <w:szCs w:val="17"/>
              </w:rPr>
              <w:t>Currency improved (3/12)</w:t>
            </w:r>
          </w:p>
        </w:tc>
        <w:tc>
          <w:tcPr>
            <w:tcW w:w="1051"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93" w:type="dxa"/>
          </w:tcPr>
          <w:p w:rsidR="00C86B67" w:rsidRPr="00F02369" w:rsidRDefault="00C86B67" w:rsidP="00A51750">
            <w:pPr>
              <w:spacing w:after="0"/>
              <w:jc w:val="center"/>
              <w:rPr>
                <w:sz w:val="17"/>
                <w:szCs w:val="17"/>
              </w:rPr>
            </w:pPr>
            <w:r w:rsidRPr="00F02369">
              <w:rPr>
                <w:sz w:val="17"/>
                <w:szCs w:val="17"/>
              </w:rPr>
              <w:t>RN/AHP sign off</w:t>
            </w:r>
          </w:p>
        </w:tc>
        <w:tc>
          <w:tcPr>
            <w:tcW w:w="1016"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451" w:type="dxa"/>
          </w:tcPr>
          <w:p w:rsidR="00C86B67" w:rsidRPr="00F02369" w:rsidRDefault="00C86B67" w:rsidP="00A51750">
            <w:pPr>
              <w:spacing w:after="0"/>
              <w:jc w:val="center"/>
              <w:rPr>
                <w:sz w:val="17"/>
                <w:szCs w:val="17"/>
              </w:rPr>
            </w:pPr>
            <w:r w:rsidRPr="00F02369">
              <w:rPr>
                <w:sz w:val="17"/>
                <w:szCs w:val="17"/>
              </w:rPr>
              <w:t>Professional Accountability</w:t>
            </w:r>
          </w:p>
        </w:tc>
        <w:tc>
          <w:tcPr>
            <w:tcW w:w="1193" w:type="dxa"/>
          </w:tcPr>
          <w:p w:rsidR="00C86B67" w:rsidRPr="00F02369" w:rsidRDefault="00C86B67" w:rsidP="00A51750">
            <w:pPr>
              <w:spacing w:after="0"/>
              <w:jc w:val="center"/>
              <w:rPr>
                <w:sz w:val="17"/>
                <w:szCs w:val="17"/>
              </w:rPr>
            </w:pPr>
            <w:r w:rsidRPr="00F02369">
              <w:rPr>
                <w:sz w:val="17"/>
                <w:szCs w:val="17"/>
              </w:rPr>
              <w:t>Claim requires a new Ax</w:t>
            </w:r>
          </w:p>
        </w:tc>
      </w:tr>
      <w:tr w:rsidR="00C86B67" w:rsidRPr="00F02369" w:rsidTr="0013195C">
        <w:tc>
          <w:tcPr>
            <w:tcW w:w="1135" w:type="dxa"/>
            <w:shd w:val="clear" w:color="auto" w:fill="D9E2F3" w:themeFill="accent1" w:themeFillTint="33"/>
          </w:tcPr>
          <w:p w:rsidR="00C86B67" w:rsidRPr="00F02369" w:rsidRDefault="00C86B67" w:rsidP="00F02369">
            <w:pPr>
              <w:spacing w:after="0"/>
              <w:jc w:val="left"/>
              <w:rPr>
                <w:b/>
                <w:sz w:val="17"/>
                <w:szCs w:val="17"/>
              </w:rPr>
            </w:pPr>
            <w:r w:rsidRPr="00F02369">
              <w:rPr>
                <w:b/>
                <w:sz w:val="17"/>
                <w:szCs w:val="17"/>
              </w:rPr>
              <w:t>Nutrition</w:t>
            </w:r>
          </w:p>
        </w:tc>
        <w:tc>
          <w:tcPr>
            <w:tcW w:w="1134" w:type="dxa"/>
          </w:tcPr>
          <w:p w:rsidR="00C86B67" w:rsidRPr="00F02369" w:rsidRDefault="00C86B67" w:rsidP="00F02369">
            <w:pPr>
              <w:spacing w:after="0"/>
              <w:jc w:val="center"/>
              <w:rPr>
                <w:sz w:val="17"/>
                <w:szCs w:val="17"/>
              </w:rPr>
            </w:pPr>
            <w:r w:rsidRPr="00F02369">
              <w:rPr>
                <w:sz w:val="17"/>
                <w:szCs w:val="17"/>
              </w:rPr>
              <w:t>Assessment</w:t>
            </w:r>
          </w:p>
        </w:tc>
        <w:tc>
          <w:tcPr>
            <w:tcW w:w="1193" w:type="dxa"/>
          </w:tcPr>
          <w:p w:rsidR="00C86B67" w:rsidRPr="00F02369" w:rsidRDefault="00C86B67" w:rsidP="00A51750">
            <w:pPr>
              <w:spacing w:after="0"/>
              <w:jc w:val="center"/>
              <w:rPr>
                <w:sz w:val="17"/>
                <w:szCs w:val="17"/>
              </w:rPr>
            </w:pPr>
            <w:r w:rsidRPr="00F02369">
              <w:rPr>
                <w:sz w:val="17"/>
                <w:szCs w:val="17"/>
              </w:rPr>
              <w:t>MNA-Short</w:t>
            </w:r>
          </w:p>
        </w:tc>
        <w:tc>
          <w:tcPr>
            <w:tcW w:w="1192" w:type="dxa"/>
          </w:tcPr>
          <w:p w:rsidR="00C86B67" w:rsidRPr="00F02369" w:rsidRDefault="00C86B67" w:rsidP="00A51750">
            <w:pPr>
              <w:spacing w:after="0"/>
              <w:jc w:val="center"/>
              <w:rPr>
                <w:sz w:val="17"/>
                <w:szCs w:val="17"/>
              </w:rPr>
            </w:pPr>
            <w:r w:rsidRPr="00F02369">
              <w:rPr>
                <w:sz w:val="17"/>
                <w:szCs w:val="17"/>
              </w:rPr>
              <w:t>YES</w:t>
            </w:r>
          </w:p>
        </w:tc>
        <w:tc>
          <w:tcPr>
            <w:tcW w:w="1184" w:type="dxa"/>
          </w:tcPr>
          <w:p w:rsidR="00C86B67" w:rsidRPr="00F02369" w:rsidRDefault="00C86B67" w:rsidP="00A51750">
            <w:pPr>
              <w:spacing w:after="0"/>
              <w:jc w:val="center"/>
              <w:rPr>
                <w:sz w:val="17"/>
                <w:szCs w:val="17"/>
              </w:rPr>
            </w:pPr>
            <w:r w:rsidRPr="00F02369">
              <w:rPr>
                <w:sz w:val="17"/>
                <w:szCs w:val="17"/>
              </w:rPr>
              <w:t>YES &amp; objective</w:t>
            </w:r>
          </w:p>
        </w:tc>
        <w:tc>
          <w:tcPr>
            <w:tcW w:w="1349" w:type="dxa"/>
          </w:tcPr>
          <w:p w:rsidR="00C86B67" w:rsidRPr="00F02369" w:rsidRDefault="00C86B67" w:rsidP="00A51750">
            <w:pPr>
              <w:spacing w:after="0"/>
              <w:jc w:val="center"/>
              <w:rPr>
                <w:sz w:val="17"/>
                <w:szCs w:val="17"/>
              </w:rPr>
            </w:pPr>
            <w:r w:rsidRPr="00F02369">
              <w:rPr>
                <w:sz w:val="17"/>
                <w:szCs w:val="17"/>
              </w:rPr>
              <w:t>YES</w:t>
            </w:r>
          </w:p>
        </w:tc>
        <w:tc>
          <w:tcPr>
            <w:tcW w:w="1603" w:type="dxa"/>
          </w:tcPr>
          <w:p w:rsidR="00C86B67" w:rsidRPr="00F02369" w:rsidRDefault="00C86B67" w:rsidP="00A51750">
            <w:pPr>
              <w:spacing w:after="0"/>
              <w:jc w:val="center"/>
              <w:rPr>
                <w:sz w:val="17"/>
                <w:szCs w:val="17"/>
              </w:rPr>
            </w:pPr>
            <w:r w:rsidRPr="00F02369">
              <w:rPr>
                <w:sz w:val="17"/>
                <w:szCs w:val="17"/>
              </w:rPr>
              <w:t>BMI, nutritional status</w:t>
            </w:r>
          </w:p>
        </w:tc>
        <w:tc>
          <w:tcPr>
            <w:tcW w:w="1051" w:type="dxa"/>
          </w:tcPr>
          <w:p w:rsidR="00C86B67" w:rsidRPr="00F02369" w:rsidRDefault="00C86B67" w:rsidP="00A51750">
            <w:pPr>
              <w:spacing w:after="0"/>
              <w:jc w:val="center"/>
              <w:rPr>
                <w:sz w:val="17"/>
                <w:szCs w:val="17"/>
              </w:rPr>
            </w:pPr>
            <w:r w:rsidRPr="00F02369">
              <w:rPr>
                <w:sz w:val="17"/>
                <w:szCs w:val="17"/>
              </w:rPr>
              <w:t>YES</w:t>
            </w:r>
          </w:p>
        </w:tc>
        <w:tc>
          <w:tcPr>
            <w:tcW w:w="1193" w:type="dxa"/>
          </w:tcPr>
          <w:p w:rsidR="00C86B67" w:rsidRPr="00F02369" w:rsidRDefault="00C86B67" w:rsidP="00A51750">
            <w:pPr>
              <w:spacing w:after="0"/>
              <w:jc w:val="center"/>
              <w:rPr>
                <w:sz w:val="17"/>
                <w:szCs w:val="17"/>
              </w:rPr>
            </w:pPr>
            <w:r w:rsidRPr="00F02369">
              <w:rPr>
                <w:sz w:val="17"/>
                <w:szCs w:val="17"/>
              </w:rPr>
              <w:t>In NATFRAME</w:t>
            </w:r>
          </w:p>
        </w:tc>
        <w:tc>
          <w:tcPr>
            <w:tcW w:w="1016" w:type="dxa"/>
          </w:tcPr>
          <w:p w:rsidR="00C86B67" w:rsidRPr="00F02369" w:rsidRDefault="00C86B67" w:rsidP="00A51750">
            <w:pPr>
              <w:spacing w:after="0"/>
              <w:jc w:val="center"/>
              <w:rPr>
                <w:sz w:val="17"/>
                <w:szCs w:val="17"/>
              </w:rPr>
            </w:pPr>
            <w:r w:rsidRPr="00F02369">
              <w:rPr>
                <w:sz w:val="17"/>
                <w:szCs w:val="17"/>
              </w:rPr>
              <w:t>In NSAF</w:t>
            </w:r>
          </w:p>
        </w:tc>
        <w:tc>
          <w:tcPr>
            <w:tcW w:w="1451" w:type="dxa"/>
          </w:tcPr>
          <w:p w:rsidR="00C86B67" w:rsidRPr="00F02369" w:rsidRDefault="00C86B67" w:rsidP="00A51750">
            <w:pPr>
              <w:spacing w:after="0"/>
              <w:jc w:val="center"/>
              <w:rPr>
                <w:sz w:val="17"/>
                <w:szCs w:val="17"/>
              </w:rPr>
            </w:pPr>
            <w:r w:rsidRPr="00F02369">
              <w:rPr>
                <w:sz w:val="17"/>
                <w:szCs w:val="17"/>
              </w:rPr>
              <w:t>Objective outcomes</w:t>
            </w:r>
          </w:p>
        </w:tc>
        <w:tc>
          <w:tcPr>
            <w:tcW w:w="1193" w:type="dxa"/>
          </w:tcPr>
          <w:p w:rsidR="00C86B67" w:rsidRPr="00F02369" w:rsidRDefault="00C86B67" w:rsidP="00A51750">
            <w:pPr>
              <w:spacing w:after="0"/>
              <w:jc w:val="center"/>
              <w:rPr>
                <w:sz w:val="17"/>
                <w:szCs w:val="17"/>
              </w:rPr>
            </w:pPr>
            <w:r w:rsidRPr="00F02369">
              <w:rPr>
                <w:sz w:val="17"/>
                <w:szCs w:val="17"/>
              </w:rPr>
              <w:t>Objective evidence</w:t>
            </w:r>
          </w:p>
        </w:tc>
      </w:tr>
      <w:tr w:rsidR="00C86B67" w:rsidRPr="00F02369" w:rsidTr="0013195C">
        <w:tc>
          <w:tcPr>
            <w:tcW w:w="1135" w:type="dxa"/>
            <w:shd w:val="clear" w:color="auto" w:fill="D9E2F3" w:themeFill="accent1" w:themeFillTint="33"/>
          </w:tcPr>
          <w:p w:rsidR="00C86B67" w:rsidRPr="00F02369" w:rsidRDefault="00C86B67" w:rsidP="00F02369">
            <w:pPr>
              <w:spacing w:after="0"/>
              <w:jc w:val="left"/>
              <w:rPr>
                <w:b/>
                <w:sz w:val="17"/>
                <w:szCs w:val="17"/>
              </w:rPr>
            </w:pPr>
            <w:r w:rsidRPr="00F02369">
              <w:rPr>
                <w:b/>
                <w:sz w:val="17"/>
                <w:szCs w:val="17"/>
              </w:rPr>
              <w:t>Nutrition</w:t>
            </w:r>
          </w:p>
        </w:tc>
        <w:tc>
          <w:tcPr>
            <w:tcW w:w="1134" w:type="dxa"/>
          </w:tcPr>
          <w:p w:rsidR="00C86B67" w:rsidRPr="00F02369" w:rsidRDefault="00C86B67" w:rsidP="00F02369">
            <w:pPr>
              <w:spacing w:after="0"/>
              <w:jc w:val="center"/>
              <w:rPr>
                <w:sz w:val="17"/>
                <w:szCs w:val="17"/>
              </w:rPr>
            </w:pPr>
            <w:r w:rsidRPr="00F02369">
              <w:rPr>
                <w:sz w:val="17"/>
                <w:szCs w:val="17"/>
              </w:rPr>
              <w:t>Checklist</w:t>
            </w:r>
          </w:p>
        </w:tc>
        <w:tc>
          <w:tcPr>
            <w:tcW w:w="1193"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92"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84"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349"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603" w:type="dxa"/>
          </w:tcPr>
          <w:p w:rsidR="00C86B67" w:rsidRPr="00F02369" w:rsidRDefault="00C86B67" w:rsidP="00D935A6">
            <w:pPr>
              <w:spacing w:after="0"/>
              <w:jc w:val="center"/>
              <w:rPr>
                <w:sz w:val="17"/>
                <w:szCs w:val="17"/>
              </w:rPr>
            </w:pPr>
            <w:r w:rsidRPr="00F02369">
              <w:rPr>
                <w:sz w:val="17"/>
                <w:szCs w:val="17"/>
              </w:rPr>
              <w:t>Reduced to one checklist.</w:t>
            </w:r>
          </w:p>
        </w:tc>
        <w:tc>
          <w:tcPr>
            <w:tcW w:w="1051"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93"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016"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451" w:type="dxa"/>
          </w:tcPr>
          <w:p w:rsidR="00C86B67" w:rsidRPr="00F02369" w:rsidRDefault="00C86B67" w:rsidP="00A51750">
            <w:pPr>
              <w:spacing w:after="0"/>
              <w:jc w:val="center"/>
              <w:rPr>
                <w:sz w:val="17"/>
                <w:szCs w:val="17"/>
              </w:rPr>
            </w:pPr>
            <w:r w:rsidRPr="00F02369">
              <w:rPr>
                <w:sz w:val="17"/>
                <w:szCs w:val="17"/>
              </w:rPr>
              <w:t>Standard Care- removed Readiness to Eat (vitamised food, cutting up food)</w:t>
            </w:r>
          </w:p>
        </w:tc>
        <w:tc>
          <w:tcPr>
            <w:tcW w:w="1193" w:type="dxa"/>
          </w:tcPr>
          <w:p w:rsidR="00C86B67" w:rsidRPr="00F02369" w:rsidRDefault="00C86B67" w:rsidP="00A51750">
            <w:pPr>
              <w:spacing w:after="0"/>
              <w:jc w:val="center"/>
              <w:rPr>
                <w:sz w:val="17"/>
                <w:szCs w:val="17"/>
              </w:rPr>
            </w:pPr>
            <w:r w:rsidRPr="00F02369">
              <w:rPr>
                <w:sz w:val="17"/>
                <w:szCs w:val="17"/>
              </w:rPr>
              <w:t>Uses the Ax outcomes</w:t>
            </w:r>
          </w:p>
        </w:tc>
      </w:tr>
      <w:tr w:rsidR="00C86B67" w:rsidRPr="00F02369" w:rsidTr="0013195C">
        <w:tc>
          <w:tcPr>
            <w:tcW w:w="1135" w:type="dxa"/>
            <w:shd w:val="clear" w:color="auto" w:fill="D9E2F3" w:themeFill="accent1" w:themeFillTint="33"/>
          </w:tcPr>
          <w:p w:rsidR="00C86B67" w:rsidRPr="00F02369" w:rsidRDefault="00C86B67" w:rsidP="00F02369">
            <w:pPr>
              <w:spacing w:after="0"/>
              <w:jc w:val="left"/>
              <w:rPr>
                <w:b/>
                <w:sz w:val="17"/>
                <w:szCs w:val="17"/>
              </w:rPr>
            </w:pPr>
            <w:r w:rsidRPr="00F02369">
              <w:rPr>
                <w:b/>
                <w:sz w:val="17"/>
                <w:szCs w:val="17"/>
              </w:rPr>
              <w:t>Nutrition</w:t>
            </w:r>
          </w:p>
        </w:tc>
        <w:tc>
          <w:tcPr>
            <w:tcW w:w="1134" w:type="dxa"/>
          </w:tcPr>
          <w:p w:rsidR="00C86B67" w:rsidRPr="00F02369" w:rsidRDefault="00C86B67" w:rsidP="00F02369">
            <w:pPr>
              <w:spacing w:after="0"/>
              <w:jc w:val="center"/>
              <w:rPr>
                <w:sz w:val="17"/>
                <w:szCs w:val="17"/>
              </w:rPr>
            </w:pPr>
            <w:r w:rsidRPr="00F02369">
              <w:rPr>
                <w:sz w:val="17"/>
                <w:szCs w:val="17"/>
              </w:rPr>
              <w:t>Rating</w:t>
            </w:r>
          </w:p>
        </w:tc>
        <w:tc>
          <w:tcPr>
            <w:tcW w:w="1193"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92"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84"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349" w:type="dxa"/>
          </w:tcPr>
          <w:p w:rsidR="00C86B67" w:rsidRPr="00F02369" w:rsidRDefault="00C86B67" w:rsidP="00A51750">
            <w:pPr>
              <w:spacing w:after="0"/>
              <w:jc w:val="center"/>
              <w:rPr>
                <w:sz w:val="17"/>
                <w:szCs w:val="17"/>
              </w:rPr>
            </w:pPr>
            <w:r w:rsidRPr="00F02369">
              <w:rPr>
                <w:sz w:val="17"/>
                <w:szCs w:val="17"/>
              </w:rPr>
              <w:t>Monitoring of nutritional needs</w:t>
            </w:r>
          </w:p>
        </w:tc>
        <w:tc>
          <w:tcPr>
            <w:tcW w:w="1603" w:type="dxa"/>
          </w:tcPr>
          <w:p w:rsidR="00C86B67" w:rsidRPr="00F02369" w:rsidRDefault="00C86B67" w:rsidP="00A51750">
            <w:pPr>
              <w:spacing w:after="0"/>
              <w:jc w:val="center"/>
              <w:rPr>
                <w:sz w:val="17"/>
                <w:szCs w:val="17"/>
              </w:rPr>
            </w:pPr>
            <w:r w:rsidRPr="00F02369">
              <w:rPr>
                <w:sz w:val="17"/>
                <w:szCs w:val="17"/>
              </w:rPr>
              <w:t>Standard care;</w:t>
            </w:r>
          </w:p>
          <w:p w:rsidR="00C86B67" w:rsidRPr="00F02369" w:rsidRDefault="00C86B67" w:rsidP="00A51750">
            <w:pPr>
              <w:spacing w:after="0"/>
              <w:jc w:val="center"/>
              <w:rPr>
                <w:sz w:val="17"/>
                <w:szCs w:val="17"/>
              </w:rPr>
            </w:pPr>
            <w:r w:rsidRPr="00F02369">
              <w:rPr>
                <w:sz w:val="17"/>
                <w:szCs w:val="17"/>
              </w:rPr>
              <w:t>Monitoring;</w:t>
            </w:r>
          </w:p>
          <w:p w:rsidR="00C86B67" w:rsidRPr="00F02369" w:rsidRDefault="00C86B67" w:rsidP="00A51750">
            <w:pPr>
              <w:spacing w:after="0"/>
              <w:jc w:val="center"/>
              <w:rPr>
                <w:sz w:val="17"/>
                <w:szCs w:val="17"/>
              </w:rPr>
            </w:pPr>
            <w:r w:rsidRPr="00F02369">
              <w:rPr>
                <w:sz w:val="17"/>
                <w:szCs w:val="17"/>
              </w:rPr>
              <w:t>Moderate Assist;</w:t>
            </w:r>
          </w:p>
          <w:p w:rsidR="00C86B67" w:rsidRPr="00F02369" w:rsidRDefault="00C86B67" w:rsidP="00A51750">
            <w:pPr>
              <w:spacing w:after="0"/>
              <w:jc w:val="center"/>
              <w:rPr>
                <w:sz w:val="17"/>
                <w:szCs w:val="17"/>
              </w:rPr>
            </w:pPr>
            <w:r w:rsidRPr="00F02369">
              <w:rPr>
                <w:sz w:val="17"/>
                <w:szCs w:val="17"/>
              </w:rPr>
              <w:t>Full Assistance</w:t>
            </w:r>
          </w:p>
        </w:tc>
        <w:tc>
          <w:tcPr>
            <w:tcW w:w="1051"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93"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016"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451"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93" w:type="dxa"/>
          </w:tcPr>
          <w:p w:rsidR="00C86B67" w:rsidRPr="00F02369" w:rsidRDefault="00C86B67" w:rsidP="00A51750">
            <w:pPr>
              <w:spacing w:after="0"/>
              <w:jc w:val="center"/>
              <w:rPr>
                <w:sz w:val="17"/>
                <w:szCs w:val="17"/>
              </w:rPr>
            </w:pPr>
            <w:r w:rsidRPr="00F02369">
              <w:rPr>
                <w:sz w:val="17"/>
                <w:szCs w:val="17"/>
              </w:rPr>
              <w:t>Uses the Ax outcomes</w:t>
            </w:r>
          </w:p>
        </w:tc>
      </w:tr>
      <w:tr w:rsidR="00C86B67" w:rsidRPr="00F02369" w:rsidTr="0013195C">
        <w:tc>
          <w:tcPr>
            <w:tcW w:w="1135" w:type="dxa"/>
            <w:shd w:val="clear" w:color="auto" w:fill="D9E2F3" w:themeFill="accent1" w:themeFillTint="33"/>
          </w:tcPr>
          <w:p w:rsidR="00C86B67" w:rsidRPr="00F02369" w:rsidRDefault="00C86B67" w:rsidP="00F02369">
            <w:pPr>
              <w:spacing w:after="0"/>
              <w:jc w:val="left"/>
              <w:rPr>
                <w:b/>
                <w:sz w:val="17"/>
                <w:szCs w:val="17"/>
              </w:rPr>
            </w:pPr>
            <w:r w:rsidRPr="00F02369">
              <w:rPr>
                <w:b/>
                <w:sz w:val="17"/>
                <w:szCs w:val="17"/>
              </w:rPr>
              <w:t>Mobility</w:t>
            </w:r>
          </w:p>
        </w:tc>
        <w:tc>
          <w:tcPr>
            <w:tcW w:w="1134" w:type="dxa"/>
          </w:tcPr>
          <w:p w:rsidR="00C86B67" w:rsidRPr="00F02369" w:rsidRDefault="00C86B67" w:rsidP="00F02369">
            <w:pPr>
              <w:spacing w:after="0"/>
              <w:jc w:val="center"/>
              <w:rPr>
                <w:sz w:val="17"/>
                <w:szCs w:val="17"/>
              </w:rPr>
            </w:pPr>
            <w:r w:rsidRPr="00F02369">
              <w:rPr>
                <w:sz w:val="17"/>
                <w:szCs w:val="17"/>
              </w:rPr>
              <w:t>Assessment</w:t>
            </w:r>
          </w:p>
        </w:tc>
        <w:tc>
          <w:tcPr>
            <w:tcW w:w="1193" w:type="dxa"/>
          </w:tcPr>
          <w:p w:rsidR="00C86B67" w:rsidRPr="00F02369" w:rsidRDefault="00C86B67" w:rsidP="00A51750">
            <w:pPr>
              <w:spacing w:after="0"/>
              <w:jc w:val="center"/>
              <w:rPr>
                <w:sz w:val="17"/>
                <w:szCs w:val="17"/>
              </w:rPr>
            </w:pPr>
            <w:r w:rsidRPr="00F02369">
              <w:rPr>
                <w:sz w:val="17"/>
                <w:szCs w:val="17"/>
              </w:rPr>
              <w:t>PMS</w:t>
            </w:r>
          </w:p>
        </w:tc>
        <w:tc>
          <w:tcPr>
            <w:tcW w:w="1192" w:type="dxa"/>
          </w:tcPr>
          <w:p w:rsidR="00C86B67" w:rsidRPr="00F02369" w:rsidRDefault="00C86B67" w:rsidP="00A51750">
            <w:pPr>
              <w:spacing w:after="0"/>
              <w:jc w:val="center"/>
              <w:rPr>
                <w:sz w:val="17"/>
                <w:szCs w:val="17"/>
              </w:rPr>
            </w:pPr>
            <w:r w:rsidRPr="00F02369">
              <w:rPr>
                <w:sz w:val="17"/>
                <w:szCs w:val="17"/>
              </w:rPr>
              <w:t>YES, for PT, fit for nurses</w:t>
            </w:r>
          </w:p>
        </w:tc>
        <w:tc>
          <w:tcPr>
            <w:tcW w:w="1184" w:type="dxa"/>
          </w:tcPr>
          <w:p w:rsidR="00C86B67" w:rsidRPr="00F02369" w:rsidRDefault="00C86B67" w:rsidP="00A51750">
            <w:pPr>
              <w:spacing w:after="0"/>
              <w:jc w:val="center"/>
              <w:rPr>
                <w:sz w:val="17"/>
                <w:szCs w:val="17"/>
              </w:rPr>
            </w:pPr>
            <w:r w:rsidRPr="00F02369">
              <w:rPr>
                <w:sz w:val="17"/>
                <w:szCs w:val="17"/>
              </w:rPr>
              <w:t>YES &amp; objective</w:t>
            </w:r>
          </w:p>
        </w:tc>
        <w:tc>
          <w:tcPr>
            <w:tcW w:w="1349"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603" w:type="dxa"/>
          </w:tcPr>
          <w:p w:rsidR="00C86B67" w:rsidRPr="00F02369" w:rsidRDefault="00C86B67" w:rsidP="00A51750">
            <w:pPr>
              <w:spacing w:after="0"/>
              <w:jc w:val="center"/>
              <w:rPr>
                <w:sz w:val="17"/>
                <w:szCs w:val="17"/>
              </w:rPr>
            </w:pPr>
            <w:r w:rsidRPr="00F02369">
              <w:rPr>
                <w:sz w:val="17"/>
                <w:szCs w:val="17"/>
              </w:rPr>
              <w:t>Transfers, mobility</w:t>
            </w:r>
          </w:p>
        </w:tc>
        <w:tc>
          <w:tcPr>
            <w:tcW w:w="1051" w:type="dxa"/>
          </w:tcPr>
          <w:p w:rsidR="00C86B67" w:rsidRPr="00F02369" w:rsidRDefault="00C86B67" w:rsidP="00A51750">
            <w:pPr>
              <w:spacing w:after="0"/>
              <w:jc w:val="center"/>
              <w:rPr>
                <w:sz w:val="17"/>
                <w:szCs w:val="17"/>
              </w:rPr>
            </w:pPr>
            <w:r w:rsidRPr="00F02369">
              <w:rPr>
                <w:sz w:val="17"/>
                <w:szCs w:val="17"/>
              </w:rPr>
              <w:t>YES</w:t>
            </w:r>
          </w:p>
        </w:tc>
        <w:tc>
          <w:tcPr>
            <w:tcW w:w="1193" w:type="dxa"/>
          </w:tcPr>
          <w:p w:rsidR="00C86B67" w:rsidRPr="00F02369" w:rsidRDefault="00C86B67" w:rsidP="00A51750">
            <w:pPr>
              <w:spacing w:after="0"/>
              <w:jc w:val="center"/>
              <w:rPr>
                <w:sz w:val="17"/>
                <w:szCs w:val="17"/>
              </w:rPr>
            </w:pPr>
            <w:r w:rsidRPr="00F02369">
              <w:rPr>
                <w:sz w:val="17"/>
                <w:szCs w:val="17"/>
              </w:rPr>
              <w:t>In NATFRAME</w:t>
            </w:r>
          </w:p>
        </w:tc>
        <w:tc>
          <w:tcPr>
            <w:tcW w:w="1016" w:type="dxa"/>
          </w:tcPr>
          <w:p w:rsidR="00C86B67" w:rsidRPr="00F02369" w:rsidRDefault="00C86B67" w:rsidP="00A51750">
            <w:pPr>
              <w:spacing w:after="0"/>
              <w:jc w:val="center"/>
              <w:rPr>
                <w:sz w:val="17"/>
                <w:szCs w:val="17"/>
              </w:rPr>
            </w:pPr>
            <w:r w:rsidRPr="00F02369">
              <w:rPr>
                <w:sz w:val="17"/>
                <w:szCs w:val="17"/>
              </w:rPr>
              <w:t>Add to NSAF</w:t>
            </w:r>
          </w:p>
        </w:tc>
        <w:tc>
          <w:tcPr>
            <w:tcW w:w="1451" w:type="dxa"/>
          </w:tcPr>
          <w:p w:rsidR="00C86B67" w:rsidRPr="00F02369" w:rsidRDefault="00C86B67" w:rsidP="00A51750">
            <w:pPr>
              <w:spacing w:after="0"/>
              <w:jc w:val="center"/>
              <w:rPr>
                <w:sz w:val="17"/>
                <w:szCs w:val="17"/>
              </w:rPr>
            </w:pPr>
            <w:r w:rsidRPr="00F02369">
              <w:rPr>
                <w:sz w:val="17"/>
                <w:szCs w:val="17"/>
              </w:rPr>
              <w:t>Guidelines</w:t>
            </w:r>
          </w:p>
        </w:tc>
        <w:tc>
          <w:tcPr>
            <w:tcW w:w="1193" w:type="dxa"/>
          </w:tcPr>
          <w:p w:rsidR="00C86B67" w:rsidRPr="00F02369" w:rsidRDefault="00C86B67" w:rsidP="00A51750">
            <w:pPr>
              <w:spacing w:after="0"/>
              <w:jc w:val="center"/>
              <w:rPr>
                <w:sz w:val="17"/>
                <w:szCs w:val="17"/>
              </w:rPr>
            </w:pPr>
            <w:r w:rsidRPr="00F02369">
              <w:rPr>
                <w:sz w:val="17"/>
                <w:szCs w:val="17"/>
              </w:rPr>
              <w:t>Objective evidence</w:t>
            </w:r>
          </w:p>
        </w:tc>
      </w:tr>
      <w:tr w:rsidR="00C86B67" w:rsidRPr="00F02369" w:rsidTr="0013195C">
        <w:tc>
          <w:tcPr>
            <w:tcW w:w="1135" w:type="dxa"/>
            <w:shd w:val="clear" w:color="auto" w:fill="D9E2F3" w:themeFill="accent1" w:themeFillTint="33"/>
          </w:tcPr>
          <w:p w:rsidR="00C86B67" w:rsidRPr="00F02369" w:rsidRDefault="00C86B67" w:rsidP="00F02369">
            <w:pPr>
              <w:spacing w:after="0"/>
              <w:jc w:val="left"/>
              <w:rPr>
                <w:b/>
                <w:sz w:val="17"/>
                <w:szCs w:val="17"/>
              </w:rPr>
            </w:pPr>
            <w:r w:rsidRPr="00F02369">
              <w:rPr>
                <w:b/>
                <w:sz w:val="17"/>
                <w:szCs w:val="17"/>
              </w:rPr>
              <w:t>Mobility</w:t>
            </w:r>
          </w:p>
        </w:tc>
        <w:tc>
          <w:tcPr>
            <w:tcW w:w="1134" w:type="dxa"/>
          </w:tcPr>
          <w:p w:rsidR="00C86B67" w:rsidRPr="00F02369" w:rsidRDefault="00C86B67" w:rsidP="00F02369">
            <w:pPr>
              <w:spacing w:after="0"/>
              <w:jc w:val="center"/>
              <w:rPr>
                <w:sz w:val="17"/>
                <w:szCs w:val="17"/>
              </w:rPr>
            </w:pPr>
            <w:r w:rsidRPr="00F02369">
              <w:rPr>
                <w:sz w:val="17"/>
                <w:szCs w:val="17"/>
              </w:rPr>
              <w:t>Assessment</w:t>
            </w:r>
          </w:p>
        </w:tc>
        <w:tc>
          <w:tcPr>
            <w:tcW w:w="1193" w:type="dxa"/>
          </w:tcPr>
          <w:p w:rsidR="00C86B67" w:rsidRPr="00F02369" w:rsidRDefault="00C86B67" w:rsidP="00A51750">
            <w:pPr>
              <w:spacing w:after="0"/>
              <w:jc w:val="center"/>
              <w:rPr>
                <w:sz w:val="17"/>
                <w:szCs w:val="17"/>
              </w:rPr>
            </w:pPr>
            <w:r w:rsidRPr="00F02369">
              <w:rPr>
                <w:sz w:val="17"/>
                <w:szCs w:val="17"/>
              </w:rPr>
              <w:t>FRAT</w:t>
            </w:r>
          </w:p>
        </w:tc>
        <w:tc>
          <w:tcPr>
            <w:tcW w:w="1192" w:type="dxa"/>
          </w:tcPr>
          <w:p w:rsidR="00C86B67" w:rsidRPr="00F02369" w:rsidRDefault="00C86B67" w:rsidP="00A51750">
            <w:pPr>
              <w:spacing w:after="0"/>
              <w:jc w:val="center"/>
              <w:rPr>
                <w:sz w:val="17"/>
                <w:szCs w:val="17"/>
              </w:rPr>
            </w:pPr>
            <w:r w:rsidRPr="00F02369">
              <w:rPr>
                <w:sz w:val="17"/>
                <w:szCs w:val="17"/>
              </w:rPr>
              <w:t>YES, for nurses, fit for PT</w:t>
            </w:r>
          </w:p>
        </w:tc>
        <w:tc>
          <w:tcPr>
            <w:tcW w:w="1184" w:type="dxa"/>
          </w:tcPr>
          <w:p w:rsidR="00C86B67" w:rsidRPr="00F02369" w:rsidRDefault="00C86B67" w:rsidP="00A51750">
            <w:pPr>
              <w:spacing w:after="0"/>
              <w:jc w:val="center"/>
              <w:rPr>
                <w:sz w:val="17"/>
                <w:szCs w:val="17"/>
              </w:rPr>
            </w:pPr>
            <w:r w:rsidRPr="00F02369">
              <w:rPr>
                <w:sz w:val="17"/>
                <w:szCs w:val="17"/>
              </w:rPr>
              <w:t>YES</w:t>
            </w:r>
          </w:p>
        </w:tc>
        <w:tc>
          <w:tcPr>
            <w:tcW w:w="1349"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603"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051" w:type="dxa"/>
          </w:tcPr>
          <w:p w:rsidR="00C86B67" w:rsidRPr="00F02369" w:rsidRDefault="00C86B67" w:rsidP="00A51750">
            <w:pPr>
              <w:spacing w:after="0"/>
              <w:jc w:val="center"/>
              <w:rPr>
                <w:sz w:val="17"/>
                <w:szCs w:val="17"/>
              </w:rPr>
            </w:pPr>
            <w:r w:rsidRPr="00F02369">
              <w:rPr>
                <w:sz w:val="17"/>
                <w:szCs w:val="17"/>
              </w:rPr>
              <w:t>YES</w:t>
            </w:r>
          </w:p>
        </w:tc>
        <w:tc>
          <w:tcPr>
            <w:tcW w:w="1193" w:type="dxa"/>
          </w:tcPr>
          <w:p w:rsidR="00C86B67" w:rsidRPr="00F02369" w:rsidRDefault="00C86B67" w:rsidP="00A51750">
            <w:pPr>
              <w:spacing w:after="0"/>
              <w:jc w:val="center"/>
              <w:rPr>
                <w:sz w:val="17"/>
                <w:szCs w:val="17"/>
              </w:rPr>
            </w:pPr>
            <w:r w:rsidRPr="00F02369">
              <w:rPr>
                <w:sz w:val="17"/>
                <w:szCs w:val="17"/>
              </w:rPr>
              <w:t>In NATFRAME</w:t>
            </w:r>
          </w:p>
        </w:tc>
        <w:tc>
          <w:tcPr>
            <w:tcW w:w="1016" w:type="dxa"/>
          </w:tcPr>
          <w:p w:rsidR="00C86B67" w:rsidRPr="00F02369" w:rsidRDefault="00C86B67" w:rsidP="00A51750">
            <w:pPr>
              <w:spacing w:after="0"/>
              <w:jc w:val="center"/>
              <w:rPr>
                <w:sz w:val="17"/>
                <w:szCs w:val="17"/>
              </w:rPr>
            </w:pPr>
            <w:r w:rsidRPr="00F02369">
              <w:rPr>
                <w:sz w:val="17"/>
                <w:szCs w:val="17"/>
              </w:rPr>
              <w:t>Add to NSAF</w:t>
            </w:r>
          </w:p>
        </w:tc>
        <w:tc>
          <w:tcPr>
            <w:tcW w:w="1451" w:type="dxa"/>
          </w:tcPr>
          <w:p w:rsidR="00C86B67" w:rsidRPr="00F02369" w:rsidRDefault="00C86B67" w:rsidP="00A51750">
            <w:pPr>
              <w:spacing w:after="0"/>
              <w:jc w:val="center"/>
              <w:rPr>
                <w:sz w:val="17"/>
                <w:szCs w:val="17"/>
              </w:rPr>
            </w:pPr>
            <w:r w:rsidRPr="00F02369">
              <w:rPr>
                <w:sz w:val="17"/>
                <w:szCs w:val="17"/>
              </w:rPr>
              <w:t>Guidelines</w:t>
            </w:r>
          </w:p>
        </w:tc>
        <w:tc>
          <w:tcPr>
            <w:tcW w:w="1193" w:type="dxa"/>
          </w:tcPr>
          <w:p w:rsidR="00C86B67" w:rsidRPr="00F02369" w:rsidRDefault="00C86B67" w:rsidP="00A51750">
            <w:pPr>
              <w:spacing w:after="0"/>
              <w:jc w:val="center"/>
              <w:rPr>
                <w:sz w:val="17"/>
                <w:szCs w:val="17"/>
              </w:rPr>
            </w:pPr>
            <w:r w:rsidRPr="00F02369">
              <w:rPr>
                <w:sz w:val="17"/>
                <w:szCs w:val="17"/>
              </w:rPr>
              <w:t>Objective evidence</w:t>
            </w:r>
          </w:p>
        </w:tc>
      </w:tr>
      <w:tr w:rsidR="00C86B67" w:rsidRPr="00F02369" w:rsidTr="0013195C">
        <w:tc>
          <w:tcPr>
            <w:tcW w:w="1135" w:type="dxa"/>
            <w:shd w:val="clear" w:color="auto" w:fill="D9E2F3" w:themeFill="accent1" w:themeFillTint="33"/>
          </w:tcPr>
          <w:p w:rsidR="00C86B67" w:rsidRPr="00F02369" w:rsidRDefault="00C86B67" w:rsidP="00F02369">
            <w:pPr>
              <w:spacing w:after="0"/>
              <w:jc w:val="left"/>
              <w:rPr>
                <w:b/>
                <w:sz w:val="17"/>
                <w:szCs w:val="17"/>
              </w:rPr>
            </w:pPr>
            <w:r w:rsidRPr="00F02369">
              <w:rPr>
                <w:b/>
                <w:sz w:val="17"/>
                <w:szCs w:val="17"/>
              </w:rPr>
              <w:t>Personal Hygiene</w:t>
            </w:r>
          </w:p>
        </w:tc>
        <w:tc>
          <w:tcPr>
            <w:tcW w:w="1134" w:type="dxa"/>
          </w:tcPr>
          <w:p w:rsidR="00C86B67" w:rsidRPr="00F02369" w:rsidRDefault="00C86B67" w:rsidP="00F02369">
            <w:pPr>
              <w:spacing w:after="0"/>
              <w:jc w:val="center"/>
              <w:rPr>
                <w:sz w:val="17"/>
                <w:szCs w:val="17"/>
              </w:rPr>
            </w:pPr>
            <w:r w:rsidRPr="00F02369">
              <w:rPr>
                <w:sz w:val="17"/>
                <w:szCs w:val="17"/>
              </w:rPr>
              <w:t>Checklist</w:t>
            </w:r>
          </w:p>
        </w:tc>
        <w:tc>
          <w:tcPr>
            <w:tcW w:w="1193"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92"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84"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349" w:type="dxa"/>
          </w:tcPr>
          <w:p w:rsidR="00C86B67" w:rsidRPr="00F02369" w:rsidRDefault="00C86B67" w:rsidP="00B17711">
            <w:pPr>
              <w:spacing w:after="0"/>
              <w:ind w:left="-112" w:right="-38"/>
              <w:jc w:val="center"/>
              <w:rPr>
                <w:sz w:val="17"/>
                <w:szCs w:val="17"/>
              </w:rPr>
            </w:pPr>
            <w:r w:rsidRPr="00F02369">
              <w:rPr>
                <w:sz w:val="17"/>
                <w:szCs w:val="17"/>
              </w:rPr>
              <w:t>Based on Statistical analysis</w:t>
            </w:r>
          </w:p>
        </w:tc>
        <w:tc>
          <w:tcPr>
            <w:tcW w:w="1603" w:type="dxa"/>
          </w:tcPr>
          <w:p w:rsidR="00C86B67" w:rsidRPr="00F02369" w:rsidRDefault="00C86B67" w:rsidP="00A51750">
            <w:pPr>
              <w:spacing w:after="0"/>
              <w:jc w:val="center"/>
              <w:rPr>
                <w:sz w:val="17"/>
                <w:szCs w:val="17"/>
              </w:rPr>
            </w:pPr>
            <w:r w:rsidRPr="00F02369">
              <w:rPr>
                <w:sz w:val="17"/>
                <w:szCs w:val="17"/>
              </w:rPr>
              <w:t>Grooming removed</w:t>
            </w:r>
          </w:p>
        </w:tc>
        <w:tc>
          <w:tcPr>
            <w:tcW w:w="1051"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93"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016"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451"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93" w:type="dxa"/>
          </w:tcPr>
          <w:p w:rsidR="00C86B67" w:rsidRPr="00F02369" w:rsidRDefault="00C86B67" w:rsidP="00A51750">
            <w:pPr>
              <w:spacing w:after="0"/>
              <w:jc w:val="center"/>
              <w:rPr>
                <w:sz w:val="17"/>
                <w:szCs w:val="17"/>
              </w:rPr>
            </w:pPr>
            <w:r w:rsidRPr="00F02369">
              <w:rPr>
                <w:sz w:val="17"/>
                <w:szCs w:val="17"/>
              </w:rPr>
              <w:t>Redundant</w:t>
            </w:r>
          </w:p>
        </w:tc>
      </w:tr>
      <w:tr w:rsidR="00C86B67" w:rsidRPr="00F02369" w:rsidTr="0013195C">
        <w:tc>
          <w:tcPr>
            <w:tcW w:w="1135" w:type="dxa"/>
            <w:shd w:val="clear" w:color="auto" w:fill="D9E2F3" w:themeFill="accent1" w:themeFillTint="33"/>
          </w:tcPr>
          <w:p w:rsidR="00C86B67" w:rsidRPr="00F02369" w:rsidRDefault="00C86B67" w:rsidP="00F02369">
            <w:pPr>
              <w:spacing w:after="0"/>
              <w:jc w:val="left"/>
              <w:rPr>
                <w:b/>
                <w:sz w:val="17"/>
                <w:szCs w:val="17"/>
              </w:rPr>
            </w:pPr>
            <w:r w:rsidRPr="00F02369">
              <w:rPr>
                <w:b/>
                <w:sz w:val="17"/>
                <w:szCs w:val="17"/>
              </w:rPr>
              <w:t>Continence</w:t>
            </w:r>
          </w:p>
        </w:tc>
        <w:tc>
          <w:tcPr>
            <w:tcW w:w="1134" w:type="dxa"/>
          </w:tcPr>
          <w:p w:rsidR="00C86B67" w:rsidRPr="00F02369" w:rsidRDefault="00C86B67" w:rsidP="00F02369">
            <w:pPr>
              <w:spacing w:after="0"/>
              <w:jc w:val="center"/>
              <w:rPr>
                <w:sz w:val="17"/>
                <w:szCs w:val="17"/>
              </w:rPr>
            </w:pPr>
            <w:r w:rsidRPr="00F02369">
              <w:rPr>
                <w:sz w:val="17"/>
                <w:szCs w:val="17"/>
              </w:rPr>
              <w:t>Evidence</w:t>
            </w:r>
          </w:p>
        </w:tc>
        <w:tc>
          <w:tcPr>
            <w:tcW w:w="1193" w:type="dxa"/>
          </w:tcPr>
          <w:p w:rsidR="00C86B67" w:rsidRPr="00F02369" w:rsidRDefault="00C86B67" w:rsidP="00A51750">
            <w:pPr>
              <w:spacing w:after="0"/>
              <w:jc w:val="center"/>
              <w:rPr>
                <w:sz w:val="17"/>
                <w:szCs w:val="17"/>
              </w:rPr>
            </w:pPr>
            <w:r w:rsidRPr="00F02369">
              <w:rPr>
                <w:sz w:val="17"/>
                <w:szCs w:val="17"/>
              </w:rPr>
              <w:t>Continence Ax Form and Care Plan OR Diagnosis</w:t>
            </w:r>
          </w:p>
        </w:tc>
        <w:tc>
          <w:tcPr>
            <w:tcW w:w="1192"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84" w:type="dxa"/>
          </w:tcPr>
          <w:p w:rsidR="00C86B67" w:rsidRPr="00F02369" w:rsidRDefault="00C86B67" w:rsidP="00A51750">
            <w:pPr>
              <w:spacing w:after="0"/>
              <w:jc w:val="center"/>
              <w:rPr>
                <w:sz w:val="17"/>
                <w:szCs w:val="17"/>
              </w:rPr>
            </w:pPr>
            <w:r w:rsidRPr="00F02369">
              <w:rPr>
                <w:sz w:val="17"/>
                <w:szCs w:val="17"/>
              </w:rPr>
              <w:t>YES</w:t>
            </w:r>
          </w:p>
        </w:tc>
        <w:tc>
          <w:tcPr>
            <w:tcW w:w="1349" w:type="dxa"/>
          </w:tcPr>
          <w:p w:rsidR="00C86B67" w:rsidRPr="00F02369" w:rsidRDefault="00C86B67" w:rsidP="00A51750">
            <w:pPr>
              <w:spacing w:after="0"/>
              <w:jc w:val="center"/>
              <w:rPr>
                <w:sz w:val="17"/>
                <w:szCs w:val="17"/>
              </w:rPr>
            </w:pPr>
            <w:r w:rsidRPr="00F02369">
              <w:rPr>
                <w:sz w:val="17"/>
                <w:szCs w:val="17"/>
              </w:rPr>
              <w:t>Comprehensive assessment supported</w:t>
            </w:r>
          </w:p>
        </w:tc>
        <w:tc>
          <w:tcPr>
            <w:tcW w:w="1603" w:type="dxa"/>
          </w:tcPr>
          <w:p w:rsidR="00C86B67" w:rsidRPr="00F02369" w:rsidRDefault="00C86B67" w:rsidP="0086727A">
            <w:pPr>
              <w:spacing w:after="0"/>
              <w:jc w:val="center"/>
              <w:rPr>
                <w:sz w:val="17"/>
                <w:szCs w:val="17"/>
              </w:rPr>
            </w:pPr>
            <w:r w:rsidRPr="00F02369">
              <w:rPr>
                <w:sz w:val="17"/>
                <w:szCs w:val="17"/>
              </w:rPr>
              <w:t xml:space="preserve">More than frequency and </w:t>
            </w:r>
            <w:r>
              <w:rPr>
                <w:sz w:val="17"/>
                <w:szCs w:val="17"/>
              </w:rPr>
              <w:t>A</w:t>
            </w:r>
            <w:r w:rsidRPr="00F02369">
              <w:rPr>
                <w:sz w:val="17"/>
                <w:szCs w:val="17"/>
              </w:rPr>
              <w:t>x if tool completed</w:t>
            </w:r>
          </w:p>
        </w:tc>
        <w:tc>
          <w:tcPr>
            <w:tcW w:w="1051" w:type="dxa"/>
          </w:tcPr>
          <w:p w:rsidR="00C86B67" w:rsidRPr="00F02369" w:rsidRDefault="00C86B67" w:rsidP="00A51750">
            <w:pPr>
              <w:spacing w:after="0"/>
              <w:jc w:val="center"/>
              <w:rPr>
                <w:sz w:val="17"/>
                <w:szCs w:val="17"/>
              </w:rPr>
            </w:pPr>
            <w:r w:rsidRPr="00F02369">
              <w:rPr>
                <w:sz w:val="17"/>
                <w:szCs w:val="17"/>
              </w:rPr>
              <w:t>YES- use a subset of Qs</w:t>
            </w:r>
          </w:p>
        </w:tc>
        <w:tc>
          <w:tcPr>
            <w:tcW w:w="1193" w:type="dxa"/>
          </w:tcPr>
          <w:p w:rsidR="00C86B67" w:rsidRPr="00F02369" w:rsidRDefault="00C86B67" w:rsidP="00A51750">
            <w:pPr>
              <w:spacing w:after="0"/>
              <w:jc w:val="center"/>
              <w:rPr>
                <w:sz w:val="17"/>
                <w:szCs w:val="17"/>
              </w:rPr>
            </w:pPr>
            <w:r w:rsidRPr="00F02369">
              <w:rPr>
                <w:sz w:val="17"/>
                <w:szCs w:val="17"/>
              </w:rPr>
              <w:t>Designed for RACs/community</w:t>
            </w:r>
          </w:p>
        </w:tc>
        <w:tc>
          <w:tcPr>
            <w:tcW w:w="1016" w:type="dxa"/>
          </w:tcPr>
          <w:p w:rsidR="00C86B67" w:rsidRPr="00F02369" w:rsidRDefault="00C86B67" w:rsidP="00A51750">
            <w:pPr>
              <w:spacing w:after="0"/>
              <w:jc w:val="center"/>
              <w:rPr>
                <w:sz w:val="17"/>
                <w:szCs w:val="17"/>
              </w:rPr>
            </w:pPr>
            <w:r w:rsidRPr="00F02369">
              <w:rPr>
                <w:sz w:val="17"/>
                <w:szCs w:val="17"/>
              </w:rPr>
              <w:t>Add to NSAF</w:t>
            </w:r>
          </w:p>
        </w:tc>
        <w:tc>
          <w:tcPr>
            <w:tcW w:w="1451"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93" w:type="dxa"/>
          </w:tcPr>
          <w:p w:rsidR="00C86B67" w:rsidRPr="00F02369" w:rsidRDefault="00C86B67" w:rsidP="00A51750">
            <w:pPr>
              <w:spacing w:after="0"/>
              <w:jc w:val="center"/>
              <w:rPr>
                <w:sz w:val="17"/>
                <w:szCs w:val="17"/>
              </w:rPr>
            </w:pPr>
            <w:r w:rsidRPr="00F02369">
              <w:rPr>
                <w:sz w:val="17"/>
                <w:szCs w:val="17"/>
              </w:rPr>
              <w:t>Objective evidence</w:t>
            </w:r>
          </w:p>
        </w:tc>
      </w:tr>
      <w:tr w:rsidR="00C86B67" w:rsidRPr="00F02369" w:rsidTr="0013195C">
        <w:tc>
          <w:tcPr>
            <w:tcW w:w="1135" w:type="dxa"/>
            <w:shd w:val="clear" w:color="auto" w:fill="D9E2F3" w:themeFill="accent1" w:themeFillTint="33"/>
          </w:tcPr>
          <w:p w:rsidR="00C86B67" w:rsidRPr="00F02369" w:rsidRDefault="00C86B67" w:rsidP="00F02369">
            <w:pPr>
              <w:spacing w:after="0"/>
              <w:jc w:val="left"/>
              <w:rPr>
                <w:b/>
                <w:sz w:val="17"/>
                <w:szCs w:val="17"/>
              </w:rPr>
            </w:pPr>
            <w:r w:rsidRPr="00F02369">
              <w:rPr>
                <w:b/>
                <w:sz w:val="17"/>
                <w:szCs w:val="17"/>
              </w:rPr>
              <w:t>Continence</w:t>
            </w:r>
          </w:p>
        </w:tc>
        <w:tc>
          <w:tcPr>
            <w:tcW w:w="1134" w:type="dxa"/>
          </w:tcPr>
          <w:p w:rsidR="00C86B67" w:rsidRPr="00F02369" w:rsidRDefault="00C86B67" w:rsidP="00F02369">
            <w:pPr>
              <w:spacing w:after="0"/>
              <w:jc w:val="center"/>
              <w:rPr>
                <w:sz w:val="17"/>
                <w:szCs w:val="17"/>
              </w:rPr>
            </w:pPr>
            <w:r w:rsidRPr="00F02369">
              <w:rPr>
                <w:sz w:val="17"/>
                <w:szCs w:val="17"/>
              </w:rPr>
              <w:t>Checklists</w:t>
            </w:r>
          </w:p>
        </w:tc>
        <w:tc>
          <w:tcPr>
            <w:tcW w:w="1193"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92"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84"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349"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603" w:type="dxa"/>
          </w:tcPr>
          <w:p w:rsidR="00C86B67" w:rsidRPr="00F02369" w:rsidRDefault="00C86B67" w:rsidP="00A51750">
            <w:pPr>
              <w:spacing w:after="0"/>
              <w:jc w:val="center"/>
              <w:rPr>
                <w:sz w:val="17"/>
                <w:szCs w:val="17"/>
              </w:rPr>
            </w:pPr>
            <w:r w:rsidRPr="00F02369">
              <w:rPr>
                <w:sz w:val="17"/>
                <w:szCs w:val="17"/>
              </w:rPr>
              <w:t>Minor changes to frequency</w:t>
            </w:r>
          </w:p>
        </w:tc>
        <w:tc>
          <w:tcPr>
            <w:tcW w:w="1051"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93"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016"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451"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93"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r>
      <w:tr w:rsidR="00C86B67" w:rsidRPr="00F02369" w:rsidTr="0013195C">
        <w:tc>
          <w:tcPr>
            <w:tcW w:w="1135" w:type="dxa"/>
            <w:shd w:val="clear" w:color="auto" w:fill="D9E2F3" w:themeFill="accent1" w:themeFillTint="33"/>
          </w:tcPr>
          <w:p w:rsidR="00980F62" w:rsidRDefault="00C86B67" w:rsidP="00F02369">
            <w:pPr>
              <w:spacing w:after="0"/>
              <w:jc w:val="left"/>
              <w:rPr>
                <w:b/>
                <w:sz w:val="17"/>
                <w:szCs w:val="17"/>
              </w:rPr>
            </w:pPr>
            <w:r w:rsidRPr="00F02369">
              <w:rPr>
                <w:b/>
                <w:sz w:val="17"/>
                <w:szCs w:val="17"/>
              </w:rPr>
              <w:t>ADL</w:t>
            </w:r>
          </w:p>
          <w:p w:rsidR="00C86B67" w:rsidRPr="00F02369" w:rsidRDefault="00C86B67" w:rsidP="00F02369">
            <w:pPr>
              <w:spacing w:after="0"/>
              <w:jc w:val="left"/>
              <w:rPr>
                <w:sz w:val="17"/>
                <w:szCs w:val="17"/>
              </w:rPr>
            </w:pPr>
            <w:r w:rsidRPr="00F02369">
              <w:rPr>
                <w:sz w:val="17"/>
                <w:szCs w:val="17"/>
              </w:rPr>
              <w:t>(R-ACFI 2-4)</w:t>
            </w:r>
          </w:p>
        </w:tc>
        <w:tc>
          <w:tcPr>
            <w:tcW w:w="1134" w:type="dxa"/>
          </w:tcPr>
          <w:p w:rsidR="00C86B67" w:rsidRPr="00F02369" w:rsidRDefault="00C86B67" w:rsidP="00F02369">
            <w:pPr>
              <w:spacing w:after="0"/>
              <w:jc w:val="center"/>
              <w:rPr>
                <w:sz w:val="17"/>
                <w:szCs w:val="17"/>
              </w:rPr>
            </w:pPr>
            <w:r w:rsidRPr="00F02369">
              <w:rPr>
                <w:sz w:val="17"/>
                <w:szCs w:val="17"/>
              </w:rPr>
              <w:t>Rating scale</w:t>
            </w:r>
          </w:p>
        </w:tc>
        <w:tc>
          <w:tcPr>
            <w:tcW w:w="1193"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92"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84"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349"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603" w:type="dxa"/>
          </w:tcPr>
          <w:p w:rsidR="00C86B67" w:rsidRPr="00F02369" w:rsidRDefault="00C86B67" w:rsidP="00A51750">
            <w:pPr>
              <w:spacing w:after="0"/>
              <w:jc w:val="center"/>
              <w:rPr>
                <w:sz w:val="17"/>
                <w:szCs w:val="17"/>
              </w:rPr>
            </w:pPr>
            <w:r w:rsidRPr="00F02369">
              <w:rPr>
                <w:sz w:val="17"/>
                <w:szCs w:val="17"/>
              </w:rPr>
              <w:t>Standard Care;</w:t>
            </w:r>
          </w:p>
          <w:p w:rsidR="00C86B67" w:rsidRPr="00F02369" w:rsidRDefault="00C86B67" w:rsidP="00A51750">
            <w:pPr>
              <w:spacing w:after="0"/>
              <w:jc w:val="center"/>
              <w:rPr>
                <w:sz w:val="17"/>
                <w:szCs w:val="17"/>
              </w:rPr>
            </w:pPr>
            <w:r w:rsidRPr="00F02369">
              <w:rPr>
                <w:sz w:val="17"/>
                <w:szCs w:val="17"/>
              </w:rPr>
              <w:t>Moderate assist;</w:t>
            </w:r>
          </w:p>
          <w:p w:rsidR="00C86B67" w:rsidRPr="00F02369" w:rsidRDefault="00C86B67" w:rsidP="00A51750">
            <w:pPr>
              <w:spacing w:after="0"/>
              <w:jc w:val="center"/>
              <w:rPr>
                <w:sz w:val="17"/>
                <w:szCs w:val="17"/>
              </w:rPr>
            </w:pPr>
            <w:r w:rsidRPr="00F02369">
              <w:rPr>
                <w:sz w:val="17"/>
                <w:szCs w:val="17"/>
              </w:rPr>
              <w:t>Full assist;</w:t>
            </w:r>
          </w:p>
          <w:p w:rsidR="00C86B67" w:rsidRPr="00F02369" w:rsidRDefault="00C86B67" w:rsidP="00A51750">
            <w:pPr>
              <w:spacing w:after="0"/>
              <w:jc w:val="center"/>
              <w:rPr>
                <w:sz w:val="17"/>
                <w:szCs w:val="17"/>
              </w:rPr>
            </w:pPr>
            <w:r w:rsidRPr="00F02369">
              <w:rPr>
                <w:sz w:val="17"/>
                <w:szCs w:val="17"/>
              </w:rPr>
              <w:t xml:space="preserve">Mechanical lifting </w:t>
            </w:r>
          </w:p>
        </w:tc>
        <w:tc>
          <w:tcPr>
            <w:tcW w:w="1051"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93"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016"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451" w:type="dxa"/>
          </w:tcPr>
          <w:p w:rsidR="00C86B67" w:rsidRPr="00F02369" w:rsidRDefault="00C86B67" w:rsidP="00A51750">
            <w:pPr>
              <w:spacing w:after="0"/>
              <w:jc w:val="center"/>
              <w:rPr>
                <w:sz w:val="17"/>
                <w:szCs w:val="17"/>
              </w:rPr>
            </w:pPr>
            <w:r w:rsidRPr="00F02369">
              <w:rPr>
                <w:sz w:val="17"/>
                <w:szCs w:val="17"/>
              </w:rPr>
              <w:t>STANDARD CARE: verbal assist, setting up, occasional or episodic</w:t>
            </w:r>
          </w:p>
        </w:tc>
        <w:tc>
          <w:tcPr>
            <w:tcW w:w="1193" w:type="dxa"/>
          </w:tcPr>
          <w:p w:rsidR="00C86B67" w:rsidRPr="00F02369" w:rsidRDefault="00C86B67" w:rsidP="00A51750">
            <w:pPr>
              <w:spacing w:after="0"/>
              <w:jc w:val="center"/>
              <w:rPr>
                <w:sz w:val="17"/>
                <w:szCs w:val="17"/>
              </w:rPr>
            </w:pPr>
            <w:r w:rsidRPr="00F02369">
              <w:rPr>
                <w:sz w:val="17"/>
                <w:szCs w:val="17"/>
              </w:rPr>
              <w:t>Clarifies the assistance type and resources used.</w:t>
            </w:r>
          </w:p>
        </w:tc>
      </w:tr>
      <w:tr w:rsidR="00C86B67" w:rsidRPr="00F02369" w:rsidTr="0013195C">
        <w:tc>
          <w:tcPr>
            <w:tcW w:w="1135" w:type="dxa"/>
            <w:shd w:val="clear" w:color="auto" w:fill="D9E2F3" w:themeFill="accent1" w:themeFillTint="33"/>
          </w:tcPr>
          <w:p w:rsidR="00C86B67" w:rsidRPr="00F02369" w:rsidRDefault="00C86B67" w:rsidP="00F02369">
            <w:pPr>
              <w:spacing w:after="0"/>
              <w:jc w:val="left"/>
              <w:rPr>
                <w:b/>
                <w:sz w:val="17"/>
                <w:szCs w:val="17"/>
              </w:rPr>
            </w:pPr>
            <w:r w:rsidRPr="00F02369">
              <w:rPr>
                <w:b/>
                <w:sz w:val="17"/>
                <w:szCs w:val="17"/>
              </w:rPr>
              <w:t>ADL</w:t>
            </w:r>
          </w:p>
          <w:p w:rsidR="00C86B67" w:rsidRPr="00F02369" w:rsidRDefault="00C86B67" w:rsidP="00F02369">
            <w:pPr>
              <w:spacing w:after="0"/>
              <w:jc w:val="left"/>
              <w:rPr>
                <w:sz w:val="17"/>
                <w:szCs w:val="17"/>
              </w:rPr>
            </w:pPr>
            <w:r w:rsidRPr="00F02369">
              <w:rPr>
                <w:sz w:val="17"/>
                <w:szCs w:val="17"/>
              </w:rPr>
              <w:t>(R-ACFI 1-4)</w:t>
            </w:r>
          </w:p>
        </w:tc>
        <w:tc>
          <w:tcPr>
            <w:tcW w:w="1134" w:type="dxa"/>
          </w:tcPr>
          <w:p w:rsidR="00C86B67" w:rsidRPr="00F02369" w:rsidRDefault="00C86B67" w:rsidP="00F02369">
            <w:pPr>
              <w:spacing w:after="0"/>
              <w:jc w:val="center"/>
              <w:rPr>
                <w:sz w:val="17"/>
                <w:szCs w:val="17"/>
              </w:rPr>
            </w:pPr>
            <w:r w:rsidRPr="00F02369">
              <w:rPr>
                <w:sz w:val="17"/>
                <w:szCs w:val="17"/>
              </w:rPr>
              <w:t>Reason for assistance (new)</w:t>
            </w:r>
          </w:p>
        </w:tc>
        <w:tc>
          <w:tcPr>
            <w:tcW w:w="1193"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92"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84" w:type="dxa"/>
          </w:tcPr>
          <w:p w:rsidR="00C86B67" w:rsidRPr="00F02369" w:rsidRDefault="00C86B67" w:rsidP="00A51750">
            <w:pPr>
              <w:spacing w:after="0"/>
              <w:jc w:val="center"/>
              <w:rPr>
                <w:sz w:val="17"/>
                <w:szCs w:val="17"/>
              </w:rPr>
            </w:pPr>
            <w:r w:rsidRPr="00F02369">
              <w:rPr>
                <w:sz w:val="17"/>
                <w:szCs w:val="17"/>
              </w:rPr>
              <w:t>YES &amp; requests evidence</w:t>
            </w:r>
          </w:p>
        </w:tc>
        <w:tc>
          <w:tcPr>
            <w:tcW w:w="1349"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603" w:type="dxa"/>
          </w:tcPr>
          <w:p w:rsidR="00C86B67" w:rsidRPr="00F02369" w:rsidRDefault="00C86B67" w:rsidP="00A51750">
            <w:pPr>
              <w:spacing w:after="0"/>
              <w:jc w:val="center"/>
              <w:rPr>
                <w:sz w:val="17"/>
                <w:szCs w:val="17"/>
              </w:rPr>
            </w:pPr>
            <w:r w:rsidRPr="00F02369">
              <w:rPr>
                <w:sz w:val="17"/>
                <w:szCs w:val="17"/>
              </w:rPr>
              <w:t>Physical;</w:t>
            </w:r>
          </w:p>
          <w:p w:rsidR="00C86B67" w:rsidRPr="00F02369" w:rsidRDefault="00C86B67" w:rsidP="00A51750">
            <w:pPr>
              <w:spacing w:after="0"/>
              <w:jc w:val="center"/>
              <w:rPr>
                <w:sz w:val="17"/>
                <w:szCs w:val="17"/>
              </w:rPr>
            </w:pPr>
            <w:r w:rsidRPr="00F02369">
              <w:rPr>
                <w:sz w:val="17"/>
                <w:szCs w:val="17"/>
              </w:rPr>
              <w:t>Sensory;</w:t>
            </w:r>
          </w:p>
          <w:p w:rsidR="00C86B67" w:rsidRPr="00F02369" w:rsidRDefault="00C86B67" w:rsidP="00A51750">
            <w:pPr>
              <w:spacing w:after="0"/>
              <w:jc w:val="center"/>
              <w:rPr>
                <w:sz w:val="17"/>
                <w:szCs w:val="17"/>
              </w:rPr>
            </w:pPr>
            <w:r w:rsidRPr="00F02369">
              <w:rPr>
                <w:sz w:val="17"/>
                <w:szCs w:val="17"/>
              </w:rPr>
              <w:t>Cognitive; Behavioural</w:t>
            </w:r>
          </w:p>
        </w:tc>
        <w:tc>
          <w:tcPr>
            <w:tcW w:w="1051" w:type="dxa"/>
          </w:tcPr>
          <w:p w:rsidR="00C86B67" w:rsidRPr="00F02369" w:rsidRDefault="00C86B67" w:rsidP="00A51750">
            <w:pPr>
              <w:spacing w:after="0"/>
              <w:jc w:val="center"/>
              <w:rPr>
                <w:sz w:val="17"/>
                <w:szCs w:val="17"/>
              </w:rPr>
            </w:pPr>
            <w:r w:rsidRPr="00F02369">
              <w:rPr>
                <w:sz w:val="17"/>
                <w:szCs w:val="17"/>
              </w:rPr>
              <w:t>YES</w:t>
            </w:r>
          </w:p>
        </w:tc>
        <w:tc>
          <w:tcPr>
            <w:tcW w:w="1193"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016" w:type="dxa"/>
          </w:tcPr>
          <w:p w:rsidR="00C86B67" w:rsidRPr="00F02369" w:rsidRDefault="00C86B67" w:rsidP="00A51750">
            <w:pPr>
              <w:spacing w:after="0"/>
              <w:jc w:val="center"/>
              <w:rPr>
                <w:sz w:val="17"/>
                <w:szCs w:val="17"/>
              </w:rPr>
            </w:pPr>
            <w:r w:rsidRPr="00F02369">
              <w:rPr>
                <w:sz w:val="17"/>
                <w:szCs w:val="17"/>
              </w:rPr>
              <w:t>Yes- Map from NSAF</w:t>
            </w:r>
          </w:p>
        </w:tc>
        <w:tc>
          <w:tcPr>
            <w:tcW w:w="1451" w:type="dxa"/>
          </w:tcPr>
          <w:p w:rsidR="00C86B67" w:rsidRPr="00F02369" w:rsidRDefault="00C86B67" w:rsidP="00A51750">
            <w:pPr>
              <w:spacing w:after="0"/>
              <w:jc w:val="center"/>
              <w:rPr>
                <w:sz w:val="17"/>
                <w:szCs w:val="17"/>
              </w:rPr>
            </w:pPr>
            <w:r w:rsidRPr="00F02369">
              <w:rPr>
                <w:i/>
                <w:sz w:val="17"/>
                <w:szCs w:val="17"/>
              </w:rPr>
              <w:t>N</w:t>
            </w:r>
            <w:r>
              <w:rPr>
                <w:i/>
                <w:sz w:val="17"/>
                <w:szCs w:val="17"/>
              </w:rPr>
              <w:t>R</w:t>
            </w:r>
          </w:p>
        </w:tc>
        <w:tc>
          <w:tcPr>
            <w:tcW w:w="1193" w:type="dxa"/>
          </w:tcPr>
          <w:p w:rsidR="00C86B67" w:rsidRPr="00F02369" w:rsidRDefault="00C86B67" w:rsidP="00A51750">
            <w:pPr>
              <w:spacing w:after="0"/>
              <w:jc w:val="center"/>
              <w:rPr>
                <w:sz w:val="17"/>
                <w:szCs w:val="17"/>
              </w:rPr>
            </w:pPr>
            <w:r w:rsidRPr="00F02369">
              <w:rPr>
                <w:sz w:val="17"/>
                <w:szCs w:val="17"/>
              </w:rPr>
              <w:t>YES- improves evidence</w:t>
            </w:r>
          </w:p>
        </w:tc>
      </w:tr>
    </w:tbl>
    <w:p w:rsidR="00557FD2" w:rsidRDefault="00557FD2" w:rsidP="00557FD2">
      <w:pPr>
        <w:rPr>
          <w:rStyle w:val="Strong"/>
          <w:rFonts w:cstheme="minorHAnsi"/>
          <w:szCs w:val="32"/>
        </w:rPr>
        <w:sectPr w:rsidR="00557FD2" w:rsidSect="00A51750">
          <w:headerReference w:type="default" r:id="rId50"/>
          <w:footerReference w:type="default" r:id="rId51"/>
          <w:pgSz w:w="16838" w:h="11906" w:orient="landscape"/>
          <w:pgMar w:top="1440" w:right="1440" w:bottom="1440" w:left="1440" w:header="708" w:footer="708" w:gutter="0"/>
          <w:cols w:space="708"/>
          <w:docGrid w:linePitch="360"/>
        </w:sectPr>
      </w:pPr>
    </w:p>
    <w:p w:rsidR="003217B9" w:rsidRDefault="003217B9" w:rsidP="00F849D4">
      <w:pPr>
        <w:pStyle w:val="Heading1-Chapters"/>
      </w:pPr>
      <w:bookmarkStart w:id="306" w:name="_Toc485990599"/>
      <w:bookmarkStart w:id="307" w:name="_Toc491426039"/>
      <w:bookmarkStart w:id="308" w:name="Ch05"/>
      <w:r>
        <w:lastRenderedPageBreak/>
        <w:t>The new R-ACFI Behaviour</w:t>
      </w:r>
      <w:r w:rsidRPr="006860D0">
        <w:t xml:space="preserve"> Domain</w:t>
      </w:r>
      <w:bookmarkEnd w:id="306"/>
      <w:bookmarkEnd w:id="307"/>
      <w:bookmarkEnd w:id="308"/>
    </w:p>
    <w:p w:rsidR="00980F62" w:rsidRDefault="0086727A" w:rsidP="0086727A">
      <w:pPr>
        <w:shd w:val="clear" w:color="auto" w:fill="DEEAF6" w:themeFill="accent5" w:themeFillTint="33"/>
        <w:rPr>
          <w:lang w:eastAsia="en-AU"/>
        </w:rPr>
      </w:pPr>
      <w:r w:rsidRPr="00D429D4">
        <w:rPr>
          <w:lang w:eastAsia="en-AU"/>
        </w:rPr>
        <w:t>This Chapter contains the following sections:</w:t>
      </w:r>
    </w:p>
    <w:p w:rsidR="0086727A" w:rsidRPr="00D429D4" w:rsidRDefault="0086727A" w:rsidP="0086727A">
      <w:pPr>
        <w:pStyle w:val="ListParagraph"/>
        <w:numPr>
          <w:ilvl w:val="0"/>
          <w:numId w:val="19"/>
        </w:numPr>
        <w:shd w:val="clear" w:color="auto" w:fill="DEEAF6" w:themeFill="accent5" w:themeFillTint="33"/>
        <w:rPr>
          <w:lang w:eastAsia="en-AU"/>
        </w:rPr>
      </w:pPr>
      <w:r w:rsidRPr="00D429D4">
        <w:rPr>
          <w:lang w:eastAsia="en-AU"/>
        </w:rPr>
        <w:t xml:space="preserve">An overview of the current ACFI Behaviour </w:t>
      </w:r>
      <w:r>
        <w:rPr>
          <w:lang w:eastAsia="en-AU"/>
        </w:rPr>
        <w:t xml:space="preserve">(BEH) </w:t>
      </w:r>
      <w:r w:rsidRPr="00D429D4">
        <w:rPr>
          <w:lang w:eastAsia="en-AU"/>
        </w:rPr>
        <w:t>Domain</w:t>
      </w:r>
      <w:r w:rsidR="008F6E2F">
        <w:rPr>
          <w:lang w:eastAsia="en-AU"/>
        </w:rPr>
        <w:t>.</w:t>
      </w:r>
    </w:p>
    <w:p w:rsidR="0086727A" w:rsidRPr="00D429D4" w:rsidRDefault="0086727A" w:rsidP="0086727A">
      <w:pPr>
        <w:pStyle w:val="ListParagraph"/>
        <w:numPr>
          <w:ilvl w:val="0"/>
          <w:numId w:val="19"/>
        </w:numPr>
        <w:shd w:val="clear" w:color="auto" w:fill="DEEAF6" w:themeFill="accent5" w:themeFillTint="33"/>
        <w:rPr>
          <w:lang w:eastAsia="en-AU"/>
        </w:rPr>
      </w:pPr>
      <w:r w:rsidRPr="00D429D4">
        <w:rPr>
          <w:lang w:eastAsia="en-AU"/>
        </w:rPr>
        <w:t>A statistical overview of the B</w:t>
      </w:r>
      <w:r>
        <w:rPr>
          <w:lang w:eastAsia="en-AU"/>
        </w:rPr>
        <w:t>EH</w:t>
      </w:r>
      <w:r w:rsidRPr="00D429D4">
        <w:rPr>
          <w:lang w:eastAsia="en-AU"/>
        </w:rPr>
        <w:t xml:space="preserve"> Domain since ACFI commencement</w:t>
      </w:r>
      <w:r w:rsidR="008F6E2F">
        <w:rPr>
          <w:lang w:eastAsia="en-AU"/>
        </w:rPr>
        <w:t>.</w:t>
      </w:r>
    </w:p>
    <w:p w:rsidR="0086727A" w:rsidRPr="00D429D4" w:rsidRDefault="0086727A" w:rsidP="0086727A">
      <w:pPr>
        <w:pStyle w:val="ListParagraph"/>
        <w:numPr>
          <w:ilvl w:val="0"/>
          <w:numId w:val="19"/>
        </w:numPr>
        <w:shd w:val="clear" w:color="auto" w:fill="DEEAF6" w:themeFill="accent5" w:themeFillTint="33"/>
        <w:rPr>
          <w:lang w:eastAsia="en-AU"/>
        </w:rPr>
      </w:pPr>
      <w:r w:rsidRPr="00D429D4">
        <w:rPr>
          <w:lang w:eastAsia="en-AU"/>
        </w:rPr>
        <w:t>The B</w:t>
      </w:r>
      <w:r>
        <w:rPr>
          <w:lang w:eastAsia="en-AU"/>
        </w:rPr>
        <w:t>EH</w:t>
      </w:r>
      <w:r w:rsidRPr="00D429D4">
        <w:rPr>
          <w:lang w:eastAsia="en-AU"/>
        </w:rPr>
        <w:t xml:space="preserve"> Domain Review</w:t>
      </w:r>
      <w:r w:rsidR="008F6E2F">
        <w:rPr>
          <w:lang w:eastAsia="en-AU"/>
        </w:rPr>
        <w:t>.</w:t>
      </w:r>
    </w:p>
    <w:p w:rsidR="0086727A" w:rsidRDefault="0086727A" w:rsidP="0086727A">
      <w:pPr>
        <w:pStyle w:val="ListParagraph"/>
        <w:numPr>
          <w:ilvl w:val="0"/>
          <w:numId w:val="19"/>
        </w:numPr>
        <w:shd w:val="clear" w:color="auto" w:fill="DEEAF6" w:themeFill="accent5" w:themeFillTint="33"/>
        <w:rPr>
          <w:lang w:eastAsia="en-AU"/>
        </w:rPr>
      </w:pPr>
      <w:r w:rsidRPr="00D429D4">
        <w:rPr>
          <w:lang w:eastAsia="en-AU"/>
        </w:rPr>
        <w:t>Recommended B</w:t>
      </w:r>
      <w:r>
        <w:rPr>
          <w:lang w:eastAsia="en-AU"/>
        </w:rPr>
        <w:t>EH</w:t>
      </w:r>
      <w:r w:rsidRPr="00D429D4">
        <w:rPr>
          <w:lang w:eastAsia="en-AU"/>
        </w:rPr>
        <w:t xml:space="preserve"> Domain Changes</w:t>
      </w:r>
      <w:r w:rsidR="008F6E2F">
        <w:rPr>
          <w:lang w:eastAsia="en-AU"/>
        </w:rPr>
        <w:t>.</w:t>
      </w:r>
    </w:p>
    <w:p w:rsidR="0086727A" w:rsidRDefault="0086727A" w:rsidP="0086727A">
      <w:pPr>
        <w:pStyle w:val="ListParagraph"/>
        <w:numPr>
          <w:ilvl w:val="0"/>
          <w:numId w:val="19"/>
        </w:numPr>
        <w:shd w:val="clear" w:color="auto" w:fill="DEEAF6" w:themeFill="accent5" w:themeFillTint="33"/>
        <w:rPr>
          <w:lang w:eastAsia="en-AU"/>
        </w:rPr>
      </w:pPr>
      <w:r>
        <w:rPr>
          <w:lang w:eastAsia="en-AU"/>
        </w:rPr>
        <w:t>The new R</w:t>
      </w:r>
      <w:r w:rsidRPr="00C02221">
        <w:rPr>
          <w:lang w:eastAsia="en-AU"/>
        </w:rPr>
        <w:t>-BEH Domain</w:t>
      </w:r>
      <w:r>
        <w:rPr>
          <w:lang w:eastAsia="en-AU"/>
        </w:rPr>
        <w:t xml:space="preserve"> Items</w:t>
      </w:r>
      <w:r w:rsidR="008F6E2F">
        <w:rPr>
          <w:lang w:eastAsia="en-AU"/>
        </w:rPr>
        <w:t>.</w:t>
      </w:r>
    </w:p>
    <w:p w:rsidR="00980F62" w:rsidRDefault="003217B9" w:rsidP="00530D56">
      <w:pPr>
        <w:pStyle w:val="Heading2-Chapter5"/>
      </w:pPr>
      <w:bookmarkStart w:id="309" w:name="_Toc485990600"/>
      <w:bookmarkStart w:id="310" w:name="_Toc491426040"/>
      <w:r w:rsidRPr="00830247">
        <w:t xml:space="preserve">The current ACFI </w:t>
      </w:r>
      <w:r>
        <w:t>B</w:t>
      </w:r>
      <w:r w:rsidR="00F06AF0">
        <w:t>EH</w:t>
      </w:r>
      <w:r>
        <w:t xml:space="preserve"> D</w:t>
      </w:r>
      <w:r w:rsidRPr="00830247">
        <w:t>omain</w:t>
      </w:r>
      <w:bookmarkEnd w:id="309"/>
      <w:bookmarkEnd w:id="310"/>
    </w:p>
    <w:p w:rsidR="003217B9" w:rsidRPr="001276A2" w:rsidRDefault="003217B9" w:rsidP="006577A2">
      <w:pPr>
        <w:pStyle w:val="Heading3-Chapter51"/>
        <w:rPr>
          <w:rStyle w:val="Strong"/>
          <w:b/>
        </w:rPr>
      </w:pPr>
      <w:r w:rsidRPr="001276A2">
        <w:rPr>
          <w:rStyle w:val="Strong"/>
          <w:b/>
        </w:rPr>
        <w:t>B</w:t>
      </w:r>
      <w:r w:rsidR="00E26A9A" w:rsidRPr="001276A2">
        <w:rPr>
          <w:rStyle w:val="Strong"/>
          <w:b/>
        </w:rPr>
        <w:t>EH</w:t>
      </w:r>
      <w:r w:rsidRPr="001276A2">
        <w:rPr>
          <w:rStyle w:val="Strong"/>
          <w:b/>
        </w:rPr>
        <w:t xml:space="preserve"> Domain Questions</w:t>
      </w:r>
    </w:p>
    <w:p w:rsidR="00980F62" w:rsidRDefault="003217B9" w:rsidP="00590231">
      <w:pPr>
        <w:rPr>
          <w:lang w:eastAsia="en-AU"/>
        </w:rPr>
      </w:pPr>
      <w:r>
        <w:rPr>
          <w:lang w:eastAsia="en-AU"/>
        </w:rPr>
        <w:t xml:space="preserve">The </w:t>
      </w:r>
      <w:r w:rsidR="00C961BB">
        <w:rPr>
          <w:lang w:eastAsia="en-AU"/>
        </w:rPr>
        <w:t xml:space="preserve">ACFI </w:t>
      </w:r>
      <w:r>
        <w:rPr>
          <w:lang w:eastAsia="en-AU"/>
        </w:rPr>
        <w:t>B</w:t>
      </w:r>
      <w:r w:rsidR="00F06AF0">
        <w:rPr>
          <w:lang w:eastAsia="en-AU"/>
        </w:rPr>
        <w:t>EH</w:t>
      </w:r>
      <w:r>
        <w:rPr>
          <w:lang w:eastAsia="en-AU"/>
        </w:rPr>
        <w:t xml:space="preserve"> domain consists of five ACFI questions covering cognition, behaviour and depression (</w:t>
      </w:r>
      <w:hyperlink w:anchor="Tab0501" w:history="1">
        <w:r w:rsidRPr="002D5330">
          <w:rPr>
            <w:rStyle w:val="Hyperlink"/>
            <w:lang w:eastAsia="en-AU"/>
          </w:rPr>
          <w:t>Table 5.1</w:t>
        </w:r>
      </w:hyperlink>
      <w:r>
        <w:rPr>
          <w:lang w:eastAsia="en-AU"/>
        </w:rPr>
        <w:t>).</w:t>
      </w:r>
    </w:p>
    <w:p w:rsidR="003217B9" w:rsidRDefault="003217B9" w:rsidP="00590231">
      <w:pPr>
        <w:rPr>
          <w:lang w:eastAsia="en-AU"/>
        </w:rPr>
      </w:pPr>
      <w:r>
        <w:rPr>
          <w:lang w:eastAsia="en-AU"/>
        </w:rPr>
        <w:t>ACFI 6 relates to Cognition and is rated (A, B, C, D) based on either the score from a mandated assessment (Psychogeriatric Assessment Scales-Cognitive Impairment Scale; PAS-CIS) or by a checklist (for residents that cannot be interviewed).</w:t>
      </w:r>
    </w:p>
    <w:p w:rsidR="003217B9" w:rsidRDefault="003217B9" w:rsidP="00590231">
      <w:pPr>
        <w:rPr>
          <w:lang w:eastAsia="en-AU"/>
        </w:rPr>
      </w:pPr>
      <w:r>
        <w:rPr>
          <w:lang w:eastAsia="en-AU"/>
        </w:rPr>
        <w:t>ACFI 7, 8 &amp; 9 are Behavioural items (Wandering, Verbal, Physical respectively) and are rated (A, B, C, D) based on Behaviour Record/s (frequency over 7 days).</w:t>
      </w:r>
    </w:p>
    <w:p w:rsidR="003217B9" w:rsidRDefault="003217B9" w:rsidP="00590231">
      <w:pPr>
        <w:rPr>
          <w:lang w:eastAsia="en-AU"/>
        </w:rPr>
      </w:pPr>
      <w:r>
        <w:rPr>
          <w:lang w:eastAsia="en-AU"/>
        </w:rPr>
        <w:t xml:space="preserve">ACFI 10 </w:t>
      </w:r>
      <w:r w:rsidR="00E26A9A">
        <w:rPr>
          <w:lang w:eastAsia="en-AU"/>
        </w:rPr>
        <w:t>relates to</w:t>
      </w:r>
      <w:r>
        <w:rPr>
          <w:lang w:eastAsia="en-AU"/>
        </w:rPr>
        <w:t xml:space="preserve"> Depression and is rated (A, B, C, D) based on the score from a mandated assessment (Cornell Scale for Depression; CSD). To have a valid C or D rating the provider needs to have, or be seeking, a confirmed diagnosis for depression.</w:t>
      </w:r>
    </w:p>
    <w:p w:rsidR="00980F62" w:rsidRDefault="003217B9" w:rsidP="00590231">
      <w:pPr>
        <w:rPr>
          <w:lang w:eastAsia="en-AU"/>
        </w:rPr>
      </w:pPr>
      <w:r>
        <w:rPr>
          <w:lang w:eastAsia="en-AU"/>
        </w:rPr>
        <w:t>Each ACFI question rating (A, B, C, D) has an associated weight related to its importance in the scale (</w:t>
      </w:r>
      <w:hyperlink w:anchor="Tab0502" w:history="1">
        <w:r w:rsidRPr="00551104">
          <w:rPr>
            <w:rStyle w:val="Hyperlink"/>
            <w:lang w:eastAsia="en-AU"/>
          </w:rPr>
          <w:t>Table 5.2</w:t>
        </w:r>
      </w:hyperlink>
      <w:r>
        <w:rPr>
          <w:lang w:eastAsia="en-AU"/>
        </w:rPr>
        <w:t xml:space="preserve">). The weighted scores in the scale are summed, and cut points place the summed scores into the </w:t>
      </w:r>
      <w:r w:rsidRPr="006D442A">
        <w:rPr>
          <w:lang w:eastAsia="en-AU"/>
        </w:rPr>
        <w:t xml:space="preserve">categories of </w:t>
      </w:r>
      <w:r>
        <w:rPr>
          <w:lang w:eastAsia="en-AU"/>
        </w:rPr>
        <w:t>N</w:t>
      </w:r>
      <w:r w:rsidRPr="006D442A">
        <w:rPr>
          <w:lang w:eastAsia="en-AU"/>
        </w:rPr>
        <w:t>il</w:t>
      </w:r>
      <w:r>
        <w:rPr>
          <w:lang w:eastAsia="en-AU"/>
        </w:rPr>
        <w:t xml:space="preserve"> (N)</w:t>
      </w:r>
      <w:r w:rsidRPr="006D442A">
        <w:rPr>
          <w:lang w:eastAsia="en-AU"/>
        </w:rPr>
        <w:t xml:space="preserve">, </w:t>
      </w:r>
      <w:r>
        <w:rPr>
          <w:lang w:eastAsia="en-AU"/>
        </w:rPr>
        <w:t>L</w:t>
      </w:r>
      <w:r w:rsidRPr="006D442A">
        <w:rPr>
          <w:lang w:eastAsia="en-AU"/>
        </w:rPr>
        <w:t>ow</w:t>
      </w:r>
      <w:r>
        <w:rPr>
          <w:lang w:eastAsia="en-AU"/>
        </w:rPr>
        <w:t xml:space="preserve"> (L)</w:t>
      </w:r>
      <w:r w:rsidRPr="006D442A">
        <w:rPr>
          <w:lang w:eastAsia="en-AU"/>
        </w:rPr>
        <w:t>,</w:t>
      </w:r>
      <w:r>
        <w:rPr>
          <w:lang w:eastAsia="en-AU"/>
        </w:rPr>
        <w:t xml:space="preserve"> M</w:t>
      </w:r>
      <w:r w:rsidRPr="006D442A">
        <w:rPr>
          <w:lang w:eastAsia="en-AU"/>
        </w:rPr>
        <w:t>edium</w:t>
      </w:r>
      <w:r>
        <w:rPr>
          <w:lang w:eastAsia="en-AU"/>
        </w:rPr>
        <w:t xml:space="preserve"> (M) and H</w:t>
      </w:r>
      <w:r w:rsidRPr="006D442A">
        <w:rPr>
          <w:lang w:eastAsia="en-AU"/>
        </w:rPr>
        <w:t>igh</w:t>
      </w:r>
      <w:r>
        <w:rPr>
          <w:lang w:eastAsia="en-AU"/>
        </w:rPr>
        <w:t xml:space="preserve"> (H) (</w:t>
      </w:r>
      <w:hyperlink w:anchor="Tab0503" w:history="1">
        <w:r w:rsidRPr="00551104">
          <w:rPr>
            <w:rStyle w:val="Hyperlink"/>
            <w:lang w:eastAsia="en-AU"/>
          </w:rPr>
          <w:t>Table 5.3</w:t>
        </w:r>
      </w:hyperlink>
      <w:r>
        <w:rPr>
          <w:lang w:eastAsia="en-AU"/>
        </w:rPr>
        <w:t>)</w:t>
      </w:r>
      <w:r w:rsidRPr="006D442A">
        <w:rPr>
          <w:lang w:eastAsia="en-AU"/>
        </w:rPr>
        <w:t>.</w:t>
      </w:r>
    </w:p>
    <w:p w:rsidR="003217B9" w:rsidRDefault="003217B9" w:rsidP="00590231">
      <w:pPr>
        <w:rPr>
          <w:lang w:eastAsia="en-AU"/>
        </w:rPr>
      </w:pPr>
      <w:r>
        <w:rPr>
          <w:lang w:eastAsia="en-AU"/>
        </w:rPr>
        <w:t>A mental or behavioural diagnosis is required to claim High in the BEH category.</w:t>
      </w:r>
    </w:p>
    <w:p w:rsidR="003217B9" w:rsidRPr="001276A2" w:rsidRDefault="003217B9" w:rsidP="006577A2">
      <w:pPr>
        <w:pStyle w:val="Heading3-Chapter51"/>
        <w:rPr>
          <w:rStyle w:val="Strong"/>
          <w:b/>
        </w:rPr>
      </w:pPr>
      <w:bookmarkStart w:id="311" w:name="_Toc478568290"/>
      <w:r w:rsidRPr="001276A2">
        <w:rPr>
          <w:rStyle w:val="Strong"/>
          <w:b/>
        </w:rPr>
        <w:t>Changes to the Behaviour Domain Since ACFI Introduction</w:t>
      </w:r>
    </w:p>
    <w:p w:rsidR="003217B9" w:rsidRDefault="003217B9" w:rsidP="00590231">
      <w:pPr>
        <w:rPr>
          <w:b/>
        </w:rPr>
      </w:pPr>
      <w:bookmarkStart w:id="312" w:name="_Toc485824521"/>
      <w:bookmarkStart w:id="313" w:name="_Toc485990616"/>
      <w:r>
        <w:t>The behaviour domain has had two minor changes introduced by the Department since commencement. These are:</w:t>
      </w:r>
      <w:bookmarkEnd w:id="312"/>
      <w:bookmarkEnd w:id="313"/>
    </w:p>
    <w:p w:rsidR="003217B9" w:rsidRDefault="003217B9" w:rsidP="00557DB1">
      <w:pPr>
        <w:pStyle w:val="ListParagraph"/>
        <w:numPr>
          <w:ilvl w:val="0"/>
          <w:numId w:val="20"/>
        </w:numPr>
      </w:pPr>
      <w:r>
        <w:t xml:space="preserve">For the questions </w:t>
      </w:r>
      <w:r w:rsidR="00E26A9A">
        <w:t>relating to w</w:t>
      </w:r>
      <w:r>
        <w:t>andering, verbal and physical behaviours the rating of B was changed from “at least once in a week” to “at least two days per week” (July 2013)</w:t>
      </w:r>
      <w:r w:rsidR="00DA7140">
        <w:t>.</w:t>
      </w:r>
    </w:p>
    <w:p w:rsidR="003217B9" w:rsidRPr="00A02E1B" w:rsidRDefault="003217B9" w:rsidP="00557DB1">
      <w:pPr>
        <w:pStyle w:val="ListParagraph"/>
        <w:numPr>
          <w:ilvl w:val="0"/>
          <w:numId w:val="20"/>
        </w:numPr>
      </w:pPr>
      <w:r>
        <w:t xml:space="preserve">To justify why the PAS-CIS assessment is not able to be conducted on a resident the Department has indicated that the provider </w:t>
      </w:r>
      <w:r w:rsidR="00E26A9A">
        <w:t>‘</w:t>
      </w:r>
      <w:r>
        <w:rPr>
          <w:noProof/>
        </w:rPr>
        <w:t>must provide the reason why it could not be completed and alternative supporting evidence such as a clinical report must be provided</w:t>
      </w:r>
      <w:r w:rsidR="00E26A9A">
        <w:rPr>
          <w:noProof/>
        </w:rPr>
        <w:t>’</w:t>
      </w:r>
      <w:r>
        <w:t xml:space="preserve"> (January 2017)</w:t>
      </w:r>
      <w:r w:rsidR="00DA7140">
        <w:t>.</w:t>
      </w:r>
    </w:p>
    <w:p w:rsidR="00EE0B94" w:rsidRDefault="00EE0B94">
      <w:pPr>
        <w:spacing w:after="200"/>
        <w:rPr>
          <w:rFonts w:ascii="Calibri" w:hAnsi="Calibri" w:cs="Times New Roman"/>
          <w:b/>
          <w:iCs/>
          <w:szCs w:val="18"/>
          <w:lang w:eastAsia="en-AU"/>
        </w:rPr>
      </w:pPr>
      <w:bookmarkStart w:id="314" w:name="_Toc485990617"/>
      <w:bookmarkStart w:id="315" w:name="_Toc486605140"/>
      <w:r>
        <w:rPr>
          <w:lang w:eastAsia="en-AU"/>
        </w:rPr>
        <w:br w:type="page"/>
      </w:r>
    </w:p>
    <w:p w:rsidR="00EE4C64" w:rsidRDefault="005A751E" w:rsidP="00EE4C64">
      <w:pPr>
        <w:pStyle w:val="Caption"/>
        <w:keepNext/>
      </w:pPr>
      <w:bookmarkStart w:id="316" w:name="_Toc495416333"/>
      <w:bookmarkStart w:id="317" w:name="Tab0501"/>
      <w:bookmarkEnd w:id="311"/>
      <w:bookmarkEnd w:id="314"/>
      <w:bookmarkEnd w:id="315"/>
      <w:r>
        <w:lastRenderedPageBreak/>
        <w:t>Table 5.</w:t>
      </w:r>
      <w:r w:rsidR="009A3F5A">
        <w:fldChar w:fldCharType="begin"/>
      </w:r>
      <w:r w:rsidR="009A3F5A">
        <w:instrText xml:space="preserve"> SEQ Table_5. \* ARABIC </w:instrText>
      </w:r>
      <w:r w:rsidR="009A3F5A">
        <w:fldChar w:fldCharType="separate"/>
      </w:r>
      <w:r w:rsidR="00856E49">
        <w:rPr>
          <w:noProof/>
        </w:rPr>
        <w:t>1</w:t>
      </w:r>
      <w:r w:rsidR="009A3F5A">
        <w:rPr>
          <w:noProof/>
        </w:rPr>
        <w:fldChar w:fldCharType="end"/>
      </w:r>
      <w:r>
        <w:t xml:space="preserve">: </w:t>
      </w:r>
      <w:r w:rsidRPr="005A751E">
        <w:t>BEH items, ratings and classification overview</w:t>
      </w:r>
      <w:bookmarkEnd w:id="316"/>
    </w:p>
    <w:tbl>
      <w:tblPr>
        <w:tblStyle w:val="ListTable3-Accent512"/>
        <w:tblW w:w="9072" w:type="dxa"/>
        <w:tblInd w:w="108" w:type="dxa"/>
        <w:tblBorders>
          <w:insideH w:val="single" w:sz="4" w:space="0" w:color="5B9BD5" w:themeColor="accent5"/>
          <w:insideV w:val="single" w:sz="4" w:space="0" w:color="5B9BD5" w:themeColor="accent5"/>
        </w:tblBorders>
        <w:tblLook w:val="04A0" w:firstRow="1" w:lastRow="0" w:firstColumn="1" w:lastColumn="0" w:noHBand="0" w:noVBand="1"/>
        <w:tblDescription w:val="Table 5.1 is a list of the items, assessment levels and classification ratings for questions in the Behaviour (BEH) domain. This table is to be read left to right, top to bottom, noting that the wandering, verbal and physical behaviour questions share the same assessment summary and classification ratings."/>
      </w:tblPr>
      <w:tblGrid>
        <w:gridCol w:w="1435"/>
        <w:gridCol w:w="3690"/>
        <w:gridCol w:w="2213"/>
        <w:gridCol w:w="1734"/>
      </w:tblGrid>
      <w:tr w:rsidR="003217B9" w:rsidRPr="0049596C" w:rsidTr="00802DC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35" w:type="dxa"/>
            <w:tcBorders>
              <w:bottom w:val="none" w:sz="0" w:space="0" w:color="auto"/>
              <w:right w:val="none" w:sz="0" w:space="0" w:color="auto"/>
            </w:tcBorders>
            <w:vAlign w:val="center"/>
          </w:tcPr>
          <w:bookmarkEnd w:id="317"/>
          <w:p w:rsidR="003217B9" w:rsidRPr="0049596C" w:rsidRDefault="003217B9" w:rsidP="00802DC1">
            <w:pPr>
              <w:spacing w:after="0"/>
              <w:jc w:val="left"/>
              <w:rPr>
                <w:sz w:val="22"/>
                <w:lang w:eastAsia="en-AU"/>
              </w:rPr>
            </w:pPr>
            <w:r w:rsidRPr="0049596C">
              <w:rPr>
                <w:sz w:val="22"/>
                <w:lang w:eastAsia="en-AU"/>
              </w:rPr>
              <w:t>Question</w:t>
            </w:r>
          </w:p>
        </w:tc>
        <w:tc>
          <w:tcPr>
            <w:tcW w:w="3690" w:type="dxa"/>
            <w:vAlign w:val="center"/>
          </w:tcPr>
          <w:p w:rsidR="003217B9" w:rsidRPr="0049596C" w:rsidRDefault="003217B9" w:rsidP="00802DC1">
            <w:pPr>
              <w:spacing w:after="0"/>
              <w:jc w:val="center"/>
              <w:cnfStyle w:val="100000000000" w:firstRow="1" w:lastRow="0" w:firstColumn="0" w:lastColumn="0" w:oddVBand="0" w:evenVBand="0" w:oddHBand="0" w:evenHBand="0" w:firstRowFirstColumn="0" w:firstRowLastColumn="0" w:lastRowFirstColumn="0" w:lastRowLastColumn="0"/>
              <w:rPr>
                <w:sz w:val="22"/>
                <w:lang w:eastAsia="en-AU"/>
              </w:rPr>
            </w:pPr>
            <w:r w:rsidRPr="0049596C">
              <w:rPr>
                <w:sz w:val="22"/>
                <w:lang w:eastAsia="en-AU"/>
              </w:rPr>
              <w:t>Items</w:t>
            </w:r>
          </w:p>
        </w:tc>
        <w:tc>
          <w:tcPr>
            <w:tcW w:w="2213" w:type="dxa"/>
            <w:vAlign w:val="center"/>
          </w:tcPr>
          <w:p w:rsidR="003217B9" w:rsidRPr="0049596C" w:rsidRDefault="003217B9" w:rsidP="004368E0">
            <w:pPr>
              <w:spacing w:after="0"/>
              <w:jc w:val="left"/>
              <w:cnfStyle w:val="100000000000" w:firstRow="1" w:lastRow="0" w:firstColumn="0" w:lastColumn="0" w:oddVBand="0" w:evenVBand="0" w:oddHBand="0" w:evenHBand="0" w:firstRowFirstColumn="0" w:firstRowLastColumn="0" w:lastRowFirstColumn="0" w:lastRowLastColumn="0"/>
              <w:rPr>
                <w:sz w:val="22"/>
                <w:lang w:eastAsia="en-AU"/>
              </w:rPr>
            </w:pPr>
            <w:r w:rsidRPr="0049596C">
              <w:rPr>
                <w:sz w:val="22"/>
                <w:lang w:eastAsia="en-AU"/>
              </w:rPr>
              <w:t>Assessment Summary</w:t>
            </w:r>
          </w:p>
        </w:tc>
        <w:tc>
          <w:tcPr>
            <w:tcW w:w="1734" w:type="dxa"/>
            <w:vAlign w:val="center"/>
          </w:tcPr>
          <w:p w:rsidR="003217B9" w:rsidRPr="0049596C" w:rsidRDefault="003217B9" w:rsidP="004368E0">
            <w:pPr>
              <w:spacing w:after="0"/>
              <w:jc w:val="left"/>
              <w:cnfStyle w:val="100000000000" w:firstRow="1" w:lastRow="0" w:firstColumn="0" w:lastColumn="0" w:oddVBand="0" w:evenVBand="0" w:oddHBand="0" w:evenHBand="0" w:firstRowFirstColumn="0" w:firstRowLastColumn="0" w:lastRowFirstColumn="0" w:lastRowLastColumn="0"/>
              <w:rPr>
                <w:sz w:val="22"/>
                <w:lang w:eastAsia="en-AU"/>
              </w:rPr>
            </w:pPr>
            <w:r w:rsidRPr="0049596C">
              <w:rPr>
                <w:sz w:val="22"/>
                <w:lang w:eastAsia="en-AU"/>
              </w:rPr>
              <w:t>Classification</w:t>
            </w:r>
          </w:p>
        </w:tc>
      </w:tr>
      <w:tr w:rsidR="003217B9" w:rsidRPr="00D72F33"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bottom w:val="none" w:sz="0" w:space="0" w:color="auto"/>
              <w:right w:val="none" w:sz="0" w:space="0" w:color="auto"/>
            </w:tcBorders>
          </w:tcPr>
          <w:p w:rsidR="003217B9" w:rsidRPr="00221C6C" w:rsidRDefault="003217B9" w:rsidP="00424A0A">
            <w:pPr>
              <w:spacing w:after="0"/>
              <w:jc w:val="left"/>
              <w:rPr>
                <w:sz w:val="22"/>
                <w:lang w:eastAsia="en-AU"/>
              </w:rPr>
            </w:pPr>
            <w:r w:rsidRPr="00221C6C">
              <w:rPr>
                <w:sz w:val="22"/>
                <w:lang w:eastAsia="en-AU"/>
              </w:rPr>
              <w:t>ACFI 6: Cognition</w:t>
            </w:r>
          </w:p>
        </w:tc>
        <w:tc>
          <w:tcPr>
            <w:tcW w:w="3690" w:type="dxa"/>
            <w:tcBorders>
              <w:top w:val="none" w:sz="0" w:space="0" w:color="auto"/>
              <w:bottom w:val="none" w:sz="0" w:space="0" w:color="auto"/>
            </w:tcBorders>
          </w:tcPr>
          <w:p w:rsidR="003217B9" w:rsidRPr="00221C6C" w:rsidRDefault="003217B9" w:rsidP="00424A0A">
            <w:pPr>
              <w:spacing w:after="0"/>
              <w:jc w:val="left"/>
              <w:cnfStyle w:val="000000100000" w:firstRow="0" w:lastRow="0" w:firstColumn="0" w:lastColumn="0" w:oddVBand="0" w:evenVBand="0" w:oddHBand="1" w:evenHBand="0" w:firstRowFirstColumn="0" w:firstRowLastColumn="0" w:lastRowFirstColumn="0" w:lastRowLastColumn="0"/>
              <w:rPr>
                <w:sz w:val="22"/>
                <w:lang w:eastAsia="en-AU"/>
              </w:rPr>
            </w:pPr>
            <w:r w:rsidRPr="00221C6C">
              <w:rPr>
                <w:sz w:val="22"/>
                <w:lang w:eastAsia="en-AU"/>
              </w:rPr>
              <w:t>PAS-CIS consists of 9 questions to test the subject’s memory and other cognitive functions</w:t>
            </w:r>
          </w:p>
        </w:tc>
        <w:tc>
          <w:tcPr>
            <w:tcW w:w="2213" w:type="dxa"/>
            <w:tcBorders>
              <w:top w:val="none" w:sz="0" w:space="0" w:color="auto"/>
              <w:bottom w:val="none" w:sz="0" w:space="0" w:color="auto"/>
            </w:tcBorders>
            <w:vAlign w:val="center"/>
          </w:tcPr>
          <w:p w:rsidR="003217B9" w:rsidRPr="00221C6C" w:rsidRDefault="003217B9" w:rsidP="004368E0">
            <w:pPr>
              <w:spacing w:after="0"/>
              <w:jc w:val="left"/>
              <w:cnfStyle w:val="000000100000" w:firstRow="0" w:lastRow="0" w:firstColumn="0" w:lastColumn="0" w:oddVBand="0" w:evenVBand="0" w:oddHBand="1" w:evenHBand="0" w:firstRowFirstColumn="0" w:firstRowLastColumn="0" w:lastRowFirstColumn="0" w:lastRowLastColumn="0"/>
              <w:rPr>
                <w:sz w:val="22"/>
                <w:lang w:eastAsia="en-AU"/>
              </w:rPr>
            </w:pPr>
            <w:r w:rsidRPr="00221C6C">
              <w:rPr>
                <w:sz w:val="22"/>
                <w:lang w:eastAsia="en-AU"/>
              </w:rPr>
              <w:t>0-3 (none)</w:t>
            </w:r>
          </w:p>
          <w:p w:rsidR="003217B9" w:rsidRPr="00221C6C" w:rsidRDefault="003217B9" w:rsidP="004368E0">
            <w:pPr>
              <w:spacing w:after="0"/>
              <w:jc w:val="left"/>
              <w:cnfStyle w:val="000000100000" w:firstRow="0" w:lastRow="0" w:firstColumn="0" w:lastColumn="0" w:oddVBand="0" w:evenVBand="0" w:oddHBand="1" w:evenHBand="0" w:firstRowFirstColumn="0" w:firstRowLastColumn="0" w:lastRowFirstColumn="0" w:lastRowLastColumn="0"/>
              <w:rPr>
                <w:sz w:val="22"/>
                <w:lang w:eastAsia="en-AU"/>
              </w:rPr>
            </w:pPr>
            <w:r w:rsidRPr="00221C6C">
              <w:rPr>
                <w:sz w:val="22"/>
                <w:lang w:eastAsia="en-AU"/>
              </w:rPr>
              <w:t>4-9 (mild)</w:t>
            </w:r>
          </w:p>
          <w:p w:rsidR="003217B9" w:rsidRPr="00221C6C" w:rsidRDefault="003217B9" w:rsidP="004368E0">
            <w:pPr>
              <w:spacing w:after="0"/>
              <w:jc w:val="left"/>
              <w:cnfStyle w:val="000000100000" w:firstRow="0" w:lastRow="0" w:firstColumn="0" w:lastColumn="0" w:oddVBand="0" w:evenVBand="0" w:oddHBand="1" w:evenHBand="0" w:firstRowFirstColumn="0" w:firstRowLastColumn="0" w:lastRowFirstColumn="0" w:lastRowLastColumn="0"/>
              <w:rPr>
                <w:sz w:val="22"/>
                <w:lang w:eastAsia="en-AU"/>
              </w:rPr>
            </w:pPr>
            <w:r w:rsidRPr="00221C6C">
              <w:rPr>
                <w:sz w:val="22"/>
                <w:lang w:eastAsia="en-AU"/>
              </w:rPr>
              <w:t>10-15 (mod)</w:t>
            </w:r>
          </w:p>
          <w:p w:rsidR="003217B9" w:rsidRPr="00221C6C" w:rsidRDefault="003217B9" w:rsidP="004368E0">
            <w:pPr>
              <w:spacing w:after="0"/>
              <w:jc w:val="left"/>
              <w:cnfStyle w:val="000000100000" w:firstRow="0" w:lastRow="0" w:firstColumn="0" w:lastColumn="0" w:oddVBand="0" w:evenVBand="0" w:oddHBand="1" w:evenHBand="0" w:firstRowFirstColumn="0" w:firstRowLastColumn="0" w:lastRowFirstColumn="0" w:lastRowLastColumn="0"/>
              <w:rPr>
                <w:sz w:val="22"/>
                <w:lang w:eastAsia="en-AU"/>
              </w:rPr>
            </w:pPr>
            <w:r w:rsidRPr="00221C6C">
              <w:rPr>
                <w:sz w:val="22"/>
                <w:lang w:eastAsia="en-AU"/>
              </w:rPr>
              <w:t>16-21 (severe)</w:t>
            </w:r>
          </w:p>
        </w:tc>
        <w:tc>
          <w:tcPr>
            <w:tcW w:w="1734" w:type="dxa"/>
            <w:tcBorders>
              <w:top w:val="none" w:sz="0" w:space="0" w:color="auto"/>
              <w:bottom w:val="none" w:sz="0" w:space="0" w:color="auto"/>
            </w:tcBorders>
            <w:vAlign w:val="center"/>
          </w:tcPr>
          <w:p w:rsidR="003217B9" w:rsidRPr="00221C6C" w:rsidRDefault="003217B9" w:rsidP="004368E0">
            <w:pPr>
              <w:spacing w:after="0"/>
              <w:jc w:val="left"/>
              <w:cnfStyle w:val="000000100000" w:firstRow="0" w:lastRow="0" w:firstColumn="0" w:lastColumn="0" w:oddVBand="0" w:evenVBand="0" w:oddHBand="1" w:evenHBand="0" w:firstRowFirstColumn="0" w:firstRowLastColumn="0" w:lastRowFirstColumn="0" w:lastRowLastColumn="0"/>
              <w:rPr>
                <w:sz w:val="22"/>
                <w:lang w:eastAsia="en-AU"/>
              </w:rPr>
            </w:pPr>
            <w:r w:rsidRPr="00221C6C">
              <w:rPr>
                <w:sz w:val="22"/>
                <w:lang w:eastAsia="en-AU"/>
              </w:rPr>
              <w:t>Rating A, B, C, D from the total score.</w:t>
            </w:r>
          </w:p>
        </w:tc>
      </w:tr>
      <w:tr w:rsidR="003217B9" w:rsidRPr="00D72F33" w:rsidTr="00AE6A54">
        <w:tc>
          <w:tcPr>
            <w:cnfStyle w:val="001000000000" w:firstRow="0" w:lastRow="0" w:firstColumn="1" w:lastColumn="0" w:oddVBand="0" w:evenVBand="0" w:oddHBand="0" w:evenHBand="0" w:firstRowFirstColumn="0" w:firstRowLastColumn="0" w:lastRowFirstColumn="0" w:lastRowLastColumn="0"/>
            <w:tcW w:w="1435" w:type="dxa"/>
            <w:tcBorders>
              <w:right w:val="none" w:sz="0" w:space="0" w:color="auto"/>
            </w:tcBorders>
          </w:tcPr>
          <w:p w:rsidR="003217B9" w:rsidRPr="00221C6C" w:rsidRDefault="003217B9" w:rsidP="00424A0A">
            <w:pPr>
              <w:spacing w:after="0"/>
              <w:jc w:val="left"/>
              <w:rPr>
                <w:sz w:val="22"/>
                <w:lang w:eastAsia="en-AU"/>
              </w:rPr>
            </w:pPr>
            <w:r w:rsidRPr="00221C6C">
              <w:rPr>
                <w:sz w:val="22"/>
                <w:lang w:eastAsia="en-AU"/>
              </w:rPr>
              <w:t>ACFI 7: Wandering</w:t>
            </w:r>
          </w:p>
        </w:tc>
        <w:tc>
          <w:tcPr>
            <w:tcW w:w="3690" w:type="dxa"/>
          </w:tcPr>
          <w:p w:rsidR="003217B9" w:rsidRPr="00221C6C" w:rsidRDefault="003217B9" w:rsidP="00424A0A">
            <w:pPr>
              <w:spacing w:after="0"/>
              <w:jc w:val="left"/>
              <w:cnfStyle w:val="000000000000" w:firstRow="0" w:lastRow="0" w:firstColumn="0" w:lastColumn="0" w:oddVBand="0" w:evenVBand="0" w:oddHBand="0" w:evenHBand="0" w:firstRowFirstColumn="0" w:firstRowLastColumn="0" w:lastRowFirstColumn="0" w:lastRowLastColumn="0"/>
              <w:rPr>
                <w:sz w:val="22"/>
                <w:lang w:eastAsia="en-AU"/>
              </w:rPr>
            </w:pPr>
            <w:r w:rsidRPr="00221C6C">
              <w:rPr>
                <w:sz w:val="22"/>
                <w:lang w:eastAsia="en-AU"/>
              </w:rPr>
              <w:t>Two types of wandering behaviour</w:t>
            </w:r>
          </w:p>
          <w:p w:rsidR="003217B9" w:rsidRPr="00221C6C" w:rsidRDefault="003217B9" w:rsidP="00F02312">
            <w:pPr>
              <w:pStyle w:val="ListParagraph"/>
              <w:numPr>
                <w:ilvl w:val="4"/>
                <w:numId w:val="161"/>
              </w:numPr>
              <w:spacing w:after="0"/>
              <w:ind w:left="227" w:hanging="227"/>
              <w:jc w:val="left"/>
              <w:cnfStyle w:val="000000000000" w:firstRow="0" w:lastRow="0" w:firstColumn="0" w:lastColumn="0" w:oddVBand="0" w:evenVBand="0" w:oddHBand="0" w:evenHBand="0" w:firstRowFirstColumn="0" w:firstRowLastColumn="0" w:lastRowFirstColumn="0" w:lastRowLastColumn="0"/>
              <w:rPr>
                <w:sz w:val="22"/>
                <w:lang w:eastAsia="en-AU"/>
              </w:rPr>
            </w:pPr>
            <w:r w:rsidRPr="00221C6C">
              <w:rPr>
                <w:sz w:val="22"/>
                <w:lang w:eastAsia="en-AU"/>
              </w:rPr>
              <w:t>Interfering while wandering</w:t>
            </w:r>
          </w:p>
          <w:p w:rsidR="003217B9" w:rsidRPr="00221C6C" w:rsidRDefault="003217B9" w:rsidP="00F02312">
            <w:pPr>
              <w:pStyle w:val="ListParagraph"/>
              <w:numPr>
                <w:ilvl w:val="0"/>
                <w:numId w:val="161"/>
              </w:numPr>
              <w:spacing w:after="0"/>
              <w:ind w:left="227" w:hanging="227"/>
              <w:jc w:val="left"/>
              <w:cnfStyle w:val="000000000000" w:firstRow="0" w:lastRow="0" w:firstColumn="0" w:lastColumn="0" w:oddVBand="0" w:evenVBand="0" w:oddHBand="0" w:evenHBand="0" w:firstRowFirstColumn="0" w:firstRowLastColumn="0" w:lastRowFirstColumn="0" w:lastRowLastColumn="0"/>
              <w:rPr>
                <w:sz w:val="22"/>
                <w:lang w:eastAsia="en-AU"/>
              </w:rPr>
            </w:pPr>
            <w:r w:rsidRPr="00221C6C">
              <w:rPr>
                <w:sz w:val="22"/>
                <w:lang w:eastAsia="en-AU"/>
              </w:rPr>
              <w:t>Trying to get to inappropriate places</w:t>
            </w:r>
          </w:p>
        </w:tc>
        <w:tc>
          <w:tcPr>
            <w:tcW w:w="2213" w:type="dxa"/>
            <w:vMerge w:val="restart"/>
            <w:vAlign w:val="center"/>
          </w:tcPr>
          <w:p w:rsidR="00424A0A" w:rsidRDefault="00424A0A" w:rsidP="00F02312">
            <w:pPr>
              <w:pStyle w:val="ListParagraph"/>
              <w:numPr>
                <w:ilvl w:val="0"/>
                <w:numId w:val="164"/>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sz w:val="22"/>
                <w:lang w:eastAsia="en-AU"/>
              </w:rPr>
            </w:pPr>
            <w:r w:rsidRPr="00424A0A">
              <w:rPr>
                <w:sz w:val="22"/>
                <w:lang w:eastAsia="en-AU"/>
              </w:rPr>
              <w:t>No behaviours</w:t>
            </w:r>
          </w:p>
          <w:p w:rsidR="00424A0A" w:rsidRDefault="00424A0A" w:rsidP="00F02312">
            <w:pPr>
              <w:pStyle w:val="ListParagraph"/>
              <w:numPr>
                <w:ilvl w:val="0"/>
                <w:numId w:val="164"/>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sz w:val="22"/>
                <w:lang w:eastAsia="en-AU"/>
              </w:rPr>
            </w:pPr>
            <w:r w:rsidRPr="00424A0A">
              <w:rPr>
                <w:sz w:val="22"/>
                <w:lang w:eastAsia="en-AU"/>
              </w:rPr>
              <w:t>Behaviours at least 2 days in a week</w:t>
            </w:r>
          </w:p>
          <w:p w:rsidR="00424A0A" w:rsidRDefault="00424A0A" w:rsidP="00F02312">
            <w:pPr>
              <w:pStyle w:val="ListParagraph"/>
              <w:numPr>
                <w:ilvl w:val="0"/>
                <w:numId w:val="164"/>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sz w:val="22"/>
                <w:lang w:eastAsia="en-AU"/>
              </w:rPr>
            </w:pPr>
            <w:r w:rsidRPr="00424A0A">
              <w:rPr>
                <w:sz w:val="22"/>
                <w:lang w:eastAsia="en-AU"/>
              </w:rPr>
              <w:t>Behaviours at least 6 days in a week</w:t>
            </w:r>
          </w:p>
          <w:p w:rsidR="003217B9" w:rsidRPr="00424A0A" w:rsidRDefault="003217B9" w:rsidP="00F02312">
            <w:pPr>
              <w:pStyle w:val="ListParagraph"/>
              <w:numPr>
                <w:ilvl w:val="0"/>
                <w:numId w:val="164"/>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sz w:val="22"/>
                <w:lang w:eastAsia="en-AU"/>
              </w:rPr>
            </w:pPr>
            <w:r w:rsidRPr="00424A0A">
              <w:rPr>
                <w:sz w:val="22"/>
                <w:lang w:eastAsia="en-AU"/>
              </w:rPr>
              <w:t>Behaviours at least 2/day, at least 6 days in a week</w:t>
            </w:r>
          </w:p>
        </w:tc>
        <w:tc>
          <w:tcPr>
            <w:tcW w:w="1734" w:type="dxa"/>
            <w:vMerge w:val="restart"/>
            <w:vAlign w:val="center"/>
          </w:tcPr>
          <w:p w:rsidR="003217B9" w:rsidRPr="00221C6C" w:rsidRDefault="003217B9" w:rsidP="004368E0">
            <w:pPr>
              <w:spacing w:after="0"/>
              <w:jc w:val="left"/>
              <w:cnfStyle w:val="000000000000" w:firstRow="0" w:lastRow="0" w:firstColumn="0" w:lastColumn="0" w:oddVBand="0" w:evenVBand="0" w:oddHBand="0" w:evenHBand="0" w:firstRowFirstColumn="0" w:firstRowLastColumn="0" w:lastRowFirstColumn="0" w:lastRowLastColumn="0"/>
              <w:rPr>
                <w:sz w:val="22"/>
                <w:lang w:eastAsia="en-AU"/>
              </w:rPr>
            </w:pPr>
            <w:r w:rsidRPr="00221C6C">
              <w:rPr>
                <w:sz w:val="22"/>
                <w:lang w:eastAsia="en-AU"/>
              </w:rPr>
              <w:t>Rating A, B, C, D from the frequency of behaviour.</w:t>
            </w:r>
          </w:p>
        </w:tc>
      </w:tr>
      <w:tr w:rsidR="003217B9" w:rsidRPr="00D72F33"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bottom w:val="none" w:sz="0" w:space="0" w:color="auto"/>
              <w:right w:val="none" w:sz="0" w:space="0" w:color="auto"/>
            </w:tcBorders>
          </w:tcPr>
          <w:p w:rsidR="003217B9" w:rsidRPr="00221C6C" w:rsidRDefault="003217B9" w:rsidP="00424A0A">
            <w:pPr>
              <w:spacing w:after="0"/>
              <w:jc w:val="left"/>
              <w:rPr>
                <w:sz w:val="22"/>
                <w:lang w:eastAsia="en-AU"/>
              </w:rPr>
            </w:pPr>
            <w:r w:rsidRPr="00221C6C">
              <w:rPr>
                <w:sz w:val="22"/>
                <w:lang w:eastAsia="en-AU"/>
              </w:rPr>
              <w:t>ACFI 8: Verbal Behaviour</w:t>
            </w:r>
          </w:p>
        </w:tc>
        <w:tc>
          <w:tcPr>
            <w:tcW w:w="3690" w:type="dxa"/>
            <w:tcBorders>
              <w:top w:val="none" w:sz="0" w:space="0" w:color="auto"/>
              <w:bottom w:val="none" w:sz="0" w:space="0" w:color="auto"/>
            </w:tcBorders>
          </w:tcPr>
          <w:p w:rsidR="003217B9" w:rsidRPr="00221C6C" w:rsidRDefault="003217B9" w:rsidP="00424A0A">
            <w:pPr>
              <w:spacing w:after="0"/>
              <w:jc w:val="left"/>
              <w:cnfStyle w:val="000000100000" w:firstRow="0" w:lastRow="0" w:firstColumn="0" w:lastColumn="0" w:oddVBand="0" w:evenVBand="0" w:oddHBand="1" w:evenHBand="0" w:firstRowFirstColumn="0" w:firstRowLastColumn="0" w:lastRowFirstColumn="0" w:lastRowLastColumn="0"/>
              <w:rPr>
                <w:sz w:val="22"/>
                <w:lang w:eastAsia="en-AU"/>
              </w:rPr>
            </w:pPr>
            <w:r w:rsidRPr="00221C6C">
              <w:rPr>
                <w:sz w:val="22"/>
                <w:lang w:eastAsia="en-AU"/>
              </w:rPr>
              <w:t>Four types of verbal behaviour</w:t>
            </w:r>
          </w:p>
          <w:p w:rsidR="003217B9" w:rsidRPr="00221C6C" w:rsidRDefault="003217B9" w:rsidP="00F02312">
            <w:pPr>
              <w:pStyle w:val="ListParagraph"/>
              <w:numPr>
                <w:ilvl w:val="4"/>
                <w:numId w:val="162"/>
              </w:numPr>
              <w:spacing w:after="0"/>
              <w:ind w:left="227" w:hanging="227"/>
              <w:jc w:val="left"/>
              <w:cnfStyle w:val="000000100000" w:firstRow="0" w:lastRow="0" w:firstColumn="0" w:lastColumn="0" w:oddVBand="0" w:evenVBand="0" w:oddHBand="1" w:evenHBand="0" w:firstRowFirstColumn="0" w:firstRowLastColumn="0" w:lastRowFirstColumn="0" w:lastRowLastColumn="0"/>
              <w:rPr>
                <w:sz w:val="22"/>
                <w:lang w:eastAsia="en-AU"/>
              </w:rPr>
            </w:pPr>
            <w:r w:rsidRPr="00221C6C">
              <w:rPr>
                <w:sz w:val="22"/>
                <w:lang w:eastAsia="en-AU"/>
              </w:rPr>
              <w:t>Verbal refusal of care</w:t>
            </w:r>
          </w:p>
          <w:p w:rsidR="00980F62" w:rsidRDefault="003217B9" w:rsidP="00F02312">
            <w:pPr>
              <w:pStyle w:val="ListParagraph"/>
              <w:numPr>
                <w:ilvl w:val="4"/>
                <w:numId w:val="162"/>
              </w:numPr>
              <w:spacing w:after="0"/>
              <w:ind w:left="227" w:hanging="227"/>
              <w:jc w:val="left"/>
              <w:cnfStyle w:val="000000100000" w:firstRow="0" w:lastRow="0" w:firstColumn="0" w:lastColumn="0" w:oddVBand="0" w:evenVBand="0" w:oddHBand="1" w:evenHBand="0" w:firstRowFirstColumn="0" w:firstRowLastColumn="0" w:lastRowFirstColumn="0" w:lastRowLastColumn="0"/>
              <w:rPr>
                <w:sz w:val="22"/>
                <w:lang w:eastAsia="en-AU"/>
              </w:rPr>
            </w:pPr>
            <w:r w:rsidRPr="00221C6C">
              <w:rPr>
                <w:sz w:val="22"/>
                <w:lang w:eastAsia="en-AU"/>
              </w:rPr>
              <w:t>Verbal disruption</w:t>
            </w:r>
          </w:p>
          <w:p w:rsidR="00424A0A" w:rsidRDefault="003217B9" w:rsidP="00F02312">
            <w:pPr>
              <w:pStyle w:val="ListParagraph"/>
              <w:numPr>
                <w:ilvl w:val="4"/>
                <w:numId w:val="162"/>
              </w:numPr>
              <w:spacing w:after="0"/>
              <w:ind w:left="227" w:hanging="227"/>
              <w:jc w:val="left"/>
              <w:cnfStyle w:val="000000100000" w:firstRow="0" w:lastRow="0" w:firstColumn="0" w:lastColumn="0" w:oddVBand="0" w:evenVBand="0" w:oddHBand="1" w:evenHBand="0" w:firstRowFirstColumn="0" w:firstRowLastColumn="0" w:lastRowFirstColumn="0" w:lastRowLastColumn="0"/>
              <w:rPr>
                <w:sz w:val="22"/>
                <w:lang w:eastAsia="en-AU"/>
              </w:rPr>
            </w:pPr>
            <w:r w:rsidRPr="00221C6C">
              <w:rPr>
                <w:sz w:val="22"/>
                <w:lang w:eastAsia="en-AU"/>
              </w:rPr>
              <w:t>Paranoid ideation</w:t>
            </w:r>
          </w:p>
          <w:p w:rsidR="003217B9" w:rsidRPr="00424A0A" w:rsidRDefault="003217B9" w:rsidP="00F02312">
            <w:pPr>
              <w:pStyle w:val="ListParagraph"/>
              <w:numPr>
                <w:ilvl w:val="4"/>
                <w:numId w:val="162"/>
              </w:numPr>
              <w:spacing w:after="0"/>
              <w:ind w:left="227" w:hanging="227"/>
              <w:jc w:val="left"/>
              <w:cnfStyle w:val="000000100000" w:firstRow="0" w:lastRow="0" w:firstColumn="0" w:lastColumn="0" w:oddVBand="0" w:evenVBand="0" w:oddHBand="1" w:evenHBand="0" w:firstRowFirstColumn="0" w:firstRowLastColumn="0" w:lastRowFirstColumn="0" w:lastRowLastColumn="0"/>
              <w:rPr>
                <w:sz w:val="22"/>
                <w:lang w:eastAsia="en-AU"/>
              </w:rPr>
            </w:pPr>
            <w:r w:rsidRPr="00424A0A">
              <w:rPr>
                <w:sz w:val="22"/>
                <w:lang w:eastAsia="en-AU"/>
              </w:rPr>
              <w:t>Verbally sexually inappropriate</w:t>
            </w:r>
          </w:p>
        </w:tc>
        <w:tc>
          <w:tcPr>
            <w:tcW w:w="2213" w:type="dxa"/>
            <w:vMerge/>
            <w:tcBorders>
              <w:top w:val="none" w:sz="0" w:space="0" w:color="auto"/>
              <w:bottom w:val="none" w:sz="0" w:space="0" w:color="auto"/>
            </w:tcBorders>
            <w:vAlign w:val="center"/>
          </w:tcPr>
          <w:p w:rsidR="003217B9" w:rsidRPr="00221C6C" w:rsidRDefault="003217B9" w:rsidP="004368E0">
            <w:pPr>
              <w:spacing w:after="0"/>
              <w:jc w:val="left"/>
              <w:cnfStyle w:val="000000100000" w:firstRow="0" w:lastRow="0" w:firstColumn="0" w:lastColumn="0" w:oddVBand="0" w:evenVBand="0" w:oddHBand="1" w:evenHBand="0" w:firstRowFirstColumn="0" w:firstRowLastColumn="0" w:lastRowFirstColumn="0" w:lastRowLastColumn="0"/>
              <w:rPr>
                <w:sz w:val="22"/>
                <w:lang w:eastAsia="en-AU"/>
              </w:rPr>
            </w:pPr>
          </w:p>
        </w:tc>
        <w:tc>
          <w:tcPr>
            <w:tcW w:w="1734" w:type="dxa"/>
            <w:vMerge/>
            <w:tcBorders>
              <w:top w:val="none" w:sz="0" w:space="0" w:color="auto"/>
              <w:bottom w:val="none" w:sz="0" w:space="0" w:color="auto"/>
            </w:tcBorders>
            <w:vAlign w:val="center"/>
          </w:tcPr>
          <w:p w:rsidR="003217B9" w:rsidRPr="00221C6C" w:rsidRDefault="003217B9" w:rsidP="004368E0">
            <w:pPr>
              <w:spacing w:after="0"/>
              <w:jc w:val="left"/>
              <w:cnfStyle w:val="000000100000" w:firstRow="0" w:lastRow="0" w:firstColumn="0" w:lastColumn="0" w:oddVBand="0" w:evenVBand="0" w:oddHBand="1" w:evenHBand="0" w:firstRowFirstColumn="0" w:firstRowLastColumn="0" w:lastRowFirstColumn="0" w:lastRowLastColumn="0"/>
              <w:rPr>
                <w:sz w:val="22"/>
                <w:lang w:eastAsia="en-AU"/>
              </w:rPr>
            </w:pPr>
          </w:p>
        </w:tc>
      </w:tr>
      <w:tr w:rsidR="003217B9" w:rsidRPr="00D72F33" w:rsidTr="00AE6A54">
        <w:tc>
          <w:tcPr>
            <w:cnfStyle w:val="001000000000" w:firstRow="0" w:lastRow="0" w:firstColumn="1" w:lastColumn="0" w:oddVBand="0" w:evenVBand="0" w:oddHBand="0" w:evenHBand="0" w:firstRowFirstColumn="0" w:firstRowLastColumn="0" w:lastRowFirstColumn="0" w:lastRowLastColumn="0"/>
            <w:tcW w:w="1435" w:type="dxa"/>
            <w:tcBorders>
              <w:right w:val="none" w:sz="0" w:space="0" w:color="auto"/>
            </w:tcBorders>
          </w:tcPr>
          <w:p w:rsidR="003217B9" w:rsidRPr="00221C6C" w:rsidRDefault="003217B9" w:rsidP="00424A0A">
            <w:pPr>
              <w:spacing w:after="0"/>
              <w:jc w:val="left"/>
              <w:rPr>
                <w:sz w:val="22"/>
                <w:lang w:eastAsia="en-AU"/>
              </w:rPr>
            </w:pPr>
            <w:r w:rsidRPr="00221C6C">
              <w:rPr>
                <w:sz w:val="22"/>
                <w:lang w:eastAsia="en-AU"/>
              </w:rPr>
              <w:t>ACFI 9: Physical Behaviour</w:t>
            </w:r>
          </w:p>
        </w:tc>
        <w:tc>
          <w:tcPr>
            <w:tcW w:w="3690" w:type="dxa"/>
          </w:tcPr>
          <w:p w:rsidR="003217B9" w:rsidRPr="00221C6C" w:rsidRDefault="003217B9" w:rsidP="00424A0A">
            <w:pPr>
              <w:spacing w:after="0"/>
              <w:jc w:val="left"/>
              <w:cnfStyle w:val="000000000000" w:firstRow="0" w:lastRow="0" w:firstColumn="0" w:lastColumn="0" w:oddVBand="0" w:evenVBand="0" w:oddHBand="0" w:evenHBand="0" w:firstRowFirstColumn="0" w:firstRowLastColumn="0" w:lastRowFirstColumn="0" w:lastRowLastColumn="0"/>
              <w:rPr>
                <w:sz w:val="22"/>
                <w:lang w:eastAsia="en-AU"/>
              </w:rPr>
            </w:pPr>
            <w:r w:rsidRPr="00221C6C">
              <w:rPr>
                <w:sz w:val="22"/>
                <w:lang w:eastAsia="en-AU"/>
              </w:rPr>
              <w:t>Three types of physical behaviour</w:t>
            </w:r>
          </w:p>
          <w:p w:rsidR="003217B9" w:rsidRPr="00221C6C" w:rsidRDefault="003217B9" w:rsidP="00F02312">
            <w:pPr>
              <w:pStyle w:val="ListParagraph"/>
              <w:numPr>
                <w:ilvl w:val="4"/>
                <w:numId w:val="163"/>
              </w:numPr>
              <w:spacing w:after="0"/>
              <w:ind w:left="227" w:hanging="227"/>
              <w:jc w:val="left"/>
              <w:cnfStyle w:val="000000000000" w:firstRow="0" w:lastRow="0" w:firstColumn="0" w:lastColumn="0" w:oddVBand="0" w:evenVBand="0" w:oddHBand="0" w:evenHBand="0" w:firstRowFirstColumn="0" w:firstRowLastColumn="0" w:lastRowFirstColumn="0" w:lastRowLastColumn="0"/>
              <w:rPr>
                <w:sz w:val="22"/>
                <w:lang w:eastAsia="en-AU"/>
              </w:rPr>
            </w:pPr>
            <w:r w:rsidRPr="00221C6C">
              <w:rPr>
                <w:sz w:val="22"/>
                <w:lang w:eastAsia="en-AU"/>
              </w:rPr>
              <w:t>Physically threatens</w:t>
            </w:r>
          </w:p>
          <w:p w:rsidR="00424A0A" w:rsidRDefault="003217B9" w:rsidP="00F02312">
            <w:pPr>
              <w:pStyle w:val="ListParagraph"/>
              <w:numPr>
                <w:ilvl w:val="4"/>
                <w:numId w:val="163"/>
              </w:numPr>
              <w:spacing w:after="0"/>
              <w:ind w:left="227" w:hanging="227"/>
              <w:jc w:val="left"/>
              <w:cnfStyle w:val="000000000000" w:firstRow="0" w:lastRow="0" w:firstColumn="0" w:lastColumn="0" w:oddVBand="0" w:evenVBand="0" w:oddHBand="0" w:evenHBand="0" w:firstRowFirstColumn="0" w:firstRowLastColumn="0" w:lastRowFirstColumn="0" w:lastRowLastColumn="0"/>
              <w:rPr>
                <w:sz w:val="22"/>
                <w:lang w:eastAsia="en-AU"/>
              </w:rPr>
            </w:pPr>
            <w:r w:rsidRPr="00221C6C">
              <w:rPr>
                <w:sz w:val="22"/>
                <w:lang w:eastAsia="en-AU"/>
              </w:rPr>
              <w:t>Socially inappropriate</w:t>
            </w:r>
          </w:p>
          <w:p w:rsidR="003217B9" w:rsidRPr="00424A0A" w:rsidRDefault="003217B9" w:rsidP="00F02312">
            <w:pPr>
              <w:pStyle w:val="ListParagraph"/>
              <w:numPr>
                <w:ilvl w:val="4"/>
                <w:numId w:val="163"/>
              </w:numPr>
              <w:spacing w:after="0"/>
              <w:ind w:left="227" w:hanging="227"/>
              <w:jc w:val="left"/>
              <w:cnfStyle w:val="000000000000" w:firstRow="0" w:lastRow="0" w:firstColumn="0" w:lastColumn="0" w:oddVBand="0" w:evenVBand="0" w:oddHBand="0" w:evenHBand="0" w:firstRowFirstColumn="0" w:firstRowLastColumn="0" w:lastRowFirstColumn="0" w:lastRowLastColumn="0"/>
              <w:rPr>
                <w:sz w:val="22"/>
                <w:lang w:eastAsia="en-AU"/>
              </w:rPr>
            </w:pPr>
            <w:r w:rsidRPr="00424A0A">
              <w:rPr>
                <w:sz w:val="22"/>
                <w:lang w:eastAsia="en-AU"/>
              </w:rPr>
              <w:t>Constant physical agitation</w:t>
            </w:r>
          </w:p>
        </w:tc>
        <w:tc>
          <w:tcPr>
            <w:tcW w:w="2213" w:type="dxa"/>
            <w:vMerge/>
            <w:vAlign w:val="center"/>
          </w:tcPr>
          <w:p w:rsidR="003217B9" w:rsidRPr="00221C6C" w:rsidRDefault="003217B9" w:rsidP="004368E0">
            <w:pPr>
              <w:spacing w:after="0"/>
              <w:jc w:val="left"/>
              <w:cnfStyle w:val="000000000000" w:firstRow="0" w:lastRow="0" w:firstColumn="0" w:lastColumn="0" w:oddVBand="0" w:evenVBand="0" w:oddHBand="0" w:evenHBand="0" w:firstRowFirstColumn="0" w:firstRowLastColumn="0" w:lastRowFirstColumn="0" w:lastRowLastColumn="0"/>
              <w:rPr>
                <w:sz w:val="22"/>
                <w:lang w:eastAsia="en-AU"/>
              </w:rPr>
            </w:pPr>
          </w:p>
        </w:tc>
        <w:tc>
          <w:tcPr>
            <w:tcW w:w="1734" w:type="dxa"/>
            <w:vMerge/>
            <w:vAlign w:val="center"/>
          </w:tcPr>
          <w:p w:rsidR="003217B9" w:rsidRPr="00221C6C" w:rsidRDefault="003217B9" w:rsidP="004368E0">
            <w:pPr>
              <w:spacing w:after="0"/>
              <w:jc w:val="left"/>
              <w:cnfStyle w:val="000000000000" w:firstRow="0" w:lastRow="0" w:firstColumn="0" w:lastColumn="0" w:oddVBand="0" w:evenVBand="0" w:oddHBand="0" w:evenHBand="0" w:firstRowFirstColumn="0" w:firstRowLastColumn="0" w:lastRowFirstColumn="0" w:lastRowLastColumn="0"/>
              <w:rPr>
                <w:sz w:val="22"/>
                <w:lang w:eastAsia="en-AU"/>
              </w:rPr>
            </w:pPr>
          </w:p>
        </w:tc>
      </w:tr>
      <w:tr w:rsidR="003217B9" w:rsidRPr="00D72F33"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bottom w:val="none" w:sz="0" w:space="0" w:color="auto"/>
              <w:right w:val="none" w:sz="0" w:space="0" w:color="auto"/>
            </w:tcBorders>
          </w:tcPr>
          <w:p w:rsidR="003217B9" w:rsidRPr="00221C6C" w:rsidRDefault="003217B9" w:rsidP="00424A0A">
            <w:pPr>
              <w:spacing w:after="0"/>
              <w:jc w:val="left"/>
              <w:rPr>
                <w:sz w:val="22"/>
                <w:lang w:eastAsia="en-AU"/>
              </w:rPr>
            </w:pPr>
            <w:r w:rsidRPr="00221C6C">
              <w:rPr>
                <w:sz w:val="22"/>
                <w:lang w:eastAsia="en-AU"/>
              </w:rPr>
              <w:t>ACFI 10: Depression</w:t>
            </w:r>
          </w:p>
        </w:tc>
        <w:tc>
          <w:tcPr>
            <w:tcW w:w="3690" w:type="dxa"/>
            <w:tcBorders>
              <w:top w:val="none" w:sz="0" w:space="0" w:color="auto"/>
              <w:bottom w:val="none" w:sz="0" w:space="0" w:color="auto"/>
            </w:tcBorders>
          </w:tcPr>
          <w:p w:rsidR="003217B9" w:rsidRPr="00221C6C" w:rsidRDefault="003217B9" w:rsidP="00424A0A">
            <w:pPr>
              <w:spacing w:after="0"/>
              <w:jc w:val="left"/>
              <w:cnfStyle w:val="000000100000" w:firstRow="0" w:lastRow="0" w:firstColumn="0" w:lastColumn="0" w:oddVBand="0" w:evenVBand="0" w:oddHBand="1" w:evenHBand="0" w:firstRowFirstColumn="0" w:firstRowLastColumn="0" w:lastRowFirstColumn="0" w:lastRowLastColumn="0"/>
              <w:rPr>
                <w:sz w:val="22"/>
                <w:lang w:eastAsia="en-AU"/>
              </w:rPr>
            </w:pPr>
            <w:r w:rsidRPr="00221C6C">
              <w:rPr>
                <w:sz w:val="22"/>
                <w:lang w:eastAsia="en-AU"/>
              </w:rPr>
              <w:t>Modified CS</w:t>
            </w:r>
            <w:r>
              <w:rPr>
                <w:sz w:val="22"/>
                <w:lang w:eastAsia="en-AU"/>
              </w:rPr>
              <w:t>D</w:t>
            </w:r>
            <w:r w:rsidRPr="00221C6C">
              <w:rPr>
                <w:sz w:val="22"/>
                <w:lang w:eastAsia="en-AU"/>
              </w:rPr>
              <w:t xml:space="preserve"> has 19 questions covering mood, behavioural, physical, cyclic and ideational disturbance</w:t>
            </w:r>
          </w:p>
        </w:tc>
        <w:tc>
          <w:tcPr>
            <w:tcW w:w="2213" w:type="dxa"/>
            <w:tcBorders>
              <w:top w:val="none" w:sz="0" w:space="0" w:color="auto"/>
              <w:bottom w:val="none" w:sz="0" w:space="0" w:color="auto"/>
            </w:tcBorders>
            <w:vAlign w:val="center"/>
          </w:tcPr>
          <w:p w:rsidR="003217B9" w:rsidRPr="00221C6C" w:rsidRDefault="003217B9" w:rsidP="004368E0">
            <w:pPr>
              <w:spacing w:after="0"/>
              <w:jc w:val="left"/>
              <w:cnfStyle w:val="000000100000" w:firstRow="0" w:lastRow="0" w:firstColumn="0" w:lastColumn="0" w:oddVBand="0" w:evenVBand="0" w:oddHBand="1" w:evenHBand="0" w:firstRowFirstColumn="0" w:firstRowLastColumn="0" w:lastRowFirstColumn="0" w:lastRowLastColumn="0"/>
              <w:rPr>
                <w:sz w:val="22"/>
                <w:lang w:eastAsia="en-AU"/>
              </w:rPr>
            </w:pPr>
            <w:r w:rsidRPr="00221C6C">
              <w:rPr>
                <w:sz w:val="22"/>
                <w:lang w:eastAsia="en-AU"/>
              </w:rPr>
              <w:t>A. 0-8</w:t>
            </w:r>
          </w:p>
          <w:p w:rsidR="003217B9" w:rsidRPr="00221C6C" w:rsidRDefault="003217B9" w:rsidP="004368E0">
            <w:pPr>
              <w:spacing w:after="0"/>
              <w:jc w:val="left"/>
              <w:cnfStyle w:val="000000100000" w:firstRow="0" w:lastRow="0" w:firstColumn="0" w:lastColumn="0" w:oddVBand="0" w:evenVBand="0" w:oddHBand="1" w:evenHBand="0" w:firstRowFirstColumn="0" w:firstRowLastColumn="0" w:lastRowFirstColumn="0" w:lastRowLastColumn="0"/>
              <w:rPr>
                <w:sz w:val="22"/>
                <w:lang w:eastAsia="en-AU"/>
              </w:rPr>
            </w:pPr>
            <w:r w:rsidRPr="00221C6C">
              <w:rPr>
                <w:sz w:val="22"/>
                <w:lang w:eastAsia="en-AU"/>
              </w:rPr>
              <w:t>B. 9-13</w:t>
            </w:r>
          </w:p>
          <w:p w:rsidR="003217B9" w:rsidRPr="00221C6C" w:rsidRDefault="003217B9" w:rsidP="004368E0">
            <w:pPr>
              <w:spacing w:after="0"/>
              <w:jc w:val="left"/>
              <w:cnfStyle w:val="000000100000" w:firstRow="0" w:lastRow="0" w:firstColumn="0" w:lastColumn="0" w:oddVBand="0" w:evenVBand="0" w:oddHBand="1" w:evenHBand="0" w:firstRowFirstColumn="0" w:firstRowLastColumn="0" w:lastRowFirstColumn="0" w:lastRowLastColumn="0"/>
              <w:rPr>
                <w:sz w:val="22"/>
                <w:lang w:eastAsia="en-AU"/>
              </w:rPr>
            </w:pPr>
            <w:r w:rsidRPr="00221C6C">
              <w:rPr>
                <w:sz w:val="22"/>
                <w:lang w:eastAsia="en-AU"/>
              </w:rPr>
              <w:t>C. 14-18</w:t>
            </w:r>
          </w:p>
          <w:p w:rsidR="003217B9" w:rsidRPr="00221C6C" w:rsidRDefault="003217B9" w:rsidP="004368E0">
            <w:pPr>
              <w:spacing w:after="0"/>
              <w:jc w:val="left"/>
              <w:cnfStyle w:val="000000100000" w:firstRow="0" w:lastRow="0" w:firstColumn="0" w:lastColumn="0" w:oddVBand="0" w:evenVBand="0" w:oddHBand="1" w:evenHBand="0" w:firstRowFirstColumn="0" w:firstRowLastColumn="0" w:lastRowFirstColumn="0" w:lastRowLastColumn="0"/>
              <w:rPr>
                <w:sz w:val="22"/>
                <w:lang w:eastAsia="en-AU"/>
              </w:rPr>
            </w:pPr>
            <w:r w:rsidRPr="00221C6C">
              <w:rPr>
                <w:sz w:val="22"/>
                <w:lang w:eastAsia="en-AU"/>
              </w:rPr>
              <w:t>D. 19-38</w:t>
            </w:r>
          </w:p>
        </w:tc>
        <w:tc>
          <w:tcPr>
            <w:tcW w:w="1734" w:type="dxa"/>
            <w:tcBorders>
              <w:top w:val="none" w:sz="0" w:space="0" w:color="auto"/>
              <w:bottom w:val="none" w:sz="0" w:space="0" w:color="auto"/>
            </w:tcBorders>
            <w:vAlign w:val="center"/>
          </w:tcPr>
          <w:p w:rsidR="003217B9" w:rsidRPr="00221C6C" w:rsidRDefault="003217B9" w:rsidP="004368E0">
            <w:pPr>
              <w:spacing w:after="0"/>
              <w:jc w:val="left"/>
              <w:cnfStyle w:val="000000100000" w:firstRow="0" w:lastRow="0" w:firstColumn="0" w:lastColumn="0" w:oddVBand="0" w:evenVBand="0" w:oddHBand="1" w:evenHBand="0" w:firstRowFirstColumn="0" w:firstRowLastColumn="0" w:lastRowFirstColumn="0" w:lastRowLastColumn="0"/>
              <w:rPr>
                <w:sz w:val="22"/>
                <w:lang w:eastAsia="en-AU"/>
              </w:rPr>
            </w:pPr>
            <w:r w:rsidRPr="00221C6C">
              <w:rPr>
                <w:sz w:val="22"/>
                <w:lang w:eastAsia="en-AU"/>
              </w:rPr>
              <w:t>Rating A, B, C, D from the total score.</w:t>
            </w:r>
          </w:p>
        </w:tc>
      </w:tr>
    </w:tbl>
    <w:p w:rsidR="00EE4C64" w:rsidRDefault="005A751E" w:rsidP="00EE4C64">
      <w:pPr>
        <w:pStyle w:val="Caption"/>
        <w:keepNext/>
      </w:pPr>
      <w:bookmarkStart w:id="318" w:name="_Toc495416334"/>
      <w:bookmarkStart w:id="319" w:name="Tab0502"/>
      <w:bookmarkStart w:id="320" w:name="_Hlk484345312"/>
      <w:bookmarkStart w:id="321" w:name="_Toc478568247"/>
      <w:r>
        <w:t>Table 5.</w:t>
      </w:r>
      <w:r w:rsidR="009A3F5A">
        <w:fldChar w:fldCharType="begin"/>
      </w:r>
      <w:r w:rsidR="009A3F5A">
        <w:instrText xml:space="preserve"> SEQ Table_5. \* ARABIC </w:instrText>
      </w:r>
      <w:r w:rsidR="009A3F5A">
        <w:fldChar w:fldCharType="separate"/>
      </w:r>
      <w:r w:rsidR="00856E49">
        <w:rPr>
          <w:noProof/>
        </w:rPr>
        <w:t>2</w:t>
      </w:r>
      <w:r w:rsidR="009A3F5A">
        <w:rPr>
          <w:noProof/>
        </w:rPr>
        <w:fldChar w:fldCharType="end"/>
      </w:r>
      <w:r>
        <w:t xml:space="preserve">: </w:t>
      </w:r>
      <w:r w:rsidRPr="005A751E">
        <w:t>BEH Domain questions, ratings and scoring (weighting)</w:t>
      </w:r>
      <w:bookmarkEnd w:id="318"/>
    </w:p>
    <w:tbl>
      <w:tblPr>
        <w:tblStyle w:val="GridTable1Light-Accent11"/>
        <w:tblW w:w="0" w:type="auto"/>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1E0" w:firstRow="1" w:lastRow="1" w:firstColumn="1" w:lastColumn="1" w:noHBand="0" w:noVBand="0"/>
        <w:tblDescription w:val="Table 5.2 is a list of the ratings and score (weightings) for questions in the Behaviour (BEH) domain. This table is to be read left to right, top to bottom."/>
      </w:tblPr>
      <w:tblGrid>
        <w:gridCol w:w="2235"/>
        <w:gridCol w:w="1275"/>
        <w:gridCol w:w="2268"/>
      </w:tblGrid>
      <w:tr w:rsidR="003217B9" w:rsidRPr="00D72F33" w:rsidTr="005A75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Borders>
              <w:bottom w:val="none" w:sz="0" w:space="0" w:color="auto"/>
            </w:tcBorders>
            <w:shd w:val="clear" w:color="auto" w:fill="5B9BD5" w:themeFill="accent5"/>
            <w:hideMark/>
          </w:tcPr>
          <w:bookmarkEnd w:id="319"/>
          <w:p w:rsidR="003217B9" w:rsidRPr="004368E0" w:rsidRDefault="003217B9" w:rsidP="005A751E">
            <w:pPr>
              <w:spacing w:after="0"/>
              <w:rPr>
                <w:color w:val="FFFFFF" w:themeColor="background1"/>
                <w:szCs w:val="24"/>
                <w:lang w:eastAsia="en-AU"/>
              </w:rPr>
            </w:pPr>
            <w:r w:rsidRPr="004368E0">
              <w:rPr>
                <w:color w:val="FFFFFF" w:themeColor="background1"/>
                <w:szCs w:val="24"/>
                <w:lang w:eastAsia="en-AU"/>
              </w:rPr>
              <w:t>ACFI Question</w:t>
            </w:r>
          </w:p>
        </w:tc>
        <w:tc>
          <w:tcPr>
            <w:tcW w:w="1275" w:type="dxa"/>
            <w:tcBorders>
              <w:bottom w:val="none" w:sz="0" w:space="0" w:color="auto"/>
            </w:tcBorders>
            <w:shd w:val="clear" w:color="auto" w:fill="5B9BD5" w:themeFill="accent5"/>
            <w:hideMark/>
          </w:tcPr>
          <w:p w:rsidR="003217B9" w:rsidRPr="004368E0" w:rsidRDefault="003217B9" w:rsidP="005A751E">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eastAsia="en-AU"/>
              </w:rPr>
            </w:pPr>
            <w:r w:rsidRPr="004368E0">
              <w:rPr>
                <w:color w:val="FFFFFF" w:themeColor="background1"/>
                <w:szCs w:val="24"/>
                <w:lang w:eastAsia="en-AU"/>
              </w:rPr>
              <w:t>Rating</w:t>
            </w:r>
          </w:p>
        </w:tc>
        <w:tc>
          <w:tcPr>
            <w:cnfStyle w:val="000100000000" w:firstRow="0" w:lastRow="0" w:firstColumn="0" w:lastColumn="1" w:oddVBand="0" w:evenVBand="0" w:oddHBand="0" w:evenHBand="0" w:firstRowFirstColumn="0" w:firstRowLastColumn="0" w:lastRowFirstColumn="0" w:lastRowLastColumn="0"/>
            <w:tcW w:w="2268" w:type="dxa"/>
            <w:tcBorders>
              <w:bottom w:val="none" w:sz="0" w:space="0" w:color="auto"/>
            </w:tcBorders>
            <w:shd w:val="clear" w:color="auto" w:fill="5B9BD5" w:themeFill="accent5"/>
            <w:hideMark/>
          </w:tcPr>
          <w:p w:rsidR="003217B9" w:rsidRPr="004368E0" w:rsidRDefault="003217B9" w:rsidP="005A751E">
            <w:pPr>
              <w:spacing w:after="0"/>
              <w:jc w:val="center"/>
              <w:rPr>
                <w:color w:val="FFFFFF" w:themeColor="background1"/>
                <w:szCs w:val="24"/>
                <w:lang w:eastAsia="en-AU"/>
              </w:rPr>
            </w:pPr>
            <w:r w:rsidRPr="004368E0">
              <w:rPr>
                <w:color w:val="FFFFFF" w:themeColor="background1"/>
                <w:szCs w:val="24"/>
                <w:lang w:eastAsia="en-AU"/>
              </w:rPr>
              <w:t>Score (Weightings)</w:t>
            </w:r>
          </w:p>
        </w:tc>
      </w:tr>
      <w:tr w:rsidR="003217B9" w:rsidRPr="00D72F33" w:rsidTr="005A751E">
        <w:tc>
          <w:tcPr>
            <w:cnfStyle w:val="001000000000" w:firstRow="0" w:lastRow="0" w:firstColumn="1" w:lastColumn="0" w:oddVBand="0" w:evenVBand="0" w:oddHBand="0" w:evenHBand="0" w:firstRowFirstColumn="0" w:firstRowLastColumn="0" w:lastRowFirstColumn="0" w:lastRowLastColumn="0"/>
            <w:tcW w:w="2235" w:type="dxa"/>
            <w:vMerge w:val="restart"/>
            <w:hideMark/>
          </w:tcPr>
          <w:p w:rsidR="003217B9" w:rsidRPr="00221C6C" w:rsidRDefault="003217B9" w:rsidP="005A751E">
            <w:pPr>
              <w:spacing w:after="0"/>
              <w:rPr>
                <w:rFonts w:cstheme="minorHAnsi"/>
                <w:sz w:val="22"/>
                <w:lang w:eastAsia="en-AU"/>
              </w:rPr>
            </w:pPr>
            <w:r w:rsidRPr="00221C6C">
              <w:rPr>
                <w:rFonts w:cstheme="minorHAnsi"/>
                <w:sz w:val="22"/>
                <w:lang w:eastAsia="en-AU"/>
              </w:rPr>
              <w:t>6 Cognition</w:t>
            </w:r>
          </w:p>
        </w:tc>
        <w:tc>
          <w:tcPr>
            <w:tcW w:w="1275" w:type="dxa"/>
            <w:hideMark/>
          </w:tcPr>
          <w:p w:rsidR="003217B9" w:rsidRPr="00221C6C" w:rsidRDefault="003217B9" w:rsidP="005A751E">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2"/>
                <w:lang w:eastAsia="en-AU"/>
              </w:rPr>
            </w:pPr>
            <w:r w:rsidRPr="00221C6C">
              <w:rPr>
                <w:rFonts w:cstheme="minorHAnsi"/>
                <w:sz w:val="22"/>
                <w:lang w:eastAsia="en-AU"/>
              </w:rPr>
              <w:t>A</w:t>
            </w:r>
          </w:p>
        </w:tc>
        <w:tc>
          <w:tcPr>
            <w:cnfStyle w:val="000100000000" w:firstRow="0" w:lastRow="0" w:firstColumn="0" w:lastColumn="1" w:oddVBand="0" w:evenVBand="0" w:oddHBand="0" w:evenHBand="0" w:firstRowFirstColumn="0" w:firstRowLastColumn="0" w:lastRowFirstColumn="0" w:lastRowLastColumn="0"/>
            <w:tcW w:w="2268" w:type="dxa"/>
            <w:hideMark/>
          </w:tcPr>
          <w:p w:rsidR="003217B9" w:rsidRPr="00221C6C" w:rsidRDefault="003217B9" w:rsidP="005A751E">
            <w:pPr>
              <w:spacing w:after="0"/>
              <w:jc w:val="center"/>
              <w:rPr>
                <w:rFonts w:cstheme="minorHAnsi"/>
                <w:b w:val="0"/>
                <w:sz w:val="22"/>
                <w:lang w:eastAsia="en-AU"/>
              </w:rPr>
            </w:pPr>
            <w:r w:rsidRPr="00221C6C">
              <w:rPr>
                <w:rFonts w:cstheme="minorHAnsi"/>
                <w:b w:val="0"/>
                <w:sz w:val="22"/>
                <w:lang w:eastAsia="en-AU"/>
              </w:rPr>
              <w:t>0</w:t>
            </w:r>
          </w:p>
        </w:tc>
      </w:tr>
      <w:tr w:rsidR="003217B9" w:rsidRPr="00D72F33" w:rsidTr="005A751E">
        <w:tc>
          <w:tcPr>
            <w:cnfStyle w:val="001000000000" w:firstRow="0" w:lastRow="0" w:firstColumn="1" w:lastColumn="0" w:oddVBand="0" w:evenVBand="0" w:oddHBand="0" w:evenHBand="0" w:firstRowFirstColumn="0" w:firstRowLastColumn="0" w:lastRowFirstColumn="0" w:lastRowLastColumn="0"/>
            <w:tcW w:w="2235" w:type="dxa"/>
            <w:vMerge/>
          </w:tcPr>
          <w:p w:rsidR="003217B9" w:rsidRPr="00221C6C" w:rsidRDefault="003217B9" w:rsidP="005A751E">
            <w:pPr>
              <w:spacing w:after="0"/>
              <w:rPr>
                <w:rFonts w:cstheme="minorHAnsi"/>
                <w:sz w:val="22"/>
                <w:lang w:eastAsia="en-AU"/>
              </w:rPr>
            </w:pPr>
          </w:p>
        </w:tc>
        <w:tc>
          <w:tcPr>
            <w:tcW w:w="1275" w:type="dxa"/>
            <w:hideMark/>
          </w:tcPr>
          <w:p w:rsidR="003217B9" w:rsidRPr="00221C6C" w:rsidRDefault="003217B9" w:rsidP="005A751E">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2"/>
                <w:lang w:eastAsia="en-AU"/>
              </w:rPr>
            </w:pPr>
            <w:r w:rsidRPr="00221C6C">
              <w:rPr>
                <w:rFonts w:cstheme="minorHAnsi"/>
                <w:sz w:val="22"/>
                <w:lang w:eastAsia="en-AU"/>
              </w:rPr>
              <w:t>B</w:t>
            </w:r>
          </w:p>
        </w:tc>
        <w:tc>
          <w:tcPr>
            <w:cnfStyle w:val="000100000000" w:firstRow="0" w:lastRow="0" w:firstColumn="0" w:lastColumn="1" w:oddVBand="0" w:evenVBand="0" w:oddHBand="0" w:evenHBand="0" w:firstRowFirstColumn="0" w:firstRowLastColumn="0" w:lastRowFirstColumn="0" w:lastRowLastColumn="0"/>
            <w:tcW w:w="2268" w:type="dxa"/>
          </w:tcPr>
          <w:p w:rsidR="003217B9" w:rsidRPr="00221C6C" w:rsidRDefault="003217B9" w:rsidP="005A751E">
            <w:pPr>
              <w:spacing w:after="0"/>
              <w:jc w:val="center"/>
              <w:rPr>
                <w:rFonts w:cstheme="minorHAnsi"/>
                <w:b w:val="0"/>
                <w:sz w:val="22"/>
                <w:lang w:eastAsia="en-AU"/>
              </w:rPr>
            </w:pPr>
            <w:r w:rsidRPr="00221C6C">
              <w:rPr>
                <w:rFonts w:cstheme="minorHAnsi"/>
                <w:b w:val="0"/>
                <w:sz w:val="22"/>
                <w:lang w:eastAsia="en-AU"/>
              </w:rPr>
              <w:t>6.98</w:t>
            </w:r>
          </w:p>
        </w:tc>
      </w:tr>
      <w:tr w:rsidR="003217B9" w:rsidRPr="00D72F33" w:rsidTr="005A751E">
        <w:tc>
          <w:tcPr>
            <w:cnfStyle w:val="001000000000" w:firstRow="0" w:lastRow="0" w:firstColumn="1" w:lastColumn="0" w:oddVBand="0" w:evenVBand="0" w:oddHBand="0" w:evenHBand="0" w:firstRowFirstColumn="0" w:firstRowLastColumn="0" w:lastRowFirstColumn="0" w:lastRowLastColumn="0"/>
            <w:tcW w:w="2235" w:type="dxa"/>
            <w:vMerge/>
          </w:tcPr>
          <w:p w:rsidR="003217B9" w:rsidRPr="00221C6C" w:rsidRDefault="003217B9" w:rsidP="005A751E">
            <w:pPr>
              <w:spacing w:after="0"/>
              <w:rPr>
                <w:rFonts w:cstheme="minorHAnsi"/>
                <w:sz w:val="22"/>
                <w:lang w:eastAsia="en-AU"/>
              </w:rPr>
            </w:pPr>
          </w:p>
        </w:tc>
        <w:tc>
          <w:tcPr>
            <w:tcW w:w="1275" w:type="dxa"/>
            <w:hideMark/>
          </w:tcPr>
          <w:p w:rsidR="003217B9" w:rsidRPr="00221C6C" w:rsidRDefault="003217B9" w:rsidP="005A751E">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2"/>
                <w:lang w:eastAsia="en-AU"/>
              </w:rPr>
            </w:pPr>
            <w:r w:rsidRPr="00221C6C">
              <w:rPr>
                <w:rFonts w:cstheme="minorHAnsi"/>
                <w:sz w:val="22"/>
                <w:lang w:eastAsia="en-AU"/>
              </w:rPr>
              <w:t>C</w:t>
            </w:r>
          </w:p>
        </w:tc>
        <w:tc>
          <w:tcPr>
            <w:cnfStyle w:val="000100000000" w:firstRow="0" w:lastRow="0" w:firstColumn="0" w:lastColumn="1" w:oddVBand="0" w:evenVBand="0" w:oddHBand="0" w:evenHBand="0" w:firstRowFirstColumn="0" w:firstRowLastColumn="0" w:lastRowFirstColumn="0" w:lastRowLastColumn="0"/>
            <w:tcW w:w="2268" w:type="dxa"/>
          </w:tcPr>
          <w:p w:rsidR="003217B9" w:rsidRPr="00221C6C" w:rsidRDefault="003217B9" w:rsidP="005A751E">
            <w:pPr>
              <w:spacing w:after="0"/>
              <w:jc w:val="center"/>
              <w:rPr>
                <w:rFonts w:cstheme="minorHAnsi"/>
                <w:b w:val="0"/>
                <w:sz w:val="22"/>
                <w:lang w:eastAsia="en-AU"/>
              </w:rPr>
            </w:pPr>
            <w:r w:rsidRPr="00221C6C">
              <w:rPr>
                <w:rFonts w:cstheme="minorHAnsi"/>
                <w:b w:val="0"/>
                <w:sz w:val="22"/>
                <w:lang w:eastAsia="en-AU"/>
              </w:rPr>
              <w:t>13.91</w:t>
            </w:r>
          </w:p>
        </w:tc>
      </w:tr>
      <w:tr w:rsidR="003217B9" w:rsidRPr="00D72F33" w:rsidTr="005A751E">
        <w:tc>
          <w:tcPr>
            <w:cnfStyle w:val="001000000000" w:firstRow="0" w:lastRow="0" w:firstColumn="1" w:lastColumn="0" w:oddVBand="0" w:evenVBand="0" w:oddHBand="0" w:evenHBand="0" w:firstRowFirstColumn="0" w:firstRowLastColumn="0" w:lastRowFirstColumn="0" w:lastRowLastColumn="0"/>
            <w:tcW w:w="2235" w:type="dxa"/>
            <w:vMerge/>
          </w:tcPr>
          <w:p w:rsidR="003217B9" w:rsidRPr="00221C6C" w:rsidRDefault="003217B9" w:rsidP="005A751E">
            <w:pPr>
              <w:spacing w:after="0"/>
              <w:rPr>
                <w:rFonts w:cstheme="minorHAnsi"/>
                <w:sz w:val="22"/>
                <w:lang w:eastAsia="en-AU"/>
              </w:rPr>
            </w:pPr>
          </w:p>
        </w:tc>
        <w:tc>
          <w:tcPr>
            <w:tcW w:w="1275" w:type="dxa"/>
            <w:hideMark/>
          </w:tcPr>
          <w:p w:rsidR="003217B9" w:rsidRPr="00221C6C" w:rsidRDefault="003217B9" w:rsidP="005A751E">
            <w:pPr>
              <w:spacing w:after="0"/>
              <w:jc w:val="center"/>
              <w:cnfStyle w:val="000000000000" w:firstRow="0" w:lastRow="0" w:firstColumn="0" w:lastColumn="0" w:oddVBand="0" w:evenVBand="0" w:oddHBand="0" w:evenHBand="0" w:firstRowFirstColumn="0" w:firstRowLastColumn="0" w:lastRowFirstColumn="0" w:lastRowLastColumn="0"/>
              <w:rPr>
                <w:rFonts w:cstheme="minorHAnsi"/>
                <w:b/>
                <w:sz w:val="22"/>
                <w:lang w:eastAsia="en-AU"/>
              </w:rPr>
            </w:pPr>
            <w:r w:rsidRPr="00221C6C">
              <w:rPr>
                <w:rFonts w:cstheme="minorHAnsi"/>
                <w:b/>
                <w:sz w:val="22"/>
                <w:lang w:eastAsia="en-AU"/>
              </w:rPr>
              <w:t>D</w:t>
            </w:r>
          </w:p>
        </w:tc>
        <w:tc>
          <w:tcPr>
            <w:cnfStyle w:val="000100000000" w:firstRow="0" w:lastRow="0" w:firstColumn="0" w:lastColumn="1" w:oddVBand="0" w:evenVBand="0" w:oddHBand="0" w:evenHBand="0" w:firstRowFirstColumn="0" w:firstRowLastColumn="0" w:lastRowFirstColumn="0" w:lastRowLastColumn="0"/>
            <w:tcW w:w="2268" w:type="dxa"/>
          </w:tcPr>
          <w:p w:rsidR="003217B9" w:rsidRPr="00221C6C" w:rsidRDefault="003217B9" w:rsidP="005A751E">
            <w:pPr>
              <w:spacing w:after="0"/>
              <w:jc w:val="center"/>
              <w:rPr>
                <w:rFonts w:cstheme="minorHAnsi"/>
                <w:sz w:val="22"/>
                <w:lang w:eastAsia="en-AU"/>
              </w:rPr>
            </w:pPr>
            <w:r w:rsidRPr="00221C6C">
              <w:rPr>
                <w:rFonts w:cstheme="minorHAnsi"/>
                <w:sz w:val="22"/>
                <w:lang w:eastAsia="en-AU"/>
              </w:rPr>
              <w:t>20.88</w:t>
            </w:r>
          </w:p>
        </w:tc>
      </w:tr>
      <w:tr w:rsidR="003217B9" w:rsidRPr="00D72F33" w:rsidTr="005A751E">
        <w:tc>
          <w:tcPr>
            <w:cnfStyle w:val="001000000000" w:firstRow="0" w:lastRow="0" w:firstColumn="1" w:lastColumn="0" w:oddVBand="0" w:evenVBand="0" w:oddHBand="0" w:evenHBand="0" w:firstRowFirstColumn="0" w:firstRowLastColumn="0" w:lastRowFirstColumn="0" w:lastRowLastColumn="0"/>
            <w:tcW w:w="2235" w:type="dxa"/>
            <w:vMerge w:val="restart"/>
            <w:hideMark/>
          </w:tcPr>
          <w:p w:rsidR="003217B9" w:rsidRPr="00221C6C" w:rsidRDefault="003217B9" w:rsidP="005A751E">
            <w:pPr>
              <w:spacing w:after="0"/>
              <w:rPr>
                <w:rFonts w:cstheme="minorHAnsi"/>
                <w:sz w:val="22"/>
                <w:lang w:eastAsia="en-AU"/>
              </w:rPr>
            </w:pPr>
            <w:r w:rsidRPr="00221C6C">
              <w:rPr>
                <w:rFonts w:cstheme="minorHAnsi"/>
                <w:sz w:val="22"/>
                <w:lang w:eastAsia="en-AU"/>
              </w:rPr>
              <w:t>7 Wandering</w:t>
            </w:r>
          </w:p>
        </w:tc>
        <w:tc>
          <w:tcPr>
            <w:tcW w:w="1275" w:type="dxa"/>
            <w:hideMark/>
          </w:tcPr>
          <w:p w:rsidR="003217B9" w:rsidRPr="00221C6C" w:rsidRDefault="003217B9" w:rsidP="005A751E">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2"/>
                <w:lang w:eastAsia="en-AU"/>
              </w:rPr>
            </w:pPr>
            <w:r w:rsidRPr="00221C6C">
              <w:rPr>
                <w:rFonts w:cstheme="minorHAnsi"/>
                <w:sz w:val="22"/>
                <w:lang w:eastAsia="en-AU"/>
              </w:rPr>
              <w:t>A</w:t>
            </w:r>
          </w:p>
        </w:tc>
        <w:tc>
          <w:tcPr>
            <w:cnfStyle w:val="000100000000" w:firstRow="0" w:lastRow="0" w:firstColumn="0" w:lastColumn="1" w:oddVBand="0" w:evenVBand="0" w:oddHBand="0" w:evenHBand="0" w:firstRowFirstColumn="0" w:firstRowLastColumn="0" w:lastRowFirstColumn="0" w:lastRowLastColumn="0"/>
            <w:tcW w:w="2268" w:type="dxa"/>
          </w:tcPr>
          <w:p w:rsidR="003217B9" w:rsidRPr="00221C6C" w:rsidRDefault="003217B9" w:rsidP="005A751E">
            <w:pPr>
              <w:spacing w:after="0"/>
              <w:jc w:val="center"/>
              <w:rPr>
                <w:rFonts w:cstheme="minorHAnsi"/>
                <w:b w:val="0"/>
                <w:sz w:val="22"/>
                <w:lang w:eastAsia="en-AU"/>
              </w:rPr>
            </w:pPr>
            <w:r w:rsidRPr="00221C6C">
              <w:rPr>
                <w:rFonts w:cstheme="minorHAnsi"/>
                <w:b w:val="0"/>
                <w:sz w:val="22"/>
                <w:lang w:eastAsia="en-AU"/>
              </w:rPr>
              <w:t>0</w:t>
            </w:r>
          </w:p>
        </w:tc>
      </w:tr>
      <w:tr w:rsidR="003217B9" w:rsidRPr="00D72F33" w:rsidTr="005A751E">
        <w:tc>
          <w:tcPr>
            <w:cnfStyle w:val="001000000000" w:firstRow="0" w:lastRow="0" w:firstColumn="1" w:lastColumn="0" w:oddVBand="0" w:evenVBand="0" w:oddHBand="0" w:evenHBand="0" w:firstRowFirstColumn="0" w:firstRowLastColumn="0" w:lastRowFirstColumn="0" w:lastRowLastColumn="0"/>
            <w:tcW w:w="2235" w:type="dxa"/>
            <w:vMerge/>
          </w:tcPr>
          <w:p w:rsidR="003217B9" w:rsidRPr="00221C6C" w:rsidRDefault="003217B9" w:rsidP="005A751E">
            <w:pPr>
              <w:spacing w:after="0"/>
              <w:rPr>
                <w:rFonts w:cstheme="minorHAnsi"/>
                <w:sz w:val="22"/>
                <w:lang w:eastAsia="en-AU"/>
              </w:rPr>
            </w:pPr>
          </w:p>
        </w:tc>
        <w:tc>
          <w:tcPr>
            <w:tcW w:w="1275" w:type="dxa"/>
            <w:hideMark/>
          </w:tcPr>
          <w:p w:rsidR="003217B9" w:rsidRPr="00221C6C" w:rsidRDefault="003217B9" w:rsidP="005A751E">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2"/>
                <w:lang w:eastAsia="en-AU"/>
              </w:rPr>
            </w:pPr>
            <w:r w:rsidRPr="00221C6C">
              <w:rPr>
                <w:rFonts w:cstheme="minorHAnsi"/>
                <w:sz w:val="22"/>
                <w:lang w:eastAsia="en-AU"/>
              </w:rPr>
              <w:t>B</w:t>
            </w:r>
          </w:p>
        </w:tc>
        <w:tc>
          <w:tcPr>
            <w:cnfStyle w:val="000100000000" w:firstRow="0" w:lastRow="0" w:firstColumn="0" w:lastColumn="1" w:oddVBand="0" w:evenVBand="0" w:oddHBand="0" w:evenHBand="0" w:firstRowFirstColumn="0" w:firstRowLastColumn="0" w:lastRowFirstColumn="0" w:lastRowLastColumn="0"/>
            <w:tcW w:w="2268" w:type="dxa"/>
          </w:tcPr>
          <w:p w:rsidR="003217B9" w:rsidRPr="00221C6C" w:rsidRDefault="003217B9" w:rsidP="005A751E">
            <w:pPr>
              <w:spacing w:after="0"/>
              <w:jc w:val="center"/>
              <w:rPr>
                <w:rFonts w:cstheme="minorHAnsi"/>
                <w:b w:val="0"/>
                <w:sz w:val="22"/>
                <w:lang w:eastAsia="en-AU"/>
              </w:rPr>
            </w:pPr>
            <w:r w:rsidRPr="00221C6C">
              <w:rPr>
                <w:rFonts w:cstheme="minorHAnsi"/>
                <w:b w:val="0"/>
                <w:sz w:val="22"/>
                <w:lang w:eastAsia="en-AU"/>
              </w:rPr>
              <w:t>5.91</w:t>
            </w:r>
          </w:p>
        </w:tc>
      </w:tr>
      <w:tr w:rsidR="003217B9" w:rsidRPr="00D72F33" w:rsidTr="005A751E">
        <w:tc>
          <w:tcPr>
            <w:cnfStyle w:val="001000000000" w:firstRow="0" w:lastRow="0" w:firstColumn="1" w:lastColumn="0" w:oddVBand="0" w:evenVBand="0" w:oddHBand="0" w:evenHBand="0" w:firstRowFirstColumn="0" w:firstRowLastColumn="0" w:lastRowFirstColumn="0" w:lastRowLastColumn="0"/>
            <w:tcW w:w="2235" w:type="dxa"/>
            <w:vMerge/>
          </w:tcPr>
          <w:p w:rsidR="003217B9" w:rsidRPr="00221C6C" w:rsidRDefault="003217B9" w:rsidP="005A751E">
            <w:pPr>
              <w:spacing w:after="0"/>
              <w:rPr>
                <w:rFonts w:cstheme="minorHAnsi"/>
                <w:sz w:val="22"/>
                <w:lang w:eastAsia="en-AU"/>
              </w:rPr>
            </w:pPr>
          </w:p>
        </w:tc>
        <w:tc>
          <w:tcPr>
            <w:tcW w:w="1275" w:type="dxa"/>
            <w:hideMark/>
          </w:tcPr>
          <w:p w:rsidR="003217B9" w:rsidRPr="00221C6C" w:rsidRDefault="003217B9" w:rsidP="005A751E">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2"/>
                <w:lang w:eastAsia="en-AU"/>
              </w:rPr>
            </w:pPr>
            <w:r w:rsidRPr="00221C6C">
              <w:rPr>
                <w:rFonts w:cstheme="minorHAnsi"/>
                <w:sz w:val="22"/>
                <w:lang w:eastAsia="en-AU"/>
              </w:rPr>
              <w:t>C</w:t>
            </w:r>
          </w:p>
        </w:tc>
        <w:tc>
          <w:tcPr>
            <w:cnfStyle w:val="000100000000" w:firstRow="0" w:lastRow="0" w:firstColumn="0" w:lastColumn="1" w:oddVBand="0" w:evenVBand="0" w:oddHBand="0" w:evenHBand="0" w:firstRowFirstColumn="0" w:firstRowLastColumn="0" w:lastRowFirstColumn="0" w:lastRowLastColumn="0"/>
            <w:tcW w:w="2268" w:type="dxa"/>
          </w:tcPr>
          <w:p w:rsidR="003217B9" w:rsidRPr="00221C6C" w:rsidRDefault="003217B9" w:rsidP="005A751E">
            <w:pPr>
              <w:spacing w:after="0"/>
              <w:jc w:val="center"/>
              <w:rPr>
                <w:rFonts w:cstheme="minorHAnsi"/>
                <w:b w:val="0"/>
                <w:sz w:val="22"/>
                <w:lang w:eastAsia="en-AU"/>
              </w:rPr>
            </w:pPr>
            <w:r w:rsidRPr="00221C6C">
              <w:rPr>
                <w:rFonts w:cstheme="minorHAnsi"/>
                <w:b w:val="0"/>
                <w:sz w:val="22"/>
                <w:lang w:eastAsia="en-AU"/>
              </w:rPr>
              <w:t>11.82</w:t>
            </w:r>
          </w:p>
        </w:tc>
      </w:tr>
      <w:tr w:rsidR="003217B9" w:rsidRPr="00D72F33" w:rsidTr="005A751E">
        <w:tc>
          <w:tcPr>
            <w:cnfStyle w:val="001000000000" w:firstRow="0" w:lastRow="0" w:firstColumn="1" w:lastColumn="0" w:oddVBand="0" w:evenVBand="0" w:oddHBand="0" w:evenHBand="0" w:firstRowFirstColumn="0" w:firstRowLastColumn="0" w:lastRowFirstColumn="0" w:lastRowLastColumn="0"/>
            <w:tcW w:w="2235" w:type="dxa"/>
            <w:vMerge/>
          </w:tcPr>
          <w:p w:rsidR="003217B9" w:rsidRPr="00221C6C" w:rsidRDefault="003217B9" w:rsidP="005A751E">
            <w:pPr>
              <w:spacing w:after="0"/>
              <w:rPr>
                <w:rFonts w:cstheme="minorHAnsi"/>
                <w:sz w:val="22"/>
                <w:lang w:eastAsia="en-AU"/>
              </w:rPr>
            </w:pPr>
          </w:p>
        </w:tc>
        <w:tc>
          <w:tcPr>
            <w:tcW w:w="1275" w:type="dxa"/>
            <w:hideMark/>
          </w:tcPr>
          <w:p w:rsidR="003217B9" w:rsidRPr="00221C6C" w:rsidRDefault="003217B9" w:rsidP="005A751E">
            <w:pPr>
              <w:spacing w:after="0"/>
              <w:jc w:val="center"/>
              <w:cnfStyle w:val="000000000000" w:firstRow="0" w:lastRow="0" w:firstColumn="0" w:lastColumn="0" w:oddVBand="0" w:evenVBand="0" w:oddHBand="0" w:evenHBand="0" w:firstRowFirstColumn="0" w:firstRowLastColumn="0" w:lastRowFirstColumn="0" w:lastRowLastColumn="0"/>
              <w:rPr>
                <w:rFonts w:cstheme="minorHAnsi"/>
                <w:b/>
                <w:sz w:val="22"/>
                <w:lang w:eastAsia="en-AU"/>
              </w:rPr>
            </w:pPr>
            <w:r w:rsidRPr="00221C6C">
              <w:rPr>
                <w:rFonts w:cstheme="minorHAnsi"/>
                <w:b/>
                <w:sz w:val="22"/>
                <w:lang w:eastAsia="en-AU"/>
              </w:rPr>
              <w:t>D</w:t>
            </w:r>
          </w:p>
        </w:tc>
        <w:tc>
          <w:tcPr>
            <w:cnfStyle w:val="000100000000" w:firstRow="0" w:lastRow="0" w:firstColumn="0" w:lastColumn="1" w:oddVBand="0" w:evenVBand="0" w:oddHBand="0" w:evenHBand="0" w:firstRowFirstColumn="0" w:firstRowLastColumn="0" w:lastRowFirstColumn="0" w:lastRowLastColumn="0"/>
            <w:tcW w:w="2268" w:type="dxa"/>
          </w:tcPr>
          <w:p w:rsidR="003217B9" w:rsidRPr="00221C6C" w:rsidRDefault="003217B9" w:rsidP="005A751E">
            <w:pPr>
              <w:spacing w:after="0"/>
              <w:jc w:val="center"/>
              <w:rPr>
                <w:rFonts w:cstheme="minorHAnsi"/>
                <w:sz w:val="22"/>
                <w:lang w:eastAsia="en-AU"/>
              </w:rPr>
            </w:pPr>
            <w:r w:rsidRPr="00221C6C">
              <w:rPr>
                <w:rFonts w:cstheme="minorHAnsi"/>
                <w:sz w:val="22"/>
                <w:lang w:eastAsia="en-AU"/>
              </w:rPr>
              <w:t>17.72</w:t>
            </w:r>
          </w:p>
        </w:tc>
      </w:tr>
      <w:tr w:rsidR="003217B9" w:rsidRPr="00D72F33" w:rsidTr="005A751E">
        <w:tc>
          <w:tcPr>
            <w:cnfStyle w:val="001000000000" w:firstRow="0" w:lastRow="0" w:firstColumn="1" w:lastColumn="0" w:oddVBand="0" w:evenVBand="0" w:oddHBand="0" w:evenHBand="0" w:firstRowFirstColumn="0" w:firstRowLastColumn="0" w:lastRowFirstColumn="0" w:lastRowLastColumn="0"/>
            <w:tcW w:w="2235" w:type="dxa"/>
            <w:vMerge w:val="restart"/>
            <w:hideMark/>
          </w:tcPr>
          <w:p w:rsidR="003217B9" w:rsidRPr="00221C6C" w:rsidRDefault="003217B9" w:rsidP="005A751E">
            <w:pPr>
              <w:spacing w:after="0"/>
              <w:rPr>
                <w:rFonts w:cstheme="minorHAnsi"/>
                <w:sz w:val="22"/>
                <w:lang w:eastAsia="en-AU"/>
              </w:rPr>
            </w:pPr>
            <w:r w:rsidRPr="00221C6C">
              <w:rPr>
                <w:rFonts w:cstheme="minorHAnsi"/>
                <w:sz w:val="22"/>
                <w:lang w:eastAsia="en-AU"/>
              </w:rPr>
              <w:t>8 Verbal</w:t>
            </w:r>
          </w:p>
        </w:tc>
        <w:tc>
          <w:tcPr>
            <w:tcW w:w="1275" w:type="dxa"/>
            <w:hideMark/>
          </w:tcPr>
          <w:p w:rsidR="003217B9" w:rsidRPr="00221C6C" w:rsidRDefault="003217B9" w:rsidP="005A751E">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2"/>
                <w:lang w:eastAsia="en-AU"/>
              </w:rPr>
            </w:pPr>
            <w:r w:rsidRPr="00221C6C">
              <w:rPr>
                <w:rFonts w:cstheme="minorHAnsi"/>
                <w:sz w:val="22"/>
                <w:lang w:eastAsia="en-AU"/>
              </w:rPr>
              <w:t>A</w:t>
            </w:r>
          </w:p>
        </w:tc>
        <w:tc>
          <w:tcPr>
            <w:cnfStyle w:val="000100000000" w:firstRow="0" w:lastRow="0" w:firstColumn="0" w:lastColumn="1" w:oddVBand="0" w:evenVBand="0" w:oddHBand="0" w:evenHBand="0" w:firstRowFirstColumn="0" w:firstRowLastColumn="0" w:lastRowFirstColumn="0" w:lastRowLastColumn="0"/>
            <w:tcW w:w="2268" w:type="dxa"/>
          </w:tcPr>
          <w:p w:rsidR="003217B9" w:rsidRPr="00221C6C" w:rsidRDefault="003217B9" w:rsidP="005A751E">
            <w:pPr>
              <w:spacing w:after="0"/>
              <w:jc w:val="center"/>
              <w:rPr>
                <w:rFonts w:cstheme="minorHAnsi"/>
                <w:b w:val="0"/>
                <w:sz w:val="22"/>
                <w:lang w:eastAsia="en-AU"/>
              </w:rPr>
            </w:pPr>
            <w:r w:rsidRPr="00221C6C">
              <w:rPr>
                <w:rFonts w:cstheme="minorHAnsi"/>
                <w:b w:val="0"/>
                <w:sz w:val="22"/>
                <w:lang w:eastAsia="en-AU"/>
              </w:rPr>
              <w:t>0</w:t>
            </w:r>
          </w:p>
        </w:tc>
      </w:tr>
      <w:tr w:rsidR="003217B9" w:rsidRPr="00D72F33" w:rsidTr="005A751E">
        <w:tc>
          <w:tcPr>
            <w:cnfStyle w:val="001000000000" w:firstRow="0" w:lastRow="0" w:firstColumn="1" w:lastColumn="0" w:oddVBand="0" w:evenVBand="0" w:oddHBand="0" w:evenHBand="0" w:firstRowFirstColumn="0" w:firstRowLastColumn="0" w:lastRowFirstColumn="0" w:lastRowLastColumn="0"/>
            <w:tcW w:w="2235" w:type="dxa"/>
            <w:vMerge/>
          </w:tcPr>
          <w:p w:rsidR="003217B9" w:rsidRPr="00221C6C" w:rsidRDefault="003217B9" w:rsidP="005A751E">
            <w:pPr>
              <w:spacing w:after="0"/>
              <w:rPr>
                <w:rFonts w:cstheme="minorHAnsi"/>
                <w:sz w:val="22"/>
                <w:lang w:eastAsia="en-AU"/>
              </w:rPr>
            </w:pPr>
          </w:p>
        </w:tc>
        <w:tc>
          <w:tcPr>
            <w:tcW w:w="1275" w:type="dxa"/>
            <w:hideMark/>
          </w:tcPr>
          <w:p w:rsidR="003217B9" w:rsidRPr="00221C6C" w:rsidRDefault="003217B9" w:rsidP="005A751E">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2"/>
                <w:lang w:eastAsia="en-AU"/>
              </w:rPr>
            </w:pPr>
            <w:r w:rsidRPr="00221C6C">
              <w:rPr>
                <w:rFonts w:cstheme="minorHAnsi"/>
                <w:sz w:val="22"/>
                <w:lang w:eastAsia="en-AU"/>
              </w:rPr>
              <w:t>B</w:t>
            </w:r>
          </w:p>
        </w:tc>
        <w:tc>
          <w:tcPr>
            <w:cnfStyle w:val="000100000000" w:firstRow="0" w:lastRow="0" w:firstColumn="0" w:lastColumn="1" w:oddVBand="0" w:evenVBand="0" w:oddHBand="0" w:evenHBand="0" w:firstRowFirstColumn="0" w:firstRowLastColumn="0" w:lastRowFirstColumn="0" w:lastRowLastColumn="0"/>
            <w:tcW w:w="2268" w:type="dxa"/>
          </w:tcPr>
          <w:p w:rsidR="003217B9" w:rsidRPr="00221C6C" w:rsidRDefault="003217B9" w:rsidP="005A751E">
            <w:pPr>
              <w:spacing w:after="0"/>
              <w:jc w:val="center"/>
              <w:rPr>
                <w:rFonts w:cstheme="minorHAnsi"/>
                <w:b w:val="0"/>
                <w:sz w:val="22"/>
                <w:lang w:eastAsia="en-AU"/>
              </w:rPr>
            </w:pPr>
            <w:r w:rsidRPr="00221C6C">
              <w:rPr>
                <w:rFonts w:cstheme="minorHAnsi"/>
                <w:b w:val="0"/>
                <w:sz w:val="22"/>
                <w:lang w:eastAsia="en-AU"/>
              </w:rPr>
              <w:t>7.04</w:t>
            </w:r>
          </w:p>
        </w:tc>
      </w:tr>
      <w:tr w:rsidR="003217B9" w:rsidRPr="00D72F33" w:rsidTr="005A751E">
        <w:tc>
          <w:tcPr>
            <w:cnfStyle w:val="001000000000" w:firstRow="0" w:lastRow="0" w:firstColumn="1" w:lastColumn="0" w:oddVBand="0" w:evenVBand="0" w:oddHBand="0" w:evenHBand="0" w:firstRowFirstColumn="0" w:firstRowLastColumn="0" w:lastRowFirstColumn="0" w:lastRowLastColumn="0"/>
            <w:tcW w:w="2235" w:type="dxa"/>
            <w:vMerge/>
          </w:tcPr>
          <w:p w:rsidR="003217B9" w:rsidRPr="00221C6C" w:rsidRDefault="003217B9" w:rsidP="005A751E">
            <w:pPr>
              <w:spacing w:after="0"/>
              <w:rPr>
                <w:rFonts w:cstheme="minorHAnsi"/>
                <w:sz w:val="22"/>
                <w:lang w:eastAsia="en-AU"/>
              </w:rPr>
            </w:pPr>
          </w:p>
        </w:tc>
        <w:tc>
          <w:tcPr>
            <w:tcW w:w="1275" w:type="dxa"/>
            <w:hideMark/>
          </w:tcPr>
          <w:p w:rsidR="003217B9" w:rsidRPr="00221C6C" w:rsidRDefault="003217B9" w:rsidP="005A751E">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2"/>
                <w:lang w:eastAsia="en-AU"/>
              </w:rPr>
            </w:pPr>
            <w:r w:rsidRPr="00221C6C">
              <w:rPr>
                <w:rFonts w:cstheme="minorHAnsi"/>
                <w:sz w:val="22"/>
                <w:lang w:eastAsia="en-AU"/>
              </w:rPr>
              <w:t>C</w:t>
            </w:r>
          </w:p>
        </w:tc>
        <w:tc>
          <w:tcPr>
            <w:cnfStyle w:val="000100000000" w:firstRow="0" w:lastRow="0" w:firstColumn="0" w:lastColumn="1" w:oddVBand="0" w:evenVBand="0" w:oddHBand="0" w:evenHBand="0" w:firstRowFirstColumn="0" w:firstRowLastColumn="0" w:lastRowFirstColumn="0" w:lastRowLastColumn="0"/>
            <w:tcW w:w="2268" w:type="dxa"/>
          </w:tcPr>
          <w:p w:rsidR="003217B9" w:rsidRPr="00221C6C" w:rsidRDefault="003217B9" w:rsidP="005A751E">
            <w:pPr>
              <w:spacing w:after="0"/>
              <w:jc w:val="center"/>
              <w:rPr>
                <w:rFonts w:cstheme="minorHAnsi"/>
                <w:b w:val="0"/>
                <w:sz w:val="22"/>
                <w:lang w:eastAsia="en-AU"/>
              </w:rPr>
            </w:pPr>
            <w:r w:rsidRPr="00221C6C">
              <w:rPr>
                <w:rFonts w:cstheme="minorHAnsi"/>
                <w:b w:val="0"/>
                <w:sz w:val="22"/>
                <w:lang w:eastAsia="en-AU"/>
              </w:rPr>
              <w:t>14.10</w:t>
            </w:r>
          </w:p>
        </w:tc>
      </w:tr>
      <w:tr w:rsidR="003217B9" w:rsidRPr="00D72F33" w:rsidTr="005A751E">
        <w:tc>
          <w:tcPr>
            <w:cnfStyle w:val="001000000000" w:firstRow="0" w:lastRow="0" w:firstColumn="1" w:lastColumn="0" w:oddVBand="0" w:evenVBand="0" w:oddHBand="0" w:evenHBand="0" w:firstRowFirstColumn="0" w:firstRowLastColumn="0" w:lastRowFirstColumn="0" w:lastRowLastColumn="0"/>
            <w:tcW w:w="2235" w:type="dxa"/>
            <w:vMerge/>
          </w:tcPr>
          <w:p w:rsidR="003217B9" w:rsidRPr="00221C6C" w:rsidRDefault="003217B9" w:rsidP="005A751E">
            <w:pPr>
              <w:spacing w:after="0"/>
              <w:rPr>
                <w:rFonts w:cstheme="minorHAnsi"/>
                <w:sz w:val="22"/>
                <w:lang w:eastAsia="en-AU"/>
              </w:rPr>
            </w:pPr>
          </w:p>
        </w:tc>
        <w:tc>
          <w:tcPr>
            <w:tcW w:w="1275" w:type="dxa"/>
            <w:hideMark/>
          </w:tcPr>
          <w:p w:rsidR="003217B9" w:rsidRPr="00221C6C" w:rsidRDefault="003217B9" w:rsidP="005A751E">
            <w:pPr>
              <w:spacing w:after="0"/>
              <w:jc w:val="center"/>
              <w:cnfStyle w:val="000000000000" w:firstRow="0" w:lastRow="0" w:firstColumn="0" w:lastColumn="0" w:oddVBand="0" w:evenVBand="0" w:oddHBand="0" w:evenHBand="0" w:firstRowFirstColumn="0" w:firstRowLastColumn="0" w:lastRowFirstColumn="0" w:lastRowLastColumn="0"/>
              <w:rPr>
                <w:rFonts w:cstheme="minorHAnsi"/>
                <w:b/>
                <w:sz w:val="22"/>
                <w:lang w:eastAsia="en-AU"/>
              </w:rPr>
            </w:pPr>
            <w:r w:rsidRPr="00221C6C">
              <w:rPr>
                <w:rFonts w:cstheme="minorHAnsi"/>
                <w:b/>
                <w:sz w:val="22"/>
                <w:lang w:eastAsia="en-AU"/>
              </w:rPr>
              <w:t>D</w:t>
            </w:r>
          </w:p>
        </w:tc>
        <w:tc>
          <w:tcPr>
            <w:cnfStyle w:val="000100000000" w:firstRow="0" w:lastRow="0" w:firstColumn="0" w:lastColumn="1" w:oddVBand="0" w:evenVBand="0" w:oddHBand="0" w:evenHBand="0" w:firstRowFirstColumn="0" w:firstRowLastColumn="0" w:lastRowFirstColumn="0" w:lastRowLastColumn="0"/>
            <w:tcW w:w="2268" w:type="dxa"/>
          </w:tcPr>
          <w:p w:rsidR="003217B9" w:rsidRPr="00221C6C" w:rsidRDefault="003217B9" w:rsidP="005A751E">
            <w:pPr>
              <w:spacing w:after="0"/>
              <w:jc w:val="center"/>
              <w:rPr>
                <w:rFonts w:cstheme="minorHAnsi"/>
                <w:sz w:val="22"/>
                <w:lang w:eastAsia="en-AU"/>
              </w:rPr>
            </w:pPr>
            <w:r w:rsidRPr="00221C6C">
              <w:rPr>
                <w:rFonts w:cstheme="minorHAnsi"/>
                <w:sz w:val="22"/>
                <w:lang w:eastAsia="en-AU"/>
              </w:rPr>
              <w:t>21.14</w:t>
            </w:r>
          </w:p>
        </w:tc>
      </w:tr>
      <w:tr w:rsidR="003217B9" w:rsidRPr="00D72F33" w:rsidTr="005A751E">
        <w:tc>
          <w:tcPr>
            <w:cnfStyle w:val="001000000000" w:firstRow="0" w:lastRow="0" w:firstColumn="1" w:lastColumn="0" w:oddVBand="0" w:evenVBand="0" w:oddHBand="0" w:evenHBand="0" w:firstRowFirstColumn="0" w:firstRowLastColumn="0" w:lastRowFirstColumn="0" w:lastRowLastColumn="0"/>
            <w:tcW w:w="2235" w:type="dxa"/>
            <w:vMerge w:val="restart"/>
            <w:hideMark/>
          </w:tcPr>
          <w:p w:rsidR="003217B9" w:rsidRPr="00221C6C" w:rsidRDefault="003217B9" w:rsidP="005A751E">
            <w:pPr>
              <w:spacing w:after="0"/>
              <w:rPr>
                <w:rFonts w:cstheme="minorHAnsi"/>
                <w:sz w:val="22"/>
                <w:lang w:eastAsia="en-AU"/>
              </w:rPr>
            </w:pPr>
            <w:r w:rsidRPr="00221C6C">
              <w:rPr>
                <w:rFonts w:cstheme="minorHAnsi"/>
                <w:sz w:val="22"/>
                <w:lang w:eastAsia="en-AU"/>
              </w:rPr>
              <w:t>9 Physical</w:t>
            </w:r>
          </w:p>
        </w:tc>
        <w:tc>
          <w:tcPr>
            <w:tcW w:w="1275" w:type="dxa"/>
            <w:hideMark/>
          </w:tcPr>
          <w:p w:rsidR="003217B9" w:rsidRPr="00221C6C" w:rsidRDefault="003217B9" w:rsidP="005A751E">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2"/>
                <w:lang w:eastAsia="en-AU"/>
              </w:rPr>
            </w:pPr>
            <w:r w:rsidRPr="00221C6C">
              <w:rPr>
                <w:rFonts w:cstheme="minorHAnsi"/>
                <w:sz w:val="22"/>
                <w:lang w:eastAsia="en-AU"/>
              </w:rPr>
              <w:t>A</w:t>
            </w:r>
          </w:p>
        </w:tc>
        <w:tc>
          <w:tcPr>
            <w:cnfStyle w:val="000100000000" w:firstRow="0" w:lastRow="0" w:firstColumn="0" w:lastColumn="1" w:oddVBand="0" w:evenVBand="0" w:oddHBand="0" w:evenHBand="0" w:firstRowFirstColumn="0" w:firstRowLastColumn="0" w:lastRowFirstColumn="0" w:lastRowLastColumn="0"/>
            <w:tcW w:w="2268" w:type="dxa"/>
          </w:tcPr>
          <w:p w:rsidR="003217B9" w:rsidRPr="00221C6C" w:rsidRDefault="003217B9" w:rsidP="005A751E">
            <w:pPr>
              <w:spacing w:after="0"/>
              <w:jc w:val="center"/>
              <w:rPr>
                <w:rFonts w:cstheme="minorHAnsi"/>
                <w:b w:val="0"/>
                <w:sz w:val="22"/>
                <w:lang w:eastAsia="en-AU"/>
              </w:rPr>
            </w:pPr>
            <w:r w:rsidRPr="00221C6C">
              <w:rPr>
                <w:rFonts w:cstheme="minorHAnsi"/>
                <w:b w:val="0"/>
                <w:sz w:val="22"/>
                <w:lang w:eastAsia="en-AU"/>
              </w:rPr>
              <w:t>0</w:t>
            </w:r>
          </w:p>
        </w:tc>
      </w:tr>
      <w:tr w:rsidR="003217B9" w:rsidRPr="00D72F33" w:rsidTr="005A751E">
        <w:tc>
          <w:tcPr>
            <w:cnfStyle w:val="001000000000" w:firstRow="0" w:lastRow="0" w:firstColumn="1" w:lastColumn="0" w:oddVBand="0" w:evenVBand="0" w:oddHBand="0" w:evenHBand="0" w:firstRowFirstColumn="0" w:firstRowLastColumn="0" w:lastRowFirstColumn="0" w:lastRowLastColumn="0"/>
            <w:tcW w:w="2235" w:type="dxa"/>
            <w:vMerge/>
          </w:tcPr>
          <w:p w:rsidR="003217B9" w:rsidRPr="00221C6C" w:rsidRDefault="003217B9" w:rsidP="005A751E">
            <w:pPr>
              <w:spacing w:after="0"/>
              <w:rPr>
                <w:rFonts w:cstheme="minorHAnsi"/>
                <w:sz w:val="22"/>
                <w:lang w:eastAsia="en-AU"/>
              </w:rPr>
            </w:pPr>
          </w:p>
        </w:tc>
        <w:tc>
          <w:tcPr>
            <w:tcW w:w="1275" w:type="dxa"/>
            <w:hideMark/>
          </w:tcPr>
          <w:p w:rsidR="003217B9" w:rsidRPr="00221C6C" w:rsidRDefault="003217B9" w:rsidP="005A751E">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2"/>
                <w:lang w:eastAsia="en-AU"/>
              </w:rPr>
            </w:pPr>
            <w:r w:rsidRPr="00221C6C">
              <w:rPr>
                <w:rFonts w:cstheme="minorHAnsi"/>
                <w:sz w:val="22"/>
                <w:lang w:eastAsia="en-AU"/>
              </w:rPr>
              <w:t>B</w:t>
            </w:r>
          </w:p>
        </w:tc>
        <w:tc>
          <w:tcPr>
            <w:cnfStyle w:val="000100000000" w:firstRow="0" w:lastRow="0" w:firstColumn="0" w:lastColumn="1" w:oddVBand="0" w:evenVBand="0" w:oddHBand="0" w:evenHBand="0" w:firstRowFirstColumn="0" w:firstRowLastColumn="0" w:lastRowFirstColumn="0" w:lastRowLastColumn="0"/>
            <w:tcW w:w="2268" w:type="dxa"/>
          </w:tcPr>
          <w:p w:rsidR="003217B9" w:rsidRPr="00221C6C" w:rsidRDefault="003217B9" w:rsidP="005A751E">
            <w:pPr>
              <w:spacing w:after="0"/>
              <w:jc w:val="center"/>
              <w:rPr>
                <w:rFonts w:cstheme="minorHAnsi"/>
                <w:b w:val="0"/>
                <w:sz w:val="22"/>
                <w:lang w:eastAsia="en-AU"/>
              </w:rPr>
            </w:pPr>
            <w:r w:rsidRPr="00221C6C">
              <w:rPr>
                <w:rFonts w:cstheme="minorHAnsi"/>
                <w:b w:val="0"/>
                <w:sz w:val="22"/>
                <w:lang w:eastAsia="en-AU"/>
              </w:rPr>
              <w:t>7.70</w:t>
            </w:r>
          </w:p>
        </w:tc>
      </w:tr>
      <w:tr w:rsidR="003217B9" w:rsidRPr="00D72F33" w:rsidTr="005A751E">
        <w:tc>
          <w:tcPr>
            <w:cnfStyle w:val="001000000000" w:firstRow="0" w:lastRow="0" w:firstColumn="1" w:lastColumn="0" w:oddVBand="0" w:evenVBand="0" w:oddHBand="0" w:evenHBand="0" w:firstRowFirstColumn="0" w:firstRowLastColumn="0" w:lastRowFirstColumn="0" w:lastRowLastColumn="0"/>
            <w:tcW w:w="2235" w:type="dxa"/>
            <w:vMerge/>
          </w:tcPr>
          <w:p w:rsidR="003217B9" w:rsidRPr="00221C6C" w:rsidRDefault="003217B9" w:rsidP="005A751E">
            <w:pPr>
              <w:spacing w:after="0"/>
              <w:rPr>
                <w:rFonts w:cstheme="minorHAnsi"/>
                <w:sz w:val="22"/>
                <w:lang w:eastAsia="en-AU"/>
              </w:rPr>
            </w:pPr>
          </w:p>
        </w:tc>
        <w:tc>
          <w:tcPr>
            <w:tcW w:w="1275" w:type="dxa"/>
            <w:hideMark/>
          </w:tcPr>
          <w:p w:rsidR="003217B9" w:rsidRPr="00221C6C" w:rsidRDefault="003217B9" w:rsidP="005A751E">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2"/>
                <w:lang w:eastAsia="en-AU"/>
              </w:rPr>
            </w:pPr>
            <w:r w:rsidRPr="00221C6C">
              <w:rPr>
                <w:rFonts w:cstheme="minorHAnsi"/>
                <w:sz w:val="22"/>
                <w:lang w:eastAsia="en-AU"/>
              </w:rPr>
              <w:t>C</w:t>
            </w:r>
          </w:p>
        </w:tc>
        <w:tc>
          <w:tcPr>
            <w:cnfStyle w:val="000100000000" w:firstRow="0" w:lastRow="0" w:firstColumn="0" w:lastColumn="1" w:oddVBand="0" w:evenVBand="0" w:oddHBand="0" w:evenHBand="0" w:firstRowFirstColumn="0" w:firstRowLastColumn="0" w:lastRowFirstColumn="0" w:lastRowLastColumn="0"/>
            <w:tcW w:w="2268" w:type="dxa"/>
          </w:tcPr>
          <w:p w:rsidR="003217B9" w:rsidRPr="00221C6C" w:rsidRDefault="003217B9" w:rsidP="005A751E">
            <w:pPr>
              <w:spacing w:after="0"/>
              <w:jc w:val="center"/>
              <w:rPr>
                <w:rFonts w:cstheme="minorHAnsi"/>
                <w:b w:val="0"/>
                <w:sz w:val="22"/>
                <w:lang w:eastAsia="en-AU"/>
              </w:rPr>
            </w:pPr>
            <w:r w:rsidRPr="00221C6C">
              <w:rPr>
                <w:rFonts w:cstheme="minorHAnsi"/>
                <w:b w:val="0"/>
                <w:sz w:val="22"/>
                <w:lang w:eastAsia="en-AU"/>
              </w:rPr>
              <w:t>15.40</w:t>
            </w:r>
          </w:p>
        </w:tc>
      </w:tr>
      <w:tr w:rsidR="003217B9" w:rsidRPr="00D72F33" w:rsidTr="005A751E">
        <w:tc>
          <w:tcPr>
            <w:cnfStyle w:val="001000000000" w:firstRow="0" w:lastRow="0" w:firstColumn="1" w:lastColumn="0" w:oddVBand="0" w:evenVBand="0" w:oddHBand="0" w:evenHBand="0" w:firstRowFirstColumn="0" w:firstRowLastColumn="0" w:lastRowFirstColumn="0" w:lastRowLastColumn="0"/>
            <w:tcW w:w="2235" w:type="dxa"/>
            <w:vMerge/>
          </w:tcPr>
          <w:p w:rsidR="003217B9" w:rsidRPr="00221C6C" w:rsidRDefault="003217B9" w:rsidP="005A751E">
            <w:pPr>
              <w:spacing w:after="0"/>
              <w:rPr>
                <w:rFonts w:cstheme="minorHAnsi"/>
                <w:sz w:val="22"/>
                <w:lang w:eastAsia="en-AU"/>
              </w:rPr>
            </w:pPr>
          </w:p>
        </w:tc>
        <w:tc>
          <w:tcPr>
            <w:tcW w:w="1275" w:type="dxa"/>
            <w:hideMark/>
          </w:tcPr>
          <w:p w:rsidR="003217B9" w:rsidRPr="00221C6C" w:rsidRDefault="003217B9" w:rsidP="005A751E">
            <w:pPr>
              <w:spacing w:after="0"/>
              <w:jc w:val="center"/>
              <w:cnfStyle w:val="000000000000" w:firstRow="0" w:lastRow="0" w:firstColumn="0" w:lastColumn="0" w:oddVBand="0" w:evenVBand="0" w:oddHBand="0" w:evenHBand="0" w:firstRowFirstColumn="0" w:firstRowLastColumn="0" w:lastRowFirstColumn="0" w:lastRowLastColumn="0"/>
              <w:rPr>
                <w:rFonts w:cstheme="minorHAnsi"/>
                <w:b/>
                <w:sz w:val="22"/>
                <w:lang w:eastAsia="en-AU"/>
              </w:rPr>
            </w:pPr>
            <w:r w:rsidRPr="00221C6C">
              <w:rPr>
                <w:rFonts w:cstheme="minorHAnsi"/>
                <w:b/>
                <w:sz w:val="22"/>
                <w:lang w:eastAsia="en-AU"/>
              </w:rPr>
              <w:t>D</w:t>
            </w:r>
          </w:p>
        </w:tc>
        <w:tc>
          <w:tcPr>
            <w:cnfStyle w:val="000100000000" w:firstRow="0" w:lastRow="0" w:firstColumn="0" w:lastColumn="1" w:oddVBand="0" w:evenVBand="0" w:oddHBand="0" w:evenHBand="0" w:firstRowFirstColumn="0" w:firstRowLastColumn="0" w:lastRowFirstColumn="0" w:lastRowLastColumn="0"/>
            <w:tcW w:w="2268" w:type="dxa"/>
          </w:tcPr>
          <w:p w:rsidR="003217B9" w:rsidRPr="00221C6C" w:rsidRDefault="003217B9" w:rsidP="005A751E">
            <w:pPr>
              <w:spacing w:after="0"/>
              <w:jc w:val="center"/>
              <w:rPr>
                <w:rFonts w:cstheme="minorHAnsi"/>
                <w:sz w:val="22"/>
                <w:lang w:eastAsia="en-AU"/>
              </w:rPr>
            </w:pPr>
            <w:r w:rsidRPr="00221C6C">
              <w:rPr>
                <w:rFonts w:cstheme="minorHAnsi"/>
                <w:sz w:val="22"/>
                <w:lang w:eastAsia="en-AU"/>
              </w:rPr>
              <w:t>23.11</w:t>
            </w:r>
          </w:p>
        </w:tc>
      </w:tr>
      <w:tr w:rsidR="003217B9" w:rsidRPr="00D72F33" w:rsidTr="005A751E">
        <w:tc>
          <w:tcPr>
            <w:cnfStyle w:val="001000000000" w:firstRow="0" w:lastRow="0" w:firstColumn="1" w:lastColumn="0" w:oddVBand="0" w:evenVBand="0" w:oddHBand="0" w:evenHBand="0" w:firstRowFirstColumn="0" w:firstRowLastColumn="0" w:lastRowFirstColumn="0" w:lastRowLastColumn="0"/>
            <w:tcW w:w="2235" w:type="dxa"/>
            <w:vMerge w:val="restart"/>
            <w:hideMark/>
          </w:tcPr>
          <w:p w:rsidR="003217B9" w:rsidRPr="00221C6C" w:rsidRDefault="003217B9" w:rsidP="005A751E">
            <w:pPr>
              <w:spacing w:after="0"/>
              <w:rPr>
                <w:rFonts w:cstheme="minorHAnsi"/>
                <w:sz w:val="22"/>
                <w:lang w:eastAsia="en-AU"/>
              </w:rPr>
            </w:pPr>
            <w:r w:rsidRPr="00221C6C">
              <w:rPr>
                <w:rFonts w:cstheme="minorHAnsi"/>
                <w:sz w:val="22"/>
                <w:lang w:eastAsia="en-AU"/>
              </w:rPr>
              <w:t>10 Depression</w:t>
            </w:r>
          </w:p>
        </w:tc>
        <w:tc>
          <w:tcPr>
            <w:tcW w:w="1275" w:type="dxa"/>
            <w:hideMark/>
          </w:tcPr>
          <w:p w:rsidR="003217B9" w:rsidRPr="00221C6C" w:rsidRDefault="003217B9" w:rsidP="005A751E">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2"/>
                <w:lang w:eastAsia="en-AU"/>
              </w:rPr>
            </w:pPr>
            <w:r w:rsidRPr="00221C6C">
              <w:rPr>
                <w:rFonts w:cstheme="minorHAnsi"/>
                <w:sz w:val="22"/>
                <w:lang w:eastAsia="en-AU"/>
              </w:rPr>
              <w:t>A</w:t>
            </w:r>
          </w:p>
        </w:tc>
        <w:tc>
          <w:tcPr>
            <w:cnfStyle w:val="000100000000" w:firstRow="0" w:lastRow="0" w:firstColumn="0" w:lastColumn="1" w:oddVBand="0" w:evenVBand="0" w:oddHBand="0" w:evenHBand="0" w:firstRowFirstColumn="0" w:firstRowLastColumn="0" w:lastRowFirstColumn="0" w:lastRowLastColumn="0"/>
            <w:tcW w:w="2268" w:type="dxa"/>
          </w:tcPr>
          <w:p w:rsidR="003217B9" w:rsidRPr="00221C6C" w:rsidRDefault="003217B9" w:rsidP="005A751E">
            <w:pPr>
              <w:spacing w:after="0"/>
              <w:jc w:val="center"/>
              <w:rPr>
                <w:rFonts w:cstheme="minorHAnsi"/>
                <w:b w:val="0"/>
                <w:sz w:val="22"/>
                <w:lang w:eastAsia="en-AU"/>
              </w:rPr>
            </w:pPr>
            <w:r w:rsidRPr="00221C6C">
              <w:rPr>
                <w:rFonts w:cstheme="minorHAnsi"/>
                <w:b w:val="0"/>
                <w:sz w:val="22"/>
                <w:lang w:eastAsia="en-AU"/>
              </w:rPr>
              <w:t>0</w:t>
            </w:r>
          </w:p>
        </w:tc>
      </w:tr>
      <w:tr w:rsidR="003217B9" w:rsidRPr="00D72F33" w:rsidTr="005A751E">
        <w:tc>
          <w:tcPr>
            <w:cnfStyle w:val="001000000000" w:firstRow="0" w:lastRow="0" w:firstColumn="1" w:lastColumn="0" w:oddVBand="0" w:evenVBand="0" w:oddHBand="0" w:evenHBand="0" w:firstRowFirstColumn="0" w:firstRowLastColumn="0" w:lastRowFirstColumn="0" w:lastRowLastColumn="0"/>
            <w:tcW w:w="2235" w:type="dxa"/>
            <w:vMerge/>
          </w:tcPr>
          <w:p w:rsidR="003217B9" w:rsidRPr="00221C6C" w:rsidRDefault="003217B9" w:rsidP="005A751E">
            <w:pPr>
              <w:spacing w:after="0"/>
              <w:rPr>
                <w:rFonts w:cstheme="minorHAnsi"/>
                <w:sz w:val="22"/>
                <w:lang w:eastAsia="en-AU"/>
              </w:rPr>
            </w:pPr>
          </w:p>
        </w:tc>
        <w:tc>
          <w:tcPr>
            <w:tcW w:w="1275" w:type="dxa"/>
            <w:hideMark/>
          </w:tcPr>
          <w:p w:rsidR="003217B9" w:rsidRPr="00221C6C" w:rsidRDefault="003217B9" w:rsidP="005A751E">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2"/>
                <w:lang w:eastAsia="en-AU"/>
              </w:rPr>
            </w:pPr>
            <w:r w:rsidRPr="00221C6C">
              <w:rPr>
                <w:rFonts w:cstheme="minorHAnsi"/>
                <w:sz w:val="22"/>
                <w:lang w:eastAsia="en-AU"/>
              </w:rPr>
              <w:t>B</w:t>
            </w:r>
          </w:p>
        </w:tc>
        <w:tc>
          <w:tcPr>
            <w:cnfStyle w:val="000100000000" w:firstRow="0" w:lastRow="0" w:firstColumn="0" w:lastColumn="1" w:oddVBand="0" w:evenVBand="0" w:oddHBand="0" w:evenHBand="0" w:firstRowFirstColumn="0" w:firstRowLastColumn="0" w:lastRowFirstColumn="0" w:lastRowLastColumn="0"/>
            <w:tcW w:w="2268" w:type="dxa"/>
          </w:tcPr>
          <w:p w:rsidR="003217B9" w:rsidRPr="00221C6C" w:rsidRDefault="003217B9" w:rsidP="005A751E">
            <w:pPr>
              <w:spacing w:after="0"/>
              <w:jc w:val="center"/>
              <w:rPr>
                <w:rFonts w:cstheme="minorHAnsi"/>
                <w:b w:val="0"/>
                <w:sz w:val="22"/>
                <w:lang w:eastAsia="en-AU"/>
              </w:rPr>
            </w:pPr>
            <w:r w:rsidRPr="00221C6C">
              <w:rPr>
                <w:rFonts w:cstheme="minorHAnsi"/>
                <w:b w:val="0"/>
                <w:sz w:val="22"/>
                <w:lang w:eastAsia="en-AU"/>
              </w:rPr>
              <w:t>5.71</w:t>
            </w:r>
          </w:p>
        </w:tc>
      </w:tr>
      <w:tr w:rsidR="003217B9" w:rsidRPr="00D72F33" w:rsidTr="005A751E">
        <w:tc>
          <w:tcPr>
            <w:cnfStyle w:val="001000000000" w:firstRow="0" w:lastRow="0" w:firstColumn="1" w:lastColumn="0" w:oddVBand="0" w:evenVBand="0" w:oddHBand="0" w:evenHBand="0" w:firstRowFirstColumn="0" w:firstRowLastColumn="0" w:lastRowFirstColumn="0" w:lastRowLastColumn="0"/>
            <w:tcW w:w="2235" w:type="dxa"/>
            <w:vMerge/>
          </w:tcPr>
          <w:p w:rsidR="003217B9" w:rsidRPr="00221C6C" w:rsidRDefault="003217B9" w:rsidP="005A751E">
            <w:pPr>
              <w:spacing w:after="0"/>
              <w:rPr>
                <w:rFonts w:cstheme="minorHAnsi"/>
                <w:sz w:val="22"/>
                <w:lang w:eastAsia="en-AU"/>
              </w:rPr>
            </w:pPr>
          </w:p>
        </w:tc>
        <w:tc>
          <w:tcPr>
            <w:tcW w:w="1275" w:type="dxa"/>
            <w:hideMark/>
          </w:tcPr>
          <w:p w:rsidR="003217B9" w:rsidRPr="00221C6C" w:rsidRDefault="003217B9" w:rsidP="005A751E">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2"/>
                <w:lang w:eastAsia="en-AU"/>
              </w:rPr>
            </w:pPr>
            <w:r w:rsidRPr="00221C6C">
              <w:rPr>
                <w:rFonts w:cstheme="minorHAnsi"/>
                <w:sz w:val="22"/>
                <w:lang w:eastAsia="en-AU"/>
              </w:rPr>
              <w:t>C</w:t>
            </w:r>
          </w:p>
        </w:tc>
        <w:tc>
          <w:tcPr>
            <w:cnfStyle w:val="000100000000" w:firstRow="0" w:lastRow="0" w:firstColumn="0" w:lastColumn="1" w:oddVBand="0" w:evenVBand="0" w:oddHBand="0" w:evenHBand="0" w:firstRowFirstColumn="0" w:firstRowLastColumn="0" w:lastRowFirstColumn="0" w:lastRowLastColumn="0"/>
            <w:tcW w:w="2268" w:type="dxa"/>
          </w:tcPr>
          <w:p w:rsidR="003217B9" w:rsidRPr="00221C6C" w:rsidRDefault="003217B9" w:rsidP="005A751E">
            <w:pPr>
              <w:spacing w:after="0"/>
              <w:jc w:val="center"/>
              <w:rPr>
                <w:rFonts w:cstheme="minorHAnsi"/>
                <w:b w:val="0"/>
                <w:bCs w:val="0"/>
                <w:sz w:val="22"/>
                <w:lang w:eastAsia="en-AU"/>
              </w:rPr>
            </w:pPr>
            <w:r w:rsidRPr="00221C6C">
              <w:rPr>
                <w:rFonts w:cstheme="minorHAnsi"/>
                <w:b w:val="0"/>
                <w:bCs w:val="0"/>
                <w:sz w:val="22"/>
                <w:lang w:eastAsia="en-AU"/>
              </w:rPr>
              <w:t>11.43</w:t>
            </w:r>
          </w:p>
        </w:tc>
      </w:tr>
      <w:tr w:rsidR="003217B9" w:rsidRPr="00D72F33" w:rsidTr="005A75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top w:val="none" w:sz="0" w:space="0" w:color="auto"/>
            </w:tcBorders>
          </w:tcPr>
          <w:p w:rsidR="003217B9" w:rsidRPr="00221C6C" w:rsidRDefault="003217B9" w:rsidP="005A751E">
            <w:pPr>
              <w:spacing w:after="0"/>
              <w:rPr>
                <w:rFonts w:cstheme="minorHAnsi"/>
                <w:sz w:val="22"/>
                <w:lang w:eastAsia="en-AU"/>
              </w:rPr>
            </w:pPr>
          </w:p>
        </w:tc>
        <w:tc>
          <w:tcPr>
            <w:tcW w:w="1275" w:type="dxa"/>
            <w:tcBorders>
              <w:top w:val="none" w:sz="0" w:space="0" w:color="auto"/>
            </w:tcBorders>
            <w:hideMark/>
          </w:tcPr>
          <w:p w:rsidR="003217B9" w:rsidRPr="00221C6C" w:rsidRDefault="003217B9" w:rsidP="005A751E">
            <w:pPr>
              <w:spacing w:after="0"/>
              <w:jc w:val="center"/>
              <w:cnfStyle w:val="010000000000" w:firstRow="0" w:lastRow="1" w:firstColumn="0" w:lastColumn="0" w:oddVBand="0" w:evenVBand="0" w:oddHBand="0" w:evenHBand="0" w:firstRowFirstColumn="0" w:firstRowLastColumn="0" w:lastRowFirstColumn="0" w:lastRowLastColumn="0"/>
              <w:rPr>
                <w:rFonts w:cstheme="minorHAnsi"/>
                <w:sz w:val="22"/>
                <w:lang w:eastAsia="en-AU"/>
              </w:rPr>
            </w:pPr>
            <w:r w:rsidRPr="00221C6C">
              <w:rPr>
                <w:rFonts w:cstheme="minorHAnsi"/>
                <w:sz w:val="22"/>
                <w:lang w:eastAsia="en-AU"/>
              </w:rPr>
              <w:t>D</w:t>
            </w:r>
          </w:p>
        </w:tc>
        <w:tc>
          <w:tcPr>
            <w:cnfStyle w:val="000100000000" w:firstRow="0" w:lastRow="0" w:firstColumn="0" w:lastColumn="1" w:oddVBand="0" w:evenVBand="0" w:oddHBand="0" w:evenHBand="0" w:firstRowFirstColumn="0" w:firstRowLastColumn="0" w:lastRowFirstColumn="0" w:lastRowLastColumn="0"/>
            <w:tcW w:w="2268" w:type="dxa"/>
            <w:tcBorders>
              <w:top w:val="none" w:sz="0" w:space="0" w:color="auto"/>
            </w:tcBorders>
          </w:tcPr>
          <w:p w:rsidR="003217B9" w:rsidRPr="00221C6C" w:rsidRDefault="003217B9" w:rsidP="005A751E">
            <w:pPr>
              <w:spacing w:after="0"/>
              <w:jc w:val="center"/>
              <w:rPr>
                <w:rFonts w:cstheme="minorHAnsi"/>
                <w:sz w:val="22"/>
                <w:lang w:eastAsia="en-AU"/>
              </w:rPr>
            </w:pPr>
            <w:r w:rsidRPr="00221C6C">
              <w:rPr>
                <w:rFonts w:cstheme="minorHAnsi"/>
                <w:sz w:val="22"/>
                <w:lang w:eastAsia="en-AU"/>
              </w:rPr>
              <w:t>17.15</w:t>
            </w:r>
          </w:p>
        </w:tc>
      </w:tr>
    </w:tbl>
    <w:p w:rsidR="003217B9" w:rsidRDefault="003217B9" w:rsidP="003217B9">
      <w:pPr>
        <w:pStyle w:val="Caption"/>
      </w:pPr>
      <w:r w:rsidRPr="00090516">
        <w:rPr>
          <w:rFonts w:asciiTheme="minorHAnsi" w:hAnsiTheme="minorHAnsi" w:cstheme="minorBidi"/>
          <w:bCs/>
          <w:iCs w:val="0"/>
          <w:color w:val="FFFFFF" w:themeColor="background1"/>
          <w:szCs w:val="22"/>
          <w:shd w:val="clear" w:color="auto" w:fill="5B9BD5" w:themeFill="accent5"/>
          <w:lang w:eastAsia="en-AU"/>
        </w:rPr>
        <w:br w:type="page"/>
      </w:r>
    </w:p>
    <w:p w:rsidR="00EE4C64" w:rsidRDefault="005A751E" w:rsidP="00EE4C64">
      <w:pPr>
        <w:pStyle w:val="Caption"/>
        <w:keepNext/>
      </w:pPr>
      <w:bookmarkStart w:id="322" w:name="_Toc495416335"/>
      <w:r>
        <w:lastRenderedPageBreak/>
        <w:t>Table 5.</w:t>
      </w:r>
      <w:r w:rsidR="009A3F5A">
        <w:fldChar w:fldCharType="begin"/>
      </w:r>
      <w:r w:rsidR="009A3F5A">
        <w:instrText xml:space="preserve"> SEQ Table_5. \* ARABIC </w:instrText>
      </w:r>
      <w:r w:rsidR="009A3F5A">
        <w:fldChar w:fldCharType="separate"/>
      </w:r>
      <w:r w:rsidR="00856E49">
        <w:rPr>
          <w:noProof/>
        </w:rPr>
        <w:t>3</w:t>
      </w:r>
      <w:r w:rsidR="009A3F5A">
        <w:rPr>
          <w:noProof/>
        </w:rPr>
        <w:fldChar w:fldCharType="end"/>
      </w:r>
      <w:r>
        <w:t xml:space="preserve">: </w:t>
      </w:r>
      <w:r w:rsidRPr="005A751E">
        <w:t>BEH Domain Classification, cut-points and funding</w:t>
      </w:r>
      <w:bookmarkEnd w:id="322"/>
    </w:p>
    <w:tbl>
      <w:tblPr>
        <w:tblStyle w:val="ListTable3-Accent515"/>
        <w:tblW w:w="0" w:type="auto"/>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5.3 is a list of the cut points and corresponding funding amounts for the Behaviour (BEH) domain classifications (nil, low, medium and high). This table is to be read left to right, top to bottom."/>
      </w:tblPr>
      <w:tblGrid>
        <w:gridCol w:w="2785"/>
        <w:gridCol w:w="1350"/>
      </w:tblGrid>
      <w:tr w:rsidR="003217B9" w:rsidTr="00AE6A5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785" w:type="dxa"/>
            <w:tcBorders>
              <w:bottom w:val="none" w:sz="0" w:space="0" w:color="auto"/>
              <w:right w:val="none" w:sz="0" w:space="0" w:color="auto"/>
            </w:tcBorders>
          </w:tcPr>
          <w:p w:rsidR="003217B9" w:rsidRPr="00EE0B94" w:rsidRDefault="003217B9" w:rsidP="00A51750">
            <w:pPr>
              <w:spacing w:after="0"/>
              <w:rPr>
                <w:lang w:eastAsia="en-AU"/>
              </w:rPr>
            </w:pPr>
            <w:r w:rsidRPr="00EE0B94">
              <w:rPr>
                <w:lang w:eastAsia="en-AU"/>
              </w:rPr>
              <w:t>Cut Points</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right w:val="none" w:sz="0" w:space="0" w:color="auto"/>
            </w:tcBorders>
          </w:tcPr>
          <w:p w:rsidR="003217B9" w:rsidRPr="00EE0B94" w:rsidRDefault="003217B9" w:rsidP="004368E0">
            <w:pPr>
              <w:spacing w:after="0"/>
              <w:jc w:val="center"/>
              <w:rPr>
                <w:lang w:eastAsia="en-AU"/>
              </w:rPr>
            </w:pPr>
            <w:r w:rsidRPr="00EE0B94">
              <w:rPr>
                <w:lang w:eastAsia="en-AU"/>
              </w:rPr>
              <w:t>Funding</w:t>
            </w:r>
          </w:p>
        </w:tc>
      </w:tr>
      <w:tr w:rsidR="003217B9"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bottom w:val="none" w:sz="0" w:space="0" w:color="auto"/>
              <w:right w:val="none" w:sz="0" w:space="0" w:color="auto"/>
            </w:tcBorders>
          </w:tcPr>
          <w:p w:rsidR="003217B9" w:rsidRPr="00221C6C" w:rsidRDefault="003217B9" w:rsidP="00A51750">
            <w:pPr>
              <w:spacing w:after="0"/>
              <w:rPr>
                <w:b w:val="0"/>
                <w:sz w:val="22"/>
                <w:lang w:eastAsia="en-AU"/>
              </w:rPr>
            </w:pPr>
            <w:r w:rsidRPr="00221C6C">
              <w:rPr>
                <w:b w:val="0"/>
                <w:sz w:val="22"/>
                <w:lang w:eastAsia="en-AU"/>
              </w:rPr>
              <w:t>Nil (0&lt;12.99)</w:t>
            </w:r>
          </w:p>
        </w:tc>
        <w:tc>
          <w:tcPr>
            <w:cnfStyle w:val="000010000000" w:firstRow="0" w:lastRow="0" w:firstColumn="0" w:lastColumn="0" w:oddVBand="1" w:evenVBand="0" w:oddHBand="0" w:evenHBand="0" w:firstRowFirstColumn="0" w:firstRowLastColumn="0" w:lastRowFirstColumn="0" w:lastRowLastColumn="0"/>
            <w:tcW w:w="1350" w:type="dxa"/>
            <w:tcBorders>
              <w:top w:val="none" w:sz="0" w:space="0" w:color="auto"/>
              <w:left w:val="none" w:sz="0" w:space="0" w:color="auto"/>
              <w:bottom w:val="none" w:sz="0" w:space="0" w:color="auto"/>
              <w:right w:val="none" w:sz="0" w:space="0" w:color="auto"/>
            </w:tcBorders>
          </w:tcPr>
          <w:p w:rsidR="003217B9" w:rsidRPr="00221C6C" w:rsidRDefault="003217B9" w:rsidP="00EE0B94">
            <w:pPr>
              <w:spacing w:after="0"/>
              <w:jc w:val="right"/>
              <w:rPr>
                <w:sz w:val="22"/>
                <w:lang w:eastAsia="en-AU"/>
              </w:rPr>
            </w:pPr>
            <w:r w:rsidRPr="00221C6C">
              <w:rPr>
                <w:sz w:val="22"/>
                <w:lang w:eastAsia="en-AU"/>
              </w:rPr>
              <w:t>$ 0</w:t>
            </w:r>
            <w:r w:rsidR="004368E0">
              <w:rPr>
                <w:sz w:val="22"/>
                <w:lang w:eastAsia="en-AU"/>
              </w:rPr>
              <w:t>.00</w:t>
            </w:r>
          </w:p>
        </w:tc>
      </w:tr>
      <w:tr w:rsidR="003217B9" w:rsidTr="00AE6A54">
        <w:tc>
          <w:tcPr>
            <w:cnfStyle w:val="001000000000" w:firstRow="0" w:lastRow="0" w:firstColumn="1" w:lastColumn="0" w:oddVBand="0" w:evenVBand="0" w:oddHBand="0" w:evenHBand="0" w:firstRowFirstColumn="0" w:firstRowLastColumn="0" w:lastRowFirstColumn="0" w:lastRowLastColumn="0"/>
            <w:tcW w:w="2785" w:type="dxa"/>
            <w:tcBorders>
              <w:right w:val="none" w:sz="0" w:space="0" w:color="auto"/>
            </w:tcBorders>
          </w:tcPr>
          <w:p w:rsidR="003217B9" w:rsidRPr="00221C6C" w:rsidRDefault="003217B9" w:rsidP="00A51750">
            <w:pPr>
              <w:spacing w:after="0"/>
              <w:rPr>
                <w:b w:val="0"/>
                <w:sz w:val="22"/>
                <w:lang w:eastAsia="en-AU"/>
              </w:rPr>
            </w:pPr>
            <w:r w:rsidRPr="00221C6C">
              <w:rPr>
                <w:b w:val="0"/>
                <w:sz w:val="22"/>
                <w:lang w:eastAsia="en-AU"/>
              </w:rPr>
              <w:t>Low (13 to 29.99)</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right w:val="none" w:sz="0" w:space="0" w:color="auto"/>
            </w:tcBorders>
          </w:tcPr>
          <w:p w:rsidR="003217B9" w:rsidRPr="00221C6C" w:rsidRDefault="003217B9" w:rsidP="00EE0B94">
            <w:pPr>
              <w:spacing w:after="0"/>
              <w:jc w:val="right"/>
              <w:rPr>
                <w:sz w:val="22"/>
                <w:lang w:eastAsia="en-AU"/>
              </w:rPr>
            </w:pPr>
            <w:r w:rsidRPr="00221C6C">
              <w:rPr>
                <w:sz w:val="22"/>
                <w:lang w:eastAsia="en-AU"/>
              </w:rPr>
              <w:t>$ 8.37</w:t>
            </w:r>
          </w:p>
        </w:tc>
      </w:tr>
      <w:tr w:rsidR="003217B9" w:rsidTr="00AE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bottom w:val="none" w:sz="0" w:space="0" w:color="auto"/>
              <w:right w:val="none" w:sz="0" w:space="0" w:color="auto"/>
            </w:tcBorders>
          </w:tcPr>
          <w:p w:rsidR="003217B9" w:rsidRPr="00221C6C" w:rsidRDefault="003217B9" w:rsidP="00A51750">
            <w:pPr>
              <w:spacing w:after="0"/>
              <w:rPr>
                <w:b w:val="0"/>
                <w:sz w:val="22"/>
                <w:lang w:eastAsia="en-AU"/>
              </w:rPr>
            </w:pPr>
            <w:r w:rsidRPr="00221C6C">
              <w:rPr>
                <w:b w:val="0"/>
                <w:sz w:val="22"/>
                <w:lang w:eastAsia="en-AU"/>
              </w:rPr>
              <w:t>Medium (30 to 49.99)</w:t>
            </w:r>
          </w:p>
        </w:tc>
        <w:tc>
          <w:tcPr>
            <w:cnfStyle w:val="000010000000" w:firstRow="0" w:lastRow="0" w:firstColumn="0" w:lastColumn="0" w:oddVBand="1" w:evenVBand="0" w:oddHBand="0" w:evenHBand="0" w:firstRowFirstColumn="0" w:firstRowLastColumn="0" w:lastRowFirstColumn="0" w:lastRowLastColumn="0"/>
            <w:tcW w:w="1350" w:type="dxa"/>
            <w:tcBorders>
              <w:top w:val="none" w:sz="0" w:space="0" w:color="auto"/>
              <w:left w:val="none" w:sz="0" w:space="0" w:color="auto"/>
              <w:bottom w:val="none" w:sz="0" w:space="0" w:color="auto"/>
              <w:right w:val="none" w:sz="0" w:space="0" w:color="auto"/>
            </w:tcBorders>
          </w:tcPr>
          <w:p w:rsidR="003217B9" w:rsidRPr="00221C6C" w:rsidRDefault="003217B9" w:rsidP="00EE0B94">
            <w:pPr>
              <w:spacing w:after="0"/>
              <w:jc w:val="right"/>
              <w:rPr>
                <w:sz w:val="22"/>
                <w:lang w:eastAsia="en-AU"/>
              </w:rPr>
            </w:pPr>
            <w:r w:rsidRPr="00221C6C">
              <w:rPr>
                <w:sz w:val="22"/>
                <w:lang w:eastAsia="en-AU"/>
              </w:rPr>
              <w:t>$ 17.36</w:t>
            </w:r>
          </w:p>
        </w:tc>
      </w:tr>
      <w:tr w:rsidR="003217B9" w:rsidTr="00AE6A54">
        <w:tc>
          <w:tcPr>
            <w:cnfStyle w:val="001000000000" w:firstRow="0" w:lastRow="0" w:firstColumn="1" w:lastColumn="0" w:oddVBand="0" w:evenVBand="0" w:oddHBand="0" w:evenHBand="0" w:firstRowFirstColumn="0" w:firstRowLastColumn="0" w:lastRowFirstColumn="0" w:lastRowLastColumn="0"/>
            <w:tcW w:w="2785" w:type="dxa"/>
            <w:tcBorders>
              <w:right w:val="none" w:sz="0" w:space="0" w:color="auto"/>
            </w:tcBorders>
          </w:tcPr>
          <w:p w:rsidR="003217B9" w:rsidRPr="00221C6C" w:rsidRDefault="003217B9" w:rsidP="00A51750">
            <w:pPr>
              <w:spacing w:after="0"/>
              <w:rPr>
                <w:b w:val="0"/>
                <w:sz w:val="22"/>
                <w:lang w:eastAsia="en-AU"/>
              </w:rPr>
            </w:pPr>
            <w:r w:rsidRPr="00221C6C">
              <w:rPr>
                <w:b w:val="0"/>
                <w:sz w:val="22"/>
                <w:lang w:eastAsia="en-AU"/>
              </w:rPr>
              <w:t xml:space="preserve">High (50 </w:t>
            </w:r>
            <w:r>
              <w:rPr>
                <w:b w:val="0"/>
                <w:sz w:val="22"/>
                <w:lang w:eastAsia="en-AU"/>
              </w:rPr>
              <w:t>to</w:t>
            </w:r>
            <w:r w:rsidRPr="00221C6C">
              <w:rPr>
                <w:b w:val="0"/>
                <w:sz w:val="22"/>
                <w:lang w:eastAsia="en-AU"/>
              </w:rPr>
              <w:t xml:space="preserve"> 100)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right w:val="none" w:sz="0" w:space="0" w:color="auto"/>
            </w:tcBorders>
          </w:tcPr>
          <w:p w:rsidR="003217B9" w:rsidRPr="00221C6C" w:rsidRDefault="003217B9" w:rsidP="00EE0B94">
            <w:pPr>
              <w:spacing w:after="0"/>
              <w:jc w:val="right"/>
              <w:rPr>
                <w:sz w:val="22"/>
                <w:lang w:eastAsia="en-AU"/>
              </w:rPr>
            </w:pPr>
            <w:r w:rsidRPr="00221C6C">
              <w:rPr>
                <w:sz w:val="22"/>
                <w:lang w:eastAsia="en-AU"/>
              </w:rPr>
              <w:t>$ 36.19</w:t>
            </w:r>
          </w:p>
        </w:tc>
      </w:tr>
    </w:tbl>
    <w:p w:rsidR="003217B9" w:rsidRPr="00C60710" w:rsidRDefault="003217B9" w:rsidP="00530D56">
      <w:pPr>
        <w:pStyle w:val="Heading2-Chapter5"/>
      </w:pPr>
      <w:bookmarkStart w:id="323" w:name="_Toc485990601"/>
      <w:bookmarkStart w:id="324" w:name="_Toc491426041"/>
      <w:bookmarkEnd w:id="320"/>
      <w:r w:rsidRPr="00C60710">
        <w:t>A Statistical Overview of the current B</w:t>
      </w:r>
      <w:r w:rsidR="00E26A9A">
        <w:t>EH</w:t>
      </w:r>
      <w:r w:rsidRPr="00C60710">
        <w:t xml:space="preserve"> Domain</w:t>
      </w:r>
      <w:bookmarkEnd w:id="323"/>
      <w:bookmarkEnd w:id="324"/>
    </w:p>
    <w:p w:rsidR="00980F62" w:rsidRDefault="003217B9" w:rsidP="00590231">
      <w:pPr>
        <w:rPr>
          <w:lang w:eastAsia="en-AU"/>
        </w:rPr>
      </w:pPr>
      <w:r w:rsidRPr="001B1702">
        <w:rPr>
          <w:lang w:eastAsia="en-AU"/>
        </w:rPr>
        <w:t xml:space="preserve">The results described in this </w:t>
      </w:r>
      <w:r w:rsidR="00E26A9A">
        <w:rPr>
          <w:lang w:eastAsia="en-AU"/>
        </w:rPr>
        <w:t>section</w:t>
      </w:r>
      <w:r w:rsidRPr="001B1702">
        <w:rPr>
          <w:lang w:eastAsia="en-AU"/>
        </w:rPr>
        <w:t xml:space="preserve"> are </w:t>
      </w:r>
      <w:r>
        <w:rPr>
          <w:lang w:eastAsia="en-AU"/>
        </w:rPr>
        <w:t xml:space="preserve">derived </w:t>
      </w:r>
      <w:r w:rsidRPr="001B1702">
        <w:rPr>
          <w:lang w:eastAsia="en-AU"/>
        </w:rPr>
        <w:t xml:space="preserve">from analysis of the ACFI dataset </w:t>
      </w:r>
      <w:r>
        <w:rPr>
          <w:lang w:eastAsia="en-AU"/>
        </w:rPr>
        <w:t xml:space="preserve">supplied by the Department </w:t>
      </w:r>
      <w:r w:rsidRPr="001B1702">
        <w:rPr>
          <w:lang w:eastAsia="en-AU"/>
        </w:rPr>
        <w:t>covering the period from 2009 to June 30</w:t>
      </w:r>
      <w:r>
        <w:rPr>
          <w:lang w:eastAsia="en-AU"/>
        </w:rPr>
        <w:t xml:space="preserve">, </w:t>
      </w:r>
      <w:r w:rsidRPr="001B1702">
        <w:rPr>
          <w:lang w:eastAsia="en-AU"/>
        </w:rPr>
        <w:t>2016. This section provides a statistical overview of the trends with B</w:t>
      </w:r>
      <w:r w:rsidR="00E26A9A">
        <w:rPr>
          <w:lang w:eastAsia="en-AU"/>
        </w:rPr>
        <w:t>EH</w:t>
      </w:r>
      <w:r w:rsidRPr="001B1702">
        <w:rPr>
          <w:lang w:eastAsia="en-AU"/>
        </w:rPr>
        <w:t xml:space="preserve"> domain classifications (</w:t>
      </w:r>
      <w:r>
        <w:rPr>
          <w:lang w:eastAsia="en-AU"/>
        </w:rPr>
        <w:t xml:space="preserve">N, </w:t>
      </w:r>
      <w:r w:rsidRPr="001B1702">
        <w:rPr>
          <w:lang w:eastAsia="en-AU"/>
        </w:rPr>
        <w:t>L,</w:t>
      </w:r>
      <w:r>
        <w:rPr>
          <w:lang w:eastAsia="en-AU"/>
        </w:rPr>
        <w:t xml:space="preserve"> </w:t>
      </w:r>
      <w:r w:rsidRPr="001B1702">
        <w:rPr>
          <w:lang w:eastAsia="en-AU"/>
        </w:rPr>
        <w:t xml:space="preserve">M, H), </w:t>
      </w:r>
      <w:r>
        <w:rPr>
          <w:lang w:eastAsia="en-AU"/>
        </w:rPr>
        <w:t xml:space="preserve">question </w:t>
      </w:r>
      <w:r w:rsidRPr="001B1702">
        <w:rPr>
          <w:lang w:eastAsia="en-AU"/>
        </w:rPr>
        <w:t>ratings (A,</w:t>
      </w:r>
      <w:r>
        <w:rPr>
          <w:lang w:eastAsia="en-AU"/>
        </w:rPr>
        <w:t xml:space="preserve"> </w:t>
      </w:r>
      <w:r w:rsidRPr="001B1702">
        <w:rPr>
          <w:lang w:eastAsia="en-AU"/>
        </w:rPr>
        <w:t>B,</w:t>
      </w:r>
      <w:r>
        <w:rPr>
          <w:lang w:eastAsia="en-AU"/>
        </w:rPr>
        <w:t xml:space="preserve"> </w:t>
      </w:r>
      <w:r w:rsidRPr="001B1702">
        <w:rPr>
          <w:lang w:eastAsia="en-AU"/>
        </w:rPr>
        <w:t>C,</w:t>
      </w:r>
      <w:r>
        <w:rPr>
          <w:lang w:eastAsia="en-AU"/>
        </w:rPr>
        <w:t xml:space="preserve"> </w:t>
      </w:r>
      <w:r w:rsidRPr="001B1702">
        <w:rPr>
          <w:lang w:eastAsia="en-AU"/>
        </w:rPr>
        <w:t xml:space="preserve">D) and </w:t>
      </w:r>
      <w:r>
        <w:rPr>
          <w:lang w:eastAsia="en-AU"/>
        </w:rPr>
        <w:t xml:space="preserve">checklist </w:t>
      </w:r>
      <w:r w:rsidRPr="001B1702">
        <w:rPr>
          <w:lang w:eastAsia="en-AU"/>
        </w:rPr>
        <w:t>frequency</w:t>
      </w:r>
      <w:r>
        <w:rPr>
          <w:lang w:eastAsia="en-AU"/>
        </w:rPr>
        <w:t xml:space="preserve"> levels </w:t>
      </w:r>
      <w:r w:rsidRPr="001B1702">
        <w:rPr>
          <w:lang w:eastAsia="en-AU"/>
        </w:rPr>
        <w:t>since 2009.</w:t>
      </w:r>
    </w:p>
    <w:p w:rsidR="003217B9" w:rsidRPr="001B1702" w:rsidRDefault="00234174" w:rsidP="00590231">
      <w:pPr>
        <w:rPr>
          <w:lang w:eastAsia="en-AU"/>
        </w:rPr>
      </w:pPr>
      <w:r w:rsidRPr="006249BC">
        <w:rPr>
          <w:lang w:eastAsia="en-AU"/>
        </w:rPr>
        <w:t>Growth pa. reported in this section is the compound growth rate pa.</w:t>
      </w:r>
    </w:p>
    <w:p w:rsidR="003217B9" w:rsidRPr="001B1702" w:rsidRDefault="003217B9" w:rsidP="00590231">
      <w:pPr>
        <w:rPr>
          <w:lang w:eastAsia="en-AU"/>
        </w:rPr>
      </w:pPr>
      <w:r w:rsidRPr="001B1702">
        <w:rPr>
          <w:lang w:eastAsia="en-AU"/>
        </w:rPr>
        <w:t>Average B</w:t>
      </w:r>
      <w:r w:rsidR="00E26A9A">
        <w:rPr>
          <w:lang w:eastAsia="en-AU"/>
        </w:rPr>
        <w:t>EH</w:t>
      </w:r>
      <w:r w:rsidRPr="001B1702">
        <w:rPr>
          <w:lang w:eastAsia="en-AU"/>
        </w:rPr>
        <w:t xml:space="preserve"> Domain funding has increased significantly since 2009 with </w:t>
      </w:r>
      <w:r>
        <w:rPr>
          <w:lang w:eastAsia="en-AU"/>
        </w:rPr>
        <w:t xml:space="preserve">funding </w:t>
      </w:r>
      <w:r w:rsidRPr="001B1702">
        <w:rPr>
          <w:lang w:eastAsia="en-AU"/>
        </w:rPr>
        <w:t>growth driven by an increase in the High B</w:t>
      </w:r>
      <w:r w:rsidR="00E26A9A">
        <w:rPr>
          <w:lang w:eastAsia="en-AU"/>
        </w:rPr>
        <w:t>EH</w:t>
      </w:r>
      <w:r w:rsidRPr="001B1702">
        <w:rPr>
          <w:lang w:eastAsia="en-AU"/>
        </w:rPr>
        <w:t xml:space="preserve"> domain category from 37</w:t>
      </w:r>
      <w:r w:rsidR="002965F2">
        <w:rPr>
          <w:lang w:eastAsia="en-AU"/>
        </w:rPr>
        <w:t xml:space="preserve"> per cent</w:t>
      </w:r>
      <w:r w:rsidRPr="001B1702">
        <w:rPr>
          <w:lang w:eastAsia="en-AU"/>
        </w:rPr>
        <w:t xml:space="preserve"> in 2009 to 62.9</w:t>
      </w:r>
      <w:r w:rsidR="002965F2">
        <w:rPr>
          <w:lang w:eastAsia="en-AU"/>
        </w:rPr>
        <w:t xml:space="preserve"> per cent</w:t>
      </w:r>
      <w:r w:rsidRPr="001B1702">
        <w:rPr>
          <w:lang w:eastAsia="en-AU"/>
        </w:rPr>
        <w:t xml:space="preserve"> of residents in June 2016 (</w:t>
      </w:r>
      <w:hyperlink w:anchor="Fig0501" w:history="1">
        <w:r w:rsidRPr="00DE7661">
          <w:rPr>
            <w:rStyle w:val="Hyperlink"/>
            <w:lang w:eastAsia="en-AU"/>
          </w:rPr>
          <w:t>Figure 5.1</w:t>
        </w:r>
      </w:hyperlink>
      <w:r>
        <w:rPr>
          <w:lang w:eastAsia="en-AU"/>
        </w:rPr>
        <w:t xml:space="preserve">, </w:t>
      </w:r>
      <w:hyperlink w:anchor="Tab0504" w:history="1">
        <w:r w:rsidRPr="00FD161E">
          <w:rPr>
            <w:rStyle w:val="Hyperlink"/>
            <w:lang w:eastAsia="en-AU"/>
          </w:rPr>
          <w:t>Table 5.4</w:t>
        </w:r>
      </w:hyperlink>
      <w:r w:rsidRPr="001B1702">
        <w:rPr>
          <w:lang w:eastAsia="en-AU"/>
        </w:rPr>
        <w:t>). While 15</w:t>
      </w:r>
      <w:r w:rsidR="002965F2">
        <w:rPr>
          <w:lang w:eastAsia="en-AU"/>
        </w:rPr>
        <w:t xml:space="preserve"> per cent</w:t>
      </w:r>
      <w:r w:rsidRPr="001B1702">
        <w:rPr>
          <w:lang w:eastAsia="en-AU"/>
        </w:rPr>
        <w:t xml:space="preserve"> of residents </w:t>
      </w:r>
      <w:r>
        <w:rPr>
          <w:lang w:eastAsia="en-AU"/>
        </w:rPr>
        <w:t>had no</w:t>
      </w:r>
      <w:r w:rsidRPr="001B1702">
        <w:rPr>
          <w:lang w:eastAsia="en-AU"/>
        </w:rPr>
        <w:t xml:space="preserve"> </w:t>
      </w:r>
      <w:r w:rsidR="00E26A9A">
        <w:rPr>
          <w:lang w:eastAsia="en-AU"/>
        </w:rPr>
        <w:t>BEH</w:t>
      </w:r>
      <w:r w:rsidRPr="001B1702">
        <w:rPr>
          <w:lang w:eastAsia="en-AU"/>
        </w:rPr>
        <w:t xml:space="preserve"> domain claims in 2009</w:t>
      </w:r>
      <w:r>
        <w:rPr>
          <w:lang w:eastAsia="en-AU"/>
        </w:rPr>
        <w:t>,</w:t>
      </w:r>
      <w:r w:rsidRPr="001B1702">
        <w:rPr>
          <w:lang w:eastAsia="en-AU"/>
        </w:rPr>
        <w:t xml:space="preserve"> this proportion has decreased considerably to only 4</w:t>
      </w:r>
      <w:r>
        <w:rPr>
          <w:lang w:eastAsia="en-AU"/>
        </w:rPr>
        <w:t>.4</w:t>
      </w:r>
      <w:r w:rsidR="002965F2">
        <w:rPr>
          <w:lang w:eastAsia="en-AU"/>
        </w:rPr>
        <w:t xml:space="preserve"> per cent</w:t>
      </w:r>
      <w:r w:rsidRPr="00E26A9A">
        <w:rPr>
          <w:lang w:eastAsia="en-AU"/>
        </w:rPr>
        <w:t xml:space="preserve"> without a</w:t>
      </w:r>
      <w:r w:rsidRPr="001B1702">
        <w:rPr>
          <w:lang w:eastAsia="en-AU"/>
        </w:rPr>
        <w:t xml:space="preserve"> </w:t>
      </w:r>
      <w:r>
        <w:rPr>
          <w:lang w:eastAsia="en-AU"/>
        </w:rPr>
        <w:t xml:space="preserve">behaviour </w:t>
      </w:r>
      <w:r w:rsidRPr="001B1702">
        <w:rPr>
          <w:lang w:eastAsia="en-AU"/>
        </w:rPr>
        <w:t>claim in 2016.</w:t>
      </w:r>
      <w:r>
        <w:rPr>
          <w:lang w:eastAsia="en-AU"/>
        </w:rPr>
        <w:t xml:space="preserve"> </w:t>
      </w:r>
      <w:hyperlink w:anchor="Tab0504" w:history="1">
        <w:r w:rsidRPr="00FD161E">
          <w:rPr>
            <w:rStyle w:val="Hyperlink"/>
            <w:lang w:eastAsia="en-AU"/>
          </w:rPr>
          <w:t>Table 5.4</w:t>
        </w:r>
      </w:hyperlink>
      <w:r>
        <w:rPr>
          <w:lang w:eastAsia="en-AU"/>
        </w:rPr>
        <w:t xml:space="preserve"> provides a description of the domain level frequenc</w:t>
      </w:r>
      <w:r w:rsidR="00C961BB">
        <w:rPr>
          <w:lang w:eastAsia="en-AU"/>
        </w:rPr>
        <w:t xml:space="preserve">ies as at June 30, </w:t>
      </w:r>
      <w:r>
        <w:rPr>
          <w:lang w:eastAsia="en-AU"/>
        </w:rPr>
        <w:t>2016.</w:t>
      </w:r>
    </w:p>
    <w:p w:rsidR="005A751E" w:rsidRDefault="008F5675" w:rsidP="005A751E">
      <w:pPr>
        <w:pStyle w:val="Caption"/>
        <w:keepNext/>
      </w:pPr>
      <w:bookmarkStart w:id="325" w:name="_Toc495416508"/>
      <w:r>
        <w:t>Figure 5.</w:t>
      </w:r>
      <w:r w:rsidR="009A3F5A">
        <w:fldChar w:fldCharType="begin"/>
      </w:r>
      <w:r w:rsidR="009A3F5A">
        <w:instrText xml:space="preserve"> SEQ Figure_5. \* ARABIC </w:instrText>
      </w:r>
      <w:r w:rsidR="009A3F5A">
        <w:fldChar w:fldCharType="separate"/>
      </w:r>
      <w:r w:rsidR="00856E49">
        <w:rPr>
          <w:noProof/>
        </w:rPr>
        <w:t>1</w:t>
      </w:r>
      <w:r w:rsidR="009A3F5A">
        <w:rPr>
          <w:noProof/>
        </w:rPr>
        <w:fldChar w:fldCharType="end"/>
      </w:r>
      <w:r>
        <w:t xml:space="preserve">: </w:t>
      </w:r>
      <w:r w:rsidRPr="008F5675">
        <w:rPr>
          <w:bCs/>
          <w:lang w:val="en-US"/>
        </w:rPr>
        <w:t>BEH Domain Classifications (N, L, M, H) 2009 - 2016</w:t>
      </w:r>
      <w:bookmarkEnd w:id="325"/>
    </w:p>
    <w:p w:rsidR="003217B9" w:rsidRPr="0003677B" w:rsidRDefault="00590231" w:rsidP="003217B9">
      <w:pPr>
        <w:spacing w:after="200"/>
      </w:pPr>
      <w:r>
        <w:rPr>
          <w:noProof/>
          <w:lang w:eastAsia="en-AU"/>
        </w:rPr>
        <w:drawing>
          <wp:inline distT="0" distB="0" distL="0" distR="0" wp14:anchorId="5605C68C" wp14:editId="369EC506">
            <wp:extent cx="5651500" cy="3871595"/>
            <wp:effectExtent l="0" t="0" r="6350" b="0"/>
            <wp:docPr id="8" name="Picture 8" descr="Figure 5.1 is a line graph illustrating the percentage of residents claimed for the Behaviour (BEH) domain classifications (nil, low, medium and high) from 2009 to 2016, as summarised in the text pri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51500" cy="3871595"/>
                    </a:xfrm>
                    <a:prstGeom prst="rect">
                      <a:avLst/>
                    </a:prstGeom>
                    <a:noFill/>
                  </pic:spPr>
                </pic:pic>
              </a:graphicData>
            </a:graphic>
          </wp:inline>
        </w:drawing>
      </w:r>
      <w:r w:rsidR="003217B9">
        <w:rPr>
          <w:lang w:eastAsia="en-AU"/>
        </w:rPr>
        <w:br w:type="page"/>
      </w:r>
    </w:p>
    <w:p w:rsidR="00EE4C64" w:rsidRDefault="005A751E" w:rsidP="00EE4C64">
      <w:pPr>
        <w:pStyle w:val="Caption"/>
        <w:keepNext/>
      </w:pPr>
      <w:bookmarkStart w:id="326" w:name="_Toc495416336"/>
      <w:bookmarkStart w:id="327" w:name="Tab0504"/>
      <w:r>
        <w:lastRenderedPageBreak/>
        <w:t>Table 5.</w:t>
      </w:r>
      <w:r w:rsidR="009A3F5A">
        <w:fldChar w:fldCharType="begin"/>
      </w:r>
      <w:r w:rsidR="009A3F5A">
        <w:instrText xml:space="preserve"> SEQ Table_5. \* ARABIC </w:instrText>
      </w:r>
      <w:r w:rsidR="009A3F5A">
        <w:fldChar w:fldCharType="separate"/>
      </w:r>
      <w:r w:rsidR="00856E49">
        <w:rPr>
          <w:noProof/>
        </w:rPr>
        <w:t>4</w:t>
      </w:r>
      <w:r w:rsidR="009A3F5A">
        <w:rPr>
          <w:noProof/>
        </w:rPr>
        <w:fldChar w:fldCharType="end"/>
      </w:r>
      <w:r>
        <w:t xml:space="preserve">: </w:t>
      </w:r>
      <w:r w:rsidRPr="005A751E">
        <w:t>BEH Domain Distribution June 30, 2016</w:t>
      </w:r>
      <w:bookmarkEnd w:id="326"/>
    </w:p>
    <w:tbl>
      <w:tblPr>
        <w:tblStyle w:val="GridTable1Light-Accent11"/>
        <w:tblW w:w="4678"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able 5.4 is a list of the number and percentage of residents in the behaviour (BEH) domain classifications (nil, low, medium high and total) as at 30 June 2016. This table is to be read left to right, top to bottom."/>
      </w:tblPr>
      <w:tblGrid>
        <w:gridCol w:w="1560"/>
        <w:gridCol w:w="1701"/>
        <w:gridCol w:w="1417"/>
      </w:tblGrid>
      <w:tr w:rsidR="004368E0" w:rsidRPr="004368E0" w:rsidTr="00AE6A5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60" w:type="dxa"/>
            <w:tcBorders>
              <w:bottom w:val="none" w:sz="0" w:space="0" w:color="auto"/>
            </w:tcBorders>
            <w:shd w:val="clear" w:color="auto" w:fill="5B9BD5" w:themeFill="accent5"/>
            <w:noWrap/>
            <w:hideMark/>
          </w:tcPr>
          <w:bookmarkEnd w:id="327"/>
          <w:p w:rsidR="003217B9" w:rsidRPr="004368E0" w:rsidRDefault="003217B9" w:rsidP="004368E0">
            <w:pPr>
              <w:spacing w:after="0"/>
              <w:jc w:val="left"/>
              <w:rPr>
                <w:rFonts w:ascii="Calibri" w:eastAsia="Times New Roman" w:hAnsi="Calibri" w:cs="Calibri"/>
                <w:color w:val="FFFFFF" w:themeColor="background1"/>
                <w:szCs w:val="24"/>
                <w:lang w:val="en-US"/>
              </w:rPr>
            </w:pPr>
            <w:r w:rsidRPr="004368E0">
              <w:rPr>
                <w:rFonts w:ascii="Calibri" w:eastAsia="Times New Roman" w:hAnsi="Calibri" w:cs="Calibri"/>
                <w:color w:val="FFFFFF" w:themeColor="background1"/>
                <w:szCs w:val="24"/>
                <w:lang w:val="en-US"/>
              </w:rPr>
              <w:t>B</w:t>
            </w:r>
            <w:r w:rsidR="00E26A9A" w:rsidRPr="004368E0">
              <w:rPr>
                <w:rFonts w:ascii="Calibri" w:eastAsia="Times New Roman" w:hAnsi="Calibri" w:cs="Calibri"/>
                <w:color w:val="FFFFFF" w:themeColor="background1"/>
                <w:szCs w:val="24"/>
                <w:lang w:val="en-US"/>
              </w:rPr>
              <w:t>EH</w:t>
            </w:r>
            <w:r w:rsidRPr="004368E0">
              <w:rPr>
                <w:rFonts w:ascii="Calibri" w:eastAsia="Times New Roman" w:hAnsi="Calibri" w:cs="Calibri"/>
                <w:color w:val="FFFFFF" w:themeColor="background1"/>
                <w:szCs w:val="24"/>
                <w:lang w:val="en-US"/>
              </w:rPr>
              <w:t xml:space="preserve"> Domain Level</w:t>
            </w:r>
          </w:p>
        </w:tc>
        <w:tc>
          <w:tcPr>
            <w:tcW w:w="1701" w:type="dxa"/>
            <w:tcBorders>
              <w:bottom w:val="none" w:sz="0" w:space="0" w:color="auto"/>
            </w:tcBorders>
            <w:shd w:val="clear" w:color="auto" w:fill="5B9BD5" w:themeFill="accent5"/>
            <w:noWrap/>
            <w:hideMark/>
          </w:tcPr>
          <w:p w:rsidR="003217B9" w:rsidRPr="004368E0" w:rsidRDefault="003217B9" w:rsidP="000B040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Cs w:val="24"/>
                <w:lang w:val="en-US"/>
              </w:rPr>
            </w:pPr>
            <w:r w:rsidRPr="004368E0">
              <w:rPr>
                <w:rFonts w:ascii="Calibri" w:eastAsia="Times New Roman" w:hAnsi="Calibri" w:cs="Calibri"/>
                <w:color w:val="FFFFFF" w:themeColor="background1"/>
                <w:szCs w:val="24"/>
                <w:lang w:val="en-US"/>
              </w:rPr>
              <w:t>N</w:t>
            </w:r>
            <w:r w:rsidR="004368E0">
              <w:rPr>
                <w:rFonts w:ascii="Calibri" w:eastAsia="Times New Roman" w:hAnsi="Calibri" w:cs="Calibri"/>
                <w:color w:val="FFFFFF" w:themeColor="background1"/>
                <w:szCs w:val="24"/>
                <w:lang w:val="en-US"/>
              </w:rPr>
              <w:t>umber of Residents</w:t>
            </w:r>
          </w:p>
        </w:tc>
        <w:tc>
          <w:tcPr>
            <w:tcW w:w="1417" w:type="dxa"/>
            <w:tcBorders>
              <w:bottom w:val="none" w:sz="0" w:space="0" w:color="auto"/>
            </w:tcBorders>
            <w:shd w:val="clear" w:color="auto" w:fill="5B9BD5" w:themeFill="accent5"/>
            <w:noWrap/>
            <w:hideMark/>
          </w:tcPr>
          <w:p w:rsidR="003217B9" w:rsidRPr="004368E0" w:rsidRDefault="004368E0" w:rsidP="000B040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Cs w:val="24"/>
                <w:lang w:val="en-US"/>
              </w:rPr>
            </w:pPr>
            <w:r w:rsidRPr="004368E0">
              <w:rPr>
                <w:rFonts w:ascii="Calibri" w:eastAsia="Times New Roman" w:hAnsi="Calibri" w:cs="Calibri"/>
                <w:color w:val="FFFFFF" w:themeColor="background1"/>
                <w:szCs w:val="24"/>
                <w:lang w:val="en-US"/>
              </w:rPr>
              <w:t>Percent</w:t>
            </w:r>
            <w:r>
              <w:rPr>
                <w:rFonts w:ascii="Calibri" w:eastAsia="Times New Roman" w:hAnsi="Calibri" w:cs="Calibri"/>
                <w:color w:val="FFFFFF" w:themeColor="background1"/>
                <w:szCs w:val="24"/>
                <w:lang w:val="en-US"/>
              </w:rPr>
              <w:t>age</w:t>
            </w:r>
          </w:p>
        </w:tc>
      </w:tr>
      <w:tr w:rsidR="003217B9" w:rsidRPr="00FD74C0" w:rsidTr="00AE6A54">
        <w:trPr>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217B9" w:rsidRPr="00FD74C0" w:rsidRDefault="003217B9" w:rsidP="00A51750">
            <w:pPr>
              <w:spacing w:after="0"/>
              <w:rPr>
                <w:rFonts w:ascii="Calibri" w:eastAsia="Times New Roman" w:hAnsi="Calibri" w:cs="Calibri"/>
                <w:color w:val="000000"/>
                <w:sz w:val="22"/>
                <w:lang w:val="en-US"/>
              </w:rPr>
            </w:pPr>
            <w:r>
              <w:rPr>
                <w:rFonts w:ascii="Calibri" w:eastAsia="Times New Roman" w:hAnsi="Calibri" w:cs="Calibri"/>
                <w:color w:val="000000"/>
                <w:sz w:val="22"/>
                <w:lang w:val="en-US"/>
              </w:rPr>
              <w:t>Nil</w:t>
            </w:r>
          </w:p>
        </w:tc>
        <w:tc>
          <w:tcPr>
            <w:tcW w:w="1701" w:type="dxa"/>
            <w:noWrap/>
            <w:hideMark/>
          </w:tcPr>
          <w:p w:rsidR="003217B9" w:rsidRPr="00FD74C0" w:rsidRDefault="003217B9" w:rsidP="000B040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FD74C0">
              <w:rPr>
                <w:rFonts w:ascii="Calibri" w:eastAsia="Times New Roman" w:hAnsi="Calibri" w:cs="Calibri"/>
                <w:color w:val="000000"/>
                <w:sz w:val="22"/>
                <w:lang w:val="en-US"/>
              </w:rPr>
              <w:t>7,736</w:t>
            </w:r>
          </w:p>
        </w:tc>
        <w:tc>
          <w:tcPr>
            <w:tcW w:w="1417" w:type="dxa"/>
            <w:noWrap/>
            <w:hideMark/>
          </w:tcPr>
          <w:p w:rsidR="003217B9" w:rsidRPr="00FD74C0" w:rsidRDefault="003217B9" w:rsidP="000B040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FD74C0">
              <w:rPr>
                <w:rFonts w:ascii="Calibri" w:eastAsia="Times New Roman" w:hAnsi="Calibri" w:cs="Calibri"/>
                <w:color w:val="000000"/>
                <w:sz w:val="22"/>
                <w:lang w:val="en-US"/>
              </w:rPr>
              <w:t>4.4%</w:t>
            </w:r>
          </w:p>
        </w:tc>
      </w:tr>
      <w:tr w:rsidR="003217B9" w:rsidRPr="00FD74C0" w:rsidTr="00AE6A54">
        <w:trPr>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217B9" w:rsidRPr="00FD74C0" w:rsidRDefault="003217B9" w:rsidP="00A51750">
            <w:pPr>
              <w:spacing w:after="0"/>
              <w:rPr>
                <w:rFonts w:ascii="Calibri" w:eastAsia="Times New Roman" w:hAnsi="Calibri" w:cs="Calibri"/>
                <w:color w:val="000000"/>
                <w:sz w:val="22"/>
                <w:lang w:val="en-US"/>
              </w:rPr>
            </w:pPr>
            <w:r>
              <w:rPr>
                <w:rFonts w:ascii="Calibri" w:eastAsia="Times New Roman" w:hAnsi="Calibri" w:cs="Calibri"/>
                <w:color w:val="000000"/>
                <w:sz w:val="22"/>
                <w:lang w:val="en-US"/>
              </w:rPr>
              <w:t>Low</w:t>
            </w:r>
          </w:p>
        </w:tc>
        <w:tc>
          <w:tcPr>
            <w:tcW w:w="1701" w:type="dxa"/>
            <w:noWrap/>
            <w:hideMark/>
          </w:tcPr>
          <w:p w:rsidR="003217B9" w:rsidRPr="00FD74C0" w:rsidRDefault="003217B9" w:rsidP="000B040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FD74C0">
              <w:rPr>
                <w:rFonts w:ascii="Calibri" w:eastAsia="Times New Roman" w:hAnsi="Calibri" w:cs="Calibri"/>
                <w:color w:val="000000"/>
                <w:sz w:val="22"/>
                <w:lang w:val="en-US"/>
              </w:rPr>
              <w:t>19,364</w:t>
            </w:r>
          </w:p>
        </w:tc>
        <w:tc>
          <w:tcPr>
            <w:tcW w:w="1417" w:type="dxa"/>
            <w:noWrap/>
            <w:hideMark/>
          </w:tcPr>
          <w:p w:rsidR="003217B9" w:rsidRPr="00FD74C0" w:rsidRDefault="003217B9" w:rsidP="000B040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FD74C0">
              <w:rPr>
                <w:rFonts w:ascii="Calibri" w:eastAsia="Times New Roman" w:hAnsi="Calibri" w:cs="Calibri"/>
                <w:color w:val="000000"/>
                <w:sz w:val="22"/>
                <w:lang w:val="en-US"/>
              </w:rPr>
              <w:t>11.0%</w:t>
            </w:r>
          </w:p>
        </w:tc>
      </w:tr>
      <w:tr w:rsidR="003217B9" w:rsidRPr="00FD74C0" w:rsidTr="00AE6A54">
        <w:trPr>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217B9" w:rsidRPr="00FD74C0" w:rsidRDefault="003217B9" w:rsidP="00A51750">
            <w:pPr>
              <w:spacing w:after="0"/>
              <w:rPr>
                <w:rFonts w:ascii="Calibri" w:eastAsia="Times New Roman" w:hAnsi="Calibri" w:cs="Calibri"/>
                <w:color w:val="000000"/>
                <w:sz w:val="22"/>
                <w:lang w:val="en-US"/>
              </w:rPr>
            </w:pPr>
            <w:r>
              <w:rPr>
                <w:rFonts w:ascii="Calibri" w:eastAsia="Times New Roman" w:hAnsi="Calibri" w:cs="Calibri"/>
                <w:color w:val="000000"/>
                <w:sz w:val="22"/>
                <w:lang w:val="en-US"/>
              </w:rPr>
              <w:t>Medium</w:t>
            </w:r>
          </w:p>
        </w:tc>
        <w:tc>
          <w:tcPr>
            <w:tcW w:w="1701" w:type="dxa"/>
            <w:noWrap/>
            <w:hideMark/>
          </w:tcPr>
          <w:p w:rsidR="003217B9" w:rsidRPr="00FD74C0" w:rsidRDefault="003217B9" w:rsidP="000B040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FD74C0">
              <w:rPr>
                <w:rFonts w:ascii="Calibri" w:eastAsia="Times New Roman" w:hAnsi="Calibri" w:cs="Calibri"/>
                <w:color w:val="000000"/>
                <w:sz w:val="22"/>
                <w:lang w:val="en-US"/>
              </w:rPr>
              <w:t>38,253</w:t>
            </w:r>
          </w:p>
        </w:tc>
        <w:tc>
          <w:tcPr>
            <w:tcW w:w="1417" w:type="dxa"/>
            <w:noWrap/>
            <w:hideMark/>
          </w:tcPr>
          <w:p w:rsidR="003217B9" w:rsidRPr="00FD74C0" w:rsidRDefault="003217B9" w:rsidP="000B040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FD74C0">
              <w:rPr>
                <w:rFonts w:ascii="Calibri" w:eastAsia="Times New Roman" w:hAnsi="Calibri" w:cs="Calibri"/>
                <w:color w:val="000000"/>
                <w:sz w:val="22"/>
                <w:lang w:val="en-US"/>
              </w:rPr>
              <w:t>21.8%</w:t>
            </w:r>
          </w:p>
        </w:tc>
      </w:tr>
      <w:tr w:rsidR="003217B9" w:rsidRPr="00FD74C0" w:rsidTr="00AE6A54">
        <w:trPr>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217B9" w:rsidRPr="00FD74C0" w:rsidRDefault="003217B9" w:rsidP="00A51750">
            <w:pPr>
              <w:spacing w:after="0"/>
              <w:rPr>
                <w:rFonts w:ascii="Calibri" w:eastAsia="Times New Roman" w:hAnsi="Calibri" w:cs="Calibri"/>
                <w:color w:val="000000"/>
                <w:sz w:val="22"/>
                <w:lang w:val="en-US"/>
              </w:rPr>
            </w:pPr>
            <w:r>
              <w:rPr>
                <w:rFonts w:ascii="Calibri" w:eastAsia="Times New Roman" w:hAnsi="Calibri" w:cs="Calibri"/>
                <w:color w:val="000000"/>
                <w:sz w:val="22"/>
                <w:lang w:val="en-US"/>
              </w:rPr>
              <w:t>High</w:t>
            </w:r>
          </w:p>
        </w:tc>
        <w:tc>
          <w:tcPr>
            <w:tcW w:w="1701" w:type="dxa"/>
            <w:noWrap/>
            <w:hideMark/>
          </w:tcPr>
          <w:p w:rsidR="003217B9" w:rsidRPr="00FD74C0" w:rsidRDefault="003217B9" w:rsidP="000B040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FD74C0">
              <w:rPr>
                <w:rFonts w:ascii="Calibri" w:eastAsia="Times New Roman" w:hAnsi="Calibri" w:cs="Calibri"/>
                <w:color w:val="000000"/>
                <w:sz w:val="22"/>
                <w:lang w:val="en-US"/>
              </w:rPr>
              <w:t>110,007</w:t>
            </w:r>
          </w:p>
        </w:tc>
        <w:tc>
          <w:tcPr>
            <w:tcW w:w="1417" w:type="dxa"/>
            <w:noWrap/>
            <w:hideMark/>
          </w:tcPr>
          <w:p w:rsidR="003217B9" w:rsidRPr="00FD74C0" w:rsidRDefault="003217B9" w:rsidP="000B040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Pr>
                <w:rFonts w:ascii="Calibri" w:eastAsia="Times New Roman" w:hAnsi="Calibri" w:cs="Calibri"/>
                <w:color w:val="000000"/>
                <w:sz w:val="22"/>
                <w:lang w:val="en-US"/>
              </w:rPr>
              <w:t>62.9</w:t>
            </w:r>
            <w:r w:rsidRPr="00FD74C0">
              <w:rPr>
                <w:rFonts w:ascii="Calibri" w:eastAsia="Times New Roman" w:hAnsi="Calibri" w:cs="Calibri"/>
                <w:color w:val="000000"/>
                <w:sz w:val="22"/>
                <w:lang w:val="en-US"/>
              </w:rPr>
              <w:t>%</w:t>
            </w:r>
          </w:p>
        </w:tc>
      </w:tr>
      <w:tr w:rsidR="003217B9" w:rsidRPr="00FD74C0" w:rsidTr="009D4EE0">
        <w:trPr>
          <w:trHeight w:val="315"/>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noWrap/>
            <w:hideMark/>
          </w:tcPr>
          <w:p w:rsidR="003217B9" w:rsidRPr="00FD74C0" w:rsidRDefault="003217B9" w:rsidP="00A51750">
            <w:pPr>
              <w:spacing w:after="0"/>
              <w:rPr>
                <w:rFonts w:ascii="Calibri" w:eastAsia="Times New Roman" w:hAnsi="Calibri" w:cs="Calibri"/>
                <w:color w:val="000000"/>
                <w:sz w:val="22"/>
                <w:lang w:val="en-US"/>
              </w:rPr>
            </w:pPr>
            <w:r w:rsidRPr="00FD74C0">
              <w:rPr>
                <w:rFonts w:ascii="Calibri" w:eastAsia="Times New Roman" w:hAnsi="Calibri" w:cs="Calibri"/>
                <w:color w:val="000000"/>
                <w:sz w:val="22"/>
                <w:lang w:val="en-US"/>
              </w:rPr>
              <w:t>Total</w:t>
            </w:r>
          </w:p>
        </w:tc>
        <w:tc>
          <w:tcPr>
            <w:tcW w:w="1701" w:type="dxa"/>
            <w:shd w:val="clear" w:color="auto" w:fill="auto"/>
            <w:noWrap/>
            <w:hideMark/>
          </w:tcPr>
          <w:p w:rsidR="003217B9" w:rsidRPr="00FD74C0" w:rsidRDefault="003217B9" w:rsidP="000B040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FD74C0">
              <w:rPr>
                <w:rFonts w:ascii="Calibri" w:eastAsia="Times New Roman" w:hAnsi="Calibri" w:cs="Calibri"/>
                <w:color w:val="000000"/>
                <w:sz w:val="22"/>
                <w:lang w:val="en-US"/>
              </w:rPr>
              <w:t>175,360</w:t>
            </w:r>
          </w:p>
        </w:tc>
        <w:tc>
          <w:tcPr>
            <w:tcW w:w="1417" w:type="dxa"/>
            <w:shd w:val="clear" w:color="auto" w:fill="auto"/>
            <w:noWrap/>
            <w:hideMark/>
          </w:tcPr>
          <w:p w:rsidR="003217B9" w:rsidRPr="00FD74C0" w:rsidRDefault="003217B9" w:rsidP="000B040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FD74C0">
              <w:rPr>
                <w:rFonts w:ascii="Calibri" w:eastAsia="Times New Roman" w:hAnsi="Calibri" w:cs="Calibri"/>
                <w:color w:val="000000"/>
                <w:sz w:val="22"/>
                <w:lang w:val="en-US"/>
              </w:rPr>
              <w:t>100.0%</w:t>
            </w:r>
          </w:p>
        </w:tc>
      </w:tr>
    </w:tbl>
    <w:p w:rsidR="003217B9" w:rsidRPr="00830247" w:rsidRDefault="003217B9" w:rsidP="006577A2">
      <w:pPr>
        <w:pStyle w:val="Heading3-Chapter52"/>
      </w:pPr>
      <w:bookmarkStart w:id="328" w:name="_Toc485990602"/>
      <w:r>
        <w:t xml:space="preserve">ACFI 6 Cognitive </w:t>
      </w:r>
      <w:bookmarkEnd w:id="328"/>
      <w:r>
        <w:t>Skills</w:t>
      </w:r>
    </w:p>
    <w:p w:rsidR="00980F62" w:rsidRDefault="003217B9" w:rsidP="00720C8D">
      <w:pPr>
        <w:rPr>
          <w:lang w:eastAsia="en-AU"/>
        </w:rPr>
      </w:pPr>
      <w:r>
        <w:rPr>
          <w:lang w:eastAsia="en-AU"/>
        </w:rPr>
        <w:t xml:space="preserve">Ratings on the ACFI 6 Cognitive Skills question and changes since 2009 are shown in </w:t>
      </w:r>
      <w:hyperlink w:anchor="Fig0502" w:history="1">
        <w:r w:rsidRPr="00DE7661">
          <w:rPr>
            <w:rStyle w:val="Hyperlink"/>
            <w:lang w:eastAsia="en-AU"/>
          </w:rPr>
          <w:t>Figure</w:t>
        </w:r>
        <w:r w:rsidR="00802DC1" w:rsidRPr="00DE7661">
          <w:rPr>
            <w:rStyle w:val="Hyperlink"/>
            <w:lang w:eastAsia="en-AU"/>
          </w:rPr>
          <w:t> </w:t>
        </w:r>
        <w:r w:rsidRPr="00DE7661">
          <w:rPr>
            <w:rStyle w:val="Hyperlink"/>
            <w:lang w:eastAsia="en-AU"/>
          </w:rPr>
          <w:t>5.2</w:t>
        </w:r>
      </w:hyperlink>
      <w:r>
        <w:rPr>
          <w:lang w:eastAsia="en-AU"/>
        </w:rPr>
        <w:t xml:space="preserve">. The increasing claims in this </w:t>
      </w:r>
      <w:r w:rsidR="00E26A9A">
        <w:rPr>
          <w:lang w:eastAsia="en-AU"/>
        </w:rPr>
        <w:t>area</w:t>
      </w:r>
      <w:r>
        <w:rPr>
          <w:lang w:eastAsia="en-AU"/>
        </w:rPr>
        <w:t xml:space="preserve"> relate to the growth in the moderate cognition claims (C rating) which increased from </w:t>
      </w:r>
      <w:r w:rsidRPr="00C961BB">
        <w:rPr>
          <w:lang w:eastAsia="en-AU"/>
        </w:rPr>
        <w:t>23.6</w:t>
      </w:r>
      <w:r w:rsidR="002965F2">
        <w:rPr>
          <w:lang w:eastAsia="en-AU"/>
        </w:rPr>
        <w:t xml:space="preserve"> per cent</w:t>
      </w:r>
      <w:r w:rsidRPr="00C961BB">
        <w:rPr>
          <w:lang w:eastAsia="en-AU"/>
        </w:rPr>
        <w:t xml:space="preserve"> in 2009 to 34</w:t>
      </w:r>
      <w:r w:rsidR="002965F2">
        <w:rPr>
          <w:lang w:eastAsia="en-AU"/>
        </w:rPr>
        <w:t xml:space="preserve"> per cent</w:t>
      </w:r>
      <w:r w:rsidRPr="00C961BB">
        <w:rPr>
          <w:lang w:eastAsia="en-AU"/>
        </w:rPr>
        <w:t xml:space="preserve"> in 2016, a </w:t>
      </w:r>
      <w:r w:rsidR="00C961BB" w:rsidRPr="00C961BB">
        <w:rPr>
          <w:lang w:eastAsia="en-AU"/>
        </w:rPr>
        <w:t xml:space="preserve">compound </w:t>
      </w:r>
      <w:r w:rsidRPr="00C961BB">
        <w:rPr>
          <w:lang w:eastAsia="en-AU"/>
        </w:rPr>
        <w:t>growth rate of 5.3</w:t>
      </w:r>
      <w:r w:rsidR="002965F2">
        <w:rPr>
          <w:lang w:eastAsia="en-AU"/>
        </w:rPr>
        <w:t xml:space="preserve"> per cent</w:t>
      </w:r>
      <w:r w:rsidRPr="00C961BB">
        <w:rPr>
          <w:lang w:eastAsia="en-AU"/>
        </w:rPr>
        <w:t xml:space="preserve"> pa.</w:t>
      </w:r>
    </w:p>
    <w:p w:rsidR="00980F62" w:rsidRDefault="001C716D" w:rsidP="00720C8D">
      <w:pPr>
        <w:rPr>
          <w:lang w:eastAsia="en-AU"/>
        </w:rPr>
      </w:pPr>
      <w:r>
        <w:rPr>
          <w:lang w:eastAsia="en-AU"/>
        </w:rPr>
        <w:t>T</w:t>
      </w:r>
      <w:r w:rsidR="003217B9">
        <w:rPr>
          <w:lang w:eastAsia="en-AU"/>
        </w:rPr>
        <w:t>he cognition rating can be determined via either a cognitive impairment screening assessment which is conducted with the resident, or via a checklist with the analogous levels (A, B, C, D). This allow</w:t>
      </w:r>
      <w:r>
        <w:rPr>
          <w:lang w:eastAsia="en-AU"/>
        </w:rPr>
        <w:t>s</w:t>
      </w:r>
      <w:r w:rsidR="003217B9">
        <w:rPr>
          <w:lang w:eastAsia="en-AU"/>
        </w:rPr>
        <w:t xml:space="preserve"> for those residents who are </w:t>
      </w:r>
      <w:r>
        <w:rPr>
          <w:lang w:eastAsia="en-AU"/>
        </w:rPr>
        <w:t xml:space="preserve">not able to be </w:t>
      </w:r>
      <w:r w:rsidR="003217B9">
        <w:rPr>
          <w:lang w:eastAsia="en-AU"/>
        </w:rPr>
        <w:t>direct</w:t>
      </w:r>
      <w:r>
        <w:rPr>
          <w:lang w:eastAsia="en-AU"/>
        </w:rPr>
        <w:t>ly</w:t>
      </w:r>
      <w:r w:rsidR="003217B9">
        <w:rPr>
          <w:lang w:eastAsia="en-AU"/>
        </w:rPr>
        <w:t xml:space="preserve"> assess</w:t>
      </w:r>
      <w:r>
        <w:rPr>
          <w:lang w:eastAsia="en-AU"/>
        </w:rPr>
        <w:t>ed</w:t>
      </w:r>
      <w:r w:rsidR="003217B9">
        <w:rPr>
          <w:lang w:eastAsia="en-AU"/>
        </w:rPr>
        <w:t xml:space="preserve"> </w:t>
      </w:r>
      <w:r>
        <w:rPr>
          <w:lang w:eastAsia="en-AU"/>
        </w:rPr>
        <w:t xml:space="preserve">due to </w:t>
      </w:r>
      <w:r w:rsidR="003217B9">
        <w:rPr>
          <w:lang w:eastAsia="en-AU"/>
        </w:rPr>
        <w:t>their high level of impairment, sensory or cultural issues, to be rated on this question.</w:t>
      </w:r>
    </w:p>
    <w:p w:rsidR="00980F62" w:rsidRDefault="00473246" w:rsidP="00720C8D">
      <w:pPr>
        <w:rPr>
          <w:lang w:eastAsia="en-AU"/>
        </w:rPr>
      </w:pPr>
      <w:hyperlink w:anchor="Fig0503" w:history="1">
        <w:r w:rsidR="003217B9" w:rsidRPr="00DE7661">
          <w:rPr>
            <w:rStyle w:val="Hyperlink"/>
            <w:lang w:eastAsia="en-AU"/>
          </w:rPr>
          <w:t>Figure 5.3</w:t>
        </w:r>
      </w:hyperlink>
      <w:r w:rsidR="003217B9">
        <w:rPr>
          <w:lang w:eastAsia="en-AU"/>
        </w:rPr>
        <w:t xml:space="preserve"> shows the average PAS-CIS cognitive score for those residents directly assessed, which has increased </w:t>
      </w:r>
      <w:r w:rsidR="001C716D">
        <w:rPr>
          <w:lang w:eastAsia="en-AU"/>
        </w:rPr>
        <w:t xml:space="preserve">marginally </w:t>
      </w:r>
      <w:r w:rsidR="00C961BB">
        <w:rPr>
          <w:lang w:eastAsia="en-AU"/>
        </w:rPr>
        <w:t xml:space="preserve">since 2009 from 9.58 to 9.79 by June 30, </w:t>
      </w:r>
      <w:r w:rsidR="003217B9">
        <w:rPr>
          <w:lang w:eastAsia="en-AU"/>
        </w:rPr>
        <w:t>2016, placing the average score in the mild cognitive grouping (</w:t>
      </w:r>
      <w:hyperlink w:anchor="Tab0501" w:history="1">
        <w:r w:rsidR="003217B9" w:rsidRPr="002D5330">
          <w:rPr>
            <w:rStyle w:val="Hyperlink"/>
            <w:lang w:eastAsia="en-AU"/>
          </w:rPr>
          <w:t>Table 5.1</w:t>
        </w:r>
      </w:hyperlink>
      <w:r w:rsidR="003217B9">
        <w:rPr>
          <w:lang w:eastAsia="en-AU"/>
        </w:rPr>
        <w:t>) throughout this period.</w:t>
      </w:r>
    </w:p>
    <w:p w:rsidR="00980F62" w:rsidRDefault="003217B9" w:rsidP="00720C8D">
      <w:pPr>
        <w:rPr>
          <w:lang w:eastAsia="en-AU"/>
        </w:rPr>
      </w:pPr>
      <w:r>
        <w:rPr>
          <w:lang w:eastAsia="en-AU"/>
        </w:rPr>
        <w:t>The increase in the cognitive question rating since 2009 is due to the tendency for those rated on the checklist items to receive a higher ACFI 6 rating than those assessed directly by the PAS-CIS cognitive assessment, therefore increasing the proportion of residents overall with a C or moderate ACFI 6 rating.</w:t>
      </w:r>
    </w:p>
    <w:p w:rsidR="003217B9" w:rsidRDefault="003217B9" w:rsidP="00720C8D">
      <w:pPr>
        <w:rPr>
          <w:lang w:eastAsia="en-AU"/>
        </w:rPr>
      </w:pPr>
      <w:r w:rsidRPr="00C961BB">
        <w:rPr>
          <w:lang w:eastAsia="en-AU"/>
        </w:rPr>
        <w:t>The reasons for the increase in residents assessed by the checklist only has been due to provider reports of resident refusal (from 1.9</w:t>
      </w:r>
      <w:r w:rsidR="002965F2">
        <w:rPr>
          <w:lang w:eastAsia="en-AU"/>
        </w:rPr>
        <w:t xml:space="preserve"> per cent</w:t>
      </w:r>
      <w:r w:rsidRPr="00C961BB">
        <w:rPr>
          <w:lang w:eastAsia="en-AU"/>
        </w:rPr>
        <w:t xml:space="preserve"> in 2009 to 6.7</w:t>
      </w:r>
      <w:r w:rsidR="002965F2">
        <w:rPr>
          <w:lang w:eastAsia="en-AU"/>
        </w:rPr>
        <w:t xml:space="preserve"> per cent</w:t>
      </w:r>
      <w:r w:rsidRPr="00C961BB">
        <w:rPr>
          <w:lang w:eastAsia="en-AU"/>
        </w:rPr>
        <w:t xml:space="preserve"> </w:t>
      </w:r>
      <w:r w:rsidR="00C961BB" w:rsidRPr="00C961BB">
        <w:rPr>
          <w:lang w:eastAsia="en-AU"/>
        </w:rPr>
        <w:t xml:space="preserve">by June 30, </w:t>
      </w:r>
      <w:r w:rsidRPr="00C961BB">
        <w:rPr>
          <w:lang w:eastAsia="en-AU"/>
        </w:rPr>
        <w:t>2016</w:t>
      </w:r>
      <w:r w:rsidR="00C961BB" w:rsidRPr="00C961BB">
        <w:rPr>
          <w:lang w:eastAsia="en-AU"/>
        </w:rPr>
        <w:t xml:space="preserve"> - growth rate </w:t>
      </w:r>
      <w:r w:rsidR="00C961BB">
        <w:rPr>
          <w:lang w:eastAsia="en-AU"/>
        </w:rPr>
        <w:t xml:space="preserve">of </w:t>
      </w:r>
      <w:r w:rsidR="00C961BB" w:rsidRPr="00C961BB">
        <w:rPr>
          <w:lang w:eastAsia="en-AU"/>
        </w:rPr>
        <w:t>19.5</w:t>
      </w:r>
      <w:r w:rsidR="002965F2">
        <w:rPr>
          <w:lang w:eastAsia="en-AU"/>
        </w:rPr>
        <w:t xml:space="preserve"> per cent</w:t>
      </w:r>
      <w:r w:rsidR="00C961BB" w:rsidRPr="00C961BB">
        <w:rPr>
          <w:lang w:eastAsia="en-AU"/>
        </w:rPr>
        <w:t xml:space="preserve"> pa.</w:t>
      </w:r>
      <w:r w:rsidRPr="00C961BB">
        <w:rPr>
          <w:lang w:eastAsia="en-AU"/>
        </w:rPr>
        <w:t>), sensory</w:t>
      </w:r>
      <w:r>
        <w:rPr>
          <w:lang w:eastAsia="en-AU"/>
        </w:rPr>
        <w:t xml:space="preserve"> issues (</w:t>
      </w:r>
      <w:r w:rsidR="00C961BB">
        <w:rPr>
          <w:lang w:eastAsia="en-AU"/>
        </w:rPr>
        <w:t>from 1.6</w:t>
      </w:r>
      <w:r w:rsidR="002965F2">
        <w:rPr>
          <w:lang w:eastAsia="en-AU"/>
        </w:rPr>
        <w:t xml:space="preserve"> per cent</w:t>
      </w:r>
      <w:r w:rsidR="00C961BB">
        <w:rPr>
          <w:lang w:eastAsia="en-AU"/>
        </w:rPr>
        <w:t xml:space="preserve"> in 2009 to 5.2</w:t>
      </w:r>
      <w:r w:rsidR="002965F2">
        <w:rPr>
          <w:lang w:eastAsia="en-AU"/>
        </w:rPr>
        <w:t xml:space="preserve"> per cent</w:t>
      </w:r>
      <w:r w:rsidR="00C961BB">
        <w:rPr>
          <w:lang w:eastAsia="en-AU"/>
        </w:rPr>
        <w:t xml:space="preserve"> by June 30, </w:t>
      </w:r>
      <w:r>
        <w:rPr>
          <w:lang w:eastAsia="en-AU"/>
        </w:rPr>
        <w:t>2016</w:t>
      </w:r>
      <w:r w:rsidR="00C961BB">
        <w:rPr>
          <w:lang w:eastAsia="en-AU"/>
        </w:rPr>
        <w:t xml:space="preserve"> - growth rate of 17.8</w:t>
      </w:r>
      <w:r w:rsidR="002965F2">
        <w:rPr>
          <w:lang w:eastAsia="en-AU"/>
        </w:rPr>
        <w:t xml:space="preserve"> per cent</w:t>
      </w:r>
      <w:r w:rsidR="00C961BB">
        <w:rPr>
          <w:lang w:eastAsia="en-AU"/>
        </w:rPr>
        <w:t xml:space="preserve"> pa.</w:t>
      </w:r>
      <w:r>
        <w:rPr>
          <w:lang w:eastAsia="en-AU"/>
        </w:rPr>
        <w:t>), cultural issues (</w:t>
      </w:r>
      <w:r w:rsidR="00C961BB">
        <w:rPr>
          <w:lang w:eastAsia="en-AU"/>
        </w:rPr>
        <w:t>from 3.7</w:t>
      </w:r>
      <w:r w:rsidR="002965F2">
        <w:rPr>
          <w:lang w:eastAsia="en-AU"/>
        </w:rPr>
        <w:t xml:space="preserve"> per cent</w:t>
      </w:r>
      <w:r w:rsidR="00C961BB">
        <w:rPr>
          <w:lang w:eastAsia="en-AU"/>
        </w:rPr>
        <w:t xml:space="preserve"> in 2009 to 6.6</w:t>
      </w:r>
      <w:r w:rsidR="002965F2">
        <w:rPr>
          <w:lang w:eastAsia="en-AU"/>
        </w:rPr>
        <w:t xml:space="preserve"> per cent</w:t>
      </w:r>
      <w:r w:rsidR="00C961BB">
        <w:rPr>
          <w:lang w:eastAsia="en-AU"/>
        </w:rPr>
        <w:t xml:space="preserve"> by June 30, </w:t>
      </w:r>
      <w:r>
        <w:rPr>
          <w:lang w:eastAsia="en-AU"/>
        </w:rPr>
        <w:t>2016</w:t>
      </w:r>
      <w:r w:rsidR="00C961BB">
        <w:rPr>
          <w:lang w:eastAsia="en-AU"/>
        </w:rPr>
        <w:t xml:space="preserve"> - growth rate of 8.7</w:t>
      </w:r>
      <w:r w:rsidR="002965F2">
        <w:rPr>
          <w:lang w:eastAsia="en-AU"/>
        </w:rPr>
        <w:t xml:space="preserve"> per cent</w:t>
      </w:r>
      <w:r>
        <w:rPr>
          <w:lang w:eastAsia="en-AU"/>
        </w:rPr>
        <w:t>) and a severe level of impairment (</w:t>
      </w:r>
      <w:r w:rsidR="00C961BB">
        <w:rPr>
          <w:lang w:eastAsia="en-AU"/>
        </w:rPr>
        <w:t>from 12</w:t>
      </w:r>
      <w:r w:rsidR="002965F2">
        <w:rPr>
          <w:lang w:eastAsia="en-AU"/>
        </w:rPr>
        <w:t xml:space="preserve"> per cent</w:t>
      </w:r>
      <w:r w:rsidR="00C961BB">
        <w:rPr>
          <w:lang w:eastAsia="en-AU"/>
        </w:rPr>
        <w:t xml:space="preserve"> in 2009 to 15.8</w:t>
      </w:r>
      <w:r w:rsidR="002965F2">
        <w:rPr>
          <w:lang w:eastAsia="en-AU"/>
        </w:rPr>
        <w:t xml:space="preserve"> per cent</w:t>
      </w:r>
      <w:r w:rsidR="00C961BB">
        <w:rPr>
          <w:lang w:eastAsia="en-AU"/>
        </w:rPr>
        <w:t xml:space="preserve"> by June 30, </w:t>
      </w:r>
      <w:r>
        <w:rPr>
          <w:lang w:eastAsia="en-AU"/>
        </w:rPr>
        <w:t>2016</w:t>
      </w:r>
      <w:r w:rsidR="00C961BB">
        <w:rPr>
          <w:lang w:eastAsia="en-AU"/>
        </w:rPr>
        <w:t xml:space="preserve"> </w:t>
      </w:r>
      <w:r w:rsidR="00AF482E">
        <w:rPr>
          <w:lang w:eastAsia="en-AU"/>
        </w:rPr>
        <w:t>–</w:t>
      </w:r>
      <w:r w:rsidR="00C961BB">
        <w:rPr>
          <w:lang w:eastAsia="en-AU"/>
        </w:rPr>
        <w:t xml:space="preserve"> </w:t>
      </w:r>
      <w:r w:rsidR="00AF482E">
        <w:rPr>
          <w:lang w:eastAsia="en-AU"/>
        </w:rPr>
        <w:t xml:space="preserve">a growth rate of </w:t>
      </w:r>
      <w:r w:rsidR="00C961BB">
        <w:rPr>
          <w:lang w:eastAsia="en-AU"/>
        </w:rPr>
        <w:t>4.1</w:t>
      </w:r>
      <w:r w:rsidR="002965F2">
        <w:rPr>
          <w:lang w:eastAsia="en-AU"/>
        </w:rPr>
        <w:t xml:space="preserve"> per cent</w:t>
      </w:r>
      <w:r w:rsidR="00C961BB">
        <w:rPr>
          <w:lang w:eastAsia="en-AU"/>
        </w:rPr>
        <w:t xml:space="preserve"> pa.</w:t>
      </w:r>
      <w:r>
        <w:rPr>
          <w:lang w:eastAsia="en-AU"/>
        </w:rPr>
        <w:t>).</w:t>
      </w:r>
    </w:p>
    <w:p w:rsidR="00980F62" w:rsidRDefault="003217B9" w:rsidP="00720C8D">
      <w:r w:rsidRPr="005B660D">
        <w:rPr>
          <w:lang w:eastAsia="en-AU"/>
        </w:rPr>
        <w:t xml:space="preserve">To </w:t>
      </w:r>
      <w:r>
        <w:rPr>
          <w:lang w:eastAsia="en-AU"/>
        </w:rPr>
        <w:t>ensure</w:t>
      </w:r>
      <w:r w:rsidRPr="005B660D">
        <w:rPr>
          <w:lang w:eastAsia="en-AU"/>
        </w:rPr>
        <w:t xml:space="preserve"> confidence that the increased use of the checklist accurately reflects the true situation, the Department has mandated that evidence must support the decision not to use the PAS</w:t>
      </w:r>
      <w:r>
        <w:rPr>
          <w:lang w:eastAsia="en-AU"/>
        </w:rPr>
        <w:t>-CIS</w:t>
      </w:r>
      <w:r w:rsidRPr="005B660D">
        <w:rPr>
          <w:lang w:eastAsia="en-AU"/>
        </w:rPr>
        <w:t xml:space="preserve"> for the cognitive assessment</w:t>
      </w:r>
      <w:r>
        <w:rPr>
          <w:lang w:eastAsia="en-AU"/>
        </w:rPr>
        <w:t xml:space="preserve"> </w:t>
      </w:r>
      <w:r w:rsidRPr="005B660D">
        <w:rPr>
          <w:lang w:eastAsia="en-AU"/>
        </w:rPr>
        <w:t>in the 2017 User Guide</w:t>
      </w:r>
      <w:r>
        <w:rPr>
          <w:lang w:eastAsia="en-AU"/>
        </w:rPr>
        <w:t xml:space="preserve">, as follows: </w:t>
      </w:r>
      <w:r w:rsidR="001C716D">
        <w:rPr>
          <w:lang w:eastAsia="en-AU"/>
        </w:rPr>
        <w:t>‘</w:t>
      </w:r>
      <w:r w:rsidRPr="001A553F">
        <w:rPr>
          <w:i/>
        </w:rPr>
        <w:t>If a score is not included</w:t>
      </w:r>
      <w:r w:rsidR="001C716D">
        <w:rPr>
          <w:i/>
        </w:rPr>
        <w:t>,</w:t>
      </w:r>
      <w:r w:rsidRPr="001A553F">
        <w:rPr>
          <w:i/>
        </w:rPr>
        <w:t xml:space="preserve"> the assessment must provide the reason why it could not be completed and alternative supporting evidence such as a clinical report must be provided in the ACFI Answer Appraisal Pack</w:t>
      </w:r>
      <w:r>
        <w:rPr>
          <w:i/>
        </w:rPr>
        <w:t>.</w:t>
      </w:r>
      <w:r w:rsidR="001C716D">
        <w:rPr>
          <w:i/>
        </w:rPr>
        <w:t>’</w:t>
      </w:r>
      <w:r>
        <w:rPr>
          <w:i/>
        </w:rPr>
        <w:t xml:space="preserve"> </w:t>
      </w:r>
      <w:r w:rsidR="00551104">
        <w:t>(Department of Health, 2016, p.</w:t>
      </w:r>
      <w:r>
        <w:t>27).</w:t>
      </w:r>
    </w:p>
    <w:p w:rsidR="005A751E" w:rsidRDefault="008F5675" w:rsidP="005A751E">
      <w:pPr>
        <w:pStyle w:val="Caption"/>
        <w:keepNext/>
      </w:pPr>
      <w:bookmarkStart w:id="329" w:name="_Toc495416509"/>
      <w:r>
        <w:t>Figure 5.</w:t>
      </w:r>
      <w:r w:rsidR="009A3F5A">
        <w:fldChar w:fldCharType="begin"/>
      </w:r>
      <w:r w:rsidR="009A3F5A">
        <w:instrText xml:space="preserve"> SEQ Figure_5. \* ARABIC </w:instrText>
      </w:r>
      <w:r w:rsidR="009A3F5A">
        <w:fldChar w:fldCharType="separate"/>
      </w:r>
      <w:r w:rsidR="00856E49">
        <w:rPr>
          <w:noProof/>
        </w:rPr>
        <w:t>2</w:t>
      </w:r>
      <w:r w:rsidR="009A3F5A">
        <w:rPr>
          <w:noProof/>
        </w:rPr>
        <w:fldChar w:fldCharType="end"/>
      </w:r>
      <w:r>
        <w:t xml:space="preserve">: </w:t>
      </w:r>
      <w:r w:rsidRPr="008F5675">
        <w:t xml:space="preserve">ACFI 6 </w:t>
      </w:r>
      <w:r w:rsidRPr="008F5675">
        <w:rPr>
          <w:lang w:val="en-US"/>
        </w:rPr>
        <w:t>Cognition Ratings (A, B, C, D) 2009 – 2016</w:t>
      </w:r>
      <w:bookmarkEnd w:id="329"/>
    </w:p>
    <w:p w:rsidR="00590231" w:rsidRPr="00424A0A" w:rsidRDefault="00590231" w:rsidP="008F5675">
      <w:r>
        <w:rPr>
          <w:noProof/>
          <w:lang w:eastAsia="en-AU"/>
        </w:rPr>
        <w:drawing>
          <wp:inline distT="0" distB="0" distL="0" distR="0" wp14:anchorId="03F93AB2" wp14:editId="0B4D6508">
            <wp:extent cx="5760000" cy="3704400"/>
            <wp:effectExtent l="0" t="0" r="0" b="0"/>
            <wp:docPr id="10" name="Picture 10" descr="Figure 5.2 is a line graph illustrating the percentage of residents with cognitive impairment from 2009 to 2016. The ratings are no issues, mild, moderate and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00" cy="3704400"/>
                    </a:xfrm>
                    <a:prstGeom prst="rect">
                      <a:avLst/>
                    </a:prstGeom>
                    <a:noFill/>
                  </pic:spPr>
                </pic:pic>
              </a:graphicData>
            </a:graphic>
          </wp:inline>
        </w:drawing>
      </w:r>
    </w:p>
    <w:p w:rsidR="00980F62" w:rsidRDefault="003217B9" w:rsidP="003217B9">
      <w:pPr>
        <w:rPr>
          <w:lang w:val="en-US"/>
        </w:rPr>
      </w:pPr>
      <w:r w:rsidRPr="005A7C3F">
        <w:rPr>
          <w:lang w:val="en-US"/>
        </w:rPr>
        <w:t>(Labeled percentages are for the moderate cognition claims)</w:t>
      </w:r>
    </w:p>
    <w:p w:rsidR="00980F62" w:rsidRDefault="008F5675" w:rsidP="005A751E">
      <w:pPr>
        <w:pStyle w:val="Caption"/>
        <w:keepNext/>
      </w:pPr>
      <w:bookmarkStart w:id="330" w:name="_Toc495416510"/>
      <w:r>
        <w:t>Figure 5.</w:t>
      </w:r>
      <w:r w:rsidR="009A3F5A">
        <w:fldChar w:fldCharType="begin"/>
      </w:r>
      <w:r w:rsidR="009A3F5A">
        <w:instrText xml:space="preserve"> SEQ Figure_5. \* ARABIC </w:instrText>
      </w:r>
      <w:r w:rsidR="009A3F5A">
        <w:fldChar w:fldCharType="separate"/>
      </w:r>
      <w:r w:rsidR="00856E49">
        <w:rPr>
          <w:noProof/>
        </w:rPr>
        <w:t>3</w:t>
      </w:r>
      <w:r w:rsidR="009A3F5A">
        <w:rPr>
          <w:noProof/>
        </w:rPr>
        <w:fldChar w:fldCharType="end"/>
      </w:r>
      <w:r>
        <w:t xml:space="preserve">: </w:t>
      </w:r>
      <w:r w:rsidRPr="008F5675">
        <w:t>ACFI 6 Average PAS-CIS Scores 2009 - 2016</w:t>
      </w:r>
      <w:bookmarkEnd w:id="330"/>
    </w:p>
    <w:p w:rsidR="00590231" w:rsidRDefault="00590231" w:rsidP="003217B9">
      <w:pPr>
        <w:spacing w:after="200"/>
      </w:pPr>
      <w:r>
        <w:rPr>
          <w:noProof/>
          <w:lang w:eastAsia="en-AU"/>
        </w:rPr>
        <w:drawing>
          <wp:inline distT="0" distB="0" distL="0" distR="0" wp14:anchorId="33299762" wp14:editId="5DA15C46">
            <wp:extent cx="5760000" cy="3502800"/>
            <wp:effectExtent l="0" t="0" r="0" b="2540"/>
            <wp:docPr id="12" name="Picture 12" descr="Figure 5.3 is a line graph illustrating the average Psychogeriatric Assessment Scales-Cognitive Impairment Scale (PAS-CIS) scores for cognitive skills from 2009 to 2016, as summarised in the text prior to thi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00" cy="3502800"/>
                    </a:xfrm>
                    <a:prstGeom prst="rect">
                      <a:avLst/>
                    </a:prstGeom>
                    <a:noFill/>
                  </pic:spPr>
                </pic:pic>
              </a:graphicData>
            </a:graphic>
          </wp:inline>
        </w:drawing>
      </w:r>
    </w:p>
    <w:p w:rsidR="00E405D3" w:rsidRDefault="00E405D3">
      <w:pPr>
        <w:spacing w:after="200"/>
        <w:jc w:val="left"/>
      </w:pPr>
      <w:r>
        <w:br w:type="page"/>
      </w:r>
    </w:p>
    <w:p w:rsidR="003217B9" w:rsidRDefault="003217B9" w:rsidP="006577A2">
      <w:pPr>
        <w:pStyle w:val="Heading3-Chapter52"/>
      </w:pPr>
      <w:bookmarkStart w:id="331" w:name="_Toc485990603"/>
      <w:r>
        <w:lastRenderedPageBreak/>
        <w:t>ACFI 7 Wandering Behaviour</w:t>
      </w:r>
      <w:bookmarkEnd w:id="331"/>
    </w:p>
    <w:p w:rsidR="00980F62" w:rsidRDefault="003217B9" w:rsidP="00720C8D">
      <w:pPr>
        <w:rPr>
          <w:lang w:eastAsia="en-AU"/>
        </w:rPr>
      </w:pPr>
      <w:r>
        <w:rPr>
          <w:lang w:eastAsia="en-AU"/>
        </w:rPr>
        <w:t>The proportion of residents rated with problem wandering behaviour has shown a consistent decrease since 2011 (</w:t>
      </w:r>
      <w:hyperlink w:anchor="Fig0504" w:history="1">
        <w:r w:rsidRPr="00DE7661">
          <w:rPr>
            <w:rStyle w:val="Hyperlink"/>
            <w:lang w:eastAsia="en-AU"/>
          </w:rPr>
          <w:t>Figure 5.4</w:t>
        </w:r>
      </w:hyperlink>
      <w:r>
        <w:rPr>
          <w:lang w:eastAsia="en-AU"/>
        </w:rPr>
        <w:t xml:space="preserve"> – yellow, red and grey lines). The ‘no wandering’ rating has increased from 65.7</w:t>
      </w:r>
      <w:r w:rsidR="002965F2">
        <w:rPr>
          <w:lang w:eastAsia="en-AU"/>
        </w:rPr>
        <w:t xml:space="preserve"> per cent</w:t>
      </w:r>
      <w:r>
        <w:rPr>
          <w:lang w:eastAsia="en-AU"/>
        </w:rPr>
        <w:t xml:space="preserve"> in 2011 to 79.2</w:t>
      </w:r>
      <w:r w:rsidR="002965F2">
        <w:rPr>
          <w:lang w:eastAsia="en-AU"/>
        </w:rPr>
        <w:t xml:space="preserve"> per cent</w:t>
      </w:r>
      <w:r>
        <w:rPr>
          <w:lang w:eastAsia="en-AU"/>
        </w:rPr>
        <w:t xml:space="preserve"> by June 30, 2016 indicating that only around 2 in 10 residents are now reported </w:t>
      </w:r>
      <w:r w:rsidR="006D13EE">
        <w:rPr>
          <w:lang w:eastAsia="en-AU"/>
        </w:rPr>
        <w:t xml:space="preserve">to </w:t>
      </w:r>
      <w:r w:rsidR="00AF482E">
        <w:rPr>
          <w:lang w:eastAsia="en-AU"/>
        </w:rPr>
        <w:t xml:space="preserve">problem </w:t>
      </w:r>
      <w:r w:rsidR="006D13EE">
        <w:rPr>
          <w:lang w:eastAsia="en-AU"/>
        </w:rPr>
        <w:t>wander</w:t>
      </w:r>
      <w:r>
        <w:rPr>
          <w:lang w:eastAsia="en-AU"/>
        </w:rPr>
        <w:t xml:space="preserve">. The type of wandering reported has similarly decreased for both </w:t>
      </w:r>
      <w:r w:rsidR="006D13EE">
        <w:rPr>
          <w:lang w:eastAsia="en-AU"/>
        </w:rPr>
        <w:t>‘</w:t>
      </w:r>
      <w:r>
        <w:rPr>
          <w:lang w:eastAsia="en-AU"/>
        </w:rPr>
        <w:t>interfering</w:t>
      </w:r>
      <w:r w:rsidR="006D13EE">
        <w:rPr>
          <w:lang w:eastAsia="en-AU"/>
        </w:rPr>
        <w:t>’</w:t>
      </w:r>
      <w:r>
        <w:rPr>
          <w:lang w:eastAsia="en-AU"/>
        </w:rPr>
        <w:t xml:space="preserve"> and </w:t>
      </w:r>
      <w:r w:rsidR="006D13EE">
        <w:rPr>
          <w:lang w:eastAsia="en-AU"/>
        </w:rPr>
        <w:t>‘</w:t>
      </w:r>
      <w:r>
        <w:rPr>
          <w:lang w:eastAsia="en-AU"/>
        </w:rPr>
        <w:t>inappropriate places</w:t>
      </w:r>
      <w:r w:rsidR="006D13EE">
        <w:rPr>
          <w:lang w:eastAsia="en-AU"/>
        </w:rPr>
        <w:t>’</w:t>
      </w:r>
      <w:r>
        <w:rPr>
          <w:lang w:eastAsia="en-AU"/>
        </w:rPr>
        <w:t xml:space="preserve"> behaviours in the period since 2009 (</w:t>
      </w:r>
      <w:hyperlink w:anchor="Fig0505" w:history="1">
        <w:r w:rsidRPr="009443F6">
          <w:rPr>
            <w:rStyle w:val="Hyperlink"/>
            <w:lang w:eastAsia="en-AU"/>
          </w:rPr>
          <w:t>Figure 5.5</w:t>
        </w:r>
      </w:hyperlink>
      <w:r>
        <w:rPr>
          <w:lang w:eastAsia="en-AU"/>
        </w:rPr>
        <w:t>).</w:t>
      </w:r>
    </w:p>
    <w:p w:rsidR="005A751E" w:rsidRDefault="006D3B20" w:rsidP="005A751E">
      <w:pPr>
        <w:pStyle w:val="Caption"/>
        <w:keepNext/>
      </w:pPr>
      <w:bookmarkStart w:id="332" w:name="_Toc495416511"/>
      <w:bookmarkStart w:id="333" w:name="_Hlk484419272"/>
      <w:r>
        <w:t>Figure 5.</w:t>
      </w:r>
      <w:r w:rsidR="009A3F5A">
        <w:fldChar w:fldCharType="begin"/>
      </w:r>
      <w:r w:rsidR="009A3F5A">
        <w:instrText xml:space="preserve"> SEQ Figure_5. \* ARABIC </w:instrText>
      </w:r>
      <w:r w:rsidR="009A3F5A">
        <w:fldChar w:fldCharType="separate"/>
      </w:r>
      <w:r w:rsidR="00856E49">
        <w:rPr>
          <w:noProof/>
        </w:rPr>
        <w:t>4</w:t>
      </w:r>
      <w:r w:rsidR="009A3F5A">
        <w:rPr>
          <w:noProof/>
        </w:rPr>
        <w:fldChar w:fldCharType="end"/>
      </w:r>
      <w:r>
        <w:t xml:space="preserve">: </w:t>
      </w:r>
      <w:r w:rsidRPr="006D3B20">
        <w:t>ACFI 7 Wandering Behaviour Frequency Levels 2009 - 2016</w:t>
      </w:r>
      <w:bookmarkEnd w:id="332"/>
    </w:p>
    <w:p w:rsidR="003217B9" w:rsidRDefault="00590231" w:rsidP="003217B9">
      <w:pPr>
        <w:spacing w:after="200"/>
      </w:pPr>
      <w:r>
        <w:rPr>
          <w:noProof/>
          <w:lang w:eastAsia="en-AU"/>
        </w:rPr>
        <w:drawing>
          <wp:inline distT="0" distB="0" distL="0" distR="0" wp14:anchorId="125DC2D2" wp14:editId="3207C084">
            <wp:extent cx="5760000" cy="3150000"/>
            <wp:effectExtent l="0" t="0" r="0" b="0"/>
            <wp:docPr id="18" name="Picture 18" descr="Figure 5.4 is a line graph illustrating the percentage of residents with wandering behaviour and frequency from 2009 to 2016, as summarised above. The frequency ratings are no wandering, once a week, six days a week and twice a day six times a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00" cy="3150000"/>
                    </a:xfrm>
                    <a:prstGeom prst="rect">
                      <a:avLst/>
                    </a:prstGeom>
                    <a:noFill/>
                  </pic:spPr>
                </pic:pic>
              </a:graphicData>
            </a:graphic>
          </wp:inline>
        </w:drawing>
      </w:r>
    </w:p>
    <w:p w:rsidR="005A751E" w:rsidRDefault="006D3B20" w:rsidP="005A751E">
      <w:pPr>
        <w:pStyle w:val="Caption"/>
        <w:keepNext/>
      </w:pPr>
      <w:bookmarkStart w:id="334" w:name="_Toc495416512"/>
      <w:r>
        <w:t>Figure 5.</w:t>
      </w:r>
      <w:r w:rsidR="009A3F5A">
        <w:fldChar w:fldCharType="begin"/>
      </w:r>
      <w:r w:rsidR="009A3F5A">
        <w:instrText xml:space="preserve"> SEQ Figure_5. \* ARABIC </w:instrText>
      </w:r>
      <w:r w:rsidR="009A3F5A">
        <w:fldChar w:fldCharType="separate"/>
      </w:r>
      <w:r w:rsidR="00856E49">
        <w:rPr>
          <w:noProof/>
        </w:rPr>
        <w:t>5</w:t>
      </w:r>
      <w:r w:rsidR="009A3F5A">
        <w:rPr>
          <w:noProof/>
        </w:rPr>
        <w:fldChar w:fldCharType="end"/>
      </w:r>
      <w:r>
        <w:t xml:space="preserve">: </w:t>
      </w:r>
      <w:r w:rsidRPr="006D3B20">
        <w:t>ACFI 7 Wandering Behaviour Type 2009 - 2016</w:t>
      </w:r>
      <w:bookmarkEnd w:id="334"/>
    </w:p>
    <w:p w:rsidR="00590231" w:rsidRDefault="00590231" w:rsidP="00E405D3">
      <w:r>
        <w:rPr>
          <w:noProof/>
          <w:lang w:eastAsia="en-AU"/>
        </w:rPr>
        <w:drawing>
          <wp:inline distT="0" distB="0" distL="0" distR="0" wp14:anchorId="6E7153B4" wp14:editId="0CA512BC">
            <wp:extent cx="5760000" cy="3020400"/>
            <wp:effectExtent l="0" t="0" r="0" b="8890"/>
            <wp:docPr id="23" name="Picture 23" descr="Figure 5.5 is a line graph illustrating the percentage of residents with wandering behaviour from 2009 to 2016, as summarised in the text prior to this table. The type of behaviours are no behaviour, interfering wandering and inappropriate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00" cy="3020400"/>
                    </a:xfrm>
                    <a:prstGeom prst="rect">
                      <a:avLst/>
                    </a:prstGeom>
                    <a:noFill/>
                  </pic:spPr>
                </pic:pic>
              </a:graphicData>
            </a:graphic>
          </wp:inline>
        </w:drawing>
      </w:r>
    </w:p>
    <w:p w:rsidR="003217B9" w:rsidRPr="00830247" w:rsidRDefault="003217B9" w:rsidP="006577A2">
      <w:pPr>
        <w:pStyle w:val="Heading3-Chapter52"/>
      </w:pPr>
      <w:bookmarkStart w:id="335" w:name="_Toc485990604"/>
      <w:bookmarkEnd w:id="333"/>
      <w:r>
        <w:lastRenderedPageBreak/>
        <w:t>ACFI 8 Verbal Behaviour</w:t>
      </w:r>
      <w:bookmarkEnd w:id="335"/>
    </w:p>
    <w:p w:rsidR="00980F62" w:rsidRDefault="003217B9" w:rsidP="00720C8D">
      <w:pPr>
        <w:rPr>
          <w:lang w:eastAsia="en-AU"/>
        </w:rPr>
      </w:pPr>
      <w:r>
        <w:rPr>
          <w:lang w:eastAsia="en-AU"/>
        </w:rPr>
        <w:t>The proportion of residents rated with the highest level of verbal behaviour frequency (twice a day, 6 days a week – D rating) has consistently increased since 2009 from 4 in 10 residents to nearly 6 in 10 residents by June 30, 2016 (</w:t>
      </w:r>
      <w:hyperlink w:anchor="Fig0506" w:history="1">
        <w:r w:rsidRPr="009443F6">
          <w:rPr>
            <w:rStyle w:val="Hyperlink"/>
            <w:lang w:eastAsia="en-AU"/>
          </w:rPr>
          <w:t>Figure 5.6</w:t>
        </w:r>
      </w:hyperlink>
      <w:r>
        <w:rPr>
          <w:lang w:eastAsia="en-AU"/>
        </w:rPr>
        <w:t>). The main driver of this increase w</w:t>
      </w:r>
      <w:r w:rsidR="001C716D">
        <w:rPr>
          <w:lang w:eastAsia="en-AU"/>
        </w:rPr>
        <w:t>as</w:t>
      </w:r>
      <w:r>
        <w:rPr>
          <w:lang w:eastAsia="en-AU"/>
        </w:rPr>
        <w:t xml:space="preserve"> ratings on </w:t>
      </w:r>
      <w:r w:rsidR="007D3BA7">
        <w:rPr>
          <w:lang w:eastAsia="en-AU"/>
        </w:rPr>
        <w:t>‘</w:t>
      </w:r>
      <w:r>
        <w:rPr>
          <w:lang w:eastAsia="en-AU"/>
        </w:rPr>
        <w:t>refusal of care</w:t>
      </w:r>
      <w:r w:rsidR="007D3BA7">
        <w:rPr>
          <w:lang w:eastAsia="en-AU"/>
        </w:rPr>
        <w:t>’</w:t>
      </w:r>
      <w:r>
        <w:rPr>
          <w:lang w:eastAsia="en-AU"/>
        </w:rPr>
        <w:t xml:space="preserve"> which increased from 52.2 to 72.4</w:t>
      </w:r>
      <w:r w:rsidR="002965F2">
        <w:rPr>
          <w:lang w:eastAsia="en-AU"/>
        </w:rPr>
        <w:t xml:space="preserve"> per cent</w:t>
      </w:r>
      <w:r>
        <w:rPr>
          <w:lang w:eastAsia="en-AU"/>
        </w:rPr>
        <w:t xml:space="preserve"> of </w:t>
      </w:r>
      <w:bookmarkStart w:id="336" w:name="_Hlk484420601"/>
      <w:r>
        <w:rPr>
          <w:lang w:eastAsia="en-AU"/>
        </w:rPr>
        <w:t xml:space="preserve">residents, as shown in </w:t>
      </w:r>
      <w:hyperlink w:anchor="Fig0507" w:history="1">
        <w:r w:rsidRPr="009443F6">
          <w:rPr>
            <w:rStyle w:val="Hyperlink"/>
            <w:lang w:eastAsia="en-AU"/>
          </w:rPr>
          <w:t>Figure 5.7</w:t>
        </w:r>
      </w:hyperlink>
      <w:r>
        <w:rPr>
          <w:lang w:eastAsia="en-AU"/>
        </w:rPr>
        <w:t xml:space="preserve"> (4.8</w:t>
      </w:r>
      <w:r w:rsidR="002965F2">
        <w:rPr>
          <w:lang w:eastAsia="en-AU"/>
        </w:rPr>
        <w:t xml:space="preserve"> per cent</w:t>
      </w:r>
      <w:r>
        <w:rPr>
          <w:lang w:eastAsia="en-AU"/>
        </w:rPr>
        <w:t xml:space="preserve"> growth pa.).</w:t>
      </w:r>
    </w:p>
    <w:p w:rsidR="005A751E" w:rsidRDefault="006D3B20" w:rsidP="005A751E">
      <w:pPr>
        <w:pStyle w:val="Caption"/>
        <w:keepNext/>
      </w:pPr>
      <w:bookmarkStart w:id="337" w:name="_Toc495416513"/>
      <w:r>
        <w:t>Figure 5.</w:t>
      </w:r>
      <w:r w:rsidR="009A3F5A">
        <w:fldChar w:fldCharType="begin"/>
      </w:r>
      <w:r w:rsidR="009A3F5A">
        <w:instrText xml:space="preserve"> SEQ Figure_5. \* ARABIC </w:instrText>
      </w:r>
      <w:r w:rsidR="009A3F5A">
        <w:fldChar w:fldCharType="separate"/>
      </w:r>
      <w:r w:rsidR="00856E49">
        <w:rPr>
          <w:noProof/>
        </w:rPr>
        <w:t>6</w:t>
      </w:r>
      <w:r w:rsidR="009A3F5A">
        <w:rPr>
          <w:noProof/>
        </w:rPr>
        <w:fldChar w:fldCharType="end"/>
      </w:r>
      <w:r>
        <w:t xml:space="preserve">: </w:t>
      </w:r>
      <w:r w:rsidRPr="006D3B20">
        <w:t>ACFI 8 Verbal Behaviour Frequency Levels 2009 - 2016</w:t>
      </w:r>
      <w:bookmarkEnd w:id="337"/>
    </w:p>
    <w:p w:rsidR="00590231" w:rsidRDefault="00590231" w:rsidP="003217B9">
      <w:pPr>
        <w:spacing w:after="200"/>
      </w:pPr>
      <w:r>
        <w:rPr>
          <w:noProof/>
          <w:lang w:eastAsia="en-AU"/>
        </w:rPr>
        <w:drawing>
          <wp:inline distT="0" distB="0" distL="0" distR="0" wp14:anchorId="33CC70D1" wp14:editId="4510D672">
            <wp:extent cx="5760000" cy="3092400"/>
            <wp:effectExtent l="0" t="0" r="0" b="0"/>
            <wp:docPr id="25" name="Picture 25" descr="Figure 5.6 is a line graph illustrating the percentage of residents with verbal behaviour and frequency from 2009 to 2016, as summarised in the text prior to this table. The frequency ratings are no verbal behaviour, once a week, six days a week and twice a day six times a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00" cy="3092400"/>
                    </a:xfrm>
                    <a:prstGeom prst="rect">
                      <a:avLst/>
                    </a:prstGeom>
                    <a:noFill/>
                  </pic:spPr>
                </pic:pic>
              </a:graphicData>
            </a:graphic>
          </wp:inline>
        </w:drawing>
      </w:r>
    </w:p>
    <w:p w:rsidR="005A751E" w:rsidRDefault="006D3B20" w:rsidP="005A751E">
      <w:pPr>
        <w:pStyle w:val="Caption"/>
        <w:keepNext/>
      </w:pPr>
      <w:bookmarkStart w:id="338" w:name="_Toc495416514"/>
      <w:r>
        <w:t>Figure 5.</w:t>
      </w:r>
      <w:r w:rsidR="009A3F5A">
        <w:fldChar w:fldCharType="begin"/>
      </w:r>
      <w:r w:rsidR="009A3F5A">
        <w:instrText xml:space="preserve"> SEQ Figure_5. \* ARABIC </w:instrText>
      </w:r>
      <w:r w:rsidR="009A3F5A">
        <w:fldChar w:fldCharType="separate"/>
      </w:r>
      <w:r w:rsidR="00856E49">
        <w:rPr>
          <w:noProof/>
        </w:rPr>
        <w:t>7</w:t>
      </w:r>
      <w:r w:rsidR="009A3F5A">
        <w:rPr>
          <w:noProof/>
        </w:rPr>
        <w:fldChar w:fldCharType="end"/>
      </w:r>
      <w:r>
        <w:t xml:space="preserve">: </w:t>
      </w:r>
      <w:r w:rsidRPr="006D3B20">
        <w:t>ACFI 8 Verbal Behaviour Type 2009 - 2016</w:t>
      </w:r>
      <w:bookmarkEnd w:id="338"/>
    </w:p>
    <w:p w:rsidR="00590231" w:rsidRDefault="00590231" w:rsidP="003217B9">
      <w:r>
        <w:rPr>
          <w:noProof/>
          <w:lang w:eastAsia="en-AU"/>
        </w:rPr>
        <w:drawing>
          <wp:inline distT="0" distB="0" distL="0" distR="0" wp14:anchorId="31FFA90F" wp14:editId="38056F87">
            <wp:extent cx="5760000" cy="3294000"/>
            <wp:effectExtent l="0" t="0" r="0" b="1905"/>
            <wp:docPr id="30" name="Picture 30" descr="Figure 5.7 is a line graph illustrating the percentage of residents with verbal behaviours by type from 2009 to 2016, as detailed under 5.3.2 ‘ACFI 7-9 Wandering, Verbal &amp; Physical Behaviour Questions’. The types of verbal behaviours are no behaviour, refusal of care, verbal disruption, paranoid ideation and sexually inappropr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00" cy="3294000"/>
                    </a:xfrm>
                    <a:prstGeom prst="rect">
                      <a:avLst/>
                    </a:prstGeom>
                    <a:noFill/>
                  </pic:spPr>
                </pic:pic>
              </a:graphicData>
            </a:graphic>
          </wp:inline>
        </w:drawing>
      </w:r>
    </w:p>
    <w:p w:rsidR="003217B9" w:rsidRDefault="003217B9" w:rsidP="006577A2">
      <w:pPr>
        <w:pStyle w:val="Heading3-Chapter52"/>
      </w:pPr>
      <w:bookmarkStart w:id="339" w:name="_Toc485990605"/>
      <w:bookmarkEnd w:id="336"/>
      <w:r>
        <w:lastRenderedPageBreak/>
        <w:t>ACFI 9 Physical Behaviour</w:t>
      </w:r>
      <w:bookmarkEnd w:id="339"/>
    </w:p>
    <w:p w:rsidR="00980F62" w:rsidRDefault="003217B9" w:rsidP="00720C8D">
      <w:pPr>
        <w:rPr>
          <w:lang w:eastAsia="en-AU"/>
        </w:rPr>
      </w:pPr>
      <w:r>
        <w:rPr>
          <w:lang w:eastAsia="en-AU"/>
        </w:rPr>
        <w:t xml:space="preserve">The proportion of residents rated at the highest level of physical behaviour (twice a day, six days a week - D rating) significantly increased from 2009 to 2012 but then </w:t>
      </w:r>
      <w:r w:rsidR="007D3BA7">
        <w:rPr>
          <w:lang w:eastAsia="en-AU"/>
        </w:rPr>
        <w:t xml:space="preserve">remained </w:t>
      </w:r>
      <w:r>
        <w:rPr>
          <w:lang w:eastAsia="en-AU"/>
        </w:rPr>
        <w:t xml:space="preserve">steady </w:t>
      </w:r>
      <w:r w:rsidR="007D3BA7">
        <w:rPr>
          <w:lang w:eastAsia="en-AU"/>
        </w:rPr>
        <w:t xml:space="preserve">at around </w:t>
      </w:r>
      <w:r>
        <w:rPr>
          <w:lang w:eastAsia="en-AU"/>
        </w:rPr>
        <w:t>45 to 43</w:t>
      </w:r>
      <w:r w:rsidR="002965F2">
        <w:rPr>
          <w:lang w:eastAsia="en-AU"/>
        </w:rPr>
        <w:t xml:space="preserve"> per cent</w:t>
      </w:r>
      <w:r>
        <w:rPr>
          <w:lang w:eastAsia="en-AU"/>
        </w:rPr>
        <w:t xml:space="preserve"> of residents from 2012 to June 30, 2016 (</w:t>
      </w:r>
      <w:hyperlink w:anchor="Fig0508" w:history="1">
        <w:r w:rsidRPr="009443F6">
          <w:rPr>
            <w:rStyle w:val="Hyperlink"/>
            <w:lang w:eastAsia="en-AU"/>
          </w:rPr>
          <w:t>Figure 5.8</w:t>
        </w:r>
      </w:hyperlink>
      <w:r>
        <w:rPr>
          <w:lang w:eastAsia="en-AU"/>
        </w:rPr>
        <w:t xml:space="preserve">). The behaviour type which was overwhelmingly responsible for residents being rated with physical behaviours was </w:t>
      </w:r>
      <w:r w:rsidR="007D3BA7">
        <w:rPr>
          <w:lang w:eastAsia="en-AU"/>
        </w:rPr>
        <w:t>‘</w:t>
      </w:r>
      <w:r>
        <w:rPr>
          <w:lang w:eastAsia="en-AU"/>
        </w:rPr>
        <w:t>constantly agitated</w:t>
      </w:r>
      <w:r w:rsidR="007D3BA7">
        <w:rPr>
          <w:lang w:eastAsia="en-AU"/>
        </w:rPr>
        <w:t>’</w:t>
      </w:r>
      <w:r>
        <w:rPr>
          <w:lang w:eastAsia="en-AU"/>
        </w:rPr>
        <w:t xml:space="preserve"> (</w:t>
      </w:r>
      <w:hyperlink w:anchor="Fig0509" w:history="1">
        <w:r w:rsidRPr="009443F6">
          <w:rPr>
            <w:rStyle w:val="Hyperlink"/>
            <w:lang w:eastAsia="en-AU"/>
          </w:rPr>
          <w:t>Figure 5.9</w:t>
        </w:r>
      </w:hyperlink>
      <w:r>
        <w:rPr>
          <w:lang w:eastAsia="en-AU"/>
        </w:rPr>
        <w:t>) which had an increase of 6.8</w:t>
      </w:r>
      <w:r w:rsidR="002965F2">
        <w:rPr>
          <w:lang w:eastAsia="en-AU"/>
        </w:rPr>
        <w:t xml:space="preserve"> per cent</w:t>
      </w:r>
      <w:r>
        <w:rPr>
          <w:lang w:eastAsia="en-AU"/>
        </w:rPr>
        <w:t xml:space="preserve"> pa. over the period to June 30, 2016.</w:t>
      </w:r>
    </w:p>
    <w:p w:rsidR="005A751E" w:rsidRDefault="006D3B20" w:rsidP="005A751E">
      <w:pPr>
        <w:pStyle w:val="Caption"/>
        <w:keepNext/>
      </w:pPr>
      <w:bookmarkStart w:id="340" w:name="_Toc495416515"/>
      <w:r>
        <w:t>Figure 5.</w:t>
      </w:r>
      <w:r w:rsidR="009A3F5A">
        <w:fldChar w:fldCharType="begin"/>
      </w:r>
      <w:r w:rsidR="009A3F5A">
        <w:instrText xml:space="preserve"> SEQ Figure_5. \* ARABIC </w:instrText>
      </w:r>
      <w:r w:rsidR="009A3F5A">
        <w:fldChar w:fldCharType="separate"/>
      </w:r>
      <w:r w:rsidR="00856E49">
        <w:rPr>
          <w:noProof/>
        </w:rPr>
        <w:t>8</w:t>
      </w:r>
      <w:r w:rsidR="009A3F5A">
        <w:rPr>
          <w:noProof/>
        </w:rPr>
        <w:fldChar w:fldCharType="end"/>
      </w:r>
      <w:r>
        <w:t xml:space="preserve">: </w:t>
      </w:r>
      <w:r w:rsidRPr="006D3B20">
        <w:t>ACFI 9 Physical Behaviour Frequency Levels 2009 - 2016</w:t>
      </w:r>
      <w:bookmarkEnd w:id="340"/>
    </w:p>
    <w:p w:rsidR="00590231" w:rsidRPr="00E405D3" w:rsidRDefault="00590231" w:rsidP="003217B9">
      <w:pPr>
        <w:spacing w:after="200"/>
      </w:pPr>
      <w:r>
        <w:rPr>
          <w:noProof/>
          <w:lang w:eastAsia="en-AU"/>
        </w:rPr>
        <w:drawing>
          <wp:inline distT="0" distB="0" distL="0" distR="0" wp14:anchorId="43946808" wp14:editId="2F67DA84">
            <wp:extent cx="5358765" cy="3213100"/>
            <wp:effectExtent l="0" t="0" r="0" b="6350"/>
            <wp:docPr id="34" name="Picture 34" descr="Figure 5.8 is a line graph illustrating the percentage of residents with physical behaviours and frequency from 2009 to 2016, as summarised in the text prior to this image. The frequency ratings are no physical behaviour (PB), PB once a week, PB six days a week and PB twice a day six times a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58765" cy="3213100"/>
                    </a:xfrm>
                    <a:prstGeom prst="rect">
                      <a:avLst/>
                    </a:prstGeom>
                    <a:noFill/>
                  </pic:spPr>
                </pic:pic>
              </a:graphicData>
            </a:graphic>
          </wp:inline>
        </w:drawing>
      </w:r>
    </w:p>
    <w:p w:rsidR="005A751E" w:rsidRDefault="006D3B20" w:rsidP="005A751E">
      <w:pPr>
        <w:pStyle w:val="Caption"/>
        <w:keepNext/>
      </w:pPr>
      <w:bookmarkStart w:id="341" w:name="_Toc495416516"/>
      <w:r>
        <w:t>Figure 5.</w:t>
      </w:r>
      <w:r w:rsidR="009A3F5A">
        <w:fldChar w:fldCharType="begin"/>
      </w:r>
      <w:r w:rsidR="009A3F5A">
        <w:instrText xml:space="preserve"> SEQ Figure_5. \* ARABIC </w:instrText>
      </w:r>
      <w:r w:rsidR="009A3F5A">
        <w:fldChar w:fldCharType="separate"/>
      </w:r>
      <w:r w:rsidR="00856E49">
        <w:rPr>
          <w:noProof/>
        </w:rPr>
        <w:t>9</w:t>
      </w:r>
      <w:r w:rsidR="009A3F5A">
        <w:rPr>
          <w:noProof/>
        </w:rPr>
        <w:fldChar w:fldCharType="end"/>
      </w:r>
      <w:r>
        <w:t xml:space="preserve">: </w:t>
      </w:r>
      <w:r w:rsidRPr="006D3B20">
        <w:t>ACFI 9 Physical Behaviour Type 2009 - 2016</w:t>
      </w:r>
      <w:bookmarkEnd w:id="341"/>
    </w:p>
    <w:p w:rsidR="00590231" w:rsidRPr="00E405D3" w:rsidRDefault="00590231" w:rsidP="003217B9">
      <w:pPr>
        <w:spacing w:after="200"/>
      </w:pPr>
      <w:r>
        <w:rPr>
          <w:noProof/>
          <w:lang w:eastAsia="en-AU"/>
        </w:rPr>
        <w:drawing>
          <wp:inline distT="0" distB="0" distL="0" distR="0" wp14:anchorId="3E36CB1A" wp14:editId="571A736B">
            <wp:extent cx="5401310" cy="3279775"/>
            <wp:effectExtent l="0" t="0" r="8890" b="0"/>
            <wp:docPr id="38" name="Picture 38" descr="Figure 5.9 is a line graph illustrating the percentage of residents with physical behaviours by type from 2009 to 2016, as detailed under 5.3.2 ‘ACFI 7-9 Wandering, Verbal &amp; Physical Behaviour Questions’. The types of behaviours are no physical behaviour, threatening or harmful, socially inappropriate and constantly agi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1310" cy="3279775"/>
                    </a:xfrm>
                    <a:prstGeom prst="rect">
                      <a:avLst/>
                    </a:prstGeom>
                    <a:noFill/>
                  </pic:spPr>
                </pic:pic>
              </a:graphicData>
            </a:graphic>
          </wp:inline>
        </w:drawing>
      </w:r>
    </w:p>
    <w:p w:rsidR="003217B9" w:rsidRPr="00830247" w:rsidRDefault="003217B9" w:rsidP="006577A2">
      <w:pPr>
        <w:pStyle w:val="Heading3-Chapter52"/>
      </w:pPr>
      <w:bookmarkStart w:id="342" w:name="_Toc485990606"/>
      <w:r>
        <w:lastRenderedPageBreak/>
        <w:t>ACFI 10 Depression</w:t>
      </w:r>
      <w:bookmarkEnd w:id="342"/>
    </w:p>
    <w:p w:rsidR="00980F62" w:rsidRDefault="003217B9" w:rsidP="00720C8D">
      <w:pPr>
        <w:rPr>
          <w:lang w:eastAsia="en-AU"/>
        </w:rPr>
      </w:pPr>
      <w:r>
        <w:rPr>
          <w:lang w:eastAsia="en-AU"/>
        </w:rPr>
        <w:t xml:space="preserve">The average Cornell Scale for Depression </w:t>
      </w:r>
      <w:r w:rsidR="001C716D">
        <w:rPr>
          <w:lang w:eastAsia="en-AU"/>
        </w:rPr>
        <w:t xml:space="preserve">(CSD) </w:t>
      </w:r>
      <w:r>
        <w:rPr>
          <w:lang w:eastAsia="en-AU"/>
        </w:rPr>
        <w:t>score has increased from 9.9 in 2009, which is in the B funding category on average (mild degree of symptoms), to 13.1 at June 30, 2016 which is just below the C funding category on average (moderate degree of symptoms).</w:t>
      </w:r>
    </w:p>
    <w:p w:rsidR="003217B9" w:rsidRDefault="003217B9" w:rsidP="00720C8D">
      <w:pPr>
        <w:rPr>
          <w:lang w:eastAsia="en-AU"/>
        </w:rPr>
      </w:pPr>
      <w:r>
        <w:rPr>
          <w:lang w:eastAsia="en-AU"/>
        </w:rPr>
        <w:t>The category (A, B, C, D) growth rates between 2009 and June 30, 2016 for symptom counts were 4.7</w:t>
      </w:r>
      <w:r w:rsidR="002965F2">
        <w:rPr>
          <w:lang w:eastAsia="en-AU"/>
        </w:rPr>
        <w:t xml:space="preserve"> per cent</w:t>
      </w:r>
      <w:r>
        <w:rPr>
          <w:lang w:eastAsia="en-AU"/>
        </w:rPr>
        <w:t xml:space="preserve"> pa. for B (19.2 to 26.6</w:t>
      </w:r>
      <w:r w:rsidR="002965F2">
        <w:rPr>
          <w:lang w:eastAsia="en-AU"/>
        </w:rPr>
        <w:t xml:space="preserve"> per cent</w:t>
      </w:r>
      <w:r>
        <w:rPr>
          <w:lang w:eastAsia="en-AU"/>
        </w:rPr>
        <w:t>); 6.8</w:t>
      </w:r>
      <w:r w:rsidR="002965F2">
        <w:rPr>
          <w:lang w:eastAsia="en-AU"/>
        </w:rPr>
        <w:t xml:space="preserve"> per cent</w:t>
      </w:r>
      <w:r>
        <w:rPr>
          <w:lang w:eastAsia="en-AU"/>
        </w:rPr>
        <w:t xml:space="preserve"> pa. for C (12.2 to 19.4</w:t>
      </w:r>
      <w:r w:rsidR="002965F2">
        <w:rPr>
          <w:lang w:eastAsia="en-AU"/>
        </w:rPr>
        <w:t xml:space="preserve"> per cent</w:t>
      </w:r>
      <w:r>
        <w:rPr>
          <w:lang w:eastAsia="en-AU"/>
        </w:rPr>
        <w:t>); and 8.4</w:t>
      </w:r>
      <w:r w:rsidR="002965F2">
        <w:rPr>
          <w:lang w:eastAsia="en-AU"/>
        </w:rPr>
        <w:t xml:space="preserve"> per cent</w:t>
      </w:r>
      <w:r>
        <w:rPr>
          <w:lang w:eastAsia="en-AU"/>
        </w:rPr>
        <w:t xml:space="preserve"> pa. for D (9.7 to 17.1</w:t>
      </w:r>
      <w:r w:rsidR="002965F2">
        <w:rPr>
          <w:lang w:eastAsia="en-AU"/>
        </w:rPr>
        <w:t xml:space="preserve"> per cent</w:t>
      </w:r>
      <w:r>
        <w:rPr>
          <w:lang w:eastAsia="en-AU"/>
        </w:rPr>
        <w:t>) (</w:t>
      </w:r>
      <w:hyperlink w:anchor="Fig0510" w:history="1">
        <w:r w:rsidRPr="00654380">
          <w:rPr>
            <w:rStyle w:val="Hyperlink"/>
            <w:lang w:eastAsia="en-AU"/>
          </w:rPr>
          <w:t>Figure 5.10</w:t>
        </w:r>
      </w:hyperlink>
      <w:r>
        <w:rPr>
          <w:lang w:eastAsia="en-AU"/>
        </w:rPr>
        <w:t xml:space="preserve">). This gradual and consistent growth seems plausible given the greater awareness of </w:t>
      </w:r>
      <w:r w:rsidR="007D3BA7">
        <w:rPr>
          <w:lang w:eastAsia="en-AU"/>
        </w:rPr>
        <w:t xml:space="preserve">the prevalence of </w:t>
      </w:r>
      <w:r>
        <w:rPr>
          <w:lang w:eastAsia="en-AU"/>
        </w:rPr>
        <w:t xml:space="preserve">depression in residential aged care </w:t>
      </w:r>
      <w:r w:rsidR="007D3BA7">
        <w:rPr>
          <w:lang w:eastAsia="en-AU"/>
        </w:rPr>
        <w:t xml:space="preserve">residents </w:t>
      </w:r>
      <w:r>
        <w:rPr>
          <w:lang w:eastAsia="en-AU"/>
        </w:rPr>
        <w:t xml:space="preserve">over the period. The proportion of residents with a </w:t>
      </w:r>
      <w:r w:rsidR="001C716D">
        <w:rPr>
          <w:lang w:eastAsia="en-AU"/>
        </w:rPr>
        <w:t xml:space="preserve">formal </w:t>
      </w:r>
      <w:r>
        <w:rPr>
          <w:lang w:eastAsia="en-AU"/>
        </w:rPr>
        <w:t>diagnosis of depression also increased over the period from 20.6 to 35.9</w:t>
      </w:r>
      <w:r w:rsidR="002965F2">
        <w:rPr>
          <w:lang w:eastAsia="en-AU"/>
        </w:rPr>
        <w:t xml:space="preserve"> per cent</w:t>
      </w:r>
      <w:r>
        <w:rPr>
          <w:lang w:eastAsia="en-AU"/>
        </w:rPr>
        <w:t xml:space="preserve"> (</w:t>
      </w:r>
      <w:hyperlink w:anchor="Fig0511" w:history="1">
        <w:r w:rsidRPr="00654380">
          <w:rPr>
            <w:rStyle w:val="Hyperlink"/>
            <w:lang w:eastAsia="en-AU"/>
          </w:rPr>
          <w:t>Figure 5.11</w:t>
        </w:r>
      </w:hyperlink>
      <w:r>
        <w:rPr>
          <w:lang w:eastAsia="en-AU"/>
        </w:rPr>
        <w:t>).</w:t>
      </w:r>
    </w:p>
    <w:p w:rsidR="005A751E" w:rsidRDefault="006D3B20" w:rsidP="005A751E">
      <w:pPr>
        <w:pStyle w:val="Caption"/>
        <w:keepNext/>
      </w:pPr>
      <w:bookmarkStart w:id="343" w:name="_Toc495416517"/>
      <w:r>
        <w:t>Figure 5.</w:t>
      </w:r>
      <w:r w:rsidR="009A3F5A">
        <w:fldChar w:fldCharType="begin"/>
      </w:r>
      <w:r w:rsidR="009A3F5A">
        <w:instrText xml:space="preserve"> SEQ Figure_5. \* ARABIC </w:instrText>
      </w:r>
      <w:r w:rsidR="009A3F5A">
        <w:fldChar w:fldCharType="separate"/>
      </w:r>
      <w:r w:rsidR="00856E49">
        <w:rPr>
          <w:noProof/>
        </w:rPr>
        <w:t>10</w:t>
      </w:r>
      <w:r w:rsidR="009A3F5A">
        <w:rPr>
          <w:noProof/>
        </w:rPr>
        <w:fldChar w:fldCharType="end"/>
      </w:r>
      <w:r>
        <w:t xml:space="preserve">: </w:t>
      </w:r>
      <w:r w:rsidRPr="006D3B20">
        <w:t>ACFI 10 Depression Symptoms Levels on the CSD 2009 - 2016</w:t>
      </w:r>
      <w:bookmarkEnd w:id="343"/>
    </w:p>
    <w:p w:rsidR="00590231" w:rsidRPr="00E405D3" w:rsidRDefault="00590231" w:rsidP="003217B9">
      <w:pPr>
        <w:spacing w:after="200"/>
      </w:pPr>
      <w:r>
        <w:rPr>
          <w:noProof/>
          <w:lang w:eastAsia="en-AU"/>
        </w:rPr>
        <w:drawing>
          <wp:inline distT="0" distB="0" distL="0" distR="0" wp14:anchorId="2CCABAF2" wp14:editId="78729F0A">
            <wp:extent cx="5652000" cy="2761200"/>
            <wp:effectExtent l="0" t="0" r="6350" b="1270"/>
            <wp:docPr id="54" name="Picture 54" descr="Figure 5.10 is a line graph illustrating the percentage of residents with depression symptoms from 2009 to 2016, as summarised in the text prior to this table. The depression categories are A (where the Cornell Scale for Depression (CSD) rating is between zero to eight), B (where CSD is between nine to 13), C (where CSD is between 12 to 18) and D (where CSD is between 19 to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52000" cy="2761200"/>
                    </a:xfrm>
                    <a:prstGeom prst="rect">
                      <a:avLst/>
                    </a:prstGeom>
                    <a:noFill/>
                  </pic:spPr>
                </pic:pic>
              </a:graphicData>
            </a:graphic>
          </wp:inline>
        </w:drawing>
      </w:r>
    </w:p>
    <w:p w:rsidR="005A751E" w:rsidRDefault="006D3B20" w:rsidP="005A751E">
      <w:pPr>
        <w:pStyle w:val="Caption"/>
        <w:keepNext/>
      </w:pPr>
      <w:bookmarkStart w:id="344" w:name="_Toc495416518"/>
      <w:r>
        <w:t>Figure 5.</w:t>
      </w:r>
      <w:r w:rsidR="009A3F5A">
        <w:fldChar w:fldCharType="begin"/>
      </w:r>
      <w:r w:rsidR="009A3F5A">
        <w:instrText xml:space="preserve"> SEQ Figure_5. \* ARABIC </w:instrText>
      </w:r>
      <w:r w:rsidR="009A3F5A">
        <w:fldChar w:fldCharType="separate"/>
      </w:r>
      <w:r w:rsidR="00856E49">
        <w:rPr>
          <w:noProof/>
        </w:rPr>
        <w:t>11</w:t>
      </w:r>
      <w:r w:rsidR="009A3F5A">
        <w:rPr>
          <w:noProof/>
        </w:rPr>
        <w:fldChar w:fldCharType="end"/>
      </w:r>
      <w:r>
        <w:t xml:space="preserve">: </w:t>
      </w:r>
      <w:r w:rsidRPr="006D3B20">
        <w:t>ACFI 10 Depression Diagnosis Levels 2009 - 2016</w:t>
      </w:r>
      <w:bookmarkEnd w:id="344"/>
    </w:p>
    <w:p w:rsidR="00590231" w:rsidRPr="00E405D3" w:rsidRDefault="00590231" w:rsidP="003217B9">
      <w:pPr>
        <w:spacing w:after="200"/>
      </w:pPr>
      <w:r>
        <w:rPr>
          <w:noProof/>
          <w:lang w:eastAsia="en-AU"/>
        </w:rPr>
        <w:drawing>
          <wp:inline distT="0" distB="0" distL="0" distR="0" wp14:anchorId="604C4DA0" wp14:editId="6A4ACADD">
            <wp:extent cx="5652000" cy="2847600"/>
            <wp:effectExtent l="0" t="0" r="6350" b="0"/>
            <wp:docPr id="60" name="Picture 60" descr="Figure 5.11 is a line graph illustrating the percentage of residents with a formal diagnosis of depression from 2009 to 2016, as summarised in the text prior to this image. The percentages have been split between those with a diagnosis and those seeking a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52000" cy="2847600"/>
                    </a:xfrm>
                    <a:prstGeom prst="rect">
                      <a:avLst/>
                    </a:prstGeom>
                    <a:noFill/>
                  </pic:spPr>
                </pic:pic>
              </a:graphicData>
            </a:graphic>
          </wp:inline>
        </w:drawing>
      </w:r>
    </w:p>
    <w:p w:rsidR="003217B9" w:rsidRPr="00001FC7" w:rsidRDefault="003217B9" w:rsidP="00530D56">
      <w:pPr>
        <w:pStyle w:val="Heading2-Chapter5"/>
      </w:pPr>
      <w:bookmarkStart w:id="345" w:name="_Toc485990607"/>
      <w:bookmarkStart w:id="346" w:name="_Toc491426042"/>
      <w:r w:rsidRPr="00001FC7">
        <w:lastRenderedPageBreak/>
        <w:t>B</w:t>
      </w:r>
      <w:r w:rsidR="001C716D">
        <w:t>EH</w:t>
      </w:r>
      <w:r w:rsidRPr="00001FC7">
        <w:t xml:space="preserve"> Domain </w:t>
      </w:r>
      <w:bookmarkEnd w:id="321"/>
      <w:r>
        <w:t>Review</w:t>
      </w:r>
      <w:bookmarkEnd w:id="345"/>
      <w:bookmarkEnd w:id="346"/>
    </w:p>
    <w:p w:rsidR="00980F62" w:rsidRDefault="003217B9" w:rsidP="00590231">
      <w:pPr>
        <w:rPr>
          <w:lang w:eastAsia="en-AU"/>
        </w:rPr>
      </w:pPr>
      <w:r>
        <w:rPr>
          <w:lang w:eastAsia="en-AU"/>
        </w:rPr>
        <w:t>AACS conducted a series of consultations, review of relevant tools and literature on assessment and statistical analysis on the B</w:t>
      </w:r>
      <w:r w:rsidR="001C716D">
        <w:rPr>
          <w:lang w:eastAsia="en-AU"/>
        </w:rPr>
        <w:t>EH</w:t>
      </w:r>
      <w:r>
        <w:rPr>
          <w:lang w:eastAsia="en-AU"/>
        </w:rPr>
        <w:t xml:space="preserve"> domain items. Specific areas </w:t>
      </w:r>
      <w:r w:rsidRPr="00BD70A3">
        <w:rPr>
          <w:lang w:eastAsia="en-AU"/>
        </w:rPr>
        <w:t xml:space="preserve">investigated </w:t>
      </w:r>
      <w:r>
        <w:rPr>
          <w:lang w:eastAsia="en-AU"/>
        </w:rPr>
        <w:t xml:space="preserve">and discussed in this </w:t>
      </w:r>
      <w:r w:rsidR="001C716D">
        <w:rPr>
          <w:lang w:eastAsia="en-AU"/>
        </w:rPr>
        <w:t>section are</w:t>
      </w:r>
      <w:r>
        <w:rPr>
          <w:lang w:eastAsia="en-AU"/>
        </w:rPr>
        <w:t>:</w:t>
      </w:r>
    </w:p>
    <w:p w:rsidR="00980F62" w:rsidRDefault="003217B9" w:rsidP="00F02312">
      <w:pPr>
        <w:pStyle w:val="ListParagraph"/>
        <w:numPr>
          <w:ilvl w:val="0"/>
          <w:numId w:val="122"/>
        </w:numPr>
        <w:rPr>
          <w:color w:val="000000" w:themeColor="text1"/>
        </w:rPr>
      </w:pPr>
      <w:bookmarkStart w:id="347" w:name="_Toc478568248"/>
      <w:r w:rsidRPr="003A55D6">
        <w:rPr>
          <w:color w:val="000000" w:themeColor="text1"/>
        </w:rPr>
        <w:t xml:space="preserve">Should the Standardised Mini Mental State Examination (SMMSE) replace the current PAS-CIS to allow for consistency </w:t>
      </w:r>
      <w:r w:rsidR="001C716D">
        <w:rPr>
          <w:color w:val="000000" w:themeColor="text1"/>
        </w:rPr>
        <w:t>with</w:t>
      </w:r>
      <w:r w:rsidRPr="003A55D6">
        <w:rPr>
          <w:color w:val="000000" w:themeColor="text1"/>
        </w:rPr>
        <w:t xml:space="preserve"> other parts of the aged care system?</w:t>
      </w:r>
    </w:p>
    <w:p w:rsidR="003217B9" w:rsidRPr="003A55D6" w:rsidRDefault="003217B9" w:rsidP="00F02312">
      <w:pPr>
        <w:pStyle w:val="ListParagraph"/>
        <w:numPr>
          <w:ilvl w:val="0"/>
          <w:numId w:val="122"/>
        </w:numPr>
        <w:rPr>
          <w:color w:val="000000" w:themeColor="text1"/>
        </w:rPr>
      </w:pPr>
      <w:r w:rsidRPr="003A55D6">
        <w:rPr>
          <w:color w:val="000000" w:themeColor="text1"/>
        </w:rPr>
        <w:t>Does the Depression question better fit in the C</w:t>
      </w:r>
      <w:r w:rsidR="007D3BA7">
        <w:rPr>
          <w:color w:val="000000" w:themeColor="text1"/>
        </w:rPr>
        <w:t>HC</w:t>
      </w:r>
      <w:r w:rsidRPr="003A55D6">
        <w:rPr>
          <w:color w:val="000000" w:themeColor="text1"/>
        </w:rPr>
        <w:t xml:space="preserve"> domain?</w:t>
      </w:r>
    </w:p>
    <w:p w:rsidR="00980F62" w:rsidRDefault="003217B9" w:rsidP="00F02312">
      <w:pPr>
        <w:pStyle w:val="ListParagraph"/>
        <w:numPr>
          <w:ilvl w:val="0"/>
          <w:numId w:val="122"/>
        </w:numPr>
        <w:rPr>
          <w:color w:val="000000" w:themeColor="text1"/>
        </w:rPr>
      </w:pPr>
      <w:r w:rsidRPr="003A55D6">
        <w:rPr>
          <w:color w:val="000000" w:themeColor="text1"/>
        </w:rPr>
        <w:t>Is the C</w:t>
      </w:r>
      <w:r w:rsidR="00321A15">
        <w:rPr>
          <w:color w:val="000000" w:themeColor="text1"/>
        </w:rPr>
        <w:t>SD</w:t>
      </w:r>
      <w:r w:rsidRPr="003A55D6">
        <w:rPr>
          <w:color w:val="000000" w:themeColor="text1"/>
        </w:rPr>
        <w:t xml:space="preserve"> assessment too complex for care staff to complete with a reasonable level of accuracy?</w:t>
      </w:r>
    </w:p>
    <w:p w:rsidR="003217B9" w:rsidRPr="003A55D6" w:rsidRDefault="003217B9" w:rsidP="00F02312">
      <w:pPr>
        <w:pStyle w:val="ListParagraph"/>
        <w:numPr>
          <w:ilvl w:val="0"/>
          <w:numId w:val="122"/>
        </w:numPr>
        <w:rPr>
          <w:color w:val="000000" w:themeColor="text1"/>
        </w:rPr>
      </w:pPr>
      <w:r w:rsidRPr="003A55D6">
        <w:rPr>
          <w:color w:val="000000" w:themeColor="text1"/>
        </w:rPr>
        <w:t>If the Depression question remains in ACFI, should funding be dependent on a diagnosis and treatment regime and expire after a period of time, for example 12 months?</w:t>
      </w:r>
    </w:p>
    <w:p w:rsidR="003217B9" w:rsidRPr="00D35E5B" w:rsidRDefault="003217B9" w:rsidP="00590231">
      <w:pPr>
        <w:rPr>
          <w:lang w:eastAsia="en-AU"/>
        </w:rPr>
      </w:pPr>
      <w:r w:rsidRPr="00C02221">
        <w:rPr>
          <w:lang w:eastAsia="en-AU"/>
        </w:rPr>
        <w:t>The review process informed on the following identified issues and recommended outcomes.</w:t>
      </w:r>
    </w:p>
    <w:p w:rsidR="003217B9" w:rsidRPr="002A3D07" w:rsidRDefault="003217B9" w:rsidP="006577A2">
      <w:pPr>
        <w:pStyle w:val="Heading3-Chapter53"/>
      </w:pPr>
      <w:bookmarkStart w:id="348" w:name="_Toc485990608"/>
      <w:r>
        <w:t xml:space="preserve">ACFI 6 </w:t>
      </w:r>
      <w:r w:rsidRPr="002A3D07">
        <w:t xml:space="preserve">Cognition </w:t>
      </w:r>
      <w:r>
        <w:t>Question</w:t>
      </w:r>
      <w:bookmarkEnd w:id="348"/>
    </w:p>
    <w:p w:rsidR="007D3BA7" w:rsidRDefault="003217B9" w:rsidP="00720C8D">
      <w:pPr>
        <w:rPr>
          <w:lang w:eastAsia="en-AU"/>
        </w:rPr>
      </w:pPr>
      <w:r>
        <w:rPr>
          <w:lang w:eastAsia="en-AU"/>
        </w:rPr>
        <w:t>The use of the same cognitive assessment screening tool for both community and residential care was strongly endorsed by participants at the consultations and in discussion with health care professionals. Th</w:t>
      </w:r>
      <w:r w:rsidR="007D3BA7">
        <w:rPr>
          <w:lang w:eastAsia="en-AU"/>
        </w:rPr>
        <w:t>e use of the same tool would</w:t>
      </w:r>
      <w:r>
        <w:rPr>
          <w:lang w:eastAsia="en-AU"/>
        </w:rPr>
        <w:t xml:space="preserve"> enable a common understanding of</w:t>
      </w:r>
      <w:r w:rsidR="007D3BA7">
        <w:rPr>
          <w:lang w:eastAsia="en-AU"/>
        </w:rPr>
        <w:t>:</w:t>
      </w:r>
    </w:p>
    <w:p w:rsidR="007D3BA7" w:rsidRDefault="007D3BA7" w:rsidP="00F02312">
      <w:pPr>
        <w:pStyle w:val="ListParagraph"/>
        <w:numPr>
          <w:ilvl w:val="0"/>
          <w:numId w:val="115"/>
        </w:numPr>
        <w:rPr>
          <w:lang w:eastAsia="en-AU"/>
        </w:rPr>
      </w:pPr>
      <w:r>
        <w:rPr>
          <w:lang w:eastAsia="en-AU"/>
        </w:rPr>
        <w:t>T</w:t>
      </w:r>
      <w:r w:rsidR="003217B9">
        <w:rPr>
          <w:lang w:eastAsia="en-AU"/>
        </w:rPr>
        <w:t>he level of cognitive impairment when community care clients are being placed in residential care settings, as ACATs universally use the SMMSE</w:t>
      </w:r>
      <w:r w:rsidR="00DA7140">
        <w:rPr>
          <w:lang w:eastAsia="en-AU"/>
        </w:rPr>
        <w:t>.</w:t>
      </w:r>
    </w:p>
    <w:p w:rsidR="007D3BA7" w:rsidRDefault="007D3BA7" w:rsidP="00F02312">
      <w:pPr>
        <w:pStyle w:val="ListParagraph"/>
        <w:numPr>
          <w:ilvl w:val="0"/>
          <w:numId w:val="115"/>
        </w:numPr>
        <w:rPr>
          <w:lang w:eastAsia="en-AU"/>
        </w:rPr>
      </w:pPr>
      <w:r>
        <w:rPr>
          <w:lang w:eastAsia="en-AU"/>
        </w:rPr>
        <w:t>A</w:t>
      </w:r>
      <w:r w:rsidR="003217B9">
        <w:rPr>
          <w:lang w:eastAsia="en-AU"/>
        </w:rPr>
        <w:t>llow training programs to focus on a single assessment</w:t>
      </w:r>
      <w:r w:rsidR="00DA7140">
        <w:rPr>
          <w:lang w:eastAsia="en-AU"/>
        </w:rPr>
        <w:t>.</w:t>
      </w:r>
    </w:p>
    <w:p w:rsidR="00980F62" w:rsidRDefault="007D3BA7" w:rsidP="00F02312">
      <w:pPr>
        <w:pStyle w:val="ListParagraph"/>
        <w:numPr>
          <w:ilvl w:val="0"/>
          <w:numId w:val="115"/>
        </w:numPr>
        <w:rPr>
          <w:lang w:eastAsia="en-AU"/>
        </w:rPr>
      </w:pPr>
      <w:r>
        <w:rPr>
          <w:lang w:eastAsia="en-AU"/>
        </w:rPr>
        <w:t>P</w:t>
      </w:r>
      <w:r w:rsidR="003217B9">
        <w:rPr>
          <w:lang w:eastAsia="en-AU"/>
        </w:rPr>
        <w:t>rovide a reliable pre-entry external assessment comparison for the Departmental R</w:t>
      </w:r>
      <w:r>
        <w:rPr>
          <w:lang w:eastAsia="en-AU"/>
        </w:rPr>
        <w:t>Os</w:t>
      </w:r>
      <w:r w:rsidR="003217B9">
        <w:rPr>
          <w:lang w:eastAsia="en-AU"/>
        </w:rPr>
        <w:t xml:space="preserve"> when auditing ACFI claims.</w:t>
      </w:r>
    </w:p>
    <w:p w:rsidR="00980F62" w:rsidRDefault="003217B9" w:rsidP="00720C8D">
      <w:pPr>
        <w:rPr>
          <w:lang w:eastAsia="en-AU"/>
        </w:rPr>
      </w:pPr>
      <w:r>
        <w:rPr>
          <w:lang w:eastAsia="en-AU"/>
        </w:rPr>
        <w:t>Thus, there was general agreement that the PAS-CIS should be replaced with the SMMSE. The SMMSE is currently a supplementary tool in the NSAF, and is also widely used by registered health professionals. Replacing the PAS-CIS with the SMMSE will allow for a universal cognitive assessment tool to be used by all assessor types along the person’s aged care pathway (pre-entry assessment, residential care assessment, reviews and re-appraisals).</w:t>
      </w:r>
    </w:p>
    <w:p w:rsidR="003217B9" w:rsidRDefault="003217B9" w:rsidP="00720C8D">
      <w:pPr>
        <w:rPr>
          <w:i/>
          <w:lang w:eastAsia="en-AU"/>
        </w:rPr>
      </w:pPr>
      <w:r>
        <w:rPr>
          <w:lang w:eastAsia="en-AU"/>
        </w:rPr>
        <w:t xml:space="preserve">Previous concerns regarding public availability of the SMMSE have </w:t>
      </w:r>
      <w:r w:rsidR="00321A15">
        <w:rPr>
          <w:lang w:eastAsia="en-AU"/>
        </w:rPr>
        <w:t>b</w:t>
      </w:r>
      <w:r>
        <w:rPr>
          <w:lang w:eastAsia="en-AU"/>
        </w:rPr>
        <w:t xml:space="preserve">een resolved. </w:t>
      </w:r>
      <w:r w:rsidRPr="000B54F1">
        <w:rPr>
          <w:lang w:eastAsia="en-AU"/>
        </w:rPr>
        <w:t>The SM</w:t>
      </w:r>
      <w:r>
        <w:rPr>
          <w:lang w:eastAsia="en-AU"/>
        </w:rPr>
        <w:t>M</w:t>
      </w:r>
      <w:r w:rsidRPr="000B54F1">
        <w:rPr>
          <w:lang w:eastAsia="en-AU"/>
        </w:rPr>
        <w:t xml:space="preserve">SE tool and guidelines are provided for use in Australia by the Independent Hospital Pricing Authority </w:t>
      </w:r>
      <w:r>
        <w:rPr>
          <w:lang w:eastAsia="en-AU"/>
        </w:rPr>
        <w:t xml:space="preserve">(IHPA) </w:t>
      </w:r>
      <w:r w:rsidRPr="000B54F1">
        <w:rPr>
          <w:lang w:eastAsia="en-AU"/>
        </w:rPr>
        <w:t>under a licence agreement with the copyright owner, Dr D. William Molloy</w:t>
      </w:r>
      <w:r>
        <w:rPr>
          <w:lang w:eastAsia="en-AU"/>
        </w:rPr>
        <w:t xml:space="preserve"> (Molloy &amp; Standish, 1997; Molloy, 2014).</w:t>
      </w:r>
    </w:p>
    <w:p w:rsidR="00980F62" w:rsidRDefault="007D3BA7" w:rsidP="00720C8D">
      <w:pPr>
        <w:rPr>
          <w:color w:val="000000" w:themeColor="text1"/>
          <w:lang w:eastAsia="en-AU"/>
        </w:rPr>
      </w:pPr>
      <w:r>
        <w:rPr>
          <w:color w:val="000000" w:themeColor="text1"/>
          <w:lang w:eastAsia="en-AU"/>
        </w:rPr>
        <w:t xml:space="preserve">Finding: </w:t>
      </w:r>
      <w:r w:rsidR="003217B9">
        <w:rPr>
          <w:color w:val="000000" w:themeColor="text1"/>
          <w:lang w:eastAsia="en-AU"/>
        </w:rPr>
        <w:t>Departmental R</w:t>
      </w:r>
      <w:r>
        <w:rPr>
          <w:color w:val="000000" w:themeColor="text1"/>
          <w:lang w:eastAsia="en-AU"/>
        </w:rPr>
        <w:t>Os</w:t>
      </w:r>
      <w:r w:rsidR="003217B9" w:rsidRPr="00EA58E2">
        <w:rPr>
          <w:color w:val="000000" w:themeColor="text1"/>
          <w:lang w:eastAsia="en-AU"/>
        </w:rPr>
        <w:t xml:space="preserve"> </w:t>
      </w:r>
      <w:r>
        <w:rPr>
          <w:color w:val="000000" w:themeColor="text1"/>
          <w:lang w:eastAsia="en-AU"/>
        </w:rPr>
        <w:t xml:space="preserve">reported </w:t>
      </w:r>
      <w:r w:rsidR="003217B9" w:rsidRPr="00EA58E2">
        <w:rPr>
          <w:color w:val="000000" w:themeColor="text1"/>
          <w:lang w:eastAsia="en-AU"/>
        </w:rPr>
        <w:t xml:space="preserve">an over-use of the cognitive checklist without objective evidence to support the </w:t>
      </w:r>
      <w:r w:rsidR="003217B9">
        <w:rPr>
          <w:color w:val="000000" w:themeColor="text1"/>
          <w:lang w:eastAsia="en-AU"/>
        </w:rPr>
        <w:t xml:space="preserve">outcome </w:t>
      </w:r>
      <w:r w:rsidR="003217B9" w:rsidRPr="00EA58E2">
        <w:rPr>
          <w:color w:val="000000" w:themeColor="text1"/>
          <w:lang w:eastAsia="en-AU"/>
        </w:rPr>
        <w:t xml:space="preserve">rating. </w:t>
      </w:r>
      <w:r w:rsidR="003217B9">
        <w:rPr>
          <w:color w:val="000000" w:themeColor="text1"/>
          <w:lang w:eastAsia="en-AU"/>
        </w:rPr>
        <w:t xml:space="preserve">Support for this view has been previously described in </w:t>
      </w:r>
      <w:r w:rsidR="003217B9" w:rsidRPr="00AF590E">
        <w:rPr>
          <w:color w:val="000000" w:themeColor="text1"/>
          <w:lang w:eastAsia="en-AU"/>
        </w:rPr>
        <w:t>section 5.2.1.</w:t>
      </w:r>
    </w:p>
    <w:p w:rsidR="00980F62" w:rsidRDefault="007D3BA7" w:rsidP="00720C8D">
      <w:pPr>
        <w:rPr>
          <w:color w:val="000000" w:themeColor="text1"/>
          <w:lang w:eastAsia="en-AU"/>
        </w:rPr>
      </w:pPr>
      <w:r w:rsidRPr="004D324E">
        <w:rPr>
          <w:rStyle w:val="Strong"/>
        </w:rPr>
        <w:t>Recommendation:</w:t>
      </w:r>
      <w:r>
        <w:rPr>
          <w:color w:val="000000" w:themeColor="text1"/>
          <w:lang w:eastAsia="en-AU"/>
        </w:rPr>
        <w:t xml:space="preserve"> </w:t>
      </w:r>
      <w:r w:rsidR="003217B9">
        <w:rPr>
          <w:color w:val="000000" w:themeColor="text1"/>
          <w:lang w:eastAsia="en-AU"/>
        </w:rPr>
        <w:t xml:space="preserve">To address this concern and strengthen the objectivity of supporting evidence, it is recommended that providers identify the documents that support their checklist rating from a defined list (e.g. NSAF, Medical Practitioner notes, Clinical reports). The expectation will be that when the checklist is used (as there are many cases where it is </w:t>
      </w:r>
      <w:r w:rsidR="003217B9">
        <w:rPr>
          <w:color w:val="000000" w:themeColor="text1"/>
          <w:lang w:eastAsia="en-AU"/>
        </w:rPr>
        <w:lastRenderedPageBreak/>
        <w:t>not suitable to interview a resident), there will be objective documentation available that supports the checklist rating.</w:t>
      </w:r>
    </w:p>
    <w:p w:rsidR="003217B9" w:rsidRPr="00D35E5B" w:rsidRDefault="003217B9" w:rsidP="00720C8D">
      <w:pPr>
        <w:rPr>
          <w:color w:val="000000" w:themeColor="text1"/>
          <w:lang w:eastAsia="en-AU"/>
        </w:rPr>
      </w:pPr>
      <w:r>
        <w:rPr>
          <w:color w:val="000000" w:themeColor="text1"/>
          <w:lang w:eastAsia="en-AU"/>
        </w:rPr>
        <w:t xml:space="preserve">The Department has also emphasised in the 2017 ACFI User Guide that providers need to </w:t>
      </w:r>
      <w:r>
        <w:rPr>
          <w:noProof/>
        </w:rPr>
        <w:t xml:space="preserve">provide the reason why the checklist could not be completed, together with alternative supporting evidence such as a clinical report that will </w:t>
      </w:r>
      <w:r>
        <w:rPr>
          <w:color w:val="000000" w:themeColor="text1"/>
          <w:lang w:eastAsia="en-AU"/>
        </w:rPr>
        <w:t>need to indicate why the resident could not be interviewed with the PAS-CIS cognitive assessment tool.</w:t>
      </w:r>
    </w:p>
    <w:p w:rsidR="00980F62" w:rsidRDefault="003217B9" w:rsidP="006577A2">
      <w:pPr>
        <w:pStyle w:val="Heading3-Chapter53"/>
      </w:pPr>
      <w:bookmarkStart w:id="349" w:name="_Toc485990609"/>
      <w:r>
        <w:t>ACFI 7-9 Wandering, Verbal &amp; Physical Behaviour Questions</w:t>
      </w:r>
      <w:bookmarkEnd w:id="349"/>
    </w:p>
    <w:p w:rsidR="00083875" w:rsidRDefault="00083875" w:rsidP="00083875">
      <w:pPr>
        <w:rPr>
          <w:color w:val="000000" w:themeColor="text1"/>
          <w:lang w:eastAsia="en-AU"/>
        </w:rPr>
      </w:pPr>
      <w:bookmarkStart w:id="350" w:name="_Hlk484470184"/>
      <w:bookmarkEnd w:id="347"/>
      <w:r w:rsidRPr="00083875">
        <w:rPr>
          <w:color w:val="000000" w:themeColor="text1"/>
          <w:lang w:eastAsia="en-AU"/>
        </w:rPr>
        <w:t>There are a number of changes to behaviour q</w:t>
      </w:r>
      <w:r w:rsidR="00B16C5C">
        <w:rPr>
          <w:color w:val="000000" w:themeColor="text1"/>
          <w:lang w:eastAsia="en-AU"/>
        </w:rPr>
        <w:t>uestions recommended as follows.</w:t>
      </w:r>
    </w:p>
    <w:p w:rsidR="002A53E2" w:rsidRPr="006740D4" w:rsidRDefault="00083875" w:rsidP="006577A2">
      <w:pPr>
        <w:pStyle w:val="Heading4-Chapter532"/>
      </w:pPr>
      <w:r w:rsidRPr="006740D4">
        <w:t>Verbal Refusal of Care (</w:t>
      </w:r>
      <w:hyperlink w:anchor="Fig0507" w:history="1">
        <w:r w:rsidRPr="001F2491">
          <w:t>Figure 5.</w:t>
        </w:r>
        <w:r w:rsidR="002A53E2" w:rsidRPr="001F2491">
          <w:t>7</w:t>
        </w:r>
      </w:hyperlink>
      <w:r w:rsidR="002A53E2" w:rsidRPr="006740D4">
        <w:t>)</w:t>
      </w:r>
    </w:p>
    <w:p w:rsidR="00980F62" w:rsidRDefault="002A53E2" w:rsidP="00083875">
      <w:pPr>
        <w:rPr>
          <w:color w:val="000000" w:themeColor="text1"/>
          <w:lang w:eastAsia="en-AU"/>
        </w:rPr>
      </w:pPr>
      <w:r>
        <w:rPr>
          <w:color w:val="000000" w:themeColor="text1"/>
          <w:lang w:eastAsia="en-AU"/>
        </w:rPr>
        <w:t xml:space="preserve">The </w:t>
      </w:r>
      <w:r w:rsidR="00083875" w:rsidRPr="00083875">
        <w:rPr>
          <w:color w:val="000000" w:themeColor="text1"/>
          <w:lang w:eastAsia="en-AU"/>
        </w:rPr>
        <w:t>behaviour sub-type has been dropped as it has not proven possible to accurately define and then measure this descriptor with any consistency. There has been a very significant increase in recording of this behaviour type from 52.2</w:t>
      </w:r>
      <w:r w:rsidR="002965F2">
        <w:rPr>
          <w:color w:val="000000" w:themeColor="text1"/>
          <w:lang w:eastAsia="en-AU"/>
        </w:rPr>
        <w:t xml:space="preserve"> per cent</w:t>
      </w:r>
      <w:r w:rsidR="00083875" w:rsidRPr="00083875">
        <w:rPr>
          <w:color w:val="000000" w:themeColor="text1"/>
          <w:lang w:eastAsia="en-AU"/>
        </w:rPr>
        <w:t xml:space="preserve"> of residents in 2009 to 72.4</w:t>
      </w:r>
      <w:r w:rsidR="002965F2">
        <w:rPr>
          <w:color w:val="000000" w:themeColor="text1"/>
          <w:lang w:eastAsia="en-AU"/>
        </w:rPr>
        <w:t xml:space="preserve"> per cent</w:t>
      </w:r>
      <w:r w:rsidR="00083875" w:rsidRPr="00083875">
        <w:rPr>
          <w:color w:val="000000" w:themeColor="text1"/>
          <w:lang w:eastAsia="en-AU"/>
        </w:rPr>
        <w:t xml:space="preserve"> of all aged care residents in June 2016. The significant increase is highly unlikely to be due to an actual rise in residents ‘refusing care’ but is more likely in the greater part due to confusion over what constitutes refusal of care behaviour that requires ongoing staff intervention.</w:t>
      </w:r>
    </w:p>
    <w:p w:rsidR="00980F62" w:rsidRDefault="00083875" w:rsidP="00083875">
      <w:pPr>
        <w:rPr>
          <w:color w:val="000000" w:themeColor="text1"/>
          <w:lang w:eastAsia="en-AU"/>
        </w:rPr>
      </w:pPr>
      <w:r w:rsidRPr="00083875">
        <w:rPr>
          <w:color w:val="000000" w:themeColor="text1"/>
          <w:lang w:eastAsia="en-AU"/>
        </w:rPr>
        <w:t>It has also become a term that is regularly used to describe behaviours that are reasonable and normal for a person who may be attempting to have some level of control, autonomy and choice over their day-to-day preferences with routines and activities. Dealing and negotiating with residents over needed activities such as dressing, washing and hygiene are considered usual business in an aged care context and successful strategies will reduce the impact of what may have been considered a problem behaviour.</w:t>
      </w:r>
    </w:p>
    <w:p w:rsidR="00083875" w:rsidRPr="00083875" w:rsidRDefault="00083875" w:rsidP="00083875">
      <w:pPr>
        <w:rPr>
          <w:color w:val="000000" w:themeColor="text1"/>
          <w:lang w:eastAsia="en-AU"/>
        </w:rPr>
      </w:pPr>
      <w:r w:rsidRPr="00083875">
        <w:rPr>
          <w:color w:val="000000" w:themeColor="text1"/>
          <w:lang w:eastAsia="en-AU"/>
        </w:rPr>
        <w:t>Residents or persons who refuse required health care in a persistent and consistent way that requires additional and excessive resources will almost certainly trigger another behaviour in the spectrum covered in the behaviour domain, or require a high level of support that will be captured in the ADL domain.</w:t>
      </w:r>
    </w:p>
    <w:p w:rsidR="00980F62" w:rsidRDefault="00083875" w:rsidP="000A6B58">
      <w:pPr>
        <w:pStyle w:val="Heading4-Chapter532"/>
      </w:pPr>
      <w:r w:rsidRPr="006740D4">
        <w:t>Constantly Physically Agitated (</w:t>
      </w:r>
      <w:hyperlink w:anchor="Fig0509" w:history="1">
        <w:r w:rsidRPr="001F2491">
          <w:t>Figure 5.9</w:t>
        </w:r>
      </w:hyperlink>
      <w:r w:rsidRPr="006740D4">
        <w:t>)</w:t>
      </w:r>
    </w:p>
    <w:p w:rsidR="00980F62" w:rsidRDefault="002A53E2" w:rsidP="00083875">
      <w:pPr>
        <w:rPr>
          <w:color w:val="000000" w:themeColor="text1"/>
          <w:lang w:eastAsia="en-AU"/>
        </w:rPr>
      </w:pPr>
      <w:r w:rsidRPr="002A53E2">
        <w:rPr>
          <w:color w:val="000000" w:themeColor="text1"/>
          <w:lang w:eastAsia="en-AU"/>
        </w:rPr>
        <w:t>The</w:t>
      </w:r>
      <w:r>
        <w:rPr>
          <w:b/>
          <w:color w:val="000000" w:themeColor="text1"/>
          <w:lang w:eastAsia="en-AU"/>
        </w:rPr>
        <w:t xml:space="preserve"> </w:t>
      </w:r>
      <w:r w:rsidR="00083875" w:rsidRPr="00083875">
        <w:rPr>
          <w:color w:val="000000" w:themeColor="text1"/>
          <w:lang w:eastAsia="en-AU"/>
        </w:rPr>
        <w:t>behaviour sub-type has been removed as all of the ACFI behaviour items cover various aspects of ‘agitation’ and there is widespread misidentification of this behaviour. There has also been a very significant increase in recording of this behaviour type, from 40</w:t>
      </w:r>
      <w:r w:rsidR="002965F2">
        <w:rPr>
          <w:color w:val="000000" w:themeColor="text1"/>
          <w:lang w:eastAsia="en-AU"/>
        </w:rPr>
        <w:t xml:space="preserve"> per cent</w:t>
      </w:r>
      <w:r w:rsidR="00083875" w:rsidRPr="00083875">
        <w:rPr>
          <w:color w:val="000000" w:themeColor="text1"/>
          <w:lang w:eastAsia="en-AU"/>
        </w:rPr>
        <w:t xml:space="preserve"> of residents in 2009 to 63.7</w:t>
      </w:r>
      <w:r w:rsidR="002965F2">
        <w:rPr>
          <w:color w:val="000000" w:themeColor="text1"/>
          <w:lang w:eastAsia="en-AU"/>
        </w:rPr>
        <w:t xml:space="preserve"> per cent</w:t>
      </w:r>
      <w:r w:rsidR="00083875" w:rsidRPr="00083875">
        <w:rPr>
          <w:color w:val="000000" w:themeColor="text1"/>
          <w:lang w:eastAsia="en-AU"/>
        </w:rPr>
        <w:t xml:space="preserve"> of all residents in June 2016. The increase is highly unlikely to be due to a significant rise in constantly agitated behaviour but more likely due to staff difficulty in understanding the provided definition.</w:t>
      </w:r>
    </w:p>
    <w:p w:rsidR="002A53E2" w:rsidRPr="00392648" w:rsidRDefault="002A53E2" w:rsidP="00EB7E15">
      <w:pPr>
        <w:spacing w:after="0"/>
        <w:rPr>
          <w:rStyle w:val="Strong"/>
        </w:rPr>
      </w:pPr>
      <w:r w:rsidRPr="00392648">
        <w:rPr>
          <w:rStyle w:val="Strong"/>
        </w:rPr>
        <w:t>Performing Repetitive Mannerisms</w:t>
      </w:r>
    </w:p>
    <w:p w:rsidR="00980F62" w:rsidRDefault="00083875" w:rsidP="00083875">
      <w:pPr>
        <w:rPr>
          <w:color w:val="000000" w:themeColor="text1"/>
          <w:lang w:eastAsia="en-AU"/>
        </w:rPr>
      </w:pPr>
      <w:r w:rsidRPr="00083875">
        <w:rPr>
          <w:color w:val="000000" w:themeColor="text1"/>
          <w:lang w:eastAsia="en-AU"/>
        </w:rPr>
        <w:t>The behavioural description of ‘performing repetitious/ stereotypic mannerisms that are likely to cause physical harm to self or others</w:t>
      </w:r>
      <w:r w:rsidR="007A576E">
        <w:rPr>
          <w:color w:val="000000" w:themeColor="text1"/>
          <w:lang w:eastAsia="en-AU"/>
        </w:rPr>
        <w:t xml:space="preserve"> </w:t>
      </w:r>
      <w:r w:rsidRPr="00083875">
        <w:rPr>
          <w:color w:val="000000" w:themeColor="text1"/>
          <w:lang w:eastAsia="en-AU"/>
        </w:rPr>
        <w:t xml:space="preserve">e.g. patting, tapping, rocking self, fiddling with something, rubbing self or object, sucking fingers, taking off and on shoes, picking at self or </w:t>
      </w:r>
      <w:r w:rsidRPr="00083875">
        <w:rPr>
          <w:color w:val="000000" w:themeColor="text1"/>
          <w:lang w:eastAsia="en-AU"/>
        </w:rPr>
        <w:lastRenderedPageBreak/>
        <w:t>clothing or objects, picking imaginary things out of the air/ floor, manipulation of nearby objects’ has been simplified to ‘Performing repetitious/ stereotypic mannerisms that cause physical harm to self or others’.</w:t>
      </w:r>
    </w:p>
    <w:p w:rsidR="007B4332" w:rsidRPr="00392648" w:rsidRDefault="007B4332" w:rsidP="00EB7E15">
      <w:pPr>
        <w:spacing w:after="0"/>
        <w:rPr>
          <w:rStyle w:val="Strong"/>
        </w:rPr>
      </w:pPr>
      <w:r w:rsidRPr="00392648">
        <w:rPr>
          <w:rStyle w:val="Strong"/>
        </w:rPr>
        <w:t>Always moving around in seat</w:t>
      </w:r>
    </w:p>
    <w:p w:rsidR="00083875" w:rsidRPr="00083875" w:rsidRDefault="00083875" w:rsidP="00083875">
      <w:pPr>
        <w:rPr>
          <w:color w:val="000000" w:themeColor="text1"/>
          <w:lang w:eastAsia="en-AU"/>
        </w:rPr>
      </w:pPr>
      <w:r w:rsidRPr="00083875">
        <w:rPr>
          <w:color w:val="000000" w:themeColor="text1"/>
          <w:lang w:eastAsia="en-AU"/>
        </w:rPr>
        <w:t>Additionally, u</w:t>
      </w:r>
      <w:r w:rsidRPr="00083875">
        <w:rPr>
          <w:bCs/>
          <w:color w:val="000000" w:themeColor="text1"/>
          <w:szCs w:val="24"/>
          <w:lang w:eastAsia="en-AU"/>
        </w:rPr>
        <w:t>nable to sit still has been deleted.</w:t>
      </w:r>
    </w:p>
    <w:p w:rsidR="00980F62" w:rsidRDefault="002A53E2" w:rsidP="000A6B58">
      <w:pPr>
        <w:pStyle w:val="Heading4-Chapter532"/>
      </w:pPr>
      <w:r w:rsidRPr="006740D4">
        <w:t xml:space="preserve">Concept of </w:t>
      </w:r>
      <w:r w:rsidR="001A540A" w:rsidRPr="006740D4">
        <w:t>Standard Care</w:t>
      </w:r>
    </w:p>
    <w:p w:rsidR="00980F62" w:rsidRDefault="001A540A" w:rsidP="00BF463D">
      <w:pPr>
        <w:rPr>
          <w:lang w:eastAsia="en-AU"/>
        </w:rPr>
      </w:pPr>
      <w:r w:rsidRPr="001A540A">
        <w:rPr>
          <w:szCs w:val="24"/>
        </w:rPr>
        <w:t>The concept of ‘standard care’ as described in the ADL domain, also applies to the Behaviour claims.</w:t>
      </w:r>
      <w:r w:rsidR="007A576E">
        <w:rPr>
          <w:szCs w:val="24"/>
        </w:rPr>
        <w:t xml:space="preserve"> </w:t>
      </w:r>
      <w:r w:rsidR="00CB2E15" w:rsidRPr="001A540A">
        <w:rPr>
          <w:szCs w:val="24"/>
        </w:rPr>
        <w:t>From time to time many residents will exhibit a behaviour on an occasional basis that may be regarded as problematic.</w:t>
      </w:r>
      <w:r w:rsidR="007A576E">
        <w:rPr>
          <w:szCs w:val="24"/>
        </w:rPr>
        <w:t xml:space="preserve"> </w:t>
      </w:r>
      <w:r w:rsidR="00CB2E15">
        <w:rPr>
          <w:szCs w:val="24"/>
        </w:rPr>
        <w:t>However</w:t>
      </w:r>
      <w:r w:rsidR="007B4332">
        <w:rPr>
          <w:szCs w:val="24"/>
        </w:rPr>
        <w:t>,</w:t>
      </w:r>
      <w:r w:rsidR="00CB2E15">
        <w:rPr>
          <w:szCs w:val="24"/>
        </w:rPr>
        <w:t xml:space="preserve"> i</w:t>
      </w:r>
      <w:r w:rsidR="00CB2E15">
        <w:rPr>
          <w:lang w:eastAsia="en-AU"/>
        </w:rPr>
        <w:t>nterventions that are less than daily have been considered episodic and part of typical day-to-day interactions therefore not requiring additional staff resources beyond the number and type usually rostered in the facility.</w:t>
      </w:r>
    </w:p>
    <w:p w:rsidR="001A540A" w:rsidRPr="001A540A" w:rsidRDefault="001A540A" w:rsidP="001A540A">
      <w:pPr>
        <w:spacing w:after="0"/>
        <w:rPr>
          <w:lang w:eastAsia="en-AU"/>
        </w:rPr>
      </w:pPr>
      <w:r w:rsidRPr="001A540A">
        <w:rPr>
          <w:szCs w:val="24"/>
        </w:rPr>
        <w:t>The R-ACFI behaviour domain only allows claims for behaviours that occur on at least a daily basis.</w:t>
      </w:r>
    </w:p>
    <w:p w:rsidR="00083875" w:rsidRDefault="00083875" w:rsidP="00F02312">
      <w:pPr>
        <w:pStyle w:val="ListParagraph"/>
        <w:numPr>
          <w:ilvl w:val="0"/>
          <w:numId w:val="123"/>
        </w:numPr>
        <w:spacing w:after="0"/>
        <w:rPr>
          <w:szCs w:val="24"/>
          <w:lang w:eastAsia="en-AU"/>
        </w:rPr>
      </w:pPr>
      <w:r w:rsidRPr="00083875">
        <w:rPr>
          <w:szCs w:val="24"/>
          <w:lang w:eastAsia="en-AU"/>
        </w:rPr>
        <w:t>Daily</w:t>
      </w:r>
    </w:p>
    <w:p w:rsidR="001A540A" w:rsidRPr="00083875" w:rsidRDefault="001A540A" w:rsidP="00F02312">
      <w:pPr>
        <w:pStyle w:val="ListParagraph"/>
        <w:numPr>
          <w:ilvl w:val="0"/>
          <w:numId w:val="123"/>
        </w:numPr>
        <w:spacing w:after="0"/>
        <w:rPr>
          <w:szCs w:val="24"/>
          <w:lang w:eastAsia="en-AU"/>
        </w:rPr>
      </w:pPr>
      <w:r>
        <w:rPr>
          <w:szCs w:val="24"/>
          <w:lang w:eastAsia="en-AU"/>
        </w:rPr>
        <w:t>Twice per day</w:t>
      </w:r>
    </w:p>
    <w:p w:rsidR="00083875" w:rsidRDefault="00083875" w:rsidP="00F02312">
      <w:pPr>
        <w:pStyle w:val="ListParagraph"/>
        <w:numPr>
          <w:ilvl w:val="0"/>
          <w:numId w:val="123"/>
        </w:numPr>
        <w:rPr>
          <w:szCs w:val="24"/>
          <w:lang w:eastAsia="en-AU"/>
        </w:rPr>
      </w:pPr>
      <w:r w:rsidRPr="00083875">
        <w:rPr>
          <w:szCs w:val="24"/>
          <w:lang w:eastAsia="en-AU"/>
        </w:rPr>
        <w:t>Multiple times per day</w:t>
      </w:r>
    </w:p>
    <w:p w:rsidR="001A540A" w:rsidRDefault="001A540A" w:rsidP="001A540A">
      <w:pPr>
        <w:rPr>
          <w:bCs/>
          <w:color w:val="000000" w:themeColor="text1"/>
          <w:szCs w:val="24"/>
          <w:lang w:eastAsia="en-AU"/>
        </w:rPr>
      </w:pPr>
      <w:r w:rsidRPr="00083875">
        <w:rPr>
          <w:bCs/>
          <w:color w:val="000000" w:themeColor="text1"/>
          <w:szCs w:val="24"/>
          <w:lang w:eastAsia="en-AU"/>
        </w:rPr>
        <w:t xml:space="preserve">A behaviour must have occurred on a daily basis as recorded over a 7-day period to be claimed and a four-point scale of disruptiveness </w:t>
      </w:r>
      <w:r w:rsidR="00F567FB">
        <w:rPr>
          <w:bCs/>
          <w:color w:val="000000" w:themeColor="text1"/>
          <w:szCs w:val="24"/>
          <w:lang w:eastAsia="en-AU"/>
        </w:rPr>
        <w:t xml:space="preserve">(discussed next) </w:t>
      </w:r>
      <w:r w:rsidRPr="00083875">
        <w:rPr>
          <w:bCs/>
          <w:color w:val="000000" w:themeColor="text1"/>
          <w:szCs w:val="24"/>
          <w:lang w:eastAsia="en-AU"/>
        </w:rPr>
        <w:t>determines severity together with a frequency record which must be completed by aged care providers</w:t>
      </w:r>
      <w:r w:rsidR="00CB2E15">
        <w:rPr>
          <w:bCs/>
          <w:color w:val="000000" w:themeColor="text1"/>
          <w:szCs w:val="24"/>
          <w:lang w:eastAsia="en-AU"/>
        </w:rPr>
        <w:t>.</w:t>
      </w:r>
    </w:p>
    <w:p w:rsidR="00575534" w:rsidRPr="006740D4" w:rsidRDefault="00575534" w:rsidP="000A6B58">
      <w:pPr>
        <w:pStyle w:val="Heading4-Chapter532"/>
      </w:pPr>
      <w:r w:rsidRPr="006740D4">
        <w:t>Introduction of a Disruptiveness Scale</w:t>
      </w:r>
    </w:p>
    <w:p w:rsidR="000F4E19" w:rsidRPr="0038460C" w:rsidRDefault="00095E50" w:rsidP="00A268CF">
      <w:pPr>
        <w:rPr>
          <w:lang w:eastAsia="en-AU"/>
        </w:rPr>
      </w:pPr>
      <w:r w:rsidRPr="0038460C">
        <w:rPr>
          <w:lang w:eastAsia="en-AU"/>
        </w:rPr>
        <w:t xml:space="preserve">To make a claim in the </w:t>
      </w:r>
      <w:r w:rsidR="009517FF" w:rsidRPr="0038460C">
        <w:rPr>
          <w:lang w:eastAsia="en-AU"/>
        </w:rPr>
        <w:t xml:space="preserve">ACFI </w:t>
      </w:r>
      <w:r w:rsidR="002255F4" w:rsidRPr="0038460C">
        <w:rPr>
          <w:lang w:eastAsia="en-AU"/>
        </w:rPr>
        <w:t xml:space="preserve">behaviour </w:t>
      </w:r>
      <w:r w:rsidRPr="0038460C">
        <w:rPr>
          <w:lang w:eastAsia="en-AU"/>
        </w:rPr>
        <w:t xml:space="preserve">questions, wandering, verbal and physical </w:t>
      </w:r>
      <w:r w:rsidR="000F4E19" w:rsidRPr="0038460C">
        <w:rPr>
          <w:lang w:eastAsia="en-AU"/>
        </w:rPr>
        <w:t>behaviours</w:t>
      </w:r>
      <w:r w:rsidR="00BF4721" w:rsidRPr="0038460C">
        <w:rPr>
          <w:lang w:eastAsia="en-AU"/>
        </w:rPr>
        <w:t xml:space="preserve">, </w:t>
      </w:r>
      <w:r w:rsidR="00C17923" w:rsidRPr="0038460C">
        <w:rPr>
          <w:lang w:eastAsia="en-AU"/>
        </w:rPr>
        <w:t xml:space="preserve">a provider’s submission </w:t>
      </w:r>
      <w:r w:rsidRPr="0038460C">
        <w:rPr>
          <w:lang w:eastAsia="en-AU"/>
        </w:rPr>
        <w:t>must</w:t>
      </w:r>
      <w:r w:rsidR="000F4E19" w:rsidRPr="0038460C">
        <w:rPr>
          <w:lang w:eastAsia="en-AU"/>
        </w:rPr>
        <w:t>;</w:t>
      </w:r>
    </w:p>
    <w:p w:rsidR="00EA662E" w:rsidRPr="0038460C" w:rsidRDefault="00EA662E" w:rsidP="00EA662E">
      <w:pPr>
        <w:rPr>
          <w:lang w:eastAsia="en-AU"/>
        </w:rPr>
      </w:pPr>
      <w:r w:rsidRPr="0038460C">
        <w:rPr>
          <w:lang w:eastAsia="en-AU"/>
        </w:rPr>
        <w:t>(i) fit the required frequency levels</w:t>
      </w:r>
      <w:r w:rsidR="00C17923" w:rsidRPr="0038460C">
        <w:rPr>
          <w:lang w:eastAsia="en-AU"/>
        </w:rPr>
        <w:t xml:space="preserve"> as shown in the behaviour records</w:t>
      </w:r>
      <w:r w:rsidRPr="0038460C">
        <w:rPr>
          <w:lang w:eastAsia="en-AU"/>
        </w:rPr>
        <w:t>; and</w:t>
      </w:r>
    </w:p>
    <w:p w:rsidR="000F4E19" w:rsidRPr="0038460C" w:rsidRDefault="000F4E19" w:rsidP="00EA662E">
      <w:pPr>
        <w:rPr>
          <w:lang w:eastAsia="en-AU"/>
        </w:rPr>
      </w:pPr>
      <w:r w:rsidRPr="0038460C">
        <w:rPr>
          <w:lang w:eastAsia="en-AU"/>
        </w:rPr>
        <w:t>(</w:t>
      </w:r>
      <w:r w:rsidR="00EA662E" w:rsidRPr="0038460C">
        <w:rPr>
          <w:lang w:eastAsia="en-AU"/>
        </w:rPr>
        <w:t>i</w:t>
      </w:r>
      <w:r w:rsidRPr="0038460C">
        <w:rPr>
          <w:lang w:eastAsia="en-AU"/>
        </w:rPr>
        <w:t xml:space="preserve">i) </w:t>
      </w:r>
      <w:r w:rsidR="00C17923" w:rsidRPr="0038460C">
        <w:rPr>
          <w:lang w:eastAsia="en-AU"/>
        </w:rPr>
        <w:t xml:space="preserve">document the </w:t>
      </w:r>
      <w:r w:rsidRPr="0038460C">
        <w:rPr>
          <w:lang w:eastAsia="en-AU"/>
        </w:rPr>
        <w:t>impact on</w:t>
      </w:r>
      <w:r w:rsidR="00C17923" w:rsidRPr="0038460C">
        <w:rPr>
          <w:lang w:eastAsia="en-AU"/>
        </w:rPr>
        <w:t xml:space="preserve"> current care needs and </w:t>
      </w:r>
      <w:r w:rsidRPr="0038460C">
        <w:rPr>
          <w:lang w:eastAsia="en-AU"/>
        </w:rPr>
        <w:t>att</w:t>
      </w:r>
      <w:r w:rsidR="00EA662E" w:rsidRPr="0038460C">
        <w:rPr>
          <w:lang w:eastAsia="en-AU"/>
        </w:rPr>
        <w:t xml:space="preserve">ention </w:t>
      </w:r>
      <w:r w:rsidR="00C17923" w:rsidRPr="0038460C">
        <w:rPr>
          <w:lang w:eastAsia="en-AU"/>
        </w:rPr>
        <w:t xml:space="preserve">requirements </w:t>
      </w:r>
      <w:r w:rsidR="00EA662E" w:rsidRPr="0038460C">
        <w:rPr>
          <w:lang w:eastAsia="en-AU"/>
        </w:rPr>
        <w:t>from a staff member</w:t>
      </w:r>
      <w:r w:rsidR="00C17923" w:rsidRPr="0038460C">
        <w:rPr>
          <w:lang w:eastAsia="en-AU"/>
        </w:rPr>
        <w:t xml:space="preserve"> to attend to the behaviour</w:t>
      </w:r>
      <w:r w:rsidR="00B62255">
        <w:rPr>
          <w:lang w:eastAsia="en-AU"/>
        </w:rPr>
        <w:t>.</w:t>
      </w:r>
    </w:p>
    <w:p w:rsidR="00980F62" w:rsidRDefault="00842B72" w:rsidP="00A268CF">
      <w:pPr>
        <w:rPr>
          <w:lang w:eastAsia="en-AU"/>
        </w:rPr>
      </w:pPr>
      <w:r>
        <w:rPr>
          <w:lang w:eastAsia="en-AU"/>
        </w:rPr>
        <w:t>P</w:t>
      </w:r>
      <w:r w:rsidR="00C17923" w:rsidRPr="0038460C">
        <w:rPr>
          <w:lang w:eastAsia="en-AU"/>
        </w:rPr>
        <w:t>rovider ACFI submission</w:t>
      </w:r>
      <w:r w:rsidR="00BF4721" w:rsidRPr="0038460C">
        <w:rPr>
          <w:lang w:eastAsia="en-AU"/>
        </w:rPr>
        <w:t xml:space="preserve">s </w:t>
      </w:r>
      <w:r w:rsidR="00C17923" w:rsidRPr="0038460C">
        <w:rPr>
          <w:lang w:eastAsia="en-AU"/>
        </w:rPr>
        <w:t xml:space="preserve">often have insufficient documentation </w:t>
      </w:r>
      <w:r w:rsidR="000F4E19" w:rsidRPr="0038460C">
        <w:rPr>
          <w:lang w:eastAsia="en-AU"/>
        </w:rPr>
        <w:t>describ</w:t>
      </w:r>
      <w:r w:rsidR="00C17923" w:rsidRPr="0038460C">
        <w:rPr>
          <w:lang w:eastAsia="en-AU"/>
        </w:rPr>
        <w:t>ing</w:t>
      </w:r>
      <w:r w:rsidR="000F4E19" w:rsidRPr="0038460C">
        <w:rPr>
          <w:lang w:eastAsia="en-AU"/>
        </w:rPr>
        <w:t xml:space="preserve"> the impact and attention requirement aspect of the questions.</w:t>
      </w:r>
      <w:r w:rsidR="007A576E">
        <w:rPr>
          <w:lang w:eastAsia="en-AU"/>
        </w:rPr>
        <w:t xml:space="preserve"> </w:t>
      </w:r>
      <w:r w:rsidR="00F567FB" w:rsidRPr="0038460C">
        <w:rPr>
          <w:lang w:eastAsia="en-AU"/>
        </w:rPr>
        <w:t>To provide a more objective measurement for this aspect the R-ACFI has introduced a disruptiveness rating that must accompany the frequency rating to qualify for a claim.</w:t>
      </w:r>
    </w:p>
    <w:p w:rsidR="00A268CF" w:rsidRPr="005E58E1" w:rsidRDefault="00A268CF" w:rsidP="00557DB1">
      <w:pPr>
        <w:spacing w:after="0"/>
        <w:rPr>
          <w:rStyle w:val="Strong"/>
        </w:rPr>
      </w:pPr>
      <w:r w:rsidRPr="005E58E1">
        <w:rPr>
          <w:rStyle w:val="Strong"/>
        </w:rPr>
        <w:t>External Assessors and Behaviour Assessment</w:t>
      </w:r>
    </w:p>
    <w:p w:rsidR="00980F62" w:rsidRDefault="00F567FB" w:rsidP="00A268CF">
      <w:pPr>
        <w:rPr>
          <w:lang w:eastAsia="en-AU"/>
        </w:rPr>
      </w:pPr>
      <w:r w:rsidRPr="0038460C">
        <w:rPr>
          <w:lang w:eastAsia="en-AU"/>
        </w:rPr>
        <w:t xml:space="preserve">The introduction of a disruptiveness rating will also be helpful in the case of an </w:t>
      </w:r>
      <w:r w:rsidR="0043766D" w:rsidRPr="0038460C">
        <w:rPr>
          <w:lang w:eastAsia="en-AU"/>
        </w:rPr>
        <w:t>assessment of the behavioural care needs of a person living in the community</w:t>
      </w:r>
      <w:r w:rsidRPr="0038460C">
        <w:rPr>
          <w:lang w:eastAsia="en-AU"/>
        </w:rPr>
        <w:t>.</w:t>
      </w:r>
      <w:r w:rsidR="007A576E">
        <w:rPr>
          <w:lang w:eastAsia="en-AU"/>
        </w:rPr>
        <w:t xml:space="preserve"> </w:t>
      </w:r>
      <w:r w:rsidR="0043766D" w:rsidRPr="0038460C">
        <w:rPr>
          <w:lang w:eastAsia="en-AU"/>
        </w:rPr>
        <w:t>As a 7-day</w:t>
      </w:r>
      <w:r w:rsidR="00A268CF" w:rsidRPr="0038460C">
        <w:rPr>
          <w:lang w:eastAsia="en-AU"/>
        </w:rPr>
        <w:t xml:space="preserve"> behaviour record </w:t>
      </w:r>
      <w:r w:rsidR="0043766D" w:rsidRPr="0038460C">
        <w:rPr>
          <w:lang w:eastAsia="en-AU"/>
        </w:rPr>
        <w:t>cannot be completed with sufficient accuracy for persons living in a community setting,</w:t>
      </w:r>
      <w:r w:rsidR="00A268CF" w:rsidRPr="0038460C">
        <w:rPr>
          <w:lang w:eastAsia="en-AU"/>
        </w:rPr>
        <w:t xml:space="preserve"> </w:t>
      </w:r>
      <w:r w:rsidR="0043766D" w:rsidRPr="0038460C">
        <w:rPr>
          <w:lang w:eastAsia="en-AU"/>
        </w:rPr>
        <w:t xml:space="preserve">an approach that focuses on </w:t>
      </w:r>
      <w:r w:rsidRPr="0038460C">
        <w:t xml:space="preserve">disruptiveness </w:t>
      </w:r>
      <w:r w:rsidR="0043766D" w:rsidRPr="0038460C">
        <w:t>for a carer will provide sufficient information to determine a rating on the ACFI-R behaviour questions</w:t>
      </w:r>
      <w:r w:rsidR="00A268CF" w:rsidRPr="0038460C">
        <w:t xml:space="preserve">. For this reason, it is recommended that the </w:t>
      </w:r>
      <w:r w:rsidR="00B62255">
        <w:t>e</w:t>
      </w:r>
      <w:r w:rsidR="00B62255" w:rsidRPr="0038460C">
        <w:t xml:space="preserve">xternal </w:t>
      </w:r>
      <w:r w:rsidR="00B62255">
        <w:t>a</w:t>
      </w:r>
      <w:r w:rsidR="00B62255" w:rsidRPr="0038460C">
        <w:t xml:space="preserve">ssessor </w:t>
      </w:r>
      <w:r w:rsidR="00A268CF" w:rsidRPr="0038460C">
        <w:t>collects information about the specific behaviour and the disruptiveness of the behaviour</w:t>
      </w:r>
      <w:r w:rsidR="0043766D" w:rsidRPr="0038460C">
        <w:t xml:space="preserve"> from the carer and/or other informant</w:t>
      </w:r>
      <w:r w:rsidR="00A268CF" w:rsidRPr="0038460C">
        <w:t xml:space="preserve">. This approach is </w:t>
      </w:r>
      <w:r w:rsidR="00A268CF" w:rsidRPr="0038460C">
        <w:lastRenderedPageBreak/>
        <w:t xml:space="preserve">supported by </w:t>
      </w:r>
      <w:bookmarkStart w:id="351" w:name="_Hlk485818627"/>
      <w:r w:rsidR="00A268CF" w:rsidRPr="0038460C">
        <w:t xml:space="preserve">Robinson, Adkisson, and Weinrich (2001), </w:t>
      </w:r>
      <w:bookmarkEnd w:id="351"/>
      <w:r w:rsidR="00A268CF" w:rsidRPr="0038460C">
        <w:t xml:space="preserve">who reported that the caregiver’s </w:t>
      </w:r>
      <w:r w:rsidR="00A268CF" w:rsidRPr="003A55D6">
        <w:t xml:space="preserve">(family) reporting of a problem behaviour was more highly associated with the impact and severity rather than the frequency. Many validated behaviour assessments also collect the severity or the disruptiveness of the behaviour along with type of behaviour and the frequency. Examples include the Neuropsychiatric Inventory (NPI) (Cummings et al., 1994), </w:t>
      </w:r>
      <w:hyperlink r:id="rId63" w:history="1">
        <w:r w:rsidR="00A268CF" w:rsidRPr="003A55D6">
          <w:t>Behavioural Pathology in Alzheimer’s Disease (BEHAVE-AD)</w:t>
        </w:r>
      </w:hyperlink>
      <w:r w:rsidR="00A268CF" w:rsidRPr="003A55D6">
        <w:t xml:space="preserve"> (Reisberg et al., 1987), </w:t>
      </w:r>
      <w:hyperlink r:id="rId64" w:history="1">
        <w:r w:rsidR="00A268CF" w:rsidRPr="003A55D6">
          <w:t>Pittsburgh Agitation Scale (PAS)</w:t>
        </w:r>
      </w:hyperlink>
      <w:r w:rsidR="00A268CF" w:rsidRPr="003A55D6">
        <w:t xml:space="preserve"> (Rosen et al., 1994), and the Cohen-Mansfield Agitation</w:t>
      </w:r>
      <w:r w:rsidR="00A268CF">
        <w:rPr>
          <w:lang w:eastAsia="en-AU"/>
        </w:rPr>
        <w:t xml:space="preserve"> Index (CMAI) (Cohen-Mansfield, 1991) which is a widely-used behaviour tool that was the basis for the original ACFI behaviour questions</w:t>
      </w:r>
      <w:r w:rsidR="0043766D">
        <w:rPr>
          <w:lang w:eastAsia="en-AU"/>
        </w:rPr>
        <w:t xml:space="preserve"> (</w:t>
      </w:r>
      <w:hyperlink w:anchor="Tab0505" w:history="1">
        <w:r w:rsidR="0043766D" w:rsidRPr="00FD161E">
          <w:rPr>
            <w:rStyle w:val="Hyperlink"/>
            <w:lang w:eastAsia="en-AU"/>
          </w:rPr>
          <w:t>Table 5.5</w:t>
        </w:r>
      </w:hyperlink>
      <w:r w:rsidR="0043766D">
        <w:rPr>
          <w:lang w:eastAsia="en-AU"/>
        </w:rPr>
        <w:t>)</w:t>
      </w:r>
      <w:r w:rsidR="00A268CF">
        <w:rPr>
          <w:lang w:eastAsia="en-AU"/>
        </w:rPr>
        <w:t>.</w:t>
      </w:r>
    </w:p>
    <w:p w:rsidR="00EE4C64" w:rsidRDefault="005A751E" w:rsidP="00EE4C64">
      <w:pPr>
        <w:pStyle w:val="Caption"/>
        <w:keepNext/>
      </w:pPr>
      <w:bookmarkStart w:id="352" w:name="_Toc495416337"/>
      <w:bookmarkStart w:id="353" w:name="Tab0505"/>
      <w:r>
        <w:t>Table 5.</w:t>
      </w:r>
      <w:r w:rsidR="009A3F5A">
        <w:fldChar w:fldCharType="begin"/>
      </w:r>
      <w:r w:rsidR="009A3F5A">
        <w:instrText xml:space="preserve"> SEQ Table_5. \* ARABIC </w:instrText>
      </w:r>
      <w:r w:rsidR="009A3F5A">
        <w:fldChar w:fldCharType="separate"/>
      </w:r>
      <w:r w:rsidR="00856E49">
        <w:rPr>
          <w:noProof/>
        </w:rPr>
        <w:t>5</w:t>
      </w:r>
      <w:r w:rsidR="009A3F5A">
        <w:rPr>
          <w:noProof/>
        </w:rPr>
        <w:fldChar w:fldCharType="end"/>
      </w:r>
      <w:r>
        <w:t xml:space="preserve">: </w:t>
      </w:r>
      <w:r w:rsidRPr="005A751E">
        <w:t xml:space="preserve">Example of Disruptiveness Ratings used in Behaviour Assessments </w:t>
      </w:r>
      <w:bookmarkEnd w:id="352"/>
    </w:p>
    <w:tbl>
      <w:tblPr>
        <w:tblStyle w:val="TableGrid"/>
        <w:tblW w:w="0" w:type="auto"/>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able 5.5 is a list of examples of behaviour assessments and disruptiveness ratings, as summarised in the text prior this table. This table is to be read left to right, top to bottom."/>
      </w:tblPr>
      <w:tblGrid>
        <w:gridCol w:w="2515"/>
        <w:gridCol w:w="6393"/>
      </w:tblGrid>
      <w:tr w:rsidR="005C7A80" w:rsidRPr="006249BC" w:rsidTr="00090516">
        <w:trPr>
          <w:tblHeader/>
        </w:trPr>
        <w:tc>
          <w:tcPr>
            <w:tcW w:w="2547" w:type="dxa"/>
            <w:shd w:val="clear" w:color="auto" w:fill="5B9BD5" w:themeFill="accent5"/>
          </w:tcPr>
          <w:bookmarkEnd w:id="353"/>
          <w:p w:rsidR="00A268CF" w:rsidRPr="006249BC" w:rsidRDefault="00A268CF" w:rsidP="005C7A80">
            <w:pPr>
              <w:spacing w:before="60" w:after="60"/>
              <w:jc w:val="left"/>
              <w:rPr>
                <w:b/>
                <w:color w:val="FFFFFF" w:themeColor="background1"/>
                <w:lang w:eastAsia="en-AU"/>
              </w:rPr>
            </w:pPr>
            <w:r w:rsidRPr="006249BC">
              <w:rPr>
                <w:b/>
                <w:color w:val="FFFFFF" w:themeColor="background1"/>
                <w:lang w:eastAsia="en-AU"/>
              </w:rPr>
              <w:t>Assessment</w:t>
            </w:r>
          </w:p>
        </w:tc>
        <w:tc>
          <w:tcPr>
            <w:tcW w:w="6525" w:type="dxa"/>
            <w:shd w:val="clear" w:color="auto" w:fill="5B9BD5" w:themeFill="accent5"/>
          </w:tcPr>
          <w:p w:rsidR="00A268CF" w:rsidRPr="006249BC" w:rsidRDefault="00A268CF" w:rsidP="005C7A80">
            <w:pPr>
              <w:spacing w:before="60" w:after="60"/>
              <w:jc w:val="center"/>
              <w:rPr>
                <w:b/>
                <w:color w:val="FFFFFF" w:themeColor="background1"/>
                <w:lang w:eastAsia="en-AU"/>
              </w:rPr>
            </w:pPr>
            <w:r w:rsidRPr="006249BC">
              <w:rPr>
                <w:b/>
                <w:color w:val="FFFFFF" w:themeColor="background1"/>
                <w:lang w:eastAsia="en-AU"/>
              </w:rPr>
              <w:t>Disruptiveness Rating</w:t>
            </w:r>
          </w:p>
        </w:tc>
      </w:tr>
      <w:tr w:rsidR="00A268CF" w:rsidRPr="00C02221" w:rsidTr="00AE6A54">
        <w:tc>
          <w:tcPr>
            <w:tcW w:w="2547" w:type="dxa"/>
          </w:tcPr>
          <w:p w:rsidR="00A268CF" w:rsidRPr="00C02221" w:rsidRDefault="00A268CF" w:rsidP="005C7A80">
            <w:pPr>
              <w:spacing w:before="60" w:after="60"/>
              <w:jc w:val="left"/>
              <w:rPr>
                <w:lang w:eastAsia="en-AU"/>
              </w:rPr>
            </w:pPr>
            <w:r w:rsidRPr="00C02221">
              <w:rPr>
                <w:lang w:eastAsia="en-AU"/>
              </w:rPr>
              <w:t>CMAI</w:t>
            </w:r>
          </w:p>
        </w:tc>
        <w:tc>
          <w:tcPr>
            <w:tcW w:w="6525" w:type="dxa"/>
          </w:tcPr>
          <w:p w:rsidR="00A268CF" w:rsidRPr="00C02221" w:rsidRDefault="00A268CF" w:rsidP="005C7A80">
            <w:pPr>
              <w:spacing w:before="60" w:after="60"/>
              <w:jc w:val="left"/>
              <w:rPr>
                <w:lang w:eastAsia="en-AU"/>
              </w:rPr>
            </w:pPr>
            <w:r w:rsidRPr="00C02221">
              <w:rPr>
                <w:lang w:eastAsia="en-AU"/>
              </w:rPr>
              <w:t>Not at all disruptive; A little; Moderately; Very Much; Extremely</w:t>
            </w:r>
          </w:p>
        </w:tc>
      </w:tr>
      <w:tr w:rsidR="00A268CF" w:rsidRPr="00C02221" w:rsidTr="00AE6A54">
        <w:tc>
          <w:tcPr>
            <w:tcW w:w="2547" w:type="dxa"/>
          </w:tcPr>
          <w:p w:rsidR="00A268CF" w:rsidRPr="00C02221" w:rsidRDefault="00A268CF" w:rsidP="005C7A80">
            <w:pPr>
              <w:spacing w:before="60" w:after="60"/>
              <w:jc w:val="left"/>
              <w:rPr>
                <w:lang w:eastAsia="en-AU"/>
              </w:rPr>
            </w:pPr>
            <w:r w:rsidRPr="00C02221">
              <w:rPr>
                <w:lang w:eastAsia="en-AU"/>
              </w:rPr>
              <w:t>NPI</w:t>
            </w:r>
          </w:p>
        </w:tc>
        <w:tc>
          <w:tcPr>
            <w:tcW w:w="6525" w:type="dxa"/>
          </w:tcPr>
          <w:p w:rsidR="00A268CF" w:rsidRPr="00C02221" w:rsidRDefault="00A268CF" w:rsidP="005C7A80">
            <w:pPr>
              <w:spacing w:before="60" w:after="60"/>
              <w:jc w:val="left"/>
              <w:rPr>
                <w:lang w:eastAsia="en-AU"/>
              </w:rPr>
            </w:pPr>
            <w:r w:rsidRPr="00C02221">
              <w:rPr>
                <w:lang w:eastAsia="en-AU"/>
              </w:rPr>
              <w:t>No distress; Minimal; Mild; Moderately; Moderately severe; Very severe or extreme.</w:t>
            </w:r>
          </w:p>
          <w:p w:rsidR="00980F62" w:rsidRDefault="00A268CF" w:rsidP="005C7A80">
            <w:pPr>
              <w:spacing w:before="60" w:after="60"/>
              <w:jc w:val="left"/>
              <w:rPr>
                <w:lang w:eastAsia="en-AU"/>
              </w:rPr>
            </w:pPr>
            <w:r w:rsidRPr="00C02221">
              <w:rPr>
                <w:lang w:eastAsia="en-AU"/>
              </w:rPr>
              <w:t>Mild severity- little distress to patient;</w:t>
            </w:r>
          </w:p>
          <w:p w:rsidR="00980F62" w:rsidRDefault="00A268CF" w:rsidP="005C7A80">
            <w:pPr>
              <w:spacing w:before="60" w:after="60"/>
              <w:jc w:val="left"/>
              <w:rPr>
                <w:lang w:eastAsia="en-AU"/>
              </w:rPr>
            </w:pPr>
            <w:r w:rsidRPr="00C02221">
              <w:rPr>
                <w:lang w:eastAsia="en-AU"/>
              </w:rPr>
              <w:t>Moderate severity- disturbs patient but can be redirected;</w:t>
            </w:r>
          </w:p>
          <w:p w:rsidR="00A268CF" w:rsidRPr="00C02221" w:rsidRDefault="00A268CF" w:rsidP="005C7A80">
            <w:pPr>
              <w:spacing w:before="60" w:after="60"/>
              <w:jc w:val="left"/>
              <w:rPr>
                <w:lang w:eastAsia="en-AU"/>
              </w:rPr>
            </w:pPr>
            <w:r w:rsidRPr="00C02221">
              <w:rPr>
                <w:lang w:eastAsia="en-AU"/>
              </w:rPr>
              <w:t>Severe-</w:t>
            </w:r>
            <w:r>
              <w:rPr>
                <w:lang w:eastAsia="en-AU"/>
              </w:rPr>
              <w:t xml:space="preserve"> </w:t>
            </w:r>
            <w:r w:rsidRPr="00C02221">
              <w:rPr>
                <w:lang w:eastAsia="en-AU"/>
              </w:rPr>
              <w:t>very disturbing to patient, difficult to redirect.</w:t>
            </w:r>
          </w:p>
        </w:tc>
      </w:tr>
      <w:tr w:rsidR="00A268CF" w:rsidRPr="00C02221" w:rsidTr="00AE6A54">
        <w:tc>
          <w:tcPr>
            <w:tcW w:w="2547" w:type="dxa"/>
          </w:tcPr>
          <w:p w:rsidR="00A268CF" w:rsidRPr="00C02221" w:rsidRDefault="00A268CF" w:rsidP="005C7A80">
            <w:pPr>
              <w:spacing w:before="60" w:after="60"/>
              <w:jc w:val="left"/>
              <w:rPr>
                <w:lang w:eastAsia="en-AU"/>
              </w:rPr>
            </w:pPr>
            <w:r w:rsidRPr="00C02221">
              <w:rPr>
                <w:lang w:eastAsia="en-AU"/>
              </w:rPr>
              <w:t>BEHAVE-AD</w:t>
            </w:r>
          </w:p>
        </w:tc>
        <w:tc>
          <w:tcPr>
            <w:tcW w:w="6525" w:type="dxa"/>
          </w:tcPr>
          <w:p w:rsidR="00A268CF" w:rsidRPr="00C02221" w:rsidRDefault="00A268CF" w:rsidP="005C7A80">
            <w:pPr>
              <w:spacing w:before="60" w:after="60"/>
              <w:jc w:val="left"/>
              <w:rPr>
                <w:lang w:eastAsia="en-AU"/>
              </w:rPr>
            </w:pPr>
            <w:r w:rsidRPr="00C02221">
              <w:rPr>
                <w:lang w:eastAsia="en-AU"/>
              </w:rPr>
              <w:t>Not at all troubling to the caregiver or dangerous to the patient;</w:t>
            </w:r>
          </w:p>
          <w:p w:rsidR="00A268CF" w:rsidRPr="00C02221" w:rsidRDefault="00A268CF" w:rsidP="005C7A80">
            <w:pPr>
              <w:spacing w:before="60" w:after="60"/>
              <w:jc w:val="left"/>
              <w:rPr>
                <w:lang w:eastAsia="en-AU"/>
              </w:rPr>
            </w:pPr>
            <w:r w:rsidRPr="00C02221">
              <w:rPr>
                <w:lang w:eastAsia="en-AU"/>
              </w:rPr>
              <w:t>Mildly troubling to the caregiver or dangerous to the patient;</w:t>
            </w:r>
          </w:p>
          <w:p w:rsidR="00A268CF" w:rsidRPr="00C02221" w:rsidRDefault="00A268CF" w:rsidP="005C7A80">
            <w:pPr>
              <w:spacing w:before="60" w:after="60"/>
              <w:jc w:val="left"/>
              <w:rPr>
                <w:lang w:eastAsia="en-AU"/>
              </w:rPr>
            </w:pPr>
            <w:r w:rsidRPr="00C02221">
              <w:rPr>
                <w:lang w:eastAsia="en-AU"/>
              </w:rPr>
              <w:t>Moderately troubling to the caregiver or dangerous to the patient;</w:t>
            </w:r>
          </w:p>
          <w:p w:rsidR="00A268CF" w:rsidRPr="00C02221" w:rsidRDefault="00A268CF" w:rsidP="005C7A80">
            <w:pPr>
              <w:spacing w:before="60" w:after="60"/>
              <w:jc w:val="left"/>
              <w:rPr>
                <w:lang w:eastAsia="en-AU"/>
              </w:rPr>
            </w:pPr>
            <w:r w:rsidRPr="00C02221">
              <w:rPr>
                <w:lang w:eastAsia="en-AU"/>
              </w:rPr>
              <w:t>Severely troubling or intolerable to the caregiver or dangerous to the patient.</w:t>
            </w:r>
          </w:p>
        </w:tc>
      </w:tr>
      <w:tr w:rsidR="00A268CF" w:rsidRPr="00C02221" w:rsidTr="00AE6A54">
        <w:tc>
          <w:tcPr>
            <w:tcW w:w="2547" w:type="dxa"/>
          </w:tcPr>
          <w:p w:rsidR="00A268CF" w:rsidRPr="00C02221" w:rsidRDefault="00A268CF" w:rsidP="005C7A80">
            <w:pPr>
              <w:spacing w:before="60" w:after="60"/>
              <w:jc w:val="left"/>
              <w:rPr>
                <w:lang w:eastAsia="en-AU"/>
              </w:rPr>
            </w:pPr>
            <w:r w:rsidRPr="00C02221">
              <w:rPr>
                <w:lang w:eastAsia="en-AU"/>
              </w:rPr>
              <w:t>Pittsburg Agitation Scale (PAS)</w:t>
            </w:r>
          </w:p>
        </w:tc>
        <w:tc>
          <w:tcPr>
            <w:tcW w:w="6525" w:type="dxa"/>
          </w:tcPr>
          <w:p w:rsidR="00A268CF" w:rsidRPr="00C02221" w:rsidRDefault="00A268CF" w:rsidP="005C7A80">
            <w:pPr>
              <w:spacing w:before="60" w:after="60"/>
              <w:jc w:val="left"/>
              <w:rPr>
                <w:lang w:eastAsia="en-AU"/>
              </w:rPr>
            </w:pPr>
            <w:r w:rsidRPr="00C02221">
              <w:rPr>
                <w:lang w:eastAsia="en-AU"/>
              </w:rPr>
              <w:t>Intensity for vocalisations: Not present; Low volume, not disruptive in milieu; Louder than conversational, mildly disruptive, difficult to redirect; Extremely loud, highly disruptive, unable to redirect.</w:t>
            </w:r>
          </w:p>
        </w:tc>
      </w:tr>
      <w:tr w:rsidR="00A268CF" w:rsidRPr="00C02221" w:rsidTr="00AE6A54">
        <w:tc>
          <w:tcPr>
            <w:tcW w:w="2547" w:type="dxa"/>
          </w:tcPr>
          <w:p w:rsidR="00A268CF" w:rsidRPr="00C02221" w:rsidRDefault="00A268CF" w:rsidP="005C7A80">
            <w:pPr>
              <w:spacing w:before="60" w:after="60"/>
              <w:jc w:val="left"/>
              <w:rPr>
                <w:lang w:eastAsia="en-AU"/>
              </w:rPr>
            </w:pPr>
            <w:r w:rsidRPr="00C02221">
              <w:rPr>
                <w:lang w:eastAsia="en-AU"/>
              </w:rPr>
              <w:t>Disruptive Behaviour</w:t>
            </w:r>
          </w:p>
          <w:p w:rsidR="00A268CF" w:rsidRPr="00C02221" w:rsidRDefault="00A268CF" w:rsidP="005C7A80">
            <w:pPr>
              <w:spacing w:before="60" w:after="60"/>
              <w:jc w:val="left"/>
              <w:rPr>
                <w:lang w:eastAsia="en-AU"/>
              </w:rPr>
            </w:pPr>
            <w:r w:rsidRPr="00C02221">
              <w:rPr>
                <w:lang w:eastAsia="en-AU"/>
              </w:rPr>
              <w:t>Rating Scale (DBRS)</w:t>
            </w:r>
            <w:r>
              <w:rPr>
                <w:lang w:eastAsia="en-AU"/>
              </w:rPr>
              <w:t xml:space="preserve"> (Mungas, Weiler, Franzi, &amp; Henry, 1989)</w:t>
            </w:r>
          </w:p>
        </w:tc>
        <w:tc>
          <w:tcPr>
            <w:tcW w:w="6525" w:type="dxa"/>
          </w:tcPr>
          <w:p w:rsidR="00A268CF" w:rsidRPr="00C02221" w:rsidRDefault="00A268CF" w:rsidP="005C7A80">
            <w:pPr>
              <w:spacing w:before="60" w:after="60"/>
              <w:jc w:val="left"/>
              <w:rPr>
                <w:lang w:eastAsia="en-AU"/>
              </w:rPr>
            </w:pPr>
            <w:r w:rsidRPr="00C02221">
              <w:rPr>
                <w:lang w:eastAsia="en-AU"/>
              </w:rPr>
              <w:t>No intervention; Intervention required; Major effect e.g. injury or major intervention; Severe effect or extreme intervention.</w:t>
            </w:r>
          </w:p>
        </w:tc>
      </w:tr>
    </w:tbl>
    <w:p w:rsidR="00980F62" w:rsidRDefault="00394C3E" w:rsidP="00557DB1">
      <w:pPr>
        <w:spacing w:before="120"/>
        <w:rPr>
          <w:lang w:eastAsia="en-AU"/>
        </w:rPr>
      </w:pPr>
      <w:r w:rsidRPr="0091274A">
        <w:rPr>
          <w:lang w:eastAsia="en-AU"/>
        </w:rPr>
        <w:t>An External Assessor will rely on informants for collecting disruptiveness over a recent time period (last 7 days). Recalling the most frequently disruptive behaviour in the past week that required an intervention should be easier and less subjective than recalling and estimating numerous frequency events.</w:t>
      </w:r>
    </w:p>
    <w:p w:rsidR="0091274A" w:rsidRDefault="0091274A" w:rsidP="00557DB1">
      <w:pPr>
        <w:rPr>
          <w:lang w:eastAsia="en-AU"/>
        </w:rPr>
      </w:pPr>
      <w:r w:rsidRPr="0091274A">
        <w:rPr>
          <w:lang w:eastAsia="en-AU"/>
        </w:rPr>
        <w:t>The</w:t>
      </w:r>
      <w:r w:rsidR="001F2491">
        <w:rPr>
          <w:lang w:eastAsia="en-AU"/>
        </w:rPr>
        <w:t xml:space="preserve"> description for the </w:t>
      </w:r>
      <w:r w:rsidRPr="0091274A">
        <w:rPr>
          <w:lang w:eastAsia="en-AU"/>
        </w:rPr>
        <w:t>four-point</w:t>
      </w:r>
      <w:r w:rsidR="001F2491">
        <w:rPr>
          <w:lang w:eastAsia="en-AU"/>
        </w:rPr>
        <w:t xml:space="preserve"> disruptiveness rating scale is shown in Table 5.6.</w:t>
      </w:r>
    </w:p>
    <w:p w:rsidR="00EE4C64" w:rsidRDefault="005A751E" w:rsidP="00EE4C64">
      <w:pPr>
        <w:pStyle w:val="Caption"/>
        <w:keepNext/>
      </w:pPr>
      <w:bookmarkStart w:id="354" w:name="_Toc495416338"/>
      <w:bookmarkStart w:id="355" w:name="Tab0506"/>
      <w:r>
        <w:lastRenderedPageBreak/>
        <w:t>Table 5.</w:t>
      </w:r>
      <w:r w:rsidR="009A3F5A">
        <w:fldChar w:fldCharType="begin"/>
      </w:r>
      <w:r w:rsidR="009A3F5A">
        <w:instrText xml:space="preserve"> SEQ Table_5. \* ARABIC </w:instrText>
      </w:r>
      <w:r w:rsidR="009A3F5A">
        <w:fldChar w:fldCharType="separate"/>
      </w:r>
      <w:r w:rsidR="00856E49">
        <w:rPr>
          <w:noProof/>
        </w:rPr>
        <w:t>6</w:t>
      </w:r>
      <w:r w:rsidR="009A3F5A">
        <w:rPr>
          <w:noProof/>
        </w:rPr>
        <w:fldChar w:fldCharType="end"/>
      </w:r>
      <w:r>
        <w:t xml:space="preserve">: </w:t>
      </w:r>
      <w:r w:rsidRPr="005A751E">
        <w:t>Four Point Disruptiveness Scale Used in the R-ACFI BEH Domain</w:t>
      </w:r>
      <w:bookmarkEnd w:id="354"/>
    </w:p>
    <w:tbl>
      <w:tblPr>
        <w:tblStyle w:val="TableGrid"/>
        <w:tblW w:w="9214"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able 5.6 is a list of the proposed ratings and descriptions for the four point disruptiveness scale that would be used in the Revised Aged Care Funding Instrument (R-ACFI), as summarised in the text prior this table. This table is to be read left to right, top to bottom."/>
      </w:tblPr>
      <w:tblGrid>
        <w:gridCol w:w="1356"/>
        <w:gridCol w:w="7858"/>
      </w:tblGrid>
      <w:tr w:rsidR="005C7A80" w:rsidRPr="00B16C5C" w:rsidTr="00090516">
        <w:trPr>
          <w:tblHeader/>
        </w:trPr>
        <w:tc>
          <w:tcPr>
            <w:tcW w:w="1356" w:type="dxa"/>
            <w:shd w:val="clear" w:color="auto" w:fill="5B9BD5" w:themeFill="accent5"/>
          </w:tcPr>
          <w:bookmarkEnd w:id="355"/>
          <w:p w:rsidR="005C7A80" w:rsidRPr="00B16C5C" w:rsidRDefault="00BF3E4E" w:rsidP="005C7A80">
            <w:pPr>
              <w:spacing w:before="60" w:after="60"/>
              <w:jc w:val="left"/>
              <w:rPr>
                <w:b/>
                <w:color w:val="FFFFFF" w:themeColor="background1"/>
                <w:lang w:eastAsia="en-AU"/>
              </w:rPr>
            </w:pPr>
            <w:r w:rsidRPr="00B16C5C">
              <w:rPr>
                <w:b/>
                <w:color w:val="FFFFFF" w:themeColor="background1"/>
                <w:lang w:eastAsia="en-AU"/>
              </w:rPr>
              <w:t>Rating</w:t>
            </w:r>
          </w:p>
        </w:tc>
        <w:tc>
          <w:tcPr>
            <w:tcW w:w="7858" w:type="dxa"/>
            <w:shd w:val="clear" w:color="auto" w:fill="5B9BD5" w:themeFill="accent5"/>
          </w:tcPr>
          <w:p w:rsidR="005C7A80" w:rsidRPr="00B16C5C" w:rsidRDefault="005C7A80" w:rsidP="005C7A80">
            <w:pPr>
              <w:spacing w:before="60" w:after="60"/>
              <w:jc w:val="center"/>
              <w:rPr>
                <w:b/>
                <w:color w:val="FFFFFF" w:themeColor="background1"/>
                <w:lang w:eastAsia="en-AU"/>
              </w:rPr>
            </w:pPr>
            <w:r w:rsidRPr="00B16C5C">
              <w:rPr>
                <w:b/>
                <w:color w:val="FFFFFF" w:themeColor="background1"/>
                <w:lang w:eastAsia="en-AU"/>
              </w:rPr>
              <w:t>Description</w:t>
            </w:r>
          </w:p>
        </w:tc>
      </w:tr>
      <w:tr w:rsidR="0091274A" w:rsidRPr="0091274A" w:rsidTr="00AE6A54">
        <w:trPr>
          <w:tblHeader/>
        </w:trPr>
        <w:tc>
          <w:tcPr>
            <w:tcW w:w="1356" w:type="dxa"/>
          </w:tcPr>
          <w:p w:rsidR="0091274A" w:rsidRPr="0091274A" w:rsidRDefault="0091274A" w:rsidP="005C7A80">
            <w:pPr>
              <w:spacing w:before="60" w:after="60"/>
              <w:jc w:val="left"/>
            </w:pPr>
            <w:r w:rsidRPr="0091274A">
              <w:rPr>
                <w:color w:val="000000" w:themeColor="text1"/>
              </w:rPr>
              <w:t>Not at all or Mildly</w:t>
            </w:r>
          </w:p>
        </w:tc>
        <w:tc>
          <w:tcPr>
            <w:tcW w:w="7858" w:type="dxa"/>
          </w:tcPr>
          <w:p w:rsidR="0091274A" w:rsidRPr="0091274A" w:rsidRDefault="0091274A" w:rsidP="005C7A80">
            <w:pPr>
              <w:spacing w:before="60" w:after="60"/>
              <w:jc w:val="left"/>
              <w:rPr>
                <w:color w:val="000000" w:themeColor="text1"/>
              </w:rPr>
            </w:pPr>
            <w:r w:rsidRPr="0091274A">
              <w:rPr>
                <w:color w:val="000000" w:themeColor="text1"/>
              </w:rPr>
              <w:t>Requires no intervention by staff OR</w:t>
            </w:r>
          </w:p>
          <w:p w:rsidR="0091274A" w:rsidRPr="0091274A" w:rsidRDefault="0091274A" w:rsidP="005C7A80">
            <w:pPr>
              <w:spacing w:before="60" w:after="60"/>
              <w:jc w:val="left"/>
              <w:rPr>
                <w:rFonts w:cs="FrutigerLT-Cn"/>
              </w:rPr>
            </w:pPr>
            <w:r w:rsidRPr="0091274A">
              <w:rPr>
                <w:color w:val="000000" w:themeColor="text1"/>
              </w:rPr>
              <w:t>Receives intervention, settles quickly. Mildly</w:t>
            </w:r>
            <w:r w:rsidRPr="0091274A">
              <w:rPr>
                <w:rFonts w:cs="FrutigerLT-Cn"/>
                <w:color w:val="000000" w:themeColor="text1"/>
              </w:rPr>
              <w:t xml:space="preserve"> disruptive, co-operative response to intervention, not disruptive to other residents or visitors.</w:t>
            </w:r>
          </w:p>
        </w:tc>
      </w:tr>
      <w:tr w:rsidR="0091274A" w:rsidRPr="0091274A" w:rsidTr="00AE6A54">
        <w:tc>
          <w:tcPr>
            <w:tcW w:w="1356" w:type="dxa"/>
          </w:tcPr>
          <w:p w:rsidR="0091274A" w:rsidRPr="0091274A" w:rsidRDefault="0091274A" w:rsidP="005C7A80">
            <w:pPr>
              <w:spacing w:before="60" w:after="60"/>
              <w:jc w:val="left"/>
            </w:pPr>
            <w:r w:rsidRPr="0091274A">
              <w:rPr>
                <w:color w:val="000000" w:themeColor="text1"/>
              </w:rPr>
              <w:t>Moderately</w:t>
            </w:r>
          </w:p>
        </w:tc>
        <w:tc>
          <w:tcPr>
            <w:tcW w:w="7858" w:type="dxa"/>
          </w:tcPr>
          <w:p w:rsidR="0091274A" w:rsidRPr="0091274A" w:rsidRDefault="0091274A" w:rsidP="005C7A80">
            <w:pPr>
              <w:spacing w:before="60" w:after="60"/>
              <w:jc w:val="left"/>
              <w:rPr>
                <w:color w:val="000000" w:themeColor="text1"/>
              </w:rPr>
            </w:pPr>
            <w:r w:rsidRPr="0091274A">
              <w:rPr>
                <w:color w:val="000000" w:themeColor="text1"/>
              </w:rPr>
              <w:t>Receives intervention, takes multiple attempts to settle.</w:t>
            </w:r>
          </w:p>
          <w:p w:rsidR="0091274A" w:rsidRPr="0091274A" w:rsidRDefault="0091274A" w:rsidP="005C7A80">
            <w:pPr>
              <w:spacing w:before="60" w:after="60"/>
              <w:jc w:val="left"/>
              <w:rPr>
                <w:rFonts w:cs="FrutigerLT-Cn"/>
              </w:rPr>
            </w:pPr>
            <w:r w:rsidRPr="0091274A">
              <w:rPr>
                <w:color w:val="000000" w:themeColor="text1"/>
              </w:rPr>
              <w:t>M</w:t>
            </w:r>
            <w:r w:rsidRPr="0091274A">
              <w:rPr>
                <w:rFonts w:cs="FrutigerLT-Cn"/>
                <w:color w:val="000000" w:themeColor="text1"/>
              </w:rPr>
              <w:t>oderately disruptive, not always co-operative, but can be resolved with intervention, sometimes disruptive to other residents or visitors.</w:t>
            </w:r>
          </w:p>
        </w:tc>
      </w:tr>
      <w:tr w:rsidR="0091274A" w:rsidRPr="0091274A" w:rsidTr="00AE6A54">
        <w:tc>
          <w:tcPr>
            <w:tcW w:w="1356" w:type="dxa"/>
          </w:tcPr>
          <w:p w:rsidR="0091274A" w:rsidRPr="0091274A" w:rsidRDefault="0091274A" w:rsidP="005C7A80">
            <w:pPr>
              <w:spacing w:before="60" w:after="60"/>
              <w:jc w:val="left"/>
            </w:pPr>
            <w:r w:rsidRPr="0091274A">
              <w:rPr>
                <w:color w:val="000000" w:themeColor="text1"/>
              </w:rPr>
              <w:t>Severely</w:t>
            </w:r>
          </w:p>
        </w:tc>
        <w:tc>
          <w:tcPr>
            <w:tcW w:w="7858" w:type="dxa"/>
          </w:tcPr>
          <w:p w:rsidR="0091274A" w:rsidRPr="0091274A" w:rsidRDefault="0091274A" w:rsidP="005C7A80">
            <w:pPr>
              <w:spacing w:before="60" w:after="60"/>
              <w:jc w:val="left"/>
              <w:rPr>
                <w:color w:val="000000" w:themeColor="text1"/>
              </w:rPr>
            </w:pPr>
            <w:r w:rsidRPr="0091274A">
              <w:rPr>
                <w:color w:val="000000" w:themeColor="text1"/>
              </w:rPr>
              <w:t>Requires numerous interventions, often unable to settle.</w:t>
            </w:r>
          </w:p>
          <w:p w:rsidR="0091274A" w:rsidRPr="0091274A" w:rsidRDefault="0091274A" w:rsidP="005C7A80">
            <w:pPr>
              <w:spacing w:before="60" w:after="60"/>
              <w:jc w:val="left"/>
              <w:rPr>
                <w:rFonts w:cs="FrutigerLT-Cn"/>
              </w:rPr>
            </w:pPr>
            <w:r w:rsidRPr="0091274A">
              <w:rPr>
                <w:color w:val="000000" w:themeColor="text1"/>
              </w:rPr>
              <w:t>V</w:t>
            </w:r>
            <w:r w:rsidRPr="0091274A">
              <w:rPr>
                <w:rFonts w:cs="FrutigerLT-Cn"/>
                <w:color w:val="000000" w:themeColor="text1"/>
              </w:rPr>
              <w:t>ery disruptive, sometimes requires immediate intervention, interferes with others, their belongings or visitors, asocial behaviour.</w:t>
            </w:r>
          </w:p>
        </w:tc>
      </w:tr>
      <w:tr w:rsidR="0091274A" w:rsidRPr="0091274A" w:rsidTr="00AE6A54">
        <w:tc>
          <w:tcPr>
            <w:tcW w:w="1356" w:type="dxa"/>
          </w:tcPr>
          <w:p w:rsidR="0091274A" w:rsidRPr="0091274A" w:rsidRDefault="0091274A" w:rsidP="005C7A80">
            <w:pPr>
              <w:spacing w:before="60" w:after="60"/>
              <w:jc w:val="left"/>
            </w:pPr>
            <w:r w:rsidRPr="0091274A">
              <w:rPr>
                <w:color w:val="000000" w:themeColor="text1"/>
              </w:rPr>
              <w:t>Extremely</w:t>
            </w:r>
          </w:p>
        </w:tc>
        <w:tc>
          <w:tcPr>
            <w:tcW w:w="7858" w:type="dxa"/>
          </w:tcPr>
          <w:p w:rsidR="0091274A" w:rsidRPr="0091274A" w:rsidRDefault="0091274A" w:rsidP="005C7A80">
            <w:pPr>
              <w:spacing w:before="60" w:after="60"/>
              <w:jc w:val="left"/>
              <w:rPr>
                <w:color w:val="000000" w:themeColor="text1"/>
              </w:rPr>
            </w:pPr>
            <w:r w:rsidRPr="0091274A">
              <w:rPr>
                <w:color w:val="000000" w:themeColor="text1"/>
              </w:rPr>
              <w:t>Receives ongoing intervention, cannot effectively settle.</w:t>
            </w:r>
          </w:p>
          <w:p w:rsidR="0091274A" w:rsidRPr="0091274A" w:rsidRDefault="0091274A" w:rsidP="005C7A80">
            <w:pPr>
              <w:spacing w:before="60" w:after="60"/>
              <w:jc w:val="left"/>
            </w:pPr>
            <w:r w:rsidRPr="0091274A">
              <w:rPr>
                <w:color w:val="000000" w:themeColor="text1"/>
              </w:rPr>
              <w:t>E</w:t>
            </w:r>
            <w:r w:rsidRPr="0091274A">
              <w:rPr>
                <w:rFonts w:cs="FrutigerLT-Cn"/>
                <w:color w:val="000000" w:themeColor="text1"/>
              </w:rPr>
              <w:t>xtremely disruptive, always requires immediate intervention, wakes others at night, disruptive to others during the day, requires one or more staff attention or constant attention.</w:t>
            </w:r>
          </w:p>
        </w:tc>
      </w:tr>
    </w:tbl>
    <w:p w:rsidR="002A53E2" w:rsidRPr="006740D4" w:rsidRDefault="002A53E2" w:rsidP="000A6B58">
      <w:pPr>
        <w:pStyle w:val="Heading4-Chapter532"/>
      </w:pPr>
      <w:r w:rsidRPr="006740D4">
        <w:t>Behaviour Description</w:t>
      </w:r>
    </w:p>
    <w:p w:rsidR="00980F62" w:rsidRDefault="002A53E2" w:rsidP="002A53E2">
      <w:pPr>
        <w:rPr>
          <w:color w:val="000000" w:themeColor="text1"/>
        </w:rPr>
      </w:pPr>
      <w:r>
        <w:rPr>
          <w:color w:val="000000" w:themeColor="text1"/>
          <w:lang w:eastAsia="en-AU"/>
        </w:rPr>
        <w:t xml:space="preserve">Further, while disruptiveness is a key determinant of whether a behaviour is problematic, a behaviour description is also essential </w:t>
      </w:r>
      <w:r w:rsidRPr="00EA58E2">
        <w:rPr>
          <w:color w:val="000000" w:themeColor="text1"/>
          <w:lang w:eastAsia="en-AU"/>
        </w:rPr>
        <w:t xml:space="preserve">for </w:t>
      </w:r>
      <w:r>
        <w:rPr>
          <w:color w:val="000000" w:themeColor="text1"/>
          <w:lang w:eastAsia="en-AU"/>
        </w:rPr>
        <w:t xml:space="preserve">developing </w:t>
      </w:r>
      <w:r w:rsidRPr="00EA58E2">
        <w:rPr>
          <w:color w:val="000000" w:themeColor="text1"/>
          <w:lang w:eastAsia="en-AU"/>
        </w:rPr>
        <w:t xml:space="preserve">care </w:t>
      </w:r>
      <w:r>
        <w:rPr>
          <w:color w:val="000000" w:themeColor="text1"/>
          <w:lang w:eastAsia="en-AU"/>
        </w:rPr>
        <w:t xml:space="preserve">interventions, staff communication around behaviour, and when including information from relatives. </w:t>
      </w:r>
      <w:r w:rsidRPr="00EA58E2">
        <w:rPr>
          <w:color w:val="000000" w:themeColor="text1"/>
          <w:lang w:eastAsia="en-AU"/>
        </w:rPr>
        <w:t xml:space="preserve">The International Psychogeriatric </w:t>
      </w:r>
      <w:r w:rsidRPr="00EA58E2">
        <w:rPr>
          <w:color w:val="000000" w:themeColor="text1"/>
        </w:rPr>
        <w:t xml:space="preserve">Association (IPA) recommends the ABC (Antecedent, Behaviour, Consequences) approach for behaviour </w:t>
      </w:r>
      <w:r>
        <w:rPr>
          <w:color w:val="000000" w:themeColor="text1"/>
        </w:rPr>
        <w:t xml:space="preserve">support and </w:t>
      </w:r>
      <w:r w:rsidRPr="00EA58E2">
        <w:rPr>
          <w:color w:val="000000" w:themeColor="text1"/>
        </w:rPr>
        <w:t>management</w:t>
      </w:r>
      <w:r>
        <w:rPr>
          <w:color w:val="000000" w:themeColor="text1"/>
        </w:rPr>
        <w:t>,</w:t>
      </w:r>
      <w:r w:rsidRPr="00EA58E2">
        <w:rPr>
          <w:color w:val="000000" w:themeColor="text1"/>
        </w:rPr>
        <w:t xml:space="preserve"> which includes a detailed behaviour description</w:t>
      </w:r>
      <w:r>
        <w:rPr>
          <w:color w:val="000000" w:themeColor="text1"/>
        </w:rPr>
        <w:t xml:space="preserve"> (International Psychogeriatric Association, 2012)</w:t>
      </w:r>
      <w:r>
        <w:t>.</w:t>
      </w:r>
      <w:r w:rsidR="007A576E">
        <w:rPr>
          <w:color w:val="000000" w:themeColor="text1"/>
        </w:rPr>
        <w:t xml:space="preserve"> </w:t>
      </w:r>
      <w:r>
        <w:rPr>
          <w:color w:val="000000" w:themeColor="text1"/>
        </w:rPr>
        <w:t>Therefore, the R-ACFI BEH domain also includes, as mandatory, a description of the behaviour with any funding claim.</w:t>
      </w:r>
    </w:p>
    <w:p w:rsidR="00EB5234" w:rsidRDefault="00575534" w:rsidP="00575534">
      <w:pPr>
        <w:rPr>
          <w:rFonts w:cs="FrutigerLT-Cn"/>
          <w:szCs w:val="24"/>
        </w:rPr>
      </w:pPr>
      <w:r w:rsidRPr="00083875">
        <w:rPr>
          <w:bCs/>
          <w:szCs w:val="24"/>
          <w:lang w:eastAsia="en-AU"/>
        </w:rPr>
        <w:t xml:space="preserve">A </w:t>
      </w:r>
      <w:r w:rsidR="00B62255">
        <w:rPr>
          <w:bCs/>
          <w:szCs w:val="24"/>
          <w:lang w:eastAsia="en-AU"/>
        </w:rPr>
        <w:t>d</w:t>
      </w:r>
      <w:r w:rsidRPr="00083875">
        <w:rPr>
          <w:bCs/>
          <w:szCs w:val="24"/>
          <w:lang w:eastAsia="en-AU"/>
        </w:rPr>
        <w:t>etailed behaviour description is to be included in the Behaviour Assessment Summary to describe what was seen/heard.</w:t>
      </w:r>
      <w:r w:rsidRPr="00083875">
        <w:rPr>
          <w:color w:val="70AD47" w:themeColor="accent6"/>
          <w:lang w:eastAsia="en-AU"/>
        </w:rPr>
        <w:t xml:space="preserve"> </w:t>
      </w:r>
      <w:r w:rsidRPr="00083875">
        <w:rPr>
          <w:rFonts w:cs="ChaparralPro-Italic"/>
          <w:iCs/>
          <w:szCs w:val="24"/>
        </w:rPr>
        <w:t xml:space="preserve">The behaviour description (i.e. the B in the ABC) will improve the identification of the behaviour from the resident’s file notes, as it will be expected to be possibly included in ADL assessments (as this is a common trigger or antecedent for behaviours), recorded as an exceptional event in progress notes (disruptive behaviours should stand out as unusual), and should be included in the Care Plan. For simplicity, just the behaviour description has been requested, but it is intended to encourage the consideration of the context of the </w:t>
      </w:r>
      <w:bookmarkStart w:id="356" w:name="_Hlk480986243"/>
      <w:r w:rsidRPr="00083875">
        <w:rPr>
          <w:rFonts w:cs="ChaparralPro-Italic"/>
          <w:iCs/>
          <w:szCs w:val="24"/>
        </w:rPr>
        <w:t xml:space="preserve">behaviour. </w:t>
      </w:r>
      <w:r w:rsidRPr="00083875">
        <w:rPr>
          <w:rFonts w:cs="FrutigerLT-Cn"/>
          <w:szCs w:val="24"/>
        </w:rPr>
        <w:t>Effective behaviour management begins by trying to clearly describe the behaviour</w:t>
      </w:r>
      <w:r w:rsidR="00557DB1">
        <w:rPr>
          <w:rFonts w:cs="FrutigerLT-Cn"/>
          <w:szCs w:val="24"/>
        </w:rPr>
        <w:t>.</w:t>
      </w:r>
    </w:p>
    <w:p w:rsidR="00EB5234" w:rsidRDefault="00EB5234">
      <w:pPr>
        <w:spacing w:after="200"/>
        <w:jc w:val="left"/>
        <w:rPr>
          <w:rFonts w:cs="FrutigerLT-Cn"/>
          <w:szCs w:val="24"/>
        </w:rPr>
      </w:pPr>
      <w:r>
        <w:rPr>
          <w:rFonts w:cs="FrutigerLT-Cn"/>
          <w:szCs w:val="24"/>
        </w:rPr>
        <w:br w:type="page"/>
      </w:r>
    </w:p>
    <w:p w:rsidR="00B8721A" w:rsidRDefault="00B8721A" w:rsidP="000A6B58">
      <w:pPr>
        <w:pStyle w:val="Heading4-Chapter532"/>
      </w:pPr>
      <w:bookmarkStart w:id="357" w:name="_Toc485990610"/>
      <w:bookmarkEnd w:id="350"/>
      <w:bookmarkEnd w:id="356"/>
      <w:r w:rsidRPr="0091274A">
        <w:lastRenderedPageBreak/>
        <w:t>Recommendations</w:t>
      </w:r>
      <w:r>
        <w:t xml:space="preserve"> for the Behaviour Assessment Aspect</w:t>
      </w:r>
    </w:p>
    <w:p w:rsidR="00EB5234" w:rsidRPr="00EB5234" w:rsidRDefault="00B8721A" w:rsidP="00EB5234">
      <w:pPr>
        <w:spacing w:before="120" w:after="0"/>
        <w:rPr>
          <w:rStyle w:val="Strong"/>
        </w:rPr>
      </w:pPr>
      <w:r w:rsidRPr="00EB5234">
        <w:rPr>
          <w:rStyle w:val="Strong"/>
        </w:rPr>
        <w:t>Behaviour Record Completion by Residential Aged Care Assessors (as per current approach)</w:t>
      </w:r>
    </w:p>
    <w:p w:rsidR="00B8721A" w:rsidRDefault="00B8721A" w:rsidP="00557DB1">
      <w:pPr>
        <w:pStyle w:val="ListParagraph"/>
        <w:numPr>
          <w:ilvl w:val="0"/>
          <w:numId w:val="22"/>
        </w:numPr>
        <w:ind w:left="357" w:hanging="357"/>
        <w:contextualSpacing w:val="0"/>
        <w:rPr>
          <w:lang w:eastAsia="en-AU"/>
        </w:rPr>
      </w:pPr>
      <w:r>
        <w:rPr>
          <w:lang w:eastAsia="en-AU"/>
        </w:rPr>
        <w:t>T</w:t>
      </w:r>
      <w:r w:rsidRPr="004651DD">
        <w:rPr>
          <w:lang w:eastAsia="en-AU"/>
        </w:rPr>
        <w:t>he behaviour must require staff intervention at a minimum frequency of daily</w:t>
      </w:r>
      <w:r>
        <w:rPr>
          <w:lang w:eastAsia="en-AU"/>
        </w:rPr>
        <w:t xml:space="preserve"> for an ACFI claim</w:t>
      </w:r>
      <w:r w:rsidRPr="004651DD">
        <w:rPr>
          <w:lang w:eastAsia="en-AU"/>
        </w:rPr>
        <w:t>, as evidenced in a 7-day Behaviour Record completed by the provider</w:t>
      </w:r>
      <w:r>
        <w:rPr>
          <w:lang w:eastAsia="en-AU"/>
        </w:rPr>
        <w:t xml:space="preserve"> (refer Appendix Tables </w:t>
      </w:r>
      <w:r w:rsidRPr="0038460C">
        <w:rPr>
          <w:lang w:eastAsia="en-AU"/>
        </w:rPr>
        <w:t>Table A5.3.6-8).</w:t>
      </w:r>
    </w:p>
    <w:p w:rsidR="00980F62" w:rsidRDefault="00B8721A" w:rsidP="001F2491">
      <w:pPr>
        <w:spacing w:before="120" w:after="0"/>
        <w:rPr>
          <w:rStyle w:val="Strong"/>
        </w:rPr>
      </w:pPr>
      <w:r w:rsidRPr="00EB5234">
        <w:rPr>
          <w:rStyle w:val="Strong"/>
        </w:rPr>
        <w:t>Disruptiveness and Frequency Rating:</w:t>
      </w:r>
    </w:p>
    <w:p w:rsidR="00B8721A" w:rsidRPr="0038460C" w:rsidRDefault="00B8721A" w:rsidP="00557DB1">
      <w:pPr>
        <w:pStyle w:val="ListParagraph"/>
        <w:numPr>
          <w:ilvl w:val="0"/>
          <w:numId w:val="22"/>
        </w:numPr>
        <w:ind w:left="357" w:hanging="357"/>
        <w:contextualSpacing w:val="0"/>
        <w:rPr>
          <w:lang w:eastAsia="en-AU"/>
        </w:rPr>
      </w:pPr>
      <w:r w:rsidRPr="00FE3BED">
        <w:rPr>
          <w:lang w:eastAsia="en-AU"/>
        </w:rPr>
        <w:t>The current ACFI uses a frequency</w:t>
      </w:r>
      <w:r>
        <w:rPr>
          <w:lang w:eastAsia="en-AU"/>
        </w:rPr>
        <w:t>-</w:t>
      </w:r>
      <w:r w:rsidRPr="00FE3BED">
        <w:rPr>
          <w:lang w:eastAsia="en-AU"/>
        </w:rPr>
        <w:t xml:space="preserve">based assessment to measure the severity of behaviours that require staff intervention. The R-ACFI uses both the frequency (obtained from the 7-day behaviour record) and disruptiveness of the behaviour to determine the claim, which is a more contemporary and valid method of determining support demands. </w:t>
      </w:r>
      <w:r w:rsidRPr="001B0599">
        <w:rPr>
          <w:bCs/>
          <w:lang w:eastAsia="en-AU"/>
        </w:rPr>
        <w:t xml:space="preserve">For </w:t>
      </w:r>
      <w:r>
        <w:rPr>
          <w:bCs/>
          <w:lang w:eastAsia="en-AU"/>
        </w:rPr>
        <w:t>provider</w:t>
      </w:r>
      <w:r w:rsidRPr="001B0599">
        <w:rPr>
          <w:bCs/>
          <w:lang w:eastAsia="en-AU"/>
        </w:rPr>
        <w:t xml:space="preserve"> assessors, the disruptiveness rating is to be completed via reference to progress notes and clinical </w:t>
      </w:r>
      <w:r w:rsidRPr="0038460C">
        <w:rPr>
          <w:bCs/>
          <w:lang w:eastAsia="en-AU"/>
        </w:rPr>
        <w:t>reports.</w:t>
      </w:r>
    </w:p>
    <w:p w:rsidR="00EB5234" w:rsidRPr="00EB5234" w:rsidRDefault="00B8721A" w:rsidP="001F2491">
      <w:pPr>
        <w:spacing w:before="120" w:after="0"/>
        <w:rPr>
          <w:rStyle w:val="Strong"/>
        </w:rPr>
      </w:pPr>
      <w:r w:rsidRPr="00EB5234">
        <w:rPr>
          <w:rStyle w:val="Strong"/>
        </w:rPr>
        <w:t>Completion of a Behaviour Assessment Summary (Table Appendix A5.3.9)</w:t>
      </w:r>
    </w:p>
    <w:p w:rsidR="00980F62" w:rsidRDefault="00B8721A" w:rsidP="00B8721A">
      <w:pPr>
        <w:pStyle w:val="ListParagraph"/>
        <w:numPr>
          <w:ilvl w:val="0"/>
          <w:numId w:val="22"/>
        </w:numPr>
        <w:ind w:left="360" w:hanging="357"/>
        <w:contextualSpacing w:val="0"/>
        <w:rPr>
          <w:lang w:eastAsia="en-AU"/>
        </w:rPr>
      </w:pPr>
      <w:r w:rsidRPr="0038460C">
        <w:t xml:space="preserve">A Behaviour Assessment Summary to </w:t>
      </w:r>
      <w:r w:rsidRPr="0038460C">
        <w:rPr>
          <w:lang w:eastAsia="en-AU"/>
        </w:rPr>
        <w:t xml:space="preserve">be completed that includes an individualised </w:t>
      </w:r>
      <w:r w:rsidRPr="00E44158">
        <w:rPr>
          <w:lang w:eastAsia="en-AU"/>
        </w:rPr>
        <w:t xml:space="preserve">Behaviour Description, Disruptiveness and Frequency rating for each </w:t>
      </w:r>
      <w:r w:rsidRPr="00FE3BED">
        <w:rPr>
          <w:lang w:eastAsia="en-AU"/>
        </w:rPr>
        <w:t xml:space="preserve">claimed behaviour - this tool is suitable for both the residential aged care provider and the </w:t>
      </w:r>
      <w:r>
        <w:rPr>
          <w:lang w:eastAsia="en-AU"/>
        </w:rPr>
        <w:t>External Assessor</w:t>
      </w:r>
      <w:r w:rsidRPr="00FE3BED">
        <w:rPr>
          <w:lang w:eastAsia="en-AU"/>
        </w:rPr>
        <w:t xml:space="preserve"> although the </w:t>
      </w:r>
      <w:r w:rsidR="00DA6E3E">
        <w:rPr>
          <w:lang w:eastAsia="en-AU"/>
        </w:rPr>
        <w:t>e</w:t>
      </w:r>
      <w:r w:rsidRPr="00FE3BED">
        <w:rPr>
          <w:lang w:eastAsia="en-AU"/>
        </w:rPr>
        <w:t xml:space="preserve">xternal </w:t>
      </w:r>
      <w:r w:rsidR="00DA6E3E">
        <w:rPr>
          <w:lang w:eastAsia="en-AU"/>
        </w:rPr>
        <w:t>a</w:t>
      </w:r>
      <w:r w:rsidRPr="00FE3BED">
        <w:rPr>
          <w:lang w:eastAsia="en-AU"/>
        </w:rPr>
        <w:t>ssessor will not complete the frequency rating aspect.</w:t>
      </w:r>
      <w:r w:rsidR="007A576E">
        <w:rPr>
          <w:lang w:eastAsia="en-AU"/>
        </w:rPr>
        <w:t xml:space="preserve"> </w:t>
      </w:r>
      <w:r w:rsidRPr="0091274A">
        <w:rPr>
          <w:lang w:eastAsia="en-AU"/>
        </w:rPr>
        <w:t>Disruptiveness is not a new concept, as all current behaviour recordings must receive staff interventions to meet the eligibility criteria. The level of disruptiveness is to be validated by informants and file notes. The Disruptiveness Rating produces an objective outcome of the type of staff intervention. If the disruptiveness was rated mild it is considered to be part of standard care. The behaviours (Wandering, Verbal or Physical) must occur at least daily to be allocated above Rating A (i.e. B, C or D rating).</w:t>
      </w:r>
    </w:p>
    <w:p w:rsidR="00EB5234" w:rsidRPr="00EB5234" w:rsidRDefault="00B8721A" w:rsidP="001F2491">
      <w:pPr>
        <w:spacing w:before="120" w:after="0"/>
        <w:rPr>
          <w:rStyle w:val="Strong"/>
        </w:rPr>
      </w:pPr>
      <w:r w:rsidRPr="00EB5234">
        <w:rPr>
          <w:rStyle w:val="Strong"/>
        </w:rPr>
        <w:t>Behaviour Description</w:t>
      </w:r>
    </w:p>
    <w:p w:rsidR="00980F62" w:rsidRDefault="00B8721A" w:rsidP="00557DB1">
      <w:pPr>
        <w:pStyle w:val="ListParagraph"/>
        <w:numPr>
          <w:ilvl w:val="0"/>
          <w:numId w:val="22"/>
        </w:numPr>
        <w:ind w:left="357" w:hanging="357"/>
        <w:contextualSpacing w:val="0"/>
        <w:rPr>
          <w:color w:val="000000" w:themeColor="text1"/>
          <w:lang w:eastAsia="en-AU"/>
        </w:rPr>
      </w:pPr>
      <w:r w:rsidRPr="00C02221">
        <w:rPr>
          <w:lang w:eastAsia="en-AU"/>
        </w:rPr>
        <w:t>An individual behaviour description is also a recommended</w:t>
      </w:r>
      <w:r>
        <w:rPr>
          <w:lang w:eastAsia="en-AU"/>
        </w:rPr>
        <w:t xml:space="preserve"> requirement with the R-ACFI Behaviour claims. An individualised description improves the objectivity of the tool, by allowing for a more accurate confirmation of behaviours from either data analysis, documentation (e.g. ADL assessments, care plans, clinical reports and progress notes) or from informants (carers, family etc.).</w:t>
      </w:r>
      <w:r w:rsidR="007A576E">
        <w:rPr>
          <w:lang w:eastAsia="en-AU"/>
        </w:rPr>
        <w:t xml:space="preserve"> </w:t>
      </w:r>
      <w:r w:rsidRPr="0038460C">
        <w:rPr>
          <w:color w:val="000000" w:themeColor="text1"/>
          <w:lang w:eastAsia="en-AU"/>
        </w:rPr>
        <w:t>This recommendation follows the IPA recommendation for behaviour management – the use of the ABC (Antecedents, Behaviour and Consequences) theoretical approach for managing disruptive behaviours (IPA, 2012).</w:t>
      </w:r>
    </w:p>
    <w:p w:rsidR="00980F62" w:rsidRDefault="00B8721A" w:rsidP="00F02312">
      <w:pPr>
        <w:pStyle w:val="ListParagraph"/>
        <w:numPr>
          <w:ilvl w:val="0"/>
          <w:numId w:val="124"/>
        </w:numPr>
        <w:ind w:left="357" w:hanging="357"/>
        <w:contextualSpacing w:val="0"/>
        <w:rPr>
          <w:lang w:eastAsia="en-AU"/>
        </w:rPr>
      </w:pPr>
      <w:r w:rsidRPr="004651DD">
        <w:rPr>
          <w:lang w:eastAsia="en-AU"/>
        </w:rPr>
        <w:t xml:space="preserve">The </w:t>
      </w:r>
      <w:r w:rsidR="00DA6E3E">
        <w:rPr>
          <w:lang w:eastAsia="en-AU"/>
        </w:rPr>
        <w:t>e</w:t>
      </w:r>
      <w:r w:rsidRPr="004651DD">
        <w:rPr>
          <w:lang w:eastAsia="en-AU"/>
        </w:rPr>
        <w:t xml:space="preserve">xternal </w:t>
      </w:r>
      <w:r w:rsidR="00DA6E3E">
        <w:rPr>
          <w:lang w:eastAsia="en-AU"/>
        </w:rPr>
        <w:t>a</w:t>
      </w:r>
      <w:r w:rsidRPr="004651DD">
        <w:rPr>
          <w:lang w:eastAsia="en-AU"/>
        </w:rPr>
        <w:t>ssessor w</w:t>
      </w:r>
      <w:r>
        <w:rPr>
          <w:lang w:eastAsia="en-AU"/>
        </w:rPr>
        <w:t>ill be required to</w:t>
      </w:r>
      <w:r w:rsidRPr="004651DD">
        <w:rPr>
          <w:lang w:eastAsia="en-AU"/>
        </w:rPr>
        <w:t xml:space="preserve"> complete the </w:t>
      </w:r>
      <w:r>
        <w:rPr>
          <w:lang w:eastAsia="en-AU"/>
        </w:rPr>
        <w:t>Disruptiveness Rating (</w:t>
      </w:r>
      <w:hyperlink w:anchor="Tab0506" w:history="1">
        <w:r w:rsidRPr="00FD161E">
          <w:rPr>
            <w:rStyle w:val="Hyperlink"/>
            <w:lang w:eastAsia="en-AU"/>
          </w:rPr>
          <w:t>Table 5.6</w:t>
        </w:r>
      </w:hyperlink>
      <w:r>
        <w:rPr>
          <w:lang w:eastAsia="en-AU"/>
        </w:rPr>
        <w:t xml:space="preserve">) and the </w:t>
      </w:r>
      <w:r w:rsidRPr="004651DD">
        <w:rPr>
          <w:lang w:eastAsia="en-AU"/>
        </w:rPr>
        <w:t xml:space="preserve">Behaviour Assessment Summary only (Table </w:t>
      </w:r>
      <w:r>
        <w:rPr>
          <w:lang w:eastAsia="en-AU"/>
        </w:rPr>
        <w:t>Appendix A5.3.9</w:t>
      </w:r>
      <w:r w:rsidRPr="004651DD">
        <w:rPr>
          <w:lang w:eastAsia="en-AU"/>
        </w:rPr>
        <w:t>)</w:t>
      </w:r>
      <w:r>
        <w:rPr>
          <w:lang w:eastAsia="en-AU"/>
        </w:rPr>
        <w:t>, not the frequency aspect</w:t>
      </w:r>
      <w:r w:rsidRPr="004651DD">
        <w:rPr>
          <w:lang w:eastAsia="en-AU"/>
        </w:rPr>
        <w:t>.</w:t>
      </w:r>
    </w:p>
    <w:p w:rsidR="00EB5234" w:rsidRDefault="00EB5234">
      <w:pPr>
        <w:spacing w:after="200"/>
        <w:jc w:val="left"/>
        <w:rPr>
          <w:lang w:eastAsia="en-AU"/>
        </w:rPr>
      </w:pPr>
      <w:r>
        <w:rPr>
          <w:lang w:eastAsia="en-AU"/>
        </w:rPr>
        <w:br w:type="page"/>
      </w:r>
    </w:p>
    <w:p w:rsidR="00B8721A" w:rsidRPr="00E341F7" w:rsidRDefault="00B8721A" w:rsidP="001F2491">
      <w:pPr>
        <w:spacing w:before="120" w:after="0"/>
        <w:rPr>
          <w:rStyle w:val="Strong"/>
        </w:rPr>
      </w:pPr>
      <w:r w:rsidRPr="00E341F7">
        <w:rPr>
          <w:rStyle w:val="Strong"/>
        </w:rPr>
        <w:lastRenderedPageBreak/>
        <w:t>Assessment - Recommended Behaviour Assessment approach</w:t>
      </w:r>
    </w:p>
    <w:p w:rsidR="00B8721A" w:rsidRPr="00083875" w:rsidRDefault="00B8721A" w:rsidP="00F02312">
      <w:pPr>
        <w:pStyle w:val="ListParagraph"/>
        <w:numPr>
          <w:ilvl w:val="0"/>
          <w:numId w:val="142"/>
        </w:numPr>
        <w:spacing w:after="0"/>
        <w:ind w:left="284" w:hanging="284"/>
        <w:rPr>
          <w:lang w:eastAsia="en-AU"/>
        </w:rPr>
      </w:pPr>
      <w:r w:rsidRPr="00083875">
        <w:rPr>
          <w:bCs/>
          <w:color w:val="000000" w:themeColor="text1"/>
          <w:lang w:eastAsia="en-AU"/>
        </w:rPr>
        <w:t xml:space="preserve">Residential providers and </w:t>
      </w:r>
      <w:r w:rsidR="00DA6E3E">
        <w:rPr>
          <w:bCs/>
          <w:color w:val="000000" w:themeColor="text1"/>
          <w:lang w:eastAsia="en-AU"/>
        </w:rPr>
        <w:t>e</w:t>
      </w:r>
      <w:r w:rsidRPr="00083875">
        <w:rPr>
          <w:bCs/>
          <w:color w:val="000000" w:themeColor="text1"/>
          <w:lang w:eastAsia="en-AU"/>
        </w:rPr>
        <w:t xml:space="preserve">xternal </w:t>
      </w:r>
      <w:r w:rsidR="00DA6E3E">
        <w:rPr>
          <w:bCs/>
          <w:color w:val="000000" w:themeColor="text1"/>
          <w:lang w:eastAsia="en-AU"/>
        </w:rPr>
        <w:t>a</w:t>
      </w:r>
      <w:r w:rsidRPr="00083875">
        <w:rPr>
          <w:bCs/>
          <w:color w:val="000000" w:themeColor="text1"/>
          <w:lang w:eastAsia="en-AU"/>
        </w:rPr>
        <w:t xml:space="preserve">ssessors complete the Behaviour Assessment </w:t>
      </w:r>
      <w:r w:rsidRPr="00083875">
        <w:rPr>
          <w:bCs/>
          <w:lang w:eastAsia="en-AU"/>
        </w:rPr>
        <w:t>Summary which covers seven behaviour types and includes a Disruptiveness Scale and individualised Behaviour Descriptions</w:t>
      </w:r>
    </w:p>
    <w:p w:rsidR="00B8721A" w:rsidRPr="00083875" w:rsidRDefault="00B8721A" w:rsidP="00F02312">
      <w:pPr>
        <w:pStyle w:val="ListParagraph"/>
        <w:numPr>
          <w:ilvl w:val="0"/>
          <w:numId w:val="142"/>
        </w:numPr>
        <w:spacing w:after="0"/>
        <w:ind w:left="284" w:hanging="284"/>
        <w:rPr>
          <w:lang w:eastAsia="en-AU"/>
        </w:rPr>
      </w:pPr>
      <w:r w:rsidRPr="00083875">
        <w:rPr>
          <w:bCs/>
          <w:lang w:eastAsia="en-AU"/>
        </w:rPr>
        <w:t>For External Assessors, the Disruptiveness rating is to be completed from discussions with carers, service provider and other clinical reports</w:t>
      </w:r>
    </w:p>
    <w:p w:rsidR="00B8721A" w:rsidRPr="00083875" w:rsidRDefault="00B8721A" w:rsidP="00F02312">
      <w:pPr>
        <w:pStyle w:val="ListParagraph"/>
        <w:numPr>
          <w:ilvl w:val="0"/>
          <w:numId w:val="142"/>
        </w:numPr>
        <w:spacing w:after="0"/>
        <w:ind w:left="284" w:hanging="284"/>
        <w:rPr>
          <w:lang w:eastAsia="en-AU"/>
        </w:rPr>
      </w:pPr>
      <w:r w:rsidRPr="00083875">
        <w:rPr>
          <w:bCs/>
          <w:lang w:eastAsia="en-AU"/>
        </w:rPr>
        <w:t>For residential facility assessors, the Disruptiveness rating is to be completed via reference to progress notes and clinical reports</w:t>
      </w:r>
    </w:p>
    <w:p w:rsidR="00B8721A" w:rsidRPr="00083875" w:rsidRDefault="00B8721A" w:rsidP="00F02312">
      <w:pPr>
        <w:pStyle w:val="ListParagraph"/>
        <w:numPr>
          <w:ilvl w:val="0"/>
          <w:numId w:val="142"/>
        </w:numPr>
        <w:spacing w:after="0"/>
        <w:ind w:left="284" w:hanging="284"/>
        <w:rPr>
          <w:lang w:eastAsia="en-AU"/>
        </w:rPr>
      </w:pPr>
      <w:r w:rsidRPr="00083875">
        <w:rPr>
          <w:bCs/>
          <w:color w:val="000000" w:themeColor="text1"/>
          <w:lang w:eastAsia="en-AU"/>
        </w:rPr>
        <w:t xml:space="preserve">Residential providers will also complete a 7-day Behaviour record to provide evidence </w:t>
      </w:r>
      <w:r w:rsidRPr="00083875">
        <w:rPr>
          <w:bCs/>
          <w:lang w:eastAsia="en-AU"/>
        </w:rPr>
        <w:t>that the claimed behaviour occurred on a daily basis.</w:t>
      </w:r>
    </w:p>
    <w:p w:rsidR="003217B9" w:rsidRPr="0038460C" w:rsidRDefault="003217B9" w:rsidP="000A6B58">
      <w:pPr>
        <w:pStyle w:val="Heading3-Chapter53"/>
      </w:pPr>
      <w:r>
        <w:t xml:space="preserve">ACFI 10 </w:t>
      </w:r>
      <w:r w:rsidRPr="00900ACB">
        <w:t>Depressi</w:t>
      </w:r>
      <w:r>
        <w:t>on Question</w:t>
      </w:r>
      <w:bookmarkEnd w:id="357"/>
    </w:p>
    <w:p w:rsidR="00980F62" w:rsidRDefault="003217B9" w:rsidP="0072131B">
      <w:pPr>
        <w:rPr>
          <w:lang w:eastAsia="en-AU"/>
        </w:rPr>
      </w:pPr>
      <w:r w:rsidRPr="00FE657F">
        <w:rPr>
          <w:lang w:eastAsia="en-AU"/>
        </w:rPr>
        <w:t>Depression was included in the original ACFI to raise care staff awareness of the presence and impact of depressive symptoms and to provide a funding signal so that more targeted programs to address depression in residential care could be developed. The mandated assessment tool was the revised CSD in Dementia.</w:t>
      </w:r>
      <w:r w:rsidR="007A576E">
        <w:rPr>
          <w:lang w:eastAsia="en-AU"/>
        </w:rPr>
        <w:t xml:space="preserve"> </w:t>
      </w:r>
      <w:r w:rsidR="0072131B" w:rsidRPr="00FE657F">
        <w:rPr>
          <w:lang w:eastAsia="en-AU"/>
        </w:rPr>
        <w:t>Feedback from the consultations however indicated that the depression assessment is not well understood by care staff and is not completed appropriately (i.e. notes are not regularly completed for the items).</w:t>
      </w:r>
      <w:r w:rsidR="007A576E">
        <w:rPr>
          <w:lang w:eastAsia="en-AU"/>
        </w:rPr>
        <w:t xml:space="preserve"> </w:t>
      </w:r>
      <w:r w:rsidR="0072131B" w:rsidRPr="00FE657F">
        <w:rPr>
          <w:lang w:eastAsia="en-AU"/>
        </w:rPr>
        <w:t xml:space="preserve">There was also concern that the CSD total score was open to interpretation by providers </w:t>
      </w:r>
      <w:r w:rsidR="00FE657F" w:rsidRPr="00FE657F">
        <w:rPr>
          <w:lang w:eastAsia="en-AU"/>
        </w:rPr>
        <w:t xml:space="preserve">and maximisation of scores to achieve the highest </w:t>
      </w:r>
      <w:r w:rsidR="0072131B" w:rsidRPr="00FE657F">
        <w:rPr>
          <w:lang w:eastAsia="en-AU"/>
        </w:rPr>
        <w:t>rating level (A,</w:t>
      </w:r>
      <w:r w:rsidR="00FE657F">
        <w:rPr>
          <w:lang w:eastAsia="en-AU"/>
        </w:rPr>
        <w:t xml:space="preserve"> </w:t>
      </w:r>
      <w:r w:rsidR="0072131B" w:rsidRPr="00FE657F">
        <w:rPr>
          <w:lang w:eastAsia="en-AU"/>
        </w:rPr>
        <w:t>B,</w:t>
      </w:r>
      <w:r w:rsidR="00C7450F">
        <w:rPr>
          <w:lang w:eastAsia="en-AU"/>
        </w:rPr>
        <w:t xml:space="preserve"> </w:t>
      </w:r>
      <w:r w:rsidR="0072131B" w:rsidRPr="00FE657F">
        <w:rPr>
          <w:lang w:eastAsia="en-AU"/>
        </w:rPr>
        <w:t>C,</w:t>
      </w:r>
      <w:r w:rsidR="00FE657F">
        <w:rPr>
          <w:lang w:eastAsia="en-AU"/>
        </w:rPr>
        <w:t xml:space="preserve"> </w:t>
      </w:r>
      <w:r w:rsidR="0072131B" w:rsidRPr="00FE657F">
        <w:rPr>
          <w:lang w:eastAsia="en-AU"/>
        </w:rPr>
        <w:t xml:space="preserve">D) </w:t>
      </w:r>
      <w:r w:rsidR="00FE657F" w:rsidRPr="00FE657F">
        <w:rPr>
          <w:lang w:eastAsia="en-AU"/>
        </w:rPr>
        <w:t>was lessening the usefulness of the CSD in care planning activities and</w:t>
      </w:r>
      <w:r w:rsidR="003B2D34">
        <w:rPr>
          <w:lang w:eastAsia="en-AU"/>
        </w:rPr>
        <w:t xml:space="preserve"> </w:t>
      </w:r>
      <w:r w:rsidR="0072131B" w:rsidRPr="00FE657F">
        <w:rPr>
          <w:lang w:eastAsia="en-AU"/>
        </w:rPr>
        <w:t>causing regular disagreement with Department Review Officers.</w:t>
      </w:r>
    </w:p>
    <w:p w:rsidR="00980F62" w:rsidRDefault="00107607" w:rsidP="00107607">
      <w:pPr>
        <w:rPr>
          <w:lang w:eastAsia="en-AU"/>
        </w:rPr>
      </w:pPr>
      <w:r w:rsidRPr="00FE657F">
        <w:rPr>
          <w:lang w:eastAsia="en-AU"/>
        </w:rPr>
        <w:t xml:space="preserve">While a focus on depression and its symptoms in residential care needs to continue, it is essential to improve the current approach while still providing an emphasis and funding in this area. The </w:t>
      </w:r>
      <w:r w:rsidR="0072131B" w:rsidRPr="00FE657F">
        <w:rPr>
          <w:lang w:eastAsia="en-AU"/>
        </w:rPr>
        <w:t xml:space="preserve">recommended </w:t>
      </w:r>
      <w:r w:rsidRPr="00FE657F">
        <w:rPr>
          <w:lang w:eastAsia="en-AU"/>
        </w:rPr>
        <w:t xml:space="preserve">option </w:t>
      </w:r>
      <w:r w:rsidR="0072131B" w:rsidRPr="00FE657F">
        <w:rPr>
          <w:lang w:eastAsia="en-AU"/>
        </w:rPr>
        <w:t>is</w:t>
      </w:r>
      <w:r w:rsidRPr="00FE657F">
        <w:rPr>
          <w:lang w:eastAsia="en-AU"/>
        </w:rPr>
        <w:t xml:space="preserve"> to move the depression question from the behaviour BEH domain (statistical analysis using IRT also indicated that it now does not fit with the BEH domain questions) and to make it a single item within the CHC domain.</w:t>
      </w:r>
    </w:p>
    <w:p w:rsidR="003217B9" w:rsidRPr="00FE657F" w:rsidRDefault="003217B9" w:rsidP="00720C8D">
      <w:pPr>
        <w:rPr>
          <w:lang w:eastAsia="en-AU"/>
        </w:rPr>
      </w:pPr>
      <w:bookmarkStart w:id="358" w:name="_Toc478568251"/>
      <w:r w:rsidRPr="00FE657F">
        <w:rPr>
          <w:lang w:eastAsia="en-AU"/>
        </w:rPr>
        <w:t xml:space="preserve">The detailed recommended changes for Depression are further described in </w:t>
      </w:r>
      <w:r w:rsidR="0072131B" w:rsidRPr="00FE657F">
        <w:rPr>
          <w:lang w:eastAsia="en-AU"/>
        </w:rPr>
        <w:t xml:space="preserve">the CHC </w:t>
      </w:r>
      <w:r w:rsidR="00C7450F">
        <w:rPr>
          <w:lang w:eastAsia="en-AU"/>
        </w:rPr>
        <w:t>section (</w:t>
      </w:r>
      <w:hyperlink w:anchor="Ch06" w:history="1">
        <w:r w:rsidRPr="00A91929">
          <w:rPr>
            <w:rStyle w:val="Hyperlink"/>
            <w:lang w:eastAsia="en-AU"/>
          </w:rPr>
          <w:t>Chapter 6</w:t>
        </w:r>
      </w:hyperlink>
      <w:r w:rsidR="00C7450F">
        <w:rPr>
          <w:lang w:eastAsia="en-AU"/>
        </w:rPr>
        <w:t>) of this report</w:t>
      </w:r>
      <w:r w:rsidRPr="00FE657F">
        <w:rPr>
          <w:lang w:eastAsia="en-AU"/>
        </w:rPr>
        <w:t>.</w:t>
      </w:r>
    </w:p>
    <w:p w:rsidR="00980F62" w:rsidRDefault="003217B9" w:rsidP="00530D56">
      <w:pPr>
        <w:pStyle w:val="Heading2-Chapter5"/>
      </w:pPr>
      <w:bookmarkStart w:id="359" w:name="_Toc491426043"/>
      <w:bookmarkStart w:id="360" w:name="_Toc485990611"/>
      <w:bookmarkEnd w:id="358"/>
      <w:r w:rsidRPr="00EE73EF">
        <w:t>The R-ACFI B</w:t>
      </w:r>
      <w:r w:rsidR="00EE73EF">
        <w:t>EH</w:t>
      </w:r>
      <w:r w:rsidRPr="00EE73EF">
        <w:t xml:space="preserve"> Domain Recommended Changes</w:t>
      </w:r>
      <w:bookmarkEnd w:id="359"/>
      <w:bookmarkEnd w:id="360"/>
    </w:p>
    <w:p w:rsidR="00980F62" w:rsidRDefault="003217B9" w:rsidP="003217B9">
      <w:pPr>
        <w:spacing w:after="0"/>
      </w:pPr>
      <w:bookmarkStart w:id="361" w:name="_Hlk485928150"/>
      <w:r w:rsidRPr="00590231">
        <w:rPr>
          <w:lang w:eastAsia="en-AU"/>
        </w:rPr>
        <w:t xml:space="preserve">The rationale and the recommended changes </w:t>
      </w:r>
      <w:bookmarkStart w:id="362" w:name="_Hlk485928165"/>
      <w:bookmarkEnd w:id="361"/>
      <w:r w:rsidRPr="00590231">
        <w:rPr>
          <w:lang w:eastAsia="en-AU"/>
        </w:rPr>
        <w:t xml:space="preserve">for </w:t>
      </w:r>
      <w:r w:rsidR="003D3D3E" w:rsidRPr="00590231">
        <w:rPr>
          <w:lang w:eastAsia="en-AU"/>
        </w:rPr>
        <w:t xml:space="preserve">the </w:t>
      </w:r>
      <w:r w:rsidRPr="00590231">
        <w:rPr>
          <w:lang w:eastAsia="en-AU"/>
        </w:rPr>
        <w:t xml:space="preserve">R-ACFI </w:t>
      </w:r>
      <w:bookmarkEnd w:id="362"/>
      <w:r w:rsidR="00022FF1" w:rsidRPr="00590231">
        <w:t>6 Cognition</w:t>
      </w:r>
      <w:r w:rsidR="00AC323A" w:rsidRPr="00590231">
        <w:t xml:space="preserve"> </w:t>
      </w:r>
      <w:r w:rsidR="003D3D3E" w:rsidRPr="00590231">
        <w:t xml:space="preserve">and </w:t>
      </w:r>
      <w:r w:rsidR="00022FF1" w:rsidRPr="00590231">
        <w:t>R-ACFI 7 Behaviour questions can be found in Appendix 5.1 and 5.2</w:t>
      </w:r>
      <w:r w:rsidR="00E17E64" w:rsidRPr="00590231">
        <w:t>.</w:t>
      </w:r>
    </w:p>
    <w:p w:rsidR="003217B9" w:rsidRPr="001F2491" w:rsidRDefault="001F09F2" w:rsidP="001F2491">
      <w:pPr>
        <w:pStyle w:val="Heading3-Chapter54"/>
        <w:spacing w:before="120"/>
        <w:ind w:right="-472"/>
      </w:pPr>
      <w:bookmarkStart w:id="363" w:name="_Toc478568252"/>
      <w:r w:rsidRPr="001F2491">
        <w:t>Recommended Use</w:t>
      </w:r>
      <w:r w:rsidR="00E17E64" w:rsidRPr="001F2491">
        <w:t>r</w:t>
      </w:r>
      <w:r w:rsidRPr="001F2491">
        <w:t xml:space="preserve"> Guide </w:t>
      </w:r>
      <w:r w:rsidR="003217B9" w:rsidRPr="001F2491">
        <w:t>R-ACFI Format for Cognition Question</w:t>
      </w:r>
    </w:p>
    <w:p w:rsidR="003217B9" w:rsidRPr="005224EA" w:rsidRDefault="003217B9" w:rsidP="00BB5909">
      <w:r w:rsidRPr="004D324E">
        <w:rPr>
          <w:rStyle w:val="Strong"/>
        </w:rPr>
        <w:t>Description:</w:t>
      </w:r>
      <w:r w:rsidRPr="005224EA">
        <w:rPr>
          <w:b/>
        </w:rPr>
        <w:t xml:space="preserve"> </w:t>
      </w:r>
      <w:r w:rsidRPr="005224EA">
        <w:t>This question relates t</w:t>
      </w:r>
      <w:r w:rsidR="002C205F">
        <w:t xml:space="preserve">o the resident’s assessed </w:t>
      </w:r>
      <w:r w:rsidRPr="005224EA">
        <w:t>cognitive skills.</w:t>
      </w:r>
    </w:p>
    <w:p w:rsidR="00980F62" w:rsidRDefault="003217B9" w:rsidP="00BB5909">
      <w:pPr>
        <w:rPr>
          <w:color w:val="000000" w:themeColor="text1"/>
        </w:rPr>
      </w:pPr>
      <w:r w:rsidRPr="004D324E">
        <w:rPr>
          <w:rStyle w:val="Strong"/>
        </w:rPr>
        <w:t>Requirements:</w:t>
      </w:r>
      <w:r w:rsidRPr="005224EA">
        <w:rPr>
          <w:b/>
        </w:rPr>
        <w:t xml:space="preserve"> </w:t>
      </w:r>
      <w:r w:rsidRPr="005224EA">
        <w:rPr>
          <w:color w:val="000000" w:themeColor="text1"/>
        </w:rPr>
        <w:t>To support a claim in ACFI 6, the SMMSE must be completed and the score entered into the checklist. If a score is not included, the assessment must provide the reason why it could not be completed and alternative supporting evidence such as a clinical report must be provided in the ACFI Answer Appraisal Pack.</w:t>
      </w:r>
    </w:p>
    <w:p w:rsidR="00980F62" w:rsidRDefault="003217B9" w:rsidP="00BB5909">
      <w:pPr>
        <w:rPr>
          <w:color w:val="000000" w:themeColor="text1"/>
          <w:lang w:eastAsia="en-AU"/>
        </w:rPr>
      </w:pPr>
      <w:r w:rsidRPr="005224EA">
        <w:rPr>
          <w:color w:val="000000" w:themeColor="text1"/>
        </w:rPr>
        <w:t>If the SMMSE has been completed for the resident in the last three months, it may be used if it continues to reflect the cognitive status of the resident at the time of appraisal - t</w:t>
      </w:r>
      <w:r w:rsidRPr="005224EA">
        <w:rPr>
          <w:color w:val="000000" w:themeColor="text1"/>
          <w:lang w:eastAsia="en-AU"/>
        </w:rPr>
        <w:t>his would require the resident’s mental status to be reviewed for any recent changes and the assessment to be signed off (for no changes to short-term memory loss, long-term memory loss, orientation to time, place and person) during the appraisal period.</w:t>
      </w:r>
    </w:p>
    <w:p w:rsidR="003217B9" w:rsidRPr="005224EA" w:rsidRDefault="003217B9" w:rsidP="00BB5909">
      <w:pPr>
        <w:rPr>
          <w:color w:val="000000" w:themeColor="text1"/>
        </w:rPr>
      </w:pPr>
      <w:r w:rsidRPr="005224EA">
        <w:rPr>
          <w:color w:val="000000" w:themeColor="text1"/>
        </w:rPr>
        <w:t>The SMMSE may not be suitable for some people of non-English speaking background</w:t>
      </w:r>
      <w:r w:rsidR="00AC323A">
        <w:rPr>
          <w:color w:val="000000" w:themeColor="text1"/>
        </w:rPr>
        <w:t xml:space="preserve"> and </w:t>
      </w:r>
      <w:r w:rsidRPr="005224EA">
        <w:rPr>
          <w:color w:val="000000" w:themeColor="text1"/>
        </w:rPr>
        <w:t xml:space="preserve">for some Aboriginal or Torres Strait Islander persons, depending on their background. In some circumstances, resident impairments may </w:t>
      </w:r>
      <w:r w:rsidR="00AC323A">
        <w:rPr>
          <w:color w:val="000000" w:themeColor="text1"/>
        </w:rPr>
        <w:t xml:space="preserve">also </w:t>
      </w:r>
      <w:r w:rsidRPr="005224EA">
        <w:rPr>
          <w:color w:val="000000" w:themeColor="text1"/>
        </w:rPr>
        <w:t xml:space="preserve">prevent the use of the SMMSE. </w:t>
      </w:r>
      <w:r w:rsidR="00AC323A">
        <w:rPr>
          <w:color w:val="000000" w:themeColor="text1"/>
        </w:rPr>
        <w:t>However</w:t>
      </w:r>
      <w:r w:rsidR="00A2245F">
        <w:rPr>
          <w:color w:val="000000" w:themeColor="text1"/>
        </w:rPr>
        <w:t>,</w:t>
      </w:r>
      <w:r w:rsidR="00AC323A">
        <w:rPr>
          <w:color w:val="000000" w:themeColor="text1"/>
        </w:rPr>
        <w:t xml:space="preserve"> if the SMM</w:t>
      </w:r>
      <w:r w:rsidR="00A2245F">
        <w:rPr>
          <w:color w:val="000000" w:themeColor="text1"/>
        </w:rPr>
        <w:t>S</w:t>
      </w:r>
      <w:r w:rsidR="00AC323A">
        <w:rPr>
          <w:color w:val="000000" w:themeColor="text1"/>
        </w:rPr>
        <w:t>E or another cognitive assessment described in the User Guide is not used, s</w:t>
      </w:r>
      <w:r w:rsidRPr="005224EA">
        <w:rPr>
          <w:color w:val="000000" w:themeColor="text1"/>
        </w:rPr>
        <w:t>uitable objective evidence is to be made available to support the decision to use the checklist e.g. diagnosis or medical notes, clinical report.</w:t>
      </w:r>
    </w:p>
    <w:p w:rsidR="00980F62" w:rsidRDefault="003217B9" w:rsidP="00BB5909">
      <w:r w:rsidRPr="005224EA">
        <w:t>If a clinical report is provided in the Answer Appraisal Pack, this must be recorded in the assessment summary. Refer to Definitions and Acronyms for further information on a Clinical Report.</w:t>
      </w:r>
    </w:p>
    <w:p w:rsidR="003217B9" w:rsidRPr="001D2749" w:rsidRDefault="00793CBB" w:rsidP="00BB5909">
      <w:pPr>
        <w:spacing w:after="0"/>
        <w:rPr>
          <w:b/>
          <w:szCs w:val="24"/>
        </w:rPr>
      </w:pPr>
      <w:r w:rsidRPr="001D2749">
        <w:rPr>
          <w:b/>
          <w:szCs w:val="24"/>
        </w:rPr>
        <w:t>Assessment Summary</w:t>
      </w:r>
    </w:p>
    <w:tbl>
      <w:tblPr>
        <w:tblStyle w:val="TableGrid"/>
        <w:tblW w:w="9095" w:type="dxa"/>
        <w:tblInd w:w="85" w:type="dxa"/>
        <w:tblCellMar>
          <w:top w:w="85" w:type="dxa"/>
          <w:left w:w="85" w:type="dxa"/>
          <w:right w:w="85" w:type="dxa"/>
        </w:tblCellMar>
        <w:tblLook w:val="04A0" w:firstRow="1" w:lastRow="0" w:firstColumn="1" w:lastColumn="0" w:noHBand="0" w:noVBand="1"/>
        <w:tblDescription w:val="The Assessment Summary table is only an example of a tool assessors may use to assess the level of cognitive skills for an individual under the revised aged care funding instrument (R-ACFI). This table is to be read left to right, top to bottom, noting that tick boxes are not functional."/>
      </w:tblPr>
      <w:tblGrid>
        <w:gridCol w:w="7230"/>
        <w:gridCol w:w="850"/>
        <w:gridCol w:w="1015"/>
      </w:tblGrid>
      <w:tr w:rsidR="003217B9" w:rsidRPr="005224EA" w:rsidTr="00FF73CF">
        <w:trPr>
          <w:trHeight w:val="217"/>
          <w:tblHeader/>
        </w:trPr>
        <w:tc>
          <w:tcPr>
            <w:tcW w:w="7230" w:type="dxa"/>
            <w:shd w:val="clear" w:color="auto" w:fill="D9D9D9" w:themeFill="background1" w:themeFillShade="D9"/>
          </w:tcPr>
          <w:p w:rsidR="003217B9" w:rsidRPr="00793CBB" w:rsidRDefault="003217B9" w:rsidP="00793CBB">
            <w:pPr>
              <w:pStyle w:val="Tableheader2"/>
              <w:spacing w:after="0"/>
              <w:rPr>
                <w:rFonts w:asciiTheme="minorHAnsi" w:hAnsiTheme="minorHAnsi" w:cstheme="minorHAnsi"/>
              </w:rPr>
            </w:pPr>
            <w:r w:rsidRPr="00793CBB">
              <w:rPr>
                <w:rFonts w:asciiTheme="minorHAnsi" w:hAnsiTheme="minorHAnsi" w:cstheme="minorHAnsi"/>
              </w:rPr>
              <w:t xml:space="preserve">R-ACFI Cognitive Skills Assessment Summary </w:t>
            </w:r>
          </w:p>
        </w:tc>
        <w:tc>
          <w:tcPr>
            <w:tcW w:w="850" w:type="dxa"/>
            <w:shd w:val="clear" w:color="auto" w:fill="D9D9D9" w:themeFill="background1" w:themeFillShade="D9"/>
          </w:tcPr>
          <w:p w:rsidR="003217B9" w:rsidRPr="00793CBB" w:rsidRDefault="003217B9" w:rsidP="00793CBB">
            <w:pPr>
              <w:pStyle w:val="Tableheader2"/>
              <w:spacing w:after="0"/>
              <w:jc w:val="center"/>
              <w:rPr>
                <w:rFonts w:asciiTheme="minorHAnsi" w:hAnsiTheme="minorHAnsi" w:cstheme="minorHAnsi"/>
              </w:rPr>
            </w:pPr>
            <w:r w:rsidRPr="00793CBB">
              <w:rPr>
                <w:rFonts w:asciiTheme="minorHAnsi" w:hAnsiTheme="minorHAnsi" w:cstheme="minorHAnsi"/>
              </w:rPr>
              <w:t>Tick if yes</w:t>
            </w:r>
          </w:p>
        </w:tc>
        <w:tc>
          <w:tcPr>
            <w:tcW w:w="1015" w:type="dxa"/>
            <w:shd w:val="clear" w:color="auto" w:fill="D9D9D9" w:themeFill="background1" w:themeFillShade="D9"/>
          </w:tcPr>
          <w:p w:rsidR="003217B9" w:rsidRPr="00793CBB" w:rsidRDefault="003217B9" w:rsidP="00793CBB">
            <w:pPr>
              <w:pStyle w:val="Tableheader2"/>
              <w:spacing w:after="0"/>
              <w:jc w:val="center"/>
              <w:rPr>
                <w:rFonts w:asciiTheme="minorHAnsi" w:hAnsiTheme="minorHAnsi" w:cstheme="minorHAnsi"/>
              </w:rPr>
            </w:pPr>
            <w:r w:rsidRPr="00793CBB">
              <w:rPr>
                <w:rFonts w:asciiTheme="minorHAnsi" w:hAnsiTheme="minorHAnsi" w:cstheme="minorHAnsi"/>
              </w:rPr>
              <w:t>SMMSE</w:t>
            </w:r>
          </w:p>
          <w:p w:rsidR="003217B9" w:rsidRPr="00793CBB" w:rsidRDefault="003217B9" w:rsidP="00793CBB">
            <w:pPr>
              <w:pStyle w:val="Tableheader2"/>
              <w:spacing w:after="0"/>
              <w:jc w:val="center"/>
              <w:rPr>
                <w:rFonts w:asciiTheme="minorHAnsi" w:hAnsiTheme="minorHAnsi" w:cstheme="minorHAnsi"/>
              </w:rPr>
            </w:pPr>
            <w:r w:rsidRPr="00793CBB">
              <w:rPr>
                <w:rFonts w:asciiTheme="minorHAnsi" w:hAnsiTheme="minorHAnsi" w:cstheme="minorHAnsi"/>
              </w:rPr>
              <w:t>Score</w:t>
            </w:r>
          </w:p>
        </w:tc>
      </w:tr>
      <w:tr w:rsidR="003217B9" w:rsidRPr="005224EA" w:rsidTr="00FF73CF">
        <w:tc>
          <w:tcPr>
            <w:tcW w:w="7230" w:type="dxa"/>
          </w:tcPr>
          <w:p w:rsidR="003217B9" w:rsidRPr="00793CBB" w:rsidRDefault="003217B9" w:rsidP="00A51750">
            <w:pPr>
              <w:pStyle w:val="Tabletype2"/>
              <w:rPr>
                <w:rFonts w:asciiTheme="minorHAnsi" w:hAnsiTheme="minorHAnsi" w:cstheme="minorHAnsi"/>
                <w:color w:val="000000" w:themeColor="text1"/>
                <w:sz w:val="20"/>
                <w:szCs w:val="20"/>
              </w:rPr>
            </w:pPr>
            <w:r w:rsidRPr="00793CBB">
              <w:rPr>
                <w:rFonts w:asciiTheme="minorHAnsi" w:hAnsiTheme="minorHAnsi" w:cstheme="minorHAnsi"/>
                <w:color w:val="000000" w:themeColor="text1"/>
                <w:sz w:val="20"/>
                <w:szCs w:val="20"/>
              </w:rPr>
              <w:t>No SMMSE undertaken–and nil or minimal cognitive impairment</w:t>
            </w:r>
          </w:p>
        </w:tc>
        <w:tc>
          <w:tcPr>
            <w:tcW w:w="850" w:type="dxa"/>
          </w:tcPr>
          <w:p w:rsidR="003217B9" w:rsidRPr="005224EA" w:rsidRDefault="003217B9" w:rsidP="00A51750">
            <w:pPr>
              <w:pStyle w:val="Tabletype2"/>
              <w:jc w:val="center"/>
              <w:rPr>
                <w:rFonts w:asciiTheme="minorHAnsi" w:hAnsiTheme="minorHAnsi" w:cstheme="minorHAnsi"/>
                <w:color w:val="000000" w:themeColor="text1"/>
              </w:rPr>
            </w:pPr>
            <w:r w:rsidRPr="005224EA">
              <w:rPr>
                <w:rFonts w:asciiTheme="minorHAnsi" w:hAnsiTheme="minorHAnsi" w:cstheme="minorHAnsi"/>
                <w:color w:val="000000" w:themeColor="text1"/>
                <w:sz w:val="22"/>
              </w:rPr>
              <w:sym w:font="Wingdings" w:char="F06F"/>
            </w:r>
            <w:r w:rsidRPr="005224EA">
              <w:rPr>
                <w:rFonts w:asciiTheme="minorHAnsi" w:hAnsiTheme="minorHAnsi" w:cstheme="minorHAnsi"/>
                <w:color w:val="000000" w:themeColor="text1"/>
              </w:rPr>
              <w:t xml:space="preserve"> 6.1</w:t>
            </w:r>
          </w:p>
        </w:tc>
        <w:tc>
          <w:tcPr>
            <w:tcW w:w="1015" w:type="dxa"/>
            <w:shd w:val="clear" w:color="auto" w:fill="D9E2F3" w:themeFill="accent1" w:themeFillTint="33"/>
          </w:tcPr>
          <w:p w:rsidR="003217B9" w:rsidRPr="00FF73CF" w:rsidRDefault="001D2749" w:rsidP="00A51750">
            <w:pPr>
              <w:pStyle w:val="Tabletype2"/>
              <w:jc w:val="center"/>
              <w:rPr>
                <w:rFonts w:asciiTheme="minorHAnsi" w:hAnsiTheme="minorHAnsi" w:cstheme="minorHAnsi"/>
                <w:i/>
                <w:color w:val="000000" w:themeColor="text1"/>
              </w:rPr>
            </w:pPr>
            <w:r w:rsidRPr="00FF73CF">
              <w:rPr>
                <w:rFonts w:asciiTheme="minorHAnsi" w:hAnsiTheme="minorHAnsi" w:cstheme="minorHAnsi"/>
                <w:i/>
                <w:color w:val="000000" w:themeColor="text1"/>
              </w:rPr>
              <w:t>[Enter score here]</w:t>
            </w:r>
          </w:p>
        </w:tc>
      </w:tr>
      <w:tr w:rsidR="001D2749" w:rsidRPr="005224EA" w:rsidTr="00FF73CF">
        <w:trPr>
          <w:trHeight w:val="551"/>
        </w:trPr>
        <w:tc>
          <w:tcPr>
            <w:tcW w:w="7230" w:type="dxa"/>
          </w:tcPr>
          <w:p w:rsidR="001D2749" w:rsidRPr="00793CBB" w:rsidRDefault="001D2749" w:rsidP="00A51750">
            <w:pPr>
              <w:pStyle w:val="Tabletype2"/>
              <w:rPr>
                <w:rFonts w:asciiTheme="minorHAnsi" w:hAnsiTheme="minorHAnsi" w:cstheme="minorHAnsi"/>
                <w:color w:val="000000" w:themeColor="text1"/>
                <w:sz w:val="20"/>
                <w:szCs w:val="20"/>
              </w:rPr>
            </w:pPr>
            <w:r w:rsidRPr="00793CBB">
              <w:rPr>
                <w:rFonts w:asciiTheme="minorHAnsi" w:hAnsiTheme="minorHAnsi" w:cstheme="minorHAnsi"/>
                <w:color w:val="000000" w:themeColor="text1"/>
                <w:sz w:val="20"/>
                <w:szCs w:val="20"/>
              </w:rPr>
              <w:t xml:space="preserve">Cannot use SMMSE due to severe cognitive impairment or unconsciousness </w:t>
            </w:r>
            <w:r w:rsidRPr="00133CEF">
              <w:rPr>
                <w:rFonts w:asciiTheme="minorHAnsi" w:hAnsiTheme="minorHAnsi" w:cstheme="minorHAnsi"/>
                <w:color w:val="000000" w:themeColor="text1"/>
                <w:sz w:val="20"/>
                <w:szCs w:val="20"/>
              </w:rPr>
              <w:t>(severe cognitive impairment confirmed by Clinical Report or Medical Practitioner)</w:t>
            </w:r>
            <w:r>
              <w:rPr>
                <w:rFonts w:asciiTheme="minorHAnsi" w:hAnsiTheme="minorHAnsi" w:cstheme="minorHAnsi"/>
                <w:color w:val="000000" w:themeColor="text1"/>
                <w:sz w:val="20"/>
                <w:szCs w:val="20"/>
              </w:rPr>
              <w:t xml:space="preserve">, </w:t>
            </w:r>
            <w:r w:rsidRPr="00793CBB">
              <w:rPr>
                <w:rFonts w:asciiTheme="minorHAnsi" w:hAnsiTheme="minorHAnsi" w:cstheme="minorHAnsi"/>
                <w:color w:val="000000" w:themeColor="text1"/>
                <w:sz w:val="20"/>
                <w:szCs w:val="20"/>
              </w:rPr>
              <w:t xml:space="preserve">or have </w:t>
            </w:r>
            <w:r w:rsidRPr="00793CBB">
              <w:rPr>
                <w:rFonts w:asciiTheme="minorHAnsi" w:hAnsiTheme="minorHAnsi" w:cstheme="minorHAnsi"/>
                <w:sz w:val="20"/>
                <w:szCs w:val="20"/>
                <w:lang w:eastAsia="en-AU"/>
              </w:rPr>
              <w:t>ACAT diagnosis items</w:t>
            </w:r>
            <w:r w:rsidRPr="00793CBB">
              <w:rPr>
                <w:rFonts w:asciiTheme="minorHAnsi" w:hAnsiTheme="minorHAnsi" w:cstheme="minorHAnsi"/>
                <w:color w:val="000000" w:themeColor="text1"/>
                <w:sz w:val="20"/>
                <w:szCs w:val="20"/>
              </w:rPr>
              <w:t xml:space="preserve"> of 520, 530, 570 or 580 </w:t>
            </w:r>
          </w:p>
        </w:tc>
        <w:tc>
          <w:tcPr>
            <w:tcW w:w="850" w:type="dxa"/>
          </w:tcPr>
          <w:p w:rsidR="001D2749" w:rsidRPr="005224EA" w:rsidRDefault="001D2749" w:rsidP="00A51750">
            <w:pPr>
              <w:pStyle w:val="Tabletype2"/>
              <w:jc w:val="center"/>
              <w:rPr>
                <w:rFonts w:asciiTheme="minorHAnsi" w:hAnsiTheme="minorHAnsi" w:cstheme="minorHAnsi"/>
                <w:color w:val="000000" w:themeColor="text1"/>
              </w:rPr>
            </w:pPr>
            <w:r w:rsidRPr="005224EA">
              <w:rPr>
                <w:rFonts w:asciiTheme="minorHAnsi" w:hAnsiTheme="minorHAnsi" w:cstheme="minorHAnsi"/>
                <w:color w:val="000000" w:themeColor="text1"/>
                <w:sz w:val="22"/>
              </w:rPr>
              <w:sym w:font="Wingdings" w:char="F06F"/>
            </w:r>
            <w:r w:rsidRPr="005224EA">
              <w:rPr>
                <w:rFonts w:asciiTheme="minorHAnsi" w:hAnsiTheme="minorHAnsi" w:cstheme="minorHAnsi"/>
                <w:color w:val="000000" w:themeColor="text1"/>
              </w:rPr>
              <w:t xml:space="preserve"> 6.2</w:t>
            </w:r>
          </w:p>
        </w:tc>
        <w:tc>
          <w:tcPr>
            <w:tcW w:w="1015" w:type="dxa"/>
            <w:shd w:val="clear" w:color="auto" w:fill="D9E2F3" w:themeFill="accent1" w:themeFillTint="33"/>
          </w:tcPr>
          <w:p w:rsidR="001D2749" w:rsidRPr="00FF73CF" w:rsidRDefault="001D2749" w:rsidP="00A51750">
            <w:pPr>
              <w:pStyle w:val="Tabletype2"/>
              <w:jc w:val="center"/>
              <w:rPr>
                <w:rFonts w:asciiTheme="minorHAnsi" w:hAnsiTheme="minorHAnsi" w:cstheme="minorHAnsi"/>
                <w:i/>
                <w:color w:val="000000" w:themeColor="text1"/>
              </w:rPr>
            </w:pPr>
            <w:r w:rsidRPr="00FF73CF">
              <w:rPr>
                <w:rFonts w:asciiTheme="minorHAnsi" w:hAnsiTheme="minorHAnsi" w:cstheme="minorHAnsi"/>
                <w:i/>
                <w:color w:val="000000" w:themeColor="text1"/>
              </w:rPr>
              <w:t>[Enter score here]</w:t>
            </w:r>
          </w:p>
        </w:tc>
      </w:tr>
      <w:tr w:rsidR="001D2749" w:rsidRPr="005224EA" w:rsidTr="00FF73CF">
        <w:tc>
          <w:tcPr>
            <w:tcW w:w="7230" w:type="dxa"/>
          </w:tcPr>
          <w:p w:rsidR="001D2749" w:rsidRPr="00793CBB" w:rsidRDefault="001D2749" w:rsidP="00A51750">
            <w:pPr>
              <w:pStyle w:val="Tabletype2"/>
              <w:tabs>
                <w:tab w:val="left" w:pos="2562"/>
              </w:tabs>
              <w:rPr>
                <w:rFonts w:asciiTheme="minorHAnsi" w:hAnsiTheme="minorHAnsi" w:cstheme="minorHAnsi"/>
                <w:color w:val="000000" w:themeColor="text1"/>
                <w:sz w:val="20"/>
                <w:szCs w:val="20"/>
              </w:rPr>
            </w:pPr>
            <w:r w:rsidRPr="00793CBB">
              <w:rPr>
                <w:rFonts w:asciiTheme="minorHAnsi" w:hAnsiTheme="minorHAnsi" w:cstheme="minorHAnsi"/>
                <w:color w:val="000000" w:themeColor="text1"/>
                <w:sz w:val="20"/>
                <w:szCs w:val="20"/>
              </w:rPr>
              <w:t>Cannot use SMMSE due to speech impairment (confirmed by Speech Pathologist or Medical Practitioner)</w:t>
            </w:r>
          </w:p>
        </w:tc>
        <w:tc>
          <w:tcPr>
            <w:tcW w:w="850" w:type="dxa"/>
          </w:tcPr>
          <w:p w:rsidR="001D2749" w:rsidRPr="005224EA" w:rsidRDefault="001D2749" w:rsidP="00A51750">
            <w:pPr>
              <w:pStyle w:val="Tabletype2"/>
              <w:jc w:val="center"/>
              <w:rPr>
                <w:rFonts w:asciiTheme="minorHAnsi" w:hAnsiTheme="minorHAnsi" w:cstheme="minorHAnsi"/>
                <w:color w:val="000000" w:themeColor="text1"/>
              </w:rPr>
            </w:pPr>
            <w:r w:rsidRPr="005224EA">
              <w:rPr>
                <w:rFonts w:asciiTheme="minorHAnsi" w:hAnsiTheme="minorHAnsi" w:cstheme="minorHAnsi"/>
                <w:color w:val="000000" w:themeColor="text1"/>
                <w:sz w:val="22"/>
              </w:rPr>
              <w:sym w:font="Wingdings" w:char="F06F"/>
            </w:r>
            <w:r w:rsidRPr="005224EA">
              <w:rPr>
                <w:rFonts w:asciiTheme="minorHAnsi" w:hAnsiTheme="minorHAnsi" w:cstheme="minorHAnsi"/>
                <w:color w:val="000000" w:themeColor="text1"/>
              </w:rPr>
              <w:t xml:space="preserve"> 6.3</w:t>
            </w:r>
          </w:p>
        </w:tc>
        <w:tc>
          <w:tcPr>
            <w:tcW w:w="1015" w:type="dxa"/>
            <w:shd w:val="clear" w:color="auto" w:fill="D9E2F3" w:themeFill="accent1" w:themeFillTint="33"/>
          </w:tcPr>
          <w:p w:rsidR="001D2749" w:rsidRPr="00FF73CF" w:rsidRDefault="001D2749" w:rsidP="00A51750">
            <w:pPr>
              <w:pStyle w:val="Tabletype2"/>
              <w:jc w:val="center"/>
              <w:rPr>
                <w:rFonts w:asciiTheme="minorHAnsi" w:hAnsiTheme="minorHAnsi" w:cstheme="minorHAnsi"/>
                <w:i/>
                <w:color w:val="000000" w:themeColor="text1"/>
              </w:rPr>
            </w:pPr>
            <w:r w:rsidRPr="00FF73CF">
              <w:rPr>
                <w:rFonts w:asciiTheme="minorHAnsi" w:hAnsiTheme="minorHAnsi" w:cstheme="minorHAnsi"/>
                <w:i/>
                <w:color w:val="000000" w:themeColor="text1"/>
              </w:rPr>
              <w:t>[Enter score here]</w:t>
            </w:r>
          </w:p>
        </w:tc>
      </w:tr>
      <w:tr w:rsidR="001D2749" w:rsidRPr="005224EA" w:rsidTr="00FF73CF">
        <w:tc>
          <w:tcPr>
            <w:tcW w:w="7230" w:type="dxa"/>
          </w:tcPr>
          <w:p w:rsidR="001D2749" w:rsidRPr="00793CBB" w:rsidRDefault="001D2749" w:rsidP="00A51750">
            <w:pPr>
              <w:pStyle w:val="Tabletype2"/>
              <w:rPr>
                <w:rFonts w:asciiTheme="minorHAnsi" w:hAnsiTheme="minorHAnsi" w:cstheme="minorHAnsi"/>
                <w:color w:val="000000" w:themeColor="text1"/>
                <w:sz w:val="20"/>
                <w:szCs w:val="20"/>
              </w:rPr>
            </w:pPr>
            <w:r w:rsidRPr="00793CBB">
              <w:rPr>
                <w:rFonts w:asciiTheme="minorHAnsi" w:hAnsiTheme="minorHAnsi" w:cstheme="minorHAnsi"/>
                <w:color w:val="000000" w:themeColor="text1"/>
                <w:sz w:val="20"/>
                <w:szCs w:val="20"/>
              </w:rPr>
              <w:t>Cannot use SMMSE due to cultural or linguistic background</w:t>
            </w:r>
            <w:r>
              <w:rPr>
                <w:rFonts w:asciiTheme="minorHAnsi" w:hAnsiTheme="minorHAnsi" w:cstheme="minorHAnsi"/>
                <w:color w:val="000000" w:themeColor="text1"/>
                <w:sz w:val="20"/>
                <w:szCs w:val="20"/>
              </w:rPr>
              <w:t xml:space="preserve"> </w:t>
            </w:r>
            <w:r w:rsidRPr="00133CEF">
              <w:rPr>
                <w:rFonts w:asciiTheme="minorHAnsi" w:hAnsiTheme="minorHAnsi" w:cstheme="minorHAnsi"/>
                <w:color w:val="000000" w:themeColor="text1"/>
                <w:sz w:val="20"/>
                <w:szCs w:val="20"/>
              </w:rPr>
              <w:t>(severe cognitive impairment confirmed by Clinical Report or Medical Practitioner)</w:t>
            </w:r>
          </w:p>
        </w:tc>
        <w:tc>
          <w:tcPr>
            <w:tcW w:w="850" w:type="dxa"/>
          </w:tcPr>
          <w:p w:rsidR="001D2749" w:rsidRPr="005224EA" w:rsidRDefault="001D2749" w:rsidP="00A51750">
            <w:pPr>
              <w:pStyle w:val="Tabletype2"/>
              <w:jc w:val="center"/>
              <w:rPr>
                <w:rFonts w:asciiTheme="minorHAnsi" w:hAnsiTheme="minorHAnsi" w:cstheme="minorHAnsi"/>
                <w:color w:val="000000" w:themeColor="text1"/>
              </w:rPr>
            </w:pPr>
            <w:r w:rsidRPr="005224EA">
              <w:rPr>
                <w:rFonts w:asciiTheme="minorHAnsi" w:hAnsiTheme="minorHAnsi" w:cstheme="minorHAnsi"/>
                <w:color w:val="000000" w:themeColor="text1"/>
                <w:sz w:val="22"/>
              </w:rPr>
              <w:sym w:font="Wingdings" w:char="F06F"/>
            </w:r>
            <w:r w:rsidRPr="005224EA">
              <w:rPr>
                <w:rFonts w:asciiTheme="minorHAnsi" w:hAnsiTheme="minorHAnsi" w:cstheme="minorHAnsi"/>
                <w:color w:val="000000" w:themeColor="text1"/>
              </w:rPr>
              <w:t>6.4</w:t>
            </w:r>
          </w:p>
        </w:tc>
        <w:tc>
          <w:tcPr>
            <w:tcW w:w="1015" w:type="dxa"/>
            <w:shd w:val="clear" w:color="auto" w:fill="D9E2F3" w:themeFill="accent1" w:themeFillTint="33"/>
          </w:tcPr>
          <w:p w:rsidR="001D2749" w:rsidRPr="00FF73CF" w:rsidRDefault="001D2749" w:rsidP="00A51750">
            <w:pPr>
              <w:pStyle w:val="Tabletype2"/>
              <w:jc w:val="center"/>
              <w:rPr>
                <w:rFonts w:asciiTheme="minorHAnsi" w:hAnsiTheme="minorHAnsi" w:cstheme="minorHAnsi"/>
                <w:i/>
                <w:color w:val="000000" w:themeColor="text1"/>
              </w:rPr>
            </w:pPr>
            <w:r w:rsidRPr="00FF73CF">
              <w:rPr>
                <w:rFonts w:asciiTheme="minorHAnsi" w:hAnsiTheme="minorHAnsi" w:cstheme="minorHAnsi"/>
                <w:i/>
                <w:color w:val="000000" w:themeColor="text1"/>
              </w:rPr>
              <w:t>[Enter score here]</w:t>
            </w:r>
          </w:p>
        </w:tc>
      </w:tr>
      <w:tr w:rsidR="001D2749" w:rsidRPr="005224EA" w:rsidTr="00FF73CF">
        <w:tc>
          <w:tcPr>
            <w:tcW w:w="7230" w:type="dxa"/>
          </w:tcPr>
          <w:p w:rsidR="001D2749" w:rsidRPr="00793CBB" w:rsidRDefault="001D2749" w:rsidP="00A51750">
            <w:pPr>
              <w:pStyle w:val="Tabletype2"/>
              <w:rPr>
                <w:rFonts w:asciiTheme="minorHAnsi" w:hAnsiTheme="minorHAnsi" w:cstheme="minorHAnsi"/>
                <w:color w:val="000000" w:themeColor="text1"/>
                <w:sz w:val="20"/>
                <w:szCs w:val="20"/>
              </w:rPr>
            </w:pPr>
            <w:r w:rsidRPr="00793CBB">
              <w:rPr>
                <w:rFonts w:asciiTheme="minorHAnsi" w:hAnsiTheme="minorHAnsi" w:cstheme="minorHAnsi"/>
                <w:color w:val="000000" w:themeColor="text1"/>
                <w:sz w:val="20"/>
                <w:szCs w:val="20"/>
              </w:rPr>
              <w:t>Cannot use SMMSE due to sensory impairment (confirmed by Medical Practitioner)</w:t>
            </w:r>
          </w:p>
        </w:tc>
        <w:tc>
          <w:tcPr>
            <w:tcW w:w="850" w:type="dxa"/>
          </w:tcPr>
          <w:p w:rsidR="001D2749" w:rsidRPr="005224EA" w:rsidRDefault="001D2749" w:rsidP="00A51750">
            <w:pPr>
              <w:pStyle w:val="Tabletype2"/>
              <w:jc w:val="center"/>
              <w:rPr>
                <w:rFonts w:asciiTheme="minorHAnsi" w:hAnsiTheme="minorHAnsi" w:cstheme="minorHAnsi"/>
                <w:color w:val="000000" w:themeColor="text1"/>
              </w:rPr>
            </w:pPr>
            <w:r w:rsidRPr="005224EA">
              <w:rPr>
                <w:rFonts w:asciiTheme="minorHAnsi" w:hAnsiTheme="minorHAnsi" w:cstheme="minorHAnsi"/>
                <w:color w:val="000000" w:themeColor="text1"/>
                <w:sz w:val="22"/>
              </w:rPr>
              <w:sym w:font="Wingdings" w:char="F06F"/>
            </w:r>
            <w:r w:rsidRPr="005224EA">
              <w:rPr>
                <w:rFonts w:asciiTheme="minorHAnsi" w:hAnsiTheme="minorHAnsi" w:cstheme="minorHAnsi"/>
                <w:color w:val="000000" w:themeColor="text1"/>
              </w:rPr>
              <w:t xml:space="preserve"> 6.5</w:t>
            </w:r>
          </w:p>
        </w:tc>
        <w:tc>
          <w:tcPr>
            <w:tcW w:w="1015" w:type="dxa"/>
            <w:shd w:val="clear" w:color="auto" w:fill="D9E2F3" w:themeFill="accent1" w:themeFillTint="33"/>
          </w:tcPr>
          <w:p w:rsidR="001D2749" w:rsidRPr="00FF73CF" w:rsidRDefault="001D2749" w:rsidP="00A51750">
            <w:pPr>
              <w:pStyle w:val="Tabletype2"/>
              <w:jc w:val="center"/>
              <w:rPr>
                <w:rFonts w:asciiTheme="minorHAnsi" w:hAnsiTheme="minorHAnsi" w:cstheme="minorHAnsi"/>
                <w:i/>
                <w:color w:val="000000" w:themeColor="text1"/>
              </w:rPr>
            </w:pPr>
            <w:r w:rsidRPr="00FF73CF">
              <w:rPr>
                <w:rFonts w:asciiTheme="minorHAnsi" w:hAnsiTheme="minorHAnsi" w:cstheme="minorHAnsi"/>
                <w:i/>
                <w:color w:val="000000" w:themeColor="text1"/>
              </w:rPr>
              <w:t>[Enter score here]</w:t>
            </w:r>
          </w:p>
        </w:tc>
      </w:tr>
      <w:tr w:rsidR="001D2749" w:rsidRPr="005224EA" w:rsidTr="00FF73CF">
        <w:tc>
          <w:tcPr>
            <w:tcW w:w="7230" w:type="dxa"/>
          </w:tcPr>
          <w:p w:rsidR="001D2749" w:rsidRPr="00793CBB" w:rsidRDefault="001D2749" w:rsidP="00A51750">
            <w:pPr>
              <w:pStyle w:val="Tabletype2"/>
              <w:rPr>
                <w:rFonts w:asciiTheme="minorHAnsi" w:hAnsiTheme="minorHAnsi" w:cstheme="minorHAnsi"/>
                <w:color w:val="000000" w:themeColor="text1"/>
                <w:sz w:val="20"/>
                <w:szCs w:val="20"/>
              </w:rPr>
            </w:pPr>
            <w:r w:rsidRPr="00793CBB">
              <w:rPr>
                <w:rFonts w:asciiTheme="minorHAnsi" w:hAnsiTheme="minorHAnsi" w:cstheme="minorHAnsi"/>
                <w:color w:val="000000" w:themeColor="text1"/>
                <w:sz w:val="20"/>
                <w:szCs w:val="20"/>
              </w:rPr>
              <w:t>Cannot use SMMSE due to resident’s refusal to participate</w:t>
            </w:r>
            <w:r>
              <w:rPr>
                <w:rFonts w:asciiTheme="minorHAnsi" w:hAnsiTheme="minorHAnsi" w:cstheme="minorHAnsi"/>
                <w:color w:val="000000" w:themeColor="text1"/>
                <w:sz w:val="20"/>
                <w:szCs w:val="20"/>
              </w:rPr>
              <w:t xml:space="preserve"> </w:t>
            </w:r>
            <w:r w:rsidRPr="00133CEF">
              <w:rPr>
                <w:rFonts w:asciiTheme="minorHAnsi" w:hAnsiTheme="minorHAnsi" w:cstheme="minorHAnsi"/>
                <w:color w:val="000000" w:themeColor="text1"/>
                <w:sz w:val="20"/>
                <w:szCs w:val="20"/>
              </w:rPr>
              <w:t>(severe cognitive impairment confirmed by Clinical Report or Medical Practitioner)</w:t>
            </w:r>
          </w:p>
        </w:tc>
        <w:tc>
          <w:tcPr>
            <w:tcW w:w="850" w:type="dxa"/>
          </w:tcPr>
          <w:p w:rsidR="001D2749" w:rsidRPr="005224EA" w:rsidRDefault="001D2749" w:rsidP="00A51750">
            <w:pPr>
              <w:pStyle w:val="Tabletype2"/>
              <w:jc w:val="center"/>
              <w:rPr>
                <w:rFonts w:asciiTheme="minorHAnsi" w:hAnsiTheme="minorHAnsi" w:cstheme="minorHAnsi"/>
                <w:color w:val="000000" w:themeColor="text1"/>
              </w:rPr>
            </w:pPr>
            <w:r w:rsidRPr="005224EA">
              <w:rPr>
                <w:rFonts w:asciiTheme="minorHAnsi" w:hAnsiTheme="minorHAnsi" w:cstheme="minorHAnsi"/>
                <w:color w:val="000000" w:themeColor="text1"/>
                <w:sz w:val="22"/>
              </w:rPr>
              <w:sym w:font="Wingdings" w:char="F06F"/>
            </w:r>
            <w:r w:rsidRPr="005224EA">
              <w:rPr>
                <w:rFonts w:asciiTheme="minorHAnsi" w:hAnsiTheme="minorHAnsi" w:cstheme="minorHAnsi"/>
                <w:color w:val="000000" w:themeColor="text1"/>
              </w:rPr>
              <w:t xml:space="preserve"> 6.6</w:t>
            </w:r>
          </w:p>
        </w:tc>
        <w:tc>
          <w:tcPr>
            <w:tcW w:w="1015" w:type="dxa"/>
            <w:shd w:val="clear" w:color="auto" w:fill="D9E2F3" w:themeFill="accent1" w:themeFillTint="33"/>
          </w:tcPr>
          <w:p w:rsidR="001D2749" w:rsidRPr="00FF73CF" w:rsidRDefault="001D2749" w:rsidP="00A51750">
            <w:pPr>
              <w:pStyle w:val="Tabletype2"/>
              <w:jc w:val="center"/>
              <w:rPr>
                <w:rFonts w:asciiTheme="minorHAnsi" w:hAnsiTheme="minorHAnsi" w:cstheme="minorHAnsi"/>
                <w:i/>
                <w:color w:val="000000" w:themeColor="text1"/>
              </w:rPr>
            </w:pPr>
            <w:r w:rsidRPr="00FF73CF">
              <w:rPr>
                <w:rFonts w:asciiTheme="minorHAnsi" w:hAnsiTheme="minorHAnsi" w:cstheme="minorHAnsi"/>
                <w:i/>
                <w:color w:val="000000" w:themeColor="text1"/>
              </w:rPr>
              <w:t>[Enter score here]</w:t>
            </w:r>
          </w:p>
        </w:tc>
      </w:tr>
      <w:tr w:rsidR="001D2749" w:rsidRPr="005224EA" w:rsidTr="00FF73CF">
        <w:tc>
          <w:tcPr>
            <w:tcW w:w="7230" w:type="dxa"/>
          </w:tcPr>
          <w:p w:rsidR="001D2749" w:rsidRPr="00793CBB" w:rsidRDefault="001D2749" w:rsidP="00A51750">
            <w:pPr>
              <w:pStyle w:val="Tabletype2"/>
              <w:rPr>
                <w:rFonts w:asciiTheme="minorHAnsi" w:hAnsiTheme="minorHAnsi" w:cstheme="minorHAnsi"/>
                <w:color w:val="000000" w:themeColor="text1"/>
                <w:sz w:val="20"/>
                <w:szCs w:val="20"/>
              </w:rPr>
            </w:pPr>
            <w:r w:rsidRPr="00793CBB">
              <w:rPr>
                <w:rFonts w:asciiTheme="minorHAnsi" w:hAnsiTheme="minorHAnsi" w:cstheme="minorHAnsi"/>
                <w:color w:val="000000" w:themeColor="text1"/>
                <w:sz w:val="20"/>
                <w:szCs w:val="20"/>
              </w:rPr>
              <w:t>Clinical report provides supporting information for the ACFI 6 appraisal</w:t>
            </w:r>
          </w:p>
        </w:tc>
        <w:tc>
          <w:tcPr>
            <w:tcW w:w="850" w:type="dxa"/>
          </w:tcPr>
          <w:p w:rsidR="001D2749" w:rsidRPr="005224EA" w:rsidRDefault="001D2749" w:rsidP="00A51750">
            <w:pPr>
              <w:pStyle w:val="Tabletype2"/>
              <w:jc w:val="center"/>
              <w:rPr>
                <w:rFonts w:asciiTheme="minorHAnsi" w:hAnsiTheme="minorHAnsi" w:cstheme="minorHAnsi"/>
                <w:color w:val="000000" w:themeColor="text1"/>
              </w:rPr>
            </w:pPr>
            <w:r w:rsidRPr="005224EA">
              <w:rPr>
                <w:rFonts w:asciiTheme="minorHAnsi" w:hAnsiTheme="minorHAnsi" w:cstheme="minorHAnsi"/>
                <w:color w:val="000000" w:themeColor="text1"/>
                <w:sz w:val="22"/>
              </w:rPr>
              <w:sym w:font="Wingdings" w:char="F06F"/>
            </w:r>
            <w:r w:rsidRPr="005224EA">
              <w:rPr>
                <w:rFonts w:asciiTheme="minorHAnsi" w:hAnsiTheme="minorHAnsi" w:cstheme="minorHAnsi"/>
                <w:color w:val="000000" w:themeColor="text1"/>
              </w:rPr>
              <w:t xml:space="preserve"> 6.7</w:t>
            </w:r>
          </w:p>
        </w:tc>
        <w:tc>
          <w:tcPr>
            <w:tcW w:w="1015" w:type="dxa"/>
            <w:shd w:val="clear" w:color="auto" w:fill="D9E2F3" w:themeFill="accent1" w:themeFillTint="33"/>
          </w:tcPr>
          <w:p w:rsidR="001D2749" w:rsidRPr="00FF73CF" w:rsidRDefault="001D2749" w:rsidP="00A51750">
            <w:pPr>
              <w:pStyle w:val="Tabletype2"/>
              <w:jc w:val="center"/>
              <w:rPr>
                <w:rFonts w:asciiTheme="minorHAnsi" w:hAnsiTheme="minorHAnsi" w:cstheme="minorHAnsi"/>
                <w:i/>
                <w:color w:val="000000" w:themeColor="text1"/>
              </w:rPr>
            </w:pPr>
            <w:r w:rsidRPr="00FF73CF">
              <w:rPr>
                <w:rFonts w:asciiTheme="minorHAnsi" w:hAnsiTheme="minorHAnsi" w:cstheme="minorHAnsi"/>
                <w:i/>
                <w:color w:val="000000" w:themeColor="text1"/>
              </w:rPr>
              <w:t>[Enter score here]</w:t>
            </w:r>
          </w:p>
        </w:tc>
      </w:tr>
      <w:tr w:rsidR="001D2749" w:rsidRPr="005224EA" w:rsidTr="00FF73CF">
        <w:tc>
          <w:tcPr>
            <w:tcW w:w="7230" w:type="dxa"/>
          </w:tcPr>
          <w:p w:rsidR="001D2749" w:rsidRPr="00793CBB" w:rsidRDefault="001D2749" w:rsidP="00A51750">
            <w:pPr>
              <w:pStyle w:val="Tabletype2"/>
              <w:rPr>
                <w:rFonts w:asciiTheme="minorHAnsi" w:hAnsiTheme="minorHAnsi" w:cstheme="minorHAnsi"/>
                <w:color w:val="000000" w:themeColor="text1"/>
                <w:sz w:val="20"/>
                <w:szCs w:val="20"/>
              </w:rPr>
            </w:pPr>
            <w:r w:rsidRPr="00793CBB">
              <w:rPr>
                <w:rFonts w:asciiTheme="minorHAnsi" w:hAnsiTheme="minorHAnsi" w:cstheme="minorHAnsi"/>
                <w:color w:val="000000" w:themeColor="text1"/>
                <w:sz w:val="20"/>
                <w:szCs w:val="20"/>
              </w:rPr>
              <w:t>SMMSE completed: enter score</w:t>
            </w:r>
          </w:p>
        </w:tc>
        <w:tc>
          <w:tcPr>
            <w:tcW w:w="850" w:type="dxa"/>
          </w:tcPr>
          <w:p w:rsidR="001D2749" w:rsidRPr="005224EA" w:rsidRDefault="001D2749" w:rsidP="00A51750">
            <w:pPr>
              <w:pStyle w:val="Tabletype2"/>
              <w:jc w:val="center"/>
              <w:rPr>
                <w:rFonts w:asciiTheme="minorHAnsi" w:hAnsiTheme="minorHAnsi" w:cstheme="minorHAnsi"/>
                <w:color w:val="000000" w:themeColor="text1"/>
              </w:rPr>
            </w:pPr>
            <w:r w:rsidRPr="005224EA">
              <w:rPr>
                <w:rFonts w:asciiTheme="minorHAnsi" w:hAnsiTheme="minorHAnsi" w:cstheme="minorHAnsi"/>
                <w:color w:val="000000" w:themeColor="text1"/>
                <w:sz w:val="22"/>
              </w:rPr>
              <w:sym w:font="Wingdings" w:char="F06F"/>
            </w:r>
            <w:r w:rsidRPr="005224EA">
              <w:rPr>
                <w:rFonts w:asciiTheme="minorHAnsi" w:hAnsiTheme="minorHAnsi" w:cstheme="minorHAnsi"/>
                <w:color w:val="000000" w:themeColor="text1"/>
              </w:rPr>
              <w:t xml:space="preserve"> 6.8</w:t>
            </w:r>
          </w:p>
        </w:tc>
        <w:tc>
          <w:tcPr>
            <w:tcW w:w="1015" w:type="dxa"/>
            <w:shd w:val="clear" w:color="auto" w:fill="DEEAF6" w:themeFill="accent5" w:themeFillTint="33"/>
          </w:tcPr>
          <w:p w:rsidR="001D2749" w:rsidRPr="00FF73CF" w:rsidRDefault="001D2749" w:rsidP="0021251F">
            <w:pPr>
              <w:pStyle w:val="Tabletype2"/>
              <w:jc w:val="center"/>
              <w:rPr>
                <w:rFonts w:asciiTheme="minorHAnsi" w:hAnsiTheme="minorHAnsi" w:cstheme="minorHAnsi"/>
                <w:i/>
                <w:color w:val="000000" w:themeColor="text1"/>
              </w:rPr>
            </w:pPr>
            <w:r w:rsidRPr="00FF73CF">
              <w:rPr>
                <w:rFonts w:asciiTheme="minorHAnsi" w:hAnsiTheme="minorHAnsi" w:cstheme="minorHAnsi"/>
                <w:i/>
                <w:color w:val="000000" w:themeColor="text1"/>
              </w:rPr>
              <w:t>[Enter score here]</w:t>
            </w:r>
          </w:p>
        </w:tc>
      </w:tr>
    </w:tbl>
    <w:p w:rsidR="00AC323A" w:rsidRDefault="00AC323A">
      <w:pPr>
        <w:spacing w:after="200"/>
        <w:rPr>
          <w:b/>
          <w:szCs w:val="24"/>
        </w:rPr>
      </w:pPr>
      <w:r>
        <w:rPr>
          <w:b/>
          <w:szCs w:val="24"/>
        </w:rPr>
        <w:br w:type="page"/>
      </w:r>
    </w:p>
    <w:p w:rsidR="003217B9" w:rsidRPr="00EE0A1C" w:rsidRDefault="00197868" w:rsidP="00197868">
      <w:pPr>
        <w:keepNext/>
        <w:spacing w:after="0" w:line="240" w:lineRule="auto"/>
        <w:rPr>
          <w:b/>
          <w:szCs w:val="24"/>
        </w:rPr>
      </w:pPr>
      <w:r w:rsidRPr="00EE0A1C">
        <w:rPr>
          <w:b/>
          <w:szCs w:val="24"/>
        </w:rPr>
        <w:lastRenderedPageBreak/>
        <w:t xml:space="preserve">R-ACFI 6 Cognition </w:t>
      </w:r>
      <w:r w:rsidR="003217B9" w:rsidRPr="00EE0A1C">
        <w:rPr>
          <w:b/>
          <w:szCs w:val="24"/>
        </w:rPr>
        <w:t>Checklist to be completed</w:t>
      </w:r>
    </w:p>
    <w:tbl>
      <w:tblPr>
        <w:tblStyle w:val="TableGrid"/>
        <w:tblW w:w="9039" w:type="dxa"/>
        <w:tblInd w:w="85" w:type="dxa"/>
        <w:tblCellMar>
          <w:top w:w="85" w:type="dxa"/>
          <w:left w:w="85" w:type="dxa"/>
          <w:right w:w="85" w:type="dxa"/>
        </w:tblCellMar>
        <w:tblLook w:val="04A0" w:firstRow="1" w:lastRow="0" w:firstColumn="1" w:lastColumn="0" w:noHBand="0" w:noVBand="1"/>
        <w:tblDescription w:val="The R-ACFI 6 Cognition Checklist is an example of a tool that assessors should complete for cognitive skills under the revised aged care funding instrument (R-ACFI). This table is to be read left to right, top to bottom, noting that tick boxes are not functional."/>
      </w:tblPr>
      <w:tblGrid>
        <w:gridCol w:w="8080"/>
        <w:gridCol w:w="959"/>
      </w:tblGrid>
      <w:tr w:rsidR="003217B9" w:rsidRPr="005224EA" w:rsidTr="00FF73CF">
        <w:trPr>
          <w:trHeight w:val="217"/>
          <w:tblHeader/>
        </w:trPr>
        <w:tc>
          <w:tcPr>
            <w:tcW w:w="8080" w:type="dxa"/>
            <w:shd w:val="clear" w:color="auto" w:fill="D9D9D9" w:themeFill="background1" w:themeFillShade="D9"/>
          </w:tcPr>
          <w:p w:rsidR="003217B9" w:rsidRPr="00197868" w:rsidRDefault="005613C7" w:rsidP="00A51750">
            <w:pPr>
              <w:pStyle w:val="Tableheader2"/>
              <w:rPr>
                <w:rFonts w:asciiTheme="minorHAnsi" w:hAnsiTheme="minorHAnsi" w:cstheme="minorHAnsi"/>
                <w:szCs w:val="20"/>
              </w:rPr>
            </w:pPr>
            <w:bookmarkStart w:id="364" w:name="_Hlk486524303"/>
            <w:r w:rsidRPr="00197868">
              <w:rPr>
                <w:rFonts w:asciiTheme="minorHAnsi" w:hAnsiTheme="minorHAnsi" w:cstheme="minorHAnsi"/>
                <w:szCs w:val="20"/>
              </w:rPr>
              <w:t xml:space="preserve">R-ACFI </w:t>
            </w:r>
            <w:r w:rsidR="003217B9" w:rsidRPr="00197868">
              <w:rPr>
                <w:rFonts w:asciiTheme="minorHAnsi" w:hAnsiTheme="minorHAnsi" w:cstheme="minorHAnsi"/>
                <w:szCs w:val="20"/>
              </w:rPr>
              <w:t>6. Cognitive Skills Checklist</w:t>
            </w:r>
          </w:p>
        </w:tc>
        <w:tc>
          <w:tcPr>
            <w:tcW w:w="959" w:type="dxa"/>
            <w:shd w:val="clear" w:color="auto" w:fill="D9D9D9" w:themeFill="background1" w:themeFillShade="D9"/>
          </w:tcPr>
          <w:p w:rsidR="003217B9" w:rsidRPr="005224EA" w:rsidRDefault="003217B9" w:rsidP="00A51750">
            <w:pPr>
              <w:pStyle w:val="Tableheader2"/>
              <w:jc w:val="center"/>
              <w:rPr>
                <w:rFonts w:asciiTheme="minorHAnsi" w:hAnsiTheme="minorHAnsi" w:cstheme="minorHAnsi"/>
                <w:szCs w:val="20"/>
              </w:rPr>
            </w:pPr>
            <w:r w:rsidRPr="005224EA">
              <w:rPr>
                <w:rFonts w:asciiTheme="minorHAnsi" w:hAnsiTheme="minorHAnsi" w:cstheme="minorHAnsi"/>
                <w:szCs w:val="20"/>
              </w:rPr>
              <w:t>Tick one</w:t>
            </w:r>
          </w:p>
        </w:tc>
      </w:tr>
      <w:tr w:rsidR="003217B9" w:rsidRPr="005224EA" w:rsidTr="00FF73CF">
        <w:tc>
          <w:tcPr>
            <w:tcW w:w="8080" w:type="dxa"/>
          </w:tcPr>
          <w:p w:rsidR="003217B9" w:rsidRPr="005224EA" w:rsidRDefault="003217B9" w:rsidP="00536EB7">
            <w:pPr>
              <w:pStyle w:val="numberedtableheader3"/>
              <w:numPr>
                <w:ilvl w:val="0"/>
                <w:numId w:val="8"/>
              </w:numPr>
              <w:ind w:left="360"/>
              <w:jc w:val="left"/>
              <w:rPr>
                <w:rFonts w:asciiTheme="minorHAnsi" w:hAnsiTheme="minorHAnsi" w:cstheme="minorHAnsi"/>
                <w:sz w:val="20"/>
                <w:szCs w:val="20"/>
              </w:rPr>
            </w:pPr>
            <w:r w:rsidRPr="005224EA">
              <w:rPr>
                <w:rFonts w:asciiTheme="minorHAnsi" w:hAnsiTheme="minorHAnsi" w:cstheme="minorHAnsi"/>
                <w:sz w:val="20"/>
                <w:szCs w:val="20"/>
              </w:rPr>
              <w:t>None or minimal impairment</w:t>
            </w:r>
          </w:p>
          <w:p w:rsidR="00980F62" w:rsidRDefault="003217B9" w:rsidP="00A51750">
            <w:pPr>
              <w:pStyle w:val="Tabletype2"/>
              <w:rPr>
                <w:rFonts w:asciiTheme="minorHAnsi" w:hAnsiTheme="minorHAnsi" w:cstheme="minorHAnsi"/>
                <w:sz w:val="20"/>
                <w:szCs w:val="20"/>
              </w:rPr>
            </w:pPr>
            <w:r w:rsidRPr="005224EA">
              <w:rPr>
                <w:rFonts w:asciiTheme="minorHAnsi" w:hAnsiTheme="minorHAnsi" w:cstheme="minorHAnsi"/>
                <w:sz w:val="20"/>
                <w:szCs w:val="20"/>
              </w:rPr>
              <w:t>SMMSE = 25-30</w:t>
            </w:r>
          </w:p>
          <w:p w:rsidR="003217B9" w:rsidRPr="005224EA" w:rsidRDefault="003217B9" w:rsidP="00A51750">
            <w:pPr>
              <w:pStyle w:val="Tabletype2"/>
              <w:rPr>
                <w:rFonts w:asciiTheme="minorHAnsi" w:hAnsiTheme="minorHAnsi" w:cstheme="minorHAnsi"/>
                <w:sz w:val="20"/>
                <w:szCs w:val="20"/>
              </w:rPr>
            </w:pPr>
            <w:r w:rsidRPr="005224EA">
              <w:rPr>
                <w:rFonts w:asciiTheme="minorHAnsi" w:hAnsiTheme="minorHAnsi" w:cstheme="minorHAnsi"/>
                <w:sz w:val="20"/>
                <w:szCs w:val="20"/>
              </w:rPr>
              <w:t>If no SMMSE assessment:</w:t>
            </w:r>
          </w:p>
          <w:p w:rsidR="003217B9" w:rsidRPr="005224EA" w:rsidRDefault="003217B9" w:rsidP="00A51750">
            <w:pPr>
              <w:pStyle w:val="Tabletype2"/>
              <w:rPr>
                <w:rFonts w:asciiTheme="minorHAnsi" w:hAnsiTheme="minorHAnsi" w:cstheme="minorHAnsi"/>
                <w:sz w:val="20"/>
                <w:szCs w:val="20"/>
              </w:rPr>
            </w:pPr>
            <w:r w:rsidRPr="005224EA">
              <w:rPr>
                <w:rFonts w:asciiTheme="minorHAnsi" w:hAnsiTheme="minorHAnsi" w:cstheme="minorHAnsi"/>
                <w:sz w:val="20"/>
                <w:szCs w:val="20"/>
              </w:rPr>
              <w:t>No significant problems in everyday activities. Demonstrates no difficulties or only minor difficulties in the following–memory loss (e.g. may forget names, misplace objects), handling money, solving problems (e.g. judgement and reasoning skills are intact), cognitively capable of self-care</w:t>
            </w:r>
            <w:r w:rsidR="00CB3B96">
              <w:rPr>
                <w:rFonts w:asciiTheme="minorHAnsi" w:hAnsiTheme="minorHAnsi" w:cstheme="minorHAnsi"/>
                <w:sz w:val="20"/>
                <w:szCs w:val="20"/>
              </w:rPr>
              <w:t>.</w:t>
            </w:r>
          </w:p>
        </w:tc>
        <w:tc>
          <w:tcPr>
            <w:tcW w:w="959" w:type="dxa"/>
          </w:tcPr>
          <w:p w:rsidR="003217B9" w:rsidRPr="005224EA" w:rsidRDefault="003217B9" w:rsidP="00A51750">
            <w:pPr>
              <w:pStyle w:val="Tabletype2"/>
              <w:jc w:val="center"/>
              <w:rPr>
                <w:rFonts w:asciiTheme="minorHAnsi" w:hAnsiTheme="minorHAnsi" w:cstheme="minorHAnsi"/>
                <w:sz w:val="20"/>
                <w:szCs w:val="20"/>
              </w:rPr>
            </w:pPr>
            <w:r w:rsidRPr="005224EA">
              <w:rPr>
                <w:rFonts w:asciiTheme="minorHAnsi" w:hAnsiTheme="minorHAnsi" w:cstheme="minorHAnsi"/>
                <w:sz w:val="22"/>
              </w:rPr>
              <w:sym w:font="Wingdings" w:char="F06F"/>
            </w:r>
            <w:r w:rsidRPr="005224EA">
              <w:rPr>
                <w:rFonts w:asciiTheme="minorHAnsi" w:hAnsiTheme="minorHAnsi" w:cstheme="minorHAnsi"/>
              </w:rPr>
              <w:t xml:space="preserve"> 1</w:t>
            </w:r>
          </w:p>
        </w:tc>
      </w:tr>
      <w:tr w:rsidR="003217B9" w:rsidRPr="005224EA" w:rsidTr="00FF73CF">
        <w:trPr>
          <w:trHeight w:val="32"/>
        </w:trPr>
        <w:tc>
          <w:tcPr>
            <w:tcW w:w="8080" w:type="dxa"/>
          </w:tcPr>
          <w:p w:rsidR="003217B9" w:rsidRPr="005224EA" w:rsidRDefault="003217B9" w:rsidP="00536EB7">
            <w:pPr>
              <w:pStyle w:val="numberedtableheader3"/>
              <w:numPr>
                <w:ilvl w:val="0"/>
                <w:numId w:val="7"/>
              </w:numPr>
              <w:ind w:left="360"/>
              <w:jc w:val="left"/>
              <w:rPr>
                <w:rFonts w:asciiTheme="minorHAnsi" w:hAnsiTheme="minorHAnsi" w:cstheme="minorHAnsi"/>
                <w:sz w:val="20"/>
                <w:szCs w:val="20"/>
              </w:rPr>
            </w:pPr>
            <w:r w:rsidRPr="005224EA">
              <w:rPr>
                <w:rFonts w:asciiTheme="minorHAnsi" w:hAnsiTheme="minorHAnsi" w:cstheme="minorHAnsi"/>
                <w:sz w:val="20"/>
                <w:szCs w:val="20"/>
              </w:rPr>
              <w:t>Mild impairment</w:t>
            </w:r>
          </w:p>
          <w:p w:rsidR="00980F62" w:rsidRDefault="003217B9" w:rsidP="00A51750">
            <w:pPr>
              <w:pStyle w:val="Tabletype2"/>
              <w:rPr>
                <w:rFonts w:asciiTheme="minorHAnsi" w:hAnsiTheme="minorHAnsi" w:cstheme="minorHAnsi"/>
                <w:sz w:val="20"/>
                <w:szCs w:val="20"/>
              </w:rPr>
            </w:pPr>
            <w:r w:rsidRPr="005224EA">
              <w:rPr>
                <w:rFonts w:asciiTheme="minorHAnsi" w:hAnsiTheme="minorHAnsi" w:cstheme="minorHAnsi"/>
                <w:sz w:val="20"/>
                <w:szCs w:val="20"/>
              </w:rPr>
              <w:t>SMMSE = 21-24</w:t>
            </w:r>
          </w:p>
          <w:p w:rsidR="00980F62" w:rsidRDefault="003217B9" w:rsidP="00A51750">
            <w:pPr>
              <w:pStyle w:val="Tabletype2"/>
              <w:rPr>
                <w:rFonts w:asciiTheme="minorHAnsi" w:hAnsiTheme="minorHAnsi" w:cstheme="minorHAnsi"/>
                <w:sz w:val="20"/>
                <w:szCs w:val="20"/>
              </w:rPr>
            </w:pPr>
            <w:r w:rsidRPr="005224EA">
              <w:rPr>
                <w:rFonts w:asciiTheme="minorHAnsi" w:hAnsiTheme="minorHAnsi" w:cstheme="minorHAnsi"/>
                <w:sz w:val="20"/>
                <w:szCs w:val="20"/>
              </w:rPr>
              <w:t>If SMMSE assessment is inappropriate:</w:t>
            </w:r>
          </w:p>
          <w:p w:rsidR="003217B9" w:rsidRPr="005224EA" w:rsidRDefault="003217B9" w:rsidP="00A51750">
            <w:pPr>
              <w:pStyle w:val="Tabletype2"/>
              <w:rPr>
                <w:rFonts w:asciiTheme="minorHAnsi" w:hAnsiTheme="minorHAnsi" w:cstheme="minorHAnsi"/>
                <w:sz w:val="20"/>
                <w:szCs w:val="20"/>
              </w:rPr>
            </w:pPr>
            <w:r w:rsidRPr="005224EA">
              <w:rPr>
                <w:rFonts w:asciiTheme="minorHAnsi" w:hAnsiTheme="minorHAnsi" w:cstheme="minorHAnsi"/>
                <w:sz w:val="20"/>
                <w:szCs w:val="20"/>
              </w:rPr>
              <w:t>May appear normal but on investigation has some problems in everyday activities.</w:t>
            </w:r>
          </w:p>
          <w:p w:rsidR="003217B9" w:rsidRPr="005224EA" w:rsidRDefault="003217B9" w:rsidP="00A51750">
            <w:pPr>
              <w:pStyle w:val="Tabletype2"/>
              <w:spacing w:after="0"/>
              <w:ind w:left="1418" w:hanging="1418"/>
              <w:rPr>
                <w:rFonts w:asciiTheme="minorHAnsi" w:hAnsiTheme="minorHAnsi" w:cstheme="minorHAnsi"/>
                <w:sz w:val="20"/>
                <w:szCs w:val="20"/>
              </w:rPr>
            </w:pPr>
            <w:r w:rsidRPr="005224EA">
              <w:rPr>
                <w:rFonts w:asciiTheme="minorHAnsi" w:hAnsiTheme="minorHAnsi" w:cstheme="minorHAnsi"/>
                <w:sz w:val="20"/>
                <w:szCs w:val="20"/>
              </w:rPr>
              <w:t>Memory:</w:t>
            </w:r>
            <w:r w:rsidR="007A576E">
              <w:rPr>
                <w:rFonts w:asciiTheme="minorHAnsi" w:hAnsiTheme="minorHAnsi" w:cstheme="minorHAnsi"/>
                <w:sz w:val="20"/>
                <w:szCs w:val="20"/>
              </w:rPr>
              <w:t xml:space="preserve"> </w:t>
            </w:r>
            <w:r w:rsidRPr="005224EA">
              <w:rPr>
                <w:rFonts w:asciiTheme="minorHAnsi" w:hAnsiTheme="minorHAnsi" w:cstheme="minorHAnsi"/>
                <w:sz w:val="20"/>
                <w:szCs w:val="20"/>
              </w:rPr>
              <w:t>3 item recall orientation (time then place)</w:t>
            </w:r>
            <w:r w:rsidR="00CB3B96">
              <w:rPr>
                <w:rFonts w:asciiTheme="minorHAnsi" w:hAnsiTheme="minorHAnsi" w:cstheme="minorHAnsi"/>
                <w:sz w:val="20"/>
                <w:szCs w:val="20"/>
              </w:rPr>
              <w:t>.</w:t>
            </w:r>
          </w:p>
          <w:p w:rsidR="00980F62" w:rsidRDefault="003217B9" w:rsidP="00A51750">
            <w:pPr>
              <w:pStyle w:val="Tabletype2"/>
              <w:spacing w:after="0"/>
              <w:ind w:left="1418" w:hanging="1418"/>
              <w:rPr>
                <w:rFonts w:asciiTheme="minorHAnsi" w:hAnsiTheme="minorHAnsi" w:cstheme="minorHAnsi"/>
                <w:sz w:val="20"/>
                <w:szCs w:val="20"/>
              </w:rPr>
            </w:pPr>
            <w:r w:rsidRPr="005224EA">
              <w:rPr>
                <w:rFonts w:asciiTheme="minorHAnsi" w:hAnsiTheme="minorHAnsi" w:cstheme="minorHAnsi"/>
                <w:sz w:val="20"/>
                <w:szCs w:val="20"/>
              </w:rPr>
              <w:t>IADL:</w:t>
            </w:r>
            <w:r w:rsidR="007A576E">
              <w:rPr>
                <w:rFonts w:asciiTheme="minorHAnsi" w:hAnsiTheme="minorHAnsi" w:cstheme="minorHAnsi"/>
                <w:sz w:val="20"/>
                <w:szCs w:val="20"/>
              </w:rPr>
              <w:t xml:space="preserve"> </w:t>
            </w:r>
            <w:r w:rsidR="00BB5909" w:rsidRPr="005224EA">
              <w:rPr>
                <w:rFonts w:asciiTheme="minorHAnsi" w:hAnsiTheme="minorHAnsi" w:cstheme="minorHAnsi"/>
                <w:sz w:val="20"/>
                <w:szCs w:val="20"/>
              </w:rPr>
              <w:tab/>
            </w:r>
            <w:r w:rsidRPr="005224EA">
              <w:rPr>
                <w:rFonts w:asciiTheme="minorHAnsi" w:hAnsiTheme="minorHAnsi" w:cstheme="minorHAnsi"/>
                <w:sz w:val="20"/>
                <w:szCs w:val="20"/>
              </w:rPr>
              <w:t>Problems with driving, finances, shopping</w:t>
            </w:r>
            <w:r w:rsidR="00CB3B96">
              <w:rPr>
                <w:rFonts w:asciiTheme="minorHAnsi" w:hAnsiTheme="minorHAnsi" w:cstheme="minorHAnsi"/>
                <w:sz w:val="20"/>
                <w:szCs w:val="20"/>
              </w:rPr>
              <w:t>.</w:t>
            </w:r>
          </w:p>
          <w:p w:rsidR="003217B9" w:rsidRPr="005224EA" w:rsidRDefault="003217B9" w:rsidP="00A51750">
            <w:pPr>
              <w:pStyle w:val="Tabletype2"/>
              <w:spacing w:after="40"/>
              <w:ind w:left="1418" w:hanging="1418"/>
              <w:rPr>
                <w:rFonts w:asciiTheme="minorHAnsi" w:hAnsiTheme="minorHAnsi" w:cstheme="minorHAnsi"/>
                <w:sz w:val="20"/>
                <w:szCs w:val="20"/>
              </w:rPr>
            </w:pPr>
            <w:r w:rsidRPr="005224EA">
              <w:rPr>
                <w:rFonts w:asciiTheme="minorHAnsi" w:hAnsiTheme="minorHAnsi" w:cstheme="minorHAnsi"/>
                <w:sz w:val="20"/>
                <w:szCs w:val="20"/>
              </w:rPr>
              <w:tab/>
              <w:t>Not independent in chores/ interests requiring reasoning, judgement, planning etc. (i.e. cooking, use of telephone).</w:t>
            </w:r>
          </w:p>
          <w:p w:rsidR="003217B9" w:rsidRPr="005224EA" w:rsidRDefault="003217B9" w:rsidP="00A51750">
            <w:pPr>
              <w:pStyle w:val="Tabletype2"/>
              <w:spacing w:after="40"/>
              <w:ind w:left="1418" w:hanging="1418"/>
              <w:rPr>
                <w:rFonts w:asciiTheme="minorHAnsi" w:hAnsiTheme="minorHAnsi" w:cstheme="minorHAnsi"/>
                <w:sz w:val="20"/>
                <w:szCs w:val="20"/>
              </w:rPr>
            </w:pPr>
            <w:r w:rsidRPr="005224EA">
              <w:rPr>
                <w:rFonts w:asciiTheme="minorHAnsi" w:hAnsiTheme="minorHAnsi" w:cstheme="minorHAnsi"/>
                <w:sz w:val="20"/>
                <w:szCs w:val="20"/>
              </w:rPr>
              <w:t xml:space="preserve">Personal care: </w:t>
            </w:r>
            <w:r w:rsidRPr="005224EA">
              <w:rPr>
                <w:rFonts w:asciiTheme="minorHAnsi" w:hAnsiTheme="minorHAnsi" w:cstheme="minorHAnsi"/>
                <w:sz w:val="20"/>
                <w:szCs w:val="20"/>
              </w:rPr>
              <w:tab/>
              <w:t>Memory loss of recent events that impacts on ADLs (i.e. needs prompting not physical assistance)</w:t>
            </w:r>
            <w:r w:rsidR="00CB3B96">
              <w:rPr>
                <w:rFonts w:asciiTheme="minorHAnsi" w:hAnsiTheme="minorHAnsi" w:cstheme="minorHAnsi"/>
                <w:sz w:val="20"/>
                <w:szCs w:val="20"/>
              </w:rPr>
              <w:t>.</w:t>
            </w:r>
          </w:p>
          <w:p w:rsidR="003217B9" w:rsidRPr="005224EA" w:rsidRDefault="003217B9" w:rsidP="00A51750">
            <w:pPr>
              <w:pStyle w:val="Tabletype2"/>
              <w:spacing w:after="40"/>
              <w:ind w:left="1418" w:hanging="1418"/>
              <w:rPr>
                <w:rFonts w:asciiTheme="minorHAnsi" w:hAnsiTheme="minorHAnsi" w:cstheme="minorHAnsi"/>
                <w:sz w:val="20"/>
                <w:szCs w:val="20"/>
              </w:rPr>
            </w:pPr>
            <w:r w:rsidRPr="005224EA">
              <w:rPr>
                <w:rFonts w:asciiTheme="minorHAnsi" w:hAnsiTheme="minorHAnsi" w:cstheme="minorHAnsi"/>
                <w:sz w:val="20"/>
                <w:szCs w:val="20"/>
              </w:rPr>
              <w:t>Orientation:</w:t>
            </w:r>
            <w:r w:rsidRPr="005224EA">
              <w:rPr>
                <w:rFonts w:asciiTheme="minorHAnsi" w:hAnsiTheme="minorHAnsi" w:cstheme="minorHAnsi"/>
                <w:sz w:val="20"/>
                <w:szCs w:val="20"/>
              </w:rPr>
              <w:tab/>
              <w:t>Disorientation in unfamiliar places</w:t>
            </w:r>
            <w:r w:rsidR="00CB3B96">
              <w:rPr>
                <w:rFonts w:asciiTheme="minorHAnsi" w:hAnsiTheme="minorHAnsi" w:cstheme="minorHAnsi"/>
                <w:sz w:val="20"/>
                <w:szCs w:val="20"/>
              </w:rPr>
              <w:t>.</w:t>
            </w:r>
          </w:p>
          <w:p w:rsidR="003217B9" w:rsidRPr="005224EA" w:rsidRDefault="003217B9" w:rsidP="00A51750">
            <w:pPr>
              <w:pStyle w:val="Tabletype2"/>
              <w:spacing w:after="40"/>
              <w:ind w:left="1418" w:hanging="1418"/>
              <w:rPr>
                <w:rFonts w:asciiTheme="minorHAnsi" w:hAnsiTheme="minorHAnsi" w:cstheme="minorHAnsi"/>
                <w:sz w:val="20"/>
                <w:szCs w:val="20"/>
              </w:rPr>
            </w:pPr>
            <w:r w:rsidRPr="005224EA">
              <w:rPr>
                <w:rFonts w:asciiTheme="minorHAnsi" w:hAnsiTheme="minorHAnsi" w:cstheme="minorHAnsi"/>
                <w:sz w:val="20"/>
                <w:szCs w:val="20"/>
              </w:rPr>
              <w:t>Communication:</w:t>
            </w:r>
            <w:r w:rsidRPr="005224EA">
              <w:rPr>
                <w:rFonts w:asciiTheme="minorHAnsi" w:hAnsiTheme="minorHAnsi" w:cstheme="minorHAnsi"/>
                <w:sz w:val="20"/>
                <w:szCs w:val="20"/>
              </w:rPr>
              <w:tab/>
              <w:t>Word finding, repeating, goes off topic, loses track</w:t>
            </w:r>
            <w:r w:rsidR="00CB3B96">
              <w:rPr>
                <w:rFonts w:asciiTheme="minorHAnsi" w:hAnsiTheme="minorHAnsi" w:cstheme="minorHAnsi"/>
                <w:sz w:val="20"/>
                <w:szCs w:val="20"/>
              </w:rPr>
              <w:t>.</w:t>
            </w:r>
          </w:p>
        </w:tc>
        <w:tc>
          <w:tcPr>
            <w:tcW w:w="959" w:type="dxa"/>
          </w:tcPr>
          <w:p w:rsidR="003217B9" w:rsidRPr="005224EA" w:rsidRDefault="003217B9" w:rsidP="00A51750">
            <w:pPr>
              <w:pStyle w:val="Tabletype2"/>
              <w:jc w:val="center"/>
              <w:rPr>
                <w:rFonts w:asciiTheme="minorHAnsi" w:hAnsiTheme="minorHAnsi" w:cstheme="minorHAnsi"/>
                <w:sz w:val="20"/>
                <w:szCs w:val="20"/>
              </w:rPr>
            </w:pPr>
            <w:r w:rsidRPr="005224EA">
              <w:rPr>
                <w:rFonts w:asciiTheme="minorHAnsi" w:hAnsiTheme="minorHAnsi" w:cstheme="minorHAnsi"/>
                <w:sz w:val="22"/>
              </w:rPr>
              <w:sym w:font="Wingdings" w:char="F06F"/>
            </w:r>
            <w:r w:rsidRPr="005224EA">
              <w:rPr>
                <w:rFonts w:asciiTheme="minorHAnsi" w:hAnsiTheme="minorHAnsi" w:cstheme="minorHAnsi"/>
              </w:rPr>
              <w:t xml:space="preserve"> 2</w:t>
            </w:r>
          </w:p>
        </w:tc>
      </w:tr>
      <w:tr w:rsidR="003217B9" w:rsidRPr="005224EA" w:rsidTr="00FF73CF">
        <w:tc>
          <w:tcPr>
            <w:tcW w:w="8080" w:type="dxa"/>
          </w:tcPr>
          <w:p w:rsidR="003217B9" w:rsidRPr="005224EA" w:rsidRDefault="003217B9" w:rsidP="00536EB7">
            <w:pPr>
              <w:pStyle w:val="numberedtableheader3"/>
              <w:numPr>
                <w:ilvl w:val="0"/>
                <w:numId w:val="7"/>
              </w:numPr>
              <w:ind w:left="360"/>
              <w:jc w:val="left"/>
              <w:rPr>
                <w:rFonts w:asciiTheme="minorHAnsi" w:hAnsiTheme="minorHAnsi" w:cstheme="minorHAnsi"/>
                <w:sz w:val="20"/>
                <w:szCs w:val="20"/>
              </w:rPr>
            </w:pPr>
            <w:r w:rsidRPr="005224EA">
              <w:rPr>
                <w:rFonts w:asciiTheme="minorHAnsi" w:hAnsiTheme="minorHAnsi" w:cstheme="minorHAnsi"/>
                <w:sz w:val="20"/>
                <w:szCs w:val="20"/>
              </w:rPr>
              <w:t>Moderate impairment</w:t>
            </w:r>
          </w:p>
          <w:p w:rsidR="003217B9" w:rsidRPr="005224EA" w:rsidRDefault="003217B9" w:rsidP="00A51750">
            <w:pPr>
              <w:pStyle w:val="Tabletype2"/>
              <w:rPr>
                <w:rFonts w:asciiTheme="minorHAnsi" w:hAnsiTheme="minorHAnsi" w:cstheme="minorHAnsi"/>
                <w:sz w:val="20"/>
                <w:szCs w:val="20"/>
              </w:rPr>
            </w:pPr>
            <w:r w:rsidRPr="005224EA">
              <w:rPr>
                <w:rFonts w:asciiTheme="minorHAnsi" w:hAnsiTheme="minorHAnsi" w:cstheme="minorHAnsi"/>
                <w:sz w:val="20"/>
                <w:szCs w:val="20"/>
              </w:rPr>
              <w:t>SMMSE = 10-20</w:t>
            </w:r>
          </w:p>
          <w:p w:rsidR="003217B9" w:rsidRPr="005224EA" w:rsidRDefault="003217B9" w:rsidP="00A51750">
            <w:pPr>
              <w:pStyle w:val="Tabletype2"/>
              <w:rPr>
                <w:rFonts w:asciiTheme="minorHAnsi" w:hAnsiTheme="minorHAnsi" w:cstheme="minorHAnsi"/>
                <w:sz w:val="20"/>
                <w:szCs w:val="20"/>
              </w:rPr>
            </w:pPr>
            <w:r w:rsidRPr="005224EA">
              <w:rPr>
                <w:rFonts w:asciiTheme="minorHAnsi" w:hAnsiTheme="minorHAnsi" w:cstheme="minorHAnsi"/>
                <w:sz w:val="20"/>
                <w:szCs w:val="20"/>
              </w:rPr>
              <w:t>If SMMSE assessment is inappropriate:</w:t>
            </w:r>
          </w:p>
          <w:p w:rsidR="003217B9" w:rsidRPr="005224EA" w:rsidRDefault="003217B9" w:rsidP="00A51750">
            <w:pPr>
              <w:pStyle w:val="Tabletype2"/>
              <w:rPr>
                <w:rFonts w:asciiTheme="minorHAnsi" w:hAnsiTheme="minorHAnsi" w:cstheme="minorHAnsi"/>
                <w:sz w:val="20"/>
                <w:szCs w:val="20"/>
              </w:rPr>
            </w:pPr>
            <w:r w:rsidRPr="005224EA">
              <w:rPr>
                <w:rFonts w:asciiTheme="minorHAnsi" w:hAnsiTheme="minorHAnsi" w:cstheme="minorHAnsi"/>
                <w:sz w:val="20"/>
                <w:szCs w:val="20"/>
              </w:rPr>
              <w:t>Has significant problems in the performance of everyday activities, requires supervision and some assistance.</w:t>
            </w:r>
          </w:p>
          <w:p w:rsidR="003217B9" w:rsidRPr="005224EA" w:rsidRDefault="003217B9" w:rsidP="00A51750">
            <w:pPr>
              <w:pStyle w:val="Tabletype2"/>
              <w:spacing w:after="40"/>
              <w:ind w:left="1418" w:hanging="1418"/>
              <w:rPr>
                <w:rFonts w:asciiTheme="minorHAnsi" w:hAnsiTheme="minorHAnsi" w:cstheme="minorHAnsi"/>
                <w:sz w:val="20"/>
                <w:szCs w:val="20"/>
              </w:rPr>
            </w:pPr>
            <w:r w:rsidRPr="005224EA">
              <w:rPr>
                <w:rFonts w:asciiTheme="minorHAnsi" w:hAnsiTheme="minorHAnsi" w:cstheme="minorHAnsi"/>
                <w:sz w:val="20"/>
                <w:szCs w:val="20"/>
              </w:rPr>
              <w:t>Memory:</w:t>
            </w:r>
            <w:r w:rsidRPr="005224EA">
              <w:rPr>
                <w:rFonts w:asciiTheme="minorHAnsi" w:hAnsiTheme="minorHAnsi" w:cstheme="minorHAnsi"/>
                <w:sz w:val="20"/>
                <w:szCs w:val="20"/>
              </w:rPr>
              <w:tab/>
              <w:t>WORLD spelling, language and 3 step commands. New material rapidly lost, only highly learned material retained</w:t>
            </w:r>
            <w:r w:rsidR="00CB3B96">
              <w:rPr>
                <w:rFonts w:asciiTheme="minorHAnsi" w:hAnsiTheme="minorHAnsi" w:cstheme="minorHAnsi"/>
                <w:sz w:val="20"/>
                <w:szCs w:val="20"/>
              </w:rPr>
              <w:t>.</w:t>
            </w:r>
          </w:p>
          <w:p w:rsidR="00980F62" w:rsidRDefault="003217B9" w:rsidP="00A51750">
            <w:pPr>
              <w:pStyle w:val="Tabletype2"/>
              <w:spacing w:after="40"/>
              <w:ind w:left="1418" w:hanging="1418"/>
              <w:rPr>
                <w:rFonts w:asciiTheme="minorHAnsi" w:hAnsiTheme="minorHAnsi" w:cstheme="minorHAnsi"/>
                <w:sz w:val="20"/>
                <w:szCs w:val="20"/>
              </w:rPr>
            </w:pPr>
            <w:r w:rsidRPr="005224EA">
              <w:rPr>
                <w:rFonts w:asciiTheme="minorHAnsi" w:hAnsiTheme="minorHAnsi" w:cstheme="minorHAnsi"/>
                <w:sz w:val="20"/>
                <w:szCs w:val="20"/>
              </w:rPr>
              <w:t xml:space="preserve">Personal care: </w:t>
            </w:r>
            <w:r w:rsidRPr="005224EA">
              <w:rPr>
                <w:rFonts w:asciiTheme="minorHAnsi" w:hAnsiTheme="minorHAnsi" w:cstheme="minorHAnsi"/>
                <w:sz w:val="20"/>
                <w:szCs w:val="20"/>
              </w:rPr>
              <w:tab/>
              <w:t>Requires physical assistance with some ADLs (e.g. dressing, washing body, toileting)</w:t>
            </w:r>
            <w:r w:rsidR="00CB3B96">
              <w:rPr>
                <w:rFonts w:asciiTheme="minorHAnsi" w:hAnsiTheme="minorHAnsi" w:cstheme="minorHAnsi"/>
                <w:sz w:val="20"/>
                <w:szCs w:val="20"/>
              </w:rPr>
              <w:t>.</w:t>
            </w:r>
          </w:p>
          <w:p w:rsidR="00980F62" w:rsidRDefault="003217B9" w:rsidP="00A51750">
            <w:pPr>
              <w:pStyle w:val="Tabletype2"/>
              <w:spacing w:after="40"/>
              <w:ind w:left="1418" w:hanging="1418"/>
              <w:rPr>
                <w:rFonts w:asciiTheme="minorHAnsi" w:hAnsiTheme="minorHAnsi" w:cstheme="minorHAnsi"/>
                <w:sz w:val="20"/>
                <w:szCs w:val="20"/>
              </w:rPr>
            </w:pPr>
            <w:r w:rsidRPr="005224EA">
              <w:rPr>
                <w:rFonts w:asciiTheme="minorHAnsi" w:hAnsiTheme="minorHAnsi" w:cstheme="minorHAnsi"/>
                <w:sz w:val="20"/>
                <w:szCs w:val="20"/>
              </w:rPr>
              <w:t>Orientation:</w:t>
            </w:r>
            <w:r w:rsidRPr="005224EA">
              <w:rPr>
                <w:rFonts w:asciiTheme="minorHAnsi" w:hAnsiTheme="minorHAnsi" w:cstheme="minorHAnsi"/>
                <w:sz w:val="20"/>
                <w:szCs w:val="20"/>
              </w:rPr>
              <w:tab/>
              <w:t>Disorientation to time and place is likely</w:t>
            </w:r>
            <w:r w:rsidR="00CB3B96">
              <w:rPr>
                <w:rFonts w:asciiTheme="minorHAnsi" w:hAnsiTheme="minorHAnsi" w:cstheme="minorHAnsi"/>
                <w:sz w:val="20"/>
                <w:szCs w:val="20"/>
              </w:rPr>
              <w:t>.</w:t>
            </w:r>
          </w:p>
          <w:p w:rsidR="003217B9" w:rsidRPr="005224EA" w:rsidRDefault="003217B9" w:rsidP="00A51750">
            <w:pPr>
              <w:pStyle w:val="Tabletype2"/>
              <w:spacing w:after="40"/>
              <w:ind w:left="1418" w:hanging="1418"/>
              <w:rPr>
                <w:rFonts w:asciiTheme="minorHAnsi" w:hAnsiTheme="minorHAnsi" w:cstheme="minorHAnsi"/>
                <w:sz w:val="20"/>
                <w:szCs w:val="20"/>
              </w:rPr>
            </w:pPr>
            <w:r w:rsidRPr="005224EA">
              <w:rPr>
                <w:rFonts w:asciiTheme="minorHAnsi" w:hAnsiTheme="minorHAnsi" w:cstheme="minorHAnsi"/>
                <w:sz w:val="20"/>
                <w:szCs w:val="20"/>
              </w:rPr>
              <w:t>Communication:</w:t>
            </w:r>
            <w:r w:rsidRPr="005224EA">
              <w:rPr>
                <w:rFonts w:asciiTheme="minorHAnsi" w:hAnsiTheme="minorHAnsi" w:cstheme="minorHAnsi"/>
                <w:sz w:val="20"/>
                <w:szCs w:val="20"/>
              </w:rPr>
              <w:tab/>
              <w:t>Possibly sentence fragments, empty speech, vague terms (i.e. this, that)</w:t>
            </w:r>
            <w:r w:rsidR="00CB3B96">
              <w:rPr>
                <w:rFonts w:asciiTheme="minorHAnsi" w:hAnsiTheme="minorHAnsi" w:cstheme="minorHAnsi"/>
                <w:sz w:val="20"/>
                <w:szCs w:val="20"/>
              </w:rPr>
              <w:t>.</w:t>
            </w:r>
          </w:p>
        </w:tc>
        <w:tc>
          <w:tcPr>
            <w:tcW w:w="959" w:type="dxa"/>
          </w:tcPr>
          <w:p w:rsidR="003217B9" w:rsidRPr="005224EA" w:rsidRDefault="003217B9" w:rsidP="00A51750">
            <w:pPr>
              <w:pStyle w:val="Tabletype2"/>
              <w:jc w:val="center"/>
              <w:rPr>
                <w:rFonts w:asciiTheme="minorHAnsi" w:hAnsiTheme="minorHAnsi" w:cstheme="minorHAnsi"/>
                <w:sz w:val="20"/>
                <w:szCs w:val="20"/>
              </w:rPr>
            </w:pPr>
            <w:r w:rsidRPr="005224EA">
              <w:rPr>
                <w:rFonts w:asciiTheme="minorHAnsi" w:hAnsiTheme="minorHAnsi" w:cstheme="minorHAnsi"/>
                <w:sz w:val="22"/>
              </w:rPr>
              <w:sym w:font="Wingdings" w:char="F06F"/>
            </w:r>
            <w:r w:rsidRPr="005224EA">
              <w:rPr>
                <w:rFonts w:asciiTheme="minorHAnsi" w:hAnsiTheme="minorHAnsi" w:cstheme="minorHAnsi"/>
              </w:rPr>
              <w:t xml:space="preserve"> 3</w:t>
            </w:r>
          </w:p>
        </w:tc>
      </w:tr>
      <w:tr w:rsidR="003217B9" w:rsidRPr="005224EA" w:rsidTr="00FF73CF">
        <w:tc>
          <w:tcPr>
            <w:tcW w:w="8080" w:type="dxa"/>
          </w:tcPr>
          <w:p w:rsidR="003217B9" w:rsidRPr="005224EA" w:rsidRDefault="003217B9" w:rsidP="00536EB7">
            <w:pPr>
              <w:pStyle w:val="numberedtableheader3"/>
              <w:numPr>
                <w:ilvl w:val="0"/>
                <w:numId w:val="7"/>
              </w:numPr>
              <w:ind w:left="360"/>
              <w:jc w:val="left"/>
              <w:rPr>
                <w:rFonts w:asciiTheme="minorHAnsi" w:hAnsiTheme="minorHAnsi" w:cstheme="minorHAnsi"/>
                <w:sz w:val="20"/>
                <w:szCs w:val="20"/>
              </w:rPr>
            </w:pPr>
            <w:r w:rsidRPr="005224EA">
              <w:rPr>
                <w:rFonts w:asciiTheme="minorHAnsi" w:hAnsiTheme="minorHAnsi" w:cstheme="minorHAnsi"/>
                <w:sz w:val="20"/>
                <w:szCs w:val="20"/>
              </w:rPr>
              <w:t>Severe impairment</w:t>
            </w:r>
          </w:p>
          <w:p w:rsidR="00980F62" w:rsidRDefault="003217B9" w:rsidP="00A51750">
            <w:pPr>
              <w:pStyle w:val="Tabletype2"/>
              <w:rPr>
                <w:rFonts w:asciiTheme="minorHAnsi" w:hAnsiTheme="minorHAnsi" w:cstheme="minorHAnsi"/>
                <w:sz w:val="20"/>
                <w:szCs w:val="20"/>
              </w:rPr>
            </w:pPr>
            <w:r w:rsidRPr="005224EA">
              <w:rPr>
                <w:rFonts w:asciiTheme="minorHAnsi" w:hAnsiTheme="minorHAnsi" w:cstheme="minorHAnsi"/>
                <w:sz w:val="20"/>
                <w:szCs w:val="20"/>
              </w:rPr>
              <w:t>SMMSE = 0-9</w:t>
            </w:r>
          </w:p>
          <w:p w:rsidR="00980F62" w:rsidRDefault="003217B9" w:rsidP="00A51750">
            <w:pPr>
              <w:pStyle w:val="Tabletype2"/>
              <w:rPr>
                <w:rFonts w:asciiTheme="minorHAnsi" w:hAnsiTheme="minorHAnsi" w:cstheme="minorHAnsi"/>
                <w:sz w:val="20"/>
                <w:szCs w:val="20"/>
              </w:rPr>
            </w:pPr>
            <w:r w:rsidRPr="005224EA">
              <w:rPr>
                <w:rFonts w:asciiTheme="minorHAnsi" w:hAnsiTheme="minorHAnsi" w:cstheme="minorHAnsi"/>
                <w:sz w:val="20"/>
                <w:szCs w:val="20"/>
              </w:rPr>
              <w:t>If SMMSE assessment is inappropriate:</w:t>
            </w:r>
          </w:p>
          <w:p w:rsidR="003217B9" w:rsidRPr="005224EA" w:rsidRDefault="003217B9" w:rsidP="00A51750">
            <w:pPr>
              <w:pStyle w:val="Tabletype2"/>
              <w:rPr>
                <w:rFonts w:asciiTheme="minorHAnsi" w:hAnsiTheme="minorHAnsi" w:cstheme="minorHAnsi"/>
                <w:sz w:val="20"/>
                <w:szCs w:val="20"/>
              </w:rPr>
            </w:pPr>
            <w:r w:rsidRPr="005224EA">
              <w:rPr>
                <w:rFonts w:asciiTheme="minorHAnsi" w:hAnsiTheme="minorHAnsi" w:cstheme="minorHAnsi"/>
                <w:sz w:val="20"/>
                <w:szCs w:val="20"/>
              </w:rPr>
              <w:t>Has severe problems in everyday activities and requires full assistance as unable to respond to prompts and directions.</w:t>
            </w:r>
          </w:p>
          <w:p w:rsidR="00980F62" w:rsidRDefault="003217B9" w:rsidP="00A51750">
            <w:pPr>
              <w:pStyle w:val="Tabletype2"/>
              <w:spacing w:after="40"/>
              <w:ind w:left="1418" w:hanging="1418"/>
              <w:rPr>
                <w:rFonts w:asciiTheme="minorHAnsi" w:hAnsiTheme="minorHAnsi" w:cstheme="minorHAnsi"/>
                <w:sz w:val="20"/>
                <w:szCs w:val="20"/>
              </w:rPr>
            </w:pPr>
            <w:r w:rsidRPr="005224EA">
              <w:rPr>
                <w:rFonts w:asciiTheme="minorHAnsi" w:hAnsiTheme="minorHAnsi" w:cstheme="minorHAnsi"/>
                <w:sz w:val="20"/>
                <w:szCs w:val="20"/>
              </w:rPr>
              <w:t>Memory:</w:t>
            </w:r>
            <w:r w:rsidRPr="005224EA">
              <w:rPr>
                <w:rFonts w:asciiTheme="minorHAnsi" w:hAnsiTheme="minorHAnsi" w:cstheme="minorHAnsi"/>
                <w:sz w:val="20"/>
                <w:szCs w:val="20"/>
              </w:rPr>
              <w:tab/>
              <w:t>All areas show obvious deficits. Only fragments of past events remain</w:t>
            </w:r>
            <w:r w:rsidR="00CB3B96">
              <w:rPr>
                <w:rFonts w:asciiTheme="minorHAnsi" w:hAnsiTheme="minorHAnsi" w:cstheme="minorHAnsi"/>
                <w:sz w:val="20"/>
                <w:szCs w:val="20"/>
              </w:rPr>
              <w:t>.</w:t>
            </w:r>
          </w:p>
          <w:p w:rsidR="00980F62" w:rsidRDefault="003217B9" w:rsidP="00A51750">
            <w:pPr>
              <w:pStyle w:val="Tabletype2"/>
              <w:spacing w:after="40"/>
              <w:ind w:left="1418" w:hanging="1418"/>
              <w:rPr>
                <w:rFonts w:asciiTheme="minorHAnsi" w:hAnsiTheme="minorHAnsi" w:cstheme="minorHAnsi"/>
                <w:sz w:val="20"/>
                <w:szCs w:val="20"/>
              </w:rPr>
            </w:pPr>
            <w:r w:rsidRPr="005224EA">
              <w:rPr>
                <w:rFonts w:asciiTheme="minorHAnsi" w:hAnsiTheme="minorHAnsi" w:cstheme="minorHAnsi"/>
                <w:sz w:val="20"/>
                <w:szCs w:val="20"/>
              </w:rPr>
              <w:t xml:space="preserve">Personal care: </w:t>
            </w:r>
            <w:r w:rsidRPr="005224EA">
              <w:rPr>
                <w:rFonts w:asciiTheme="minorHAnsi" w:hAnsiTheme="minorHAnsi" w:cstheme="minorHAnsi"/>
                <w:sz w:val="20"/>
                <w:szCs w:val="20"/>
              </w:rPr>
              <w:tab/>
              <w:t>Requires full assistance with most or all ADLs related to cognitive impairment</w:t>
            </w:r>
            <w:r w:rsidR="00CB3B96">
              <w:rPr>
                <w:rFonts w:asciiTheme="minorHAnsi" w:hAnsiTheme="minorHAnsi" w:cstheme="minorHAnsi"/>
                <w:sz w:val="20"/>
                <w:szCs w:val="20"/>
              </w:rPr>
              <w:t>.</w:t>
            </w:r>
          </w:p>
          <w:p w:rsidR="003217B9" w:rsidRPr="005224EA" w:rsidRDefault="003217B9" w:rsidP="00A51750">
            <w:pPr>
              <w:pStyle w:val="Tabletype2"/>
              <w:spacing w:after="40"/>
              <w:ind w:left="1418" w:hanging="1418"/>
              <w:rPr>
                <w:rFonts w:asciiTheme="minorHAnsi" w:hAnsiTheme="minorHAnsi" w:cstheme="minorHAnsi"/>
                <w:sz w:val="20"/>
                <w:szCs w:val="20"/>
              </w:rPr>
            </w:pPr>
            <w:r w:rsidRPr="005224EA">
              <w:rPr>
                <w:rFonts w:asciiTheme="minorHAnsi" w:hAnsiTheme="minorHAnsi" w:cstheme="minorHAnsi"/>
                <w:sz w:val="20"/>
                <w:szCs w:val="20"/>
              </w:rPr>
              <w:t xml:space="preserve">Orientation: </w:t>
            </w:r>
            <w:r w:rsidRPr="005224EA">
              <w:rPr>
                <w:rFonts w:asciiTheme="minorHAnsi" w:hAnsiTheme="minorHAnsi" w:cstheme="minorHAnsi"/>
                <w:sz w:val="20"/>
                <w:szCs w:val="20"/>
              </w:rPr>
              <w:tab/>
              <w:t>Orientation to person only</w:t>
            </w:r>
            <w:r w:rsidR="00CB3B96">
              <w:rPr>
                <w:rFonts w:asciiTheme="minorHAnsi" w:hAnsiTheme="minorHAnsi" w:cstheme="minorHAnsi"/>
                <w:sz w:val="20"/>
                <w:szCs w:val="20"/>
              </w:rPr>
              <w:t>.</w:t>
            </w:r>
          </w:p>
          <w:p w:rsidR="003217B9" w:rsidRPr="005224EA" w:rsidRDefault="003217B9" w:rsidP="00A51750">
            <w:pPr>
              <w:pStyle w:val="Tabletype2"/>
              <w:spacing w:after="40"/>
              <w:ind w:left="1418" w:hanging="1418"/>
              <w:rPr>
                <w:rFonts w:asciiTheme="minorHAnsi" w:hAnsiTheme="minorHAnsi" w:cstheme="minorHAnsi"/>
                <w:sz w:val="20"/>
                <w:szCs w:val="20"/>
              </w:rPr>
            </w:pPr>
            <w:r w:rsidRPr="005224EA">
              <w:rPr>
                <w:rFonts w:asciiTheme="minorHAnsi" w:hAnsiTheme="minorHAnsi" w:cstheme="minorHAnsi"/>
                <w:sz w:val="20"/>
                <w:szCs w:val="20"/>
              </w:rPr>
              <w:t xml:space="preserve">Communication: </w:t>
            </w:r>
            <w:r w:rsidRPr="005224EA">
              <w:rPr>
                <w:rFonts w:asciiTheme="minorHAnsi" w:hAnsiTheme="minorHAnsi" w:cstheme="minorHAnsi"/>
                <w:sz w:val="20"/>
                <w:szCs w:val="20"/>
              </w:rPr>
              <w:tab/>
              <w:t>Speech disturbances (i.e. slurring, stuttering) are common</w:t>
            </w:r>
            <w:r w:rsidR="00CB3B96">
              <w:rPr>
                <w:rFonts w:asciiTheme="minorHAnsi" w:hAnsiTheme="minorHAnsi" w:cstheme="minorHAnsi"/>
                <w:sz w:val="20"/>
                <w:szCs w:val="20"/>
              </w:rPr>
              <w:t>.</w:t>
            </w:r>
          </w:p>
        </w:tc>
        <w:tc>
          <w:tcPr>
            <w:tcW w:w="959" w:type="dxa"/>
          </w:tcPr>
          <w:p w:rsidR="003217B9" w:rsidRPr="005224EA" w:rsidRDefault="003217B9" w:rsidP="00A51750">
            <w:pPr>
              <w:pStyle w:val="Tabletype2"/>
              <w:jc w:val="center"/>
              <w:rPr>
                <w:rFonts w:asciiTheme="minorHAnsi" w:hAnsiTheme="minorHAnsi" w:cstheme="minorHAnsi"/>
                <w:sz w:val="20"/>
                <w:szCs w:val="20"/>
              </w:rPr>
            </w:pPr>
            <w:r w:rsidRPr="005224EA">
              <w:rPr>
                <w:rFonts w:asciiTheme="minorHAnsi" w:hAnsiTheme="minorHAnsi" w:cstheme="minorHAnsi"/>
                <w:sz w:val="22"/>
              </w:rPr>
              <w:sym w:font="Wingdings" w:char="F06F"/>
            </w:r>
            <w:r w:rsidRPr="005224EA">
              <w:rPr>
                <w:rFonts w:asciiTheme="minorHAnsi" w:hAnsiTheme="minorHAnsi" w:cstheme="minorHAnsi"/>
              </w:rPr>
              <w:t xml:space="preserve"> 4</w:t>
            </w:r>
          </w:p>
        </w:tc>
      </w:tr>
    </w:tbl>
    <w:bookmarkEnd w:id="364"/>
    <w:p w:rsidR="003217B9" w:rsidRPr="001443BC" w:rsidRDefault="001F09F2" w:rsidP="001F2491">
      <w:pPr>
        <w:pStyle w:val="Heading3-Chapter54"/>
      </w:pPr>
      <w:r w:rsidRPr="001443BC">
        <w:lastRenderedPageBreak/>
        <w:t>Recommended Use</w:t>
      </w:r>
      <w:r w:rsidR="00A2245F" w:rsidRPr="001443BC">
        <w:t>r</w:t>
      </w:r>
      <w:r w:rsidRPr="001443BC">
        <w:t xml:space="preserve"> Guide </w:t>
      </w:r>
      <w:r w:rsidR="003217B9" w:rsidRPr="001443BC">
        <w:t xml:space="preserve">R-ACFI Format for </w:t>
      </w:r>
      <w:r w:rsidR="00624E60" w:rsidRPr="001443BC">
        <w:t xml:space="preserve">the </w:t>
      </w:r>
      <w:r w:rsidR="003217B9" w:rsidRPr="001443BC">
        <w:t>Behaviour Question</w:t>
      </w:r>
    </w:p>
    <w:p w:rsidR="003217B9" w:rsidRDefault="003217B9" w:rsidP="005613C7">
      <w:pPr>
        <w:rPr>
          <w:szCs w:val="24"/>
        </w:rPr>
      </w:pPr>
      <w:bookmarkStart w:id="365" w:name="_Toc468893827"/>
      <w:bookmarkEnd w:id="363"/>
      <w:r w:rsidRPr="004D324E">
        <w:rPr>
          <w:rStyle w:val="Strong"/>
        </w:rPr>
        <w:t>Description:</w:t>
      </w:r>
      <w:r w:rsidRPr="005224EA">
        <w:rPr>
          <w:b/>
          <w:szCs w:val="24"/>
        </w:rPr>
        <w:t xml:space="preserve"> </w:t>
      </w:r>
      <w:r w:rsidRPr="00DE1E50">
        <w:rPr>
          <w:szCs w:val="24"/>
        </w:rPr>
        <w:t xml:space="preserve">This question relates to seven behaviour types as described in </w:t>
      </w:r>
      <w:r w:rsidR="00805526">
        <w:rPr>
          <w:szCs w:val="24"/>
        </w:rPr>
        <w:t>the R-ACFI 7 Behaviour Checklist ratings.</w:t>
      </w:r>
    </w:p>
    <w:p w:rsidR="005613C7" w:rsidRDefault="005613C7" w:rsidP="005613C7">
      <w:pPr>
        <w:rPr>
          <w:color w:val="000000" w:themeColor="text1"/>
          <w:szCs w:val="24"/>
        </w:rPr>
      </w:pPr>
      <w:r w:rsidRPr="005224EA">
        <w:rPr>
          <w:color w:val="000000" w:themeColor="text1"/>
          <w:szCs w:val="24"/>
        </w:rPr>
        <w:t>All behaviours must have occurred in a 1-week period (within the Appraisal period).</w:t>
      </w:r>
    </w:p>
    <w:p w:rsidR="005613C7" w:rsidRPr="005224EA" w:rsidRDefault="00805526" w:rsidP="005613C7">
      <w:pPr>
        <w:rPr>
          <w:szCs w:val="24"/>
        </w:rPr>
      </w:pPr>
      <w:r>
        <w:rPr>
          <w:bCs/>
          <w:szCs w:val="24"/>
          <w:lang w:eastAsia="en-AU"/>
        </w:rPr>
        <w:t>There are two aspects of the behaviour to be recorded as follows:</w:t>
      </w:r>
    </w:p>
    <w:p w:rsidR="00980F62" w:rsidRDefault="005613C7" w:rsidP="00557DB1">
      <w:pPr>
        <w:pStyle w:val="ListParagraph"/>
        <w:numPr>
          <w:ilvl w:val="0"/>
          <w:numId w:val="23"/>
        </w:numPr>
        <w:rPr>
          <w:szCs w:val="24"/>
        </w:rPr>
      </w:pPr>
      <w:r>
        <w:rPr>
          <w:szCs w:val="24"/>
        </w:rPr>
        <w:t>T</w:t>
      </w:r>
      <w:r w:rsidRPr="005224EA">
        <w:rPr>
          <w:szCs w:val="24"/>
        </w:rPr>
        <w:t xml:space="preserve">he behaviour frequencies are (1) </w:t>
      </w:r>
      <w:r>
        <w:rPr>
          <w:szCs w:val="24"/>
        </w:rPr>
        <w:t>less than daily, (2) daily, (3) twice a day, every day (4</w:t>
      </w:r>
      <w:r w:rsidRPr="005224EA">
        <w:rPr>
          <w:szCs w:val="24"/>
        </w:rPr>
        <w:t xml:space="preserve">) </w:t>
      </w:r>
      <w:r>
        <w:rPr>
          <w:szCs w:val="24"/>
        </w:rPr>
        <w:t xml:space="preserve">more than twice </w:t>
      </w:r>
      <w:r w:rsidRPr="005224EA">
        <w:rPr>
          <w:szCs w:val="24"/>
        </w:rPr>
        <w:t>per day</w:t>
      </w:r>
      <w:r w:rsidR="00E35102">
        <w:rPr>
          <w:szCs w:val="24"/>
        </w:rPr>
        <w:t xml:space="preserve">, </w:t>
      </w:r>
      <w:r>
        <w:rPr>
          <w:szCs w:val="24"/>
        </w:rPr>
        <w:t>every day</w:t>
      </w:r>
      <w:r w:rsidRPr="005224EA">
        <w:rPr>
          <w:szCs w:val="24"/>
        </w:rPr>
        <w:t>.</w:t>
      </w:r>
    </w:p>
    <w:p w:rsidR="005613C7" w:rsidRPr="005224EA" w:rsidRDefault="005613C7" w:rsidP="00557DB1">
      <w:pPr>
        <w:pStyle w:val="ListParagraph"/>
        <w:numPr>
          <w:ilvl w:val="0"/>
          <w:numId w:val="23"/>
        </w:numPr>
        <w:rPr>
          <w:szCs w:val="24"/>
        </w:rPr>
      </w:pPr>
      <w:r>
        <w:rPr>
          <w:szCs w:val="24"/>
        </w:rPr>
        <w:t>T</w:t>
      </w:r>
      <w:r w:rsidRPr="005224EA">
        <w:rPr>
          <w:szCs w:val="24"/>
        </w:rPr>
        <w:t>he disruptiveness ratings are (1) Not at all or mildly, (2) Moderately, (3) Severely and (4) Extremely.</w:t>
      </w:r>
    </w:p>
    <w:p w:rsidR="00980F62" w:rsidRDefault="005613C7" w:rsidP="00557DB1">
      <w:r w:rsidRPr="005224EA">
        <w:t>The final behaviour domain level is determined by a matrix covering disruptiveness and frequency.</w:t>
      </w:r>
    </w:p>
    <w:p w:rsidR="00980F62" w:rsidRDefault="005613C7" w:rsidP="00557DB1">
      <w:r w:rsidRPr="00805526">
        <w:t>A Mental and Behavioural diagnosis (excluding Depression) is required to receive the highest funding level in the Behaviour domain.</w:t>
      </w:r>
    </w:p>
    <w:p w:rsidR="001C7BFC" w:rsidRDefault="001C7BFC" w:rsidP="00557DB1">
      <w:r w:rsidRPr="001C7BFC">
        <w:t xml:space="preserve">A referral </w:t>
      </w:r>
      <w:r w:rsidR="00907EEE">
        <w:t xml:space="preserve">and review by </w:t>
      </w:r>
      <w:r w:rsidRPr="001C7BFC">
        <w:t>a Behaviour Specialist (e.g. DBMAS; Psychiatrist; Psychologist) and Behaviour Care Plan is also required to receive the highest funding level in the Behaviour domain.</w:t>
      </w:r>
    </w:p>
    <w:p w:rsidR="003A290B" w:rsidRPr="003A55D6" w:rsidRDefault="003217B9" w:rsidP="00557DB1">
      <w:r w:rsidRPr="004D324E">
        <w:rPr>
          <w:rStyle w:val="Strong"/>
        </w:rPr>
        <w:t>Requirements:</w:t>
      </w:r>
      <w:r w:rsidRPr="005224EA">
        <w:rPr>
          <w:b/>
        </w:rPr>
        <w:t xml:space="preserve"> </w:t>
      </w:r>
      <w:r w:rsidRPr="005224EA">
        <w:t>The mandated evidence requirements are</w:t>
      </w:r>
      <w:r w:rsidR="003A290B" w:rsidRPr="003A55D6">
        <w:t>:</w:t>
      </w:r>
    </w:p>
    <w:p w:rsidR="00980F62" w:rsidRDefault="005224EA" w:rsidP="00AA6B2F">
      <w:pPr>
        <w:pStyle w:val="ListParagraph"/>
        <w:numPr>
          <w:ilvl w:val="3"/>
          <w:numId w:val="22"/>
        </w:numPr>
        <w:spacing w:before="120" w:after="0"/>
        <w:ind w:left="357" w:hanging="357"/>
        <w:contextualSpacing w:val="0"/>
        <w:rPr>
          <w:rStyle w:val="Strong"/>
        </w:rPr>
      </w:pPr>
      <w:r w:rsidRPr="00B0061D">
        <w:rPr>
          <w:rStyle w:val="Strong"/>
        </w:rPr>
        <w:t>Seven</w:t>
      </w:r>
      <w:r w:rsidR="003217B9" w:rsidRPr="00B0061D">
        <w:rPr>
          <w:rStyle w:val="Strong"/>
        </w:rPr>
        <w:t>-day Behaviour Record (for a RAC service)</w:t>
      </w:r>
    </w:p>
    <w:p w:rsidR="005613C7" w:rsidRDefault="005613C7" w:rsidP="005613C7">
      <w:r w:rsidRPr="005224EA">
        <w:rPr>
          <w:lang w:eastAsia="en-AU"/>
        </w:rPr>
        <w:t xml:space="preserve">The </w:t>
      </w:r>
      <w:r w:rsidRPr="00B33CC9">
        <w:rPr>
          <w:rStyle w:val="Strong"/>
        </w:rPr>
        <w:t>Behaviour Record</w:t>
      </w:r>
      <w:r w:rsidR="00DA66FF" w:rsidRPr="00B33CC9">
        <w:rPr>
          <w:rStyle w:val="Strong"/>
        </w:rPr>
        <w:t>s</w:t>
      </w:r>
      <w:r w:rsidRPr="00793CBB">
        <w:rPr>
          <w:color w:val="2F5496" w:themeColor="accent1" w:themeShade="BF"/>
          <w:lang w:eastAsia="en-AU"/>
        </w:rPr>
        <w:t xml:space="preserve"> </w:t>
      </w:r>
      <w:r w:rsidRPr="005224EA">
        <w:rPr>
          <w:lang w:eastAsia="en-AU"/>
        </w:rPr>
        <w:t>(Appen</w:t>
      </w:r>
      <w:r w:rsidR="00193020">
        <w:rPr>
          <w:lang w:eastAsia="en-AU"/>
        </w:rPr>
        <w:t>dix Table A5.3.6</w:t>
      </w:r>
      <w:r w:rsidR="00DA66FF">
        <w:rPr>
          <w:lang w:eastAsia="en-AU"/>
        </w:rPr>
        <w:t xml:space="preserve"> to A5.3.</w:t>
      </w:r>
      <w:r w:rsidR="00193020">
        <w:rPr>
          <w:lang w:eastAsia="en-AU"/>
        </w:rPr>
        <w:t>8</w:t>
      </w:r>
      <w:r w:rsidRPr="005224EA">
        <w:rPr>
          <w:lang w:eastAsia="en-AU"/>
        </w:rPr>
        <w:t xml:space="preserve">) </w:t>
      </w:r>
      <w:r w:rsidR="00DA66FF">
        <w:rPr>
          <w:lang w:eastAsia="en-AU"/>
        </w:rPr>
        <w:t>are</w:t>
      </w:r>
      <w:r w:rsidRPr="005224EA">
        <w:rPr>
          <w:lang w:eastAsia="en-AU"/>
        </w:rPr>
        <w:t xml:space="preserve"> mandated for the R</w:t>
      </w:r>
      <w:r>
        <w:rPr>
          <w:lang w:eastAsia="en-AU"/>
        </w:rPr>
        <w:t>esidential aged care s</w:t>
      </w:r>
      <w:r w:rsidR="00DA66FF">
        <w:rPr>
          <w:lang w:eastAsia="en-AU"/>
        </w:rPr>
        <w:t>ervice as evidence of the f</w:t>
      </w:r>
      <w:r w:rsidRPr="005224EA">
        <w:rPr>
          <w:lang w:eastAsia="en-AU"/>
        </w:rPr>
        <w:t xml:space="preserve">requency rating, and must be available for review. </w:t>
      </w:r>
      <w:r w:rsidR="00DA66FF">
        <w:t>The codes in the Behaviour</w:t>
      </w:r>
      <w:r w:rsidRPr="005224EA">
        <w:t xml:space="preserve"> record</w:t>
      </w:r>
      <w:r w:rsidR="00DA66FF">
        <w:t>s</w:t>
      </w:r>
      <w:r w:rsidRPr="005224EA">
        <w:t xml:space="preserve"> must be completed according to the description of behavioural </w:t>
      </w:r>
      <w:r w:rsidR="00DA66FF" w:rsidRPr="00DA66FF">
        <w:t>symptoms in Appendix Table A5.3.3</w:t>
      </w:r>
      <w:r w:rsidRPr="00DA66FF">
        <w:t xml:space="preserve">. </w:t>
      </w:r>
      <w:r w:rsidRPr="005224EA">
        <w:t>In exceptional circumstances where the resident is unavailable in a 24-hour period, then an extra 24 hours can be taken, and the reason noted on the record.</w:t>
      </w:r>
    </w:p>
    <w:p w:rsidR="00980F62" w:rsidRDefault="00B56308" w:rsidP="00B56308">
      <w:pPr>
        <w:rPr>
          <w:szCs w:val="24"/>
        </w:rPr>
      </w:pPr>
      <w:r>
        <w:rPr>
          <w:szCs w:val="24"/>
        </w:rPr>
        <w:t xml:space="preserve">The frequency information </w:t>
      </w:r>
      <w:r w:rsidR="00793CBB">
        <w:rPr>
          <w:szCs w:val="24"/>
        </w:rPr>
        <w:t xml:space="preserve">is </w:t>
      </w:r>
      <w:r>
        <w:rPr>
          <w:szCs w:val="24"/>
        </w:rPr>
        <w:t>collected in the seven-day Behaviour Record</w:t>
      </w:r>
      <w:r w:rsidR="006C1AAA">
        <w:rPr>
          <w:szCs w:val="24"/>
        </w:rPr>
        <w:t>s:</w:t>
      </w:r>
    </w:p>
    <w:p w:rsidR="005613C7" w:rsidRPr="005C379E" w:rsidRDefault="005613C7" w:rsidP="00AA6B2F">
      <w:pPr>
        <w:pStyle w:val="ListParagraph"/>
        <w:numPr>
          <w:ilvl w:val="0"/>
          <w:numId w:val="143"/>
        </w:numPr>
        <w:spacing w:after="0"/>
        <w:ind w:left="426" w:hanging="426"/>
        <w:contextualSpacing w:val="0"/>
        <w:rPr>
          <w:i/>
          <w:szCs w:val="24"/>
        </w:rPr>
      </w:pPr>
      <w:r w:rsidRPr="005C379E">
        <w:rPr>
          <w:i/>
          <w:szCs w:val="24"/>
        </w:rPr>
        <w:t xml:space="preserve">Appendix Table </w:t>
      </w:r>
      <w:r w:rsidR="00193020" w:rsidRPr="005C379E">
        <w:rPr>
          <w:i/>
          <w:szCs w:val="24"/>
        </w:rPr>
        <w:t>A5.3.6</w:t>
      </w:r>
      <w:r w:rsidRPr="005C379E">
        <w:rPr>
          <w:i/>
          <w:szCs w:val="24"/>
        </w:rPr>
        <w:t xml:space="preserve"> – Wandering</w:t>
      </w:r>
      <w:r w:rsidR="00DA66FF" w:rsidRPr="005C379E">
        <w:rPr>
          <w:i/>
          <w:szCs w:val="24"/>
        </w:rPr>
        <w:t xml:space="preserve"> </w:t>
      </w:r>
      <w:r w:rsidR="00DA66FF" w:rsidRPr="005C379E">
        <w:rPr>
          <w:i/>
          <w:lang w:eastAsia="en-AU"/>
        </w:rPr>
        <w:t>Behaviour Record</w:t>
      </w:r>
    </w:p>
    <w:p w:rsidR="005613C7" w:rsidRPr="005C379E" w:rsidRDefault="005613C7" w:rsidP="00AA6B2F">
      <w:pPr>
        <w:pStyle w:val="ListParagraph"/>
        <w:numPr>
          <w:ilvl w:val="0"/>
          <w:numId w:val="143"/>
        </w:numPr>
        <w:spacing w:after="0"/>
        <w:ind w:left="426" w:hanging="426"/>
        <w:contextualSpacing w:val="0"/>
        <w:rPr>
          <w:i/>
          <w:szCs w:val="24"/>
        </w:rPr>
      </w:pPr>
      <w:r w:rsidRPr="005C379E">
        <w:rPr>
          <w:i/>
          <w:szCs w:val="24"/>
        </w:rPr>
        <w:t xml:space="preserve">Appendix Table </w:t>
      </w:r>
      <w:r w:rsidR="00193020" w:rsidRPr="005C379E">
        <w:rPr>
          <w:i/>
          <w:szCs w:val="24"/>
        </w:rPr>
        <w:t>A5.3.7</w:t>
      </w:r>
      <w:r w:rsidRPr="005C379E">
        <w:rPr>
          <w:i/>
          <w:szCs w:val="24"/>
        </w:rPr>
        <w:t xml:space="preserve"> – Verbal</w:t>
      </w:r>
      <w:r w:rsidR="00DA66FF" w:rsidRPr="005C379E">
        <w:rPr>
          <w:i/>
          <w:szCs w:val="24"/>
        </w:rPr>
        <w:t xml:space="preserve"> </w:t>
      </w:r>
      <w:r w:rsidR="00DA66FF" w:rsidRPr="005C379E">
        <w:rPr>
          <w:i/>
          <w:lang w:eastAsia="en-AU"/>
        </w:rPr>
        <w:t>Behaviour Record</w:t>
      </w:r>
    </w:p>
    <w:p w:rsidR="005613C7" w:rsidRPr="005C379E" w:rsidRDefault="005613C7" w:rsidP="00AA6B2F">
      <w:pPr>
        <w:pStyle w:val="ListParagraph"/>
        <w:numPr>
          <w:ilvl w:val="0"/>
          <w:numId w:val="143"/>
        </w:numPr>
        <w:spacing w:after="0"/>
        <w:ind w:left="426" w:hanging="426"/>
        <w:contextualSpacing w:val="0"/>
        <w:rPr>
          <w:i/>
          <w:szCs w:val="24"/>
        </w:rPr>
      </w:pPr>
      <w:r w:rsidRPr="005C379E">
        <w:rPr>
          <w:i/>
          <w:szCs w:val="24"/>
        </w:rPr>
        <w:t xml:space="preserve">Appendix Table </w:t>
      </w:r>
      <w:r w:rsidR="00193020" w:rsidRPr="005C379E">
        <w:rPr>
          <w:i/>
          <w:szCs w:val="24"/>
        </w:rPr>
        <w:t>A5.3.8</w:t>
      </w:r>
      <w:r w:rsidRPr="005C379E">
        <w:rPr>
          <w:i/>
          <w:szCs w:val="24"/>
        </w:rPr>
        <w:t xml:space="preserve"> – Physical</w:t>
      </w:r>
      <w:r w:rsidR="00DA66FF" w:rsidRPr="005C379E">
        <w:rPr>
          <w:i/>
          <w:szCs w:val="24"/>
        </w:rPr>
        <w:t xml:space="preserve"> </w:t>
      </w:r>
      <w:r w:rsidR="00DA66FF" w:rsidRPr="005C379E">
        <w:rPr>
          <w:i/>
          <w:lang w:eastAsia="en-AU"/>
        </w:rPr>
        <w:t>Behaviour Record</w:t>
      </w:r>
    </w:p>
    <w:p w:rsidR="00980F62" w:rsidRDefault="005224EA" w:rsidP="00AA6B2F">
      <w:pPr>
        <w:pStyle w:val="ListParagraph"/>
        <w:numPr>
          <w:ilvl w:val="3"/>
          <w:numId w:val="22"/>
        </w:numPr>
        <w:spacing w:before="120" w:after="0"/>
        <w:ind w:left="357" w:hanging="357"/>
        <w:contextualSpacing w:val="0"/>
        <w:rPr>
          <w:rStyle w:val="Strong"/>
        </w:rPr>
      </w:pPr>
      <w:r w:rsidRPr="00B0061D">
        <w:rPr>
          <w:rStyle w:val="Strong"/>
        </w:rPr>
        <w:t>A</w:t>
      </w:r>
      <w:r w:rsidR="00DA66FF" w:rsidRPr="00B0061D">
        <w:rPr>
          <w:rStyle w:val="Strong"/>
        </w:rPr>
        <w:t xml:space="preserve"> C</w:t>
      </w:r>
      <w:r w:rsidR="003217B9" w:rsidRPr="00B0061D">
        <w:rPr>
          <w:rStyle w:val="Strong"/>
        </w:rPr>
        <w:t>ompleted</w:t>
      </w:r>
      <w:r w:rsidR="00DE1E50" w:rsidRPr="00B0061D">
        <w:rPr>
          <w:rStyle w:val="Strong"/>
        </w:rPr>
        <w:t xml:space="preserve"> Behaviour Assessment Summary</w:t>
      </w:r>
    </w:p>
    <w:p w:rsidR="00772D3A" w:rsidRDefault="005613C7" w:rsidP="00793CBB">
      <w:pPr>
        <w:rPr>
          <w:lang w:eastAsia="en-AU"/>
        </w:rPr>
      </w:pPr>
      <w:bookmarkStart w:id="366" w:name="_Toc489255883"/>
      <w:bookmarkStart w:id="367" w:name="_Toc489337856"/>
      <w:bookmarkStart w:id="368" w:name="_Toc489338022"/>
      <w:r w:rsidRPr="00772D3A">
        <w:rPr>
          <w:lang w:eastAsia="en-AU"/>
        </w:rPr>
        <w:t xml:space="preserve">Completion of the </w:t>
      </w:r>
      <w:r w:rsidRPr="00B33CC9">
        <w:rPr>
          <w:rStyle w:val="Strong"/>
        </w:rPr>
        <w:t>Behaviour Assessment Summary</w:t>
      </w:r>
      <w:r w:rsidRPr="00793CBB">
        <w:rPr>
          <w:color w:val="2F5496" w:themeColor="accent1" w:themeShade="BF"/>
          <w:lang w:eastAsia="en-AU"/>
        </w:rPr>
        <w:t xml:space="preserve"> </w:t>
      </w:r>
      <w:r w:rsidR="00193020">
        <w:rPr>
          <w:lang w:eastAsia="en-AU"/>
        </w:rPr>
        <w:t>in Appendix Table A5.3.9</w:t>
      </w:r>
      <w:r w:rsidR="00772D3A">
        <w:rPr>
          <w:lang w:eastAsia="en-AU"/>
        </w:rPr>
        <w:t xml:space="preserve"> </w:t>
      </w:r>
      <w:r w:rsidRPr="00772D3A">
        <w:rPr>
          <w:lang w:eastAsia="en-AU"/>
        </w:rPr>
        <w:t>includes</w:t>
      </w:r>
      <w:r w:rsidR="00772D3A">
        <w:rPr>
          <w:lang w:eastAsia="en-AU"/>
        </w:rPr>
        <w:t>:</w:t>
      </w:r>
      <w:bookmarkEnd w:id="366"/>
      <w:bookmarkEnd w:id="367"/>
      <w:bookmarkEnd w:id="368"/>
    </w:p>
    <w:p w:rsidR="00980F62" w:rsidRDefault="00772D3A" w:rsidP="00F02312">
      <w:pPr>
        <w:pStyle w:val="ListParagraph"/>
        <w:numPr>
          <w:ilvl w:val="0"/>
          <w:numId w:val="131"/>
        </w:numPr>
        <w:ind w:left="426" w:hanging="426"/>
        <w:rPr>
          <w:i/>
          <w:lang w:eastAsia="en-AU"/>
        </w:rPr>
      </w:pPr>
      <w:bookmarkStart w:id="369" w:name="_Toc489255886"/>
      <w:bookmarkStart w:id="370" w:name="_Toc489337859"/>
      <w:bookmarkStart w:id="371" w:name="_Toc489338025"/>
      <w:r w:rsidRPr="00793CBB">
        <w:rPr>
          <w:i/>
          <w:lang w:eastAsia="en-AU"/>
        </w:rPr>
        <w:t>Frequency rating (Appendix Table A5.3.5)</w:t>
      </w:r>
      <w:r w:rsidR="006C1AAA" w:rsidRPr="00793CBB">
        <w:rPr>
          <w:i/>
          <w:lang w:eastAsia="en-AU"/>
        </w:rPr>
        <w:t>;</w:t>
      </w:r>
      <w:bookmarkEnd w:id="369"/>
      <w:bookmarkEnd w:id="370"/>
      <w:bookmarkEnd w:id="371"/>
    </w:p>
    <w:p w:rsidR="00980F62" w:rsidRDefault="006C1AAA" w:rsidP="00F02312">
      <w:pPr>
        <w:pStyle w:val="ListParagraph"/>
        <w:numPr>
          <w:ilvl w:val="0"/>
          <w:numId w:val="131"/>
        </w:numPr>
        <w:ind w:left="426" w:hanging="426"/>
        <w:rPr>
          <w:i/>
          <w:lang w:eastAsia="en-AU"/>
        </w:rPr>
      </w:pPr>
      <w:bookmarkStart w:id="372" w:name="_Toc489337860"/>
      <w:bookmarkStart w:id="373" w:name="_Toc489338026"/>
      <w:r w:rsidRPr="00793CBB">
        <w:rPr>
          <w:i/>
          <w:lang w:eastAsia="en-AU"/>
        </w:rPr>
        <w:t>Disruptiveness rating (Appendix Table A5.3.4); and</w:t>
      </w:r>
      <w:bookmarkEnd w:id="372"/>
      <w:bookmarkEnd w:id="373"/>
    </w:p>
    <w:p w:rsidR="006C1AAA" w:rsidRPr="00E532A7" w:rsidRDefault="006C1AAA" w:rsidP="00F02312">
      <w:pPr>
        <w:pStyle w:val="ListParagraph"/>
        <w:numPr>
          <w:ilvl w:val="0"/>
          <w:numId w:val="131"/>
        </w:numPr>
        <w:ind w:left="426" w:hanging="426"/>
        <w:rPr>
          <w:lang w:eastAsia="en-AU"/>
        </w:rPr>
      </w:pPr>
      <w:bookmarkStart w:id="374" w:name="_Toc489337861"/>
      <w:bookmarkStart w:id="375" w:name="_Toc489338027"/>
      <w:r w:rsidRPr="00793CBB">
        <w:rPr>
          <w:i/>
          <w:lang w:eastAsia="en-AU"/>
        </w:rPr>
        <w:t>An individualised Behaviour Description for each claimed behaviour type</w:t>
      </w:r>
      <w:r w:rsidRPr="00793CBB">
        <w:rPr>
          <w:b/>
          <w:lang w:eastAsia="en-AU"/>
        </w:rPr>
        <w:t>.</w:t>
      </w:r>
      <w:bookmarkEnd w:id="374"/>
      <w:bookmarkEnd w:id="375"/>
    </w:p>
    <w:p w:rsidR="00980F62" w:rsidRDefault="005613C7" w:rsidP="007F1D25">
      <w:pPr>
        <w:rPr>
          <w:rFonts w:cs="ChaparralPro-Italic"/>
          <w:iCs/>
          <w:szCs w:val="24"/>
        </w:rPr>
      </w:pPr>
      <w:r w:rsidRPr="005224EA">
        <w:rPr>
          <w:szCs w:val="24"/>
        </w:rPr>
        <w:t xml:space="preserve">The behaviour description is best provided in a contextual framework around what was happening at the time of the incident (who was there, where it occurred, interactions), and it </w:t>
      </w:r>
      <w:r w:rsidRPr="005224EA">
        <w:rPr>
          <w:szCs w:val="24"/>
        </w:rPr>
        <w:lastRenderedPageBreak/>
        <w:t xml:space="preserve">should inform on the disruptiveness of the behaviour (impact on others). </w:t>
      </w:r>
      <w:r w:rsidRPr="005224EA">
        <w:rPr>
          <w:rFonts w:cs="ChaparralPro-Italic"/>
          <w:iCs/>
          <w:szCs w:val="24"/>
        </w:rPr>
        <w:t>The behaviour description must also be supported by documentation recorded in the resident’s file notes and Care Plan.</w:t>
      </w:r>
    </w:p>
    <w:p w:rsidR="00FB5314" w:rsidRPr="00B0061D" w:rsidRDefault="00FB5314" w:rsidP="00AA6B2F">
      <w:pPr>
        <w:pStyle w:val="ListParagraph"/>
        <w:numPr>
          <w:ilvl w:val="3"/>
          <w:numId w:val="22"/>
        </w:numPr>
        <w:spacing w:before="120" w:after="0"/>
        <w:ind w:left="357" w:hanging="357"/>
        <w:contextualSpacing w:val="0"/>
        <w:rPr>
          <w:rStyle w:val="Strong"/>
        </w:rPr>
      </w:pPr>
      <w:r w:rsidRPr="00B0061D">
        <w:rPr>
          <w:rStyle w:val="Strong"/>
        </w:rPr>
        <w:t xml:space="preserve">A Completed </w:t>
      </w:r>
      <w:r w:rsidR="00E35102" w:rsidRPr="00B0061D">
        <w:rPr>
          <w:rStyle w:val="Strong"/>
        </w:rPr>
        <w:t>Frequency and Disruptiveness Matrix for each Behaviour being Claimed</w:t>
      </w:r>
    </w:p>
    <w:p w:rsidR="00980F62" w:rsidRDefault="00B56308" w:rsidP="00E35102">
      <w:pPr>
        <w:spacing w:after="0"/>
        <w:rPr>
          <w:szCs w:val="24"/>
        </w:rPr>
      </w:pPr>
      <w:r>
        <w:rPr>
          <w:szCs w:val="24"/>
        </w:rPr>
        <w:t>T</w:t>
      </w:r>
      <w:r w:rsidRPr="005224EA">
        <w:t xml:space="preserve">he </w:t>
      </w:r>
      <w:r>
        <w:t>completed Behaviour Assessment Summary</w:t>
      </w:r>
      <w:r w:rsidR="00B51A5F">
        <w:rPr>
          <w:szCs w:val="24"/>
        </w:rPr>
        <w:t xml:space="preserve"> is then used to complete</w:t>
      </w:r>
      <w:r w:rsidR="006C1AAA">
        <w:rPr>
          <w:szCs w:val="24"/>
        </w:rPr>
        <w:t>:</w:t>
      </w:r>
    </w:p>
    <w:p w:rsidR="00980F62" w:rsidRDefault="00B51A5F" w:rsidP="00F02312">
      <w:pPr>
        <w:pStyle w:val="ListParagraph"/>
        <w:numPr>
          <w:ilvl w:val="0"/>
          <w:numId w:val="129"/>
        </w:numPr>
        <w:spacing w:after="0"/>
        <w:ind w:left="426" w:hanging="426"/>
        <w:rPr>
          <w:i/>
          <w:szCs w:val="24"/>
        </w:rPr>
      </w:pPr>
      <w:r w:rsidRPr="00793CBB">
        <w:rPr>
          <w:i/>
          <w:szCs w:val="24"/>
        </w:rPr>
        <w:t xml:space="preserve">the R-ACFI Behaviour </w:t>
      </w:r>
      <w:r w:rsidR="00FB5314" w:rsidRPr="00793CBB">
        <w:rPr>
          <w:i/>
          <w:szCs w:val="24"/>
        </w:rPr>
        <w:t>Matrix</w:t>
      </w:r>
      <w:r w:rsidR="00793CBB">
        <w:rPr>
          <w:i/>
          <w:szCs w:val="24"/>
        </w:rPr>
        <w:t xml:space="preserve"> is determined</w:t>
      </w:r>
      <w:r w:rsidR="00044BC3" w:rsidRPr="00793CBB">
        <w:rPr>
          <w:i/>
          <w:szCs w:val="24"/>
        </w:rPr>
        <w:t xml:space="preserve"> for </w:t>
      </w:r>
      <w:r w:rsidR="006C1AAA" w:rsidRPr="00793CBB">
        <w:rPr>
          <w:i/>
          <w:szCs w:val="24"/>
        </w:rPr>
        <w:t xml:space="preserve">each </w:t>
      </w:r>
      <w:r w:rsidR="00044BC3" w:rsidRPr="00793CBB">
        <w:rPr>
          <w:i/>
          <w:szCs w:val="24"/>
        </w:rPr>
        <w:t>claimed behaviour</w:t>
      </w:r>
      <w:r w:rsidR="006C1AAA" w:rsidRPr="00793CBB">
        <w:rPr>
          <w:i/>
          <w:szCs w:val="24"/>
        </w:rPr>
        <w:t xml:space="preserve"> type (</w:t>
      </w:r>
      <w:r w:rsidR="006C1AAA" w:rsidRPr="00793CBB">
        <w:rPr>
          <w:i/>
          <w:lang w:eastAsia="en-AU"/>
        </w:rPr>
        <w:t>Wandering, Verbal or Physical</w:t>
      </w:r>
      <w:r w:rsidR="006C1AAA" w:rsidRPr="00793CBB">
        <w:rPr>
          <w:i/>
          <w:szCs w:val="24"/>
        </w:rPr>
        <w:t>)</w:t>
      </w:r>
      <w:r w:rsidRPr="00793CBB">
        <w:rPr>
          <w:i/>
          <w:szCs w:val="24"/>
        </w:rPr>
        <w:t>.</w:t>
      </w:r>
      <w:bookmarkEnd w:id="365"/>
    </w:p>
    <w:p w:rsidR="00EE4C64" w:rsidRDefault="005A751E" w:rsidP="00EE4C64">
      <w:pPr>
        <w:pStyle w:val="Caption"/>
        <w:keepNext/>
      </w:pPr>
      <w:bookmarkStart w:id="376" w:name="_Hlk486524163"/>
      <w:bookmarkStart w:id="377" w:name="_Hlk484447791"/>
      <w:bookmarkStart w:id="378" w:name="_Toc495416339"/>
      <w:bookmarkStart w:id="379" w:name="Tab0507"/>
      <w:r>
        <w:t>Table 5.</w:t>
      </w:r>
      <w:r w:rsidR="009A3F5A">
        <w:fldChar w:fldCharType="begin"/>
      </w:r>
      <w:r w:rsidR="009A3F5A">
        <w:instrText xml:space="preserve"> SEQ Table_5. \* ARABIC </w:instrText>
      </w:r>
      <w:r w:rsidR="009A3F5A">
        <w:fldChar w:fldCharType="separate"/>
      </w:r>
      <w:r w:rsidR="00856E49">
        <w:rPr>
          <w:noProof/>
        </w:rPr>
        <w:t>7</w:t>
      </w:r>
      <w:r w:rsidR="009A3F5A">
        <w:rPr>
          <w:noProof/>
        </w:rPr>
        <w:fldChar w:fldCharType="end"/>
      </w:r>
      <w:r>
        <w:t xml:space="preserve">: </w:t>
      </w:r>
      <w:r w:rsidRPr="005A751E">
        <w:t>Behaviour Rating Matrix</w:t>
      </w:r>
      <w:bookmarkEnd w:id="378"/>
    </w:p>
    <w:tbl>
      <w:tblPr>
        <w:tblStyle w:val="ListTable3-Accent515"/>
        <w:tblW w:w="8732"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5.7 is a frequency matrix for rating the disruptiveness behaviour (none or mild, moderately, severely and extremely) under the revised aged care funding instrument (R-ACFI). This table is to be read left to right, top to bottom."/>
      </w:tblPr>
      <w:tblGrid>
        <w:gridCol w:w="1803"/>
        <w:gridCol w:w="1599"/>
        <w:gridCol w:w="1560"/>
        <w:gridCol w:w="1802"/>
        <w:gridCol w:w="1968"/>
      </w:tblGrid>
      <w:tr w:rsidR="00197868" w:rsidRPr="005224EA" w:rsidTr="001F1D3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03" w:type="dxa"/>
            <w:tcBorders>
              <w:bottom w:val="none" w:sz="0" w:space="0" w:color="auto"/>
              <w:right w:val="none" w:sz="0" w:space="0" w:color="auto"/>
            </w:tcBorders>
          </w:tcPr>
          <w:bookmarkEnd w:id="379"/>
          <w:p w:rsidR="00197868" w:rsidRPr="002034C7" w:rsidRDefault="006C1AAA" w:rsidP="001F1D3C">
            <w:pPr>
              <w:spacing w:after="0"/>
              <w:jc w:val="left"/>
              <w:rPr>
                <w:bCs w:val="0"/>
                <w:color w:val="4472C4" w:themeColor="accent1"/>
              </w:rPr>
            </w:pPr>
            <w:r>
              <w:rPr>
                <w:bCs w:val="0"/>
              </w:rPr>
              <w:t>Rating per Behaviour Type</w:t>
            </w:r>
          </w:p>
        </w:tc>
        <w:tc>
          <w:tcPr>
            <w:cnfStyle w:val="000010000000" w:firstRow="0" w:lastRow="0" w:firstColumn="0" w:lastColumn="0" w:oddVBand="1" w:evenVBand="0" w:oddHBand="0" w:evenHBand="0" w:firstRowFirstColumn="0" w:firstRowLastColumn="0" w:lastRowFirstColumn="0" w:lastRowLastColumn="0"/>
            <w:tcW w:w="6929" w:type="dxa"/>
            <w:gridSpan w:val="4"/>
            <w:tcBorders>
              <w:left w:val="none" w:sz="0" w:space="0" w:color="auto"/>
              <w:right w:val="none" w:sz="0" w:space="0" w:color="auto"/>
            </w:tcBorders>
          </w:tcPr>
          <w:p w:rsidR="00197868" w:rsidRPr="009634F9" w:rsidRDefault="00197868" w:rsidP="00FB5314">
            <w:pPr>
              <w:spacing w:after="0"/>
              <w:jc w:val="center"/>
              <w:rPr>
                <w:color w:val="000000"/>
              </w:rPr>
            </w:pPr>
            <w:r w:rsidRPr="009634F9">
              <w:rPr>
                <w:bCs w:val="0"/>
              </w:rPr>
              <w:t>Frequency</w:t>
            </w:r>
          </w:p>
        </w:tc>
      </w:tr>
      <w:tr w:rsidR="00FF73CF" w:rsidRPr="00FF73CF" w:rsidTr="001F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hideMark/>
          </w:tcPr>
          <w:p w:rsidR="00197868" w:rsidRPr="00FF73CF" w:rsidRDefault="00197868" w:rsidP="009634F9">
            <w:pPr>
              <w:spacing w:after="0"/>
              <w:jc w:val="center"/>
              <w:rPr>
                <w:bCs w:val="0"/>
                <w:szCs w:val="24"/>
              </w:rPr>
            </w:pPr>
            <w:r w:rsidRPr="00FF73CF">
              <w:rPr>
                <w:bCs w:val="0"/>
                <w:szCs w:val="24"/>
              </w:rPr>
              <w:t>Disruptiveness</w:t>
            </w:r>
          </w:p>
        </w:tc>
        <w:tc>
          <w:tcPr>
            <w:cnfStyle w:val="000010000000" w:firstRow="0" w:lastRow="0" w:firstColumn="0" w:lastColumn="0" w:oddVBand="1" w:evenVBand="0" w:oddHBand="0" w:evenHBand="0" w:firstRowFirstColumn="0" w:firstRowLastColumn="0" w:lastRowFirstColumn="0" w:lastRowLastColumn="0"/>
            <w:tcW w:w="1599" w:type="dxa"/>
            <w:hideMark/>
          </w:tcPr>
          <w:p w:rsidR="00197868" w:rsidRPr="00FF73CF" w:rsidRDefault="00521ED6" w:rsidP="001F1D3C">
            <w:pPr>
              <w:spacing w:after="0"/>
              <w:jc w:val="center"/>
              <w:rPr>
                <w:b/>
                <w:sz w:val="22"/>
              </w:rPr>
            </w:pPr>
            <w:r w:rsidRPr="00FF73CF">
              <w:rPr>
                <w:b/>
                <w:sz w:val="22"/>
              </w:rPr>
              <w:t xml:space="preserve">1. </w:t>
            </w:r>
            <w:r w:rsidR="00197868" w:rsidRPr="00FF73CF">
              <w:rPr>
                <w:b/>
                <w:sz w:val="22"/>
              </w:rPr>
              <w:t>less than daily</w:t>
            </w:r>
          </w:p>
        </w:tc>
        <w:tc>
          <w:tcPr>
            <w:tcW w:w="1560" w:type="dxa"/>
            <w:hideMark/>
          </w:tcPr>
          <w:p w:rsidR="00197868" w:rsidRPr="00FF73CF" w:rsidRDefault="00521ED6" w:rsidP="001F1D3C">
            <w:pPr>
              <w:spacing w:after="0"/>
              <w:jc w:val="center"/>
              <w:cnfStyle w:val="000000100000" w:firstRow="0" w:lastRow="0" w:firstColumn="0" w:lastColumn="0" w:oddVBand="0" w:evenVBand="0" w:oddHBand="1" w:evenHBand="0" w:firstRowFirstColumn="0" w:firstRowLastColumn="0" w:lastRowFirstColumn="0" w:lastRowLastColumn="0"/>
              <w:rPr>
                <w:b/>
                <w:sz w:val="22"/>
              </w:rPr>
            </w:pPr>
            <w:r w:rsidRPr="00FF73CF">
              <w:rPr>
                <w:b/>
                <w:sz w:val="22"/>
              </w:rPr>
              <w:t xml:space="preserve">2. </w:t>
            </w:r>
            <w:r w:rsidR="00197868" w:rsidRPr="00FF73CF">
              <w:rPr>
                <w:b/>
                <w:sz w:val="22"/>
              </w:rPr>
              <w:t>daily</w:t>
            </w:r>
          </w:p>
        </w:tc>
        <w:tc>
          <w:tcPr>
            <w:cnfStyle w:val="000010000000" w:firstRow="0" w:lastRow="0" w:firstColumn="0" w:lastColumn="0" w:oddVBand="1" w:evenVBand="0" w:oddHBand="0" w:evenHBand="0" w:firstRowFirstColumn="0" w:firstRowLastColumn="0" w:lastRowFirstColumn="0" w:lastRowLastColumn="0"/>
            <w:tcW w:w="1802" w:type="dxa"/>
            <w:hideMark/>
          </w:tcPr>
          <w:p w:rsidR="00197868" w:rsidRPr="00FF73CF" w:rsidRDefault="00521ED6" w:rsidP="00FF73CF">
            <w:pPr>
              <w:spacing w:after="0"/>
              <w:jc w:val="center"/>
              <w:rPr>
                <w:b/>
                <w:sz w:val="22"/>
              </w:rPr>
            </w:pPr>
            <w:r w:rsidRPr="00FF73CF">
              <w:rPr>
                <w:b/>
                <w:sz w:val="22"/>
              </w:rPr>
              <w:t xml:space="preserve">3. twice per </w:t>
            </w:r>
            <w:r w:rsidR="00197868" w:rsidRPr="00FF73CF">
              <w:rPr>
                <w:b/>
                <w:sz w:val="22"/>
              </w:rPr>
              <w:t>day</w:t>
            </w:r>
            <w:r w:rsidR="00FF73CF" w:rsidRPr="00FF73CF">
              <w:rPr>
                <w:b/>
                <w:sz w:val="22"/>
              </w:rPr>
              <w:t>,</w:t>
            </w:r>
            <w:r w:rsidR="00197868" w:rsidRPr="00FF73CF">
              <w:rPr>
                <w:b/>
                <w:sz w:val="22"/>
              </w:rPr>
              <w:t xml:space="preserve"> everyday</w:t>
            </w:r>
          </w:p>
        </w:tc>
        <w:tc>
          <w:tcPr>
            <w:tcW w:w="1968" w:type="dxa"/>
          </w:tcPr>
          <w:p w:rsidR="00197868" w:rsidRPr="00FF73CF" w:rsidRDefault="00521ED6" w:rsidP="00FF73CF">
            <w:pPr>
              <w:spacing w:after="0"/>
              <w:jc w:val="center"/>
              <w:cnfStyle w:val="000000100000" w:firstRow="0" w:lastRow="0" w:firstColumn="0" w:lastColumn="0" w:oddVBand="0" w:evenVBand="0" w:oddHBand="1" w:evenHBand="0" w:firstRowFirstColumn="0" w:firstRowLastColumn="0" w:lastRowFirstColumn="0" w:lastRowLastColumn="0"/>
              <w:rPr>
                <w:b/>
                <w:sz w:val="22"/>
              </w:rPr>
            </w:pPr>
            <w:r w:rsidRPr="00FF73CF">
              <w:rPr>
                <w:b/>
                <w:sz w:val="22"/>
              </w:rPr>
              <w:t xml:space="preserve">4. more than twice per </w:t>
            </w:r>
            <w:r w:rsidR="00197868" w:rsidRPr="00FF73CF">
              <w:rPr>
                <w:b/>
                <w:sz w:val="22"/>
              </w:rPr>
              <w:t>day</w:t>
            </w:r>
            <w:r w:rsidR="00FF73CF" w:rsidRPr="00FF73CF">
              <w:rPr>
                <w:b/>
                <w:sz w:val="22"/>
              </w:rPr>
              <w:t>,</w:t>
            </w:r>
            <w:r w:rsidR="00197868" w:rsidRPr="00FF73CF">
              <w:rPr>
                <w:b/>
                <w:sz w:val="22"/>
              </w:rPr>
              <w:t xml:space="preserve"> everyday</w:t>
            </w:r>
          </w:p>
        </w:tc>
      </w:tr>
      <w:tr w:rsidR="00197868" w:rsidRPr="005224EA" w:rsidTr="001F1D3C">
        <w:tc>
          <w:tcPr>
            <w:cnfStyle w:val="001000000000" w:firstRow="0" w:lastRow="0" w:firstColumn="1" w:lastColumn="0" w:oddVBand="0" w:evenVBand="0" w:oddHBand="0" w:evenHBand="0" w:firstRowFirstColumn="0" w:firstRowLastColumn="0" w:lastRowFirstColumn="0" w:lastRowLastColumn="0"/>
            <w:tcW w:w="1803" w:type="dxa"/>
            <w:tcBorders>
              <w:right w:val="none" w:sz="0" w:space="0" w:color="auto"/>
            </w:tcBorders>
            <w:hideMark/>
          </w:tcPr>
          <w:p w:rsidR="00197868" w:rsidRPr="005224EA" w:rsidRDefault="00521ED6" w:rsidP="00FB5314">
            <w:pPr>
              <w:spacing w:after="0"/>
              <w:rPr>
                <w:b w:val="0"/>
                <w:bCs w:val="0"/>
                <w:sz w:val="22"/>
              </w:rPr>
            </w:pPr>
            <w:r>
              <w:rPr>
                <w:b w:val="0"/>
                <w:bCs w:val="0"/>
                <w:color w:val="000000"/>
                <w:sz w:val="22"/>
              </w:rPr>
              <w:t xml:space="preserve">1. </w:t>
            </w:r>
            <w:r w:rsidR="00197868" w:rsidRPr="005224EA">
              <w:rPr>
                <w:b w:val="0"/>
                <w:bCs w:val="0"/>
                <w:color w:val="000000"/>
                <w:sz w:val="22"/>
              </w:rPr>
              <w:t>None or mild</w:t>
            </w:r>
          </w:p>
        </w:tc>
        <w:tc>
          <w:tcPr>
            <w:cnfStyle w:val="000010000000" w:firstRow="0" w:lastRow="0" w:firstColumn="0" w:lastColumn="0" w:oddVBand="1" w:evenVBand="0" w:oddHBand="0" w:evenHBand="0" w:firstRowFirstColumn="0" w:firstRowLastColumn="0" w:lastRowFirstColumn="0" w:lastRowLastColumn="0"/>
            <w:tcW w:w="1599" w:type="dxa"/>
            <w:tcBorders>
              <w:left w:val="none" w:sz="0" w:space="0" w:color="auto"/>
              <w:right w:val="none" w:sz="0" w:space="0" w:color="auto"/>
            </w:tcBorders>
            <w:hideMark/>
          </w:tcPr>
          <w:p w:rsidR="00197868" w:rsidRPr="005224EA" w:rsidRDefault="00521ED6" w:rsidP="00FB5314">
            <w:pPr>
              <w:spacing w:after="0"/>
              <w:jc w:val="center"/>
              <w:rPr>
                <w:sz w:val="22"/>
              </w:rPr>
            </w:pPr>
            <w:r>
              <w:rPr>
                <w:sz w:val="22"/>
              </w:rPr>
              <w:t>A</w:t>
            </w:r>
          </w:p>
        </w:tc>
        <w:tc>
          <w:tcPr>
            <w:tcW w:w="1560" w:type="dxa"/>
            <w:hideMark/>
          </w:tcPr>
          <w:p w:rsidR="00197868" w:rsidRPr="005224EA" w:rsidRDefault="00521ED6" w:rsidP="00FB5314">
            <w:pPr>
              <w:spacing w:after="0"/>
              <w:jc w:val="center"/>
              <w:cnfStyle w:val="000000000000" w:firstRow="0" w:lastRow="0" w:firstColumn="0" w:lastColumn="0" w:oddVBand="0" w:evenVBand="0" w:oddHBand="0" w:evenHBand="0" w:firstRowFirstColumn="0" w:firstRowLastColumn="0" w:lastRowFirstColumn="0" w:lastRowLastColumn="0"/>
              <w:rPr>
                <w:sz w:val="22"/>
              </w:rPr>
            </w:pPr>
            <w:r>
              <w:rPr>
                <w:sz w:val="22"/>
              </w:rPr>
              <w:t>A</w:t>
            </w:r>
          </w:p>
        </w:tc>
        <w:tc>
          <w:tcPr>
            <w:cnfStyle w:val="000010000000" w:firstRow="0" w:lastRow="0" w:firstColumn="0" w:lastColumn="0" w:oddVBand="1" w:evenVBand="0" w:oddHBand="0" w:evenHBand="0" w:firstRowFirstColumn="0" w:firstRowLastColumn="0" w:lastRowFirstColumn="0" w:lastRowLastColumn="0"/>
            <w:tcW w:w="1802" w:type="dxa"/>
            <w:tcBorders>
              <w:left w:val="none" w:sz="0" w:space="0" w:color="auto"/>
              <w:right w:val="none" w:sz="0" w:space="0" w:color="auto"/>
            </w:tcBorders>
            <w:hideMark/>
          </w:tcPr>
          <w:p w:rsidR="00197868" w:rsidRPr="005224EA" w:rsidRDefault="00521ED6" w:rsidP="00FB5314">
            <w:pPr>
              <w:spacing w:after="0"/>
              <w:jc w:val="center"/>
              <w:rPr>
                <w:sz w:val="22"/>
              </w:rPr>
            </w:pPr>
            <w:r>
              <w:rPr>
                <w:sz w:val="22"/>
              </w:rPr>
              <w:t>A</w:t>
            </w:r>
          </w:p>
        </w:tc>
        <w:tc>
          <w:tcPr>
            <w:tcW w:w="1968" w:type="dxa"/>
          </w:tcPr>
          <w:p w:rsidR="00197868" w:rsidRPr="005224EA" w:rsidRDefault="00521ED6" w:rsidP="00FB5314">
            <w:pPr>
              <w:spacing w:after="0"/>
              <w:jc w:val="center"/>
              <w:cnfStyle w:val="000000000000" w:firstRow="0" w:lastRow="0" w:firstColumn="0" w:lastColumn="0" w:oddVBand="0" w:evenVBand="0" w:oddHBand="0" w:evenHBand="0" w:firstRowFirstColumn="0" w:firstRowLastColumn="0" w:lastRowFirstColumn="0" w:lastRowLastColumn="0"/>
              <w:rPr>
                <w:sz w:val="22"/>
              </w:rPr>
            </w:pPr>
            <w:r>
              <w:rPr>
                <w:sz w:val="22"/>
              </w:rPr>
              <w:t>A</w:t>
            </w:r>
          </w:p>
        </w:tc>
      </w:tr>
      <w:tr w:rsidR="00197868" w:rsidRPr="005224EA" w:rsidTr="001F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none" w:sz="0" w:space="0" w:color="auto"/>
              <w:bottom w:val="none" w:sz="0" w:space="0" w:color="auto"/>
              <w:right w:val="none" w:sz="0" w:space="0" w:color="auto"/>
            </w:tcBorders>
            <w:hideMark/>
          </w:tcPr>
          <w:p w:rsidR="00197868" w:rsidRPr="005224EA" w:rsidRDefault="00521ED6" w:rsidP="00FB5314">
            <w:pPr>
              <w:spacing w:after="0"/>
              <w:rPr>
                <w:b w:val="0"/>
                <w:bCs w:val="0"/>
                <w:sz w:val="22"/>
              </w:rPr>
            </w:pPr>
            <w:r>
              <w:rPr>
                <w:b w:val="0"/>
                <w:bCs w:val="0"/>
                <w:color w:val="000000"/>
                <w:sz w:val="22"/>
              </w:rPr>
              <w:t xml:space="preserve">2. </w:t>
            </w:r>
            <w:r w:rsidR="00197868" w:rsidRPr="005224EA">
              <w:rPr>
                <w:b w:val="0"/>
                <w:bCs w:val="0"/>
                <w:color w:val="000000"/>
                <w:sz w:val="22"/>
              </w:rPr>
              <w:t>Moderately</w:t>
            </w:r>
          </w:p>
        </w:tc>
        <w:tc>
          <w:tcPr>
            <w:cnfStyle w:val="000010000000" w:firstRow="0" w:lastRow="0" w:firstColumn="0" w:lastColumn="0" w:oddVBand="1" w:evenVBand="0" w:oddHBand="0" w:evenHBand="0" w:firstRowFirstColumn="0" w:firstRowLastColumn="0" w:lastRowFirstColumn="0" w:lastRowLastColumn="0"/>
            <w:tcW w:w="1599" w:type="dxa"/>
            <w:tcBorders>
              <w:top w:val="none" w:sz="0" w:space="0" w:color="auto"/>
              <w:left w:val="none" w:sz="0" w:space="0" w:color="auto"/>
              <w:bottom w:val="none" w:sz="0" w:space="0" w:color="auto"/>
              <w:right w:val="none" w:sz="0" w:space="0" w:color="auto"/>
            </w:tcBorders>
            <w:hideMark/>
          </w:tcPr>
          <w:p w:rsidR="00197868" w:rsidRPr="005224EA" w:rsidRDefault="00521ED6" w:rsidP="00FB5314">
            <w:pPr>
              <w:spacing w:after="0"/>
              <w:jc w:val="center"/>
              <w:rPr>
                <w:sz w:val="22"/>
              </w:rPr>
            </w:pPr>
            <w:r>
              <w:rPr>
                <w:sz w:val="22"/>
              </w:rPr>
              <w:t>A</w:t>
            </w:r>
          </w:p>
        </w:tc>
        <w:tc>
          <w:tcPr>
            <w:tcW w:w="1560" w:type="dxa"/>
            <w:tcBorders>
              <w:top w:val="none" w:sz="0" w:space="0" w:color="auto"/>
              <w:bottom w:val="none" w:sz="0" w:space="0" w:color="auto"/>
            </w:tcBorders>
            <w:hideMark/>
          </w:tcPr>
          <w:p w:rsidR="00197868" w:rsidRPr="005224EA" w:rsidRDefault="00521ED6" w:rsidP="00FB5314">
            <w:pPr>
              <w:spacing w:after="0"/>
              <w:jc w:val="center"/>
              <w:cnfStyle w:val="000000100000" w:firstRow="0" w:lastRow="0" w:firstColumn="0" w:lastColumn="0" w:oddVBand="0" w:evenVBand="0" w:oddHBand="1" w:evenHBand="0" w:firstRowFirstColumn="0" w:firstRowLastColumn="0" w:lastRowFirstColumn="0" w:lastRowLastColumn="0"/>
              <w:rPr>
                <w:sz w:val="22"/>
              </w:rPr>
            </w:pPr>
            <w:r>
              <w:rPr>
                <w:sz w:val="22"/>
              </w:rPr>
              <w:t>A</w:t>
            </w:r>
          </w:p>
        </w:tc>
        <w:tc>
          <w:tcPr>
            <w:cnfStyle w:val="000010000000" w:firstRow="0" w:lastRow="0" w:firstColumn="0" w:lastColumn="0" w:oddVBand="1" w:evenVBand="0" w:oddHBand="0" w:evenHBand="0" w:firstRowFirstColumn="0" w:firstRowLastColumn="0" w:lastRowFirstColumn="0" w:lastRowLastColumn="0"/>
            <w:tcW w:w="1802" w:type="dxa"/>
            <w:tcBorders>
              <w:top w:val="none" w:sz="0" w:space="0" w:color="auto"/>
              <w:left w:val="none" w:sz="0" w:space="0" w:color="auto"/>
              <w:bottom w:val="none" w:sz="0" w:space="0" w:color="auto"/>
              <w:right w:val="none" w:sz="0" w:space="0" w:color="auto"/>
            </w:tcBorders>
            <w:hideMark/>
          </w:tcPr>
          <w:p w:rsidR="00197868" w:rsidRPr="005224EA" w:rsidRDefault="00521ED6" w:rsidP="00FB5314">
            <w:pPr>
              <w:spacing w:after="0"/>
              <w:jc w:val="center"/>
              <w:rPr>
                <w:sz w:val="22"/>
              </w:rPr>
            </w:pPr>
            <w:r>
              <w:rPr>
                <w:sz w:val="22"/>
              </w:rPr>
              <w:t>B</w:t>
            </w:r>
          </w:p>
        </w:tc>
        <w:tc>
          <w:tcPr>
            <w:tcW w:w="1968" w:type="dxa"/>
            <w:tcBorders>
              <w:top w:val="none" w:sz="0" w:space="0" w:color="auto"/>
              <w:bottom w:val="none" w:sz="0" w:space="0" w:color="auto"/>
            </w:tcBorders>
          </w:tcPr>
          <w:p w:rsidR="00197868" w:rsidRPr="005224EA" w:rsidRDefault="00521ED6" w:rsidP="00FB5314">
            <w:pPr>
              <w:spacing w:after="0"/>
              <w:jc w:val="center"/>
              <w:cnfStyle w:val="000000100000" w:firstRow="0" w:lastRow="0" w:firstColumn="0" w:lastColumn="0" w:oddVBand="0" w:evenVBand="0" w:oddHBand="1" w:evenHBand="0" w:firstRowFirstColumn="0" w:firstRowLastColumn="0" w:lastRowFirstColumn="0" w:lastRowLastColumn="0"/>
              <w:rPr>
                <w:sz w:val="22"/>
              </w:rPr>
            </w:pPr>
            <w:r>
              <w:rPr>
                <w:sz w:val="22"/>
              </w:rPr>
              <w:t>C</w:t>
            </w:r>
          </w:p>
        </w:tc>
      </w:tr>
      <w:tr w:rsidR="00197868" w:rsidRPr="005224EA" w:rsidTr="001F1D3C">
        <w:tc>
          <w:tcPr>
            <w:cnfStyle w:val="001000000000" w:firstRow="0" w:lastRow="0" w:firstColumn="1" w:lastColumn="0" w:oddVBand="0" w:evenVBand="0" w:oddHBand="0" w:evenHBand="0" w:firstRowFirstColumn="0" w:firstRowLastColumn="0" w:lastRowFirstColumn="0" w:lastRowLastColumn="0"/>
            <w:tcW w:w="1803" w:type="dxa"/>
            <w:tcBorders>
              <w:right w:val="none" w:sz="0" w:space="0" w:color="auto"/>
            </w:tcBorders>
            <w:hideMark/>
          </w:tcPr>
          <w:p w:rsidR="00197868" w:rsidRPr="005224EA" w:rsidRDefault="00521ED6" w:rsidP="00FB5314">
            <w:pPr>
              <w:spacing w:after="0"/>
              <w:rPr>
                <w:b w:val="0"/>
                <w:bCs w:val="0"/>
                <w:sz w:val="22"/>
              </w:rPr>
            </w:pPr>
            <w:r>
              <w:rPr>
                <w:b w:val="0"/>
                <w:bCs w:val="0"/>
                <w:color w:val="000000"/>
                <w:sz w:val="22"/>
              </w:rPr>
              <w:t xml:space="preserve">3. </w:t>
            </w:r>
            <w:r w:rsidR="00197868" w:rsidRPr="005224EA">
              <w:rPr>
                <w:b w:val="0"/>
                <w:bCs w:val="0"/>
                <w:color w:val="000000"/>
                <w:sz w:val="22"/>
              </w:rPr>
              <w:t>Severely</w:t>
            </w:r>
          </w:p>
        </w:tc>
        <w:tc>
          <w:tcPr>
            <w:cnfStyle w:val="000010000000" w:firstRow="0" w:lastRow="0" w:firstColumn="0" w:lastColumn="0" w:oddVBand="1" w:evenVBand="0" w:oddHBand="0" w:evenHBand="0" w:firstRowFirstColumn="0" w:firstRowLastColumn="0" w:lastRowFirstColumn="0" w:lastRowLastColumn="0"/>
            <w:tcW w:w="1599" w:type="dxa"/>
            <w:tcBorders>
              <w:left w:val="none" w:sz="0" w:space="0" w:color="auto"/>
              <w:right w:val="none" w:sz="0" w:space="0" w:color="auto"/>
            </w:tcBorders>
            <w:hideMark/>
          </w:tcPr>
          <w:p w:rsidR="00197868" w:rsidRPr="005224EA" w:rsidRDefault="00521ED6" w:rsidP="00FB5314">
            <w:pPr>
              <w:spacing w:after="0"/>
              <w:jc w:val="center"/>
              <w:rPr>
                <w:sz w:val="22"/>
              </w:rPr>
            </w:pPr>
            <w:r>
              <w:rPr>
                <w:sz w:val="22"/>
              </w:rPr>
              <w:t>A</w:t>
            </w:r>
          </w:p>
        </w:tc>
        <w:tc>
          <w:tcPr>
            <w:tcW w:w="1560" w:type="dxa"/>
            <w:hideMark/>
          </w:tcPr>
          <w:p w:rsidR="00197868" w:rsidRPr="005224EA" w:rsidRDefault="00521ED6" w:rsidP="00FB5314">
            <w:pPr>
              <w:spacing w:after="0"/>
              <w:jc w:val="center"/>
              <w:cnfStyle w:val="000000000000" w:firstRow="0" w:lastRow="0" w:firstColumn="0" w:lastColumn="0" w:oddVBand="0" w:evenVBand="0" w:oddHBand="0" w:evenHBand="0" w:firstRowFirstColumn="0" w:firstRowLastColumn="0" w:lastRowFirstColumn="0" w:lastRowLastColumn="0"/>
              <w:rPr>
                <w:sz w:val="22"/>
              </w:rPr>
            </w:pPr>
            <w:r>
              <w:rPr>
                <w:sz w:val="22"/>
              </w:rPr>
              <w:t>B</w:t>
            </w:r>
          </w:p>
        </w:tc>
        <w:tc>
          <w:tcPr>
            <w:cnfStyle w:val="000010000000" w:firstRow="0" w:lastRow="0" w:firstColumn="0" w:lastColumn="0" w:oddVBand="1" w:evenVBand="0" w:oddHBand="0" w:evenHBand="0" w:firstRowFirstColumn="0" w:firstRowLastColumn="0" w:lastRowFirstColumn="0" w:lastRowLastColumn="0"/>
            <w:tcW w:w="1802" w:type="dxa"/>
            <w:tcBorders>
              <w:left w:val="none" w:sz="0" w:space="0" w:color="auto"/>
              <w:right w:val="none" w:sz="0" w:space="0" w:color="auto"/>
            </w:tcBorders>
            <w:hideMark/>
          </w:tcPr>
          <w:p w:rsidR="00197868" w:rsidRPr="005224EA" w:rsidRDefault="00521ED6" w:rsidP="00FB5314">
            <w:pPr>
              <w:spacing w:after="0"/>
              <w:jc w:val="center"/>
              <w:rPr>
                <w:sz w:val="22"/>
              </w:rPr>
            </w:pPr>
            <w:r>
              <w:rPr>
                <w:sz w:val="22"/>
              </w:rPr>
              <w:t>C</w:t>
            </w:r>
          </w:p>
        </w:tc>
        <w:tc>
          <w:tcPr>
            <w:tcW w:w="1968" w:type="dxa"/>
          </w:tcPr>
          <w:p w:rsidR="00197868" w:rsidRPr="005224EA" w:rsidRDefault="00521ED6" w:rsidP="00FB5314">
            <w:pPr>
              <w:spacing w:after="0"/>
              <w:jc w:val="center"/>
              <w:cnfStyle w:val="000000000000" w:firstRow="0" w:lastRow="0" w:firstColumn="0" w:lastColumn="0" w:oddVBand="0" w:evenVBand="0" w:oddHBand="0" w:evenHBand="0" w:firstRowFirstColumn="0" w:firstRowLastColumn="0" w:lastRowFirstColumn="0" w:lastRowLastColumn="0"/>
              <w:rPr>
                <w:sz w:val="22"/>
              </w:rPr>
            </w:pPr>
            <w:r>
              <w:rPr>
                <w:sz w:val="22"/>
              </w:rPr>
              <w:t>D</w:t>
            </w:r>
          </w:p>
        </w:tc>
      </w:tr>
      <w:tr w:rsidR="00197868" w:rsidRPr="005224EA" w:rsidTr="001F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none" w:sz="0" w:space="0" w:color="auto"/>
              <w:bottom w:val="none" w:sz="0" w:space="0" w:color="auto"/>
              <w:right w:val="none" w:sz="0" w:space="0" w:color="auto"/>
            </w:tcBorders>
            <w:hideMark/>
          </w:tcPr>
          <w:p w:rsidR="00197868" w:rsidRPr="005224EA" w:rsidRDefault="00521ED6" w:rsidP="00FB5314">
            <w:pPr>
              <w:spacing w:after="0"/>
              <w:rPr>
                <w:b w:val="0"/>
                <w:bCs w:val="0"/>
                <w:color w:val="000000"/>
                <w:sz w:val="22"/>
              </w:rPr>
            </w:pPr>
            <w:r>
              <w:rPr>
                <w:b w:val="0"/>
                <w:bCs w:val="0"/>
                <w:color w:val="000000"/>
                <w:sz w:val="22"/>
              </w:rPr>
              <w:t xml:space="preserve">4. </w:t>
            </w:r>
            <w:r w:rsidR="00197868" w:rsidRPr="005224EA">
              <w:rPr>
                <w:b w:val="0"/>
                <w:bCs w:val="0"/>
                <w:color w:val="000000"/>
                <w:sz w:val="22"/>
              </w:rPr>
              <w:t>Extremely</w:t>
            </w:r>
          </w:p>
        </w:tc>
        <w:tc>
          <w:tcPr>
            <w:cnfStyle w:val="000010000000" w:firstRow="0" w:lastRow="0" w:firstColumn="0" w:lastColumn="0" w:oddVBand="1" w:evenVBand="0" w:oddHBand="0" w:evenHBand="0" w:firstRowFirstColumn="0" w:firstRowLastColumn="0" w:lastRowFirstColumn="0" w:lastRowLastColumn="0"/>
            <w:tcW w:w="1599" w:type="dxa"/>
            <w:tcBorders>
              <w:top w:val="none" w:sz="0" w:space="0" w:color="auto"/>
              <w:left w:val="none" w:sz="0" w:space="0" w:color="auto"/>
              <w:bottom w:val="none" w:sz="0" w:space="0" w:color="auto"/>
              <w:right w:val="none" w:sz="0" w:space="0" w:color="auto"/>
            </w:tcBorders>
            <w:hideMark/>
          </w:tcPr>
          <w:p w:rsidR="00197868" w:rsidRPr="005224EA" w:rsidRDefault="00521ED6" w:rsidP="00FB5314">
            <w:pPr>
              <w:spacing w:after="0"/>
              <w:jc w:val="center"/>
              <w:rPr>
                <w:sz w:val="22"/>
              </w:rPr>
            </w:pPr>
            <w:r>
              <w:rPr>
                <w:sz w:val="22"/>
              </w:rPr>
              <w:t>A</w:t>
            </w:r>
          </w:p>
        </w:tc>
        <w:tc>
          <w:tcPr>
            <w:tcW w:w="1560" w:type="dxa"/>
            <w:tcBorders>
              <w:top w:val="none" w:sz="0" w:space="0" w:color="auto"/>
              <w:bottom w:val="none" w:sz="0" w:space="0" w:color="auto"/>
            </w:tcBorders>
            <w:hideMark/>
          </w:tcPr>
          <w:p w:rsidR="00197868" w:rsidRPr="005224EA" w:rsidRDefault="00521ED6" w:rsidP="00FB5314">
            <w:pPr>
              <w:spacing w:after="0"/>
              <w:jc w:val="center"/>
              <w:cnfStyle w:val="000000100000" w:firstRow="0" w:lastRow="0" w:firstColumn="0" w:lastColumn="0" w:oddVBand="0" w:evenVBand="0" w:oddHBand="1" w:evenHBand="0" w:firstRowFirstColumn="0" w:firstRowLastColumn="0" w:lastRowFirstColumn="0" w:lastRowLastColumn="0"/>
              <w:rPr>
                <w:sz w:val="22"/>
              </w:rPr>
            </w:pPr>
            <w:r>
              <w:rPr>
                <w:sz w:val="22"/>
              </w:rPr>
              <w:t>C</w:t>
            </w:r>
          </w:p>
        </w:tc>
        <w:tc>
          <w:tcPr>
            <w:cnfStyle w:val="000010000000" w:firstRow="0" w:lastRow="0" w:firstColumn="0" w:lastColumn="0" w:oddVBand="1" w:evenVBand="0" w:oddHBand="0" w:evenHBand="0" w:firstRowFirstColumn="0" w:firstRowLastColumn="0" w:lastRowFirstColumn="0" w:lastRowLastColumn="0"/>
            <w:tcW w:w="1802" w:type="dxa"/>
            <w:tcBorders>
              <w:top w:val="none" w:sz="0" w:space="0" w:color="auto"/>
              <w:left w:val="none" w:sz="0" w:space="0" w:color="auto"/>
              <w:bottom w:val="none" w:sz="0" w:space="0" w:color="auto"/>
              <w:right w:val="none" w:sz="0" w:space="0" w:color="auto"/>
            </w:tcBorders>
            <w:hideMark/>
          </w:tcPr>
          <w:p w:rsidR="00197868" w:rsidRPr="005224EA" w:rsidRDefault="00521ED6" w:rsidP="00FB5314">
            <w:pPr>
              <w:spacing w:after="0"/>
              <w:jc w:val="center"/>
              <w:rPr>
                <w:sz w:val="22"/>
              </w:rPr>
            </w:pPr>
            <w:r>
              <w:rPr>
                <w:sz w:val="22"/>
              </w:rPr>
              <w:t>D</w:t>
            </w:r>
          </w:p>
        </w:tc>
        <w:tc>
          <w:tcPr>
            <w:tcW w:w="1968" w:type="dxa"/>
            <w:tcBorders>
              <w:top w:val="none" w:sz="0" w:space="0" w:color="auto"/>
              <w:bottom w:val="none" w:sz="0" w:space="0" w:color="auto"/>
            </w:tcBorders>
          </w:tcPr>
          <w:p w:rsidR="00197868" w:rsidRPr="005224EA" w:rsidRDefault="00521ED6" w:rsidP="00FB5314">
            <w:pPr>
              <w:spacing w:after="0"/>
              <w:jc w:val="center"/>
              <w:cnfStyle w:val="000000100000" w:firstRow="0" w:lastRow="0" w:firstColumn="0" w:lastColumn="0" w:oddVBand="0" w:evenVBand="0" w:oddHBand="1" w:evenHBand="0" w:firstRowFirstColumn="0" w:firstRowLastColumn="0" w:lastRowFirstColumn="0" w:lastRowLastColumn="0"/>
              <w:rPr>
                <w:sz w:val="22"/>
              </w:rPr>
            </w:pPr>
            <w:r>
              <w:rPr>
                <w:sz w:val="22"/>
              </w:rPr>
              <w:t>D</w:t>
            </w:r>
          </w:p>
        </w:tc>
      </w:tr>
    </w:tbl>
    <w:p w:rsidR="00FB5314" w:rsidRPr="00AA6B2F" w:rsidRDefault="00FB5314" w:rsidP="00AA6B2F">
      <w:pPr>
        <w:pStyle w:val="ListParagraph"/>
        <w:numPr>
          <w:ilvl w:val="3"/>
          <w:numId w:val="22"/>
        </w:numPr>
        <w:spacing w:before="200" w:after="0"/>
        <w:ind w:left="357" w:hanging="357"/>
        <w:contextualSpacing w:val="0"/>
        <w:rPr>
          <w:rStyle w:val="Strong"/>
        </w:rPr>
      </w:pPr>
      <w:r w:rsidRPr="00793CBB">
        <w:rPr>
          <w:rStyle w:val="Strong"/>
        </w:rPr>
        <w:t>Behaviour Matrix Ratings</w:t>
      </w:r>
    </w:p>
    <w:p w:rsidR="00980F62" w:rsidRDefault="00FB5314" w:rsidP="00FB5314">
      <w:r>
        <w:t xml:space="preserve">The behaviour summary ratings are then used to determine the final behaviour ratings in each </w:t>
      </w:r>
      <w:r w:rsidR="006C1AAA">
        <w:t xml:space="preserve">of </w:t>
      </w:r>
      <w:r>
        <w:t>the items covering wandering, verbal and physical behaviour.</w:t>
      </w:r>
    </w:p>
    <w:p w:rsidR="003217B9" w:rsidRPr="00CF7228" w:rsidRDefault="00197868" w:rsidP="003217B9">
      <w:pPr>
        <w:rPr>
          <w:rFonts w:cstheme="minorHAnsi"/>
          <w:szCs w:val="24"/>
        </w:rPr>
      </w:pPr>
      <w:r>
        <w:rPr>
          <w:rStyle w:val="Strong"/>
          <w:rFonts w:cstheme="minorHAnsi"/>
          <w:szCs w:val="24"/>
        </w:rPr>
        <w:t>Behaviour Checklist Rating</w:t>
      </w:r>
      <w:r w:rsidR="003217B9" w:rsidRPr="00CF7228">
        <w:rPr>
          <w:rStyle w:val="Strong"/>
          <w:rFonts w:cstheme="minorHAnsi"/>
          <w:szCs w:val="24"/>
        </w:rPr>
        <w:t xml:space="preserve">: </w:t>
      </w:r>
      <w:r w:rsidR="003217B9" w:rsidRPr="00CF7228">
        <w:rPr>
          <w:rFonts w:cstheme="minorHAnsi"/>
          <w:szCs w:val="24"/>
        </w:rPr>
        <w:t xml:space="preserve">Rate each behaviour </w:t>
      </w:r>
      <w:r w:rsidR="006C1AAA">
        <w:rPr>
          <w:rFonts w:cstheme="minorHAnsi"/>
          <w:szCs w:val="24"/>
        </w:rPr>
        <w:t>type</w:t>
      </w:r>
      <w:r w:rsidR="006C1AAA" w:rsidRPr="00CF7228">
        <w:rPr>
          <w:rFonts w:cstheme="minorHAnsi"/>
          <w:szCs w:val="24"/>
        </w:rPr>
        <w:t xml:space="preserve"> </w:t>
      </w:r>
      <w:r w:rsidR="003217B9" w:rsidRPr="00CF7228">
        <w:rPr>
          <w:rFonts w:cstheme="minorHAnsi"/>
          <w:szCs w:val="24"/>
        </w:rPr>
        <w:t xml:space="preserve">– Wandering, Verbal, Physical </w:t>
      </w:r>
    </w:p>
    <w:tbl>
      <w:tblPr>
        <w:tblStyle w:val="TableGrid"/>
        <w:tblW w:w="8224" w:type="dxa"/>
        <w:tblInd w:w="85" w:type="dxa"/>
        <w:tblCellMar>
          <w:top w:w="85" w:type="dxa"/>
          <w:left w:w="85" w:type="dxa"/>
          <w:right w:w="85" w:type="dxa"/>
        </w:tblCellMar>
        <w:tblLook w:val="04A0" w:firstRow="1" w:lastRow="0" w:firstColumn="1" w:lastColumn="0" w:noHBand="0" w:noVBand="1"/>
        <w:tblDescription w:val="The Behaviour Checklist Rating table is an example of a tool used by assessors for rating behaviour under the revised aged care funding instrument (R-ACFI). This table is to be read left to right, top to bottom, noting that tick boxes are not functional."/>
      </w:tblPr>
      <w:tblGrid>
        <w:gridCol w:w="2694"/>
        <w:gridCol w:w="1276"/>
        <w:gridCol w:w="1418"/>
        <w:gridCol w:w="1418"/>
        <w:gridCol w:w="1418"/>
      </w:tblGrid>
      <w:tr w:rsidR="003217B9" w:rsidRPr="005224EA" w:rsidTr="001F1D3C">
        <w:trPr>
          <w:trHeight w:val="139"/>
          <w:tblHeader/>
        </w:trPr>
        <w:tc>
          <w:tcPr>
            <w:tcW w:w="2694" w:type="dxa"/>
            <w:shd w:val="clear" w:color="auto" w:fill="D9D9D9" w:themeFill="background1" w:themeFillShade="D9"/>
          </w:tcPr>
          <w:p w:rsidR="003217B9" w:rsidRPr="005224EA" w:rsidRDefault="003217B9" w:rsidP="00A51750">
            <w:pPr>
              <w:pStyle w:val="Tableheader2"/>
              <w:rPr>
                <w:rFonts w:asciiTheme="minorHAnsi" w:hAnsiTheme="minorHAnsi" w:cstheme="minorHAnsi"/>
                <w:sz w:val="22"/>
              </w:rPr>
            </w:pPr>
            <w:r w:rsidRPr="005224EA">
              <w:rPr>
                <w:rFonts w:asciiTheme="minorHAnsi" w:hAnsiTheme="minorHAnsi" w:cstheme="minorHAnsi"/>
                <w:sz w:val="22"/>
              </w:rPr>
              <w:t>R-ACFI 7 Behaviours</w:t>
            </w:r>
          </w:p>
        </w:tc>
        <w:tc>
          <w:tcPr>
            <w:tcW w:w="1276" w:type="dxa"/>
            <w:shd w:val="clear" w:color="auto" w:fill="D9D9D9" w:themeFill="background1" w:themeFillShade="D9"/>
          </w:tcPr>
          <w:p w:rsidR="003217B9" w:rsidRPr="005224EA" w:rsidRDefault="003217B9" w:rsidP="00A51750">
            <w:pPr>
              <w:pStyle w:val="Tableheader2"/>
              <w:jc w:val="center"/>
              <w:rPr>
                <w:rFonts w:asciiTheme="minorHAnsi" w:hAnsiTheme="minorHAnsi" w:cstheme="minorHAnsi"/>
                <w:sz w:val="22"/>
              </w:rPr>
            </w:pPr>
            <w:r w:rsidRPr="005224EA">
              <w:rPr>
                <w:rFonts w:asciiTheme="minorHAnsi" w:hAnsiTheme="minorHAnsi" w:cstheme="minorHAnsi"/>
                <w:sz w:val="22"/>
              </w:rPr>
              <w:t>A</w:t>
            </w:r>
          </w:p>
        </w:tc>
        <w:tc>
          <w:tcPr>
            <w:tcW w:w="1418" w:type="dxa"/>
            <w:shd w:val="clear" w:color="auto" w:fill="D9D9D9" w:themeFill="background1" w:themeFillShade="D9"/>
          </w:tcPr>
          <w:p w:rsidR="003217B9" w:rsidRPr="005224EA" w:rsidRDefault="003217B9" w:rsidP="00A51750">
            <w:pPr>
              <w:pStyle w:val="Tableheader2"/>
              <w:jc w:val="center"/>
              <w:rPr>
                <w:rFonts w:asciiTheme="minorHAnsi" w:hAnsiTheme="minorHAnsi" w:cstheme="minorHAnsi"/>
                <w:sz w:val="22"/>
              </w:rPr>
            </w:pPr>
            <w:r w:rsidRPr="005224EA">
              <w:rPr>
                <w:rFonts w:asciiTheme="minorHAnsi" w:hAnsiTheme="minorHAnsi" w:cstheme="minorHAnsi"/>
                <w:sz w:val="22"/>
              </w:rPr>
              <w:t>B</w:t>
            </w:r>
          </w:p>
        </w:tc>
        <w:tc>
          <w:tcPr>
            <w:tcW w:w="1418" w:type="dxa"/>
            <w:shd w:val="clear" w:color="auto" w:fill="D9D9D9" w:themeFill="background1" w:themeFillShade="D9"/>
          </w:tcPr>
          <w:p w:rsidR="003217B9" w:rsidRPr="005224EA" w:rsidRDefault="003217B9" w:rsidP="00A51750">
            <w:pPr>
              <w:pStyle w:val="Tableheader2"/>
              <w:jc w:val="center"/>
              <w:rPr>
                <w:rFonts w:asciiTheme="minorHAnsi" w:hAnsiTheme="minorHAnsi" w:cstheme="minorHAnsi"/>
                <w:sz w:val="22"/>
              </w:rPr>
            </w:pPr>
            <w:r w:rsidRPr="005224EA">
              <w:rPr>
                <w:rFonts w:asciiTheme="minorHAnsi" w:hAnsiTheme="minorHAnsi" w:cstheme="minorHAnsi"/>
                <w:sz w:val="22"/>
              </w:rPr>
              <w:t>C</w:t>
            </w:r>
          </w:p>
        </w:tc>
        <w:tc>
          <w:tcPr>
            <w:tcW w:w="1418" w:type="dxa"/>
            <w:shd w:val="clear" w:color="auto" w:fill="D9D9D9" w:themeFill="background1" w:themeFillShade="D9"/>
          </w:tcPr>
          <w:p w:rsidR="003217B9" w:rsidRPr="005224EA" w:rsidRDefault="003217B9" w:rsidP="00A51750">
            <w:pPr>
              <w:pStyle w:val="Tableheader2"/>
              <w:jc w:val="center"/>
              <w:rPr>
                <w:rFonts w:asciiTheme="minorHAnsi" w:hAnsiTheme="minorHAnsi" w:cstheme="minorHAnsi"/>
                <w:sz w:val="22"/>
              </w:rPr>
            </w:pPr>
            <w:r w:rsidRPr="005224EA">
              <w:rPr>
                <w:rFonts w:asciiTheme="minorHAnsi" w:hAnsiTheme="minorHAnsi" w:cstheme="minorHAnsi"/>
                <w:sz w:val="22"/>
              </w:rPr>
              <w:t>D</w:t>
            </w:r>
          </w:p>
        </w:tc>
      </w:tr>
      <w:tr w:rsidR="003217B9" w:rsidRPr="005224EA" w:rsidTr="001F1D3C">
        <w:tc>
          <w:tcPr>
            <w:tcW w:w="2694" w:type="dxa"/>
          </w:tcPr>
          <w:p w:rsidR="003217B9" w:rsidRPr="005224EA" w:rsidRDefault="003217B9" w:rsidP="00A51750">
            <w:pPr>
              <w:pStyle w:val="numberedtableheader3"/>
              <w:ind w:left="0" w:firstLine="0"/>
              <w:rPr>
                <w:rFonts w:asciiTheme="minorHAnsi" w:hAnsiTheme="minorHAnsi" w:cstheme="minorHAnsi"/>
                <w:b w:val="0"/>
                <w:sz w:val="22"/>
              </w:rPr>
            </w:pPr>
            <w:r w:rsidRPr="005224EA">
              <w:rPr>
                <w:rFonts w:asciiTheme="minorHAnsi" w:hAnsiTheme="minorHAnsi" w:cstheme="minorHAnsi"/>
                <w:sz w:val="22"/>
              </w:rPr>
              <w:t>Wandering:</w:t>
            </w:r>
            <w:r w:rsidRPr="005224EA">
              <w:rPr>
                <w:rFonts w:asciiTheme="minorHAnsi" w:hAnsiTheme="minorHAnsi" w:cstheme="minorHAnsi"/>
                <w:b w:val="0"/>
                <w:sz w:val="22"/>
              </w:rPr>
              <w:t xml:space="preserve"> (tick one)</w:t>
            </w:r>
          </w:p>
        </w:tc>
        <w:tc>
          <w:tcPr>
            <w:tcW w:w="1276" w:type="dxa"/>
          </w:tcPr>
          <w:p w:rsidR="003217B9" w:rsidRPr="005224EA" w:rsidRDefault="003217B9" w:rsidP="00A51750">
            <w:pPr>
              <w:pStyle w:val="Tabletype2"/>
              <w:spacing w:after="0"/>
              <w:jc w:val="center"/>
              <w:rPr>
                <w:rFonts w:asciiTheme="minorHAnsi" w:hAnsiTheme="minorHAnsi" w:cstheme="minorHAnsi"/>
              </w:rPr>
            </w:pPr>
            <w:r w:rsidRPr="005224EA">
              <w:rPr>
                <w:rFonts w:asciiTheme="minorHAnsi" w:hAnsiTheme="minorHAnsi" w:cstheme="minorHAnsi"/>
                <w:sz w:val="22"/>
              </w:rPr>
              <w:sym w:font="Wingdings" w:char="F06F"/>
            </w:r>
            <w:r w:rsidRPr="005224EA">
              <w:rPr>
                <w:rFonts w:asciiTheme="minorHAnsi" w:hAnsiTheme="minorHAnsi" w:cstheme="minorHAnsi"/>
              </w:rPr>
              <w:t xml:space="preserve"> 0</w:t>
            </w:r>
          </w:p>
        </w:tc>
        <w:tc>
          <w:tcPr>
            <w:tcW w:w="1418" w:type="dxa"/>
          </w:tcPr>
          <w:p w:rsidR="003217B9" w:rsidRPr="005224EA" w:rsidRDefault="003217B9" w:rsidP="00A51750">
            <w:pPr>
              <w:pStyle w:val="Tabletype2"/>
              <w:spacing w:after="0"/>
              <w:jc w:val="center"/>
              <w:rPr>
                <w:rFonts w:asciiTheme="minorHAnsi" w:hAnsiTheme="minorHAnsi" w:cstheme="minorHAnsi"/>
                <w:sz w:val="22"/>
              </w:rPr>
            </w:pPr>
            <w:r w:rsidRPr="005224EA">
              <w:rPr>
                <w:rFonts w:asciiTheme="minorHAnsi" w:hAnsiTheme="minorHAnsi" w:cstheme="minorHAnsi"/>
                <w:sz w:val="22"/>
              </w:rPr>
              <w:sym w:font="Wingdings" w:char="F06F"/>
            </w:r>
            <w:r w:rsidRPr="005224EA">
              <w:rPr>
                <w:rFonts w:asciiTheme="minorHAnsi" w:hAnsiTheme="minorHAnsi" w:cstheme="minorHAnsi"/>
              </w:rPr>
              <w:t xml:space="preserve"> 1</w:t>
            </w:r>
          </w:p>
        </w:tc>
        <w:tc>
          <w:tcPr>
            <w:tcW w:w="1418" w:type="dxa"/>
          </w:tcPr>
          <w:p w:rsidR="003217B9" w:rsidRPr="005224EA" w:rsidRDefault="003217B9" w:rsidP="00A51750">
            <w:pPr>
              <w:pStyle w:val="Tabletype2"/>
              <w:spacing w:after="0"/>
              <w:jc w:val="center"/>
              <w:rPr>
                <w:rFonts w:asciiTheme="minorHAnsi" w:hAnsiTheme="minorHAnsi" w:cstheme="minorHAnsi"/>
                <w:sz w:val="22"/>
              </w:rPr>
            </w:pPr>
            <w:r w:rsidRPr="005224EA">
              <w:rPr>
                <w:rFonts w:asciiTheme="minorHAnsi" w:hAnsiTheme="minorHAnsi" w:cstheme="minorHAnsi"/>
                <w:sz w:val="22"/>
              </w:rPr>
              <w:sym w:font="Wingdings" w:char="F06F"/>
            </w:r>
            <w:r w:rsidRPr="005224EA">
              <w:rPr>
                <w:rFonts w:asciiTheme="minorHAnsi" w:hAnsiTheme="minorHAnsi" w:cstheme="minorHAnsi"/>
              </w:rPr>
              <w:t xml:space="preserve"> 2</w:t>
            </w:r>
          </w:p>
        </w:tc>
        <w:tc>
          <w:tcPr>
            <w:tcW w:w="1418" w:type="dxa"/>
          </w:tcPr>
          <w:p w:rsidR="003217B9" w:rsidRPr="005224EA" w:rsidRDefault="003217B9" w:rsidP="00A51750">
            <w:pPr>
              <w:pStyle w:val="Tabletype2"/>
              <w:spacing w:after="0"/>
              <w:jc w:val="center"/>
              <w:rPr>
                <w:rFonts w:asciiTheme="minorHAnsi" w:hAnsiTheme="minorHAnsi" w:cstheme="minorHAnsi"/>
                <w:sz w:val="22"/>
              </w:rPr>
            </w:pPr>
            <w:r w:rsidRPr="005224EA">
              <w:rPr>
                <w:rFonts w:asciiTheme="minorHAnsi" w:hAnsiTheme="minorHAnsi" w:cstheme="minorHAnsi"/>
                <w:sz w:val="22"/>
              </w:rPr>
              <w:sym w:font="Wingdings" w:char="F06F"/>
            </w:r>
            <w:r w:rsidRPr="005224EA">
              <w:rPr>
                <w:rFonts w:asciiTheme="minorHAnsi" w:hAnsiTheme="minorHAnsi" w:cstheme="minorHAnsi"/>
              </w:rPr>
              <w:t xml:space="preserve"> 3</w:t>
            </w:r>
          </w:p>
        </w:tc>
      </w:tr>
      <w:tr w:rsidR="003217B9" w:rsidRPr="005224EA" w:rsidTr="001F1D3C">
        <w:trPr>
          <w:trHeight w:val="418"/>
        </w:trPr>
        <w:tc>
          <w:tcPr>
            <w:tcW w:w="2694" w:type="dxa"/>
          </w:tcPr>
          <w:p w:rsidR="003217B9" w:rsidRPr="005224EA" w:rsidRDefault="003217B9" w:rsidP="00A51750">
            <w:pPr>
              <w:pStyle w:val="Tabletype2"/>
              <w:rPr>
                <w:rFonts w:asciiTheme="minorHAnsi" w:hAnsiTheme="minorHAnsi" w:cstheme="minorHAnsi"/>
                <w:sz w:val="22"/>
                <w:szCs w:val="22"/>
                <w:lang w:eastAsia="en-AU"/>
              </w:rPr>
            </w:pPr>
            <w:r w:rsidRPr="005224EA">
              <w:rPr>
                <w:rFonts w:asciiTheme="minorHAnsi" w:hAnsiTheme="minorHAnsi" w:cstheme="minorHAnsi"/>
                <w:b/>
                <w:sz w:val="22"/>
                <w:szCs w:val="22"/>
                <w:lang w:eastAsia="en-AU"/>
              </w:rPr>
              <w:t xml:space="preserve">Verbal: </w:t>
            </w:r>
            <w:r w:rsidRPr="005224EA">
              <w:rPr>
                <w:rFonts w:asciiTheme="minorHAnsi" w:hAnsiTheme="minorHAnsi" w:cstheme="minorHAnsi"/>
                <w:sz w:val="22"/>
                <w:szCs w:val="22"/>
                <w:lang w:eastAsia="en-AU"/>
              </w:rPr>
              <w:t>(tick one)</w:t>
            </w:r>
          </w:p>
        </w:tc>
        <w:tc>
          <w:tcPr>
            <w:tcW w:w="1276" w:type="dxa"/>
          </w:tcPr>
          <w:p w:rsidR="003217B9" w:rsidRPr="005224EA" w:rsidRDefault="003217B9" w:rsidP="00A51750">
            <w:pPr>
              <w:pStyle w:val="Tabletype2"/>
              <w:spacing w:after="0"/>
              <w:jc w:val="center"/>
              <w:rPr>
                <w:rFonts w:asciiTheme="minorHAnsi" w:hAnsiTheme="minorHAnsi" w:cstheme="minorHAnsi"/>
              </w:rPr>
            </w:pPr>
            <w:r w:rsidRPr="005224EA">
              <w:rPr>
                <w:rFonts w:asciiTheme="minorHAnsi" w:hAnsiTheme="minorHAnsi" w:cstheme="minorHAnsi"/>
                <w:sz w:val="22"/>
              </w:rPr>
              <w:sym w:font="Wingdings" w:char="F06F"/>
            </w:r>
            <w:r w:rsidRPr="005224EA">
              <w:rPr>
                <w:rFonts w:asciiTheme="minorHAnsi" w:hAnsiTheme="minorHAnsi" w:cstheme="minorHAnsi"/>
              </w:rPr>
              <w:t xml:space="preserve"> 0</w:t>
            </w:r>
          </w:p>
        </w:tc>
        <w:tc>
          <w:tcPr>
            <w:tcW w:w="1418" w:type="dxa"/>
          </w:tcPr>
          <w:p w:rsidR="003217B9" w:rsidRPr="005224EA" w:rsidRDefault="003217B9" w:rsidP="00A51750">
            <w:pPr>
              <w:pStyle w:val="Tabletype2"/>
              <w:spacing w:after="0"/>
              <w:jc w:val="center"/>
              <w:rPr>
                <w:rFonts w:asciiTheme="minorHAnsi" w:hAnsiTheme="minorHAnsi" w:cstheme="minorHAnsi"/>
                <w:sz w:val="22"/>
              </w:rPr>
            </w:pPr>
            <w:r w:rsidRPr="005224EA">
              <w:rPr>
                <w:rFonts w:asciiTheme="minorHAnsi" w:hAnsiTheme="minorHAnsi" w:cstheme="minorHAnsi"/>
                <w:sz w:val="22"/>
              </w:rPr>
              <w:sym w:font="Wingdings" w:char="F06F"/>
            </w:r>
            <w:r w:rsidRPr="005224EA">
              <w:rPr>
                <w:rFonts w:asciiTheme="minorHAnsi" w:hAnsiTheme="minorHAnsi" w:cstheme="minorHAnsi"/>
              </w:rPr>
              <w:t xml:space="preserve"> 1</w:t>
            </w:r>
          </w:p>
        </w:tc>
        <w:tc>
          <w:tcPr>
            <w:tcW w:w="1418" w:type="dxa"/>
          </w:tcPr>
          <w:p w:rsidR="003217B9" w:rsidRPr="005224EA" w:rsidRDefault="003217B9" w:rsidP="00A51750">
            <w:pPr>
              <w:pStyle w:val="Tabletype2"/>
              <w:spacing w:after="0"/>
              <w:jc w:val="center"/>
              <w:rPr>
                <w:rFonts w:asciiTheme="minorHAnsi" w:hAnsiTheme="minorHAnsi" w:cstheme="minorHAnsi"/>
                <w:sz w:val="22"/>
              </w:rPr>
            </w:pPr>
            <w:r w:rsidRPr="005224EA">
              <w:rPr>
                <w:rFonts w:asciiTheme="minorHAnsi" w:hAnsiTheme="minorHAnsi" w:cstheme="minorHAnsi"/>
                <w:sz w:val="22"/>
              </w:rPr>
              <w:sym w:font="Wingdings" w:char="F06F"/>
            </w:r>
            <w:r w:rsidRPr="005224EA">
              <w:rPr>
                <w:rFonts w:asciiTheme="minorHAnsi" w:hAnsiTheme="minorHAnsi" w:cstheme="minorHAnsi"/>
              </w:rPr>
              <w:t xml:space="preserve"> 2</w:t>
            </w:r>
          </w:p>
        </w:tc>
        <w:tc>
          <w:tcPr>
            <w:tcW w:w="1418" w:type="dxa"/>
          </w:tcPr>
          <w:p w:rsidR="003217B9" w:rsidRPr="005224EA" w:rsidRDefault="003217B9" w:rsidP="00A51750">
            <w:pPr>
              <w:pStyle w:val="Tabletype2"/>
              <w:spacing w:after="0"/>
              <w:jc w:val="center"/>
              <w:rPr>
                <w:rFonts w:asciiTheme="minorHAnsi" w:hAnsiTheme="minorHAnsi" w:cstheme="minorHAnsi"/>
                <w:sz w:val="22"/>
              </w:rPr>
            </w:pPr>
            <w:r w:rsidRPr="005224EA">
              <w:rPr>
                <w:rFonts w:asciiTheme="minorHAnsi" w:hAnsiTheme="minorHAnsi" w:cstheme="minorHAnsi"/>
                <w:sz w:val="22"/>
              </w:rPr>
              <w:sym w:font="Wingdings" w:char="F06F"/>
            </w:r>
            <w:r w:rsidRPr="005224EA">
              <w:rPr>
                <w:rFonts w:asciiTheme="minorHAnsi" w:hAnsiTheme="minorHAnsi" w:cstheme="minorHAnsi"/>
              </w:rPr>
              <w:t xml:space="preserve"> 3</w:t>
            </w:r>
          </w:p>
        </w:tc>
      </w:tr>
      <w:tr w:rsidR="003217B9" w:rsidRPr="005224EA" w:rsidTr="001F1D3C">
        <w:trPr>
          <w:trHeight w:val="32"/>
        </w:trPr>
        <w:tc>
          <w:tcPr>
            <w:tcW w:w="2694" w:type="dxa"/>
          </w:tcPr>
          <w:p w:rsidR="003217B9" w:rsidRPr="005224EA" w:rsidRDefault="003217B9" w:rsidP="00A51750">
            <w:pPr>
              <w:pStyle w:val="numberedtableheader3"/>
              <w:ind w:left="0" w:firstLine="0"/>
              <w:rPr>
                <w:rFonts w:asciiTheme="minorHAnsi" w:hAnsiTheme="minorHAnsi" w:cstheme="minorHAnsi"/>
                <w:b w:val="0"/>
                <w:sz w:val="22"/>
              </w:rPr>
            </w:pPr>
            <w:r w:rsidRPr="005224EA">
              <w:rPr>
                <w:rFonts w:asciiTheme="minorHAnsi" w:hAnsiTheme="minorHAnsi" w:cstheme="minorHAnsi"/>
                <w:sz w:val="22"/>
                <w:lang w:eastAsia="en-AU"/>
              </w:rPr>
              <w:t xml:space="preserve">Physical: </w:t>
            </w:r>
            <w:r w:rsidRPr="005224EA">
              <w:rPr>
                <w:rFonts w:asciiTheme="minorHAnsi" w:hAnsiTheme="minorHAnsi" w:cstheme="minorHAnsi"/>
                <w:b w:val="0"/>
                <w:sz w:val="22"/>
                <w:lang w:eastAsia="en-AU"/>
              </w:rPr>
              <w:t>(tick one)</w:t>
            </w:r>
          </w:p>
        </w:tc>
        <w:tc>
          <w:tcPr>
            <w:tcW w:w="1276" w:type="dxa"/>
          </w:tcPr>
          <w:p w:rsidR="003217B9" w:rsidRPr="005224EA" w:rsidRDefault="003217B9" w:rsidP="00A51750">
            <w:pPr>
              <w:pStyle w:val="Tabletype2"/>
              <w:spacing w:after="0"/>
              <w:jc w:val="center"/>
              <w:rPr>
                <w:rFonts w:asciiTheme="minorHAnsi" w:hAnsiTheme="minorHAnsi" w:cstheme="minorHAnsi"/>
              </w:rPr>
            </w:pPr>
            <w:r w:rsidRPr="005224EA">
              <w:rPr>
                <w:rFonts w:asciiTheme="minorHAnsi" w:hAnsiTheme="minorHAnsi" w:cstheme="minorHAnsi"/>
                <w:sz w:val="22"/>
              </w:rPr>
              <w:sym w:font="Wingdings" w:char="F06F"/>
            </w:r>
            <w:r w:rsidRPr="005224EA">
              <w:rPr>
                <w:rFonts w:asciiTheme="minorHAnsi" w:hAnsiTheme="minorHAnsi" w:cstheme="minorHAnsi"/>
              </w:rPr>
              <w:t xml:space="preserve"> 0</w:t>
            </w:r>
          </w:p>
        </w:tc>
        <w:tc>
          <w:tcPr>
            <w:tcW w:w="1418" w:type="dxa"/>
          </w:tcPr>
          <w:p w:rsidR="003217B9" w:rsidRPr="005224EA" w:rsidRDefault="003217B9" w:rsidP="00A51750">
            <w:pPr>
              <w:pStyle w:val="Tabletype2"/>
              <w:spacing w:after="0"/>
              <w:jc w:val="center"/>
              <w:rPr>
                <w:rFonts w:asciiTheme="minorHAnsi" w:hAnsiTheme="minorHAnsi" w:cstheme="minorHAnsi"/>
                <w:sz w:val="22"/>
              </w:rPr>
            </w:pPr>
            <w:r w:rsidRPr="005224EA">
              <w:rPr>
                <w:rFonts w:asciiTheme="minorHAnsi" w:hAnsiTheme="minorHAnsi" w:cstheme="minorHAnsi"/>
                <w:sz w:val="22"/>
              </w:rPr>
              <w:sym w:font="Wingdings" w:char="F06F"/>
            </w:r>
            <w:r w:rsidRPr="005224EA">
              <w:rPr>
                <w:rFonts w:asciiTheme="minorHAnsi" w:hAnsiTheme="minorHAnsi" w:cstheme="minorHAnsi"/>
              </w:rPr>
              <w:t xml:space="preserve"> 1</w:t>
            </w:r>
          </w:p>
        </w:tc>
        <w:tc>
          <w:tcPr>
            <w:tcW w:w="1418" w:type="dxa"/>
          </w:tcPr>
          <w:p w:rsidR="003217B9" w:rsidRPr="005224EA" w:rsidRDefault="003217B9" w:rsidP="00A51750">
            <w:pPr>
              <w:pStyle w:val="Tabletype2"/>
              <w:spacing w:after="0"/>
              <w:jc w:val="center"/>
              <w:rPr>
                <w:rFonts w:asciiTheme="minorHAnsi" w:hAnsiTheme="minorHAnsi" w:cstheme="minorHAnsi"/>
                <w:sz w:val="22"/>
              </w:rPr>
            </w:pPr>
            <w:r w:rsidRPr="005224EA">
              <w:rPr>
                <w:rFonts w:asciiTheme="minorHAnsi" w:hAnsiTheme="minorHAnsi" w:cstheme="minorHAnsi"/>
                <w:sz w:val="22"/>
              </w:rPr>
              <w:sym w:font="Wingdings" w:char="F06F"/>
            </w:r>
            <w:r w:rsidRPr="005224EA">
              <w:rPr>
                <w:rFonts w:asciiTheme="minorHAnsi" w:hAnsiTheme="minorHAnsi" w:cstheme="minorHAnsi"/>
              </w:rPr>
              <w:t xml:space="preserve"> 2</w:t>
            </w:r>
          </w:p>
        </w:tc>
        <w:tc>
          <w:tcPr>
            <w:tcW w:w="1418" w:type="dxa"/>
          </w:tcPr>
          <w:p w:rsidR="003217B9" w:rsidRPr="005224EA" w:rsidRDefault="003217B9" w:rsidP="00A51750">
            <w:pPr>
              <w:pStyle w:val="Tabletype2"/>
              <w:spacing w:after="0"/>
              <w:jc w:val="center"/>
              <w:rPr>
                <w:rFonts w:asciiTheme="minorHAnsi" w:hAnsiTheme="minorHAnsi" w:cstheme="minorHAnsi"/>
                <w:sz w:val="22"/>
              </w:rPr>
            </w:pPr>
            <w:r w:rsidRPr="005224EA">
              <w:rPr>
                <w:rFonts w:asciiTheme="minorHAnsi" w:hAnsiTheme="minorHAnsi" w:cstheme="minorHAnsi"/>
                <w:sz w:val="22"/>
              </w:rPr>
              <w:sym w:font="Wingdings" w:char="F06F"/>
            </w:r>
            <w:r w:rsidRPr="005224EA">
              <w:rPr>
                <w:rFonts w:asciiTheme="minorHAnsi" w:hAnsiTheme="minorHAnsi" w:cstheme="minorHAnsi"/>
              </w:rPr>
              <w:t xml:space="preserve"> 3</w:t>
            </w:r>
          </w:p>
        </w:tc>
      </w:tr>
    </w:tbl>
    <w:p w:rsidR="003217B9" w:rsidRPr="001443BC" w:rsidRDefault="003217B9" w:rsidP="001F2491">
      <w:pPr>
        <w:pStyle w:val="Heading3-Chapter54"/>
        <w:rPr>
          <w:lang w:eastAsia="en-AU"/>
        </w:rPr>
      </w:pPr>
      <w:bookmarkStart w:id="380" w:name="_Toc485990614"/>
      <w:bookmarkEnd w:id="376"/>
      <w:r w:rsidRPr="001443BC">
        <w:rPr>
          <w:lang w:eastAsia="en-AU"/>
        </w:rPr>
        <w:t>The R-ACFI BEH Classification Model</w:t>
      </w:r>
      <w:bookmarkEnd w:id="380"/>
    </w:p>
    <w:p w:rsidR="00980F62" w:rsidRDefault="003217B9" w:rsidP="003217B9">
      <w:pPr>
        <w:rPr>
          <w:lang w:eastAsia="en-AU"/>
        </w:rPr>
      </w:pPr>
      <w:r w:rsidRPr="00381DE3">
        <w:rPr>
          <w:lang w:eastAsia="en-AU"/>
        </w:rPr>
        <w:t>Apart from the re</w:t>
      </w:r>
      <w:r w:rsidR="00381DE3">
        <w:rPr>
          <w:lang w:eastAsia="en-AU"/>
        </w:rPr>
        <w:t xml:space="preserve">location </w:t>
      </w:r>
      <w:r w:rsidRPr="00381DE3">
        <w:rPr>
          <w:lang w:eastAsia="en-AU"/>
        </w:rPr>
        <w:t>of the Depression question to the C</w:t>
      </w:r>
      <w:r w:rsidR="003A290B" w:rsidRPr="003A55D6">
        <w:rPr>
          <w:lang w:eastAsia="en-AU"/>
        </w:rPr>
        <w:t>HC</w:t>
      </w:r>
      <w:r w:rsidRPr="00381DE3">
        <w:rPr>
          <w:lang w:eastAsia="en-AU"/>
        </w:rPr>
        <w:t xml:space="preserve"> domain</w:t>
      </w:r>
      <w:r w:rsidR="00381DE3">
        <w:rPr>
          <w:lang w:eastAsia="en-AU"/>
        </w:rPr>
        <w:t>,</w:t>
      </w:r>
      <w:r w:rsidRPr="00381DE3">
        <w:rPr>
          <w:lang w:eastAsia="en-AU"/>
        </w:rPr>
        <w:t xml:space="preserve"> the B</w:t>
      </w:r>
      <w:r w:rsidR="00381DE3">
        <w:rPr>
          <w:lang w:eastAsia="en-AU"/>
        </w:rPr>
        <w:t>EH</w:t>
      </w:r>
      <w:r w:rsidRPr="00381DE3">
        <w:rPr>
          <w:lang w:eastAsia="en-AU"/>
        </w:rPr>
        <w:t xml:space="preserve"> domain classification is still determined from the current A, B, C, D question weights which have been re-configured to add to 100, summed and then grouped into three domain categories of None/Low, Medium and High. The cut points have, however, been revised to include </w:t>
      </w:r>
      <w:r w:rsidR="002C205F">
        <w:rPr>
          <w:lang w:eastAsia="en-AU"/>
        </w:rPr>
        <w:t xml:space="preserve">more behaviours in the </w:t>
      </w:r>
      <w:r w:rsidRPr="00381DE3">
        <w:rPr>
          <w:lang w:eastAsia="en-AU"/>
        </w:rPr>
        <w:t>standard care level.</w:t>
      </w:r>
    </w:p>
    <w:p w:rsidR="00980F62" w:rsidRDefault="003217B9" w:rsidP="003217B9">
      <w:pPr>
        <w:rPr>
          <w:lang w:eastAsia="en-AU"/>
        </w:rPr>
      </w:pPr>
      <w:r w:rsidRPr="00381DE3">
        <w:rPr>
          <w:lang w:eastAsia="en-AU"/>
        </w:rPr>
        <w:t>Specific details of the classifications and funding level ch</w:t>
      </w:r>
      <w:r w:rsidR="00DC1E6C">
        <w:rPr>
          <w:lang w:eastAsia="en-AU"/>
        </w:rPr>
        <w:t xml:space="preserve">anges are described in </w:t>
      </w:r>
      <w:hyperlink w:anchor="Ch08" w:history="1">
        <w:r w:rsidR="00DC1E6C" w:rsidRPr="00A91929">
          <w:rPr>
            <w:rStyle w:val="Hyperlink"/>
            <w:lang w:eastAsia="en-AU"/>
          </w:rPr>
          <w:t>Chapter 8</w:t>
        </w:r>
      </w:hyperlink>
      <w:r w:rsidRPr="00381DE3">
        <w:rPr>
          <w:lang w:eastAsia="en-AU"/>
        </w:rPr>
        <w:t>.</w:t>
      </w:r>
    </w:p>
    <w:p w:rsidR="003217B9" w:rsidRDefault="003217B9" w:rsidP="003217B9">
      <w:r w:rsidRPr="00381DE3">
        <w:t>A Mental and Behavioural diagnosis (excluding Depression as this is now covered in the C</w:t>
      </w:r>
      <w:r w:rsidR="003A290B" w:rsidRPr="003A55D6">
        <w:t>HC</w:t>
      </w:r>
      <w:r w:rsidRPr="00381DE3">
        <w:t xml:space="preserve"> domain) is still required to receive the highest funding level in the B</w:t>
      </w:r>
      <w:r w:rsidR="00381DE3">
        <w:t>EH</w:t>
      </w:r>
      <w:r w:rsidRPr="00381DE3">
        <w:t xml:space="preserve"> domain.</w:t>
      </w:r>
    </w:p>
    <w:p w:rsidR="00C62981" w:rsidRDefault="00C62981" w:rsidP="00C62981">
      <w:r w:rsidRPr="001C7BFC">
        <w:rPr>
          <w:szCs w:val="24"/>
        </w:rPr>
        <w:t xml:space="preserve">A referral </w:t>
      </w:r>
      <w:r>
        <w:rPr>
          <w:szCs w:val="24"/>
        </w:rPr>
        <w:t xml:space="preserve">and review by </w:t>
      </w:r>
      <w:r w:rsidRPr="001C7BFC">
        <w:rPr>
          <w:szCs w:val="24"/>
        </w:rPr>
        <w:t>a Behaviour Specialist (e.g. DBMAS; Psychiatrist; Psychologist) and Behaviour Care Plan is also required to receive the highest funding level in the Behaviour domain.</w:t>
      </w:r>
    </w:p>
    <w:p w:rsidR="003217B9" w:rsidRPr="001443BC" w:rsidRDefault="003217B9" w:rsidP="001F2491">
      <w:pPr>
        <w:pStyle w:val="Heading3-Chapter54"/>
        <w:rPr>
          <w:lang w:eastAsia="en-AU"/>
        </w:rPr>
      </w:pPr>
      <w:bookmarkStart w:id="381" w:name="_Toc485990615"/>
      <w:bookmarkStart w:id="382" w:name="_Hlk485929609"/>
      <w:r w:rsidRPr="001443BC">
        <w:rPr>
          <w:lang w:eastAsia="en-AU"/>
        </w:rPr>
        <w:lastRenderedPageBreak/>
        <w:t>Accountability</w:t>
      </w:r>
      <w:bookmarkEnd w:id="381"/>
    </w:p>
    <w:p w:rsidR="003217B9" w:rsidRPr="001443BC" w:rsidRDefault="003217B9" w:rsidP="003217B9">
      <w:pPr>
        <w:rPr>
          <w:color w:val="000000" w:themeColor="text1"/>
          <w:lang w:eastAsia="en-AU"/>
        </w:rPr>
      </w:pPr>
      <w:r w:rsidRPr="001443BC">
        <w:rPr>
          <w:color w:val="000000" w:themeColor="text1"/>
          <w:lang w:eastAsia="en-AU"/>
        </w:rPr>
        <w:t>The strategies to improve accountability are:</w:t>
      </w:r>
    </w:p>
    <w:p w:rsidR="00980F62" w:rsidRDefault="003217B9" w:rsidP="00557DB1">
      <w:pPr>
        <w:pStyle w:val="ListParagraph"/>
        <w:numPr>
          <w:ilvl w:val="0"/>
          <w:numId w:val="21"/>
        </w:numPr>
      </w:pPr>
      <w:r w:rsidRPr="001443BC">
        <w:t>New recommended mandated assessment in Cognition that matches the current gateway toolkit and will fit into an external assessment or RACF approach as it is commonly used in aged care.</w:t>
      </w:r>
    </w:p>
    <w:p w:rsidR="003217B9" w:rsidRPr="001443BC" w:rsidRDefault="003217B9" w:rsidP="00557DB1">
      <w:pPr>
        <w:pStyle w:val="ListParagraph"/>
        <w:numPr>
          <w:ilvl w:val="0"/>
          <w:numId w:val="21"/>
        </w:numPr>
      </w:pPr>
      <w:r w:rsidRPr="001443BC">
        <w:t>Recommendation to add an individualised behaviour description that will strengthen the linking of documentation to the evidence of the behaviour.</w:t>
      </w:r>
    </w:p>
    <w:p w:rsidR="003217B9" w:rsidRPr="001443BC" w:rsidRDefault="003217B9" w:rsidP="00557DB1">
      <w:pPr>
        <w:pStyle w:val="ListParagraph"/>
        <w:numPr>
          <w:ilvl w:val="0"/>
          <w:numId w:val="21"/>
        </w:numPr>
      </w:pPr>
      <w:r w:rsidRPr="001443BC">
        <w:t xml:space="preserve">Recommendation to add a behaviour disruptiveness scale – this scale is a better fit to the </w:t>
      </w:r>
      <w:r w:rsidR="00321A15" w:rsidRPr="001443BC">
        <w:t>External Assessor</w:t>
      </w:r>
      <w:r w:rsidRPr="001443BC">
        <w:t xml:space="preserve"> as it asks about events that were disruptive.</w:t>
      </w:r>
    </w:p>
    <w:p w:rsidR="00980F62" w:rsidRDefault="003217B9" w:rsidP="00557DB1">
      <w:pPr>
        <w:pStyle w:val="ListParagraph"/>
        <w:numPr>
          <w:ilvl w:val="0"/>
          <w:numId w:val="21"/>
        </w:numPr>
      </w:pPr>
      <w:r w:rsidRPr="001443BC">
        <w:rPr>
          <w:color w:val="000000" w:themeColor="text1"/>
          <w:lang w:eastAsia="en-AU"/>
        </w:rPr>
        <w:t xml:space="preserve">Supporting </w:t>
      </w:r>
      <w:r w:rsidRPr="001443BC">
        <w:rPr>
          <w:color w:val="000000" w:themeColor="text1"/>
        </w:rPr>
        <w:t>family members to sign off on the ACFI pack – this would also support C</w:t>
      </w:r>
      <w:r w:rsidR="00381DE3" w:rsidRPr="001443BC">
        <w:rPr>
          <w:color w:val="000000" w:themeColor="text1"/>
        </w:rPr>
        <w:t>DC</w:t>
      </w:r>
      <w:r w:rsidRPr="001443BC">
        <w:rPr>
          <w:color w:val="000000" w:themeColor="text1"/>
        </w:rPr>
        <w:t xml:space="preserve"> practices </w:t>
      </w:r>
      <w:r w:rsidRPr="001443BC">
        <w:t>by ensuring that they have a clear understanding of their relative’s care needs and required services.</w:t>
      </w:r>
    </w:p>
    <w:p w:rsidR="00980F62" w:rsidRDefault="003217B9" w:rsidP="00557DB1">
      <w:pPr>
        <w:pStyle w:val="ListParagraph"/>
        <w:numPr>
          <w:ilvl w:val="0"/>
          <w:numId w:val="21"/>
        </w:numPr>
        <w:rPr>
          <w:color w:val="000000" w:themeColor="text1"/>
        </w:rPr>
      </w:pPr>
      <w:r w:rsidRPr="001443BC">
        <w:rPr>
          <w:color w:val="000000" w:themeColor="text1"/>
        </w:rPr>
        <w:t>Mandating that a RN or AHP sign off on all assessments as this is current practice in most organisations, for both legal and quality requirements.</w:t>
      </w:r>
    </w:p>
    <w:p w:rsidR="00980F62" w:rsidRDefault="003217B9" w:rsidP="00557DB1">
      <w:pPr>
        <w:pStyle w:val="ListParagraph"/>
        <w:numPr>
          <w:ilvl w:val="0"/>
          <w:numId w:val="21"/>
        </w:numPr>
        <w:rPr>
          <w:color w:val="000000" w:themeColor="text1"/>
        </w:rPr>
      </w:pPr>
      <w:r w:rsidRPr="001443BC">
        <w:rPr>
          <w:color w:val="000000" w:themeColor="text1"/>
        </w:rPr>
        <w:t xml:space="preserve">The ACFI User Guide </w:t>
      </w:r>
      <w:r w:rsidR="00A21E7E" w:rsidRPr="001443BC">
        <w:rPr>
          <w:color w:val="000000" w:themeColor="text1"/>
        </w:rPr>
        <w:t>sh</w:t>
      </w:r>
      <w:r w:rsidRPr="001443BC">
        <w:rPr>
          <w:color w:val="000000" w:themeColor="text1"/>
        </w:rPr>
        <w:t>ould emphasise that Health Professionals are accountable to their registration body (AHPRA) for their professional decisions, and identified issues will be referred to AHPRA.</w:t>
      </w:r>
    </w:p>
    <w:bookmarkEnd w:id="382"/>
    <w:p w:rsidR="0005776C" w:rsidRPr="001443BC" w:rsidRDefault="0005776C" w:rsidP="001F2491">
      <w:pPr>
        <w:pStyle w:val="Heading3-Chapter54"/>
      </w:pPr>
      <w:r w:rsidRPr="001443BC">
        <w:t>The B</w:t>
      </w:r>
      <w:r w:rsidR="00381DE3" w:rsidRPr="001443BC">
        <w:t>EH</w:t>
      </w:r>
      <w:r w:rsidRPr="001443BC">
        <w:t xml:space="preserve"> Domain - R-ACFI snapshot</w:t>
      </w:r>
    </w:p>
    <w:p w:rsidR="00980F62" w:rsidRDefault="003460E7" w:rsidP="003460E7">
      <w:pPr>
        <w:spacing w:after="200"/>
      </w:pPr>
      <w:bookmarkStart w:id="383" w:name="_Hlk485929197"/>
      <w:bookmarkEnd w:id="377"/>
      <w:r>
        <w:t>The R-ACFI is recommended to have three Behaviour domain levels (Nil, Moderate, High).</w:t>
      </w:r>
      <w:r w:rsidR="007A576E">
        <w:t xml:space="preserve"> </w:t>
      </w:r>
      <w:r>
        <w:t>The Depression item and its associated funding has been moved to the Complex Health C</w:t>
      </w:r>
      <w:r w:rsidR="00CB1EDD">
        <w:t>are domain.</w:t>
      </w:r>
      <w:r w:rsidR="007A576E">
        <w:t xml:space="preserve"> </w:t>
      </w:r>
      <w:r w:rsidR="00CB1EDD">
        <w:t>This change has le</w:t>
      </w:r>
      <w:r>
        <w:t xml:space="preserve">d to a </w:t>
      </w:r>
      <w:r w:rsidR="00CB1EDD">
        <w:t xml:space="preserve">slight </w:t>
      </w:r>
      <w:r>
        <w:t xml:space="preserve">reduction in the maximum funding allocated from the </w:t>
      </w:r>
      <w:r w:rsidR="00022E4C">
        <w:t>current ACFI BEH domain</w:t>
      </w:r>
      <w:r>
        <w:t>.</w:t>
      </w:r>
      <w:r w:rsidR="007A576E">
        <w:t xml:space="preserve"> </w:t>
      </w:r>
      <w:r>
        <w:t xml:space="preserve">Full details of the R-ACFI Behaviour domain funding level are </w:t>
      </w:r>
      <w:r w:rsidRPr="006512B5">
        <w:t xml:space="preserve">shown in </w:t>
      </w:r>
      <w:hyperlink w:anchor="Ch08" w:history="1">
        <w:r w:rsidRPr="00A91929">
          <w:rPr>
            <w:rStyle w:val="Hyperlink"/>
          </w:rPr>
          <w:t>Chapter 8</w:t>
        </w:r>
      </w:hyperlink>
      <w:r w:rsidRPr="006512B5">
        <w:t>.</w:t>
      </w:r>
    </w:p>
    <w:p w:rsidR="00980F62" w:rsidRDefault="003460E7" w:rsidP="003460E7">
      <w:pPr>
        <w:spacing w:after="200"/>
        <w:rPr>
          <w:lang w:eastAsia="en-AU"/>
        </w:rPr>
      </w:pPr>
      <w:r>
        <w:rPr>
          <w:lang w:eastAsia="en-AU"/>
        </w:rPr>
        <w:t>The changes to the Behaviour domain (in brief) include:</w:t>
      </w:r>
    </w:p>
    <w:p w:rsidR="00980F62" w:rsidRDefault="00CB1EDD" w:rsidP="00F02312">
      <w:pPr>
        <w:pStyle w:val="ListParagraph"/>
        <w:numPr>
          <w:ilvl w:val="0"/>
          <w:numId w:val="165"/>
        </w:numPr>
        <w:spacing w:after="0"/>
        <w:ind w:left="357" w:hanging="357"/>
        <w:rPr>
          <w:lang w:eastAsia="en-AU"/>
        </w:rPr>
      </w:pPr>
      <w:r>
        <w:rPr>
          <w:lang w:eastAsia="en-AU"/>
        </w:rPr>
        <w:t>Become a three-</w:t>
      </w:r>
      <w:r w:rsidR="003460E7">
        <w:rPr>
          <w:lang w:eastAsia="en-AU"/>
        </w:rPr>
        <w:t>level domain with levels of Nil, Moderate and High.</w:t>
      </w:r>
      <w:r w:rsidR="007A576E">
        <w:rPr>
          <w:lang w:eastAsia="en-AU"/>
        </w:rPr>
        <w:t xml:space="preserve"> </w:t>
      </w:r>
      <w:r w:rsidR="003460E7">
        <w:rPr>
          <w:lang w:eastAsia="en-AU"/>
        </w:rPr>
        <w:t>Analysis of the distribution of t</w:t>
      </w:r>
      <w:r w:rsidR="001C7BFC">
        <w:rPr>
          <w:lang w:eastAsia="en-AU"/>
        </w:rPr>
        <w:t>he scores indicated that a four-</w:t>
      </w:r>
      <w:r w:rsidR="003460E7">
        <w:rPr>
          <w:lang w:eastAsia="en-AU"/>
        </w:rPr>
        <w:t>level split was not necessary to achieve the sufficient precision for funding allocation purposes.</w:t>
      </w:r>
    </w:p>
    <w:p w:rsidR="003460E7" w:rsidRPr="00557DB1" w:rsidRDefault="003460E7" w:rsidP="00F02312">
      <w:pPr>
        <w:pStyle w:val="ListParagraph"/>
        <w:numPr>
          <w:ilvl w:val="0"/>
          <w:numId w:val="165"/>
        </w:numPr>
        <w:spacing w:after="0"/>
        <w:ind w:left="357" w:hanging="357"/>
        <w:rPr>
          <w:color w:val="000000" w:themeColor="text1"/>
          <w:lang w:eastAsia="en-AU"/>
        </w:rPr>
      </w:pPr>
      <w:r w:rsidRPr="00557DB1">
        <w:rPr>
          <w:bCs/>
          <w:color w:val="000000" w:themeColor="text1"/>
          <w:szCs w:val="24"/>
          <w:lang w:eastAsia="en-AU"/>
        </w:rPr>
        <w:t>A single ACFI Behaviour question replaces the three separate behaviour questions Wandering, Verbal and Physical.</w:t>
      </w:r>
    </w:p>
    <w:p w:rsidR="003460E7" w:rsidRDefault="003460E7" w:rsidP="00F02312">
      <w:pPr>
        <w:pStyle w:val="ListParagraph"/>
        <w:numPr>
          <w:ilvl w:val="0"/>
          <w:numId w:val="165"/>
        </w:numPr>
        <w:spacing w:after="0"/>
        <w:ind w:left="357" w:hanging="357"/>
        <w:rPr>
          <w:lang w:eastAsia="en-AU"/>
        </w:rPr>
      </w:pPr>
      <w:r>
        <w:rPr>
          <w:lang w:eastAsia="en-AU"/>
        </w:rPr>
        <w:t>The Depression item has been moved to the Complex Health Care domain as it now focuses on Major Depression.</w:t>
      </w:r>
    </w:p>
    <w:p w:rsidR="00980F62" w:rsidRDefault="003460E7" w:rsidP="00F02312">
      <w:pPr>
        <w:pStyle w:val="ListParagraph"/>
        <w:numPr>
          <w:ilvl w:val="0"/>
          <w:numId w:val="165"/>
        </w:numPr>
        <w:spacing w:after="0"/>
        <w:ind w:left="357" w:hanging="357"/>
        <w:rPr>
          <w:b/>
          <w:lang w:eastAsia="en-AU"/>
        </w:rPr>
      </w:pPr>
      <w:r>
        <w:rPr>
          <w:lang w:eastAsia="en-AU"/>
        </w:rPr>
        <w:t xml:space="preserve">The funding </w:t>
      </w:r>
      <w:r w:rsidRPr="00C95A3F">
        <w:rPr>
          <w:lang w:eastAsia="en-AU"/>
        </w:rPr>
        <w:t>amount</w:t>
      </w:r>
      <w:r>
        <w:rPr>
          <w:lang w:eastAsia="en-AU"/>
        </w:rPr>
        <w:t xml:space="preserve"> attributable to the Depression question ($3.64 </w:t>
      </w:r>
      <w:r w:rsidR="00735127">
        <w:rPr>
          <w:lang w:eastAsia="en-AU"/>
        </w:rPr>
        <w:t>per day</w:t>
      </w:r>
      <w:r>
        <w:rPr>
          <w:lang w:eastAsia="en-AU"/>
        </w:rPr>
        <w:t>) has been re-allocated to the CHC domain.</w:t>
      </w:r>
    </w:p>
    <w:p w:rsidR="003460E7" w:rsidRDefault="003460E7" w:rsidP="00F02312">
      <w:pPr>
        <w:pStyle w:val="ListParagraph"/>
        <w:numPr>
          <w:ilvl w:val="0"/>
          <w:numId w:val="165"/>
        </w:numPr>
        <w:spacing w:after="0"/>
        <w:ind w:left="357" w:hanging="357"/>
        <w:rPr>
          <w:lang w:eastAsia="en-AU"/>
        </w:rPr>
      </w:pPr>
      <w:r>
        <w:rPr>
          <w:lang w:eastAsia="en-AU"/>
        </w:rPr>
        <w:t>Weightings adjusted proportionally for the removal of the Depression item.</w:t>
      </w:r>
    </w:p>
    <w:p w:rsidR="003460E7" w:rsidRDefault="003460E7" w:rsidP="00F02312">
      <w:pPr>
        <w:pStyle w:val="ListParagraph"/>
        <w:numPr>
          <w:ilvl w:val="0"/>
          <w:numId w:val="165"/>
        </w:numPr>
        <w:spacing w:after="0"/>
        <w:ind w:left="357" w:hanging="357"/>
        <w:rPr>
          <w:lang w:eastAsia="en-AU"/>
        </w:rPr>
      </w:pPr>
      <w:r>
        <w:rPr>
          <w:lang w:eastAsia="en-AU"/>
        </w:rPr>
        <w:t>The PAS-CIS replaced by the S-MMSE in a direct swap for the mandated cognitive assessment. Assessments are current for 3 months.</w:t>
      </w:r>
    </w:p>
    <w:p w:rsidR="003460E7" w:rsidRDefault="003460E7" w:rsidP="00F02312">
      <w:pPr>
        <w:pStyle w:val="ListParagraph"/>
        <w:numPr>
          <w:ilvl w:val="0"/>
          <w:numId w:val="165"/>
        </w:numPr>
        <w:spacing w:after="0"/>
        <w:ind w:left="357" w:hanging="357"/>
        <w:rPr>
          <w:lang w:eastAsia="en-AU"/>
        </w:rPr>
      </w:pPr>
      <w:r>
        <w:rPr>
          <w:lang w:eastAsia="en-AU"/>
        </w:rPr>
        <w:t>Inclusion of a detailed individualised behaviour description to clarify the behaviour claimed.</w:t>
      </w:r>
    </w:p>
    <w:p w:rsidR="00980F62" w:rsidRDefault="001C7BFC" w:rsidP="00F02312">
      <w:pPr>
        <w:pStyle w:val="ListParagraph"/>
        <w:numPr>
          <w:ilvl w:val="0"/>
          <w:numId w:val="165"/>
        </w:numPr>
        <w:spacing w:after="0"/>
        <w:ind w:left="357" w:hanging="357"/>
        <w:rPr>
          <w:lang w:eastAsia="en-AU"/>
        </w:rPr>
      </w:pPr>
      <w:r>
        <w:rPr>
          <w:lang w:eastAsia="en-AU"/>
        </w:rPr>
        <w:lastRenderedPageBreak/>
        <w:t xml:space="preserve">Inclusion of </w:t>
      </w:r>
      <w:r w:rsidR="003460E7">
        <w:rPr>
          <w:lang w:eastAsia="en-AU"/>
        </w:rPr>
        <w:t>a new severity item “disruptiveness” to clarify that there is a requirement for “staff intervention”.</w:t>
      </w:r>
    </w:p>
    <w:p w:rsidR="00980F62" w:rsidRDefault="003460E7" w:rsidP="00F02312">
      <w:pPr>
        <w:pStyle w:val="ListParagraph"/>
        <w:numPr>
          <w:ilvl w:val="0"/>
          <w:numId w:val="165"/>
        </w:numPr>
        <w:spacing w:after="0"/>
        <w:ind w:left="357" w:hanging="357"/>
        <w:rPr>
          <w:bCs/>
          <w:color w:val="000000" w:themeColor="text1"/>
          <w:szCs w:val="24"/>
          <w:lang w:eastAsia="en-AU"/>
        </w:rPr>
      </w:pPr>
      <w:r w:rsidRPr="00557DB1">
        <w:rPr>
          <w:bCs/>
          <w:color w:val="000000" w:themeColor="text1"/>
          <w:szCs w:val="24"/>
          <w:lang w:eastAsia="en-AU"/>
        </w:rPr>
        <w:t>The behaviour frequency rating descriptors have been modified to daily, twice a day and more than twice a day on a daily basis over a 7-day period to better distribute the relative care needs and acknowledge that the domain is targeting those requiring additional staffing support of a specific nature.</w:t>
      </w:r>
    </w:p>
    <w:p w:rsidR="00980F62" w:rsidRDefault="003460E7" w:rsidP="00F02312">
      <w:pPr>
        <w:pStyle w:val="ListParagraph"/>
        <w:numPr>
          <w:ilvl w:val="0"/>
          <w:numId w:val="165"/>
        </w:numPr>
        <w:spacing w:after="0"/>
        <w:ind w:left="357" w:hanging="357"/>
        <w:rPr>
          <w:lang w:eastAsia="en-AU"/>
        </w:rPr>
      </w:pPr>
      <w:r>
        <w:rPr>
          <w:lang w:eastAsia="en-AU"/>
        </w:rPr>
        <w:t>A matrix between the “disruptiveness” level and behaviour “frequency” must be completed to determine the final Behaviour domain rating.</w:t>
      </w:r>
    </w:p>
    <w:p w:rsidR="00980F62" w:rsidRDefault="003460E7" w:rsidP="00F02312">
      <w:pPr>
        <w:pStyle w:val="ListParagraph"/>
        <w:numPr>
          <w:ilvl w:val="0"/>
          <w:numId w:val="165"/>
        </w:numPr>
        <w:spacing w:after="0"/>
        <w:ind w:left="357" w:hanging="357"/>
        <w:rPr>
          <w:lang w:eastAsia="en-AU"/>
        </w:rPr>
      </w:pPr>
      <w:r>
        <w:rPr>
          <w:lang w:eastAsia="en-AU"/>
        </w:rPr>
        <w:t>Behaviour descriptions “constantly physically agitated” and “verbal refusal of care” have been removed due to definitional problems and inappropriate labelling.</w:t>
      </w:r>
    </w:p>
    <w:p w:rsidR="003460E7" w:rsidRPr="00557DB1" w:rsidRDefault="003460E7" w:rsidP="00F02312">
      <w:pPr>
        <w:pStyle w:val="ListParagraph"/>
        <w:numPr>
          <w:ilvl w:val="0"/>
          <w:numId w:val="165"/>
        </w:numPr>
        <w:spacing w:after="0"/>
        <w:ind w:left="357" w:hanging="357"/>
        <w:rPr>
          <w:szCs w:val="24"/>
        </w:rPr>
      </w:pPr>
      <w:r w:rsidRPr="00557DB1">
        <w:rPr>
          <w:szCs w:val="24"/>
        </w:rPr>
        <w:t>A Mental and Behavioural diagnosis (excluding Depression) is required to receive the highest funding level in the Behaviour domain.</w:t>
      </w:r>
    </w:p>
    <w:p w:rsidR="00C62981" w:rsidRDefault="00C62981" w:rsidP="00F02312">
      <w:pPr>
        <w:pStyle w:val="ListParagraph"/>
        <w:numPr>
          <w:ilvl w:val="0"/>
          <w:numId w:val="165"/>
        </w:numPr>
        <w:ind w:left="357" w:hanging="357"/>
      </w:pPr>
      <w:r w:rsidRPr="00557DB1">
        <w:rPr>
          <w:szCs w:val="24"/>
        </w:rPr>
        <w:t>A referral and review by a Behaviour Specialist (e.g. DBMAS; Psychiatrist; Psychologist) and Behaviour Care Plan is also required to receive the highest funding level in the Behaviour domain.</w:t>
      </w:r>
    </w:p>
    <w:p w:rsidR="00CD6AD0" w:rsidRPr="001443BC" w:rsidRDefault="00CD6AD0" w:rsidP="001443BC">
      <w:pPr>
        <w:pStyle w:val="Heading4-Chapter545"/>
      </w:pPr>
      <w:r w:rsidRPr="001443BC">
        <w:t>BEH Assessment Suite</w:t>
      </w:r>
    </w:p>
    <w:p w:rsidR="00980F62" w:rsidRDefault="00473246" w:rsidP="00557DB1">
      <w:pPr>
        <w:rPr>
          <w:lang w:eastAsia="en-AU"/>
        </w:rPr>
      </w:pPr>
      <w:hyperlink w:anchor="Tab0508" w:history="1">
        <w:r w:rsidR="00910F68" w:rsidRPr="00126DC4">
          <w:rPr>
            <w:rStyle w:val="Hyperlink"/>
            <w:lang w:eastAsia="en-AU"/>
          </w:rPr>
          <w:t>Table 5.8</w:t>
        </w:r>
      </w:hyperlink>
      <w:r w:rsidR="00CD6AD0" w:rsidRPr="00975B57">
        <w:rPr>
          <w:lang w:eastAsia="en-AU"/>
        </w:rPr>
        <w:t xml:space="preserve"> provides a summary of the R-ACFI </w:t>
      </w:r>
      <w:r w:rsidR="00CD6AD0">
        <w:rPr>
          <w:lang w:eastAsia="en-AU"/>
        </w:rPr>
        <w:t>BEH</w:t>
      </w:r>
      <w:r w:rsidR="00CD6AD0" w:rsidRPr="00975B57">
        <w:rPr>
          <w:lang w:eastAsia="en-AU"/>
        </w:rPr>
        <w:t xml:space="preserve"> mandated and recommended assessments.</w:t>
      </w:r>
    </w:p>
    <w:p w:rsidR="00EE4C64" w:rsidRDefault="005A751E" w:rsidP="00EE4C64">
      <w:pPr>
        <w:pStyle w:val="Caption"/>
        <w:keepNext/>
      </w:pPr>
      <w:bookmarkStart w:id="384" w:name="_Toc495416340"/>
      <w:bookmarkStart w:id="385" w:name="Tab0508"/>
      <w:r>
        <w:t>Table 5.</w:t>
      </w:r>
      <w:r w:rsidR="009A3F5A">
        <w:fldChar w:fldCharType="begin"/>
      </w:r>
      <w:r w:rsidR="009A3F5A">
        <w:instrText xml:space="preserve"> SEQ Table_5. \* ARABIC </w:instrText>
      </w:r>
      <w:r w:rsidR="009A3F5A">
        <w:fldChar w:fldCharType="separate"/>
      </w:r>
      <w:r w:rsidR="00856E49">
        <w:rPr>
          <w:noProof/>
        </w:rPr>
        <w:t>8</w:t>
      </w:r>
      <w:r w:rsidR="009A3F5A">
        <w:rPr>
          <w:noProof/>
        </w:rPr>
        <w:fldChar w:fldCharType="end"/>
      </w:r>
      <w:r>
        <w:t xml:space="preserve">: </w:t>
      </w:r>
      <w:r w:rsidRPr="005A751E">
        <w:t>R-ACFI Behaviour Domain Assessment Tools Recommendations</w:t>
      </w:r>
      <w:bookmarkEnd w:id="384"/>
    </w:p>
    <w:tbl>
      <w:tblPr>
        <w:tblStyle w:val="ListTable3-Accent515"/>
        <w:tblW w:w="8640" w:type="dxa"/>
        <w:tblInd w:w="108" w:type="dxa"/>
        <w:tblBorders>
          <w:insideH w:val="single" w:sz="4" w:space="0" w:color="5B9BD5" w:themeColor="accent5"/>
          <w:insideV w:val="single" w:sz="4" w:space="0" w:color="5B9BD5" w:themeColor="accent5"/>
        </w:tblBorders>
        <w:tblLook w:val="0020" w:firstRow="1" w:lastRow="0" w:firstColumn="0" w:lastColumn="0" w:noHBand="0" w:noVBand="0"/>
        <w:tblDescription w:val="Table 5.8 is a list of mandatory and recommended assessment tools for the cognition and behaviour assessments under the revised funding instrument (R-ACFI), including the sources of the tools. This table is to be read left to right, top to bottom (mandatory, recommended, source), noting that there were no recommended assessments."/>
      </w:tblPr>
      <w:tblGrid>
        <w:gridCol w:w="3823"/>
        <w:gridCol w:w="2268"/>
        <w:gridCol w:w="2549"/>
      </w:tblGrid>
      <w:tr w:rsidR="002A0783" w:rsidRPr="002A0783" w:rsidTr="00E166D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8640" w:type="dxa"/>
            <w:gridSpan w:val="3"/>
          </w:tcPr>
          <w:bookmarkEnd w:id="385"/>
          <w:p w:rsidR="002A0783" w:rsidRPr="002A0783" w:rsidRDefault="002A0783" w:rsidP="00445607">
            <w:pPr>
              <w:spacing w:before="40" w:after="40"/>
              <w:jc w:val="left"/>
              <w:rPr>
                <w:rFonts w:cstheme="minorHAnsi"/>
                <w:sz w:val="22"/>
                <w:lang w:val="en-US"/>
              </w:rPr>
            </w:pPr>
            <w:r w:rsidRPr="002A0783">
              <w:rPr>
                <w:rFonts w:cstheme="minorHAnsi"/>
                <w:sz w:val="22"/>
                <w:lang w:val="en-US"/>
              </w:rPr>
              <w:t>Cognition Assessment</w:t>
            </w:r>
            <w:r w:rsidR="00B33CC9">
              <w:rPr>
                <w:rFonts w:cstheme="minorHAnsi"/>
                <w:sz w:val="22"/>
                <w:lang w:val="en-US"/>
              </w:rPr>
              <w:t>s</w:t>
            </w:r>
          </w:p>
        </w:tc>
      </w:tr>
      <w:tr w:rsidR="002A0783" w:rsidRPr="002A0783" w:rsidTr="00C47D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3" w:type="dxa"/>
            <w:shd w:val="clear" w:color="auto" w:fill="D9E2F3" w:themeFill="accent1" w:themeFillTint="33"/>
          </w:tcPr>
          <w:p w:rsidR="003460E7" w:rsidRPr="002A0783" w:rsidRDefault="003460E7" w:rsidP="00445607">
            <w:pPr>
              <w:spacing w:before="40" w:after="40"/>
              <w:jc w:val="left"/>
              <w:rPr>
                <w:b/>
                <w:szCs w:val="24"/>
                <w:lang w:val="en-US"/>
              </w:rPr>
            </w:pPr>
            <w:r w:rsidRPr="002A0783">
              <w:rPr>
                <w:rFonts w:cstheme="minorHAnsi"/>
                <w:b/>
                <w:szCs w:val="24"/>
                <w:lang w:val="en-US"/>
              </w:rPr>
              <w:t>Mandatory</w:t>
            </w:r>
          </w:p>
        </w:tc>
        <w:tc>
          <w:tcPr>
            <w:tcW w:w="2268" w:type="dxa"/>
            <w:shd w:val="clear" w:color="auto" w:fill="D9E2F3" w:themeFill="accent1" w:themeFillTint="33"/>
          </w:tcPr>
          <w:p w:rsidR="003460E7" w:rsidRPr="002A0783" w:rsidRDefault="003460E7" w:rsidP="00445607">
            <w:pPr>
              <w:spacing w:before="40" w:after="40"/>
              <w:jc w:val="center"/>
              <w:cnfStyle w:val="000000100000" w:firstRow="0" w:lastRow="0" w:firstColumn="0" w:lastColumn="0" w:oddVBand="0" w:evenVBand="0" w:oddHBand="1" w:evenHBand="0" w:firstRowFirstColumn="0" w:firstRowLastColumn="0" w:lastRowFirstColumn="0" w:lastRowLastColumn="0"/>
              <w:rPr>
                <w:b/>
                <w:szCs w:val="24"/>
                <w:lang w:val="en-US"/>
              </w:rPr>
            </w:pPr>
            <w:r w:rsidRPr="002A0783">
              <w:rPr>
                <w:rFonts w:cstheme="minorHAnsi"/>
                <w:b/>
                <w:szCs w:val="24"/>
                <w:lang w:val="en-US"/>
              </w:rPr>
              <w:t>Recommended</w:t>
            </w:r>
          </w:p>
        </w:tc>
        <w:tc>
          <w:tcPr>
            <w:cnfStyle w:val="000010000000" w:firstRow="0" w:lastRow="0" w:firstColumn="0" w:lastColumn="0" w:oddVBand="1" w:evenVBand="0" w:oddHBand="0" w:evenHBand="0" w:firstRowFirstColumn="0" w:firstRowLastColumn="0" w:lastRowFirstColumn="0" w:lastRowLastColumn="0"/>
            <w:tcW w:w="2549" w:type="dxa"/>
            <w:shd w:val="clear" w:color="auto" w:fill="D9E2F3" w:themeFill="accent1" w:themeFillTint="33"/>
          </w:tcPr>
          <w:p w:rsidR="003460E7" w:rsidRPr="002A0783" w:rsidRDefault="003460E7" w:rsidP="00445607">
            <w:pPr>
              <w:spacing w:before="40" w:after="40"/>
              <w:jc w:val="center"/>
              <w:rPr>
                <w:b/>
                <w:szCs w:val="24"/>
                <w:lang w:val="en-US"/>
              </w:rPr>
            </w:pPr>
            <w:r w:rsidRPr="002A0783">
              <w:rPr>
                <w:rFonts w:cstheme="minorHAnsi"/>
                <w:b/>
                <w:szCs w:val="24"/>
                <w:lang w:val="en-US"/>
              </w:rPr>
              <w:t>Source</w:t>
            </w:r>
          </w:p>
        </w:tc>
      </w:tr>
      <w:tr w:rsidR="00A2549D" w:rsidRPr="00DC044B" w:rsidTr="00C47DD7">
        <w:tc>
          <w:tcPr>
            <w:cnfStyle w:val="000010000000" w:firstRow="0" w:lastRow="0" w:firstColumn="0" w:lastColumn="0" w:oddVBand="1" w:evenVBand="0" w:oddHBand="0" w:evenHBand="0" w:firstRowFirstColumn="0" w:firstRowLastColumn="0" w:lastRowFirstColumn="0" w:lastRowLastColumn="0"/>
            <w:tcW w:w="3823" w:type="dxa"/>
            <w:tcBorders>
              <w:left w:val="none" w:sz="0" w:space="0" w:color="auto"/>
              <w:right w:val="none" w:sz="0" w:space="0" w:color="auto"/>
            </w:tcBorders>
          </w:tcPr>
          <w:p w:rsidR="00A2549D" w:rsidRPr="008F1BA0" w:rsidRDefault="00A2549D" w:rsidP="002A0783">
            <w:pPr>
              <w:spacing w:after="60"/>
              <w:jc w:val="left"/>
              <w:rPr>
                <w:rFonts w:cstheme="minorHAnsi"/>
                <w:b/>
                <w:sz w:val="22"/>
                <w:lang w:val="en-US"/>
              </w:rPr>
            </w:pPr>
            <w:r w:rsidRPr="008F1BA0">
              <w:rPr>
                <w:sz w:val="22"/>
              </w:rPr>
              <w:t>SMMSE</w:t>
            </w:r>
            <w:r>
              <w:rPr>
                <w:sz w:val="22"/>
              </w:rPr>
              <w:t xml:space="preserve"> </w:t>
            </w:r>
            <w:r w:rsidRPr="008F1BA0">
              <w:rPr>
                <w:sz w:val="22"/>
              </w:rPr>
              <w:t>Cognition Assessment</w:t>
            </w:r>
          </w:p>
        </w:tc>
        <w:tc>
          <w:tcPr>
            <w:tcW w:w="2268" w:type="dxa"/>
          </w:tcPr>
          <w:p w:rsidR="00A2549D" w:rsidRPr="00A2549D" w:rsidRDefault="005800A7" w:rsidP="002C1CC9">
            <w:pPr>
              <w:spacing w:after="60"/>
              <w:jc w:val="center"/>
              <w:cnfStyle w:val="000000000000" w:firstRow="0" w:lastRow="0" w:firstColumn="0" w:lastColumn="0" w:oddVBand="0" w:evenVBand="0" w:oddHBand="0" w:evenHBand="0" w:firstRowFirstColumn="0" w:firstRowLastColumn="0" w:lastRowFirstColumn="0" w:lastRowLastColumn="0"/>
              <w:rPr>
                <w:rFonts w:cstheme="minorHAnsi"/>
                <w:i/>
                <w:sz w:val="22"/>
                <w:lang w:val="en-US"/>
              </w:rPr>
            </w:pPr>
            <w:r>
              <w:rPr>
                <w:rFonts w:cstheme="minorHAnsi"/>
                <w:i/>
                <w:sz w:val="22"/>
                <w:lang w:val="en-US"/>
              </w:rPr>
              <w:t>No recommendation</w:t>
            </w:r>
          </w:p>
        </w:tc>
        <w:tc>
          <w:tcPr>
            <w:cnfStyle w:val="000010000000" w:firstRow="0" w:lastRow="0" w:firstColumn="0" w:lastColumn="0" w:oddVBand="1" w:evenVBand="0" w:oddHBand="0" w:evenHBand="0" w:firstRowFirstColumn="0" w:firstRowLastColumn="0" w:lastRowFirstColumn="0" w:lastRowLastColumn="0"/>
            <w:tcW w:w="2549" w:type="dxa"/>
            <w:tcBorders>
              <w:left w:val="none" w:sz="0" w:space="0" w:color="auto"/>
              <w:right w:val="none" w:sz="0" w:space="0" w:color="auto"/>
            </w:tcBorders>
          </w:tcPr>
          <w:p w:rsidR="00A2549D" w:rsidRPr="00FF1CC6" w:rsidRDefault="00A2549D" w:rsidP="002A0783">
            <w:pPr>
              <w:spacing w:after="60"/>
              <w:jc w:val="center"/>
              <w:rPr>
                <w:rFonts w:cstheme="minorHAnsi"/>
                <w:sz w:val="22"/>
                <w:lang w:val="en-US"/>
              </w:rPr>
            </w:pPr>
            <w:r w:rsidRPr="00FF1CC6">
              <w:rPr>
                <w:sz w:val="22"/>
                <w:lang w:val="en-US"/>
              </w:rPr>
              <w:t>R-ACFI Assessment Pack</w:t>
            </w:r>
          </w:p>
        </w:tc>
      </w:tr>
      <w:tr w:rsidR="002A0783" w:rsidRPr="002A0783" w:rsidTr="00C47D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0" w:type="dxa"/>
            <w:gridSpan w:val="3"/>
            <w:shd w:val="clear" w:color="auto" w:fill="5B9BD5" w:themeFill="accent5"/>
          </w:tcPr>
          <w:p w:rsidR="002A0783" w:rsidRPr="002A0783" w:rsidRDefault="002A0783" w:rsidP="00445607">
            <w:pPr>
              <w:spacing w:before="40" w:after="40"/>
              <w:jc w:val="left"/>
              <w:rPr>
                <w:color w:val="FFFFFF" w:themeColor="background1"/>
                <w:sz w:val="22"/>
                <w:lang w:val="en-US"/>
              </w:rPr>
            </w:pPr>
            <w:r w:rsidRPr="002A0783">
              <w:rPr>
                <w:b/>
                <w:color w:val="FFFFFF" w:themeColor="background1"/>
                <w:sz w:val="22"/>
              </w:rPr>
              <w:t>Behaviour Assessment</w:t>
            </w:r>
            <w:r w:rsidR="00B33CC9">
              <w:rPr>
                <w:b/>
                <w:color w:val="FFFFFF" w:themeColor="background1"/>
                <w:sz w:val="22"/>
              </w:rPr>
              <w:t>s</w:t>
            </w:r>
          </w:p>
        </w:tc>
      </w:tr>
      <w:tr w:rsidR="002A0783" w:rsidRPr="002A0783" w:rsidTr="00C47DD7">
        <w:tc>
          <w:tcPr>
            <w:cnfStyle w:val="000010000000" w:firstRow="0" w:lastRow="0" w:firstColumn="0" w:lastColumn="0" w:oddVBand="1" w:evenVBand="0" w:oddHBand="0" w:evenHBand="0" w:firstRowFirstColumn="0" w:firstRowLastColumn="0" w:lastRowFirstColumn="0" w:lastRowLastColumn="0"/>
            <w:tcW w:w="3823" w:type="dxa"/>
            <w:shd w:val="clear" w:color="auto" w:fill="D9E2F3" w:themeFill="accent1" w:themeFillTint="33"/>
          </w:tcPr>
          <w:p w:rsidR="002A0783" w:rsidRPr="002A0783" w:rsidRDefault="002A0783" w:rsidP="00445607">
            <w:pPr>
              <w:spacing w:before="40" w:after="40"/>
              <w:jc w:val="left"/>
              <w:rPr>
                <w:szCs w:val="24"/>
                <w:lang w:val="en-US"/>
              </w:rPr>
            </w:pPr>
            <w:r w:rsidRPr="002A0783">
              <w:rPr>
                <w:rFonts w:cstheme="minorHAnsi"/>
                <w:b/>
                <w:szCs w:val="24"/>
                <w:lang w:val="en-US"/>
              </w:rPr>
              <w:t>Mandatory</w:t>
            </w:r>
          </w:p>
        </w:tc>
        <w:tc>
          <w:tcPr>
            <w:tcW w:w="2268" w:type="dxa"/>
            <w:shd w:val="clear" w:color="auto" w:fill="D9E2F3" w:themeFill="accent1" w:themeFillTint="33"/>
          </w:tcPr>
          <w:p w:rsidR="002A0783" w:rsidRPr="002A0783" w:rsidRDefault="002A0783" w:rsidP="00445607">
            <w:pPr>
              <w:spacing w:before="40" w:after="40"/>
              <w:jc w:val="center"/>
              <w:cnfStyle w:val="000000000000" w:firstRow="0" w:lastRow="0" w:firstColumn="0" w:lastColumn="0" w:oddVBand="0" w:evenVBand="0" w:oddHBand="0" w:evenHBand="0" w:firstRowFirstColumn="0" w:firstRowLastColumn="0" w:lastRowFirstColumn="0" w:lastRowLastColumn="0"/>
              <w:rPr>
                <w:szCs w:val="24"/>
                <w:lang w:val="en-US"/>
              </w:rPr>
            </w:pPr>
            <w:r w:rsidRPr="002A0783">
              <w:rPr>
                <w:rFonts w:cstheme="minorHAnsi"/>
                <w:b/>
                <w:szCs w:val="24"/>
                <w:lang w:val="en-US"/>
              </w:rPr>
              <w:t>Recommended</w:t>
            </w:r>
          </w:p>
        </w:tc>
        <w:tc>
          <w:tcPr>
            <w:cnfStyle w:val="000010000000" w:firstRow="0" w:lastRow="0" w:firstColumn="0" w:lastColumn="0" w:oddVBand="1" w:evenVBand="0" w:oddHBand="0" w:evenHBand="0" w:firstRowFirstColumn="0" w:firstRowLastColumn="0" w:lastRowFirstColumn="0" w:lastRowLastColumn="0"/>
            <w:tcW w:w="2549" w:type="dxa"/>
            <w:shd w:val="clear" w:color="auto" w:fill="D9E2F3" w:themeFill="accent1" w:themeFillTint="33"/>
          </w:tcPr>
          <w:p w:rsidR="002A0783" w:rsidRPr="002A0783" w:rsidRDefault="002A0783" w:rsidP="00445607">
            <w:pPr>
              <w:spacing w:before="40" w:after="40"/>
              <w:jc w:val="center"/>
              <w:rPr>
                <w:szCs w:val="24"/>
                <w:lang w:val="en-US"/>
              </w:rPr>
            </w:pPr>
            <w:r w:rsidRPr="002A0783">
              <w:rPr>
                <w:rFonts w:cstheme="minorHAnsi"/>
                <w:b/>
                <w:szCs w:val="24"/>
                <w:lang w:val="en-US"/>
              </w:rPr>
              <w:t>Source</w:t>
            </w:r>
          </w:p>
        </w:tc>
      </w:tr>
      <w:tr w:rsidR="002C1CC9" w:rsidRPr="00DC044B" w:rsidTr="00C47D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3" w:type="dxa"/>
            <w:tcBorders>
              <w:top w:val="none" w:sz="0" w:space="0" w:color="auto"/>
              <w:left w:val="none" w:sz="0" w:space="0" w:color="auto"/>
              <w:bottom w:val="none" w:sz="0" w:space="0" w:color="auto"/>
              <w:right w:val="none" w:sz="0" w:space="0" w:color="auto"/>
            </w:tcBorders>
            <w:hideMark/>
          </w:tcPr>
          <w:p w:rsidR="002C1CC9" w:rsidRPr="008F1BA0" w:rsidRDefault="002C1CC9" w:rsidP="002A0783">
            <w:pPr>
              <w:spacing w:after="60"/>
              <w:jc w:val="left"/>
              <w:rPr>
                <w:sz w:val="22"/>
                <w:lang w:val="en-US"/>
              </w:rPr>
            </w:pPr>
            <w:r w:rsidRPr="008F1BA0">
              <w:rPr>
                <w:sz w:val="22"/>
              </w:rPr>
              <w:t xml:space="preserve">Behavioural Descriptions </w:t>
            </w:r>
            <w:r>
              <w:rPr>
                <w:sz w:val="22"/>
              </w:rPr>
              <w:t xml:space="preserve">(text) </w:t>
            </w:r>
          </w:p>
        </w:tc>
        <w:tc>
          <w:tcPr>
            <w:tcW w:w="2268" w:type="dxa"/>
            <w:tcBorders>
              <w:top w:val="none" w:sz="0" w:space="0" w:color="auto"/>
              <w:bottom w:val="none" w:sz="0" w:space="0" w:color="auto"/>
            </w:tcBorders>
          </w:tcPr>
          <w:p w:rsidR="002C1CC9" w:rsidRPr="00A2549D" w:rsidRDefault="002C1CC9" w:rsidP="002A0783">
            <w:pPr>
              <w:spacing w:after="60"/>
              <w:jc w:val="center"/>
              <w:cnfStyle w:val="000000100000" w:firstRow="0" w:lastRow="0" w:firstColumn="0" w:lastColumn="0" w:oddVBand="0" w:evenVBand="0" w:oddHBand="1" w:evenHBand="0" w:firstRowFirstColumn="0" w:firstRowLastColumn="0" w:lastRowFirstColumn="0" w:lastRowLastColumn="0"/>
              <w:rPr>
                <w:i/>
                <w:sz w:val="22"/>
                <w:lang w:val="en-US"/>
              </w:rPr>
            </w:pPr>
            <w:r w:rsidRPr="00292A48">
              <w:rPr>
                <w:rFonts w:cstheme="minorHAnsi"/>
                <w:i/>
                <w:sz w:val="22"/>
                <w:lang w:val="en-US"/>
              </w:rPr>
              <w:t>No recommendation</w:t>
            </w:r>
          </w:p>
        </w:tc>
        <w:tc>
          <w:tcPr>
            <w:cnfStyle w:val="000010000000" w:firstRow="0" w:lastRow="0" w:firstColumn="0" w:lastColumn="0" w:oddVBand="1"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tcPr>
          <w:p w:rsidR="002C1CC9" w:rsidRPr="00FF1CC6" w:rsidRDefault="002C1CC9" w:rsidP="002A0783">
            <w:pPr>
              <w:spacing w:after="60"/>
              <w:jc w:val="center"/>
              <w:rPr>
                <w:sz w:val="22"/>
                <w:lang w:val="en-US"/>
              </w:rPr>
            </w:pPr>
            <w:r w:rsidRPr="00FF1CC6">
              <w:rPr>
                <w:sz w:val="22"/>
                <w:lang w:val="en-US"/>
              </w:rPr>
              <w:t>R-ACFI Assessment Pack</w:t>
            </w:r>
          </w:p>
        </w:tc>
      </w:tr>
      <w:tr w:rsidR="002C1CC9" w:rsidRPr="00DC044B" w:rsidTr="00C47DD7">
        <w:tc>
          <w:tcPr>
            <w:cnfStyle w:val="000010000000" w:firstRow="0" w:lastRow="0" w:firstColumn="0" w:lastColumn="0" w:oddVBand="1" w:evenVBand="0" w:oddHBand="0" w:evenHBand="0" w:firstRowFirstColumn="0" w:firstRowLastColumn="0" w:lastRowFirstColumn="0" w:lastRowLastColumn="0"/>
            <w:tcW w:w="3823" w:type="dxa"/>
            <w:tcBorders>
              <w:left w:val="none" w:sz="0" w:space="0" w:color="auto"/>
              <w:right w:val="none" w:sz="0" w:space="0" w:color="auto"/>
            </w:tcBorders>
            <w:hideMark/>
          </w:tcPr>
          <w:p w:rsidR="002C1CC9" w:rsidRPr="008F1BA0" w:rsidRDefault="002C1CC9" w:rsidP="002A0783">
            <w:pPr>
              <w:spacing w:after="60"/>
              <w:jc w:val="left"/>
              <w:rPr>
                <w:sz w:val="22"/>
                <w:lang w:val="en-US"/>
              </w:rPr>
            </w:pPr>
            <w:r>
              <w:rPr>
                <w:sz w:val="22"/>
                <w:lang w:val="en-US"/>
              </w:rPr>
              <w:t xml:space="preserve">Frequency (from the </w:t>
            </w:r>
            <w:r w:rsidRPr="008F1BA0">
              <w:rPr>
                <w:sz w:val="22"/>
                <w:lang w:val="en-US"/>
              </w:rPr>
              <w:t>Behaviour Record</w:t>
            </w:r>
            <w:r>
              <w:rPr>
                <w:sz w:val="22"/>
                <w:lang w:val="en-US"/>
              </w:rPr>
              <w:t xml:space="preserve">s) </w:t>
            </w:r>
          </w:p>
        </w:tc>
        <w:tc>
          <w:tcPr>
            <w:tcW w:w="2268" w:type="dxa"/>
          </w:tcPr>
          <w:p w:rsidR="002C1CC9" w:rsidRPr="00A2549D" w:rsidRDefault="002C1CC9" w:rsidP="002A0783">
            <w:pPr>
              <w:spacing w:after="60"/>
              <w:jc w:val="center"/>
              <w:cnfStyle w:val="000000000000" w:firstRow="0" w:lastRow="0" w:firstColumn="0" w:lastColumn="0" w:oddVBand="0" w:evenVBand="0" w:oddHBand="0" w:evenHBand="0" w:firstRowFirstColumn="0" w:firstRowLastColumn="0" w:lastRowFirstColumn="0" w:lastRowLastColumn="0"/>
              <w:rPr>
                <w:i/>
                <w:sz w:val="22"/>
                <w:lang w:val="en-US"/>
              </w:rPr>
            </w:pPr>
            <w:r w:rsidRPr="00292A48">
              <w:rPr>
                <w:rFonts w:cstheme="minorHAnsi"/>
                <w:i/>
                <w:sz w:val="22"/>
                <w:lang w:val="en-US"/>
              </w:rPr>
              <w:t>No recommendation</w:t>
            </w:r>
          </w:p>
        </w:tc>
        <w:tc>
          <w:tcPr>
            <w:cnfStyle w:val="000010000000" w:firstRow="0" w:lastRow="0" w:firstColumn="0" w:lastColumn="0" w:oddVBand="1" w:evenVBand="0" w:oddHBand="0" w:evenHBand="0" w:firstRowFirstColumn="0" w:firstRowLastColumn="0" w:lastRowFirstColumn="0" w:lastRowLastColumn="0"/>
            <w:tcW w:w="2549" w:type="dxa"/>
            <w:tcBorders>
              <w:left w:val="none" w:sz="0" w:space="0" w:color="auto"/>
              <w:right w:val="none" w:sz="0" w:space="0" w:color="auto"/>
            </w:tcBorders>
          </w:tcPr>
          <w:p w:rsidR="002C1CC9" w:rsidRPr="00FF1CC6" w:rsidRDefault="002C1CC9" w:rsidP="002A0783">
            <w:pPr>
              <w:spacing w:after="60"/>
              <w:jc w:val="center"/>
              <w:rPr>
                <w:sz w:val="22"/>
                <w:lang w:val="en-US"/>
              </w:rPr>
            </w:pPr>
            <w:r w:rsidRPr="00FF1CC6">
              <w:rPr>
                <w:sz w:val="22"/>
                <w:lang w:val="en-US"/>
              </w:rPr>
              <w:t>R-ACFI Assessment Pack</w:t>
            </w:r>
          </w:p>
        </w:tc>
      </w:tr>
      <w:tr w:rsidR="002C1CC9" w:rsidRPr="00DC044B" w:rsidTr="00C47D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3" w:type="dxa"/>
            <w:tcBorders>
              <w:top w:val="none" w:sz="0" w:space="0" w:color="auto"/>
              <w:left w:val="none" w:sz="0" w:space="0" w:color="auto"/>
              <w:bottom w:val="none" w:sz="0" w:space="0" w:color="auto"/>
              <w:right w:val="none" w:sz="0" w:space="0" w:color="auto"/>
            </w:tcBorders>
            <w:hideMark/>
          </w:tcPr>
          <w:p w:rsidR="002C1CC9" w:rsidRPr="008F1BA0" w:rsidRDefault="002C1CC9" w:rsidP="002A0783">
            <w:pPr>
              <w:spacing w:after="60"/>
              <w:jc w:val="left"/>
              <w:rPr>
                <w:sz w:val="22"/>
                <w:lang w:val="en-US"/>
              </w:rPr>
            </w:pPr>
            <w:r>
              <w:rPr>
                <w:sz w:val="22"/>
                <w:lang w:val="en-US"/>
              </w:rPr>
              <w:t xml:space="preserve">Disruptiveness Rating </w:t>
            </w:r>
          </w:p>
        </w:tc>
        <w:tc>
          <w:tcPr>
            <w:tcW w:w="2268" w:type="dxa"/>
            <w:tcBorders>
              <w:top w:val="none" w:sz="0" w:space="0" w:color="auto"/>
              <w:bottom w:val="none" w:sz="0" w:space="0" w:color="auto"/>
            </w:tcBorders>
          </w:tcPr>
          <w:p w:rsidR="002C1CC9" w:rsidRPr="00A2549D" w:rsidRDefault="002C1CC9" w:rsidP="002A0783">
            <w:pPr>
              <w:spacing w:after="60"/>
              <w:jc w:val="center"/>
              <w:cnfStyle w:val="000000100000" w:firstRow="0" w:lastRow="0" w:firstColumn="0" w:lastColumn="0" w:oddVBand="0" w:evenVBand="0" w:oddHBand="1" w:evenHBand="0" w:firstRowFirstColumn="0" w:firstRowLastColumn="0" w:lastRowFirstColumn="0" w:lastRowLastColumn="0"/>
              <w:rPr>
                <w:i/>
                <w:sz w:val="22"/>
                <w:lang w:val="en-US"/>
              </w:rPr>
            </w:pPr>
            <w:r w:rsidRPr="00292A48">
              <w:rPr>
                <w:rFonts w:cstheme="minorHAnsi"/>
                <w:i/>
                <w:sz w:val="22"/>
                <w:lang w:val="en-US"/>
              </w:rPr>
              <w:t>No recommendation</w:t>
            </w:r>
          </w:p>
        </w:tc>
        <w:tc>
          <w:tcPr>
            <w:cnfStyle w:val="000010000000" w:firstRow="0" w:lastRow="0" w:firstColumn="0" w:lastColumn="0" w:oddVBand="1"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hideMark/>
          </w:tcPr>
          <w:p w:rsidR="002C1CC9" w:rsidRPr="00FF1CC6" w:rsidRDefault="002C1CC9" w:rsidP="002A0783">
            <w:pPr>
              <w:spacing w:after="60"/>
              <w:jc w:val="center"/>
              <w:rPr>
                <w:sz w:val="22"/>
                <w:lang w:val="en-US"/>
              </w:rPr>
            </w:pPr>
            <w:r w:rsidRPr="00FF1CC6">
              <w:rPr>
                <w:sz w:val="22"/>
                <w:lang w:val="en-US"/>
              </w:rPr>
              <w:t>R-ACFI Assessment Pack</w:t>
            </w:r>
          </w:p>
        </w:tc>
      </w:tr>
      <w:tr w:rsidR="002C1CC9" w:rsidRPr="00DC044B" w:rsidTr="00C47DD7">
        <w:tc>
          <w:tcPr>
            <w:cnfStyle w:val="000010000000" w:firstRow="0" w:lastRow="0" w:firstColumn="0" w:lastColumn="0" w:oddVBand="1" w:evenVBand="0" w:oddHBand="0" w:evenHBand="0" w:firstRowFirstColumn="0" w:firstRowLastColumn="0" w:lastRowFirstColumn="0" w:lastRowLastColumn="0"/>
            <w:tcW w:w="3823" w:type="dxa"/>
            <w:tcBorders>
              <w:left w:val="none" w:sz="0" w:space="0" w:color="auto"/>
              <w:right w:val="none" w:sz="0" w:space="0" w:color="auto"/>
            </w:tcBorders>
          </w:tcPr>
          <w:p w:rsidR="002C1CC9" w:rsidRPr="008F1BA0" w:rsidRDefault="002C1CC9" w:rsidP="002A0783">
            <w:pPr>
              <w:spacing w:after="60"/>
              <w:jc w:val="left"/>
              <w:rPr>
                <w:sz w:val="22"/>
                <w:lang w:val="en-US"/>
              </w:rPr>
            </w:pPr>
            <w:r w:rsidRPr="008F1BA0">
              <w:rPr>
                <w:sz w:val="22"/>
              </w:rPr>
              <w:t>Modified Behaviour Assessment Form</w:t>
            </w:r>
            <w:r>
              <w:rPr>
                <w:sz w:val="22"/>
              </w:rPr>
              <w:t xml:space="preserve"> (collates the above behaviour information)</w:t>
            </w:r>
          </w:p>
        </w:tc>
        <w:tc>
          <w:tcPr>
            <w:tcW w:w="2268" w:type="dxa"/>
          </w:tcPr>
          <w:p w:rsidR="002C1CC9" w:rsidRPr="00A2549D" w:rsidRDefault="002C1CC9" w:rsidP="002A0783">
            <w:pPr>
              <w:spacing w:after="60"/>
              <w:jc w:val="center"/>
              <w:cnfStyle w:val="000000000000" w:firstRow="0" w:lastRow="0" w:firstColumn="0" w:lastColumn="0" w:oddVBand="0" w:evenVBand="0" w:oddHBand="0" w:evenHBand="0" w:firstRowFirstColumn="0" w:firstRowLastColumn="0" w:lastRowFirstColumn="0" w:lastRowLastColumn="0"/>
              <w:rPr>
                <w:i/>
                <w:sz w:val="22"/>
                <w:lang w:val="en-US"/>
              </w:rPr>
            </w:pPr>
            <w:r w:rsidRPr="00292A48">
              <w:rPr>
                <w:rFonts w:cstheme="minorHAnsi"/>
                <w:i/>
                <w:sz w:val="22"/>
                <w:lang w:val="en-US"/>
              </w:rPr>
              <w:t>No recommendation</w:t>
            </w:r>
          </w:p>
        </w:tc>
        <w:tc>
          <w:tcPr>
            <w:cnfStyle w:val="000010000000" w:firstRow="0" w:lastRow="0" w:firstColumn="0" w:lastColumn="0" w:oddVBand="1" w:evenVBand="0" w:oddHBand="0" w:evenHBand="0" w:firstRowFirstColumn="0" w:firstRowLastColumn="0" w:lastRowFirstColumn="0" w:lastRowLastColumn="0"/>
            <w:tcW w:w="2549" w:type="dxa"/>
            <w:tcBorders>
              <w:left w:val="none" w:sz="0" w:space="0" w:color="auto"/>
              <w:right w:val="none" w:sz="0" w:space="0" w:color="auto"/>
            </w:tcBorders>
          </w:tcPr>
          <w:p w:rsidR="002C1CC9" w:rsidRPr="00FF1CC6" w:rsidRDefault="002C1CC9" w:rsidP="002A0783">
            <w:pPr>
              <w:spacing w:after="60"/>
              <w:jc w:val="center"/>
              <w:rPr>
                <w:sz w:val="22"/>
                <w:lang w:val="en-US"/>
              </w:rPr>
            </w:pPr>
            <w:r w:rsidRPr="00FF1CC6">
              <w:rPr>
                <w:sz w:val="22"/>
                <w:lang w:val="en-US"/>
              </w:rPr>
              <w:t>R-ACFI Assessment Pack</w:t>
            </w:r>
          </w:p>
        </w:tc>
      </w:tr>
    </w:tbl>
    <w:p w:rsidR="003460E7" w:rsidRPr="00D25091" w:rsidRDefault="00473246" w:rsidP="00557DB1">
      <w:pPr>
        <w:spacing w:before="200"/>
      </w:pPr>
      <w:hyperlink w:anchor="Tab0509" w:history="1">
        <w:r w:rsidR="00A55AFD" w:rsidRPr="00126DC4">
          <w:rPr>
            <w:rStyle w:val="Hyperlink"/>
          </w:rPr>
          <w:t xml:space="preserve">Table </w:t>
        </w:r>
        <w:r w:rsidR="00910F68" w:rsidRPr="00126DC4">
          <w:rPr>
            <w:rStyle w:val="Hyperlink"/>
          </w:rPr>
          <w:t>5.9</w:t>
        </w:r>
      </w:hyperlink>
      <w:r w:rsidR="00A55AFD" w:rsidRPr="001D49AB">
        <w:t xml:space="preserve"> following provides a summary of the</w:t>
      </w:r>
      <w:r w:rsidR="00771420">
        <w:t xml:space="preserve"> BEH</w:t>
      </w:r>
      <w:r w:rsidR="00A55AFD" w:rsidRPr="001D49AB">
        <w:t xml:space="preserve"> domain recommendations.</w:t>
      </w:r>
      <w:r w:rsidR="00702B79">
        <w:t xml:space="preserve"> </w:t>
      </w:r>
      <w:r w:rsidR="0062110E">
        <w:t>N</w:t>
      </w:r>
      <w:r w:rsidR="0062110E" w:rsidRPr="006249BC">
        <w:t>ot</w:t>
      </w:r>
      <w:r w:rsidR="0062110E">
        <w:t>e</w:t>
      </w:r>
      <w:r w:rsidR="0062110E" w:rsidRPr="006249BC">
        <w:t xml:space="preserve"> any "N</w:t>
      </w:r>
      <w:r w:rsidR="00C86B67">
        <w:t>R</w:t>
      </w:r>
      <w:r w:rsidR="0062110E" w:rsidRPr="006249BC">
        <w:t>" references indicate no recommendation was provided.</w:t>
      </w:r>
      <w:r w:rsidR="003460E7">
        <w:br w:type="page"/>
      </w:r>
    </w:p>
    <w:p w:rsidR="003217B9" w:rsidRDefault="003217B9" w:rsidP="003217B9">
      <w:pPr>
        <w:rPr>
          <w:b/>
          <w:sz w:val="32"/>
          <w:szCs w:val="32"/>
        </w:rPr>
        <w:sectPr w:rsidR="003217B9" w:rsidSect="00A51750">
          <w:headerReference w:type="default" r:id="rId65"/>
          <w:footerReference w:type="default" r:id="rId66"/>
          <w:pgSz w:w="11906" w:h="16838"/>
          <w:pgMar w:top="1440" w:right="1440" w:bottom="1440" w:left="1440" w:header="708" w:footer="708" w:gutter="0"/>
          <w:cols w:space="708"/>
          <w:docGrid w:linePitch="360"/>
        </w:sectPr>
      </w:pPr>
    </w:p>
    <w:p w:rsidR="00EE4C64" w:rsidRDefault="00EE4C64" w:rsidP="002A1160">
      <w:pPr>
        <w:pStyle w:val="Caption"/>
        <w:keepNext/>
        <w:spacing w:before="0"/>
      </w:pPr>
      <w:bookmarkStart w:id="386" w:name="_Toc495416341"/>
      <w:bookmarkStart w:id="387" w:name="Tab0509"/>
      <w:bookmarkStart w:id="388" w:name="_Hlk485929245"/>
      <w:bookmarkEnd w:id="383"/>
      <w:r>
        <w:lastRenderedPageBreak/>
        <w:t>Table 5.</w:t>
      </w:r>
      <w:r w:rsidR="009A3F5A">
        <w:fldChar w:fldCharType="begin"/>
      </w:r>
      <w:r w:rsidR="009A3F5A">
        <w:instrText xml:space="preserve"> SEQ Table_5. \* ARABIC </w:instrText>
      </w:r>
      <w:r w:rsidR="009A3F5A">
        <w:fldChar w:fldCharType="separate"/>
      </w:r>
      <w:r w:rsidR="00856E49">
        <w:rPr>
          <w:noProof/>
        </w:rPr>
        <w:t>9</w:t>
      </w:r>
      <w:r w:rsidR="009A3F5A">
        <w:rPr>
          <w:noProof/>
        </w:rPr>
        <w:fldChar w:fldCharType="end"/>
      </w:r>
      <w:r>
        <w:t xml:space="preserve">: </w:t>
      </w:r>
      <w:r w:rsidRPr="00EE4C64">
        <w:t>Summary of BEH Recommendations</w:t>
      </w:r>
      <w:bookmarkEnd w:id="386"/>
    </w:p>
    <w:tbl>
      <w:tblPr>
        <w:tblStyle w:val="TableGrid"/>
        <w:tblW w:w="15168" w:type="dxa"/>
        <w:tblInd w:w="-459"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Description w:val="Table 5.9 is a list of details of the recommendations for the behaviour domain as summarised in the text prior to this table. This table is to be read left to right, top to bottom, noting there are four sections for the main headers:&#10;1.  Item&#10;2.  Changes&#10;3.  Assessments, checklists and ratings, which includes headers Mandated, Validated assessment, Standardised information, Contemporary and Outcomes&#10;4.  Audit system, which includes Fit to External Assessment, Fit to RAC workforce, Fit to Gateway, Clarifies and Improves reviews.&#10;"/>
      </w:tblPr>
      <w:tblGrid>
        <w:gridCol w:w="1134"/>
        <w:gridCol w:w="1360"/>
        <w:gridCol w:w="1276"/>
        <w:gridCol w:w="1192"/>
        <w:gridCol w:w="1193"/>
        <w:gridCol w:w="1267"/>
        <w:gridCol w:w="1650"/>
        <w:gridCol w:w="1134"/>
        <w:gridCol w:w="993"/>
        <w:gridCol w:w="850"/>
        <w:gridCol w:w="1276"/>
        <w:gridCol w:w="1843"/>
      </w:tblGrid>
      <w:tr w:rsidR="00A2549D" w:rsidRPr="00A2549D" w:rsidTr="008F30DB">
        <w:trPr>
          <w:tblHeader/>
        </w:trPr>
        <w:tc>
          <w:tcPr>
            <w:tcW w:w="1134" w:type="dxa"/>
            <w:shd w:val="clear" w:color="auto" w:fill="5B9BD5" w:themeFill="accent5"/>
          </w:tcPr>
          <w:bookmarkEnd w:id="387"/>
          <w:p w:rsidR="003217B9" w:rsidRPr="00A2549D" w:rsidRDefault="003217B9" w:rsidP="00A2549D">
            <w:pPr>
              <w:spacing w:before="60" w:after="60"/>
              <w:jc w:val="center"/>
              <w:rPr>
                <w:color w:val="FFFFFF" w:themeColor="background1"/>
                <w:sz w:val="22"/>
              </w:rPr>
            </w:pPr>
            <w:r w:rsidRPr="00A2549D">
              <w:rPr>
                <w:b/>
                <w:color w:val="FFFFFF" w:themeColor="background1"/>
                <w:sz w:val="22"/>
              </w:rPr>
              <w:t>Item</w:t>
            </w:r>
          </w:p>
        </w:tc>
        <w:tc>
          <w:tcPr>
            <w:tcW w:w="1360" w:type="dxa"/>
            <w:tcBorders>
              <w:right w:val="single" w:sz="12" w:space="0" w:color="4472C4" w:themeColor="accent1"/>
            </w:tcBorders>
            <w:shd w:val="clear" w:color="auto" w:fill="5B9BD5" w:themeFill="accent5"/>
          </w:tcPr>
          <w:p w:rsidR="003217B9" w:rsidRPr="00A2549D" w:rsidRDefault="003217B9" w:rsidP="00A2549D">
            <w:pPr>
              <w:spacing w:before="60" w:after="60"/>
              <w:jc w:val="center"/>
              <w:rPr>
                <w:color w:val="FFFFFF" w:themeColor="background1"/>
                <w:sz w:val="22"/>
              </w:rPr>
            </w:pPr>
            <w:r w:rsidRPr="00A2549D">
              <w:rPr>
                <w:b/>
                <w:color w:val="FFFFFF" w:themeColor="background1"/>
                <w:sz w:val="22"/>
              </w:rPr>
              <w:t xml:space="preserve">Changes </w:t>
            </w:r>
          </w:p>
        </w:tc>
        <w:tc>
          <w:tcPr>
            <w:tcW w:w="6578" w:type="dxa"/>
            <w:gridSpan w:val="5"/>
            <w:tcBorders>
              <w:left w:val="single" w:sz="12" w:space="0" w:color="4472C4" w:themeColor="accent1"/>
              <w:right w:val="single" w:sz="12" w:space="0" w:color="4472C4" w:themeColor="accent1"/>
            </w:tcBorders>
            <w:shd w:val="clear" w:color="auto" w:fill="5B9BD5" w:themeFill="accent5"/>
          </w:tcPr>
          <w:p w:rsidR="003217B9" w:rsidRPr="00A2549D" w:rsidRDefault="003217B9" w:rsidP="00A2549D">
            <w:pPr>
              <w:spacing w:before="60" w:after="60"/>
              <w:jc w:val="center"/>
              <w:rPr>
                <w:b/>
                <w:color w:val="FFFFFF" w:themeColor="background1"/>
                <w:sz w:val="22"/>
              </w:rPr>
            </w:pPr>
            <w:r w:rsidRPr="00A2549D">
              <w:rPr>
                <w:b/>
                <w:color w:val="FFFFFF" w:themeColor="background1"/>
                <w:sz w:val="22"/>
              </w:rPr>
              <w:t>Assessments, Checklists, Ratings</w:t>
            </w:r>
          </w:p>
        </w:tc>
        <w:tc>
          <w:tcPr>
            <w:tcW w:w="6096" w:type="dxa"/>
            <w:gridSpan w:val="5"/>
            <w:tcBorders>
              <w:left w:val="single" w:sz="12" w:space="0" w:color="4472C4" w:themeColor="accent1"/>
            </w:tcBorders>
            <w:shd w:val="clear" w:color="auto" w:fill="5B9BD5" w:themeFill="accent5"/>
          </w:tcPr>
          <w:p w:rsidR="003217B9" w:rsidRPr="00A2549D" w:rsidRDefault="003217B9" w:rsidP="00A2549D">
            <w:pPr>
              <w:spacing w:before="60" w:after="60"/>
              <w:jc w:val="center"/>
              <w:rPr>
                <w:rFonts w:ascii="Calibri" w:hAnsi="Calibri" w:cs="Calibri"/>
                <w:b/>
                <w:color w:val="FFFFFF" w:themeColor="background1"/>
                <w:sz w:val="22"/>
              </w:rPr>
            </w:pPr>
            <w:r w:rsidRPr="00A2549D">
              <w:rPr>
                <w:b/>
                <w:color w:val="FFFFFF" w:themeColor="background1"/>
                <w:sz w:val="22"/>
              </w:rPr>
              <w:t>Audit system</w:t>
            </w:r>
          </w:p>
        </w:tc>
      </w:tr>
      <w:tr w:rsidR="007E7942" w:rsidRPr="00A2549D" w:rsidTr="008F30DB">
        <w:tc>
          <w:tcPr>
            <w:tcW w:w="1134" w:type="dxa"/>
            <w:shd w:val="clear" w:color="auto" w:fill="DEEAF6" w:themeFill="accent5" w:themeFillTint="33"/>
            <w:vAlign w:val="center"/>
          </w:tcPr>
          <w:p w:rsidR="007E7942" w:rsidRPr="00700522" w:rsidRDefault="007E7942" w:rsidP="009B653C">
            <w:pPr>
              <w:spacing w:before="40" w:after="40"/>
              <w:jc w:val="center"/>
              <w:rPr>
                <w:i/>
                <w:sz w:val="17"/>
                <w:szCs w:val="17"/>
              </w:rPr>
            </w:pPr>
            <w:r w:rsidRPr="00700522">
              <w:rPr>
                <w:i/>
                <w:sz w:val="17"/>
                <w:szCs w:val="17"/>
              </w:rPr>
              <w:t>Items noted below</w:t>
            </w:r>
          </w:p>
        </w:tc>
        <w:tc>
          <w:tcPr>
            <w:tcW w:w="1360" w:type="dxa"/>
            <w:tcBorders>
              <w:right w:val="single" w:sz="12" w:space="0" w:color="4472C4" w:themeColor="accent1"/>
            </w:tcBorders>
            <w:shd w:val="clear" w:color="auto" w:fill="DEEAF6" w:themeFill="accent5" w:themeFillTint="33"/>
            <w:vAlign w:val="center"/>
          </w:tcPr>
          <w:p w:rsidR="007E7942" w:rsidRPr="00700522" w:rsidRDefault="007E7942" w:rsidP="009B653C">
            <w:pPr>
              <w:spacing w:before="40" w:after="40"/>
              <w:jc w:val="center"/>
              <w:rPr>
                <w:i/>
                <w:sz w:val="17"/>
                <w:szCs w:val="17"/>
              </w:rPr>
            </w:pPr>
            <w:r w:rsidRPr="00700522">
              <w:rPr>
                <w:i/>
                <w:sz w:val="17"/>
                <w:szCs w:val="17"/>
              </w:rPr>
              <w:t>Changes noted below</w:t>
            </w:r>
          </w:p>
        </w:tc>
        <w:tc>
          <w:tcPr>
            <w:tcW w:w="1276" w:type="dxa"/>
            <w:tcBorders>
              <w:left w:val="single" w:sz="12" w:space="0" w:color="4472C4" w:themeColor="accent1"/>
            </w:tcBorders>
            <w:shd w:val="clear" w:color="auto" w:fill="DEEAF6" w:themeFill="accent5" w:themeFillTint="33"/>
            <w:vAlign w:val="center"/>
          </w:tcPr>
          <w:p w:rsidR="007E7942" w:rsidRPr="00A2549D" w:rsidRDefault="007E7942" w:rsidP="00A2549D">
            <w:pPr>
              <w:spacing w:before="60" w:after="60"/>
              <w:jc w:val="center"/>
              <w:rPr>
                <w:b/>
                <w:sz w:val="17"/>
                <w:szCs w:val="17"/>
              </w:rPr>
            </w:pPr>
            <w:r w:rsidRPr="00A2549D">
              <w:rPr>
                <w:b/>
                <w:sz w:val="17"/>
                <w:szCs w:val="17"/>
              </w:rPr>
              <w:t>Mandated</w:t>
            </w:r>
          </w:p>
        </w:tc>
        <w:tc>
          <w:tcPr>
            <w:tcW w:w="1192" w:type="dxa"/>
            <w:shd w:val="clear" w:color="auto" w:fill="DEEAF6" w:themeFill="accent5" w:themeFillTint="33"/>
            <w:vAlign w:val="center"/>
          </w:tcPr>
          <w:p w:rsidR="007E7942" w:rsidRPr="00A2549D" w:rsidRDefault="007E7942" w:rsidP="00A2549D">
            <w:pPr>
              <w:spacing w:before="60" w:after="60"/>
              <w:jc w:val="center"/>
              <w:rPr>
                <w:b/>
                <w:sz w:val="17"/>
                <w:szCs w:val="17"/>
              </w:rPr>
            </w:pPr>
            <w:r w:rsidRPr="00A2549D">
              <w:rPr>
                <w:b/>
                <w:sz w:val="17"/>
                <w:szCs w:val="17"/>
              </w:rPr>
              <w:t>Validated assessment</w:t>
            </w:r>
          </w:p>
        </w:tc>
        <w:tc>
          <w:tcPr>
            <w:tcW w:w="1193" w:type="dxa"/>
            <w:shd w:val="clear" w:color="auto" w:fill="DEEAF6" w:themeFill="accent5" w:themeFillTint="33"/>
            <w:vAlign w:val="center"/>
          </w:tcPr>
          <w:p w:rsidR="007E7942" w:rsidRPr="00A2549D" w:rsidRDefault="007E7942" w:rsidP="00A2549D">
            <w:pPr>
              <w:spacing w:before="60" w:after="60"/>
              <w:jc w:val="center"/>
              <w:rPr>
                <w:b/>
                <w:sz w:val="17"/>
                <w:szCs w:val="17"/>
              </w:rPr>
            </w:pPr>
            <w:r w:rsidRPr="00A2549D">
              <w:rPr>
                <w:b/>
                <w:sz w:val="17"/>
                <w:szCs w:val="17"/>
              </w:rPr>
              <w:t>Standardised information</w:t>
            </w:r>
          </w:p>
        </w:tc>
        <w:tc>
          <w:tcPr>
            <w:tcW w:w="1267" w:type="dxa"/>
            <w:shd w:val="clear" w:color="auto" w:fill="DEEAF6" w:themeFill="accent5" w:themeFillTint="33"/>
            <w:vAlign w:val="center"/>
          </w:tcPr>
          <w:p w:rsidR="007E7942" w:rsidRPr="00A2549D" w:rsidRDefault="007E7942" w:rsidP="00A2549D">
            <w:pPr>
              <w:spacing w:before="60" w:after="60"/>
              <w:jc w:val="center"/>
              <w:rPr>
                <w:b/>
                <w:sz w:val="17"/>
                <w:szCs w:val="17"/>
              </w:rPr>
            </w:pPr>
            <w:r w:rsidRPr="00A2549D">
              <w:rPr>
                <w:b/>
                <w:sz w:val="17"/>
                <w:szCs w:val="17"/>
              </w:rPr>
              <w:t>Contemporary</w:t>
            </w:r>
          </w:p>
        </w:tc>
        <w:tc>
          <w:tcPr>
            <w:tcW w:w="1650" w:type="dxa"/>
            <w:tcBorders>
              <w:right w:val="single" w:sz="12" w:space="0" w:color="4472C4" w:themeColor="accent1"/>
            </w:tcBorders>
            <w:shd w:val="clear" w:color="auto" w:fill="DEEAF6" w:themeFill="accent5" w:themeFillTint="33"/>
            <w:vAlign w:val="center"/>
          </w:tcPr>
          <w:p w:rsidR="007E7942" w:rsidRPr="00A2549D" w:rsidRDefault="007E7942" w:rsidP="00A2549D">
            <w:pPr>
              <w:spacing w:before="60" w:after="60"/>
              <w:jc w:val="center"/>
              <w:rPr>
                <w:b/>
                <w:sz w:val="17"/>
                <w:szCs w:val="17"/>
              </w:rPr>
            </w:pPr>
            <w:r w:rsidRPr="00A2549D">
              <w:rPr>
                <w:b/>
                <w:sz w:val="17"/>
                <w:szCs w:val="17"/>
              </w:rPr>
              <w:t>Outcomes</w:t>
            </w:r>
          </w:p>
        </w:tc>
        <w:tc>
          <w:tcPr>
            <w:tcW w:w="1134" w:type="dxa"/>
            <w:tcBorders>
              <w:left w:val="single" w:sz="12" w:space="0" w:color="4472C4" w:themeColor="accent1"/>
            </w:tcBorders>
            <w:shd w:val="clear" w:color="auto" w:fill="DEEAF6" w:themeFill="accent5" w:themeFillTint="33"/>
            <w:vAlign w:val="center"/>
          </w:tcPr>
          <w:p w:rsidR="007E7942" w:rsidRPr="00A2549D" w:rsidRDefault="007E7942" w:rsidP="00A2549D">
            <w:pPr>
              <w:spacing w:before="60" w:after="60"/>
              <w:jc w:val="center"/>
              <w:rPr>
                <w:b/>
                <w:sz w:val="17"/>
                <w:szCs w:val="17"/>
              </w:rPr>
            </w:pPr>
            <w:r w:rsidRPr="00A2549D">
              <w:rPr>
                <w:rFonts w:ascii="Calibri" w:hAnsi="Calibri" w:cs="Calibri"/>
                <w:b/>
                <w:sz w:val="17"/>
                <w:szCs w:val="17"/>
              </w:rPr>
              <w:t xml:space="preserve">Fit to </w:t>
            </w:r>
            <w:r w:rsidRPr="00A2549D">
              <w:rPr>
                <w:rStyle w:val="font712"/>
                <w:b/>
                <w:color w:val="auto"/>
                <w:sz w:val="17"/>
                <w:szCs w:val="17"/>
              </w:rPr>
              <w:t>External Assessment</w:t>
            </w:r>
          </w:p>
        </w:tc>
        <w:tc>
          <w:tcPr>
            <w:tcW w:w="993" w:type="dxa"/>
            <w:shd w:val="clear" w:color="auto" w:fill="DEEAF6" w:themeFill="accent5" w:themeFillTint="33"/>
            <w:vAlign w:val="center"/>
          </w:tcPr>
          <w:p w:rsidR="007E7942" w:rsidRPr="00A2549D" w:rsidRDefault="007E7942" w:rsidP="00A2549D">
            <w:pPr>
              <w:spacing w:before="60" w:after="60"/>
              <w:jc w:val="center"/>
              <w:rPr>
                <w:b/>
                <w:sz w:val="17"/>
                <w:szCs w:val="17"/>
              </w:rPr>
            </w:pPr>
            <w:r w:rsidRPr="00A2549D">
              <w:rPr>
                <w:rFonts w:ascii="Calibri" w:hAnsi="Calibri" w:cs="Calibri"/>
                <w:b/>
                <w:sz w:val="17"/>
                <w:szCs w:val="17"/>
              </w:rPr>
              <w:t xml:space="preserve">Fit to </w:t>
            </w:r>
            <w:r w:rsidRPr="00A2549D">
              <w:rPr>
                <w:rStyle w:val="font712"/>
                <w:b/>
                <w:color w:val="auto"/>
                <w:sz w:val="17"/>
                <w:szCs w:val="17"/>
              </w:rPr>
              <w:t>RAC workforce</w:t>
            </w:r>
          </w:p>
        </w:tc>
        <w:tc>
          <w:tcPr>
            <w:tcW w:w="850" w:type="dxa"/>
            <w:shd w:val="clear" w:color="auto" w:fill="DEEAF6" w:themeFill="accent5" w:themeFillTint="33"/>
            <w:vAlign w:val="center"/>
          </w:tcPr>
          <w:p w:rsidR="007E7942" w:rsidRPr="00A2549D" w:rsidRDefault="007E7942" w:rsidP="00A2549D">
            <w:pPr>
              <w:spacing w:before="60" w:after="60"/>
              <w:jc w:val="center"/>
              <w:rPr>
                <w:b/>
                <w:sz w:val="17"/>
                <w:szCs w:val="17"/>
              </w:rPr>
            </w:pPr>
            <w:r w:rsidRPr="00A2549D">
              <w:rPr>
                <w:rFonts w:ascii="Calibri" w:hAnsi="Calibri" w:cs="Calibri"/>
                <w:b/>
                <w:sz w:val="17"/>
                <w:szCs w:val="17"/>
              </w:rPr>
              <w:t xml:space="preserve">Fit to </w:t>
            </w:r>
            <w:r w:rsidRPr="00A2549D">
              <w:rPr>
                <w:rStyle w:val="font712"/>
                <w:b/>
                <w:color w:val="auto"/>
                <w:sz w:val="17"/>
                <w:szCs w:val="17"/>
              </w:rPr>
              <w:t>Gateway</w:t>
            </w:r>
          </w:p>
        </w:tc>
        <w:tc>
          <w:tcPr>
            <w:tcW w:w="1276" w:type="dxa"/>
            <w:shd w:val="clear" w:color="auto" w:fill="DEEAF6" w:themeFill="accent5" w:themeFillTint="33"/>
            <w:vAlign w:val="center"/>
          </w:tcPr>
          <w:p w:rsidR="007E7942" w:rsidRPr="00A2549D" w:rsidRDefault="007E7942" w:rsidP="00A2549D">
            <w:pPr>
              <w:spacing w:before="60" w:after="60"/>
              <w:jc w:val="center"/>
              <w:rPr>
                <w:b/>
                <w:sz w:val="17"/>
                <w:szCs w:val="17"/>
              </w:rPr>
            </w:pPr>
            <w:r w:rsidRPr="00A2549D">
              <w:rPr>
                <w:rFonts w:ascii="Calibri" w:hAnsi="Calibri" w:cs="Calibri"/>
                <w:b/>
                <w:sz w:val="17"/>
                <w:szCs w:val="17"/>
              </w:rPr>
              <w:t>Clarifies</w:t>
            </w:r>
          </w:p>
        </w:tc>
        <w:tc>
          <w:tcPr>
            <w:tcW w:w="1843" w:type="dxa"/>
            <w:shd w:val="clear" w:color="auto" w:fill="DEEAF6" w:themeFill="accent5" w:themeFillTint="33"/>
            <w:vAlign w:val="center"/>
          </w:tcPr>
          <w:p w:rsidR="007E7942" w:rsidRPr="00A2549D" w:rsidRDefault="007E7942" w:rsidP="00A2549D">
            <w:pPr>
              <w:spacing w:before="60" w:after="60"/>
              <w:jc w:val="center"/>
              <w:rPr>
                <w:b/>
                <w:sz w:val="17"/>
                <w:szCs w:val="17"/>
              </w:rPr>
            </w:pPr>
            <w:r w:rsidRPr="00A2549D">
              <w:rPr>
                <w:rFonts w:ascii="Calibri" w:hAnsi="Calibri" w:cs="Calibri"/>
                <w:b/>
                <w:sz w:val="17"/>
                <w:szCs w:val="17"/>
              </w:rPr>
              <w:t>Improves reviews</w:t>
            </w:r>
          </w:p>
        </w:tc>
      </w:tr>
      <w:tr w:rsidR="00C86B67" w:rsidRPr="00A2549D" w:rsidTr="008F30DB">
        <w:tc>
          <w:tcPr>
            <w:tcW w:w="1134" w:type="dxa"/>
            <w:shd w:val="clear" w:color="auto" w:fill="DEEAF6" w:themeFill="accent5" w:themeFillTint="33"/>
          </w:tcPr>
          <w:p w:rsidR="00C86B67" w:rsidRPr="00A2549D" w:rsidRDefault="00C86B67" w:rsidP="00A2549D">
            <w:pPr>
              <w:spacing w:after="0"/>
              <w:jc w:val="left"/>
              <w:rPr>
                <w:b/>
                <w:sz w:val="17"/>
                <w:szCs w:val="17"/>
              </w:rPr>
            </w:pPr>
            <w:r w:rsidRPr="00A2549D">
              <w:rPr>
                <w:b/>
                <w:sz w:val="17"/>
                <w:szCs w:val="17"/>
              </w:rPr>
              <w:t>Assessments (ax)</w:t>
            </w:r>
          </w:p>
        </w:tc>
        <w:tc>
          <w:tcPr>
            <w:tcW w:w="1360" w:type="dxa"/>
            <w:tcBorders>
              <w:right w:val="single" w:sz="12" w:space="0" w:color="4472C4" w:themeColor="accent1"/>
            </w:tcBorders>
            <w:shd w:val="clear" w:color="auto" w:fill="auto"/>
          </w:tcPr>
          <w:p w:rsidR="00C86B67" w:rsidRPr="00A2549D" w:rsidRDefault="00C86B67" w:rsidP="00A2549D">
            <w:pPr>
              <w:spacing w:after="0"/>
              <w:jc w:val="center"/>
              <w:rPr>
                <w:sz w:val="17"/>
                <w:szCs w:val="17"/>
              </w:rPr>
            </w:pPr>
            <w:r w:rsidRPr="00A2549D">
              <w:rPr>
                <w:sz w:val="17"/>
                <w:szCs w:val="17"/>
              </w:rPr>
              <w:t>Rules</w:t>
            </w:r>
          </w:p>
        </w:tc>
        <w:tc>
          <w:tcPr>
            <w:tcW w:w="1276" w:type="dxa"/>
            <w:tcBorders>
              <w:left w:val="single" w:sz="12" w:space="0" w:color="4472C4" w:themeColor="accent1"/>
            </w:tcBorders>
            <w:shd w:val="clear" w:color="auto" w:fill="auto"/>
          </w:tcPr>
          <w:p w:rsidR="00C86B67" w:rsidRPr="002A0783" w:rsidRDefault="00C86B67" w:rsidP="00A2549D">
            <w:pPr>
              <w:spacing w:after="0"/>
              <w:jc w:val="center"/>
              <w:rPr>
                <w:i/>
                <w:sz w:val="17"/>
                <w:szCs w:val="17"/>
              </w:rPr>
            </w:pPr>
            <w:r w:rsidRPr="00F02369">
              <w:rPr>
                <w:i/>
                <w:sz w:val="17"/>
                <w:szCs w:val="17"/>
              </w:rPr>
              <w:t>N</w:t>
            </w:r>
            <w:r>
              <w:rPr>
                <w:i/>
                <w:sz w:val="17"/>
                <w:szCs w:val="17"/>
              </w:rPr>
              <w:t>R</w:t>
            </w:r>
          </w:p>
        </w:tc>
        <w:tc>
          <w:tcPr>
            <w:tcW w:w="1192" w:type="dxa"/>
            <w:shd w:val="clear" w:color="auto" w:fill="auto"/>
          </w:tcPr>
          <w:p w:rsidR="00C86B67" w:rsidRPr="00A2549D" w:rsidRDefault="00C86B67" w:rsidP="00A2549D">
            <w:pPr>
              <w:spacing w:after="0"/>
              <w:jc w:val="center"/>
              <w:rPr>
                <w:sz w:val="17"/>
                <w:szCs w:val="17"/>
              </w:rPr>
            </w:pPr>
            <w:r w:rsidRPr="00F02369">
              <w:rPr>
                <w:i/>
                <w:sz w:val="17"/>
                <w:szCs w:val="17"/>
              </w:rPr>
              <w:t>N</w:t>
            </w:r>
            <w:r>
              <w:rPr>
                <w:i/>
                <w:sz w:val="17"/>
                <w:szCs w:val="17"/>
              </w:rPr>
              <w:t>R</w:t>
            </w:r>
          </w:p>
        </w:tc>
        <w:tc>
          <w:tcPr>
            <w:tcW w:w="1193" w:type="dxa"/>
            <w:shd w:val="clear" w:color="auto" w:fill="auto"/>
          </w:tcPr>
          <w:p w:rsidR="00C86B67" w:rsidRPr="00A2549D" w:rsidRDefault="00C86B67" w:rsidP="00A2549D">
            <w:pPr>
              <w:spacing w:after="0"/>
              <w:jc w:val="center"/>
              <w:rPr>
                <w:sz w:val="17"/>
                <w:szCs w:val="17"/>
              </w:rPr>
            </w:pPr>
            <w:r w:rsidRPr="00F02369">
              <w:rPr>
                <w:i/>
                <w:sz w:val="17"/>
                <w:szCs w:val="17"/>
              </w:rPr>
              <w:t>N</w:t>
            </w:r>
            <w:r>
              <w:rPr>
                <w:i/>
                <w:sz w:val="17"/>
                <w:szCs w:val="17"/>
              </w:rPr>
              <w:t>R</w:t>
            </w:r>
          </w:p>
        </w:tc>
        <w:tc>
          <w:tcPr>
            <w:tcW w:w="1267" w:type="dxa"/>
            <w:shd w:val="clear" w:color="auto" w:fill="auto"/>
          </w:tcPr>
          <w:p w:rsidR="00C86B67" w:rsidRPr="00A2549D" w:rsidRDefault="00C86B67" w:rsidP="00A2549D">
            <w:pPr>
              <w:spacing w:after="0"/>
              <w:jc w:val="center"/>
              <w:rPr>
                <w:sz w:val="17"/>
                <w:szCs w:val="17"/>
              </w:rPr>
            </w:pPr>
            <w:r w:rsidRPr="00F02369">
              <w:rPr>
                <w:i/>
                <w:sz w:val="17"/>
                <w:szCs w:val="17"/>
              </w:rPr>
              <w:t>N</w:t>
            </w:r>
            <w:r>
              <w:rPr>
                <w:i/>
                <w:sz w:val="17"/>
                <w:szCs w:val="17"/>
              </w:rPr>
              <w:t>R</w:t>
            </w:r>
          </w:p>
        </w:tc>
        <w:tc>
          <w:tcPr>
            <w:tcW w:w="1650" w:type="dxa"/>
            <w:tcBorders>
              <w:right w:val="single" w:sz="12" w:space="0" w:color="4472C4" w:themeColor="accent1"/>
            </w:tcBorders>
            <w:shd w:val="clear" w:color="auto" w:fill="auto"/>
          </w:tcPr>
          <w:p w:rsidR="00C86B67" w:rsidRPr="00A2549D" w:rsidRDefault="00C86B67" w:rsidP="00A2549D">
            <w:pPr>
              <w:spacing w:after="0"/>
              <w:jc w:val="center"/>
              <w:rPr>
                <w:sz w:val="17"/>
                <w:szCs w:val="17"/>
              </w:rPr>
            </w:pPr>
            <w:r w:rsidRPr="00A2549D">
              <w:rPr>
                <w:sz w:val="17"/>
                <w:szCs w:val="17"/>
              </w:rPr>
              <w:t>Currency improved (3/12)</w:t>
            </w:r>
          </w:p>
        </w:tc>
        <w:tc>
          <w:tcPr>
            <w:tcW w:w="1134" w:type="dxa"/>
            <w:tcBorders>
              <w:left w:val="single" w:sz="12" w:space="0" w:color="4472C4" w:themeColor="accent1"/>
            </w:tcBorders>
            <w:shd w:val="clear" w:color="auto" w:fill="auto"/>
          </w:tcPr>
          <w:p w:rsidR="00C86B67" w:rsidRPr="00A2549D" w:rsidRDefault="00C86B67" w:rsidP="00A2549D">
            <w:pPr>
              <w:spacing w:after="0"/>
              <w:jc w:val="center"/>
              <w:rPr>
                <w:sz w:val="17"/>
                <w:szCs w:val="17"/>
              </w:rPr>
            </w:pPr>
            <w:r>
              <w:rPr>
                <w:i/>
                <w:sz w:val="17"/>
                <w:szCs w:val="17"/>
              </w:rPr>
              <w:t>NR</w:t>
            </w:r>
          </w:p>
        </w:tc>
        <w:tc>
          <w:tcPr>
            <w:tcW w:w="993" w:type="dxa"/>
            <w:shd w:val="clear" w:color="auto" w:fill="auto"/>
          </w:tcPr>
          <w:p w:rsidR="00C86B67" w:rsidRPr="00A2549D" w:rsidRDefault="00C86B67" w:rsidP="00A2549D">
            <w:pPr>
              <w:spacing w:after="0"/>
              <w:jc w:val="center"/>
              <w:rPr>
                <w:sz w:val="17"/>
                <w:szCs w:val="17"/>
              </w:rPr>
            </w:pPr>
            <w:r w:rsidRPr="00A2549D">
              <w:rPr>
                <w:sz w:val="17"/>
                <w:szCs w:val="17"/>
              </w:rPr>
              <w:t>RN/AHP sign off</w:t>
            </w:r>
          </w:p>
        </w:tc>
        <w:tc>
          <w:tcPr>
            <w:tcW w:w="850" w:type="dxa"/>
            <w:shd w:val="clear" w:color="auto" w:fill="auto"/>
          </w:tcPr>
          <w:p w:rsidR="00C86B67" w:rsidRPr="00A2549D" w:rsidRDefault="00C86B67" w:rsidP="00A2549D">
            <w:pPr>
              <w:spacing w:after="0"/>
              <w:jc w:val="center"/>
              <w:rPr>
                <w:sz w:val="17"/>
                <w:szCs w:val="17"/>
              </w:rPr>
            </w:pPr>
            <w:r>
              <w:rPr>
                <w:i/>
                <w:sz w:val="17"/>
                <w:szCs w:val="17"/>
              </w:rPr>
              <w:t>NR</w:t>
            </w:r>
          </w:p>
        </w:tc>
        <w:tc>
          <w:tcPr>
            <w:tcW w:w="1276" w:type="dxa"/>
            <w:shd w:val="clear" w:color="auto" w:fill="auto"/>
          </w:tcPr>
          <w:p w:rsidR="00C86B67" w:rsidRPr="00A2549D" w:rsidRDefault="00C86B67" w:rsidP="00A2549D">
            <w:pPr>
              <w:spacing w:after="0"/>
              <w:jc w:val="center"/>
              <w:rPr>
                <w:sz w:val="17"/>
                <w:szCs w:val="17"/>
              </w:rPr>
            </w:pPr>
            <w:r w:rsidRPr="00A2549D">
              <w:rPr>
                <w:sz w:val="17"/>
                <w:szCs w:val="17"/>
              </w:rPr>
              <w:t>Professional Accountability</w:t>
            </w:r>
          </w:p>
        </w:tc>
        <w:tc>
          <w:tcPr>
            <w:tcW w:w="1843" w:type="dxa"/>
            <w:shd w:val="clear" w:color="auto" w:fill="auto"/>
          </w:tcPr>
          <w:p w:rsidR="00C86B67" w:rsidRPr="00A2549D" w:rsidRDefault="00C86B67" w:rsidP="00A2549D">
            <w:pPr>
              <w:spacing w:after="0"/>
              <w:jc w:val="center"/>
              <w:rPr>
                <w:sz w:val="17"/>
                <w:szCs w:val="17"/>
              </w:rPr>
            </w:pPr>
            <w:r w:rsidRPr="00A2549D">
              <w:rPr>
                <w:sz w:val="17"/>
                <w:szCs w:val="17"/>
              </w:rPr>
              <w:t>Claim requires a new ax</w:t>
            </w:r>
          </w:p>
        </w:tc>
      </w:tr>
      <w:tr w:rsidR="00C86B67" w:rsidRPr="00A2549D" w:rsidTr="008F30DB">
        <w:tc>
          <w:tcPr>
            <w:tcW w:w="1134" w:type="dxa"/>
            <w:shd w:val="clear" w:color="auto" w:fill="DEEAF6" w:themeFill="accent5" w:themeFillTint="33"/>
          </w:tcPr>
          <w:p w:rsidR="00C86B67" w:rsidRPr="00A2549D" w:rsidRDefault="00C86B67" w:rsidP="00A2549D">
            <w:pPr>
              <w:spacing w:after="0"/>
              <w:jc w:val="left"/>
              <w:rPr>
                <w:b/>
                <w:sz w:val="17"/>
                <w:szCs w:val="17"/>
              </w:rPr>
            </w:pPr>
            <w:r w:rsidRPr="00A2549D">
              <w:rPr>
                <w:b/>
                <w:sz w:val="17"/>
                <w:szCs w:val="17"/>
              </w:rPr>
              <w:t>Cognition</w:t>
            </w:r>
          </w:p>
        </w:tc>
        <w:tc>
          <w:tcPr>
            <w:tcW w:w="1360" w:type="dxa"/>
            <w:tcBorders>
              <w:right w:val="single" w:sz="12" w:space="0" w:color="4472C4" w:themeColor="accent1"/>
            </w:tcBorders>
          </w:tcPr>
          <w:p w:rsidR="00C86B67" w:rsidRPr="00A2549D" w:rsidRDefault="00C86B67" w:rsidP="00A2549D">
            <w:pPr>
              <w:spacing w:after="0"/>
              <w:jc w:val="center"/>
              <w:rPr>
                <w:sz w:val="17"/>
                <w:szCs w:val="17"/>
              </w:rPr>
            </w:pPr>
            <w:r w:rsidRPr="00A2549D">
              <w:rPr>
                <w:sz w:val="17"/>
                <w:szCs w:val="17"/>
              </w:rPr>
              <w:t>Assessment</w:t>
            </w:r>
          </w:p>
        </w:tc>
        <w:tc>
          <w:tcPr>
            <w:tcW w:w="1276" w:type="dxa"/>
            <w:tcBorders>
              <w:left w:val="single" w:sz="12" w:space="0" w:color="4472C4" w:themeColor="accent1"/>
            </w:tcBorders>
          </w:tcPr>
          <w:p w:rsidR="00C86B67" w:rsidRPr="00A2549D" w:rsidRDefault="00C86B67" w:rsidP="00A2549D">
            <w:pPr>
              <w:spacing w:after="0"/>
              <w:jc w:val="center"/>
              <w:rPr>
                <w:sz w:val="17"/>
                <w:szCs w:val="17"/>
              </w:rPr>
            </w:pPr>
            <w:r w:rsidRPr="00A2549D">
              <w:rPr>
                <w:sz w:val="17"/>
                <w:szCs w:val="17"/>
              </w:rPr>
              <w:t>SMMSE</w:t>
            </w:r>
          </w:p>
        </w:tc>
        <w:tc>
          <w:tcPr>
            <w:tcW w:w="1192" w:type="dxa"/>
          </w:tcPr>
          <w:p w:rsidR="00C86B67" w:rsidRPr="00A2549D" w:rsidRDefault="00C86B67" w:rsidP="00A2549D">
            <w:pPr>
              <w:spacing w:after="0"/>
              <w:jc w:val="center"/>
              <w:rPr>
                <w:sz w:val="17"/>
                <w:szCs w:val="17"/>
              </w:rPr>
            </w:pPr>
            <w:r w:rsidRPr="00A2549D">
              <w:rPr>
                <w:sz w:val="17"/>
                <w:szCs w:val="17"/>
              </w:rPr>
              <w:t>YES</w:t>
            </w:r>
          </w:p>
        </w:tc>
        <w:tc>
          <w:tcPr>
            <w:tcW w:w="1193" w:type="dxa"/>
          </w:tcPr>
          <w:p w:rsidR="00C86B67" w:rsidRPr="00A2549D" w:rsidRDefault="00C86B67" w:rsidP="00A2549D">
            <w:pPr>
              <w:spacing w:after="0"/>
              <w:jc w:val="center"/>
              <w:rPr>
                <w:sz w:val="17"/>
                <w:szCs w:val="17"/>
              </w:rPr>
            </w:pPr>
            <w:r w:rsidRPr="00A2549D">
              <w:rPr>
                <w:sz w:val="17"/>
                <w:szCs w:val="17"/>
              </w:rPr>
              <w:t>Fits to Checklist</w:t>
            </w:r>
          </w:p>
        </w:tc>
        <w:tc>
          <w:tcPr>
            <w:tcW w:w="1267" w:type="dxa"/>
          </w:tcPr>
          <w:p w:rsidR="00C86B67" w:rsidRPr="00A2549D" w:rsidRDefault="00C86B67" w:rsidP="00A2549D">
            <w:pPr>
              <w:spacing w:after="0"/>
              <w:jc w:val="center"/>
              <w:rPr>
                <w:sz w:val="17"/>
                <w:szCs w:val="17"/>
              </w:rPr>
            </w:pPr>
            <w:r w:rsidRPr="00A2549D">
              <w:rPr>
                <w:sz w:val="17"/>
                <w:szCs w:val="17"/>
              </w:rPr>
              <w:t>YES</w:t>
            </w:r>
          </w:p>
        </w:tc>
        <w:tc>
          <w:tcPr>
            <w:tcW w:w="1650" w:type="dxa"/>
            <w:tcBorders>
              <w:right w:val="single" w:sz="12" w:space="0" w:color="4472C4" w:themeColor="accent1"/>
            </w:tcBorders>
          </w:tcPr>
          <w:p w:rsidR="00C86B67" w:rsidRPr="00A2549D" w:rsidRDefault="00C86B67" w:rsidP="00A2549D">
            <w:pPr>
              <w:spacing w:after="0"/>
              <w:jc w:val="center"/>
              <w:rPr>
                <w:sz w:val="17"/>
                <w:szCs w:val="17"/>
              </w:rPr>
            </w:pPr>
            <w:r w:rsidRPr="00A2549D">
              <w:rPr>
                <w:sz w:val="17"/>
                <w:szCs w:val="17"/>
              </w:rPr>
              <w:t>Cognitive score</w:t>
            </w:r>
          </w:p>
        </w:tc>
        <w:tc>
          <w:tcPr>
            <w:tcW w:w="1134" w:type="dxa"/>
            <w:tcBorders>
              <w:left w:val="single" w:sz="12" w:space="0" w:color="4472C4" w:themeColor="accent1"/>
            </w:tcBorders>
          </w:tcPr>
          <w:p w:rsidR="00C86B67" w:rsidRPr="00A2549D" w:rsidRDefault="00C86B67" w:rsidP="00A2549D">
            <w:pPr>
              <w:spacing w:after="0"/>
              <w:jc w:val="center"/>
              <w:rPr>
                <w:sz w:val="17"/>
                <w:szCs w:val="17"/>
              </w:rPr>
            </w:pPr>
            <w:r w:rsidRPr="00A2549D">
              <w:rPr>
                <w:sz w:val="17"/>
                <w:szCs w:val="17"/>
              </w:rPr>
              <w:t>YES</w:t>
            </w:r>
          </w:p>
        </w:tc>
        <w:tc>
          <w:tcPr>
            <w:tcW w:w="993" w:type="dxa"/>
          </w:tcPr>
          <w:p w:rsidR="00C86B67" w:rsidRPr="00A2549D" w:rsidRDefault="00C86B67" w:rsidP="00A2549D">
            <w:pPr>
              <w:spacing w:after="0"/>
              <w:jc w:val="center"/>
              <w:rPr>
                <w:sz w:val="17"/>
                <w:szCs w:val="17"/>
              </w:rPr>
            </w:pPr>
            <w:r w:rsidRPr="00A2549D">
              <w:rPr>
                <w:sz w:val="17"/>
                <w:szCs w:val="17"/>
              </w:rPr>
              <w:t>MMSE NATframe</w:t>
            </w:r>
          </w:p>
        </w:tc>
        <w:tc>
          <w:tcPr>
            <w:tcW w:w="850" w:type="dxa"/>
          </w:tcPr>
          <w:p w:rsidR="00C86B67" w:rsidRPr="00A2549D" w:rsidRDefault="00C86B67" w:rsidP="00A2549D">
            <w:pPr>
              <w:spacing w:after="0"/>
              <w:jc w:val="center"/>
              <w:rPr>
                <w:sz w:val="17"/>
                <w:szCs w:val="17"/>
              </w:rPr>
            </w:pPr>
            <w:r w:rsidRPr="00A2549D">
              <w:rPr>
                <w:sz w:val="17"/>
                <w:szCs w:val="17"/>
              </w:rPr>
              <w:t>In NSAF</w:t>
            </w:r>
          </w:p>
        </w:tc>
        <w:tc>
          <w:tcPr>
            <w:tcW w:w="1276" w:type="dxa"/>
          </w:tcPr>
          <w:p w:rsidR="00C86B67" w:rsidRPr="00A2549D" w:rsidRDefault="00C86B67" w:rsidP="00A2549D">
            <w:pPr>
              <w:spacing w:after="0"/>
              <w:jc w:val="center"/>
              <w:rPr>
                <w:sz w:val="17"/>
                <w:szCs w:val="17"/>
              </w:rPr>
            </w:pPr>
            <w:r>
              <w:rPr>
                <w:i/>
                <w:sz w:val="17"/>
                <w:szCs w:val="17"/>
              </w:rPr>
              <w:t>NR</w:t>
            </w:r>
          </w:p>
        </w:tc>
        <w:tc>
          <w:tcPr>
            <w:tcW w:w="1843" w:type="dxa"/>
          </w:tcPr>
          <w:p w:rsidR="00C86B67" w:rsidRPr="00A2549D" w:rsidRDefault="00C86B67" w:rsidP="00A2549D">
            <w:pPr>
              <w:spacing w:after="0"/>
              <w:jc w:val="center"/>
              <w:rPr>
                <w:sz w:val="17"/>
                <w:szCs w:val="17"/>
              </w:rPr>
            </w:pPr>
            <w:r w:rsidRPr="00A2549D">
              <w:rPr>
                <w:sz w:val="17"/>
                <w:szCs w:val="17"/>
              </w:rPr>
              <w:t>Shared evidence</w:t>
            </w:r>
          </w:p>
        </w:tc>
      </w:tr>
      <w:tr w:rsidR="00C86B67" w:rsidRPr="00A2549D" w:rsidTr="008F30DB">
        <w:tc>
          <w:tcPr>
            <w:tcW w:w="1134" w:type="dxa"/>
            <w:shd w:val="clear" w:color="auto" w:fill="DEEAF6" w:themeFill="accent5" w:themeFillTint="33"/>
          </w:tcPr>
          <w:p w:rsidR="00C86B67" w:rsidRPr="00A2549D" w:rsidRDefault="00C86B67" w:rsidP="00A2549D">
            <w:pPr>
              <w:spacing w:after="0"/>
              <w:jc w:val="left"/>
              <w:rPr>
                <w:b/>
                <w:sz w:val="17"/>
                <w:szCs w:val="17"/>
              </w:rPr>
            </w:pPr>
            <w:r w:rsidRPr="00A2549D">
              <w:rPr>
                <w:b/>
                <w:sz w:val="17"/>
                <w:szCs w:val="17"/>
              </w:rPr>
              <w:t>Cognition</w:t>
            </w:r>
          </w:p>
        </w:tc>
        <w:tc>
          <w:tcPr>
            <w:tcW w:w="1360" w:type="dxa"/>
            <w:tcBorders>
              <w:right w:val="single" w:sz="12" w:space="0" w:color="4472C4" w:themeColor="accent1"/>
            </w:tcBorders>
          </w:tcPr>
          <w:p w:rsidR="00C86B67" w:rsidRPr="00A2549D" w:rsidRDefault="00C86B67" w:rsidP="00A2549D">
            <w:pPr>
              <w:spacing w:after="0"/>
              <w:jc w:val="center"/>
              <w:rPr>
                <w:sz w:val="17"/>
                <w:szCs w:val="17"/>
              </w:rPr>
            </w:pPr>
            <w:r w:rsidRPr="00A2549D">
              <w:rPr>
                <w:sz w:val="17"/>
                <w:szCs w:val="17"/>
              </w:rPr>
              <w:t>Checklist</w:t>
            </w:r>
          </w:p>
        </w:tc>
        <w:tc>
          <w:tcPr>
            <w:tcW w:w="1276" w:type="dxa"/>
            <w:tcBorders>
              <w:left w:val="single" w:sz="12" w:space="0" w:color="4472C4" w:themeColor="accent1"/>
            </w:tcBorders>
          </w:tcPr>
          <w:p w:rsidR="00C86B67" w:rsidRPr="00A2549D" w:rsidRDefault="00C86B67" w:rsidP="00A2549D">
            <w:pPr>
              <w:spacing w:after="0"/>
              <w:jc w:val="center"/>
              <w:rPr>
                <w:sz w:val="17"/>
                <w:szCs w:val="17"/>
              </w:rPr>
            </w:pPr>
            <w:r w:rsidRPr="00A2549D">
              <w:rPr>
                <w:sz w:val="17"/>
                <w:szCs w:val="17"/>
              </w:rPr>
              <w:t>YES</w:t>
            </w:r>
          </w:p>
        </w:tc>
        <w:tc>
          <w:tcPr>
            <w:tcW w:w="1192" w:type="dxa"/>
          </w:tcPr>
          <w:p w:rsidR="00C86B67" w:rsidRPr="00A2549D" w:rsidRDefault="00C86B67" w:rsidP="00A2549D">
            <w:pPr>
              <w:spacing w:after="0"/>
              <w:jc w:val="center"/>
              <w:rPr>
                <w:sz w:val="17"/>
                <w:szCs w:val="17"/>
              </w:rPr>
            </w:pPr>
            <w:r w:rsidRPr="00F02369">
              <w:rPr>
                <w:i/>
                <w:sz w:val="17"/>
                <w:szCs w:val="17"/>
              </w:rPr>
              <w:t>N</w:t>
            </w:r>
            <w:r>
              <w:rPr>
                <w:i/>
                <w:sz w:val="17"/>
                <w:szCs w:val="17"/>
              </w:rPr>
              <w:t>R</w:t>
            </w:r>
          </w:p>
        </w:tc>
        <w:tc>
          <w:tcPr>
            <w:tcW w:w="1193" w:type="dxa"/>
          </w:tcPr>
          <w:p w:rsidR="00C86B67" w:rsidRPr="00A2549D" w:rsidRDefault="00C86B67" w:rsidP="00A2549D">
            <w:pPr>
              <w:spacing w:after="0"/>
              <w:jc w:val="center"/>
              <w:rPr>
                <w:sz w:val="17"/>
                <w:szCs w:val="17"/>
              </w:rPr>
            </w:pPr>
            <w:r w:rsidRPr="00A2549D">
              <w:rPr>
                <w:sz w:val="17"/>
                <w:szCs w:val="17"/>
              </w:rPr>
              <w:t>Updated</w:t>
            </w:r>
          </w:p>
        </w:tc>
        <w:tc>
          <w:tcPr>
            <w:tcW w:w="1267" w:type="dxa"/>
          </w:tcPr>
          <w:p w:rsidR="00C86B67" w:rsidRPr="00A2549D" w:rsidRDefault="00C86B67" w:rsidP="00A2549D">
            <w:pPr>
              <w:spacing w:after="0"/>
              <w:jc w:val="center"/>
              <w:rPr>
                <w:sz w:val="17"/>
                <w:szCs w:val="17"/>
              </w:rPr>
            </w:pPr>
            <w:r w:rsidRPr="00F02369">
              <w:rPr>
                <w:i/>
                <w:sz w:val="17"/>
                <w:szCs w:val="17"/>
              </w:rPr>
              <w:t>N</w:t>
            </w:r>
            <w:r>
              <w:rPr>
                <w:i/>
                <w:sz w:val="17"/>
                <w:szCs w:val="17"/>
              </w:rPr>
              <w:t>R</w:t>
            </w:r>
          </w:p>
        </w:tc>
        <w:tc>
          <w:tcPr>
            <w:tcW w:w="1650" w:type="dxa"/>
            <w:tcBorders>
              <w:right w:val="single" w:sz="12" w:space="0" w:color="4472C4" w:themeColor="accent1"/>
            </w:tcBorders>
          </w:tcPr>
          <w:p w:rsidR="00C86B67" w:rsidRPr="00A2549D" w:rsidRDefault="00C86B67" w:rsidP="00A2549D">
            <w:pPr>
              <w:spacing w:after="0"/>
              <w:jc w:val="center"/>
              <w:rPr>
                <w:sz w:val="17"/>
                <w:szCs w:val="17"/>
              </w:rPr>
            </w:pPr>
            <w:r w:rsidRPr="00A2549D">
              <w:rPr>
                <w:sz w:val="17"/>
                <w:szCs w:val="17"/>
              </w:rPr>
              <w:t>Updated to fit SMMSE scores</w:t>
            </w:r>
          </w:p>
        </w:tc>
        <w:tc>
          <w:tcPr>
            <w:tcW w:w="1134" w:type="dxa"/>
            <w:tcBorders>
              <w:left w:val="single" w:sz="12" w:space="0" w:color="4472C4" w:themeColor="accent1"/>
            </w:tcBorders>
          </w:tcPr>
          <w:p w:rsidR="00C86B67" w:rsidRPr="00A2549D" w:rsidRDefault="00C86B67" w:rsidP="00A2549D">
            <w:pPr>
              <w:spacing w:after="0"/>
              <w:jc w:val="center"/>
              <w:rPr>
                <w:sz w:val="17"/>
                <w:szCs w:val="17"/>
              </w:rPr>
            </w:pPr>
            <w:r>
              <w:rPr>
                <w:i/>
                <w:sz w:val="17"/>
                <w:szCs w:val="17"/>
              </w:rPr>
              <w:t>NR</w:t>
            </w:r>
          </w:p>
        </w:tc>
        <w:tc>
          <w:tcPr>
            <w:tcW w:w="993" w:type="dxa"/>
          </w:tcPr>
          <w:p w:rsidR="00C86B67" w:rsidRPr="00A2549D" w:rsidRDefault="00C86B67" w:rsidP="00A2549D">
            <w:pPr>
              <w:spacing w:after="0"/>
              <w:jc w:val="center"/>
              <w:rPr>
                <w:sz w:val="17"/>
                <w:szCs w:val="17"/>
              </w:rPr>
            </w:pPr>
            <w:r>
              <w:rPr>
                <w:i/>
                <w:sz w:val="17"/>
                <w:szCs w:val="17"/>
              </w:rPr>
              <w:t>NR</w:t>
            </w:r>
          </w:p>
        </w:tc>
        <w:tc>
          <w:tcPr>
            <w:tcW w:w="850" w:type="dxa"/>
          </w:tcPr>
          <w:p w:rsidR="00C86B67" w:rsidRPr="00A2549D" w:rsidRDefault="00C86B67" w:rsidP="00A2549D">
            <w:pPr>
              <w:spacing w:after="0"/>
              <w:jc w:val="center"/>
              <w:rPr>
                <w:sz w:val="17"/>
                <w:szCs w:val="17"/>
              </w:rPr>
            </w:pPr>
            <w:r>
              <w:rPr>
                <w:i/>
                <w:sz w:val="17"/>
                <w:szCs w:val="17"/>
              </w:rPr>
              <w:t>NR</w:t>
            </w:r>
          </w:p>
        </w:tc>
        <w:tc>
          <w:tcPr>
            <w:tcW w:w="1276" w:type="dxa"/>
          </w:tcPr>
          <w:p w:rsidR="00C86B67" w:rsidRPr="00A2549D" w:rsidRDefault="00C86B67" w:rsidP="00A2549D">
            <w:pPr>
              <w:spacing w:after="0"/>
              <w:jc w:val="center"/>
              <w:rPr>
                <w:sz w:val="17"/>
                <w:szCs w:val="17"/>
              </w:rPr>
            </w:pPr>
            <w:r w:rsidRPr="00A2549D">
              <w:rPr>
                <w:sz w:val="17"/>
                <w:szCs w:val="17"/>
              </w:rPr>
              <w:t>Requires evidence if no assessment used</w:t>
            </w:r>
          </w:p>
        </w:tc>
        <w:tc>
          <w:tcPr>
            <w:tcW w:w="1843" w:type="dxa"/>
          </w:tcPr>
          <w:p w:rsidR="00C86B67" w:rsidRPr="00A2549D" w:rsidRDefault="00C86B67" w:rsidP="00A2549D">
            <w:pPr>
              <w:spacing w:after="0"/>
              <w:jc w:val="center"/>
              <w:rPr>
                <w:sz w:val="17"/>
                <w:szCs w:val="17"/>
              </w:rPr>
            </w:pPr>
            <w:r>
              <w:rPr>
                <w:i/>
                <w:sz w:val="17"/>
                <w:szCs w:val="17"/>
              </w:rPr>
              <w:t>NR</w:t>
            </w:r>
          </w:p>
        </w:tc>
      </w:tr>
      <w:tr w:rsidR="00C86B67" w:rsidRPr="00A2549D" w:rsidTr="008F30DB">
        <w:tc>
          <w:tcPr>
            <w:tcW w:w="1134" w:type="dxa"/>
            <w:shd w:val="clear" w:color="auto" w:fill="DEEAF6" w:themeFill="accent5" w:themeFillTint="33"/>
          </w:tcPr>
          <w:p w:rsidR="00C86B67" w:rsidRPr="00A2549D" w:rsidRDefault="00C86B67" w:rsidP="00A2549D">
            <w:pPr>
              <w:spacing w:after="0"/>
              <w:jc w:val="left"/>
              <w:rPr>
                <w:b/>
                <w:sz w:val="17"/>
                <w:szCs w:val="17"/>
              </w:rPr>
            </w:pPr>
            <w:r w:rsidRPr="00A2549D">
              <w:rPr>
                <w:b/>
                <w:sz w:val="17"/>
                <w:szCs w:val="17"/>
              </w:rPr>
              <w:t>Behaviour</w:t>
            </w:r>
          </w:p>
        </w:tc>
        <w:tc>
          <w:tcPr>
            <w:tcW w:w="1360" w:type="dxa"/>
            <w:tcBorders>
              <w:right w:val="single" w:sz="12" w:space="0" w:color="4472C4" w:themeColor="accent1"/>
            </w:tcBorders>
          </w:tcPr>
          <w:p w:rsidR="00C86B67" w:rsidRPr="00A2549D" w:rsidRDefault="00C86B67" w:rsidP="00A2549D">
            <w:pPr>
              <w:spacing w:after="0"/>
              <w:jc w:val="center"/>
              <w:rPr>
                <w:sz w:val="17"/>
                <w:szCs w:val="17"/>
              </w:rPr>
            </w:pPr>
            <w:r w:rsidRPr="00A2549D">
              <w:rPr>
                <w:sz w:val="17"/>
                <w:szCs w:val="17"/>
              </w:rPr>
              <w:t>Frequency</w:t>
            </w:r>
          </w:p>
        </w:tc>
        <w:tc>
          <w:tcPr>
            <w:tcW w:w="1276" w:type="dxa"/>
            <w:tcBorders>
              <w:left w:val="single" w:sz="12" w:space="0" w:color="4472C4" w:themeColor="accent1"/>
            </w:tcBorders>
          </w:tcPr>
          <w:p w:rsidR="00C86B67" w:rsidRPr="00A2549D" w:rsidRDefault="00C86B67" w:rsidP="00A2549D">
            <w:pPr>
              <w:spacing w:after="0"/>
              <w:jc w:val="center"/>
              <w:rPr>
                <w:sz w:val="17"/>
                <w:szCs w:val="17"/>
              </w:rPr>
            </w:pPr>
            <w:r w:rsidRPr="00A2549D">
              <w:rPr>
                <w:sz w:val="17"/>
                <w:szCs w:val="17"/>
              </w:rPr>
              <w:t>YES-ACFI Behaviour Record</w:t>
            </w:r>
          </w:p>
        </w:tc>
        <w:tc>
          <w:tcPr>
            <w:tcW w:w="1192" w:type="dxa"/>
          </w:tcPr>
          <w:p w:rsidR="00C86B67" w:rsidRPr="00A2549D" w:rsidRDefault="00C86B67" w:rsidP="00A2549D">
            <w:pPr>
              <w:spacing w:after="0"/>
              <w:jc w:val="center"/>
              <w:rPr>
                <w:sz w:val="17"/>
                <w:szCs w:val="17"/>
              </w:rPr>
            </w:pPr>
            <w:r w:rsidRPr="00F02369">
              <w:rPr>
                <w:i/>
                <w:sz w:val="17"/>
                <w:szCs w:val="17"/>
              </w:rPr>
              <w:t>N</w:t>
            </w:r>
            <w:r>
              <w:rPr>
                <w:i/>
                <w:sz w:val="17"/>
                <w:szCs w:val="17"/>
              </w:rPr>
              <w:t>R</w:t>
            </w:r>
          </w:p>
        </w:tc>
        <w:tc>
          <w:tcPr>
            <w:tcW w:w="1193" w:type="dxa"/>
          </w:tcPr>
          <w:p w:rsidR="00C86B67" w:rsidRPr="00A2549D" w:rsidRDefault="00C86B67" w:rsidP="00A2549D">
            <w:pPr>
              <w:spacing w:after="0"/>
              <w:jc w:val="center"/>
              <w:rPr>
                <w:sz w:val="17"/>
                <w:szCs w:val="17"/>
              </w:rPr>
            </w:pPr>
            <w:r w:rsidRPr="00F02369">
              <w:rPr>
                <w:i/>
                <w:sz w:val="17"/>
                <w:szCs w:val="17"/>
              </w:rPr>
              <w:t>N</w:t>
            </w:r>
            <w:r>
              <w:rPr>
                <w:i/>
                <w:sz w:val="17"/>
                <w:szCs w:val="17"/>
              </w:rPr>
              <w:t>R</w:t>
            </w:r>
          </w:p>
        </w:tc>
        <w:tc>
          <w:tcPr>
            <w:tcW w:w="1267" w:type="dxa"/>
          </w:tcPr>
          <w:p w:rsidR="00C86B67" w:rsidRPr="00A2549D" w:rsidRDefault="00C86B67" w:rsidP="00A2549D">
            <w:pPr>
              <w:spacing w:after="0"/>
              <w:jc w:val="center"/>
              <w:rPr>
                <w:sz w:val="17"/>
                <w:szCs w:val="17"/>
              </w:rPr>
            </w:pPr>
            <w:r w:rsidRPr="00F02369">
              <w:rPr>
                <w:i/>
                <w:sz w:val="17"/>
                <w:szCs w:val="17"/>
              </w:rPr>
              <w:t>N</w:t>
            </w:r>
            <w:r>
              <w:rPr>
                <w:i/>
                <w:sz w:val="17"/>
                <w:szCs w:val="17"/>
              </w:rPr>
              <w:t>R</w:t>
            </w:r>
          </w:p>
        </w:tc>
        <w:tc>
          <w:tcPr>
            <w:tcW w:w="1650" w:type="dxa"/>
            <w:tcBorders>
              <w:right w:val="single" w:sz="12" w:space="0" w:color="4472C4" w:themeColor="accent1"/>
            </w:tcBorders>
          </w:tcPr>
          <w:p w:rsidR="00C86B67" w:rsidRPr="00A2549D" w:rsidRDefault="00C86B67" w:rsidP="00A2549D">
            <w:pPr>
              <w:spacing w:after="0"/>
              <w:jc w:val="center"/>
              <w:rPr>
                <w:sz w:val="17"/>
                <w:szCs w:val="17"/>
                <w:lang w:eastAsia="en-AU"/>
              </w:rPr>
            </w:pPr>
            <w:r w:rsidRPr="00A2549D">
              <w:rPr>
                <w:sz w:val="17"/>
                <w:szCs w:val="17"/>
              </w:rPr>
              <w:t xml:space="preserve">1 = </w:t>
            </w:r>
            <w:r w:rsidRPr="00A2549D">
              <w:rPr>
                <w:sz w:val="17"/>
                <w:szCs w:val="17"/>
                <w:lang w:eastAsia="en-AU"/>
              </w:rPr>
              <w:t>Not at all or less than daily;</w:t>
            </w:r>
          </w:p>
          <w:p w:rsidR="00C86B67" w:rsidRPr="00A2549D" w:rsidRDefault="00C86B67" w:rsidP="00A2549D">
            <w:pPr>
              <w:spacing w:after="0"/>
              <w:jc w:val="center"/>
              <w:rPr>
                <w:sz w:val="17"/>
                <w:szCs w:val="17"/>
                <w:lang w:eastAsia="en-AU"/>
              </w:rPr>
            </w:pPr>
            <w:r w:rsidRPr="00A2549D">
              <w:rPr>
                <w:sz w:val="17"/>
                <w:szCs w:val="17"/>
                <w:lang w:eastAsia="en-AU"/>
              </w:rPr>
              <w:t>2 = Daily;</w:t>
            </w:r>
          </w:p>
          <w:p w:rsidR="00C86B67" w:rsidRPr="00A2549D" w:rsidRDefault="00C86B67" w:rsidP="00A2549D">
            <w:pPr>
              <w:spacing w:after="0"/>
              <w:jc w:val="center"/>
              <w:rPr>
                <w:sz w:val="17"/>
                <w:szCs w:val="17"/>
                <w:lang w:eastAsia="en-AU"/>
              </w:rPr>
            </w:pPr>
            <w:r w:rsidRPr="00A2549D">
              <w:rPr>
                <w:sz w:val="17"/>
                <w:szCs w:val="17"/>
                <w:lang w:eastAsia="en-AU"/>
              </w:rPr>
              <w:t>3= 2 times per day everyday;</w:t>
            </w:r>
          </w:p>
          <w:p w:rsidR="00C86B67" w:rsidRPr="00A2549D" w:rsidRDefault="00C86B67" w:rsidP="00A2549D">
            <w:pPr>
              <w:spacing w:after="0"/>
              <w:jc w:val="center"/>
              <w:rPr>
                <w:sz w:val="17"/>
                <w:szCs w:val="17"/>
              </w:rPr>
            </w:pPr>
            <w:r w:rsidRPr="00A2549D">
              <w:rPr>
                <w:sz w:val="17"/>
                <w:szCs w:val="17"/>
                <w:lang w:eastAsia="en-AU"/>
              </w:rPr>
              <w:t>4 = &gt; 2 times per day everyday</w:t>
            </w:r>
          </w:p>
        </w:tc>
        <w:tc>
          <w:tcPr>
            <w:tcW w:w="1134" w:type="dxa"/>
            <w:tcBorders>
              <w:left w:val="single" w:sz="12" w:space="0" w:color="4472C4" w:themeColor="accent1"/>
            </w:tcBorders>
          </w:tcPr>
          <w:p w:rsidR="00C86B67" w:rsidRPr="00A2549D" w:rsidRDefault="00C86B67" w:rsidP="00A2549D">
            <w:pPr>
              <w:spacing w:after="0"/>
              <w:jc w:val="center"/>
              <w:rPr>
                <w:sz w:val="17"/>
                <w:szCs w:val="17"/>
              </w:rPr>
            </w:pPr>
            <w:r>
              <w:rPr>
                <w:sz w:val="17"/>
                <w:szCs w:val="17"/>
              </w:rPr>
              <w:t>No assessment</w:t>
            </w:r>
          </w:p>
        </w:tc>
        <w:tc>
          <w:tcPr>
            <w:tcW w:w="993" w:type="dxa"/>
          </w:tcPr>
          <w:p w:rsidR="00C86B67" w:rsidRPr="00A2549D" w:rsidRDefault="00C86B67" w:rsidP="00A2549D">
            <w:pPr>
              <w:spacing w:after="0"/>
              <w:jc w:val="center"/>
              <w:rPr>
                <w:sz w:val="17"/>
                <w:szCs w:val="17"/>
              </w:rPr>
            </w:pPr>
            <w:r w:rsidRPr="00A2549D">
              <w:rPr>
                <w:sz w:val="17"/>
                <w:szCs w:val="17"/>
              </w:rPr>
              <w:t>No change</w:t>
            </w:r>
          </w:p>
        </w:tc>
        <w:tc>
          <w:tcPr>
            <w:tcW w:w="850" w:type="dxa"/>
          </w:tcPr>
          <w:p w:rsidR="00C86B67" w:rsidRPr="00A2549D" w:rsidRDefault="00C86B67" w:rsidP="00A2549D">
            <w:pPr>
              <w:spacing w:after="0"/>
              <w:jc w:val="center"/>
              <w:rPr>
                <w:sz w:val="17"/>
                <w:szCs w:val="17"/>
              </w:rPr>
            </w:pPr>
            <w:r w:rsidRPr="00A2549D">
              <w:rPr>
                <w:sz w:val="17"/>
                <w:szCs w:val="17"/>
              </w:rPr>
              <w:t>In NSAF, as a rating</w:t>
            </w:r>
          </w:p>
        </w:tc>
        <w:tc>
          <w:tcPr>
            <w:tcW w:w="1276" w:type="dxa"/>
          </w:tcPr>
          <w:p w:rsidR="00C86B67" w:rsidRPr="00A2549D" w:rsidRDefault="00C86B67" w:rsidP="00A2549D">
            <w:pPr>
              <w:spacing w:after="0"/>
              <w:jc w:val="center"/>
              <w:rPr>
                <w:sz w:val="17"/>
                <w:szCs w:val="17"/>
              </w:rPr>
            </w:pPr>
            <w:r>
              <w:rPr>
                <w:i/>
                <w:sz w:val="17"/>
                <w:szCs w:val="17"/>
              </w:rPr>
              <w:t>NR</w:t>
            </w:r>
          </w:p>
        </w:tc>
        <w:tc>
          <w:tcPr>
            <w:tcW w:w="1843" w:type="dxa"/>
          </w:tcPr>
          <w:p w:rsidR="00C86B67" w:rsidRPr="00A2549D" w:rsidRDefault="00C86B67" w:rsidP="00A2549D">
            <w:pPr>
              <w:spacing w:after="0"/>
              <w:jc w:val="center"/>
              <w:rPr>
                <w:sz w:val="17"/>
                <w:szCs w:val="17"/>
              </w:rPr>
            </w:pPr>
            <w:r>
              <w:rPr>
                <w:i/>
                <w:sz w:val="17"/>
                <w:szCs w:val="17"/>
              </w:rPr>
              <w:t>NR</w:t>
            </w:r>
          </w:p>
        </w:tc>
      </w:tr>
      <w:tr w:rsidR="00C86B67" w:rsidRPr="00A2549D" w:rsidTr="008F30DB">
        <w:tc>
          <w:tcPr>
            <w:tcW w:w="1134" w:type="dxa"/>
            <w:shd w:val="clear" w:color="auto" w:fill="DEEAF6" w:themeFill="accent5" w:themeFillTint="33"/>
          </w:tcPr>
          <w:p w:rsidR="00C86B67" w:rsidRPr="00A2549D" w:rsidRDefault="00C86B67" w:rsidP="00A2549D">
            <w:pPr>
              <w:spacing w:after="0"/>
              <w:jc w:val="left"/>
              <w:rPr>
                <w:b/>
                <w:sz w:val="17"/>
                <w:szCs w:val="17"/>
              </w:rPr>
            </w:pPr>
            <w:r w:rsidRPr="00A2549D">
              <w:rPr>
                <w:b/>
                <w:sz w:val="17"/>
                <w:szCs w:val="17"/>
              </w:rPr>
              <w:t>Behaviour</w:t>
            </w:r>
          </w:p>
        </w:tc>
        <w:tc>
          <w:tcPr>
            <w:tcW w:w="1360" w:type="dxa"/>
            <w:tcBorders>
              <w:right w:val="single" w:sz="12" w:space="0" w:color="4472C4" w:themeColor="accent1"/>
            </w:tcBorders>
          </w:tcPr>
          <w:p w:rsidR="00C86B67" w:rsidRPr="00A2549D" w:rsidRDefault="00C86B67" w:rsidP="00A2549D">
            <w:pPr>
              <w:spacing w:after="0"/>
              <w:jc w:val="center"/>
              <w:rPr>
                <w:sz w:val="17"/>
                <w:szCs w:val="17"/>
              </w:rPr>
            </w:pPr>
            <w:r w:rsidRPr="00A2549D">
              <w:rPr>
                <w:sz w:val="17"/>
                <w:szCs w:val="17"/>
              </w:rPr>
              <w:t>Verbal refusal &amp; constantly agitated</w:t>
            </w:r>
          </w:p>
        </w:tc>
        <w:tc>
          <w:tcPr>
            <w:tcW w:w="1276" w:type="dxa"/>
            <w:tcBorders>
              <w:left w:val="single" w:sz="12" w:space="0" w:color="4472C4" w:themeColor="accent1"/>
            </w:tcBorders>
          </w:tcPr>
          <w:p w:rsidR="00C86B67" w:rsidRPr="00A2549D" w:rsidRDefault="00C86B67" w:rsidP="00A2549D">
            <w:pPr>
              <w:spacing w:after="0"/>
              <w:jc w:val="center"/>
              <w:rPr>
                <w:sz w:val="17"/>
                <w:szCs w:val="17"/>
              </w:rPr>
            </w:pPr>
            <w:r w:rsidRPr="00F02369">
              <w:rPr>
                <w:i/>
                <w:sz w:val="17"/>
                <w:szCs w:val="17"/>
              </w:rPr>
              <w:t>N</w:t>
            </w:r>
            <w:r>
              <w:rPr>
                <w:i/>
                <w:sz w:val="17"/>
                <w:szCs w:val="17"/>
              </w:rPr>
              <w:t>R</w:t>
            </w:r>
          </w:p>
        </w:tc>
        <w:tc>
          <w:tcPr>
            <w:tcW w:w="1192" w:type="dxa"/>
          </w:tcPr>
          <w:p w:rsidR="00C86B67" w:rsidRPr="00A2549D" w:rsidRDefault="00C86B67" w:rsidP="00A2549D">
            <w:pPr>
              <w:spacing w:after="0"/>
              <w:jc w:val="center"/>
              <w:rPr>
                <w:sz w:val="17"/>
                <w:szCs w:val="17"/>
              </w:rPr>
            </w:pPr>
            <w:r w:rsidRPr="00F02369">
              <w:rPr>
                <w:i/>
                <w:sz w:val="17"/>
                <w:szCs w:val="17"/>
              </w:rPr>
              <w:t>N</w:t>
            </w:r>
            <w:r>
              <w:rPr>
                <w:i/>
                <w:sz w:val="17"/>
                <w:szCs w:val="17"/>
              </w:rPr>
              <w:t>R</w:t>
            </w:r>
          </w:p>
        </w:tc>
        <w:tc>
          <w:tcPr>
            <w:tcW w:w="1193" w:type="dxa"/>
          </w:tcPr>
          <w:p w:rsidR="00C86B67" w:rsidRPr="00A2549D" w:rsidRDefault="00C86B67" w:rsidP="00A2549D">
            <w:pPr>
              <w:spacing w:after="0"/>
              <w:jc w:val="center"/>
              <w:rPr>
                <w:sz w:val="17"/>
                <w:szCs w:val="17"/>
              </w:rPr>
            </w:pPr>
            <w:r w:rsidRPr="00F02369">
              <w:rPr>
                <w:i/>
                <w:sz w:val="17"/>
                <w:szCs w:val="17"/>
              </w:rPr>
              <w:t>N</w:t>
            </w:r>
            <w:r>
              <w:rPr>
                <w:i/>
                <w:sz w:val="17"/>
                <w:szCs w:val="17"/>
              </w:rPr>
              <w:t>R</w:t>
            </w:r>
          </w:p>
        </w:tc>
        <w:tc>
          <w:tcPr>
            <w:tcW w:w="1267" w:type="dxa"/>
          </w:tcPr>
          <w:p w:rsidR="00C86B67" w:rsidRPr="00A2549D" w:rsidRDefault="00C86B67" w:rsidP="00A2549D">
            <w:pPr>
              <w:spacing w:after="0"/>
              <w:jc w:val="center"/>
              <w:rPr>
                <w:sz w:val="17"/>
                <w:szCs w:val="17"/>
              </w:rPr>
            </w:pPr>
            <w:r w:rsidRPr="00F02369">
              <w:rPr>
                <w:i/>
                <w:sz w:val="17"/>
                <w:szCs w:val="17"/>
              </w:rPr>
              <w:t>N</w:t>
            </w:r>
            <w:r>
              <w:rPr>
                <w:i/>
                <w:sz w:val="17"/>
                <w:szCs w:val="17"/>
              </w:rPr>
              <w:t>R</w:t>
            </w:r>
          </w:p>
        </w:tc>
        <w:tc>
          <w:tcPr>
            <w:tcW w:w="1650" w:type="dxa"/>
            <w:tcBorders>
              <w:right w:val="single" w:sz="12" w:space="0" w:color="4472C4" w:themeColor="accent1"/>
            </w:tcBorders>
          </w:tcPr>
          <w:p w:rsidR="00C86B67" w:rsidRPr="00A2549D" w:rsidRDefault="00C86B67" w:rsidP="00A2549D">
            <w:pPr>
              <w:spacing w:after="0"/>
              <w:jc w:val="center"/>
              <w:rPr>
                <w:sz w:val="17"/>
                <w:szCs w:val="17"/>
              </w:rPr>
            </w:pPr>
            <w:r w:rsidRPr="00A2549D">
              <w:rPr>
                <w:sz w:val="17"/>
                <w:szCs w:val="17"/>
              </w:rPr>
              <w:t>Removed</w:t>
            </w:r>
          </w:p>
        </w:tc>
        <w:tc>
          <w:tcPr>
            <w:tcW w:w="1134" w:type="dxa"/>
            <w:tcBorders>
              <w:left w:val="single" w:sz="12" w:space="0" w:color="4472C4" w:themeColor="accent1"/>
            </w:tcBorders>
          </w:tcPr>
          <w:p w:rsidR="00C86B67" w:rsidRPr="00A2549D" w:rsidRDefault="00C86B67" w:rsidP="00A2549D">
            <w:pPr>
              <w:spacing w:after="0"/>
              <w:jc w:val="center"/>
              <w:rPr>
                <w:sz w:val="17"/>
                <w:szCs w:val="17"/>
              </w:rPr>
            </w:pPr>
            <w:r>
              <w:rPr>
                <w:i/>
                <w:sz w:val="17"/>
                <w:szCs w:val="17"/>
              </w:rPr>
              <w:t>NR</w:t>
            </w:r>
          </w:p>
        </w:tc>
        <w:tc>
          <w:tcPr>
            <w:tcW w:w="993" w:type="dxa"/>
          </w:tcPr>
          <w:p w:rsidR="00C86B67" w:rsidRPr="00A2549D" w:rsidRDefault="00C86B67" w:rsidP="00A2549D">
            <w:pPr>
              <w:spacing w:after="0"/>
              <w:jc w:val="center"/>
              <w:rPr>
                <w:sz w:val="17"/>
                <w:szCs w:val="17"/>
              </w:rPr>
            </w:pPr>
            <w:r>
              <w:rPr>
                <w:i/>
                <w:sz w:val="17"/>
                <w:szCs w:val="17"/>
              </w:rPr>
              <w:t>NR</w:t>
            </w:r>
          </w:p>
        </w:tc>
        <w:tc>
          <w:tcPr>
            <w:tcW w:w="850" w:type="dxa"/>
          </w:tcPr>
          <w:p w:rsidR="00C86B67" w:rsidRPr="00A2549D" w:rsidRDefault="00C86B67" w:rsidP="00A2549D">
            <w:pPr>
              <w:spacing w:after="0"/>
              <w:jc w:val="center"/>
              <w:rPr>
                <w:sz w:val="17"/>
                <w:szCs w:val="17"/>
              </w:rPr>
            </w:pPr>
            <w:r>
              <w:rPr>
                <w:i/>
                <w:sz w:val="17"/>
                <w:szCs w:val="17"/>
              </w:rPr>
              <w:t>NR</w:t>
            </w:r>
          </w:p>
        </w:tc>
        <w:tc>
          <w:tcPr>
            <w:tcW w:w="1276" w:type="dxa"/>
          </w:tcPr>
          <w:p w:rsidR="00C86B67" w:rsidRPr="00A2549D" w:rsidRDefault="00C86B67" w:rsidP="00A2549D">
            <w:pPr>
              <w:spacing w:after="0"/>
              <w:jc w:val="center"/>
              <w:rPr>
                <w:sz w:val="17"/>
                <w:szCs w:val="17"/>
              </w:rPr>
            </w:pPr>
            <w:r w:rsidRPr="00A2549D">
              <w:rPr>
                <w:sz w:val="17"/>
                <w:szCs w:val="17"/>
              </w:rPr>
              <w:t>Behaviour types</w:t>
            </w:r>
          </w:p>
        </w:tc>
        <w:tc>
          <w:tcPr>
            <w:tcW w:w="1843" w:type="dxa"/>
          </w:tcPr>
          <w:p w:rsidR="00C86B67" w:rsidRPr="00A2549D" w:rsidRDefault="00C86B67" w:rsidP="00A2549D">
            <w:pPr>
              <w:spacing w:after="0"/>
              <w:jc w:val="center"/>
              <w:rPr>
                <w:sz w:val="17"/>
                <w:szCs w:val="17"/>
              </w:rPr>
            </w:pPr>
            <w:r>
              <w:rPr>
                <w:i/>
                <w:sz w:val="17"/>
                <w:szCs w:val="17"/>
              </w:rPr>
              <w:t>NR</w:t>
            </w:r>
          </w:p>
        </w:tc>
      </w:tr>
      <w:tr w:rsidR="00C86B67" w:rsidRPr="00A2549D" w:rsidTr="008F30DB">
        <w:tc>
          <w:tcPr>
            <w:tcW w:w="1134" w:type="dxa"/>
            <w:shd w:val="clear" w:color="auto" w:fill="DEEAF6" w:themeFill="accent5" w:themeFillTint="33"/>
          </w:tcPr>
          <w:p w:rsidR="00C86B67" w:rsidRPr="00A2549D" w:rsidRDefault="00C86B67" w:rsidP="00A2549D">
            <w:pPr>
              <w:spacing w:after="0"/>
              <w:jc w:val="left"/>
              <w:rPr>
                <w:b/>
                <w:sz w:val="17"/>
                <w:szCs w:val="17"/>
              </w:rPr>
            </w:pPr>
            <w:r w:rsidRPr="00A2549D">
              <w:rPr>
                <w:b/>
                <w:sz w:val="17"/>
                <w:szCs w:val="17"/>
              </w:rPr>
              <w:t>Behaviour</w:t>
            </w:r>
          </w:p>
        </w:tc>
        <w:tc>
          <w:tcPr>
            <w:tcW w:w="1360" w:type="dxa"/>
            <w:tcBorders>
              <w:right w:val="single" w:sz="12" w:space="0" w:color="4472C4" w:themeColor="accent1"/>
            </w:tcBorders>
          </w:tcPr>
          <w:p w:rsidR="00C86B67" w:rsidRPr="00A2549D" w:rsidRDefault="00C86B67" w:rsidP="00A2549D">
            <w:pPr>
              <w:spacing w:after="0"/>
              <w:jc w:val="center"/>
              <w:rPr>
                <w:sz w:val="17"/>
                <w:szCs w:val="17"/>
              </w:rPr>
            </w:pPr>
            <w:r w:rsidRPr="00A2549D">
              <w:rPr>
                <w:sz w:val="17"/>
                <w:szCs w:val="17"/>
              </w:rPr>
              <w:t>Description</w:t>
            </w:r>
          </w:p>
        </w:tc>
        <w:tc>
          <w:tcPr>
            <w:tcW w:w="1276" w:type="dxa"/>
            <w:tcBorders>
              <w:left w:val="single" w:sz="12" w:space="0" w:color="4472C4" w:themeColor="accent1"/>
            </w:tcBorders>
          </w:tcPr>
          <w:p w:rsidR="00C86B67" w:rsidRPr="00A2549D" w:rsidRDefault="00C86B67" w:rsidP="00A2549D">
            <w:pPr>
              <w:spacing w:after="0"/>
              <w:jc w:val="center"/>
              <w:rPr>
                <w:sz w:val="17"/>
                <w:szCs w:val="17"/>
              </w:rPr>
            </w:pPr>
            <w:r w:rsidRPr="00A2549D">
              <w:rPr>
                <w:sz w:val="17"/>
                <w:szCs w:val="17"/>
              </w:rPr>
              <w:t>YES- Behaviour description</w:t>
            </w:r>
          </w:p>
        </w:tc>
        <w:tc>
          <w:tcPr>
            <w:tcW w:w="1192" w:type="dxa"/>
          </w:tcPr>
          <w:p w:rsidR="00C86B67" w:rsidRPr="00A2549D" w:rsidRDefault="00C86B67" w:rsidP="00A2549D">
            <w:pPr>
              <w:spacing w:after="0"/>
              <w:jc w:val="center"/>
              <w:rPr>
                <w:sz w:val="17"/>
                <w:szCs w:val="17"/>
              </w:rPr>
            </w:pPr>
            <w:r w:rsidRPr="00A2549D">
              <w:rPr>
                <w:sz w:val="17"/>
                <w:szCs w:val="17"/>
              </w:rPr>
              <w:t>ABC approach is widely used</w:t>
            </w:r>
          </w:p>
        </w:tc>
        <w:tc>
          <w:tcPr>
            <w:tcW w:w="1193" w:type="dxa"/>
          </w:tcPr>
          <w:p w:rsidR="00C86B67" w:rsidRPr="00A2549D" w:rsidRDefault="00C86B67" w:rsidP="00A2549D">
            <w:pPr>
              <w:spacing w:after="0"/>
              <w:jc w:val="center"/>
              <w:rPr>
                <w:sz w:val="17"/>
                <w:szCs w:val="17"/>
              </w:rPr>
            </w:pPr>
            <w:r>
              <w:rPr>
                <w:i/>
                <w:sz w:val="17"/>
                <w:szCs w:val="17"/>
              </w:rPr>
              <w:t>NR</w:t>
            </w:r>
          </w:p>
        </w:tc>
        <w:tc>
          <w:tcPr>
            <w:tcW w:w="1267" w:type="dxa"/>
          </w:tcPr>
          <w:p w:rsidR="00C86B67" w:rsidRPr="00A2549D" w:rsidRDefault="00C86B67" w:rsidP="00A2549D">
            <w:pPr>
              <w:spacing w:after="0"/>
              <w:jc w:val="center"/>
              <w:rPr>
                <w:sz w:val="17"/>
                <w:szCs w:val="17"/>
              </w:rPr>
            </w:pPr>
            <w:r w:rsidRPr="00A2549D">
              <w:rPr>
                <w:sz w:val="17"/>
                <w:szCs w:val="17"/>
              </w:rPr>
              <w:t>IPA recommends Behaviour description in ABC approach</w:t>
            </w:r>
          </w:p>
        </w:tc>
        <w:tc>
          <w:tcPr>
            <w:tcW w:w="1650" w:type="dxa"/>
            <w:tcBorders>
              <w:right w:val="single" w:sz="12" w:space="0" w:color="4472C4" w:themeColor="accent1"/>
            </w:tcBorders>
          </w:tcPr>
          <w:p w:rsidR="00C86B67" w:rsidRPr="00A2549D" w:rsidRDefault="00C86B67" w:rsidP="00A2549D">
            <w:pPr>
              <w:spacing w:after="0"/>
              <w:jc w:val="center"/>
              <w:rPr>
                <w:sz w:val="17"/>
                <w:szCs w:val="17"/>
              </w:rPr>
            </w:pPr>
            <w:r w:rsidRPr="00A2549D">
              <w:rPr>
                <w:sz w:val="17"/>
                <w:szCs w:val="17"/>
              </w:rPr>
              <w:t>Individualised description of the behaviour- for clear communication about the behaviour</w:t>
            </w:r>
          </w:p>
        </w:tc>
        <w:tc>
          <w:tcPr>
            <w:tcW w:w="1134" w:type="dxa"/>
            <w:tcBorders>
              <w:left w:val="single" w:sz="12" w:space="0" w:color="4472C4" w:themeColor="accent1"/>
            </w:tcBorders>
          </w:tcPr>
          <w:p w:rsidR="00C86B67" w:rsidRPr="00A2549D" w:rsidRDefault="00C86B67" w:rsidP="00A2549D">
            <w:pPr>
              <w:spacing w:after="0"/>
              <w:jc w:val="center"/>
              <w:rPr>
                <w:sz w:val="17"/>
                <w:szCs w:val="17"/>
              </w:rPr>
            </w:pPr>
            <w:r w:rsidRPr="00A2549D">
              <w:rPr>
                <w:sz w:val="17"/>
                <w:szCs w:val="17"/>
              </w:rPr>
              <w:t>YES- ask an informant</w:t>
            </w:r>
          </w:p>
        </w:tc>
        <w:tc>
          <w:tcPr>
            <w:tcW w:w="993" w:type="dxa"/>
          </w:tcPr>
          <w:p w:rsidR="00C86B67" w:rsidRPr="00A2549D" w:rsidRDefault="00C86B67" w:rsidP="00A2549D">
            <w:pPr>
              <w:spacing w:after="0"/>
              <w:jc w:val="center"/>
              <w:rPr>
                <w:sz w:val="17"/>
                <w:szCs w:val="17"/>
              </w:rPr>
            </w:pPr>
            <w:r w:rsidRPr="00A2549D">
              <w:rPr>
                <w:sz w:val="17"/>
                <w:szCs w:val="17"/>
              </w:rPr>
              <w:t>Previously expected, not a new concept</w:t>
            </w:r>
          </w:p>
        </w:tc>
        <w:tc>
          <w:tcPr>
            <w:tcW w:w="850" w:type="dxa"/>
          </w:tcPr>
          <w:p w:rsidR="00C86B67" w:rsidRPr="00A2549D" w:rsidRDefault="00C86B67" w:rsidP="00A2549D">
            <w:pPr>
              <w:spacing w:after="0"/>
              <w:jc w:val="center"/>
              <w:rPr>
                <w:sz w:val="17"/>
                <w:szCs w:val="17"/>
              </w:rPr>
            </w:pPr>
            <w:r w:rsidRPr="00A2549D">
              <w:rPr>
                <w:sz w:val="17"/>
                <w:szCs w:val="17"/>
              </w:rPr>
              <w:t>Add to NSAF</w:t>
            </w:r>
          </w:p>
        </w:tc>
        <w:tc>
          <w:tcPr>
            <w:tcW w:w="1276" w:type="dxa"/>
          </w:tcPr>
          <w:p w:rsidR="00C86B67" w:rsidRPr="00A2549D" w:rsidRDefault="00C86B67" w:rsidP="00A2549D">
            <w:pPr>
              <w:spacing w:after="0"/>
              <w:jc w:val="center"/>
              <w:rPr>
                <w:sz w:val="17"/>
                <w:szCs w:val="17"/>
              </w:rPr>
            </w:pPr>
            <w:r w:rsidRPr="00A2549D">
              <w:rPr>
                <w:sz w:val="17"/>
                <w:szCs w:val="17"/>
              </w:rPr>
              <w:t>The behaviour contex - what is heard/seen for the individual</w:t>
            </w:r>
          </w:p>
        </w:tc>
        <w:tc>
          <w:tcPr>
            <w:tcW w:w="1843" w:type="dxa"/>
          </w:tcPr>
          <w:p w:rsidR="00C86B67" w:rsidRPr="00A2549D" w:rsidRDefault="00C86B67" w:rsidP="00A2549D">
            <w:pPr>
              <w:spacing w:after="0"/>
              <w:jc w:val="center"/>
              <w:rPr>
                <w:sz w:val="17"/>
                <w:szCs w:val="17"/>
              </w:rPr>
            </w:pPr>
            <w:r w:rsidRPr="00A2549D">
              <w:rPr>
                <w:sz w:val="17"/>
                <w:szCs w:val="17"/>
              </w:rPr>
              <w:t>Improves mapping the behaviour to resident documents</w:t>
            </w:r>
          </w:p>
        </w:tc>
      </w:tr>
      <w:tr w:rsidR="00C86B67" w:rsidRPr="00A2549D" w:rsidTr="008F30DB">
        <w:tc>
          <w:tcPr>
            <w:tcW w:w="1134" w:type="dxa"/>
            <w:shd w:val="clear" w:color="auto" w:fill="DEEAF6" w:themeFill="accent5" w:themeFillTint="33"/>
          </w:tcPr>
          <w:p w:rsidR="00C86B67" w:rsidRPr="00A2549D" w:rsidRDefault="00C86B67" w:rsidP="00A2549D">
            <w:pPr>
              <w:spacing w:after="0"/>
              <w:jc w:val="left"/>
              <w:rPr>
                <w:b/>
                <w:sz w:val="17"/>
                <w:szCs w:val="17"/>
              </w:rPr>
            </w:pPr>
            <w:r w:rsidRPr="00A2549D">
              <w:rPr>
                <w:b/>
                <w:sz w:val="17"/>
                <w:szCs w:val="17"/>
              </w:rPr>
              <w:t>Behaviour</w:t>
            </w:r>
          </w:p>
        </w:tc>
        <w:tc>
          <w:tcPr>
            <w:tcW w:w="1360" w:type="dxa"/>
            <w:tcBorders>
              <w:right w:val="single" w:sz="12" w:space="0" w:color="4472C4" w:themeColor="accent1"/>
            </w:tcBorders>
          </w:tcPr>
          <w:p w:rsidR="00C86B67" w:rsidRPr="00A2549D" w:rsidRDefault="00C86B67" w:rsidP="00A2549D">
            <w:pPr>
              <w:spacing w:after="0"/>
              <w:jc w:val="center"/>
              <w:rPr>
                <w:sz w:val="17"/>
                <w:szCs w:val="17"/>
              </w:rPr>
            </w:pPr>
            <w:r w:rsidRPr="00A2549D">
              <w:rPr>
                <w:sz w:val="17"/>
                <w:szCs w:val="17"/>
              </w:rPr>
              <w:t>Disruptiveness</w:t>
            </w:r>
          </w:p>
        </w:tc>
        <w:tc>
          <w:tcPr>
            <w:tcW w:w="1276" w:type="dxa"/>
            <w:tcBorders>
              <w:left w:val="single" w:sz="12" w:space="0" w:color="4472C4" w:themeColor="accent1"/>
            </w:tcBorders>
          </w:tcPr>
          <w:p w:rsidR="00C86B67" w:rsidRPr="00A2549D" w:rsidRDefault="00C86B67" w:rsidP="00A2549D">
            <w:pPr>
              <w:spacing w:after="0"/>
              <w:jc w:val="center"/>
              <w:rPr>
                <w:sz w:val="17"/>
                <w:szCs w:val="17"/>
              </w:rPr>
            </w:pPr>
            <w:r w:rsidRPr="00A2549D">
              <w:rPr>
                <w:sz w:val="17"/>
                <w:szCs w:val="17"/>
              </w:rPr>
              <w:t>YES- Disruptiveness rating with contextual information</w:t>
            </w:r>
          </w:p>
        </w:tc>
        <w:tc>
          <w:tcPr>
            <w:tcW w:w="1192" w:type="dxa"/>
          </w:tcPr>
          <w:p w:rsidR="00C86B67" w:rsidRPr="00A2549D" w:rsidRDefault="00C86B67" w:rsidP="00A2549D">
            <w:pPr>
              <w:spacing w:after="0"/>
              <w:jc w:val="center"/>
              <w:rPr>
                <w:sz w:val="17"/>
                <w:szCs w:val="17"/>
              </w:rPr>
            </w:pPr>
            <w:r w:rsidRPr="00A2549D">
              <w:rPr>
                <w:sz w:val="17"/>
                <w:szCs w:val="17"/>
              </w:rPr>
              <w:t>Disruptiveness scale used in other assessments</w:t>
            </w:r>
          </w:p>
        </w:tc>
        <w:tc>
          <w:tcPr>
            <w:tcW w:w="1193" w:type="dxa"/>
          </w:tcPr>
          <w:p w:rsidR="00C86B67" w:rsidRPr="00A2549D" w:rsidRDefault="00C86B67" w:rsidP="00A2549D">
            <w:pPr>
              <w:spacing w:after="0"/>
              <w:jc w:val="center"/>
              <w:rPr>
                <w:sz w:val="17"/>
                <w:szCs w:val="17"/>
              </w:rPr>
            </w:pPr>
            <w:r w:rsidRPr="00A2549D">
              <w:rPr>
                <w:sz w:val="17"/>
                <w:szCs w:val="17"/>
              </w:rPr>
              <w:t>YES</w:t>
            </w:r>
          </w:p>
        </w:tc>
        <w:tc>
          <w:tcPr>
            <w:tcW w:w="1267" w:type="dxa"/>
          </w:tcPr>
          <w:p w:rsidR="00C86B67" w:rsidRPr="00A2549D" w:rsidRDefault="00C86B67" w:rsidP="00A2549D">
            <w:pPr>
              <w:spacing w:after="0"/>
              <w:jc w:val="center"/>
              <w:rPr>
                <w:sz w:val="17"/>
                <w:szCs w:val="17"/>
              </w:rPr>
            </w:pPr>
            <w:r>
              <w:rPr>
                <w:i/>
                <w:sz w:val="17"/>
                <w:szCs w:val="17"/>
              </w:rPr>
              <w:t>NR</w:t>
            </w:r>
          </w:p>
        </w:tc>
        <w:tc>
          <w:tcPr>
            <w:tcW w:w="1650" w:type="dxa"/>
            <w:tcBorders>
              <w:right w:val="single" w:sz="12" w:space="0" w:color="4472C4" w:themeColor="accent1"/>
            </w:tcBorders>
          </w:tcPr>
          <w:p w:rsidR="00C86B67" w:rsidRPr="00A2549D" w:rsidRDefault="00C86B67" w:rsidP="00A2549D">
            <w:pPr>
              <w:spacing w:after="0"/>
              <w:jc w:val="center"/>
              <w:rPr>
                <w:sz w:val="17"/>
                <w:szCs w:val="17"/>
              </w:rPr>
            </w:pPr>
            <w:r w:rsidRPr="00A2549D">
              <w:rPr>
                <w:sz w:val="17"/>
                <w:szCs w:val="17"/>
              </w:rPr>
              <w:t>Not at all/Mildly;</w:t>
            </w:r>
          </w:p>
          <w:p w:rsidR="00C86B67" w:rsidRPr="00A2549D" w:rsidRDefault="00C86B67" w:rsidP="00A2549D">
            <w:pPr>
              <w:spacing w:after="0"/>
              <w:jc w:val="center"/>
              <w:rPr>
                <w:sz w:val="17"/>
                <w:szCs w:val="17"/>
              </w:rPr>
            </w:pPr>
            <w:r w:rsidRPr="00A2549D">
              <w:rPr>
                <w:sz w:val="17"/>
                <w:szCs w:val="17"/>
              </w:rPr>
              <w:t>Moderately;</w:t>
            </w:r>
          </w:p>
          <w:p w:rsidR="00C86B67" w:rsidRPr="00A2549D" w:rsidRDefault="00C86B67" w:rsidP="00A2549D">
            <w:pPr>
              <w:spacing w:after="0"/>
              <w:jc w:val="center"/>
              <w:rPr>
                <w:sz w:val="17"/>
                <w:szCs w:val="17"/>
              </w:rPr>
            </w:pPr>
            <w:r w:rsidRPr="00A2549D">
              <w:rPr>
                <w:sz w:val="17"/>
                <w:szCs w:val="17"/>
              </w:rPr>
              <w:t>Severely;</w:t>
            </w:r>
          </w:p>
          <w:p w:rsidR="00C86B67" w:rsidRPr="00A2549D" w:rsidRDefault="00C86B67" w:rsidP="00A2549D">
            <w:pPr>
              <w:spacing w:after="0"/>
              <w:jc w:val="center"/>
              <w:rPr>
                <w:sz w:val="17"/>
                <w:szCs w:val="17"/>
              </w:rPr>
            </w:pPr>
            <w:r w:rsidRPr="00A2549D">
              <w:rPr>
                <w:sz w:val="17"/>
                <w:szCs w:val="17"/>
              </w:rPr>
              <w:t>Extremely</w:t>
            </w:r>
          </w:p>
          <w:p w:rsidR="00C86B67" w:rsidRPr="00A2549D" w:rsidRDefault="00C86B67" w:rsidP="00A2549D">
            <w:pPr>
              <w:spacing w:after="0"/>
              <w:jc w:val="center"/>
              <w:rPr>
                <w:sz w:val="17"/>
                <w:szCs w:val="17"/>
              </w:rPr>
            </w:pPr>
            <w:r w:rsidRPr="00A2549D">
              <w:rPr>
                <w:sz w:val="17"/>
                <w:szCs w:val="17"/>
              </w:rPr>
              <w:t>For care planning and evaluation</w:t>
            </w:r>
          </w:p>
        </w:tc>
        <w:tc>
          <w:tcPr>
            <w:tcW w:w="1134" w:type="dxa"/>
            <w:tcBorders>
              <w:left w:val="single" w:sz="12" w:space="0" w:color="4472C4" w:themeColor="accent1"/>
            </w:tcBorders>
          </w:tcPr>
          <w:p w:rsidR="00C86B67" w:rsidRPr="00A2549D" w:rsidRDefault="00C86B67" w:rsidP="00A2549D">
            <w:pPr>
              <w:spacing w:after="0"/>
              <w:jc w:val="center"/>
              <w:rPr>
                <w:sz w:val="17"/>
                <w:szCs w:val="17"/>
              </w:rPr>
            </w:pPr>
            <w:r w:rsidRPr="00A2549D">
              <w:rPr>
                <w:sz w:val="17"/>
                <w:szCs w:val="17"/>
              </w:rPr>
              <w:t>YES- ask an informant</w:t>
            </w:r>
          </w:p>
        </w:tc>
        <w:tc>
          <w:tcPr>
            <w:tcW w:w="993" w:type="dxa"/>
          </w:tcPr>
          <w:p w:rsidR="00C86B67" w:rsidRPr="00A2549D" w:rsidRDefault="00C86B67" w:rsidP="00A2549D">
            <w:pPr>
              <w:spacing w:after="0"/>
              <w:jc w:val="center"/>
              <w:rPr>
                <w:sz w:val="17"/>
                <w:szCs w:val="17"/>
              </w:rPr>
            </w:pPr>
            <w:r w:rsidRPr="00A2549D">
              <w:rPr>
                <w:sz w:val="17"/>
                <w:szCs w:val="17"/>
              </w:rPr>
              <w:t>Minor training/ support required to implement</w:t>
            </w:r>
          </w:p>
        </w:tc>
        <w:tc>
          <w:tcPr>
            <w:tcW w:w="850" w:type="dxa"/>
          </w:tcPr>
          <w:p w:rsidR="00C86B67" w:rsidRPr="00A2549D" w:rsidRDefault="00C86B67" w:rsidP="00A2549D">
            <w:pPr>
              <w:spacing w:after="0"/>
              <w:jc w:val="center"/>
              <w:rPr>
                <w:sz w:val="17"/>
                <w:szCs w:val="17"/>
              </w:rPr>
            </w:pPr>
            <w:r w:rsidRPr="00A2549D">
              <w:rPr>
                <w:sz w:val="17"/>
                <w:szCs w:val="17"/>
              </w:rPr>
              <w:t>Add to NSAF</w:t>
            </w:r>
          </w:p>
        </w:tc>
        <w:tc>
          <w:tcPr>
            <w:tcW w:w="1276" w:type="dxa"/>
          </w:tcPr>
          <w:p w:rsidR="00C86B67" w:rsidRPr="00A2549D" w:rsidRDefault="00C86B67" w:rsidP="00A2549D">
            <w:pPr>
              <w:spacing w:after="0"/>
              <w:jc w:val="center"/>
              <w:rPr>
                <w:sz w:val="17"/>
                <w:szCs w:val="17"/>
              </w:rPr>
            </w:pPr>
            <w:r w:rsidRPr="00A2549D">
              <w:rPr>
                <w:sz w:val="17"/>
                <w:szCs w:val="17"/>
              </w:rPr>
              <w:t>How disruptive the behaviour is, the level of staff input</w:t>
            </w:r>
          </w:p>
        </w:tc>
        <w:tc>
          <w:tcPr>
            <w:tcW w:w="1843" w:type="dxa"/>
          </w:tcPr>
          <w:p w:rsidR="00C86B67" w:rsidRPr="00A2549D" w:rsidRDefault="00C86B67" w:rsidP="00A2549D">
            <w:pPr>
              <w:spacing w:after="0"/>
              <w:jc w:val="center"/>
              <w:rPr>
                <w:sz w:val="17"/>
                <w:szCs w:val="17"/>
              </w:rPr>
            </w:pPr>
            <w:r w:rsidRPr="00A2549D">
              <w:rPr>
                <w:sz w:val="17"/>
                <w:szCs w:val="17"/>
              </w:rPr>
              <w:t>Disruptive behaviour should be documented in notes for feedback on strategies. Informants will have better recall of disruptive events.</w:t>
            </w:r>
          </w:p>
        </w:tc>
      </w:tr>
      <w:tr w:rsidR="00C86B67" w:rsidRPr="00A2549D" w:rsidTr="008F30DB">
        <w:tc>
          <w:tcPr>
            <w:tcW w:w="1134" w:type="dxa"/>
            <w:shd w:val="clear" w:color="auto" w:fill="DEEAF6" w:themeFill="accent5" w:themeFillTint="33"/>
          </w:tcPr>
          <w:p w:rsidR="00C86B67" w:rsidRPr="00A2549D" w:rsidRDefault="00C86B67" w:rsidP="00A2549D">
            <w:pPr>
              <w:spacing w:after="0"/>
              <w:jc w:val="left"/>
              <w:rPr>
                <w:b/>
                <w:sz w:val="17"/>
                <w:szCs w:val="17"/>
              </w:rPr>
            </w:pPr>
            <w:r w:rsidRPr="00A2549D">
              <w:rPr>
                <w:b/>
                <w:sz w:val="17"/>
                <w:szCs w:val="17"/>
              </w:rPr>
              <w:t>Behaviour</w:t>
            </w:r>
          </w:p>
        </w:tc>
        <w:tc>
          <w:tcPr>
            <w:tcW w:w="1360" w:type="dxa"/>
            <w:tcBorders>
              <w:right w:val="single" w:sz="12" w:space="0" w:color="4472C4" w:themeColor="accent1"/>
            </w:tcBorders>
          </w:tcPr>
          <w:p w:rsidR="00C86B67" w:rsidRPr="00A2549D" w:rsidRDefault="00C86B67" w:rsidP="00A2549D">
            <w:pPr>
              <w:spacing w:after="0"/>
              <w:jc w:val="center"/>
              <w:rPr>
                <w:sz w:val="17"/>
                <w:szCs w:val="17"/>
              </w:rPr>
            </w:pPr>
            <w:r w:rsidRPr="00A2549D">
              <w:rPr>
                <w:sz w:val="17"/>
                <w:szCs w:val="17"/>
              </w:rPr>
              <w:t>Checklist</w:t>
            </w:r>
          </w:p>
        </w:tc>
        <w:tc>
          <w:tcPr>
            <w:tcW w:w="1276" w:type="dxa"/>
            <w:tcBorders>
              <w:left w:val="single" w:sz="12" w:space="0" w:color="4472C4" w:themeColor="accent1"/>
            </w:tcBorders>
          </w:tcPr>
          <w:p w:rsidR="00C86B67" w:rsidRPr="00A2549D" w:rsidRDefault="00C86B67" w:rsidP="00A2549D">
            <w:pPr>
              <w:spacing w:after="0"/>
              <w:jc w:val="center"/>
              <w:rPr>
                <w:sz w:val="17"/>
                <w:szCs w:val="17"/>
              </w:rPr>
            </w:pPr>
            <w:r>
              <w:rPr>
                <w:i/>
                <w:sz w:val="17"/>
                <w:szCs w:val="17"/>
              </w:rPr>
              <w:t>NR</w:t>
            </w:r>
          </w:p>
        </w:tc>
        <w:tc>
          <w:tcPr>
            <w:tcW w:w="1192" w:type="dxa"/>
          </w:tcPr>
          <w:p w:rsidR="00C86B67" w:rsidRPr="00A2549D" w:rsidRDefault="00C86B67" w:rsidP="00A2549D">
            <w:pPr>
              <w:spacing w:after="0"/>
              <w:jc w:val="center"/>
              <w:rPr>
                <w:sz w:val="17"/>
                <w:szCs w:val="17"/>
              </w:rPr>
            </w:pPr>
            <w:r>
              <w:rPr>
                <w:i/>
                <w:sz w:val="17"/>
                <w:szCs w:val="17"/>
              </w:rPr>
              <w:t>NR</w:t>
            </w:r>
          </w:p>
        </w:tc>
        <w:tc>
          <w:tcPr>
            <w:tcW w:w="1193" w:type="dxa"/>
          </w:tcPr>
          <w:p w:rsidR="00C86B67" w:rsidRPr="00A2549D" w:rsidRDefault="00C86B67" w:rsidP="00A2549D">
            <w:pPr>
              <w:spacing w:after="0"/>
              <w:jc w:val="center"/>
              <w:rPr>
                <w:sz w:val="17"/>
                <w:szCs w:val="17"/>
              </w:rPr>
            </w:pPr>
            <w:r w:rsidRPr="00A2549D">
              <w:rPr>
                <w:sz w:val="17"/>
                <w:szCs w:val="17"/>
              </w:rPr>
              <w:t>YES</w:t>
            </w:r>
          </w:p>
        </w:tc>
        <w:tc>
          <w:tcPr>
            <w:tcW w:w="1267" w:type="dxa"/>
          </w:tcPr>
          <w:p w:rsidR="00C86B67" w:rsidRPr="00A2549D" w:rsidRDefault="00C86B67" w:rsidP="00A2549D">
            <w:pPr>
              <w:spacing w:after="0"/>
              <w:jc w:val="center"/>
              <w:rPr>
                <w:sz w:val="17"/>
                <w:szCs w:val="17"/>
              </w:rPr>
            </w:pPr>
            <w:r>
              <w:rPr>
                <w:i/>
                <w:sz w:val="17"/>
                <w:szCs w:val="17"/>
              </w:rPr>
              <w:t>NR</w:t>
            </w:r>
          </w:p>
        </w:tc>
        <w:tc>
          <w:tcPr>
            <w:tcW w:w="1650" w:type="dxa"/>
            <w:tcBorders>
              <w:right w:val="single" w:sz="12" w:space="0" w:color="4472C4" w:themeColor="accent1"/>
            </w:tcBorders>
          </w:tcPr>
          <w:p w:rsidR="00C86B67" w:rsidRPr="00A2549D" w:rsidRDefault="00C86B67" w:rsidP="00A2549D">
            <w:pPr>
              <w:spacing w:after="0"/>
              <w:jc w:val="center"/>
              <w:rPr>
                <w:sz w:val="17"/>
                <w:szCs w:val="17"/>
              </w:rPr>
            </w:pPr>
            <w:r w:rsidRPr="00A2549D">
              <w:rPr>
                <w:sz w:val="17"/>
                <w:szCs w:val="17"/>
              </w:rPr>
              <w:t>Matrix of frequency and disruptiveness</w:t>
            </w:r>
          </w:p>
        </w:tc>
        <w:tc>
          <w:tcPr>
            <w:tcW w:w="1134" w:type="dxa"/>
            <w:tcBorders>
              <w:left w:val="single" w:sz="12" w:space="0" w:color="4472C4" w:themeColor="accent1"/>
            </w:tcBorders>
          </w:tcPr>
          <w:p w:rsidR="00C86B67" w:rsidRPr="00A2549D" w:rsidRDefault="00C86B67" w:rsidP="00A2549D">
            <w:pPr>
              <w:spacing w:after="0"/>
              <w:jc w:val="center"/>
              <w:rPr>
                <w:sz w:val="17"/>
                <w:szCs w:val="17"/>
              </w:rPr>
            </w:pPr>
            <w:r>
              <w:rPr>
                <w:i/>
                <w:sz w:val="17"/>
                <w:szCs w:val="17"/>
              </w:rPr>
              <w:t>NR</w:t>
            </w:r>
          </w:p>
        </w:tc>
        <w:tc>
          <w:tcPr>
            <w:tcW w:w="993" w:type="dxa"/>
          </w:tcPr>
          <w:p w:rsidR="00C86B67" w:rsidRPr="00A2549D" w:rsidRDefault="00C86B67" w:rsidP="00A2549D">
            <w:pPr>
              <w:spacing w:after="0"/>
              <w:jc w:val="center"/>
              <w:rPr>
                <w:sz w:val="17"/>
                <w:szCs w:val="17"/>
              </w:rPr>
            </w:pPr>
            <w:r>
              <w:rPr>
                <w:i/>
                <w:sz w:val="17"/>
                <w:szCs w:val="17"/>
              </w:rPr>
              <w:t>NR</w:t>
            </w:r>
          </w:p>
        </w:tc>
        <w:tc>
          <w:tcPr>
            <w:tcW w:w="850" w:type="dxa"/>
          </w:tcPr>
          <w:p w:rsidR="00C86B67" w:rsidRPr="00A2549D" w:rsidRDefault="00C86B67" w:rsidP="00A2549D">
            <w:pPr>
              <w:spacing w:after="0"/>
              <w:jc w:val="center"/>
              <w:rPr>
                <w:sz w:val="17"/>
                <w:szCs w:val="17"/>
              </w:rPr>
            </w:pPr>
            <w:r>
              <w:rPr>
                <w:i/>
                <w:sz w:val="17"/>
                <w:szCs w:val="17"/>
              </w:rPr>
              <w:t>NR</w:t>
            </w:r>
          </w:p>
        </w:tc>
        <w:tc>
          <w:tcPr>
            <w:tcW w:w="1276" w:type="dxa"/>
          </w:tcPr>
          <w:p w:rsidR="00C86B67" w:rsidRPr="00A2549D" w:rsidRDefault="00C86B67" w:rsidP="00A2549D">
            <w:pPr>
              <w:spacing w:after="0"/>
              <w:jc w:val="center"/>
              <w:rPr>
                <w:sz w:val="17"/>
                <w:szCs w:val="17"/>
              </w:rPr>
            </w:pPr>
            <w:r w:rsidRPr="00A2549D">
              <w:rPr>
                <w:sz w:val="17"/>
                <w:szCs w:val="17"/>
              </w:rPr>
              <w:t>Severity of behaviour and intensity of interventions</w:t>
            </w:r>
          </w:p>
        </w:tc>
        <w:tc>
          <w:tcPr>
            <w:tcW w:w="1843" w:type="dxa"/>
          </w:tcPr>
          <w:p w:rsidR="00C86B67" w:rsidRPr="00A2549D" w:rsidRDefault="00C86B67" w:rsidP="00A2549D">
            <w:pPr>
              <w:spacing w:after="0"/>
              <w:jc w:val="center"/>
              <w:rPr>
                <w:sz w:val="17"/>
                <w:szCs w:val="17"/>
              </w:rPr>
            </w:pPr>
            <w:r>
              <w:rPr>
                <w:i/>
                <w:sz w:val="17"/>
                <w:szCs w:val="17"/>
              </w:rPr>
              <w:t>NR</w:t>
            </w:r>
          </w:p>
        </w:tc>
      </w:tr>
      <w:bookmarkEnd w:id="388"/>
    </w:tbl>
    <w:p w:rsidR="003217B9" w:rsidRDefault="003217B9" w:rsidP="003217B9">
      <w:pPr>
        <w:rPr>
          <w:b/>
          <w:sz w:val="32"/>
          <w:szCs w:val="32"/>
        </w:rPr>
        <w:sectPr w:rsidR="003217B9" w:rsidSect="00A51750">
          <w:headerReference w:type="default" r:id="rId67"/>
          <w:footerReference w:type="default" r:id="rId68"/>
          <w:pgSz w:w="16838" w:h="11906" w:orient="landscape"/>
          <w:pgMar w:top="1440" w:right="1440" w:bottom="1440" w:left="1440" w:header="708" w:footer="708" w:gutter="0"/>
          <w:cols w:space="708"/>
          <w:docGrid w:linePitch="360"/>
        </w:sectPr>
      </w:pPr>
    </w:p>
    <w:p w:rsidR="003217B9" w:rsidRPr="005A5053" w:rsidRDefault="003217B9" w:rsidP="00F849D4">
      <w:pPr>
        <w:pStyle w:val="Heading1-Chapters"/>
      </w:pPr>
      <w:bookmarkStart w:id="389" w:name="_Toc486350710"/>
      <w:bookmarkStart w:id="390" w:name="_Toc486600036"/>
      <w:bookmarkStart w:id="391" w:name="_Toc491426044"/>
      <w:bookmarkStart w:id="392" w:name="Ch06"/>
      <w:r w:rsidRPr="005A5053">
        <w:lastRenderedPageBreak/>
        <w:t>The new R-ACFI CHC Domain</w:t>
      </w:r>
      <w:bookmarkEnd w:id="389"/>
      <w:bookmarkEnd w:id="390"/>
      <w:bookmarkEnd w:id="391"/>
    </w:p>
    <w:bookmarkEnd w:id="392"/>
    <w:p w:rsidR="00980F62" w:rsidRDefault="00822E8B" w:rsidP="00D65C73">
      <w:pPr>
        <w:shd w:val="clear" w:color="auto" w:fill="DEEAF6" w:themeFill="accent5" w:themeFillTint="33"/>
        <w:rPr>
          <w:lang w:eastAsia="en-AU"/>
        </w:rPr>
      </w:pPr>
      <w:r w:rsidRPr="006937B2">
        <w:rPr>
          <w:lang w:eastAsia="en-AU"/>
        </w:rPr>
        <w:t>This Chapter contains the following sections:</w:t>
      </w:r>
    </w:p>
    <w:p w:rsidR="00822E8B" w:rsidRPr="006937B2" w:rsidRDefault="00822E8B" w:rsidP="00D65C73">
      <w:pPr>
        <w:pStyle w:val="ListParagraph"/>
        <w:numPr>
          <w:ilvl w:val="0"/>
          <w:numId w:val="19"/>
        </w:numPr>
        <w:shd w:val="clear" w:color="auto" w:fill="DEEAF6" w:themeFill="accent5" w:themeFillTint="33"/>
        <w:rPr>
          <w:lang w:eastAsia="en-AU"/>
        </w:rPr>
      </w:pPr>
      <w:r w:rsidRPr="006937B2">
        <w:rPr>
          <w:lang w:eastAsia="en-AU"/>
        </w:rPr>
        <w:t xml:space="preserve">An overview of the current ACFI </w:t>
      </w:r>
      <w:r>
        <w:rPr>
          <w:lang w:eastAsia="en-AU"/>
        </w:rPr>
        <w:t xml:space="preserve">CHC </w:t>
      </w:r>
      <w:r w:rsidRPr="006937B2">
        <w:rPr>
          <w:lang w:eastAsia="en-AU"/>
        </w:rPr>
        <w:t>Domain</w:t>
      </w:r>
      <w:r w:rsidR="00CA334F">
        <w:rPr>
          <w:lang w:eastAsia="en-AU"/>
        </w:rPr>
        <w:t>.</w:t>
      </w:r>
    </w:p>
    <w:p w:rsidR="00822E8B" w:rsidRPr="006937B2" w:rsidRDefault="00822E8B" w:rsidP="00D65C73">
      <w:pPr>
        <w:pStyle w:val="ListParagraph"/>
        <w:numPr>
          <w:ilvl w:val="0"/>
          <w:numId w:val="19"/>
        </w:numPr>
        <w:shd w:val="clear" w:color="auto" w:fill="DEEAF6" w:themeFill="accent5" w:themeFillTint="33"/>
        <w:rPr>
          <w:lang w:eastAsia="en-AU"/>
        </w:rPr>
      </w:pPr>
      <w:r w:rsidRPr="006937B2">
        <w:rPr>
          <w:lang w:eastAsia="en-AU"/>
        </w:rPr>
        <w:t xml:space="preserve">A statistical overview of the CHC Domain since </w:t>
      </w:r>
      <w:r w:rsidRPr="00D429D4">
        <w:rPr>
          <w:lang w:eastAsia="en-AU"/>
        </w:rPr>
        <w:t>ACFI commencement</w:t>
      </w:r>
      <w:r w:rsidR="00CA334F">
        <w:rPr>
          <w:lang w:eastAsia="en-AU"/>
        </w:rPr>
        <w:t>.</w:t>
      </w:r>
    </w:p>
    <w:p w:rsidR="00822E8B" w:rsidRPr="006937B2" w:rsidRDefault="00822E8B" w:rsidP="00D65C73">
      <w:pPr>
        <w:pStyle w:val="ListParagraph"/>
        <w:numPr>
          <w:ilvl w:val="0"/>
          <w:numId w:val="19"/>
        </w:numPr>
        <w:shd w:val="clear" w:color="auto" w:fill="DEEAF6" w:themeFill="accent5" w:themeFillTint="33"/>
        <w:rPr>
          <w:lang w:eastAsia="en-AU"/>
        </w:rPr>
      </w:pPr>
      <w:r w:rsidRPr="006937B2">
        <w:rPr>
          <w:lang w:eastAsia="en-AU"/>
        </w:rPr>
        <w:t>The CHC Domain Review</w:t>
      </w:r>
      <w:r w:rsidR="00CA334F">
        <w:rPr>
          <w:lang w:eastAsia="en-AU"/>
        </w:rPr>
        <w:t>.</w:t>
      </w:r>
    </w:p>
    <w:p w:rsidR="00822E8B" w:rsidRDefault="00822E8B" w:rsidP="00D65C73">
      <w:pPr>
        <w:pStyle w:val="ListParagraph"/>
        <w:numPr>
          <w:ilvl w:val="0"/>
          <w:numId w:val="19"/>
        </w:numPr>
        <w:shd w:val="clear" w:color="auto" w:fill="DEEAF6" w:themeFill="accent5" w:themeFillTint="33"/>
        <w:rPr>
          <w:lang w:eastAsia="en-AU"/>
        </w:rPr>
      </w:pPr>
      <w:r w:rsidRPr="006937B2">
        <w:rPr>
          <w:lang w:eastAsia="en-AU"/>
        </w:rPr>
        <w:t>Recommended CHC Domain Changes</w:t>
      </w:r>
      <w:r w:rsidR="00CA334F">
        <w:rPr>
          <w:lang w:eastAsia="en-AU"/>
        </w:rPr>
        <w:t>.</w:t>
      </w:r>
    </w:p>
    <w:p w:rsidR="00822E8B" w:rsidRDefault="00822E8B" w:rsidP="00D65C73">
      <w:pPr>
        <w:pStyle w:val="ListParagraph"/>
        <w:numPr>
          <w:ilvl w:val="0"/>
          <w:numId w:val="19"/>
        </w:numPr>
        <w:shd w:val="clear" w:color="auto" w:fill="DEEAF6" w:themeFill="accent5" w:themeFillTint="33"/>
        <w:rPr>
          <w:lang w:eastAsia="en-AU"/>
        </w:rPr>
      </w:pPr>
      <w:r>
        <w:rPr>
          <w:lang w:eastAsia="en-AU"/>
        </w:rPr>
        <w:t>The new R-CHC Domain Items</w:t>
      </w:r>
      <w:r w:rsidR="00CA334F">
        <w:rPr>
          <w:lang w:eastAsia="en-AU"/>
        </w:rPr>
        <w:t>.</w:t>
      </w:r>
    </w:p>
    <w:p w:rsidR="00980F62" w:rsidRDefault="003217B9" w:rsidP="00530D56">
      <w:pPr>
        <w:pStyle w:val="Heading2-Chapter6"/>
      </w:pPr>
      <w:bookmarkStart w:id="393" w:name="_Toc486350711"/>
      <w:bookmarkStart w:id="394" w:name="_Toc486600037"/>
      <w:bookmarkStart w:id="395" w:name="_Toc491426045"/>
      <w:r w:rsidRPr="00E94C8D">
        <w:t xml:space="preserve">The current </w:t>
      </w:r>
      <w:r>
        <w:t>CHC D</w:t>
      </w:r>
      <w:r w:rsidRPr="00E94C8D">
        <w:t>omain</w:t>
      </w:r>
      <w:bookmarkEnd w:id="393"/>
      <w:bookmarkEnd w:id="394"/>
      <w:bookmarkEnd w:id="395"/>
    </w:p>
    <w:p w:rsidR="003217B9" w:rsidRPr="004D324E" w:rsidRDefault="003217B9" w:rsidP="003217B9">
      <w:pPr>
        <w:spacing w:after="0"/>
        <w:rPr>
          <w:rStyle w:val="Strong"/>
        </w:rPr>
      </w:pPr>
      <w:r w:rsidRPr="004D324E">
        <w:rPr>
          <w:rStyle w:val="Strong"/>
        </w:rPr>
        <w:t>CHC Domain Questions</w:t>
      </w:r>
    </w:p>
    <w:p w:rsidR="00980F62" w:rsidRDefault="003217B9" w:rsidP="00557DB1">
      <w:pPr>
        <w:rPr>
          <w:lang w:eastAsia="en-AU"/>
        </w:rPr>
      </w:pPr>
      <w:r>
        <w:rPr>
          <w:lang w:eastAsia="en-AU"/>
        </w:rPr>
        <w:t>The Complex Health Care (CHC) domain (from January 1, 2017) consists of 2 ACFI questions (</w:t>
      </w:r>
      <w:hyperlink w:anchor="Tab0601" w:history="1">
        <w:r w:rsidRPr="00126DC4">
          <w:rPr>
            <w:rStyle w:val="Hyperlink"/>
            <w:lang w:eastAsia="en-AU"/>
          </w:rPr>
          <w:t>Table 6.1</w:t>
        </w:r>
      </w:hyperlink>
      <w:r>
        <w:rPr>
          <w:lang w:eastAsia="en-AU"/>
        </w:rPr>
        <w:t>; 6.2) which are combined in a matrix to determine the domain classification and funding levels (</w:t>
      </w:r>
      <w:hyperlink w:anchor="Tab0603" w:history="1">
        <w:r w:rsidRPr="00126DC4">
          <w:rPr>
            <w:rStyle w:val="Hyperlink"/>
            <w:lang w:eastAsia="en-AU"/>
          </w:rPr>
          <w:t>Table 6.3</w:t>
        </w:r>
      </w:hyperlink>
      <w:r>
        <w:rPr>
          <w:lang w:eastAsia="en-AU"/>
        </w:rPr>
        <w:t>).</w:t>
      </w:r>
    </w:p>
    <w:p w:rsidR="00F6076B" w:rsidRDefault="003217B9" w:rsidP="00557DB1">
      <w:pPr>
        <w:rPr>
          <w:lang w:eastAsia="en-AU"/>
        </w:rPr>
      </w:pPr>
      <w:r>
        <w:rPr>
          <w:lang w:eastAsia="en-AU"/>
        </w:rPr>
        <w:t>ACFI 11 is Medication and is rated (A, B, C) based on the level of assistance required with medication</w:t>
      </w:r>
      <w:r w:rsidR="00F6076B">
        <w:rPr>
          <w:lang w:eastAsia="en-AU"/>
        </w:rPr>
        <w:t>:</w:t>
      </w:r>
    </w:p>
    <w:p w:rsidR="00F6076B" w:rsidRDefault="003217B9" w:rsidP="00F02312">
      <w:pPr>
        <w:pStyle w:val="ListParagraph"/>
        <w:numPr>
          <w:ilvl w:val="0"/>
          <w:numId w:val="119"/>
        </w:numPr>
        <w:ind w:right="-46"/>
        <w:rPr>
          <w:lang w:eastAsia="en-AU"/>
        </w:rPr>
      </w:pPr>
      <w:r>
        <w:rPr>
          <w:lang w:eastAsia="en-AU"/>
        </w:rPr>
        <w:t>A = no assistance</w:t>
      </w:r>
      <w:r w:rsidR="00125201">
        <w:rPr>
          <w:lang w:eastAsia="en-AU"/>
        </w:rPr>
        <w:t>.</w:t>
      </w:r>
    </w:p>
    <w:p w:rsidR="00F6076B" w:rsidRDefault="003217B9" w:rsidP="00F02312">
      <w:pPr>
        <w:pStyle w:val="ListParagraph"/>
        <w:numPr>
          <w:ilvl w:val="0"/>
          <w:numId w:val="119"/>
        </w:numPr>
        <w:ind w:right="-46"/>
        <w:rPr>
          <w:lang w:eastAsia="en-AU"/>
        </w:rPr>
      </w:pPr>
      <w:r>
        <w:rPr>
          <w:lang w:eastAsia="en-AU"/>
        </w:rPr>
        <w:t>B = assistance with patches and medications</w:t>
      </w:r>
      <w:r w:rsidR="00125201">
        <w:rPr>
          <w:lang w:eastAsia="en-AU"/>
        </w:rPr>
        <w:t>.</w:t>
      </w:r>
    </w:p>
    <w:p w:rsidR="003217B9" w:rsidRDefault="00F6076B" w:rsidP="00F02312">
      <w:pPr>
        <w:pStyle w:val="ListParagraph"/>
        <w:numPr>
          <w:ilvl w:val="0"/>
          <w:numId w:val="119"/>
        </w:numPr>
        <w:ind w:right="-46"/>
        <w:rPr>
          <w:lang w:eastAsia="en-AU"/>
        </w:rPr>
      </w:pPr>
      <w:r>
        <w:rPr>
          <w:lang w:eastAsia="en-AU"/>
        </w:rPr>
        <w:t>C</w:t>
      </w:r>
      <w:r w:rsidR="00557DB1">
        <w:rPr>
          <w:lang w:eastAsia="en-AU"/>
        </w:rPr>
        <w:t xml:space="preserve"> </w:t>
      </w:r>
      <w:r w:rsidR="003217B9">
        <w:rPr>
          <w:lang w:eastAsia="en-AU"/>
        </w:rPr>
        <w:t>= daily administration of drugs by injection (subcutaneous, intramuscular, intravenous).</w:t>
      </w:r>
    </w:p>
    <w:p w:rsidR="00980F62" w:rsidRDefault="003217B9" w:rsidP="003217B9">
      <w:pPr>
        <w:rPr>
          <w:lang w:eastAsia="en-AU"/>
        </w:rPr>
      </w:pPr>
      <w:r>
        <w:rPr>
          <w:lang w:eastAsia="en-AU"/>
        </w:rPr>
        <w:t>ACFI 12 is C</w:t>
      </w:r>
      <w:r w:rsidR="00F6076B">
        <w:rPr>
          <w:lang w:eastAsia="en-AU"/>
        </w:rPr>
        <w:t>HC</w:t>
      </w:r>
      <w:r>
        <w:rPr>
          <w:lang w:eastAsia="en-AU"/>
        </w:rPr>
        <w:t xml:space="preserve"> and is rated (A, B, C, D) depending on the items selected and the total of their individual weights</w:t>
      </w:r>
      <w:r w:rsidR="008F7883">
        <w:rPr>
          <w:lang w:eastAsia="en-AU"/>
        </w:rPr>
        <w:t xml:space="preserve"> (</w:t>
      </w:r>
      <w:hyperlink w:anchor="Tab0602" w:history="1">
        <w:r w:rsidR="008F7883" w:rsidRPr="00126DC4">
          <w:rPr>
            <w:rStyle w:val="Hyperlink"/>
            <w:lang w:eastAsia="en-AU"/>
          </w:rPr>
          <w:t>Table 6.2</w:t>
        </w:r>
      </w:hyperlink>
      <w:r w:rsidR="008F7883">
        <w:rPr>
          <w:lang w:eastAsia="en-AU"/>
        </w:rPr>
        <w:t>)</w:t>
      </w:r>
      <w:r>
        <w:rPr>
          <w:lang w:eastAsia="en-AU"/>
        </w:rPr>
        <w:t>.</w:t>
      </w:r>
    </w:p>
    <w:p w:rsidR="00E77C0F" w:rsidRDefault="0046234D" w:rsidP="00E77C0F">
      <w:pPr>
        <w:pStyle w:val="Caption"/>
        <w:keepNext/>
      </w:pPr>
      <w:bookmarkStart w:id="396" w:name="_Toc495416342"/>
      <w:bookmarkStart w:id="397" w:name="Tab0601"/>
      <w:r>
        <w:t>Table 6.</w:t>
      </w:r>
      <w:r w:rsidR="009A3F5A">
        <w:fldChar w:fldCharType="begin"/>
      </w:r>
      <w:r w:rsidR="009A3F5A">
        <w:instrText xml:space="preserve"> SEQ Table_6. \* ARABIC </w:instrText>
      </w:r>
      <w:r w:rsidR="009A3F5A">
        <w:fldChar w:fldCharType="separate"/>
      </w:r>
      <w:r w:rsidR="00856E49">
        <w:rPr>
          <w:noProof/>
        </w:rPr>
        <w:t>1</w:t>
      </w:r>
      <w:r w:rsidR="009A3F5A">
        <w:rPr>
          <w:noProof/>
        </w:rPr>
        <w:fldChar w:fldCharType="end"/>
      </w:r>
      <w:r>
        <w:rPr>
          <w:noProof/>
        </w:rPr>
        <w:t xml:space="preserve">: </w:t>
      </w:r>
      <w:r w:rsidRPr="0046234D">
        <w:rPr>
          <w:noProof/>
        </w:rPr>
        <w:t>CHC items, ratings and classification overview</w:t>
      </w:r>
      <w:bookmarkEnd w:id="396"/>
    </w:p>
    <w:tbl>
      <w:tblPr>
        <w:tblStyle w:val="ListTable3-Accent515"/>
        <w:tblW w:w="0" w:type="auto"/>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6.1 is a list of details of the items, assessment levels and classification ratings for questions in the Complex Health Care (CHC) domain. This table is to be read left to right, top to bottom."/>
      </w:tblPr>
      <w:tblGrid>
        <w:gridCol w:w="1924"/>
        <w:gridCol w:w="2784"/>
        <w:gridCol w:w="2044"/>
        <w:gridCol w:w="2156"/>
      </w:tblGrid>
      <w:tr w:rsidR="003217B9" w:rsidTr="0002463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51" w:type="dxa"/>
            <w:tcBorders>
              <w:bottom w:val="none" w:sz="0" w:space="0" w:color="auto"/>
              <w:right w:val="none" w:sz="0" w:space="0" w:color="auto"/>
            </w:tcBorders>
          </w:tcPr>
          <w:bookmarkEnd w:id="397"/>
          <w:p w:rsidR="003217B9" w:rsidRPr="0046743A" w:rsidRDefault="003217B9" w:rsidP="0002463C">
            <w:pPr>
              <w:spacing w:before="120"/>
              <w:jc w:val="left"/>
              <w:rPr>
                <w:lang w:eastAsia="en-AU"/>
              </w:rPr>
            </w:pPr>
            <w:r w:rsidRPr="0046743A">
              <w:rPr>
                <w:lang w:eastAsia="en-AU"/>
              </w:rPr>
              <w:t>Question</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tcPr>
          <w:p w:rsidR="003217B9" w:rsidRPr="0046743A" w:rsidRDefault="003217B9" w:rsidP="0002463C">
            <w:pPr>
              <w:spacing w:before="120"/>
              <w:jc w:val="center"/>
              <w:rPr>
                <w:lang w:eastAsia="en-AU"/>
              </w:rPr>
            </w:pPr>
            <w:r w:rsidRPr="0046743A">
              <w:rPr>
                <w:lang w:eastAsia="en-AU"/>
              </w:rPr>
              <w:t>Items and scores</w:t>
            </w:r>
          </w:p>
        </w:tc>
        <w:tc>
          <w:tcPr>
            <w:tcW w:w="2070" w:type="dxa"/>
          </w:tcPr>
          <w:p w:rsidR="003217B9" w:rsidRPr="0046743A" w:rsidRDefault="003217B9" w:rsidP="0002463C">
            <w:pPr>
              <w:spacing w:before="120"/>
              <w:jc w:val="center"/>
              <w:cnfStyle w:val="100000000000" w:firstRow="1" w:lastRow="0" w:firstColumn="0" w:lastColumn="0" w:oddVBand="0" w:evenVBand="0" w:oddHBand="0" w:evenHBand="0" w:firstRowFirstColumn="0" w:firstRowLastColumn="0" w:lastRowFirstColumn="0" w:lastRowLastColumn="0"/>
              <w:rPr>
                <w:lang w:eastAsia="en-AU"/>
              </w:rPr>
            </w:pPr>
            <w:r w:rsidRPr="0046743A">
              <w:rPr>
                <w:lang w:eastAsia="en-AU"/>
              </w:rPr>
              <w:t>Assessment Summary</w:t>
            </w:r>
          </w:p>
        </w:tc>
        <w:tc>
          <w:tcPr>
            <w:cnfStyle w:val="000010000000" w:firstRow="0" w:lastRow="0" w:firstColumn="0" w:lastColumn="0" w:oddVBand="1" w:evenVBand="0" w:oddHBand="0" w:evenHBand="0" w:firstRowFirstColumn="0" w:firstRowLastColumn="0" w:lastRowFirstColumn="0" w:lastRowLastColumn="0"/>
            <w:tcW w:w="2181" w:type="dxa"/>
            <w:tcBorders>
              <w:left w:val="none" w:sz="0" w:space="0" w:color="auto"/>
              <w:right w:val="none" w:sz="0" w:space="0" w:color="auto"/>
            </w:tcBorders>
          </w:tcPr>
          <w:p w:rsidR="003217B9" w:rsidRPr="0046743A" w:rsidRDefault="003217B9" w:rsidP="0002463C">
            <w:pPr>
              <w:spacing w:before="120"/>
              <w:jc w:val="center"/>
              <w:rPr>
                <w:lang w:eastAsia="en-AU"/>
              </w:rPr>
            </w:pPr>
            <w:r w:rsidRPr="0046743A">
              <w:rPr>
                <w:lang w:eastAsia="en-AU"/>
              </w:rPr>
              <w:t>Classification</w:t>
            </w:r>
          </w:p>
        </w:tc>
      </w:tr>
      <w:tr w:rsidR="0002463C" w:rsidRPr="0002463C" w:rsidTr="00024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217B9" w:rsidRPr="0002463C" w:rsidRDefault="003217B9" w:rsidP="0002463C">
            <w:pPr>
              <w:jc w:val="left"/>
              <w:rPr>
                <w:sz w:val="22"/>
                <w:lang w:eastAsia="en-AU"/>
              </w:rPr>
            </w:pPr>
            <w:r w:rsidRPr="0002463C">
              <w:rPr>
                <w:sz w:val="22"/>
                <w:lang w:eastAsia="en-AU"/>
              </w:rPr>
              <w:t>ACFI 11: Medication</w:t>
            </w:r>
          </w:p>
        </w:tc>
        <w:tc>
          <w:tcPr>
            <w:cnfStyle w:val="000010000000" w:firstRow="0" w:lastRow="0" w:firstColumn="0" w:lastColumn="0" w:oddVBand="1" w:evenVBand="0" w:oddHBand="0" w:evenHBand="0" w:firstRowFirstColumn="0" w:firstRowLastColumn="0" w:lastRowFirstColumn="0" w:lastRowLastColumn="0"/>
            <w:tcW w:w="2835" w:type="dxa"/>
          </w:tcPr>
          <w:p w:rsidR="003217B9" w:rsidRPr="0002463C" w:rsidRDefault="003217B9" w:rsidP="0002463C">
            <w:pPr>
              <w:jc w:val="left"/>
              <w:rPr>
                <w:sz w:val="22"/>
                <w:lang w:eastAsia="en-AU"/>
              </w:rPr>
            </w:pPr>
            <w:r w:rsidRPr="0002463C">
              <w:rPr>
                <w:sz w:val="22"/>
                <w:lang w:eastAsia="en-AU"/>
              </w:rPr>
              <w:t>No medications or self manages; Assistance with patches at least weekly or daily assistance with medications; Daily administration of injections.</w:t>
            </w:r>
          </w:p>
        </w:tc>
        <w:tc>
          <w:tcPr>
            <w:tcW w:w="2070" w:type="dxa"/>
          </w:tcPr>
          <w:p w:rsidR="003217B9" w:rsidRPr="0002463C" w:rsidRDefault="003217B9" w:rsidP="0002463C">
            <w:pPr>
              <w:jc w:val="left"/>
              <w:cnfStyle w:val="000000100000" w:firstRow="0" w:lastRow="0" w:firstColumn="0" w:lastColumn="0" w:oddVBand="0" w:evenVBand="0" w:oddHBand="1" w:evenHBand="0" w:firstRowFirstColumn="0" w:firstRowLastColumn="0" w:lastRowFirstColumn="0" w:lastRowLastColumn="0"/>
              <w:rPr>
                <w:sz w:val="22"/>
                <w:lang w:eastAsia="en-AU"/>
              </w:rPr>
            </w:pPr>
            <w:r w:rsidRPr="0002463C">
              <w:rPr>
                <w:b/>
                <w:sz w:val="22"/>
                <w:lang w:eastAsia="en-AU"/>
              </w:rPr>
              <w:t xml:space="preserve">A </w:t>
            </w:r>
            <w:r w:rsidRPr="0002463C">
              <w:rPr>
                <w:sz w:val="22"/>
                <w:lang w:eastAsia="en-AU"/>
              </w:rPr>
              <w:t>(None or self manages)</w:t>
            </w:r>
          </w:p>
          <w:p w:rsidR="003217B9" w:rsidRPr="0002463C" w:rsidRDefault="003217B9" w:rsidP="0002463C">
            <w:pPr>
              <w:jc w:val="left"/>
              <w:cnfStyle w:val="000000100000" w:firstRow="0" w:lastRow="0" w:firstColumn="0" w:lastColumn="0" w:oddVBand="0" w:evenVBand="0" w:oddHBand="1" w:evenHBand="0" w:firstRowFirstColumn="0" w:firstRowLastColumn="0" w:lastRowFirstColumn="0" w:lastRowLastColumn="0"/>
              <w:rPr>
                <w:sz w:val="22"/>
                <w:lang w:eastAsia="en-AU"/>
              </w:rPr>
            </w:pPr>
            <w:r w:rsidRPr="0002463C">
              <w:rPr>
                <w:b/>
                <w:sz w:val="22"/>
                <w:lang w:eastAsia="en-AU"/>
              </w:rPr>
              <w:t>B</w:t>
            </w:r>
            <w:r w:rsidRPr="0002463C">
              <w:rPr>
                <w:sz w:val="22"/>
                <w:lang w:eastAsia="en-AU"/>
              </w:rPr>
              <w:t xml:space="preserve"> (Assistance with weekly patches or daily medications)</w:t>
            </w:r>
          </w:p>
          <w:p w:rsidR="003217B9" w:rsidRPr="0002463C" w:rsidRDefault="003217B9" w:rsidP="0002463C">
            <w:pPr>
              <w:jc w:val="left"/>
              <w:cnfStyle w:val="000000100000" w:firstRow="0" w:lastRow="0" w:firstColumn="0" w:lastColumn="0" w:oddVBand="0" w:evenVBand="0" w:oddHBand="1" w:evenHBand="0" w:firstRowFirstColumn="0" w:firstRowLastColumn="0" w:lastRowFirstColumn="0" w:lastRowLastColumn="0"/>
              <w:rPr>
                <w:sz w:val="22"/>
                <w:lang w:eastAsia="en-AU"/>
              </w:rPr>
            </w:pPr>
            <w:r w:rsidRPr="0002463C">
              <w:rPr>
                <w:b/>
                <w:sz w:val="22"/>
                <w:lang w:eastAsia="en-AU"/>
              </w:rPr>
              <w:t>C</w:t>
            </w:r>
            <w:r w:rsidRPr="0002463C">
              <w:rPr>
                <w:sz w:val="22"/>
                <w:lang w:eastAsia="en-AU"/>
              </w:rPr>
              <w:t xml:space="preserve"> (Daily injections)</w:t>
            </w:r>
          </w:p>
        </w:tc>
        <w:tc>
          <w:tcPr>
            <w:cnfStyle w:val="000010000000" w:firstRow="0" w:lastRow="0" w:firstColumn="0" w:lastColumn="0" w:oddVBand="1" w:evenVBand="0" w:oddHBand="0" w:evenHBand="0" w:firstRowFirstColumn="0" w:firstRowLastColumn="0" w:lastRowFirstColumn="0" w:lastRowLastColumn="0"/>
            <w:tcW w:w="2181" w:type="dxa"/>
          </w:tcPr>
          <w:p w:rsidR="003217B9" w:rsidRPr="0002463C" w:rsidRDefault="003217B9" w:rsidP="0002463C">
            <w:pPr>
              <w:jc w:val="left"/>
              <w:rPr>
                <w:sz w:val="22"/>
                <w:lang w:eastAsia="en-AU"/>
              </w:rPr>
            </w:pPr>
            <w:r w:rsidRPr="0002463C">
              <w:rPr>
                <w:sz w:val="22"/>
              </w:rPr>
              <w:t>Rating A, B, C from the assessment summary.</w:t>
            </w:r>
          </w:p>
        </w:tc>
      </w:tr>
      <w:tr w:rsidR="0002463C" w:rsidRPr="0002463C" w:rsidTr="0002463C">
        <w:tc>
          <w:tcPr>
            <w:cnfStyle w:val="001000000000" w:firstRow="0" w:lastRow="0" w:firstColumn="1" w:lastColumn="0" w:oddVBand="0" w:evenVBand="0" w:oddHBand="0" w:evenHBand="0" w:firstRowFirstColumn="0" w:firstRowLastColumn="0" w:lastRowFirstColumn="0" w:lastRowLastColumn="0"/>
            <w:tcW w:w="1951" w:type="dxa"/>
          </w:tcPr>
          <w:p w:rsidR="003217B9" w:rsidRPr="0002463C" w:rsidRDefault="003217B9" w:rsidP="0002463C">
            <w:pPr>
              <w:jc w:val="left"/>
              <w:rPr>
                <w:sz w:val="22"/>
              </w:rPr>
            </w:pPr>
            <w:r w:rsidRPr="0002463C">
              <w:rPr>
                <w:sz w:val="22"/>
              </w:rPr>
              <w:t>ACFI 12: C</w:t>
            </w:r>
            <w:r w:rsidR="00F6076B" w:rsidRPr="0002463C">
              <w:rPr>
                <w:sz w:val="22"/>
              </w:rPr>
              <w:t>HC</w:t>
            </w:r>
          </w:p>
        </w:tc>
        <w:tc>
          <w:tcPr>
            <w:cnfStyle w:val="000010000000" w:firstRow="0" w:lastRow="0" w:firstColumn="0" w:lastColumn="0" w:oddVBand="1" w:evenVBand="0" w:oddHBand="0" w:evenHBand="0" w:firstRowFirstColumn="0" w:firstRowLastColumn="0" w:lastRowFirstColumn="0" w:lastRowLastColumn="0"/>
            <w:tcW w:w="2835" w:type="dxa"/>
          </w:tcPr>
          <w:p w:rsidR="003217B9" w:rsidRPr="0002463C" w:rsidRDefault="003217B9" w:rsidP="0002463C">
            <w:pPr>
              <w:jc w:val="left"/>
              <w:rPr>
                <w:sz w:val="22"/>
                <w:lang w:eastAsia="en-AU"/>
              </w:rPr>
            </w:pPr>
            <w:r w:rsidRPr="0002463C">
              <w:rPr>
                <w:sz w:val="22"/>
                <w:lang w:eastAsia="en-AU"/>
              </w:rPr>
              <w:t>20 procedures covering at least weekly complex care treatments.</w:t>
            </w:r>
          </w:p>
        </w:tc>
        <w:tc>
          <w:tcPr>
            <w:tcW w:w="2070" w:type="dxa"/>
          </w:tcPr>
          <w:p w:rsidR="003217B9" w:rsidRPr="0002463C" w:rsidRDefault="003217B9" w:rsidP="0002463C">
            <w:pPr>
              <w:jc w:val="left"/>
              <w:cnfStyle w:val="000000000000" w:firstRow="0" w:lastRow="0" w:firstColumn="0" w:lastColumn="0" w:oddVBand="0" w:evenVBand="0" w:oddHBand="0" w:evenHBand="0" w:firstRowFirstColumn="0" w:firstRowLastColumn="0" w:lastRowFirstColumn="0" w:lastRowLastColumn="0"/>
              <w:rPr>
                <w:sz w:val="22"/>
                <w:lang w:eastAsia="en-AU"/>
              </w:rPr>
            </w:pPr>
            <w:r w:rsidRPr="0002463C">
              <w:rPr>
                <w:sz w:val="22"/>
                <w:lang w:eastAsia="en-AU"/>
              </w:rPr>
              <w:t>A procedure can score 1, 3, 6 or 10.</w:t>
            </w:r>
          </w:p>
        </w:tc>
        <w:tc>
          <w:tcPr>
            <w:cnfStyle w:val="000010000000" w:firstRow="0" w:lastRow="0" w:firstColumn="0" w:lastColumn="0" w:oddVBand="1" w:evenVBand="0" w:oddHBand="0" w:evenHBand="0" w:firstRowFirstColumn="0" w:firstRowLastColumn="0" w:lastRowFirstColumn="0" w:lastRowLastColumn="0"/>
            <w:tcW w:w="2181" w:type="dxa"/>
          </w:tcPr>
          <w:p w:rsidR="003217B9" w:rsidRPr="0002463C" w:rsidRDefault="003217B9" w:rsidP="0002463C">
            <w:pPr>
              <w:jc w:val="left"/>
              <w:rPr>
                <w:sz w:val="22"/>
              </w:rPr>
            </w:pPr>
            <w:r w:rsidRPr="0002463C">
              <w:rPr>
                <w:sz w:val="22"/>
              </w:rPr>
              <w:t>Rating A, B, C, D from the total score.</w:t>
            </w:r>
          </w:p>
        </w:tc>
      </w:tr>
    </w:tbl>
    <w:p w:rsidR="008F7883" w:rsidRDefault="008F7883">
      <w:pPr>
        <w:spacing w:after="200"/>
        <w:rPr>
          <w:rFonts w:ascii="Calibri" w:hAnsi="Calibri" w:cs="Times New Roman"/>
          <w:b/>
          <w:iCs/>
          <w:szCs w:val="18"/>
        </w:rPr>
      </w:pPr>
      <w:bookmarkStart w:id="398" w:name="_Toc485932418"/>
      <w:bookmarkStart w:id="399" w:name="_Toc486600159"/>
      <w:bookmarkStart w:id="400" w:name="_Toc486605161"/>
      <w:r>
        <w:br w:type="page"/>
      </w:r>
    </w:p>
    <w:p w:rsidR="00E77C0F" w:rsidRDefault="0046234D" w:rsidP="00E77C0F">
      <w:pPr>
        <w:pStyle w:val="Caption"/>
        <w:keepNext/>
      </w:pPr>
      <w:bookmarkStart w:id="401" w:name="_Toc495416343"/>
      <w:bookmarkStart w:id="402" w:name="Tab0602"/>
      <w:bookmarkEnd w:id="398"/>
      <w:bookmarkEnd w:id="399"/>
      <w:bookmarkEnd w:id="400"/>
      <w:r>
        <w:lastRenderedPageBreak/>
        <w:t>Table 6.</w:t>
      </w:r>
      <w:r w:rsidR="009A3F5A">
        <w:fldChar w:fldCharType="begin"/>
      </w:r>
      <w:r w:rsidR="009A3F5A">
        <w:instrText xml:space="preserve"> SEQ Table_6. \* ARABIC </w:instrText>
      </w:r>
      <w:r w:rsidR="009A3F5A">
        <w:fldChar w:fldCharType="separate"/>
      </w:r>
      <w:r w:rsidR="00856E49">
        <w:rPr>
          <w:noProof/>
        </w:rPr>
        <w:t>2</w:t>
      </w:r>
      <w:r w:rsidR="009A3F5A">
        <w:rPr>
          <w:noProof/>
        </w:rPr>
        <w:fldChar w:fldCharType="end"/>
      </w:r>
      <w:r>
        <w:rPr>
          <w:noProof/>
        </w:rPr>
        <w:t xml:space="preserve">: </w:t>
      </w:r>
      <w:r w:rsidRPr="0046234D">
        <w:rPr>
          <w:noProof/>
        </w:rPr>
        <w:t>ACFI Q12 Items and Weights</w:t>
      </w:r>
      <w:bookmarkEnd w:id="401"/>
    </w:p>
    <w:tbl>
      <w:tblPr>
        <w:tblStyle w:val="ListTable3-Accent515"/>
        <w:tblW w:w="7338"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6.2 is a list of details that outlines the weight (score) for items in the Complex Health Care (CHC) domain, followed by the categories. This table is to be read left to right, top to bottom."/>
      </w:tblPr>
      <w:tblGrid>
        <w:gridCol w:w="5920"/>
        <w:gridCol w:w="1418"/>
      </w:tblGrid>
      <w:tr w:rsidR="003217B9" w:rsidRPr="0070588F" w:rsidTr="005B76B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5920" w:type="dxa"/>
            <w:tcBorders>
              <w:bottom w:val="none" w:sz="0" w:space="0" w:color="auto"/>
              <w:right w:val="none" w:sz="0" w:space="0" w:color="auto"/>
            </w:tcBorders>
            <w:hideMark/>
          </w:tcPr>
          <w:bookmarkEnd w:id="402"/>
          <w:p w:rsidR="003217B9" w:rsidRPr="00F052F9" w:rsidRDefault="003217B9" w:rsidP="005B76B2">
            <w:pPr>
              <w:spacing w:before="60" w:after="60"/>
              <w:rPr>
                <w:rFonts w:ascii="Calibri" w:eastAsia="Times New Roman" w:hAnsi="Calibri" w:cs="Calibri"/>
                <w:bCs w:val="0"/>
                <w:szCs w:val="24"/>
                <w:lang w:val="en-US"/>
              </w:rPr>
            </w:pPr>
            <w:r w:rsidRPr="00F052F9">
              <w:rPr>
                <w:rFonts w:ascii="Calibri" w:eastAsia="Times New Roman" w:hAnsi="Calibri" w:cs="Calibri"/>
                <w:bCs w:val="0"/>
                <w:szCs w:val="24"/>
                <w:lang w:val="en-US"/>
              </w:rPr>
              <w:t>ACFI Q12. Item</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vAlign w:val="center"/>
            <w:hideMark/>
          </w:tcPr>
          <w:p w:rsidR="003217B9" w:rsidRPr="00F052F9" w:rsidRDefault="003217B9" w:rsidP="005B76B2">
            <w:pPr>
              <w:spacing w:after="0"/>
              <w:jc w:val="center"/>
              <w:rPr>
                <w:rFonts w:ascii="Calibri" w:eastAsia="Times New Roman" w:hAnsi="Calibri" w:cs="Calibri"/>
                <w:bCs w:val="0"/>
                <w:szCs w:val="24"/>
                <w:lang w:val="en-US"/>
              </w:rPr>
            </w:pPr>
            <w:r w:rsidRPr="00F052F9">
              <w:rPr>
                <w:rFonts w:ascii="Calibri" w:eastAsia="Times New Roman" w:hAnsi="Calibri" w:cs="Calibri"/>
                <w:bCs w:val="0"/>
                <w:szCs w:val="24"/>
                <w:lang w:val="en-US"/>
              </w:rPr>
              <w:t>Weight</w:t>
            </w:r>
          </w:p>
        </w:tc>
      </w:tr>
      <w:tr w:rsidR="003217B9" w:rsidRPr="0070588F" w:rsidTr="005B7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bottom w:val="none" w:sz="0" w:space="0" w:color="auto"/>
              <w:right w:val="none" w:sz="0" w:space="0" w:color="auto"/>
            </w:tcBorders>
            <w:hideMark/>
          </w:tcPr>
          <w:p w:rsidR="003217B9" w:rsidRPr="00D81E4E" w:rsidRDefault="003217B9" w:rsidP="005B76B2">
            <w:pPr>
              <w:spacing w:before="60" w:after="60"/>
              <w:rPr>
                <w:rFonts w:ascii="Calibri" w:eastAsia="Times New Roman" w:hAnsi="Calibri" w:cs="Calibri"/>
                <w:b w:val="0"/>
                <w:color w:val="000000"/>
                <w:sz w:val="22"/>
                <w:lang w:val="en-US"/>
              </w:rPr>
            </w:pPr>
            <w:r w:rsidRPr="00D81E4E">
              <w:rPr>
                <w:rFonts w:ascii="Calibri" w:eastAsia="Times New Roman" w:hAnsi="Calibri" w:cs="Calibri"/>
                <w:b w:val="0"/>
                <w:color w:val="000000"/>
                <w:sz w:val="22"/>
                <w:lang w:val="en-US"/>
              </w:rPr>
              <w:t xml:space="preserve">1. </w:t>
            </w:r>
            <w:r>
              <w:rPr>
                <w:rFonts w:ascii="Calibri" w:eastAsia="Times New Roman" w:hAnsi="Calibri" w:cs="Calibri"/>
                <w:b w:val="0"/>
                <w:color w:val="000000"/>
                <w:sz w:val="22"/>
                <w:lang w:val="en-US"/>
              </w:rPr>
              <w:t xml:space="preserve">Daily </w:t>
            </w:r>
            <w:r w:rsidRPr="00D81E4E">
              <w:rPr>
                <w:rFonts w:ascii="Calibri" w:eastAsia="Times New Roman" w:hAnsi="Calibri" w:cs="Calibri"/>
                <w:b w:val="0"/>
                <w:color w:val="000000"/>
                <w:sz w:val="22"/>
                <w:lang w:val="en-US"/>
              </w:rPr>
              <w:t>Blood Pressure</w:t>
            </w:r>
          </w:p>
        </w:tc>
        <w:tc>
          <w:tcPr>
            <w:cnfStyle w:val="000010000000" w:firstRow="0" w:lastRow="0" w:firstColumn="0" w:lastColumn="0" w:oddVBand="1"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hideMark/>
          </w:tcPr>
          <w:p w:rsidR="003217B9" w:rsidRPr="0070588F" w:rsidRDefault="003217B9" w:rsidP="005B76B2">
            <w:pPr>
              <w:spacing w:after="60"/>
              <w:jc w:val="center"/>
              <w:rPr>
                <w:rFonts w:ascii="Calibri" w:eastAsia="Times New Roman" w:hAnsi="Calibri" w:cs="Calibri"/>
                <w:color w:val="000000"/>
                <w:sz w:val="22"/>
                <w:lang w:val="en-US"/>
              </w:rPr>
            </w:pPr>
            <w:r>
              <w:rPr>
                <w:rFonts w:ascii="Calibri" w:eastAsia="Times New Roman" w:hAnsi="Calibri" w:cs="Calibri"/>
                <w:color w:val="000000"/>
                <w:sz w:val="22"/>
                <w:lang w:val="en-US"/>
              </w:rPr>
              <w:t>1</w:t>
            </w:r>
          </w:p>
        </w:tc>
      </w:tr>
      <w:tr w:rsidR="003217B9" w:rsidRPr="0070588F" w:rsidTr="005B76B2">
        <w:trPr>
          <w:trHeight w:val="300"/>
        </w:trPr>
        <w:tc>
          <w:tcPr>
            <w:cnfStyle w:val="001000000000" w:firstRow="0" w:lastRow="0" w:firstColumn="1" w:lastColumn="0" w:oddVBand="0" w:evenVBand="0" w:oddHBand="0" w:evenHBand="0" w:firstRowFirstColumn="0" w:firstRowLastColumn="0" w:lastRowFirstColumn="0" w:lastRowLastColumn="0"/>
            <w:tcW w:w="5920" w:type="dxa"/>
            <w:tcBorders>
              <w:right w:val="none" w:sz="0" w:space="0" w:color="auto"/>
            </w:tcBorders>
            <w:hideMark/>
          </w:tcPr>
          <w:p w:rsidR="003217B9" w:rsidRPr="00D81E4E" w:rsidRDefault="003217B9" w:rsidP="005B76B2">
            <w:pPr>
              <w:spacing w:before="60" w:after="60"/>
              <w:rPr>
                <w:rFonts w:ascii="Calibri" w:eastAsia="Times New Roman" w:hAnsi="Calibri" w:cs="Calibri"/>
                <w:b w:val="0"/>
                <w:color w:val="000000"/>
                <w:sz w:val="22"/>
                <w:lang w:val="en-US"/>
              </w:rPr>
            </w:pPr>
            <w:r w:rsidRPr="00D81E4E">
              <w:rPr>
                <w:rFonts w:ascii="Calibri" w:eastAsia="Times New Roman" w:hAnsi="Calibri" w:cs="Calibri"/>
                <w:b w:val="0"/>
                <w:color w:val="000000"/>
                <w:sz w:val="22"/>
                <w:lang w:val="en-US"/>
              </w:rPr>
              <w:t xml:space="preserve">2. </w:t>
            </w:r>
            <w:r>
              <w:rPr>
                <w:rFonts w:ascii="Calibri" w:eastAsia="Times New Roman" w:hAnsi="Calibri" w:cs="Calibri"/>
                <w:b w:val="0"/>
                <w:color w:val="000000"/>
                <w:sz w:val="22"/>
                <w:lang w:val="en-US"/>
              </w:rPr>
              <w:t xml:space="preserve">Daily </w:t>
            </w:r>
            <w:r w:rsidRPr="00D81E4E">
              <w:rPr>
                <w:rFonts w:ascii="Calibri" w:eastAsia="Times New Roman" w:hAnsi="Calibri" w:cs="Calibri"/>
                <w:b w:val="0"/>
                <w:color w:val="000000"/>
                <w:sz w:val="22"/>
                <w:lang w:val="en-US"/>
              </w:rPr>
              <w:t>Blood Glucose</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vAlign w:val="center"/>
            <w:hideMark/>
          </w:tcPr>
          <w:p w:rsidR="003217B9" w:rsidRPr="0070588F" w:rsidRDefault="003217B9" w:rsidP="005B76B2">
            <w:pPr>
              <w:spacing w:after="60"/>
              <w:jc w:val="center"/>
              <w:rPr>
                <w:rFonts w:ascii="Calibri" w:eastAsia="Times New Roman" w:hAnsi="Calibri" w:cs="Calibri"/>
                <w:color w:val="000000"/>
                <w:sz w:val="22"/>
                <w:lang w:val="en-US"/>
              </w:rPr>
            </w:pPr>
            <w:r w:rsidRPr="0070588F">
              <w:rPr>
                <w:rFonts w:ascii="Calibri" w:eastAsia="Times New Roman" w:hAnsi="Calibri" w:cs="Calibri"/>
                <w:color w:val="000000"/>
                <w:sz w:val="22"/>
                <w:lang w:val="en-US"/>
              </w:rPr>
              <w:t>3</w:t>
            </w:r>
          </w:p>
        </w:tc>
      </w:tr>
      <w:tr w:rsidR="003217B9" w:rsidRPr="0070588F" w:rsidTr="005B7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bottom w:val="none" w:sz="0" w:space="0" w:color="auto"/>
              <w:right w:val="none" w:sz="0" w:space="0" w:color="auto"/>
            </w:tcBorders>
            <w:hideMark/>
          </w:tcPr>
          <w:p w:rsidR="003217B9" w:rsidRPr="00334EE6" w:rsidRDefault="003217B9" w:rsidP="005B76B2">
            <w:pPr>
              <w:spacing w:before="60" w:after="60"/>
              <w:rPr>
                <w:rFonts w:ascii="Calibri" w:eastAsia="Times New Roman" w:hAnsi="Calibri" w:cs="Calibri"/>
                <w:b w:val="0"/>
                <w:color w:val="000000"/>
                <w:sz w:val="22"/>
                <w:lang w:val="en-US"/>
              </w:rPr>
            </w:pPr>
            <w:r w:rsidRPr="00334EE6">
              <w:rPr>
                <w:rFonts w:ascii="Calibri" w:eastAsia="Times New Roman" w:hAnsi="Calibri" w:cs="Calibri"/>
                <w:b w:val="0"/>
                <w:color w:val="000000"/>
                <w:sz w:val="22"/>
                <w:lang w:val="en-US"/>
              </w:rPr>
              <w:t>3. Simple Pain management - 20 minutes weekly</w:t>
            </w:r>
          </w:p>
        </w:tc>
        <w:tc>
          <w:tcPr>
            <w:cnfStyle w:val="000010000000" w:firstRow="0" w:lastRow="0" w:firstColumn="0" w:lastColumn="0" w:oddVBand="1"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hideMark/>
          </w:tcPr>
          <w:p w:rsidR="003217B9" w:rsidRPr="0070588F" w:rsidRDefault="003217B9" w:rsidP="005B76B2">
            <w:pPr>
              <w:spacing w:after="60"/>
              <w:jc w:val="center"/>
              <w:rPr>
                <w:rFonts w:ascii="Calibri" w:eastAsia="Times New Roman" w:hAnsi="Calibri" w:cs="Calibri"/>
                <w:color w:val="000000"/>
                <w:sz w:val="22"/>
                <w:lang w:val="en-US"/>
              </w:rPr>
            </w:pPr>
            <w:r>
              <w:rPr>
                <w:rFonts w:ascii="Calibri" w:eastAsia="Times New Roman" w:hAnsi="Calibri" w:cs="Calibri"/>
                <w:color w:val="000000"/>
                <w:sz w:val="22"/>
                <w:lang w:val="en-US"/>
              </w:rPr>
              <w:t>1</w:t>
            </w:r>
          </w:p>
        </w:tc>
      </w:tr>
      <w:tr w:rsidR="003217B9" w:rsidRPr="0070588F" w:rsidTr="005B76B2">
        <w:trPr>
          <w:trHeight w:val="300"/>
        </w:trPr>
        <w:tc>
          <w:tcPr>
            <w:cnfStyle w:val="001000000000" w:firstRow="0" w:lastRow="0" w:firstColumn="1" w:lastColumn="0" w:oddVBand="0" w:evenVBand="0" w:oddHBand="0" w:evenHBand="0" w:firstRowFirstColumn="0" w:firstRowLastColumn="0" w:lastRowFirstColumn="0" w:lastRowLastColumn="0"/>
            <w:tcW w:w="5920" w:type="dxa"/>
            <w:tcBorders>
              <w:right w:val="none" w:sz="0" w:space="0" w:color="auto"/>
            </w:tcBorders>
            <w:hideMark/>
          </w:tcPr>
          <w:p w:rsidR="003217B9" w:rsidRPr="00334EE6" w:rsidRDefault="003217B9" w:rsidP="005B76B2">
            <w:pPr>
              <w:spacing w:before="60" w:after="60"/>
              <w:rPr>
                <w:rFonts w:ascii="Calibri" w:eastAsia="Times New Roman" w:hAnsi="Calibri" w:cs="Calibri"/>
                <w:b w:val="0"/>
                <w:color w:val="000000"/>
                <w:sz w:val="22"/>
                <w:lang w:val="en-US"/>
              </w:rPr>
            </w:pPr>
            <w:r w:rsidRPr="00334EE6">
              <w:rPr>
                <w:rFonts w:ascii="Calibri" w:eastAsia="Times New Roman" w:hAnsi="Calibri" w:cs="Calibri"/>
                <w:b w:val="0"/>
                <w:color w:val="000000"/>
                <w:sz w:val="22"/>
                <w:lang w:val="en-US"/>
              </w:rPr>
              <w:t>4a. Complex pain – 20 minutes weekly by RN or AHP</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vAlign w:val="center"/>
            <w:hideMark/>
          </w:tcPr>
          <w:p w:rsidR="003217B9" w:rsidRPr="0070588F" w:rsidRDefault="003217B9" w:rsidP="005B76B2">
            <w:pPr>
              <w:spacing w:after="60"/>
              <w:jc w:val="center"/>
              <w:rPr>
                <w:rFonts w:ascii="Calibri" w:eastAsia="Times New Roman" w:hAnsi="Calibri" w:cs="Calibri"/>
                <w:color w:val="000000"/>
                <w:sz w:val="22"/>
                <w:lang w:val="en-US"/>
              </w:rPr>
            </w:pPr>
            <w:r w:rsidRPr="0070588F">
              <w:rPr>
                <w:rFonts w:ascii="Calibri" w:eastAsia="Times New Roman" w:hAnsi="Calibri" w:cs="Calibri"/>
                <w:color w:val="000000"/>
                <w:sz w:val="22"/>
                <w:lang w:val="en-US"/>
              </w:rPr>
              <w:t>3</w:t>
            </w:r>
          </w:p>
        </w:tc>
      </w:tr>
      <w:tr w:rsidR="003217B9" w:rsidRPr="0070588F" w:rsidTr="005B7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bottom w:val="none" w:sz="0" w:space="0" w:color="auto"/>
              <w:right w:val="none" w:sz="0" w:space="0" w:color="auto"/>
            </w:tcBorders>
            <w:hideMark/>
          </w:tcPr>
          <w:p w:rsidR="003217B9" w:rsidRPr="00334EE6" w:rsidRDefault="003217B9" w:rsidP="005B76B2">
            <w:pPr>
              <w:spacing w:before="60" w:after="60"/>
              <w:rPr>
                <w:rFonts w:ascii="Calibri" w:eastAsia="Times New Roman" w:hAnsi="Calibri" w:cs="Calibri"/>
                <w:b w:val="0"/>
                <w:color w:val="000000"/>
                <w:sz w:val="22"/>
                <w:lang w:val="en-US"/>
              </w:rPr>
            </w:pPr>
            <w:r w:rsidRPr="00334EE6">
              <w:rPr>
                <w:rFonts w:ascii="Calibri" w:eastAsia="Times New Roman" w:hAnsi="Calibri" w:cs="Calibri"/>
                <w:b w:val="0"/>
                <w:color w:val="000000"/>
                <w:sz w:val="22"/>
                <w:lang w:val="en-US"/>
              </w:rPr>
              <w:t>4b. Complex pain – 80 minutes weekly by AHP</w:t>
            </w:r>
          </w:p>
        </w:tc>
        <w:tc>
          <w:tcPr>
            <w:cnfStyle w:val="000010000000" w:firstRow="0" w:lastRow="0" w:firstColumn="0" w:lastColumn="0" w:oddVBand="1"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hideMark/>
          </w:tcPr>
          <w:p w:rsidR="003217B9" w:rsidRPr="0070588F" w:rsidRDefault="003217B9" w:rsidP="005B76B2">
            <w:pPr>
              <w:spacing w:after="60"/>
              <w:jc w:val="center"/>
              <w:rPr>
                <w:rFonts w:ascii="Calibri" w:eastAsia="Times New Roman" w:hAnsi="Calibri" w:cs="Calibri"/>
                <w:color w:val="000000"/>
                <w:sz w:val="22"/>
                <w:lang w:val="en-US"/>
              </w:rPr>
            </w:pPr>
            <w:r>
              <w:rPr>
                <w:rFonts w:ascii="Calibri" w:eastAsia="Times New Roman" w:hAnsi="Calibri" w:cs="Calibri"/>
                <w:color w:val="000000"/>
                <w:sz w:val="22"/>
                <w:lang w:val="en-US"/>
              </w:rPr>
              <w:t>6</w:t>
            </w:r>
          </w:p>
        </w:tc>
      </w:tr>
      <w:tr w:rsidR="003217B9" w:rsidRPr="0070588F" w:rsidTr="005B76B2">
        <w:trPr>
          <w:trHeight w:val="300"/>
        </w:trPr>
        <w:tc>
          <w:tcPr>
            <w:cnfStyle w:val="001000000000" w:firstRow="0" w:lastRow="0" w:firstColumn="1" w:lastColumn="0" w:oddVBand="0" w:evenVBand="0" w:oddHBand="0" w:evenHBand="0" w:firstRowFirstColumn="0" w:firstRowLastColumn="0" w:lastRowFirstColumn="0" w:lastRowLastColumn="0"/>
            <w:tcW w:w="5920" w:type="dxa"/>
            <w:tcBorders>
              <w:right w:val="none" w:sz="0" w:space="0" w:color="auto"/>
            </w:tcBorders>
            <w:hideMark/>
          </w:tcPr>
          <w:p w:rsidR="003217B9" w:rsidRPr="00334EE6" w:rsidRDefault="003217B9" w:rsidP="005B76B2">
            <w:pPr>
              <w:spacing w:before="60" w:after="60"/>
              <w:rPr>
                <w:rFonts w:ascii="Calibri" w:eastAsia="Times New Roman" w:hAnsi="Calibri" w:cs="Calibri"/>
                <w:b w:val="0"/>
                <w:color w:val="000000"/>
                <w:sz w:val="22"/>
                <w:lang w:val="en-US"/>
              </w:rPr>
            </w:pPr>
            <w:r w:rsidRPr="00334EE6">
              <w:rPr>
                <w:rFonts w:ascii="Calibri" w:eastAsia="Times New Roman" w:hAnsi="Calibri" w:cs="Calibri"/>
                <w:b w:val="0"/>
                <w:color w:val="000000"/>
                <w:sz w:val="22"/>
                <w:lang w:val="en-US"/>
              </w:rPr>
              <w:t>5. Skin Integrity- 4 times per day</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vAlign w:val="center"/>
            <w:hideMark/>
          </w:tcPr>
          <w:p w:rsidR="003217B9" w:rsidRPr="0070588F" w:rsidRDefault="003217B9" w:rsidP="005B76B2">
            <w:pPr>
              <w:spacing w:after="60"/>
              <w:jc w:val="center"/>
              <w:rPr>
                <w:rFonts w:ascii="Calibri" w:eastAsia="Times New Roman" w:hAnsi="Calibri" w:cs="Calibri"/>
                <w:color w:val="000000"/>
                <w:sz w:val="22"/>
                <w:lang w:val="en-US"/>
              </w:rPr>
            </w:pPr>
            <w:r w:rsidRPr="0070588F">
              <w:rPr>
                <w:rFonts w:ascii="Calibri" w:eastAsia="Times New Roman" w:hAnsi="Calibri" w:cs="Calibri"/>
                <w:color w:val="000000"/>
                <w:sz w:val="22"/>
                <w:lang w:val="en-US"/>
              </w:rPr>
              <w:t>3</w:t>
            </w:r>
          </w:p>
        </w:tc>
      </w:tr>
      <w:tr w:rsidR="003217B9" w:rsidRPr="0070588F" w:rsidTr="005B7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bottom w:val="none" w:sz="0" w:space="0" w:color="auto"/>
              <w:right w:val="none" w:sz="0" w:space="0" w:color="auto"/>
            </w:tcBorders>
            <w:hideMark/>
          </w:tcPr>
          <w:p w:rsidR="003217B9" w:rsidRPr="00334EE6" w:rsidRDefault="003217B9" w:rsidP="005B76B2">
            <w:pPr>
              <w:spacing w:before="60" w:after="60"/>
              <w:rPr>
                <w:rFonts w:ascii="Calibri" w:eastAsia="Times New Roman" w:hAnsi="Calibri" w:cs="Calibri"/>
                <w:b w:val="0"/>
                <w:color w:val="000000"/>
                <w:sz w:val="22"/>
                <w:lang w:val="en-US"/>
              </w:rPr>
            </w:pPr>
            <w:r w:rsidRPr="00334EE6">
              <w:rPr>
                <w:rFonts w:ascii="Calibri" w:eastAsia="Times New Roman" w:hAnsi="Calibri" w:cs="Calibri"/>
                <w:b w:val="0"/>
                <w:color w:val="000000"/>
                <w:sz w:val="22"/>
                <w:lang w:val="en-US"/>
              </w:rPr>
              <w:t>6. Daily RN Feeding</w:t>
            </w:r>
          </w:p>
        </w:tc>
        <w:tc>
          <w:tcPr>
            <w:cnfStyle w:val="000010000000" w:firstRow="0" w:lastRow="0" w:firstColumn="0" w:lastColumn="0" w:oddVBand="1"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hideMark/>
          </w:tcPr>
          <w:p w:rsidR="003217B9" w:rsidRPr="0070588F" w:rsidRDefault="003217B9" w:rsidP="005B76B2">
            <w:pPr>
              <w:spacing w:after="60"/>
              <w:jc w:val="center"/>
              <w:rPr>
                <w:rFonts w:ascii="Calibri" w:eastAsia="Times New Roman" w:hAnsi="Calibri" w:cs="Calibri"/>
                <w:color w:val="000000"/>
                <w:sz w:val="22"/>
                <w:lang w:val="en-US"/>
              </w:rPr>
            </w:pPr>
            <w:r w:rsidRPr="0070588F">
              <w:rPr>
                <w:rFonts w:ascii="Calibri" w:eastAsia="Times New Roman" w:hAnsi="Calibri" w:cs="Calibri"/>
                <w:color w:val="000000"/>
                <w:sz w:val="22"/>
                <w:lang w:val="en-US"/>
              </w:rPr>
              <w:t>3</w:t>
            </w:r>
          </w:p>
        </w:tc>
      </w:tr>
      <w:tr w:rsidR="003217B9" w:rsidRPr="0070588F" w:rsidTr="005B76B2">
        <w:trPr>
          <w:trHeight w:val="315"/>
        </w:trPr>
        <w:tc>
          <w:tcPr>
            <w:cnfStyle w:val="001000000000" w:firstRow="0" w:lastRow="0" w:firstColumn="1" w:lastColumn="0" w:oddVBand="0" w:evenVBand="0" w:oddHBand="0" w:evenHBand="0" w:firstRowFirstColumn="0" w:firstRowLastColumn="0" w:lastRowFirstColumn="0" w:lastRowLastColumn="0"/>
            <w:tcW w:w="5920" w:type="dxa"/>
            <w:tcBorders>
              <w:right w:val="none" w:sz="0" w:space="0" w:color="auto"/>
            </w:tcBorders>
            <w:hideMark/>
          </w:tcPr>
          <w:p w:rsidR="003217B9" w:rsidRPr="00334EE6" w:rsidRDefault="003217B9" w:rsidP="005B76B2">
            <w:pPr>
              <w:spacing w:before="60" w:after="60"/>
              <w:rPr>
                <w:rFonts w:ascii="Calibri" w:eastAsia="Times New Roman" w:hAnsi="Calibri" w:cs="Calibri"/>
                <w:b w:val="0"/>
                <w:color w:val="000000"/>
                <w:sz w:val="22"/>
                <w:lang w:val="en-US"/>
              </w:rPr>
            </w:pPr>
            <w:r w:rsidRPr="00334EE6">
              <w:rPr>
                <w:rFonts w:ascii="Calibri" w:eastAsia="Times New Roman" w:hAnsi="Calibri" w:cs="Calibri"/>
                <w:b w:val="0"/>
                <w:color w:val="000000"/>
                <w:sz w:val="22"/>
                <w:lang w:val="en-US"/>
              </w:rPr>
              <w:t>7. Suppositories &amp; enemas</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vAlign w:val="center"/>
            <w:hideMark/>
          </w:tcPr>
          <w:p w:rsidR="003217B9" w:rsidRPr="0070588F" w:rsidRDefault="003217B9" w:rsidP="005B76B2">
            <w:pPr>
              <w:spacing w:after="60"/>
              <w:jc w:val="center"/>
              <w:rPr>
                <w:rFonts w:ascii="Calibri" w:eastAsia="Times New Roman" w:hAnsi="Calibri" w:cs="Calibri"/>
                <w:color w:val="000000"/>
                <w:sz w:val="22"/>
                <w:lang w:val="en-US"/>
              </w:rPr>
            </w:pPr>
            <w:r>
              <w:rPr>
                <w:rFonts w:ascii="Calibri" w:eastAsia="Times New Roman" w:hAnsi="Calibri" w:cs="Calibri"/>
                <w:color w:val="000000"/>
                <w:sz w:val="22"/>
                <w:lang w:val="en-US"/>
              </w:rPr>
              <w:t>1</w:t>
            </w:r>
          </w:p>
        </w:tc>
      </w:tr>
      <w:tr w:rsidR="003217B9" w:rsidRPr="0070588F" w:rsidTr="005B7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bottom w:val="none" w:sz="0" w:space="0" w:color="auto"/>
              <w:right w:val="none" w:sz="0" w:space="0" w:color="auto"/>
            </w:tcBorders>
            <w:hideMark/>
          </w:tcPr>
          <w:p w:rsidR="003217B9" w:rsidRPr="00334EE6" w:rsidRDefault="003217B9" w:rsidP="005B76B2">
            <w:pPr>
              <w:spacing w:before="60" w:after="60"/>
              <w:rPr>
                <w:rFonts w:ascii="Calibri" w:eastAsia="Times New Roman" w:hAnsi="Calibri" w:cs="Calibri"/>
                <w:b w:val="0"/>
                <w:color w:val="000000"/>
                <w:sz w:val="22"/>
                <w:lang w:val="en-US"/>
              </w:rPr>
            </w:pPr>
            <w:r w:rsidRPr="00334EE6">
              <w:rPr>
                <w:rFonts w:ascii="Calibri" w:eastAsia="Times New Roman" w:hAnsi="Calibri" w:cs="Calibri"/>
                <w:b w:val="0"/>
                <w:color w:val="000000"/>
                <w:sz w:val="22"/>
                <w:lang w:val="en-US"/>
              </w:rPr>
              <w:t>8. Catheter Care program</w:t>
            </w:r>
          </w:p>
        </w:tc>
        <w:tc>
          <w:tcPr>
            <w:cnfStyle w:val="000010000000" w:firstRow="0" w:lastRow="0" w:firstColumn="0" w:lastColumn="0" w:oddVBand="1"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hideMark/>
          </w:tcPr>
          <w:p w:rsidR="003217B9" w:rsidRPr="0070588F" w:rsidRDefault="003217B9" w:rsidP="005B76B2">
            <w:pPr>
              <w:spacing w:after="60"/>
              <w:jc w:val="center"/>
              <w:rPr>
                <w:rFonts w:ascii="Calibri" w:eastAsia="Times New Roman" w:hAnsi="Calibri" w:cs="Calibri"/>
                <w:color w:val="000000"/>
                <w:sz w:val="22"/>
                <w:lang w:val="en-US"/>
              </w:rPr>
            </w:pPr>
            <w:r>
              <w:rPr>
                <w:rFonts w:ascii="Calibri" w:eastAsia="Times New Roman" w:hAnsi="Calibri" w:cs="Calibri"/>
                <w:color w:val="000000"/>
                <w:sz w:val="22"/>
                <w:lang w:val="en-US"/>
              </w:rPr>
              <w:t>3</w:t>
            </w:r>
          </w:p>
        </w:tc>
      </w:tr>
      <w:tr w:rsidR="003217B9" w:rsidRPr="0070588F" w:rsidTr="005B76B2">
        <w:trPr>
          <w:trHeight w:val="315"/>
        </w:trPr>
        <w:tc>
          <w:tcPr>
            <w:cnfStyle w:val="001000000000" w:firstRow="0" w:lastRow="0" w:firstColumn="1" w:lastColumn="0" w:oddVBand="0" w:evenVBand="0" w:oddHBand="0" w:evenHBand="0" w:firstRowFirstColumn="0" w:firstRowLastColumn="0" w:lastRowFirstColumn="0" w:lastRowLastColumn="0"/>
            <w:tcW w:w="5920" w:type="dxa"/>
            <w:tcBorders>
              <w:right w:val="none" w:sz="0" w:space="0" w:color="auto"/>
            </w:tcBorders>
            <w:hideMark/>
          </w:tcPr>
          <w:p w:rsidR="003217B9" w:rsidRPr="00334EE6" w:rsidRDefault="003217B9" w:rsidP="005B76B2">
            <w:pPr>
              <w:spacing w:before="60" w:after="60"/>
              <w:rPr>
                <w:rFonts w:ascii="Calibri" w:eastAsia="Times New Roman" w:hAnsi="Calibri" w:cs="Calibri"/>
                <w:b w:val="0"/>
                <w:color w:val="000000"/>
                <w:sz w:val="22"/>
                <w:lang w:val="en-US"/>
              </w:rPr>
            </w:pPr>
            <w:r w:rsidRPr="00334EE6">
              <w:rPr>
                <w:rFonts w:ascii="Calibri" w:eastAsia="Times New Roman" w:hAnsi="Calibri" w:cs="Calibri"/>
                <w:b w:val="0"/>
                <w:color w:val="000000"/>
                <w:sz w:val="22"/>
                <w:lang w:val="en-US"/>
              </w:rPr>
              <w:t>9. Chronic Infectious conditions</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vAlign w:val="center"/>
            <w:hideMark/>
          </w:tcPr>
          <w:p w:rsidR="003217B9" w:rsidRPr="0070588F" w:rsidRDefault="003217B9" w:rsidP="005B76B2">
            <w:pPr>
              <w:spacing w:after="60"/>
              <w:jc w:val="center"/>
              <w:rPr>
                <w:rFonts w:ascii="Calibri" w:eastAsia="Times New Roman" w:hAnsi="Calibri" w:cs="Calibri"/>
                <w:color w:val="000000"/>
                <w:sz w:val="22"/>
                <w:lang w:val="en-US"/>
              </w:rPr>
            </w:pPr>
            <w:r w:rsidRPr="0070588F">
              <w:rPr>
                <w:rFonts w:ascii="Calibri" w:eastAsia="Times New Roman" w:hAnsi="Calibri" w:cs="Calibri"/>
                <w:color w:val="000000"/>
                <w:sz w:val="22"/>
                <w:lang w:val="en-US"/>
              </w:rPr>
              <w:t>6</w:t>
            </w:r>
          </w:p>
        </w:tc>
      </w:tr>
      <w:tr w:rsidR="003217B9" w:rsidRPr="0070588F" w:rsidTr="005B76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bottom w:val="none" w:sz="0" w:space="0" w:color="auto"/>
              <w:right w:val="none" w:sz="0" w:space="0" w:color="auto"/>
            </w:tcBorders>
            <w:hideMark/>
          </w:tcPr>
          <w:p w:rsidR="003217B9" w:rsidRPr="00334EE6" w:rsidRDefault="003217B9" w:rsidP="005B76B2">
            <w:pPr>
              <w:spacing w:before="60" w:after="60"/>
              <w:rPr>
                <w:rFonts w:ascii="Calibri" w:eastAsia="Times New Roman" w:hAnsi="Calibri" w:cs="Calibri"/>
                <w:b w:val="0"/>
                <w:color w:val="000000"/>
                <w:sz w:val="22"/>
                <w:lang w:val="en-US"/>
              </w:rPr>
            </w:pPr>
            <w:r w:rsidRPr="00334EE6">
              <w:rPr>
                <w:rFonts w:ascii="Calibri" w:eastAsia="Times New Roman" w:hAnsi="Calibri" w:cs="Calibri"/>
                <w:b w:val="0"/>
                <w:color w:val="000000"/>
                <w:sz w:val="22"/>
                <w:lang w:val="en-US"/>
              </w:rPr>
              <w:t>10. Chronic Wounds</w:t>
            </w:r>
          </w:p>
        </w:tc>
        <w:tc>
          <w:tcPr>
            <w:cnfStyle w:val="000010000000" w:firstRow="0" w:lastRow="0" w:firstColumn="0" w:lastColumn="0" w:oddVBand="1"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hideMark/>
          </w:tcPr>
          <w:p w:rsidR="003217B9" w:rsidRPr="0070588F" w:rsidRDefault="003217B9" w:rsidP="005B76B2">
            <w:pPr>
              <w:spacing w:after="60"/>
              <w:jc w:val="center"/>
              <w:rPr>
                <w:rFonts w:ascii="Calibri" w:eastAsia="Times New Roman" w:hAnsi="Calibri" w:cs="Calibri"/>
                <w:color w:val="000000"/>
                <w:sz w:val="22"/>
                <w:lang w:val="en-US"/>
              </w:rPr>
            </w:pPr>
            <w:r w:rsidRPr="0070588F">
              <w:rPr>
                <w:rFonts w:ascii="Calibri" w:eastAsia="Times New Roman" w:hAnsi="Calibri" w:cs="Calibri"/>
                <w:color w:val="000000"/>
                <w:sz w:val="22"/>
                <w:lang w:val="en-US"/>
              </w:rPr>
              <w:t>6</w:t>
            </w:r>
          </w:p>
        </w:tc>
      </w:tr>
      <w:tr w:rsidR="003217B9" w:rsidRPr="0070588F" w:rsidTr="005B76B2">
        <w:trPr>
          <w:trHeight w:val="315"/>
        </w:trPr>
        <w:tc>
          <w:tcPr>
            <w:cnfStyle w:val="001000000000" w:firstRow="0" w:lastRow="0" w:firstColumn="1" w:lastColumn="0" w:oddVBand="0" w:evenVBand="0" w:oddHBand="0" w:evenHBand="0" w:firstRowFirstColumn="0" w:firstRowLastColumn="0" w:lastRowFirstColumn="0" w:lastRowLastColumn="0"/>
            <w:tcW w:w="5920" w:type="dxa"/>
            <w:tcBorders>
              <w:right w:val="none" w:sz="0" w:space="0" w:color="auto"/>
            </w:tcBorders>
            <w:hideMark/>
          </w:tcPr>
          <w:p w:rsidR="003217B9" w:rsidRPr="00334EE6" w:rsidRDefault="003217B9" w:rsidP="005B76B2">
            <w:pPr>
              <w:spacing w:before="60" w:after="60"/>
              <w:rPr>
                <w:rFonts w:ascii="Calibri" w:eastAsia="Times New Roman" w:hAnsi="Calibri" w:cs="Calibri"/>
                <w:b w:val="0"/>
                <w:color w:val="000000"/>
                <w:sz w:val="22"/>
                <w:lang w:val="en-US"/>
              </w:rPr>
            </w:pPr>
            <w:r w:rsidRPr="00334EE6">
              <w:rPr>
                <w:rFonts w:ascii="Calibri" w:eastAsia="Times New Roman" w:hAnsi="Calibri" w:cs="Calibri"/>
                <w:b w:val="0"/>
                <w:color w:val="000000"/>
                <w:sz w:val="22"/>
                <w:lang w:val="en-US"/>
              </w:rPr>
              <w:t>11. Intravenous fluids &amp; Dialysis etc.</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vAlign w:val="center"/>
            <w:hideMark/>
          </w:tcPr>
          <w:p w:rsidR="003217B9" w:rsidRPr="0070588F" w:rsidRDefault="003217B9" w:rsidP="005B76B2">
            <w:pPr>
              <w:spacing w:after="60"/>
              <w:jc w:val="center"/>
              <w:rPr>
                <w:rFonts w:ascii="Calibri" w:eastAsia="Times New Roman" w:hAnsi="Calibri" w:cs="Calibri"/>
                <w:color w:val="000000"/>
                <w:sz w:val="22"/>
                <w:lang w:val="en-US"/>
              </w:rPr>
            </w:pPr>
            <w:r w:rsidRPr="0070588F">
              <w:rPr>
                <w:rFonts w:ascii="Calibri" w:eastAsia="Times New Roman" w:hAnsi="Calibri" w:cs="Calibri"/>
                <w:color w:val="000000"/>
                <w:sz w:val="22"/>
                <w:lang w:val="en-US"/>
              </w:rPr>
              <w:t>6</w:t>
            </w:r>
          </w:p>
        </w:tc>
      </w:tr>
      <w:tr w:rsidR="003217B9" w:rsidRPr="0070588F" w:rsidTr="005B76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bottom w:val="none" w:sz="0" w:space="0" w:color="auto"/>
              <w:right w:val="none" w:sz="0" w:space="0" w:color="auto"/>
            </w:tcBorders>
            <w:hideMark/>
          </w:tcPr>
          <w:p w:rsidR="003217B9" w:rsidRPr="00334EE6" w:rsidRDefault="003217B9" w:rsidP="005B76B2">
            <w:pPr>
              <w:spacing w:before="60" w:after="60"/>
              <w:rPr>
                <w:rFonts w:ascii="Calibri" w:eastAsia="Times New Roman" w:hAnsi="Calibri" w:cs="Calibri"/>
                <w:b w:val="0"/>
                <w:color w:val="000000"/>
                <w:sz w:val="22"/>
                <w:lang w:val="en-US"/>
              </w:rPr>
            </w:pPr>
            <w:r w:rsidRPr="00334EE6">
              <w:rPr>
                <w:rFonts w:ascii="Calibri" w:eastAsia="Times New Roman" w:hAnsi="Calibri" w:cs="Calibri"/>
                <w:b w:val="0"/>
                <w:color w:val="000000"/>
                <w:sz w:val="22"/>
                <w:lang w:val="en-US"/>
              </w:rPr>
              <w:t>12a. Oedema related to arthritis</w:t>
            </w:r>
          </w:p>
        </w:tc>
        <w:tc>
          <w:tcPr>
            <w:cnfStyle w:val="000010000000" w:firstRow="0" w:lastRow="0" w:firstColumn="0" w:lastColumn="0" w:oddVBand="1"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hideMark/>
          </w:tcPr>
          <w:p w:rsidR="003217B9" w:rsidRPr="0070588F" w:rsidRDefault="003217B9" w:rsidP="005B76B2">
            <w:pPr>
              <w:spacing w:after="60"/>
              <w:jc w:val="center"/>
              <w:rPr>
                <w:rFonts w:ascii="Calibri" w:eastAsia="Times New Roman" w:hAnsi="Calibri" w:cs="Calibri"/>
                <w:color w:val="000000"/>
                <w:sz w:val="22"/>
                <w:lang w:val="en-US"/>
              </w:rPr>
            </w:pPr>
            <w:r>
              <w:rPr>
                <w:rFonts w:ascii="Calibri" w:eastAsia="Times New Roman" w:hAnsi="Calibri" w:cs="Calibri"/>
                <w:color w:val="000000"/>
                <w:sz w:val="22"/>
                <w:lang w:val="en-US"/>
              </w:rPr>
              <w:t>1</w:t>
            </w:r>
          </w:p>
        </w:tc>
      </w:tr>
      <w:tr w:rsidR="003217B9" w:rsidRPr="0070588F" w:rsidTr="005B76B2">
        <w:trPr>
          <w:trHeight w:val="315"/>
        </w:trPr>
        <w:tc>
          <w:tcPr>
            <w:cnfStyle w:val="001000000000" w:firstRow="0" w:lastRow="0" w:firstColumn="1" w:lastColumn="0" w:oddVBand="0" w:evenVBand="0" w:oddHBand="0" w:evenHBand="0" w:firstRowFirstColumn="0" w:firstRowLastColumn="0" w:lastRowFirstColumn="0" w:lastRowLastColumn="0"/>
            <w:tcW w:w="5920" w:type="dxa"/>
            <w:tcBorders>
              <w:right w:val="none" w:sz="0" w:space="0" w:color="auto"/>
            </w:tcBorders>
            <w:hideMark/>
          </w:tcPr>
          <w:p w:rsidR="003217B9" w:rsidRPr="00334EE6" w:rsidRDefault="003217B9" w:rsidP="005B76B2">
            <w:pPr>
              <w:spacing w:before="60" w:after="60"/>
              <w:rPr>
                <w:rFonts w:ascii="Calibri" w:eastAsia="Times New Roman" w:hAnsi="Calibri" w:cs="Calibri"/>
                <w:b w:val="0"/>
                <w:color w:val="000000"/>
                <w:sz w:val="22"/>
                <w:lang w:val="en-US"/>
              </w:rPr>
            </w:pPr>
            <w:r w:rsidRPr="00334EE6">
              <w:rPr>
                <w:rFonts w:ascii="Calibri" w:eastAsia="Times New Roman" w:hAnsi="Calibri" w:cs="Calibri"/>
                <w:b w:val="0"/>
                <w:color w:val="000000"/>
                <w:sz w:val="22"/>
                <w:lang w:val="en-US"/>
              </w:rPr>
              <w:t>12b. Non-arthritic Oedema, DVT &amp; Chronic Skin Conditions</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vAlign w:val="center"/>
            <w:hideMark/>
          </w:tcPr>
          <w:p w:rsidR="003217B9" w:rsidRPr="0070588F" w:rsidRDefault="003217B9" w:rsidP="005B76B2">
            <w:pPr>
              <w:spacing w:after="60"/>
              <w:jc w:val="center"/>
              <w:rPr>
                <w:rFonts w:ascii="Calibri" w:eastAsia="Times New Roman" w:hAnsi="Calibri" w:cs="Calibri"/>
                <w:color w:val="000000"/>
                <w:sz w:val="22"/>
                <w:lang w:val="en-US"/>
              </w:rPr>
            </w:pPr>
            <w:r>
              <w:rPr>
                <w:rFonts w:ascii="Calibri" w:eastAsia="Times New Roman" w:hAnsi="Calibri" w:cs="Calibri"/>
                <w:color w:val="000000"/>
                <w:sz w:val="22"/>
                <w:lang w:val="en-US"/>
              </w:rPr>
              <w:t>3</w:t>
            </w:r>
          </w:p>
        </w:tc>
      </w:tr>
      <w:tr w:rsidR="003217B9" w:rsidRPr="0070588F" w:rsidTr="005B76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bottom w:val="none" w:sz="0" w:space="0" w:color="auto"/>
              <w:right w:val="none" w:sz="0" w:space="0" w:color="auto"/>
            </w:tcBorders>
            <w:hideMark/>
          </w:tcPr>
          <w:p w:rsidR="003217B9" w:rsidRPr="00334EE6" w:rsidRDefault="003217B9" w:rsidP="005B76B2">
            <w:pPr>
              <w:spacing w:before="60" w:after="60"/>
              <w:rPr>
                <w:rFonts w:ascii="Calibri" w:eastAsia="Times New Roman" w:hAnsi="Calibri" w:cs="Calibri"/>
                <w:b w:val="0"/>
                <w:color w:val="000000"/>
                <w:sz w:val="22"/>
                <w:lang w:val="en-US"/>
              </w:rPr>
            </w:pPr>
            <w:r w:rsidRPr="00334EE6">
              <w:rPr>
                <w:rFonts w:ascii="Calibri" w:eastAsia="Times New Roman" w:hAnsi="Calibri" w:cs="Calibri"/>
                <w:b w:val="0"/>
                <w:color w:val="000000"/>
                <w:sz w:val="22"/>
                <w:lang w:val="en-US"/>
              </w:rPr>
              <w:t>13. Oxygen Therapy</w:t>
            </w:r>
          </w:p>
        </w:tc>
        <w:tc>
          <w:tcPr>
            <w:cnfStyle w:val="000010000000" w:firstRow="0" w:lastRow="0" w:firstColumn="0" w:lastColumn="0" w:oddVBand="1"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hideMark/>
          </w:tcPr>
          <w:p w:rsidR="003217B9" w:rsidRPr="0070588F" w:rsidRDefault="003217B9" w:rsidP="005B76B2">
            <w:pPr>
              <w:spacing w:after="60"/>
              <w:jc w:val="center"/>
              <w:rPr>
                <w:rFonts w:ascii="Calibri" w:eastAsia="Times New Roman" w:hAnsi="Calibri" w:cs="Calibri"/>
                <w:color w:val="000000"/>
                <w:sz w:val="22"/>
                <w:lang w:val="en-US"/>
              </w:rPr>
            </w:pPr>
            <w:r>
              <w:rPr>
                <w:rFonts w:ascii="Calibri" w:eastAsia="Times New Roman" w:hAnsi="Calibri" w:cs="Calibri"/>
                <w:color w:val="000000"/>
                <w:sz w:val="22"/>
                <w:lang w:val="en-US"/>
              </w:rPr>
              <w:t>3</w:t>
            </w:r>
          </w:p>
        </w:tc>
      </w:tr>
      <w:tr w:rsidR="003217B9" w:rsidRPr="0070588F" w:rsidTr="005B76B2">
        <w:trPr>
          <w:trHeight w:val="315"/>
        </w:trPr>
        <w:tc>
          <w:tcPr>
            <w:cnfStyle w:val="001000000000" w:firstRow="0" w:lastRow="0" w:firstColumn="1" w:lastColumn="0" w:oddVBand="0" w:evenVBand="0" w:oddHBand="0" w:evenHBand="0" w:firstRowFirstColumn="0" w:firstRowLastColumn="0" w:lastRowFirstColumn="0" w:lastRowLastColumn="0"/>
            <w:tcW w:w="5920" w:type="dxa"/>
            <w:tcBorders>
              <w:right w:val="none" w:sz="0" w:space="0" w:color="auto"/>
            </w:tcBorders>
            <w:hideMark/>
          </w:tcPr>
          <w:p w:rsidR="003217B9" w:rsidRPr="00334EE6" w:rsidRDefault="003217B9" w:rsidP="005B76B2">
            <w:pPr>
              <w:spacing w:before="60" w:after="60"/>
              <w:rPr>
                <w:rFonts w:ascii="Calibri" w:eastAsia="Times New Roman" w:hAnsi="Calibri" w:cs="Calibri"/>
                <w:b w:val="0"/>
                <w:color w:val="000000"/>
                <w:sz w:val="22"/>
                <w:lang w:val="en-US"/>
              </w:rPr>
            </w:pPr>
            <w:r w:rsidRPr="00334EE6">
              <w:rPr>
                <w:rFonts w:ascii="Calibri" w:eastAsia="Times New Roman" w:hAnsi="Calibri" w:cs="Calibri"/>
                <w:b w:val="0"/>
                <w:color w:val="000000"/>
                <w:sz w:val="22"/>
                <w:lang w:val="en-US"/>
              </w:rPr>
              <w:t>14. Palliative Care program (end of life)</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vAlign w:val="center"/>
            <w:hideMark/>
          </w:tcPr>
          <w:p w:rsidR="003217B9" w:rsidRPr="0070588F" w:rsidRDefault="003217B9" w:rsidP="005B76B2">
            <w:pPr>
              <w:spacing w:after="60"/>
              <w:jc w:val="center"/>
              <w:rPr>
                <w:rFonts w:ascii="Calibri" w:eastAsia="Times New Roman" w:hAnsi="Calibri" w:cs="Calibri"/>
                <w:color w:val="000000"/>
                <w:sz w:val="22"/>
                <w:lang w:val="en-US"/>
              </w:rPr>
            </w:pPr>
            <w:r>
              <w:rPr>
                <w:rFonts w:ascii="Calibri" w:eastAsia="Times New Roman" w:hAnsi="Calibri" w:cs="Calibri"/>
                <w:color w:val="000000"/>
                <w:sz w:val="22"/>
                <w:lang w:val="en-US"/>
              </w:rPr>
              <w:t>10</w:t>
            </w:r>
          </w:p>
        </w:tc>
      </w:tr>
      <w:tr w:rsidR="003217B9" w:rsidRPr="0070588F" w:rsidTr="005B76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bottom w:val="none" w:sz="0" w:space="0" w:color="auto"/>
              <w:right w:val="none" w:sz="0" w:space="0" w:color="auto"/>
            </w:tcBorders>
          </w:tcPr>
          <w:p w:rsidR="003217B9" w:rsidRPr="00D81E4E" w:rsidRDefault="003217B9" w:rsidP="005B76B2">
            <w:pPr>
              <w:spacing w:before="60" w:after="60"/>
              <w:rPr>
                <w:rFonts w:ascii="Calibri" w:eastAsia="Times New Roman" w:hAnsi="Calibri" w:cs="Calibri"/>
                <w:b w:val="0"/>
                <w:color w:val="000000"/>
                <w:sz w:val="22"/>
                <w:lang w:val="en-US"/>
              </w:rPr>
            </w:pPr>
            <w:r w:rsidRPr="00D81E4E">
              <w:rPr>
                <w:rFonts w:ascii="Calibri" w:eastAsia="Times New Roman" w:hAnsi="Calibri" w:cs="Calibri"/>
                <w:b w:val="0"/>
                <w:color w:val="000000"/>
                <w:sz w:val="22"/>
                <w:lang w:val="en-US"/>
              </w:rPr>
              <w:t>15. Stoma Care</w:t>
            </w:r>
          </w:p>
        </w:tc>
        <w:tc>
          <w:tcPr>
            <w:cnfStyle w:val="000010000000" w:firstRow="0" w:lastRow="0" w:firstColumn="0" w:lastColumn="0" w:oddVBand="1"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3217B9" w:rsidRPr="0070588F" w:rsidRDefault="003217B9" w:rsidP="005B76B2">
            <w:pPr>
              <w:spacing w:after="60"/>
              <w:jc w:val="center"/>
              <w:rPr>
                <w:rFonts w:ascii="Calibri" w:eastAsia="Times New Roman" w:hAnsi="Calibri" w:cs="Calibri"/>
                <w:color w:val="000000"/>
                <w:sz w:val="22"/>
                <w:lang w:val="en-US"/>
              </w:rPr>
            </w:pPr>
            <w:r>
              <w:rPr>
                <w:rFonts w:ascii="Calibri" w:eastAsia="Times New Roman" w:hAnsi="Calibri" w:cs="Calibri"/>
                <w:color w:val="000000"/>
                <w:sz w:val="22"/>
                <w:lang w:val="en-US"/>
              </w:rPr>
              <w:t>1</w:t>
            </w:r>
          </w:p>
        </w:tc>
      </w:tr>
      <w:tr w:rsidR="003217B9" w:rsidRPr="0070588F" w:rsidTr="005B76B2">
        <w:trPr>
          <w:trHeight w:val="315"/>
        </w:trPr>
        <w:tc>
          <w:tcPr>
            <w:cnfStyle w:val="001000000000" w:firstRow="0" w:lastRow="0" w:firstColumn="1" w:lastColumn="0" w:oddVBand="0" w:evenVBand="0" w:oddHBand="0" w:evenHBand="0" w:firstRowFirstColumn="0" w:firstRowLastColumn="0" w:lastRowFirstColumn="0" w:lastRowLastColumn="0"/>
            <w:tcW w:w="5920" w:type="dxa"/>
            <w:tcBorders>
              <w:right w:val="none" w:sz="0" w:space="0" w:color="auto"/>
            </w:tcBorders>
          </w:tcPr>
          <w:p w:rsidR="003217B9" w:rsidRPr="00D81E4E" w:rsidRDefault="003217B9" w:rsidP="005B76B2">
            <w:pPr>
              <w:spacing w:before="60" w:after="60"/>
              <w:rPr>
                <w:rFonts w:ascii="Calibri" w:eastAsia="Times New Roman" w:hAnsi="Calibri" w:cs="Calibri"/>
                <w:b w:val="0"/>
                <w:color w:val="000000"/>
                <w:sz w:val="22"/>
                <w:lang w:val="en-US"/>
              </w:rPr>
            </w:pPr>
            <w:r w:rsidRPr="00D81E4E">
              <w:rPr>
                <w:rFonts w:ascii="Calibri" w:eastAsia="Times New Roman" w:hAnsi="Calibri" w:cs="Calibri"/>
                <w:b w:val="0"/>
                <w:color w:val="000000"/>
                <w:sz w:val="22"/>
                <w:lang w:val="en-US"/>
              </w:rPr>
              <w:t>16. Tracheostomy care</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vAlign w:val="center"/>
          </w:tcPr>
          <w:p w:rsidR="003217B9" w:rsidRPr="0070588F" w:rsidRDefault="003217B9" w:rsidP="005B76B2">
            <w:pPr>
              <w:spacing w:after="60"/>
              <w:jc w:val="center"/>
              <w:rPr>
                <w:rFonts w:ascii="Calibri" w:eastAsia="Times New Roman" w:hAnsi="Calibri" w:cs="Calibri"/>
                <w:color w:val="000000"/>
                <w:sz w:val="22"/>
                <w:lang w:val="en-US"/>
              </w:rPr>
            </w:pPr>
            <w:r>
              <w:rPr>
                <w:rFonts w:ascii="Calibri" w:eastAsia="Times New Roman" w:hAnsi="Calibri" w:cs="Calibri"/>
                <w:color w:val="000000"/>
                <w:sz w:val="22"/>
                <w:lang w:val="en-US"/>
              </w:rPr>
              <w:t>6</w:t>
            </w:r>
          </w:p>
        </w:tc>
      </w:tr>
      <w:tr w:rsidR="003217B9" w:rsidRPr="0070588F" w:rsidTr="005B76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bottom w:val="none" w:sz="0" w:space="0" w:color="auto"/>
              <w:right w:val="none" w:sz="0" w:space="0" w:color="auto"/>
            </w:tcBorders>
          </w:tcPr>
          <w:p w:rsidR="003217B9" w:rsidRPr="00D81E4E" w:rsidRDefault="003217B9" w:rsidP="005B76B2">
            <w:pPr>
              <w:spacing w:before="60" w:after="60"/>
              <w:rPr>
                <w:rFonts w:ascii="Calibri" w:eastAsia="Times New Roman" w:hAnsi="Calibri" w:cs="Calibri"/>
                <w:b w:val="0"/>
                <w:color w:val="000000"/>
                <w:sz w:val="22"/>
                <w:lang w:val="en-US"/>
              </w:rPr>
            </w:pPr>
            <w:r w:rsidRPr="00D81E4E">
              <w:rPr>
                <w:rFonts w:ascii="Calibri" w:eastAsia="Times New Roman" w:hAnsi="Calibri" w:cs="Calibri"/>
                <w:b w:val="0"/>
                <w:color w:val="000000"/>
                <w:sz w:val="22"/>
                <w:lang w:val="en-US"/>
              </w:rPr>
              <w:t>17. Management of Tube Feeding</w:t>
            </w:r>
          </w:p>
        </w:tc>
        <w:tc>
          <w:tcPr>
            <w:cnfStyle w:val="000010000000" w:firstRow="0" w:lastRow="0" w:firstColumn="0" w:lastColumn="0" w:oddVBand="1"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3217B9" w:rsidRPr="0070588F" w:rsidRDefault="003217B9" w:rsidP="005B76B2">
            <w:pPr>
              <w:spacing w:after="60"/>
              <w:jc w:val="center"/>
              <w:rPr>
                <w:rFonts w:ascii="Calibri" w:eastAsia="Times New Roman" w:hAnsi="Calibri" w:cs="Calibri"/>
                <w:color w:val="000000"/>
                <w:sz w:val="22"/>
                <w:lang w:val="en-US"/>
              </w:rPr>
            </w:pPr>
            <w:r>
              <w:rPr>
                <w:rFonts w:ascii="Calibri" w:eastAsia="Times New Roman" w:hAnsi="Calibri" w:cs="Calibri"/>
                <w:color w:val="000000"/>
                <w:sz w:val="22"/>
                <w:lang w:val="en-US"/>
              </w:rPr>
              <w:t>6</w:t>
            </w:r>
          </w:p>
        </w:tc>
      </w:tr>
      <w:tr w:rsidR="003217B9" w:rsidRPr="0070588F" w:rsidTr="005B76B2">
        <w:trPr>
          <w:trHeight w:val="315"/>
        </w:trPr>
        <w:tc>
          <w:tcPr>
            <w:cnfStyle w:val="001000000000" w:firstRow="0" w:lastRow="0" w:firstColumn="1" w:lastColumn="0" w:oddVBand="0" w:evenVBand="0" w:oddHBand="0" w:evenHBand="0" w:firstRowFirstColumn="0" w:firstRowLastColumn="0" w:lastRowFirstColumn="0" w:lastRowLastColumn="0"/>
            <w:tcW w:w="5920" w:type="dxa"/>
            <w:tcBorders>
              <w:right w:val="none" w:sz="0" w:space="0" w:color="auto"/>
            </w:tcBorders>
          </w:tcPr>
          <w:p w:rsidR="003217B9" w:rsidRPr="00D81E4E" w:rsidRDefault="003217B9" w:rsidP="005B76B2">
            <w:pPr>
              <w:spacing w:before="60" w:after="60"/>
              <w:rPr>
                <w:rFonts w:ascii="Calibri" w:eastAsia="Times New Roman" w:hAnsi="Calibri" w:cs="Calibri"/>
                <w:b w:val="0"/>
                <w:color w:val="000000"/>
                <w:sz w:val="22"/>
                <w:lang w:val="en-US"/>
              </w:rPr>
            </w:pPr>
            <w:r w:rsidRPr="00D81E4E">
              <w:rPr>
                <w:rFonts w:ascii="Calibri" w:eastAsia="Times New Roman" w:hAnsi="Calibri" w:cs="Calibri"/>
                <w:b w:val="0"/>
                <w:color w:val="000000"/>
                <w:sz w:val="22"/>
                <w:lang w:val="en-US"/>
              </w:rPr>
              <w:t>18</w:t>
            </w:r>
            <w:r>
              <w:rPr>
                <w:rFonts w:ascii="Calibri" w:eastAsia="Times New Roman" w:hAnsi="Calibri" w:cs="Calibri"/>
                <w:b w:val="0"/>
                <w:color w:val="000000"/>
                <w:sz w:val="22"/>
                <w:lang w:val="en-US"/>
              </w:rPr>
              <w:t>.</w:t>
            </w:r>
            <w:r w:rsidRPr="00D81E4E">
              <w:rPr>
                <w:rFonts w:ascii="Calibri" w:eastAsia="Times New Roman" w:hAnsi="Calibri" w:cs="Calibri"/>
                <w:b w:val="0"/>
                <w:color w:val="000000"/>
                <w:sz w:val="22"/>
                <w:lang w:val="en-US"/>
              </w:rPr>
              <w:t xml:space="preserve"> </w:t>
            </w:r>
            <w:r w:rsidRPr="000155E6">
              <w:rPr>
                <w:rFonts w:ascii="Calibri" w:eastAsia="Times New Roman" w:hAnsi="Calibri" w:cs="Calibri"/>
                <w:b w:val="0"/>
                <w:color w:val="000000"/>
                <w:sz w:val="22"/>
                <w:lang w:val="en-US"/>
              </w:rPr>
              <w:t xml:space="preserve">Technical Equipment for </w:t>
            </w:r>
            <w:r w:rsidRPr="000155E6">
              <w:rPr>
                <w:b w:val="0"/>
                <w:sz w:val="22"/>
                <w:lang w:eastAsia="en-AU"/>
              </w:rPr>
              <w:t>monitoring of vital signs</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vAlign w:val="center"/>
          </w:tcPr>
          <w:p w:rsidR="003217B9" w:rsidRPr="0070588F" w:rsidRDefault="003217B9" w:rsidP="005B76B2">
            <w:pPr>
              <w:spacing w:after="60"/>
              <w:jc w:val="center"/>
              <w:rPr>
                <w:rFonts w:ascii="Calibri" w:eastAsia="Times New Roman" w:hAnsi="Calibri" w:cs="Calibri"/>
                <w:color w:val="000000"/>
                <w:sz w:val="22"/>
                <w:lang w:val="en-US"/>
              </w:rPr>
            </w:pPr>
            <w:r>
              <w:rPr>
                <w:rFonts w:ascii="Calibri" w:eastAsia="Times New Roman" w:hAnsi="Calibri" w:cs="Calibri"/>
                <w:color w:val="000000"/>
                <w:sz w:val="22"/>
                <w:lang w:val="en-US"/>
              </w:rPr>
              <w:t>3</w:t>
            </w:r>
          </w:p>
        </w:tc>
      </w:tr>
      <w:tr w:rsidR="0002463C" w:rsidRPr="00557DB1" w:rsidTr="0002463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38" w:type="dxa"/>
            <w:gridSpan w:val="2"/>
            <w:shd w:val="clear" w:color="auto" w:fill="5B9BD5" w:themeFill="accent5"/>
          </w:tcPr>
          <w:p w:rsidR="0002463C" w:rsidRPr="00557DB1" w:rsidRDefault="0002463C" w:rsidP="0002463C">
            <w:pPr>
              <w:spacing w:before="120"/>
              <w:jc w:val="left"/>
              <w:rPr>
                <w:rFonts w:ascii="Calibri" w:eastAsia="Times New Roman" w:hAnsi="Calibri" w:cs="Calibri"/>
                <w:color w:val="FFFFFF" w:themeColor="background1"/>
                <w:sz w:val="22"/>
                <w:lang w:val="en-US"/>
              </w:rPr>
            </w:pPr>
            <w:r w:rsidRPr="0002463C">
              <w:rPr>
                <w:rFonts w:ascii="Calibri" w:eastAsia="Times New Roman" w:hAnsi="Calibri" w:cs="Calibri"/>
                <w:color w:val="FFFFFF" w:themeColor="background1"/>
                <w:sz w:val="22"/>
                <w:lang w:val="en-US"/>
              </w:rPr>
              <w:t xml:space="preserve">ACFI Q12. </w:t>
            </w:r>
            <w:r w:rsidRPr="00557DB1">
              <w:rPr>
                <w:rFonts w:ascii="Calibri" w:eastAsia="Times New Roman" w:hAnsi="Calibri" w:cs="Calibri"/>
                <w:color w:val="FFFFFF" w:themeColor="background1"/>
                <w:sz w:val="22"/>
                <w:lang w:val="en-US"/>
              </w:rPr>
              <w:t>Categories</w:t>
            </w:r>
            <w:r>
              <w:rPr>
                <w:rFonts w:ascii="Calibri" w:eastAsia="Times New Roman" w:hAnsi="Calibri" w:cs="Calibri"/>
                <w:color w:val="FFFFFF" w:themeColor="background1"/>
                <w:sz w:val="22"/>
                <w:lang w:val="en-US"/>
              </w:rPr>
              <w:t xml:space="preserve"> (in accordance with weight)</w:t>
            </w:r>
          </w:p>
        </w:tc>
      </w:tr>
      <w:tr w:rsidR="003217B9" w:rsidRPr="0070588F" w:rsidTr="005B76B2">
        <w:trPr>
          <w:trHeight w:val="315"/>
        </w:trPr>
        <w:tc>
          <w:tcPr>
            <w:cnfStyle w:val="001000000000" w:firstRow="0" w:lastRow="0" w:firstColumn="1" w:lastColumn="0" w:oddVBand="0" w:evenVBand="0" w:oddHBand="0" w:evenHBand="0" w:firstRowFirstColumn="0" w:firstRowLastColumn="0" w:lastRowFirstColumn="0" w:lastRowLastColumn="0"/>
            <w:tcW w:w="5920" w:type="dxa"/>
            <w:tcBorders>
              <w:right w:val="none" w:sz="0" w:space="0" w:color="auto"/>
            </w:tcBorders>
          </w:tcPr>
          <w:p w:rsidR="003217B9" w:rsidRPr="00D81E4E" w:rsidRDefault="003217B9" w:rsidP="005B76B2">
            <w:pPr>
              <w:spacing w:before="60" w:after="60"/>
              <w:rPr>
                <w:rFonts w:ascii="Calibri" w:eastAsia="Times New Roman" w:hAnsi="Calibri" w:cs="Calibri"/>
                <w:b w:val="0"/>
                <w:color w:val="000000"/>
                <w:sz w:val="22"/>
                <w:lang w:val="en-US"/>
              </w:rPr>
            </w:pPr>
            <w:r>
              <w:rPr>
                <w:rFonts w:ascii="Calibri" w:eastAsia="Times New Roman" w:hAnsi="Calibri" w:cs="Calibri"/>
                <w:b w:val="0"/>
                <w:color w:val="000000"/>
                <w:sz w:val="22"/>
                <w:lang w:val="en-US"/>
              </w:rPr>
              <w:t>A</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vAlign w:val="center"/>
          </w:tcPr>
          <w:p w:rsidR="003217B9" w:rsidRDefault="003217B9" w:rsidP="005B76B2">
            <w:pPr>
              <w:spacing w:after="60"/>
              <w:jc w:val="center"/>
              <w:rPr>
                <w:rFonts w:ascii="Calibri" w:eastAsia="Times New Roman" w:hAnsi="Calibri" w:cs="Calibri"/>
                <w:color w:val="000000"/>
                <w:sz w:val="22"/>
                <w:lang w:val="en-US"/>
              </w:rPr>
            </w:pPr>
            <w:r>
              <w:rPr>
                <w:rFonts w:ascii="Calibri" w:eastAsia="Times New Roman" w:hAnsi="Calibri" w:cs="Calibri"/>
                <w:color w:val="000000"/>
                <w:sz w:val="22"/>
                <w:lang w:val="en-US"/>
              </w:rPr>
              <w:t>0</w:t>
            </w:r>
          </w:p>
        </w:tc>
      </w:tr>
      <w:tr w:rsidR="003217B9" w:rsidRPr="0070588F" w:rsidTr="005B76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bottom w:val="none" w:sz="0" w:space="0" w:color="auto"/>
              <w:right w:val="none" w:sz="0" w:space="0" w:color="auto"/>
            </w:tcBorders>
          </w:tcPr>
          <w:p w:rsidR="003217B9" w:rsidRPr="00D81E4E" w:rsidRDefault="003217B9" w:rsidP="005B76B2">
            <w:pPr>
              <w:spacing w:before="60" w:after="60"/>
              <w:rPr>
                <w:rFonts w:ascii="Calibri" w:eastAsia="Times New Roman" w:hAnsi="Calibri" w:cs="Calibri"/>
                <w:b w:val="0"/>
                <w:color w:val="000000"/>
                <w:sz w:val="22"/>
                <w:lang w:val="en-US"/>
              </w:rPr>
            </w:pPr>
            <w:r>
              <w:rPr>
                <w:rFonts w:ascii="Calibri" w:eastAsia="Times New Roman" w:hAnsi="Calibri" w:cs="Calibri"/>
                <w:b w:val="0"/>
                <w:color w:val="000000"/>
                <w:sz w:val="22"/>
                <w:lang w:val="en-US"/>
              </w:rPr>
              <w:t>B</w:t>
            </w:r>
          </w:p>
        </w:tc>
        <w:tc>
          <w:tcPr>
            <w:cnfStyle w:val="000010000000" w:firstRow="0" w:lastRow="0" w:firstColumn="0" w:lastColumn="0" w:oddVBand="1"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3217B9" w:rsidRDefault="003217B9" w:rsidP="005B76B2">
            <w:pPr>
              <w:spacing w:after="60"/>
              <w:jc w:val="center"/>
              <w:rPr>
                <w:rFonts w:ascii="Calibri" w:eastAsia="Times New Roman" w:hAnsi="Calibri" w:cs="Calibri"/>
                <w:color w:val="000000"/>
                <w:sz w:val="22"/>
                <w:lang w:val="en-US"/>
              </w:rPr>
            </w:pPr>
            <w:r>
              <w:rPr>
                <w:rFonts w:ascii="Calibri" w:eastAsia="Times New Roman" w:hAnsi="Calibri" w:cs="Calibri"/>
                <w:color w:val="000000"/>
                <w:sz w:val="22"/>
                <w:lang w:val="en-US"/>
              </w:rPr>
              <w:t>1 – 4</w:t>
            </w:r>
          </w:p>
        </w:tc>
      </w:tr>
      <w:tr w:rsidR="003217B9" w:rsidRPr="0070588F" w:rsidTr="005B76B2">
        <w:trPr>
          <w:trHeight w:val="315"/>
        </w:trPr>
        <w:tc>
          <w:tcPr>
            <w:cnfStyle w:val="001000000000" w:firstRow="0" w:lastRow="0" w:firstColumn="1" w:lastColumn="0" w:oddVBand="0" w:evenVBand="0" w:oddHBand="0" w:evenHBand="0" w:firstRowFirstColumn="0" w:firstRowLastColumn="0" w:lastRowFirstColumn="0" w:lastRowLastColumn="0"/>
            <w:tcW w:w="5920" w:type="dxa"/>
            <w:tcBorders>
              <w:right w:val="none" w:sz="0" w:space="0" w:color="auto"/>
            </w:tcBorders>
          </w:tcPr>
          <w:p w:rsidR="003217B9" w:rsidRPr="00D81E4E" w:rsidRDefault="003217B9" w:rsidP="005B76B2">
            <w:pPr>
              <w:spacing w:before="60" w:after="60"/>
              <w:rPr>
                <w:rFonts w:ascii="Calibri" w:eastAsia="Times New Roman" w:hAnsi="Calibri" w:cs="Calibri"/>
                <w:b w:val="0"/>
                <w:color w:val="000000"/>
                <w:sz w:val="22"/>
                <w:lang w:val="en-US"/>
              </w:rPr>
            </w:pPr>
            <w:r>
              <w:rPr>
                <w:rFonts w:ascii="Calibri" w:eastAsia="Times New Roman" w:hAnsi="Calibri" w:cs="Calibri"/>
                <w:b w:val="0"/>
                <w:color w:val="000000"/>
                <w:sz w:val="22"/>
                <w:lang w:val="en-US"/>
              </w:rPr>
              <w:t>C</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right w:val="none" w:sz="0" w:space="0" w:color="auto"/>
            </w:tcBorders>
            <w:vAlign w:val="center"/>
          </w:tcPr>
          <w:p w:rsidR="003217B9" w:rsidRDefault="003217B9" w:rsidP="005B76B2">
            <w:pPr>
              <w:spacing w:after="60"/>
              <w:jc w:val="center"/>
              <w:rPr>
                <w:rFonts w:ascii="Calibri" w:eastAsia="Times New Roman" w:hAnsi="Calibri" w:cs="Calibri"/>
                <w:color w:val="000000"/>
                <w:sz w:val="22"/>
                <w:lang w:val="en-US"/>
              </w:rPr>
            </w:pPr>
            <w:r>
              <w:rPr>
                <w:rFonts w:ascii="Calibri" w:eastAsia="Times New Roman" w:hAnsi="Calibri" w:cs="Calibri"/>
                <w:color w:val="000000"/>
                <w:sz w:val="22"/>
                <w:lang w:val="en-US"/>
              </w:rPr>
              <w:t>5 – 9</w:t>
            </w:r>
          </w:p>
        </w:tc>
      </w:tr>
      <w:tr w:rsidR="003217B9" w:rsidRPr="0070588F" w:rsidTr="005B76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bottom w:val="none" w:sz="0" w:space="0" w:color="auto"/>
              <w:right w:val="none" w:sz="0" w:space="0" w:color="auto"/>
            </w:tcBorders>
          </w:tcPr>
          <w:p w:rsidR="003217B9" w:rsidRDefault="003217B9" w:rsidP="005B76B2">
            <w:pPr>
              <w:spacing w:before="60" w:after="60"/>
              <w:rPr>
                <w:rFonts w:ascii="Calibri" w:eastAsia="Times New Roman" w:hAnsi="Calibri" w:cs="Calibri"/>
                <w:b w:val="0"/>
                <w:color w:val="000000"/>
                <w:sz w:val="22"/>
                <w:lang w:val="en-US"/>
              </w:rPr>
            </w:pPr>
            <w:r>
              <w:rPr>
                <w:rFonts w:ascii="Calibri" w:eastAsia="Times New Roman" w:hAnsi="Calibri" w:cs="Calibri"/>
                <w:b w:val="0"/>
                <w:color w:val="000000"/>
                <w:sz w:val="22"/>
                <w:lang w:val="en-US"/>
              </w:rPr>
              <w:t>D</w:t>
            </w:r>
          </w:p>
        </w:tc>
        <w:tc>
          <w:tcPr>
            <w:cnfStyle w:val="000010000000" w:firstRow="0" w:lastRow="0" w:firstColumn="0" w:lastColumn="0" w:oddVBand="1"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3217B9" w:rsidRDefault="003217B9" w:rsidP="005B76B2">
            <w:pPr>
              <w:spacing w:after="60"/>
              <w:jc w:val="center"/>
              <w:rPr>
                <w:rFonts w:ascii="Calibri" w:eastAsia="Times New Roman" w:hAnsi="Calibri" w:cs="Calibri"/>
                <w:color w:val="000000"/>
                <w:sz w:val="22"/>
                <w:lang w:val="en-US"/>
              </w:rPr>
            </w:pPr>
            <w:r>
              <w:rPr>
                <w:rFonts w:ascii="Calibri" w:eastAsia="Times New Roman" w:hAnsi="Calibri" w:cs="Calibri"/>
                <w:color w:val="000000"/>
                <w:sz w:val="22"/>
                <w:lang w:val="en-US"/>
              </w:rPr>
              <w:t>10 or more</w:t>
            </w:r>
          </w:p>
        </w:tc>
      </w:tr>
    </w:tbl>
    <w:p w:rsidR="00E77C0F" w:rsidRDefault="0046234D" w:rsidP="00E77C0F">
      <w:pPr>
        <w:pStyle w:val="Caption"/>
        <w:keepNext/>
      </w:pPr>
      <w:bookmarkStart w:id="403" w:name="_Toc495416344"/>
      <w:bookmarkStart w:id="404" w:name="Tab0603"/>
      <w:r>
        <w:t>Table 6.</w:t>
      </w:r>
      <w:r w:rsidR="009A3F5A">
        <w:fldChar w:fldCharType="begin"/>
      </w:r>
      <w:r w:rsidR="009A3F5A">
        <w:instrText xml:space="preserve"> SEQ Table_6. \* ARABIC </w:instrText>
      </w:r>
      <w:r w:rsidR="009A3F5A">
        <w:fldChar w:fldCharType="separate"/>
      </w:r>
      <w:r w:rsidR="00856E49">
        <w:rPr>
          <w:noProof/>
        </w:rPr>
        <w:t>3</w:t>
      </w:r>
      <w:r w:rsidR="009A3F5A">
        <w:rPr>
          <w:noProof/>
        </w:rPr>
        <w:fldChar w:fldCharType="end"/>
      </w:r>
      <w:r>
        <w:rPr>
          <w:noProof/>
        </w:rPr>
        <w:t xml:space="preserve">: </w:t>
      </w:r>
      <w:r w:rsidRPr="0046234D">
        <w:rPr>
          <w:noProof/>
        </w:rPr>
        <w:t>Matrix to determine the CHC Domain Category and Funding</w:t>
      </w:r>
      <w:bookmarkEnd w:id="403"/>
    </w:p>
    <w:tbl>
      <w:tblPr>
        <w:tblStyle w:val="GridTable1Light-Accent11"/>
        <w:tblW w:w="8789" w:type="dxa"/>
        <w:tblInd w:w="108" w:type="dxa"/>
        <w:tblLook w:val="04A0" w:firstRow="1" w:lastRow="0" w:firstColumn="1" w:lastColumn="0" w:noHBand="0" w:noVBand="1"/>
        <w:tblDescription w:val="Table 6.3 is a list of details of the category and funding for the Complex Health Care (CHC) domain under the revised aged care funding instrument (R-ACFI). This table is to be read left to right, top to bottom."/>
      </w:tblPr>
      <w:tblGrid>
        <w:gridCol w:w="3119"/>
        <w:gridCol w:w="1418"/>
        <w:gridCol w:w="1417"/>
        <w:gridCol w:w="1418"/>
        <w:gridCol w:w="1417"/>
      </w:tblGrid>
      <w:tr w:rsidR="0002463C" w:rsidRPr="0002463C" w:rsidTr="00C951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9" w:type="dxa"/>
            <w:shd w:val="clear" w:color="auto" w:fill="5B9BD5" w:themeFill="accent5"/>
          </w:tcPr>
          <w:bookmarkEnd w:id="404"/>
          <w:p w:rsidR="003217B9" w:rsidRPr="0002463C" w:rsidRDefault="00C95131" w:rsidP="0002463C">
            <w:pPr>
              <w:spacing w:before="60" w:after="60"/>
              <w:jc w:val="left"/>
              <w:rPr>
                <w:color w:val="FFFFFF" w:themeColor="background1"/>
                <w:lang w:eastAsia="en-AU"/>
              </w:rPr>
            </w:pPr>
            <w:r w:rsidRPr="00C95131">
              <w:rPr>
                <w:color w:val="FFFFFF" w:themeColor="background1"/>
                <w:lang w:eastAsia="en-AU"/>
              </w:rPr>
              <w:t>Assessment Summary</w:t>
            </w:r>
          </w:p>
        </w:tc>
        <w:tc>
          <w:tcPr>
            <w:tcW w:w="5670" w:type="dxa"/>
            <w:gridSpan w:val="4"/>
            <w:shd w:val="clear" w:color="auto" w:fill="5B9BD5" w:themeFill="accent5"/>
          </w:tcPr>
          <w:p w:rsidR="003217B9" w:rsidRPr="0002463C" w:rsidRDefault="003217B9" w:rsidP="0002463C">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02463C">
              <w:rPr>
                <w:color w:val="FFFFFF" w:themeColor="background1"/>
                <w:lang w:eastAsia="en-AU"/>
              </w:rPr>
              <w:t>ACFI 12 Rating</w:t>
            </w:r>
          </w:p>
        </w:tc>
      </w:tr>
      <w:tr w:rsidR="0002463C" w:rsidRPr="00C95131" w:rsidTr="00C95131">
        <w:tc>
          <w:tcPr>
            <w:cnfStyle w:val="001000000000" w:firstRow="0" w:lastRow="0" w:firstColumn="1" w:lastColumn="0" w:oddVBand="0" w:evenVBand="0" w:oddHBand="0" w:evenHBand="0" w:firstRowFirstColumn="0" w:firstRowLastColumn="0" w:lastRowFirstColumn="0" w:lastRowLastColumn="0"/>
            <w:tcW w:w="3119" w:type="dxa"/>
            <w:shd w:val="clear" w:color="auto" w:fill="D9E2F3" w:themeFill="accent1" w:themeFillTint="33"/>
          </w:tcPr>
          <w:p w:rsidR="003217B9" w:rsidRPr="00C95131" w:rsidRDefault="00C95131" w:rsidP="0002463C">
            <w:pPr>
              <w:spacing w:before="60" w:after="60"/>
              <w:jc w:val="left"/>
              <w:rPr>
                <w:sz w:val="22"/>
                <w:lang w:eastAsia="en-AU"/>
              </w:rPr>
            </w:pPr>
            <w:r>
              <w:rPr>
                <w:sz w:val="22"/>
                <w:lang w:eastAsia="en-AU"/>
              </w:rPr>
              <w:t>L</w:t>
            </w:r>
            <w:r w:rsidRPr="00C95131">
              <w:rPr>
                <w:sz w:val="22"/>
                <w:lang w:eastAsia="en-AU"/>
              </w:rPr>
              <w:t xml:space="preserve">ist of items </w:t>
            </w:r>
            <w:r>
              <w:rPr>
                <w:sz w:val="22"/>
                <w:lang w:eastAsia="en-AU"/>
              </w:rPr>
              <w:t xml:space="preserve">as per </w:t>
            </w:r>
            <w:hyperlink w:anchor="Tab0601" w:history="1">
              <w:r w:rsidRPr="00126DC4">
                <w:rPr>
                  <w:rStyle w:val="Hyperlink"/>
                  <w:b w:val="0"/>
                  <w:bCs w:val="0"/>
                  <w:sz w:val="22"/>
                  <w:lang w:eastAsia="en-AU"/>
                </w:rPr>
                <w:t>Table 6.1</w:t>
              </w:r>
            </w:hyperlink>
          </w:p>
        </w:tc>
        <w:tc>
          <w:tcPr>
            <w:tcW w:w="1418" w:type="dxa"/>
            <w:shd w:val="clear" w:color="auto" w:fill="D9E2F3" w:themeFill="accent1" w:themeFillTint="33"/>
            <w:vAlign w:val="center"/>
          </w:tcPr>
          <w:p w:rsidR="003217B9" w:rsidRPr="00C95131" w:rsidRDefault="003217B9" w:rsidP="0002463C">
            <w:pPr>
              <w:spacing w:before="60" w:after="60"/>
              <w:jc w:val="center"/>
              <w:cnfStyle w:val="000000000000" w:firstRow="0" w:lastRow="0" w:firstColumn="0" w:lastColumn="0" w:oddVBand="0" w:evenVBand="0" w:oddHBand="0" w:evenHBand="0" w:firstRowFirstColumn="0" w:firstRowLastColumn="0" w:lastRowFirstColumn="0" w:lastRowLastColumn="0"/>
              <w:rPr>
                <w:b/>
                <w:sz w:val="22"/>
                <w:lang w:eastAsia="en-AU"/>
              </w:rPr>
            </w:pPr>
            <w:r w:rsidRPr="00C95131">
              <w:rPr>
                <w:b/>
                <w:sz w:val="22"/>
                <w:lang w:eastAsia="en-AU"/>
              </w:rPr>
              <w:t>A</w:t>
            </w:r>
          </w:p>
        </w:tc>
        <w:tc>
          <w:tcPr>
            <w:tcW w:w="1417" w:type="dxa"/>
            <w:shd w:val="clear" w:color="auto" w:fill="D9E2F3" w:themeFill="accent1" w:themeFillTint="33"/>
            <w:vAlign w:val="center"/>
          </w:tcPr>
          <w:p w:rsidR="003217B9" w:rsidRPr="00C95131" w:rsidRDefault="003217B9" w:rsidP="0002463C">
            <w:pPr>
              <w:spacing w:before="60" w:after="60"/>
              <w:jc w:val="center"/>
              <w:cnfStyle w:val="000000000000" w:firstRow="0" w:lastRow="0" w:firstColumn="0" w:lastColumn="0" w:oddVBand="0" w:evenVBand="0" w:oddHBand="0" w:evenHBand="0" w:firstRowFirstColumn="0" w:firstRowLastColumn="0" w:lastRowFirstColumn="0" w:lastRowLastColumn="0"/>
              <w:rPr>
                <w:b/>
                <w:sz w:val="22"/>
                <w:lang w:eastAsia="en-AU"/>
              </w:rPr>
            </w:pPr>
            <w:r w:rsidRPr="00C95131">
              <w:rPr>
                <w:b/>
                <w:sz w:val="22"/>
                <w:lang w:eastAsia="en-AU"/>
              </w:rPr>
              <w:t>B</w:t>
            </w:r>
          </w:p>
        </w:tc>
        <w:tc>
          <w:tcPr>
            <w:tcW w:w="1418" w:type="dxa"/>
            <w:shd w:val="clear" w:color="auto" w:fill="D9E2F3" w:themeFill="accent1" w:themeFillTint="33"/>
            <w:vAlign w:val="center"/>
          </w:tcPr>
          <w:p w:rsidR="003217B9" w:rsidRPr="00C95131" w:rsidRDefault="003217B9" w:rsidP="0002463C">
            <w:pPr>
              <w:spacing w:before="60" w:after="60"/>
              <w:jc w:val="center"/>
              <w:cnfStyle w:val="000000000000" w:firstRow="0" w:lastRow="0" w:firstColumn="0" w:lastColumn="0" w:oddVBand="0" w:evenVBand="0" w:oddHBand="0" w:evenHBand="0" w:firstRowFirstColumn="0" w:firstRowLastColumn="0" w:lastRowFirstColumn="0" w:lastRowLastColumn="0"/>
              <w:rPr>
                <w:b/>
                <w:sz w:val="22"/>
                <w:lang w:eastAsia="en-AU"/>
              </w:rPr>
            </w:pPr>
            <w:r w:rsidRPr="00C95131">
              <w:rPr>
                <w:b/>
                <w:sz w:val="22"/>
                <w:lang w:eastAsia="en-AU"/>
              </w:rPr>
              <w:t>C</w:t>
            </w:r>
          </w:p>
        </w:tc>
        <w:tc>
          <w:tcPr>
            <w:tcW w:w="1417" w:type="dxa"/>
            <w:shd w:val="clear" w:color="auto" w:fill="D9E2F3" w:themeFill="accent1" w:themeFillTint="33"/>
            <w:vAlign w:val="center"/>
          </w:tcPr>
          <w:p w:rsidR="003217B9" w:rsidRPr="00C95131" w:rsidRDefault="003217B9" w:rsidP="0002463C">
            <w:pPr>
              <w:spacing w:before="60" w:after="60"/>
              <w:jc w:val="center"/>
              <w:cnfStyle w:val="000000000000" w:firstRow="0" w:lastRow="0" w:firstColumn="0" w:lastColumn="0" w:oddVBand="0" w:evenVBand="0" w:oddHBand="0" w:evenHBand="0" w:firstRowFirstColumn="0" w:firstRowLastColumn="0" w:lastRowFirstColumn="0" w:lastRowLastColumn="0"/>
              <w:rPr>
                <w:b/>
                <w:sz w:val="22"/>
                <w:lang w:eastAsia="en-AU"/>
              </w:rPr>
            </w:pPr>
            <w:r w:rsidRPr="00C95131">
              <w:rPr>
                <w:b/>
                <w:sz w:val="22"/>
                <w:lang w:eastAsia="en-AU"/>
              </w:rPr>
              <w:t>D</w:t>
            </w:r>
          </w:p>
        </w:tc>
      </w:tr>
      <w:tr w:rsidR="003217B9" w:rsidTr="00C95131">
        <w:tc>
          <w:tcPr>
            <w:cnfStyle w:val="001000000000" w:firstRow="0" w:lastRow="0" w:firstColumn="1" w:lastColumn="0" w:oddVBand="0" w:evenVBand="0" w:oddHBand="0" w:evenHBand="0" w:firstRowFirstColumn="0" w:firstRowLastColumn="0" w:lastRowFirstColumn="0" w:lastRowLastColumn="0"/>
            <w:tcW w:w="3119" w:type="dxa"/>
            <w:shd w:val="clear" w:color="auto" w:fill="D9E2F3" w:themeFill="accent1" w:themeFillTint="33"/>
            <w:vAlign w:val="center"/>
          </w:tcPr>
          <w:p w:rsidR="003217B9" w:rsidRPr="00E32639" w:rsidRDefault="003217B9" w:rsidP="00557DB1">
            <w:pPr>
              <w:jc w:val="left"/>
              <w:rPr>
                <w:b w:val="0"/>
                <w:sz w:val="22"/>
                <w:lang w:eastAsia="en-AU"/>
              </w:rPr>
            </w:pPr>
            <w:r w:rsidRPr="00E32639">
              <w:rPr>
                <w:b w:val="0"/>
                <w:sz w:val="22"/>
                <w:lang w:eastAsia="en-AU"/>
              </w:rPr>
              <w:t>No assistance needed</w:t>
            </w:r>
          </w:p>
        </w:tc>
        <w:tc>
          <w:tcPr>
            <w:tcW w:w="1418" w:type="dxa"/>
            <w:vAlign w:val="center"/>
          </w:tcPr>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Nil</w:t>
            </w:r>
          </w:p>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$0</w:t>
            </w:r>
          </w:p>
        </w:tc>
        <w:tc>
          <w:tcPr>
            <w:tcW w:w="1417" w:type="dxa"/>
            <w:vAlign w:val="center"/>
          </w:tcPr>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Nil</w:t>
            </w:r>
          </w:p>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$0</w:t>
            </w:r>
          </w:p>
        </w:tc>
        <w:tc>
          <w:tcPr>
            <w:tcW w:w="1418" w:type="dxa"/>
            <w:vAlign w:val="center"/>
          </w:tcPr>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Low</w:t>
            </w:r>
          </w:p>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$16.37</w:t>
            </w:r>
          </w:p>
        </w:tc>
        <w:tc>
          <w:tcPr>
            <w:tcW w:w="1417" w:type="dxa"/>
            <w:vAlign w:val="center"/>
          </w:tcPr>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Medium</w:t>
            </w:r>
          </w:p>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$46.62</w:t>
            </w:r>
          </w:p>
        </w:tc>
      </w:tr>
      <w:tr w:rsidR="003217B9" w:rsidTr="00C95131">
        <w:tc>
          <w:tcPr>
            <w:cnfStyle w:val="001000000000" w:firstRow="0" w:lastRow="0" w:firstColumn="1" w:lastColumn="0" w:oddVBand="0" w:evenVBand="0" w:oddHBand="0" w:evenHBand="0" w:firstRowFirstColumn="0" w:firstRowLastColumn="0" w:lastRowFirstColumn="0" w:lastRowLastColumn="0"/>
            <w:tcW w:w="3119" w:type="dxa"/>
            <w:shd w:val="clear" w:color="auto" w:fill="D9E2F3" w:themeFill="accent1" w:themeFillTint="33"/>
            <w:vAlign w:val="center"/>
          </w:tcPr>
          <w:p w:rsidR="003217B9" w:rsidRPr="00E32639" w:rsidRDefault="003217B9" w:rsidP="00557DB1">
            <w:pPr>
              <w:jc w:val="left"/>
              <w:rPr>
                <w:b w:val="0"/>
                <w:sz w:val="22"/>
                <w:lang w:eastAsia="en-AU"/>
              </w:rPr>
            </w:pPr>
            <w:r w:rsidRPr="00E32639">
              <w:rPr>
                <w:b w:val="0"/>
                <w:sz w:val="22"/>
                <w:lang w:eastAsia="en-AU"/>
              </w:rPr>
              <w:t>Assistance Needed</w:t>
            </w:r>
          </w:p>
        </w:tc>
        <w:tc>
          <w:tcPr>
            <w:tcW w:w="1418" w:type="dxa"/>
            <w:vAlign w:val="center"/>
          </w:tcPr>
          <w:p w:rsidR="00980F62"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Low</w:t>
            </w:r>
          </w:p>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$16.37</w:t>
            </w:r>
          </w:p>
        </w:tc>
        <w:tc>
          <w:tcPr>
            <w:tcW w:w="1417" w:type="dxa"/>
            <w:vAlign w:val="center"/>
          </w:tcPr>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Low</w:t>
            </w:r>
          </w:p>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$16.37</w:t>
            </w:r>
          </w:p>
        </w:tc>
        <w:tc>
          <w:tcPr>
            <w:tcW w:w="1418" w:type="dxa"/>
            <w:vAlign w:val="center"/>
          </w:tcPr>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Medium</w:t>
            </w:r>
          </w:p>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$46.62</w:t>
            </w:r>
          </w:p>
        </w:tc>
        <w:tc>
          <w:tcPr>
            <w:tcW w:w="1417" w:type="dxa"/>
            <w:vAlign w:val="center"/>
          </w:tcPr>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High</w:t>
            </w:r>
          </w:p>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$67.32</w:t>
            </w:r>
          </w:p>
        </w:tc>
      </w:tr>
      <w:tr w:rsidR="003217B9" w:rsidTr="00C95131">
        <w:tc>
          <w:tcPr>
            <w:cnfStyle w:val="001000000000" w:firstRow="0" w:lastRow="0" w:firstColumn="1" w:lastColumn="0" w:oddVBand="0" w:evenVBand="0" w:oddHBand="0" w:evenHBand="0" w:firstRowFirstColumn="0" w:firstRowLastColumn="0" w:lastRowFirstColumn="0" w:lastRowLastColumn="0"/>
            <w:tcW w:w="3119" w:type="dxa"/>
            <w:shd w:val="clear" w:color="auto" w:fill="D9E2F3" w:themeFill="accent1" w:themeFillTint="33"/>
            <w:vAlign w:val="center"/>
          </w:tcPr>
          <w:p w:rsidR="003217B9" w:rsidRPr="00E32639" w:rsidRDefault="003217B9" w:rsidP="00557DB1">
            <w:pPr>
              <w:jc w:val="left"/>
              <w:rPr>
                <w:b w:val="0"/>
                <w:sz w:val="22"/>
                <w:lang w:eastAsia="en-AU"/>
              </w:rPr>
            </w:pPr>
            <w:r w:rsidRPr="00E32639">
              <w:rPr>
                <w:b w:val="0"/>
                <w:sz w:val="22"/>
                <w:lang w:eastAsia="en-AU"/>
              </w:rPr>
              <w:t xml:space="preserve">Injections </w:t>
            </w:r>
          </w:p>
        </w:tc>
        <w:tc>
          <w:tcPr>
            <w:tcW w:w="1418" w:type="dxa"/>
            <w:vAlign w:val="center"/>
          </w:tcPr>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Low</w:t>
            </w:r>
          </w:p>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$16.37</w:t>
            </w:r>
          </w:p>
        </w:tc>
        <w:tc>
          <w:tcPr>
            <w:tcW w:w="1417" w:type="dxa"/>
            <w:vAlign w:val="center"/>
          </w:tcPr>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Medium</w:t>
            </w:r>
          </w:p>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$46.62</w:t>
            </w:r>
          </w:p>
        </w:tc>
        <w:tc>
          <w:tcPr>
            <w:tcW w:w="1418" w:type="dxa"/>
            <w:vAlign w:val="center"/>
          </w:tcPr>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Medium</w:t>
            </w:r>
          </w:p>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$46.62</w:t>
            </w:r>
          </w:p>
        </w:tc>
        <w:tc>
          <w:tcPr>
            <w:tcW w:w="1417" w:type="dxa"/>
            <w:vAlign w:val="center"/>
          </w:tcPr>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High</w:t>
            </w:r>
          </w:p>
          <w:p w:rsidR="003217B9" w:rsidRPr="00E32639" w:rsidRDefault="003217B9" w:rsidP="00484EE0">
            <w:pPr>
              <w:spacing w:after="0"/>
              <w:jc w:val="center"/>
              <w:cnfStyle w:val="000000000000" w:firstRow="0" w:lastRow="0" w:firstColumn="0" w:lastColumn="0" w:oddVBand="0" w:evenVBand="0" w:oddHBand="0" w:evenHBand="0" w:firstRowFirstColumn="0" w:firstRowLastColumn="0" w:lastRowFirstColumn="0" w:lastRowLastColumn="0"/>
              <w:rPr>
                <w:sz w:val="22"/>
                <w:lang w:eastAsia="en-AU"/>
              </w:rPr>
            </w:pPr>
            <w:r w:rsidRPr="00E32639">
              <w:rPr>
                <w:sz w:val="22"/>
                <w:lang w:eastAsia="en-AU"/>
              </w:rPr>
              <w:t>$67.32</w:t>
            </w:r>
          </w:p>
        </w:tc>
      </w:tr>
    </w:tbl>
    <w:p w:rsidR="003217B9" w:rsidRDefault="003217B9" w:rsidP="00117602">
      <w:pPr>
        <w:pStyle w:val="Heading3-Chapter61"/>
      </w:pPr>
      <w:bookmarkStart w:id="405" w:name="_Toc486350712"/>
      <w:bookmarkStart w:id="406" w:name="_Toc486600038"/>
      <w:bookmarkStart w:id="407" w:name="_Hlk484696768"/>
      <w:r w:rsidRPr="00D55FBE">
        <w:lastRenderedPageBreak/>
        <w:t>Changes to the C</w:t>
      </w:r>
      <w:r w:rsidR="00CE672B">
        <w:t>HC</w:t>
      </w:r>
      <w:r w:rsidRPr="00D55FBE">
        <w:t xml:space="preserve"> Domain since ACFI Introduction</w:t>
      </w:r>
      <w:bookmarkEnd w:id="405"/>
      <w:bookmarkEnd w:id="406"/>
    </w:p>
    <w:p w:rsidR="003217B9" w:rsidRDefault="003217B9" w:rsidP="003217B9">
      <w:r w:rsidRPr="00946F72">
        <w:t xml:space="preserve">The </w:t>
      </w:r>
      <w:r>
        <w:t>CHC</w:t>
      </w:r>
      <w:r w:rsidRPr="00946F72">
        <w:t xml:space="preserve"> domain has had a number of changes since the ACFI was introduced in an attempt to </w:t>
      </w:r>
      <w:r w:rsidRPr="00946F72">
        <w:rPr>
          <w:iCs/>
          <w:lang w:eastAsia="en-AU"/>
        </w:rPr>
        <w:t>control the growth in funding outlays in this domain</w:t>
      </w:r>
      <w:r w:rsidRPr="00946F72">
        <w:t xml:space="preserve">. </w:t>
      </w:r>
      <w:r>
        <w:t>Funding has increased significantly, with the High category growing from 12.7</w:t>
      </w:r>
      <w:r w:rsidR="002965F2">
        <w:t xml:space="preserve"> per cent</w:t>
      </w:r>
      <w:r>
        <w:t xml:space="preserve"> of residents in 2009 to 61.4</w:t>
      </w:r>
      <w:r w:rsidR="002965F2">
        <w:t xml:space="preserve"> per cent</w:t>
      </w:r>
      <w:r>
        <w:t xml:space="preserve"> of residents by June 30, 2016 (</w:t>
      </w:r>
      <w:hyperlink w:anchor="Fig0601" w:history="1">
        <w:r w:rsidRPr="00072F09">
          <w:rPr>
            <w:rStyle w:val="Hyperlink"/>
          </w:rPr>
          <w:t>Figure 6.1</w:t>
        </w:r>
      </w:hyperlink>
      <w:r>
        <w:t>).</w:t>
      </w:r>
    </w:p>
    <w:p w:rsidR="003217B9" w:rsidRPr="00946F72" w:rsidRDefault="003217B9" w:rsidP="003217B9">
      <w:r>
        <w:t>In summary, t</w:t>
      </w:r>
      <w:r w:rsidRPr="00946F72">
        <w:t>he</w:t>
      </w:r>
      <w:r>
        <w:t xml:space="preserve"> Departmental</w:t>
      </w:r>
      <w:r w:rsidRPr="00946F72">
        <w:t xml:space="preserve"> changes have involved:</w:t>
      </w:r>
    </w:p>
    <w:p w:rsidR="00980F62" w:rsidRDefault="003217B9" w:rsidP="00164606">
      <w:pPr>
        <w:numPr>
          <w:ilvl w:val="0"/>
          <w:numId w:val="33"/>
        </w:numPr>
        <w:spacing w:after="0"/>
        <w:ind w:left="357" w:hanging="357"/>
        <w:rPr>
          <w:lang w:eastAsia="en-AU"/>
        </w:rPr>
      </w:pPr>
      <w:r>
        <w:rPr>
          <w:lang w:eastAsia="en-AU"/>
        </w:rPr>
        <w:t xml:space="preserve">CHC </w:t>
      </w:r>
      <w:r w:rsidRPr="00A13F0B">
        <w:rPr>
          <w:lang w:eastAsia="en-AU"/>
        </w:rPr>
        <w:t xml:space="preserve">Matrix </w:t>
      </w:r>
      <w:r>
        <w:rPr>
          <w:lang w:eastAsia="en-AU"/>
        </w:rPr>
        <w:t xml:space="preserve">changed reducing the funding for some combinations by reducing the importance of the </w:t>
      </w:r>
      <w:r w:rsidRPr="00A13F0B">
        <w:rPr>
          <w:lang w:eastAsia="en-AU"/>
        </w:rPr>
        <w:t>medication</w:t>
      </w:r>
      <w:r>
        <w:rPr>
          <w:lang w:eastAsia="en-AU"/>
        </w:rPr>
        <w:t xml:space="preserve"> question (ACFI 11) (2012)</w:t>
      </w:r>
      <w:r w:rsidR="00125201">
        <w:rPr>
          <w:lang w:eastAsia="en-AU"/>
        </w:rPr>
        <w:t>.</w:t>
      </w:r>
    </w:p>
    <w:p w:rsidR="003217B9" w:rsidRPr="00A13F0B" w:rsidRDefault="003217B9" w:rsidP="00164606">
      <w:pPr>
        <w:numPr>
          <w:ilvl w:val="0"/>
          <w:numId w:val="33"/>
        </w:numPr>
        <w:spacing w:after="0"/>
        <w:ind w:left="357" w:hanging="357"/>
        <w:rPr>
          <w:lang w:val="en-US" w:eastAsia="en-AU"/>
        </w:rPr>
      </w:pPr>
      <w:r>
        <w:rPr>
          <w:lang w:eastAsia="en-AU"/>
        </w:rPr>
        <w:t xml:space="preserve">Pain management by an Allied Health Professional (12.4b) was </w:t>
      </w:r>
      <w:r w:rsidRPr="00A13F0B">
        <w:rPr>
          <w:lang w:eastAsia="en-AU"/>
        </w:rPr>
        <w:t xml:space="preserve">changed to four </w:t>
      </w:r>
      <w:r w:rsidR="00AF3A57">
        <w:rPr>
          <w:lang w:eastAsia="en-AU"/>
        </w:rPr>
        <w:t xml:space="preserve">separate </w:t>
      </w:r>
      <w:r w:rsidRPr="00A13F0B">
        <w:rPr>
          <w:lang w:eastAsia="en-AU"/>
        </w:rPr>
        <w:t>day</w:t>
      </w:r>
      <w:r>
        <w:rPr>
          <w:lang w:eastAsia="en-AU"/>
        </w:rPr>
        <w:t>s a week from 4 times in a week and, in addition, a</w:t>
      </w:r>
      <w:r w:rsidRPr="00A13F0B">
        <w:rPr>
          <w:lang w:eastAsia="en-AU"/>
        </w:rPr>
        <w:t xml:space="preserve"> pain assessment</w:t>
      </w:r>
      <w:r>
        <w:rPr>
          <w:lang w:eastAsia="en-AU"/>
        </w:rPr>
        <w:t xml:space="preserve"> was mandated (2013)</w:t>
      </w:r>
      <w:r w:rsidR="00125201">
        <w:rPr>
          <w:lang w:eastAsia="en-AU"/>
        </w:rPr>
        <w:t>.</w:t>
      </w:r>
    </w:p>
    <w:p w:rsidR="003217B9" w:rsidRPr="00DD3AB7" w:rsidRDefault="003217B9" w:rsidP="00164606">
      <w:pPr>
        <w:numPr>
          <w:ilvl w:val="0"/>
          <w:numId w:val="33"/>
        </w:numPr>
        <w:spacing w:after="0" w:line="259" w:lineRule="auto"/>
        <w:ind w:left="357" w:hanging="357"/>
        <w:rPr>
          <w:rFonts w:cstheme="minorHAnsi"/>
          <w:lang w:val="en-US"/>
        </w:rPr>
      </w:pPr>
      <w:r>
        <w:rPr>
          <w:rFonts w:cstheme="minorHAnsi"/>
        </w:rPr>
        <w:t xml:space="preserve">Further changes </w:t>
      </w:r>
      <w:r>
        <w:rPr>
          <w:lang w:eastAsia="en-AU"/>
        </w:rPr>
        <w:t xml:space="preserve">reducing the importance of the </w:t>
      </w:r>
      <w:r w:rsidRPr="00A13F0B">
        <w:rPr>
          <w:lang w:eastAsia="en-AU"/>
        </w:rPr>
        <w:t>medication</w:t>
      </w:r>
      <w:r>
        <w:rPr>
          <w:lang w:eastAsia="en-AU"/>
        </w:rPr>
        <w:t xml:space="preserve"> question by altering the </w:t>
      </w:r>
      <w:r w:rsidRPr="00DD3AB7">
        <w:rPr>
          <w:rFonts w:cstheme="minorHAnsi"/>
        </w:rPr>
        <w:t>CHC scoring matrix</w:t>
      </w:r>
      <w:r w:rsidRPr="00C02DDC">
        <w:rPr>
          <w:lang w:eastAsia="en-AU"/>
        </w:rPr>
        <w:t xml:space="preserve"> </w:t>
      </w:r>
      <w:r>
        <w:rPr>
          <w:lang w:eastAsia="en-AU"/>
        </w:rPr>
        <w:t>which again reduced the funding for some combinations</w:t>
      </w:r>
      <w:r w:rsidRPr="00DD3AB7">
        <w:rPr>
          <w:rFonts w:cstheme="minorHAnsi"/>
        </w:rPr>
        <w:t xml:space="preserve"> </w:t>
      </w:r>
      <w:r>
        <w:rPr>
          <w:rFonts w:cstheme="minorHAnsi"/>
        </w:rPr>
        <w:t>(July 1, 2016)</w:t>
      </w:r>
      <w:r w:rsidR="00125201">
        <w:rPr>
          <w:rFonts w:cstheme="minorHAnsi"/>
        </w:rPr>
        <w:t>.</w:t>
      </w:r>
    </w:p>
    <w:p w:rsidR="003217B9" w:rsidRPr="00946F72" w:rsidRDefault="003217B9" w:rsidP="00164606">
      <w:pPr>
        <w:numPr>
          <w:ilvl w:val="0"/>
          <w:numId w:val="33"/>
        </w:numPr>
        <w:spacing w:after="0" w:line="259" w:lineRule="auto"/>
        <w:ind w:left="357" w:hanging="357"/>
        <w:rPr>
          <w:rFonts w:cstheme="minorHAnsi"/>
          <w:lang w:val="en-US"/>
        </w:rPr>
      </w:pPr>
      <w:r>
        <w:rPr>
          <w:rFonts w:cstheme="minorHAnsi"/>
        </w:rPr>
        <w:t>Changing the m</w:t>
      </w:r>
      <w:r w:rsidRPr="00946F72">
        <w:rPr>
          <w:rFonts w:cstheme="minorHAnsi"/>
        </w:rPr>
        <w:t xml:space="preserve">edication question to three levels covering (i) No assistance </w:t>
      </w:r>
      <w:r w:rsidR="00164606">
        <w:rPr>
          <w:rFonts w:cstheme="minorHAnsi"/>
        </w:rPr>
        <w:br/>
      </w:r>
      <w:r w:rsidRPr="00946F72">
        <w:rPr>
          <w:rFonts w:cstheme="minorHAnsi"/>
        </w:rPr>
        <w:t xml:space="preserve">(ii) Assistance Needed and (iii) Injections (subcutaneous, intramuscular, intravenous) and </w:t>
      </w:r>
      <w:r>
        <w:rPr>
          <w:rFonts w:cstheme="minorHAnsi"/>
        </w:rPr>
        <w:t xml:space="preserve">re-designing the </w:t>
      </w:r>
      <w:r w:rsidRPr="00946F72">
        <w:rPr>
          <w:rFonts w:cstheme="minorHAnsi"/>
        </w:rPr>
        <w:t xml:space="preserve">CHC scoring matrix </w:t>
      </w:r>
      <w:r>
        <w:rPr>
          <w:rFonts w:cstheme="minorHAnsi"/>
        </w:rPr>
        <w:t>(January 1, 2017)</w:t>
      </w:r>
      <w:r w:rsidR="00125201">
        <w:rPr>
          <w:rFonts w:cstheme="minorHAnsi"/>
        </w:rPr>
        <w:t>.</w:t>
      </w:r>
    </w:p>
    <w:p w:rsidR="003217B9" w:rsidRPr="00C63C11" w:rsidRDefault="003217B9" w:rsidP="00164606">
      <w:pPr>
        <w:numPr>
          <w:ilvl w:val="0"/>
          <w:numId w:val="33"/>
        </w:numPr>
        <w:spacing w:line="259" w:lineRule="auto"/>
        <w:ind w:left="357" w:hanging="357"/>
        <w:rPr>
          <w:rFonts w:cstheme="minorHAnsi"/>
          <w:lang w:val="en-US"/>
        </w:rPr>
      </w:pPr>
      <w:r>
        <w:rPr>
          <w:rFonts w:cstheme="minorHAnsi"/>
        </w:rPr>
        <w:t>Modifying the weightings and splitting some items in the ACFI 12 items (January 1, 2017) as follows:</w:t>
      </w:r>
    </w:p>
    <w:p w:rsidR="003217B9" w:rsidRDefault="003217B9" w:rsidP="00164606">
      <w:pPr>
        <w:pStyle w:val="NormalWeb"/>
        <w:numPr>
          <w:ilvl w:val="0"/>
          <w:numId w:val="144"/>
        </w:numPr>
        <w:spacing w:before="0" w:beforeAutospacing="0" w:after="60" w:afterAutospacing="0"/>
        <w:ind w:left="714" w:hanging="357"/>
        <w:contextualSpacing w:val="0"/>
        <w:rPr>
          <w:rFonts w:asciiTheme="minorHAnsi" w:hAnsiTheme="minorHAnsi"/>
        </w:rPr>
      </w:pPr>
      <w:r w:rsidRPr="00164606">
        <w:rPr>
          <w:rFonts w:asciiTheme="minorHAnsi" w:hAnsiTheme="minorHAnsi"/>
          <w:b/>
        </w:rPr>
        <w:t>Item 12.1</w:t>
      </w:r>
      <w:r w:rsidR="00164606">
        <w:rPr>
          <w:rFonts w:asciiTheme="minorHAnsi" w:hAnsiTheme="minorHAnsi"/>
        </w:rPr>
        <w:t>:</w:t>
      </w:r>
      <w:r>
        <w:rPr>
          <w:rFonts w:asciiTheme="minorHAnsi" w:hAnsiTheme="minorHAnsi"/>
          <w:i/>
        </w:rPr>
        <w:t xml:space="preserve"> </w:t>
      </w:r>
      <w:r w:rsidRPr="00334D7C">
        <w:rPr>
          <w:rFonts w:asciiTheme="minorHAnsi" w:hAnsiTheme="minorHAnsi"/>
        </w:rPr>
        <w:t>Blood pressure measurement</w:t>
      </w:r>
      <w:r>
        <w:rPr>
          <w:rFonts w:asciiTheme="minorHAnsi" w:hAnsiTheme="minorHAnsi"/>
          <w:i/>
        </w:rPr>
        <w:t xml:space="preserve"> - </w:t>
      </w:r>
      <w:r>
        <w:rPr>
          <w:rFonts w:asciiTheme="minorHAnsi" w:hAnsiTheme="minorHAnsi"/>
        </w:rPr>
        <w:t>score reduced from 3 points to 1.</w:t>
      </w:r>
    </w:p>
    <w:p w:rsidR="00980F62" w:rsidRDefault="003217B9" w:rsidP="00164606">
      <w:pPr>
        <w:pStyle w:val="NormalWeb"/>
        <w:numPr>
          <w:ilvl w:val="0"/>
          <w:numId w:val="144"/>
        </w:numPr>
        <w:spacing w:before="0" w:beforeAutospacing="0" w:after="60" w:afterAutospacing="0"/>
        <w:ind w:left="714" w:hanging="357"/>
        <w:contextualSpacing w:val="0"/>
        <w:rPr>
          <w:rFonts w:asciiTheme="minorHAnsi" w:hAnsiTheme="minorHAnsi"/>
        </w:rPr>
      </w:pPr>
      <w:r w:rsidRPr="00164606">
        <w:rPr>
          <w:rFonts w:asciiTheme="minorHAnsi" w:hAnsiTheme="minorHAnsi"/>
          <w:b/>
        </w:rPr>
        <w:t>Item 12.4b</w:t>
      </w:r>
      <w:r w:rsidR="00164606">
        <w:rPr>
          <w:rFonts w:asciiTheme="minorHAnsi" w:hAnsiTheme="minorHAnsi"/>
        </w:rPr>
        <w:t>:</w:t>
      </w:r>
      <w:r w:rsidRPr="00FE4973">
        <w:rPr>
          <w:rFonts w:asciiTheme="minorHAnsi" w:hAnsiTheme="minorHAnsi"/>
        </w:rPr>
        <w:t xml:space="preserve"> Complex pain management by </w:t>
      </w:r>
      <w:r>
        <w:rPr>
          <w:rFonts w:asciiTheme="minorHAnsi" w:hAnsiTheme="minorHAnsi"/>
        </w:rPr>
        <w:t>AHP at least 4 days per week - a timing requirement was added requiring 80 minutes of delivery of one-on-one treatment over a week.</w:t>
      </w:r>
    </w:p>
    <w:p w:rsidR="003217B9" w:rsidRPr="00605DC2" w:rsidRDefault="003217B9" w:rsidP="00164606">
      <w:pPr>
        <w:pStyle w:val="NormalWeb"/>
        <w:numPr>
          <w:ilvl w:val="0"/>
          <w:numId w:val="144"/>
        </w:numPr>
        <w:spacing w:before="0" w:beforeAutospacing="0" w:after="60" w:afterAutospacing="0"/>
        <w:ind w:left="714" w:hanging="357"/>
        <w:contextualSpacing w:val="0"/>
        <w:rPr>
          <w:rFonts w:asciiTheme="minorHAnsi" w:hAnsiTheme="minorHAnsi" w:cstheme="minorHAnsi"/>
        </w:rPr>
      </w:pPr>
      <w:r w:rsidRPr="00164606">
        <w:rPr>
          <w:rFonts w:asciiTheme="minorHAnsi" w:hAnsiTheme="minorHAnsi" w:cstheme="minorHAnsi"/>
          <w:b/>
        </w:rPr>
        <w:t>Item 12.12</w:t>
      </w:r>
      <w:r w:rsidR="00164606">
        <w:rPr>
          <w:rFonts w:asciiTheme="minorHAnsi" w:hAnsiTheme="minorHAnsi" w:cstheme="minorHAnsi"/>
        </w:rPr>
        <w:t>:</w:t>
      </w:r>
      <w:r w:rsidRPr="00605DC2">
        <w:rPr>
          <w:rFonts w:asciiTheme="minorHAnsi" w:hAnsiTheme="minorHAnsi" w:cstheme="minorHAnsi"/>
        </w:rPr>
        <w:t xml:space="preserve"> Management of oedema, deep vein thrombosis</w:t>
      </w:r>
      <w:r>
        <w:rPr>
          <w:rFonts w:asciiTheme="minorHAnsi" w:hAnsiTheme="minorHAnsi" w:cstheme="minorHAnsi"/>
        </w:rPr>
        <w:t xml:space="preserve"> (DVT)</w:t>
      </w:r>
      <w:r w:rsidRPr="00605DC2">
        <w:rPr>
          <w:rFonts w:asciiTheme="minorHAnsi" w:hAnsiTheme="minorHAnsi" w:cstheme="minorHAnsi"/>
        </w:rPr>
        <w:t xml:space="preserve">, arthritic joints or chronic skin conditions by fitting of certain garments, bandages and dressings – this item was split into two. For 12.12a the score was reduced from 3 points to 1 where the treatment is for the management of arthritic joints and oedema related to arthritis by the application of tubular and/or other elasticised support bandages. The new sub item 12.12b which covers </w:t>
      </w:r>
      <w:r w:rsidRPr="00605DC2">
        <w:rPr>
          <w:rFonts w:ascii="Calibri" w:hAnsi="Calibri" w:cs="Calibri"/>
          <w:color w:val="000000"/>
          <w:lang w:val="en-US"/>
        </w:rPr>
        <w:t>non-arthritic oedema, DVT &amp; chronic skin conditions</w:t>
      </w:r>
      <w:r w:rsidRPr="00605DC2">
        <w:rPr>
          <w:rFonts w:asciiTheme="minorHAnsi" w:hAnsiTheme="minorHAnsi" w:cstheme="minorHAnsi"/>
        </w:rPr>
        <w:t xml:space="preserve"> remained at 3 points.</w:t>
      </w:r>
    </w:p>
    <w:p w:rsidR="003217B9" w:rsidRDefault="003217B9" w:rsidP="00530D56">
      <w:pPr>
        <w:pStyle w:val="Heading2-Chapter6"/>
      </w:pPr>
      <w:bookmarkStart w:id="408" w:name="_Toc486350713"/>
      <w:bookmarkStart w:id="409" w:name="_Toc486600039"/>
      <w:bookmarkStart w:id="410" w:name="_Toc491426046"/>
      <w:bookmarkEnd w:id="407"/>
      <w:r w:rsidRPr="00D55FBE">
        <w:t xml:space="preserve">A Statistical Overview of the current </w:t>
      </w:r>
      <w:r>
        <w:t>CHC</w:t>
      </w:r>
      <w:r w:rsidRPr="00D55FBE">
        <w:t xml:space="preserve"> Domain</w:t>
      </w:r>
      <w:bookmarkEnd w:id="408"/>
      <w:bookmarkEnd w:id="409"/>
      <w:bookmarkEnd w:id="410"/>
    </w:p>
    <w:p w:rsidR="00980F62" w:rsidRDefault="003217B9" w:rsidP="00720C8D">
      <w:pPr>
        <w:rPr>
          <w:lang w:eastAsia="en-AU"/>
        </w:rPr>
      </w:pPr>
      <w:r w:rsidRPr="001B1702">
        <w:rPr>
          <w:lang w:eastAsia="en-AU"/>
        </w:rPr>
        <w:t xml:space="preserve">The results described in this chapter are </w:t>
      </w:r>
      <w:r>
        <w:rPr>
          <w:lang w:eastAsia="en-AU"/>
        </w:rPr>
        <w:t xml:space="preserve">derived </w:t>
      </w:r>
      <w:r w:rsidRPr="001B1702">
        <w:rPr>
          <w:lang w:eastAsia="en-AU"/>
        </w:rPr>
        <w:t xml:space="preserve">from analysis of the ACFI dataset </w:t>
      </w:r>
      <w:r>
        <w:rPr>
          <w:lang w:eastAsia="en-AU"/>
        </w:rPr>
        <w:t xml:space="preserve">supplied by the Department </w:t>
      </w:r>
      <w:r w:rsidRPr="001B1702">
        <w:rPr>
          <w:lang w:eastAsia="en-AU"/>
        </w:rPr>
        <w:t>covering the period from 2009 to June 30</w:t>
      </w:r>
      <w:r>
        <w:rPr>
          <w:lang w:eastAsia="en-AU"/>
        </w:rPr>
        <w:t xml:space="preserve">, </w:t>
      </w:r>
      <w:r w:rsidRPr="001B1702">
        <w:rPr>
          <w:lang w:eastAsia="en-AU"/>
        </w:rPr>
        <w:t xml:space="preserve">2016. This section </w:t>
      </w:r>
      <w:r w:rsidR="00CE672B">
        <w:rPr>
          <w:lang w:eastAsia="en-AU"/>
        </w:rPr>
        <w:t>provides</w:t>
      </w:r>
      <w:r w:rsidRPr="001B1702">
        <w:rPr>
          <w:lang w:eastAsia="en-AU"/>
        </w:rPr>
        <w:t xml:space="preserve"> a statistical overview of the trends with </w:t>
      </w:r>
      <w:r>
        <w:rPr>
          <w:lang w:eastAsia="en-AU"/>
        </w:rPr>
        <w:t>CHC</w:t>
      </w:r>
      <w:r w:rsidRPr="001B1702">
        <w:rPr>
          <w:lang w:eastAsia="en-AU"/>
        </w:rPr>
        <w:t xml:space="preserve"> domain classifications (</w:t>
      </w:r>
      <w:r>
        <w:rPr>
          <w:lang w:eastAsia="en-AU"/>
        </w:rPr>
        <w:t xml:space="preserve">N, </w:t>
      </w:r>
      <w:r w:rsidRPr="001B1702">
        <w:rPr>
          <w:lang w:eastAsia="en-AU"/>
        </w:rPr>
        <w:t>L,</w:t>
      </w:r>
      <w:r>
        <w:rPr>
          <w:lang w:eastAsia="en-AU"/>
        </w:rPr>
        <w:t xml:space="preserve"> </w:t>
      </w:r>
      <w:r w:rsidRPr="001B1702">
        <w:rPr>
          <w:lang w:eastAsia="en-AU"/>
        </w:rPr>
        <w:t xml:space="preserve">M, H), </w:t>
      </w:r>
      <w:r w:rsidR="00AF3A57">
        <w:rPr>
          <w:lang w:eastAsia="en-AU"/>
        </w:rPr>
        <w:t>medication question Q11</w:t>
      </w:r>
      <w:r>
        <w:rPr>
          <w:lang w:eastAsia="en-AU"/>
        </w:rPr>
        <w:t xml:space="preserve"> and Q12 </w:t>
      </w:r>
      <w:r w:rsidR="00AF3A57">
        <w:rPr>
          <w:lang w:eastAsia="en-AU"/>
        </w:rPr>
        <w:t>procedures items</w:t>
      </w:r>
      <w:r>
        <w:rPr>
          <w:lang w:eastAsia="en-AU"/>
        </w:rPr>
        <w:t xml:space="preserve"> responses </w:t>
      </w:r>
      <w:r w:rsidRPr="001B1702">
        <w:rPr>
          <w:lang w:eastAsia="en-AU"/>
        </w:rPr>
        <w:t>since 2009.</w:t>
      </w:r>
      <w:r>
        <w:rPr>
          <w:lang w:eastAsia="en-AU"/>
        </w:rPr>
        <w:t xml:space="preserve"> A table </w:t>
      </w:r>
      <w:r w:rsidR="00AF3A57">
        <w:rPr>
          <w:lang w:eastAsia="en-AU"/>
        </w:rPr>
        <w:t xml:space="preserve">describing the Q11 and Q12 </w:t>
      </w:r>
      <w:r>
        <w:rPr>
          <w:lang w:eastAsia="en-AU"/>
        </w:rPr>
        <w:t>claims since 2009 is provided in Appendix 6</w:t>
      </w:r>
      <w:r w:rsidR="00DF6768">
        <w:rPr>
          <w:lang w:eastAsia="en-AU"/>
        </w:rPr>
        <w:t>.1</w:t>
      </w:r>
      <w:r>
        <w:rPr>
          <w:lang w:eastAsia="en-AU"/>
        </w:rPr>
        <w:t>.</w:t>
      </w:r>
    </w:p>
    <w:p w:rsidR="003217B9" w:rsidRPr="001B1702" w:rsidRDefault="00234174" w:rsidP="00720C8D">
      <w:pPr>
        <w:rPr>
          <w:lang w:eastAsia="en-AU"/>
        </w:rPr>
      </w:pPr>
      <w:r>
        <w:rPr>
          <w:lang w:eastAsia="en-AU"/>
        </w:rPr>
        <w:t>Growth pa. reported in this section is the compound growth rate pa.</w:t>
      </w:r>
    </w:p>
    <w:p w:rsidR="003217B9" w:rsidRPr="001B1702" w:rsidRDefault="003217B9" w:rsidP="00720C8D">
      <w:pPr>
        <w:rPr>
          <w:lang w:eastAsia="en-AU"/>
        </w:rPr>
      </w:pPr>
      <w:r>
        <w:rPr>
          <w:lang w:eastAsia="en-AU"/>
        </w:rPr>
        <w:t xml:space="preserve">While the High CHC </w:t>
      </w:r>
      <w:r w:rsidRPr="00D820C1">
        <w:rPr>
          <w:lang w:eastAsia="en-AU"/>
        </w:rPr>
        <w:t>category</w:t>
      </w:r>
      <w:r>
        <w:rPr>
          <w:lang w:eastAsia="en-AU"/>
        </w:rPr>
        <w:t xml:space="preserve"> had the lowest proportion of residents in 2009 with 12.7</w:t>
      </w:r>
      <w:r w:rsidR="002965F2">
        <w:rPr>
          <w:lang w:eastAsia="en-AU"/>
        </w:rPr>
        <w:t xml:space="preserve"> per cent</w:t>
      </w:r>
      <w:r>
        <w:rPr>
          <w:lang w:eastAsia="en-AU"/>
        </w:rPr>
        <w:t>, significant growth since then has meant that the High category now has 61.4</w:t>
      </w:r>
      <w:r w:rsidR="002965F2">
        <w:rPr>
          <w:lang w:eastAsia="en-AU"/>
        </w:rPr>
        <w:t xml:space="preserve"> per cent</w:t>
      </w:r>
      <w:r w:rsidRPr="001B1702">
        <w:rPr>
          <w:lang w:eastAsia="en-AU"/>
        </w:rPr>
        <w:t xml:space="preserve"> </w:t>
      </w:r>
      <w:r w:rsidRPr="001B1702">
        <w:rPr>
          <w:lang w:eastAsia="en-AU"/>
        </w:rPr>
        <w:lastRenderedPageBreak/>
        <w:t xml:space="preserve">of </w:t>
      </w:r>
      <w:r w:rsidR="009C3440">
        <w:rPr>
          <w:lang w:eastAsia="en-AU"/>
        </w:rPr>
        <w:t xml:space="preserve">residents by </w:t>
      </w:r>
      <w:r>
        <w:rPr>
          <w:lang w:eastAsia="en-AU"/>
        </w:rPr>
        <w:t xml:space="preserve">June </w:t>
      </w:r>
      <w:r w:rsidR="009C3440">
        <w:rPr>
          <w:lang w:eastAsia="en-AU"/>
        </w:rPr>
        <w:t xml:space="preserve">30, </w:t>
      </w:r>
      <w:r>
        <w:rPr>
          <w:lang w:eastAsia="en-AU"/>
        </w:rPr>
        <w:t>2016 (</w:t>
      </w:r>
      <w:hyperlink w:anchor="Fig0601" w:history="1">
        <w:r w:rsidRPr="00072F09">
          <w:rPr>
            <w:rStyle w:val="Hyperlink"/>
            <w:lang w:eastAsia="en-AU"/>
          </w:rPr>
          <w:t>Figure 6.1</w:t>
        </w:r>
      </w:hyperlink>
      <w:r>
        <w:rPr>
          <w:lang w:eastAsia="en-AU"/>
        </w:rPr>
        <w:t xml:space="preserve">; </w:t>
      </w:r>
      <w:hyperlink w:anchor="Tab0604" w:history="1">
        <w:r w:rsidRPr="00126DC4">
          <w:rPr>
            <w:rStyle w:val="Hyperlink"/>
            <w:lang w:eastAsia="en-AU"/>
          </w:rPr>
          <w:t>Table 6.4</w:t>
        </w:r>
      </w:hyperlink>
      <w:r>
        <w:rPr>
          <w:lang w:eastAsia="en-AU"/>
        </w:rPr>
        <w:t>)</w:t>
      </w:r>
      <w:r w:rsidRPr="001B1702">
        <w:rPr>
          <w:lang w:eastAsia="en-AU"/>
        </w:rPr>
        <w:t xml:space="preserve">. </w:t>
      </w:r>
      <w:r>
        <w:rPr>
          <w:lang w:eastAsia="en-AU"/>
        </w:rPr>
        <w:t>This has led to a large growth in funding outlays over this period.</w:t>
      </w:r>
    </w:p>
    <w:p w:rsidR="0046234D" w:rsidRDefault="00CA4524" w:rsidP="0046234D">
      <w:pPr>
        <w:pStyle w:val="Caption"/>
        <w:keepNext/>
      </w:pPr>
      <w:bookmarkStart w:id="411" w:name="_Toc495416520"/>
      <w:r>
        <w:t>Figure 6.</w:t>
      </w:r>
      <w:r w:rsidR="009A3F5A">
        <w:fldChar w:fldCharType="begin"/>
      </w:r>
      <w:r w:rsidR="009A3F5A">
        <w:instrText xml:space="preserve"> SEQ Figure_6. \* ARABIC </w:instrText>
      </w:r>
      <w:r w:rsidR="009A3F5A">
        <w:fldChar w:fldCharType="separate"/>
      </w:r>
      <w:r w:rsidR="00856E49">
        <w:rPr>
          <w:noProof/>
        </w:rPr>
        <w:t>1</w:t>
      </w:r>
      <w:r w:rsidR="009A3F5A">
        <w:rPr>
          <w:noProof/>
        </w:rPr>
        <w:fldChar w:fldCharType="end"/>
      </w:r>
      <w:r>
        <w:t xml:space="preserve">: </w:t>
      </w:r>
      <w:r w:rsidRPr="00CA4524">
        <w:t>Complex Health Care Domain Classifications (N, L, M, H) 2009 - 2016</w:t>
      </w:r>
      <w:bookmarkEnd w:id="411"/>
    </w:p>
    <w:p w:rsidR="00795F88" w:rsidRDefault="00795F88" w:rsidP="003217B9">
      <w:r>
        <w:rPr>
          <w:noProof/>
          <w:lang w:eastAsia="en-AU"/>
        </w:rPr>
        <w:drawing>
          <wp:inline distT="0" distB="0" distL="0" distR="0" wp14:anchorId="52557506" wp14:editId="337740DF">
            <wp:extent cx="5760000" cy="3740400"/>
            <wp:effectExtent l="0" t="0" r="0" b="0"/>
            <wp:docPr id="63" name="Picture 63" descr="Figure 6.1 is a line graph illustrating the percentage of the Complex Health Care (CHC) domain classifications (nil, low, medium and high) from 2009 to 2016, as summaris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00" cy="3740400"/>
                    </a:xfrm>
                    <a:prstGeom prst="rect">
                      <a:avLst/>
                    </a:prstGeom>
                    <a:noFill/>
                  </pic:spPr>
                </pic:pic>
              </a:graphicData>
            </a:graphic>
          </wp:inline>
        </w:drawing>
      </w:r>
    </w:p>
    <w:p w:rsidR="00E77C0F" w:rsidRDefault="0046234D" w:rsidP="00E77C0F">
      <w:pPr>
        <w:pStyle w:val="Caption"/>
        <w:keepNext/>
      </w:pPr>
      <w:bookmarkStart w:id="412" w:name="_Toc495416345"/>
      <w:bookmarkStart w:id="413" w:name="Tab0604"/>
      <w:r>
        <w:t>Table 6.</w:t>
      </w:r>
      <w:r w:rsidR="009A3F5A">
        <w:fldChar w:fldCharType="begin"/>
      </w:r>
      <w:r w:rsidR="009A3F5A">
        <w:instrText xml:space="preserve"> SEQ Table_6. \* ARABIC </w:instrText>
      </w:r>
      <w:r w:rsidR="009A3F5A">
        <w:fldChar w:fldCharType="separate"/>
      </w:r>
      <w:r w:rsidR="00856E49">
        <w:rPr>
          <w:noProof/>
        </w:rPr>
        <w:t>4</w:t>
      </w:r>
      <w:r w:rsidR="009A3F5A">
        <w:rPr>
          <w:noProof/>
        </w:rPr>
        <w:fldChar w:fldCharType="end"/>
      </w:r>
      <w:r>
        <w:rPr>
          <w:noProof/>
        </w:rPr>
        <w:t xml:space="preserve">: </w:t>
      </w:r>
      <w:r w:rsidRPr="0046234D">
        <w:rPr>
          <w:noProof/>
        </w:rPr>
        <w:t>CHC Domain Distribution June 30 2016</w:t>
      </w:r>
      <w:bookmarkEnd w:id="412"/>
    </w:p>
    <w:tbl>
      <w:tblPr>
        <w:tblStyle w:val="ListTable3-Accent515"/>
        <w:tblW w:w="8269" w:type="dxa"/>
        <w:tblInd w:w="108" w:type="dxa"/>
        <w:tblBorders>
          <w:insideH w:val="single" w:sz="4" w:space="0" w:color="5B9BD5" w:themeColor="accent5"/>
          <w:insideV w:val="single" w:sz="4" w:space="0" w:color="5B9BD5" w:themeColor="accent5"/>
        </w:tblBorders>
        <w:tblLayout w:type="fixed"/>
        <w:tblLook w:val="00A0" w:firstRow="1" w:lastRow="0" w:firstColumn="1" w:lastColumn="0" w:noHBand="0" w:noVBand="0"/>
        <w:tblDescription w:val="Table 6.4 is a list of details for the Complex Health Care (CHC) domain classifications (nil, low, medium high and total) as at 30 June 2016, including funding. This table is to be read left to right, top to bottom, noting that the headers are:&#10;1. Classification&#10;2. Number of residents under each classification&#10;3. Percentage of residents under each classification&#10;4. Amount of funding per resident."/>
      </w:tblPr>
      <w:tblGrid>
        <w:gridCol w:w="1560"/>
        <w:gridCol w:w="2409"/>
        <w:gridCol w:w="1985"/>
        <w:gridCol w:w="2315"/>
      </w:tblGrid>
      <w:tr w:rsidR="003217B9" w:rsidRPr="00636B1E" w:rsidTr="00EF184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100" w:firstRow="0" w:lastRow="0" w:firstColumn="1" w:lastColumn="0" w:oddVBand="0" w:evenVBand="0" w:oddHBand="0" w:evenHBand="0" w:firstRowFirstColumn="1" w:firstRowLastColumn="0" w:lastRowFirstColumn="0" w:lastRowLastColumn="0"/>
            <w:tcW w:w="1560" w:type="dxa"/>
            <w:tcBorders>
              <w:bottom w:val="none" w:sz="0" w:space="0" w:color="auto"/>
              <w:right w:val="none" w:sz="0" w:space="0" w:color="auto"/>
            </w:tcBorders>
            <w:noWrap/>
            <w:hideMark/>
          </w:tcPr>
          <w:bookmarkEnd w:id="413"/>
          <w:p w:rsidR="003217B9" w:rsidRPr="00DF6768" w:rsidRDefault="00D65C73" w:rsidP="00911CA1">
            <w:pPr>
              <w:spacing w:before="60" w:after="60"/>
              <w:rPr>
                <w:rFonts w:ascii="Calibri" w:eastAsia="Times New Roman" w:hAnsi="Calibri" w:cs="Calibri"/>
                <w:sz w:val="22"/>
                <w:lang w:val="en-US"/>
              </w:rPr>
            </w:pPr>
            <w:r>
              <w:rPr>
                <w:rFonts w:ascii="Calibri" w:eastAsia="Times New Roman" w:hAnsi="Calibri" w:cs="Calibri"/>
                <w:sz w:val="22"/>
                <w:lang w:val="en-US"/>
              </w:rPr>
              <w:t>Classification</w:t>
            </w:r>
          </w:p>
        </w:tc>
        <w:tc>
          <w:tcPr>
            <w:cnfStyle w:val="000010000000" w:firstRow="0" w:lastRow="0" w:firstColumn="0" w:lastColumn="0" w:oddVBand="1" w:evenVBand="0" w:oddHBand="0" w:evenHBand="0" w:firstRowFirstColumn="0" w:firstRowLastColumn="0" w:lastRowFirstColumn="0" w:lastRowLastColumn="0"/>
            <w:tcW w:w="2409" w:type="dxa"/>
            <w:tcBorders>
              <w:left w:val="none" w:sz="0" w:space="0" w:color="auto"/>
              <w:right w:val="none" w:sz="0" w:space="0" w:color="auto"/>
            </w:tcBorders>
            <w:noWrap/>
            <w:hideMark/>
          </w:tcPr>
          <w:p w:rsidR="003217B9" w:rsidRPr="00DF6768" w:rsidRDefault="003217B9" w:rsidP="00911CA1">
            <w:pPr>
              <w:spacing w:before="60" w:after="60"/>
              <w:jc w:val="center"/>
              <w:rPr>
                <w:rFonts w:ascii="Calibri" w:eastAsia="Times New Roman" w:hAnsi="Calibri" w:cs="Calibri"/>
                <w:sz w:val="22"/>
                <w:lang w:val="en-US"/>
              </w:rPr>
            </w:pPr>
            <w:r w:rsidRPr="00DF6768">
              <w:rPr>
                <w:rFonts w:ascii="Calibri" w:eastAsia="Times New Roman" w:hAnsi="Calibri" w:cs="Calibri"/>
                <w:sz w:val="22"/>
                <w:lang w:val="en-US"/>
              </w:rPr>
              <w:t>N</w:t>
            </w:r>
            <w:r w:rsidR="00D65C73">
              <w:rPr>
                <w:rFonts w:ascii="Calibri" w:eastAsia="Times New Roman" w:hAnsi="Calibri" w:cs="Calibri"/>
                <w:sz w:val="22"/>
                <w:lang w:val="en-US"/>
              </w:rPr>
              <w:t>umber of Residents</w:t>
            </w:r>
          </w:p>
        </w:tc>
        <w:tc>
          <w:tcPr>
            <w:tcW w:w="1985" w:type="dxa"/>
            <w:noWrap/>
            <w:hideMark/>
          </w:tcPr>
          <w:p w:rsidR="003217B9" w:rsidRPr="00DF6768" w:rsidRDefault="00D65C73" w:rsidP="00911CA1">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Pr>
                <w:rFonts w:ascii="Calibri" w:eastAsia="Times New Roman" w:hAnsi="Calibri" w:cs="Calibri"/>
                <w:sz w:val="22"/>
                <w:lang w:val="en-US"/>
              </w:rPr>
              <w:t>Percentage</w:t>
            </w:r>
          </w:p>
        </w:tc>
        <w:tc>
          <w:tcPr>
            <w:cnfStyle w:val="000010000000" w:firstRow="0" w:lastRow="0" w:firstColumn="0" w:lastColumn="0" w:oddVBand="1" w:evenVBand="0" w:oddHBand="0" w:evenHBand="0" w:firstRowFirstColumn="0" w:firstRowLastColumn="0" w:lastRowFirstColumn="0" w:lastRowLastColumn="0"/>
            <w:tcW w:w="2315" w:type="dxa"/>
            <w:tcBorders>
              <w:left w:val="none" w:sz="0" w:space="0" w:color="auto"/>
              <w:right w:val="none" w:sz="0" w:space="0" w:color="auto"/>
            </w:tcBorders>
            <w:noWrap/>
            <w:hideMark/>
          </w:tcPr>
          <w:p w:rsidR="003217B9" w:rsidRPr="00DF6768" w:rsidRDefault="00D65C73" w:rsidP="00911CA1">
            <w:pPr>
              <w:spacing w:before="60" w:after="60"/>
              <w:jc w:val="center"/>
              <w:rPr>
                <w:rFonts w:ascii="Calibri" w:eastAsia="Times New Roman" w:hAnsi="Calibri" w:cs="Calibri"/>
                <w:sz w:val="22"/>
                <w:lang w:val="en-US"/>
              </w:rPr>
            </w:pPr>
            <w:r>
              <w:rPr>
                <w:rFonts w:ascii="Calibri" w:eastAsia="Times New Roman" w:hAnsi="Calibri" w:cs="Calibri"/>
                <w:sz w:val="22"/>
                <w:lang w:val="en-US"/>
              </w:rPr>
              <w:t>Funding</w:t>
            </w:r>
            <w:r w:rsidR="00EF1847">
              <w:rPr>
                <w:rFonts w:ascii="Calibri" w:eastAsia="Times New Roman" w:hAnsi="Calibri" w:cs="Calibri"/>
                <w:sz w:val="22"/>
                <w:lang w:val="en-US"/>
              </w:rPr>
              <w:t xml:space="preserve"> </w:t>
            </w:r>
            <w:r w:rsidR="00677092">
              <w:rPr>
                <w:rFonts w:ascii="Calibri" w:eastAsia="Times New Roman" w:hAnsi="Calibri" w:cs="Calibri"/>
                <w:sz w:val="22"/>
                <w:lang w:val="en-US"/>
              </w:rPr>
              <w:t>(per resident)</w:t>
            </w:r>
          </w:p>
        </w:tc>
      </w:tr>
      <w:tr w:rsidR="003217B9" w:rsidRPr="00636B1E" w:rsidTr="00EF18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right w:val="none" w:sz="0" w:space="0" w:color="auto"/>
            </w:tcBorders>
            <w:noWrap/>
            <w:hideMark/>
          </w:tcPr>
          <w:p w:rsidR="003217B9" w:rsidRPr="00636B1E" w:rsidRDefault="003217B9" w:rsidP="00911CA1">
            <w:pPr>
              <w:spacing w:before="60" w:after="60"/>
              <w:rPr>
                <w:rFonts w:ascii="Calibri" w:eastAsia="Times New Roman" w:hAnsi="Calibri" w:cs="Calibri"/>
                <w:color w:val="000000"/>
                <w:sz w:val="22"/>
                <w:lang w:val="en-US"/>
              </w:rPr>
            </w:pPr>
            <w:r>
              <w:rPr>
                <w:rFonts w:ascii="Calibri" w:eastAsia="Times New Roman" w:hAnsi="Calibri" w:cs="Calibri"/>
                <w:color w:val="000000"/>
                <w:sz w:val="22"/>
                <w:lang w:val="en-US"/>
              </w:rPr>
              <w:t>Nil</w:t>
            </w:r>
          </w:p>
        </w:tc>
        <w:tc>
          <w:tcPr>
            <w:cnfStyle w:val="000010000000" w:firstRow="0" w:lastRow="0" w:firstColumn="0" w:lastColumn="0" w:oddVBand="1" w:evenVBand="0" w:oddHBand="0" w:evenHBand="0" w:firstRowFirstColumn="0" w:firstRowLastColumn="0" w:lastRowFirstColumn="0" w:lastRowLastColumn="0"/>
            <w:tcW w:w="2409" w:type="dxa"/>
            <w:tcBorders>
              <w:top w:val="none" w:sz="0" w:space="0" w:color="auto"/>
              <w:left w:val="none" w:sz="0" w:space="0" w:color="auto"/>
              <w:bottom w:val="none" w:sz="0" w:space="0" w:color="auto"/>
              <w:right w:val="none" w:sz="0" w:space="0" w:color="auto"/>
            </w:tcBorders>
            <w:noWrap/>
            <w:hideMark/>
          </w:tcPr>
          <w:p w:rsidR="003217B9" w:rsidRPr="00636B1E" w:rsidRDefault="003217B9" w:rsidP="00911CA1">
            <w:pPr>
              <w:spacing w:before="60" w:after="60"/>
              <w:jc w:val="center"/>
              <w:rPr>
                <w:rFonts w:ascii="Calibri" w:eastAsia="Times New Roman" w:hAnsi="Calibri" w:cs="Calibri"/>
                <w:color w:val="000000"/>
                <w:sz w:val="22"/>
                <w:lang w:val="en-US"/>
              </w:rPr>
            </w:pPr>
            <w:r w:rsidRPr="00636B1E">
              <w:rPr>
                <w:rFonts w:ascii="Calibri" w:eastAsia="Times New Roman" w:hAnsi="Calibri" w:cs="Calibri"/>
                <w:color w:val="000000"/>
                <w:sz w:val="22"/>
                <w:lang w:val="en-US"/>
              </w:rPr>
              <w:t>5,065</w:t>
            </w:r>
          </w:p>
        </w:tc>
        <w:tc>
          <w:tcPr>
            <w:tcW w:w="1985" w:type="dxa"/>
            <w:tcBorders>
              <w:top w:val="none" w:sz="0" w:space="0" w:color="auto"/>
              <w:bottom w:val="none" w:sz="0" w:space="0" w:color="auto"/>
            </w:tcBorders>
            <w:noWrap/>
            <w:hideMark/>
          </w:tcPr>
          <w:p w:rsidR="003217B9" w:rsidRPr="00636B1E" w:rsidRDefault="003217B9" w:rsidP="00911CA1">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636B1E">
              <w:rPr>
                <w:rFonts w:ascii="Calibri" w:eastAsia="Times New Roman" w:hAnsi="Calibri" w:cs="Calibri"/>
                <w:color w:val="000000"/>
                <w:sz w:val="22"/>
                <w:lang w:val="en-US"/>
              </w:rPr>
              <w:t>2.9%</w:t>
            </w:r>
          </w:p>
        </w:tc>
        <w:tc>
          <w:tcPr>
            <w:cnfStyle w:val="000010000000" w:firstRow="0" w:lastRow="0" w:firstColumn="0" w:lastColumn="0" w:oddVBand="1" w:evenVBand="0" w:oddHBand="0" w:evenHBand="0" w:firstRowFirstColumn="0" w:firstRowLastColumn="0" w:lastRowFirstColumn="0" w:lastRowLastColumn="0"/>
            <w:tcW w:w="2315" w:type="dxa"/>
            <w:tcBorders>
              <w:top w:val="none" w:sz="0" w:space="0" w:color="auto"/>
              <w:left w:val="none" w:sz="0" w:space="0" w:color="auto"/>
              <w:bottom w:val="none" w:sz="0" w:space="0" w:color="auto"/>
              <w:right w:val="none" w:sz="0" w:space="0" w:color="auto"/>
            </w:tcBorders>
            <w:noWrap/>
            <w:hideMark/>
          </w:tcPr>
          <w:p w:rsidR="003217B9" w:rsidRPr="00636B1E" w:rsidRDefault="003217B9" w:rsidP="00911CA1">
            <w:pPr>
              <w:spacing w:before="60" w:after="60"/>
              <w:jc w:val="center"/>
              <w:rPr>
                <w:rFonts w:ascii="Calibri" w:eastAsia="Times New Roman" w:hAnsi="Calibri" w:cs="Calibri"/>
                <w:color w:val="000000"/>
                <w:sz w:val="22"/>
                <w:lang w:val="en-US"/>
              </w:rPr>
            </w:pPr>
            <w:r w:rsidRPr="00636B1E">
              <w:rPr>
                <w:rFonts w:ascii="Calibri" w:eastAsia="Times New Roman" w:hAnsi="Calibri" w:cs="Calibri"/>
                <w:color w:val="000000"/>
                <w:sz w:val="22"/>
                <w:lang w:val="en-US"/>
              </w:rPr>
              <w:t>$0.00</w:t>
            </w:r>
          </w:p>
        </w:tc>
      </w:tr>
      <w:tr w:rsidR="003217B9" w:rsidRPr="00636B1E" w:rsidTr="00EF1847">
        <w:trPr>
          <w:trHeight w:val="315"/>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noWrap/>
            <w:hideMark/>
          </w:tcPr>
          <w:p w:rsidR="003217B9" w:rsidRPr="00636B1E" w:rsidRDefault="003217B9" w:rsidP="00911CA1">
            <w:pPr>
              <w:spacing w:before="60" w:after="60"/>
              <w:rPr>
                <w:rFonts w:ascii="Calibri" w:eastAsia="Times New Roman" w:hAnsi="Calibri" w:cs="Calibri"/>
                <w:color w:val="000000"/>
                <w:sz w:val="22"/>
                <w:lang w:val="en-US"/>
              </w:rPr>
            </w:pPr>
            <w:r>
              <w:rPr>
                <w:rFonts w:ascii="Calibri" w:eastAsia="Times New Roman" w:hAnsi="Calibri" w:cs="Calibri"/>
                <w:color w:val="000000"/>
                <w:sz w:val="22"/>
                <w:lang w:val="en-US"/>
              </w:rPr>
              <w:t>Low</w:t>
            </w:r>
          </w:p>
        </w:tc>
        <w:tc>
          <w:tcPr>
            <w:cnfStyle w:val="000010000000" w:firstRow="0" w:lastRow="0" w:firstColumn="0" w:lastColumn="0" w:oddVBand="1" w:evenVBand="0" w:oddHBand="0" w:evenHBand="0" w:firstRowFirstColumn="0" w:firstRowLastColumn="0" w:lastRowFirstColumn="0" w:lastRowLastColumn="0"/>
            <w:tcW w:w="2409" w:type="dxa"/>
            <w:tcBorders>
              <w:left w:val="none" w:sz="0" w:space="0" w:color="auto"/>
              <w:right w:val="none" w:sz="0" w:space="0" w:color="auto"/>
            </w:tcBorders>
            <w:noWrap/>
            <w:hideMark/>
          </w:tcPr>
          <w:p w:rsidR="003217B9" w:rsidRPr="00636B1E" w:rsidRDefault="003217B9" w:rsidP="00911CA1">
            <w:pPr>
              <w:spacing w:before="60" w:after="60"/>
              <w:jc w:val="center"/>
              <w:rPr>
                <w:rFonts w:ascii="Calibri" w:eastAsia="Times New Roman" w:hAnsi="Calibri" w:cs="Calibri"/>
                <w:color w:val="000000"/>
                <w:sz w:val="22"/>
                <w:lang w:val="en-US"/>
              </w:rPr>
            </w:pPr>
            <w:r w:rsidRPr="00636B1E">
              <w:rPr>
                <w:rFonts w:ascii="Calibri" w:eastAsia="Times New Roman" w:hAnsi="Calibri" w:cs="Calibri"/>
                <w:color w:val="000000"/>
                <w:sz w:val="22"/>
                <w:lang w:val="en-US"/>
              </w:rPr>
              <w:t>22,797</w:t>
            </w:r>
          </w:p>
        </w:tc>
        <w:tc>
          <w:tcPr>
            <w:tcW w:w="1985" w:type="dxa"/>
            <w:noWrap/>
            <w:hideMark/>
          </w:tcPr>
          <w:p w:rsidR="003217B9" w:rsidRPr="00636B1E" w:rsidRDefault="003217B9" w:rsidP="00911CA1">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636B1E">
              <w:rPr>
                <w:rFonts w:ascii="Calibri" w:eastAsia="Times New Roman" w:hAnsi="Calibri" w:cs="Calibri"/>
                <w:color w:val="000000"/>
                <w:sz w:val="22"/>
                <w:lang w:val="en-US"/>
              </w:rPr>
              <w:t>13.0%</w:t>
            </w:r>
          </w:p>
        </w:tc>
        <w:tc>
          <w:tcPr>
            <w:cnfStyle w:val="000010000000" w:firstRow="0" w:lastRow="0" w:firstColumn="0" w:lastColumn="0" w:oddVBand="1" w:evenVBand="0" w:oddHBand="0" w:evenHBand="0" w:firstRowFirstColumn="0" w:firstRowLastColumn="0" w:lastRowFirstColumn="0" w:lastRowLastColumn="0"/>
            <w:tcW w:w="2315" w:type="dxa"/>
            <w:tcBorders>
              <w:left w:val="none" w:sz="0" w:space="0" w:color="auto"/>
              <w:right w:val="none" w:sz="0" w:space="0" w:color="auto"/>
            </w:tcBorders>
            <w:noWrap/>
            <w:hideMark/>
          </w:tcPr>
          <w:p w:rsidR="003217B9" w:rsidRPr="00636B1E" w:rsidRDefault="003217B9" w:rsidP="00911CA1">
            <w:pPr>
              <w:spacing w:before="60" w:after="60"/>
              <w:jc w:val="center"/>
              <w:rPr>
                <w:rFonts w:ascii="Calibri" w:eastAsia="Times New Roman" w:hAnsi="Calibri" w:cs="Calibri"/>
                <w:color w:val="000000"/>
                <w:sz w:val="22"/>
                <w:lang w:val="en-US"/>
              </w:rPr>
            </w:pPr>
            <w:r w:rsidRPr="00636B1E">
              <w:rPr>
                <w:rFonts w:ascii="Calibri" w:eastAsia="Times New Roman" w:hAnsi="Calibri" w:cs="Calibri"/>
                <w:color w:val="000000"/>
                <w:sz w:val="22"/>
                <w:lang w:val="en-US"/>
              </w:rPr>
              <w:t>$16.37</w:t>
            </w:r>
          </w:p>
        </w:tc>
      </w:tr>
      <w:tr w:rsidR="003217B9" w:rsidRPr="00636B1E" w:rsidTr="00EF18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right w:val="none" w:sz="0" w:space="0" w:color="auto"/>
            </w:tcBorders>
            <w:noWrap/>
            <w:hideMark/>
          </w:tcPr>
          <w:p w:rsidR="003217B9" w:rsidRPr="00636B1E" w:rsidRDefault="003217B9" w:rsidP="00911CA1">
            <w:pPr>
              <w:spacing w:before="60" w:after="60"/>
              <w:rPr>
                <w:rFonts w:ascii="Calibri" w:eastAsia="Times New Roman" w:hAnsi="Calibri" w:cs="Calibri"/>
                <w:color w:val="000000"/>
                <w:sz w:val="22"/>
                <w:lang w:val="en-US"/>
              </w:rPr>
            </w:pPr>
            <w:r>
              <w:rPr>
                <w:rFonts w:ascii="Calibri" w:eastAsia="Times New Roman" w:hAnsi="Calibri" w:cs="Calibri"/>
                <w:color w:val="000000"/>
                <w:sz w:val="22"/>
                <w:lang w:val="en-US"/>
              </w:rPr>
              <w:t>Medium</w:t>
            </w:r>
          </w:p>
        </w:tc>
        <w:tc>
          <w:tcPr>
            <w:cnfStyle w:val="000010000000" w:firstRow="0" w:lastRow="0" w:firstColumn="0" w:lastColumn="0" w:oddVBand="1" w:evenVBand="0" w:oddHBand="0" w:evenHBand="0" w:firstRowFirstColumn="0" w:firstRowLastColumn="0" w:lastRowFirstColumn="0" w:lastRowLastColumn="0"/>
            <w:tcW w:w="2409" w:type="dxa"/>
            <w:tcBorders>
              <w:top w:val="none" w:sz="0" w:space="0" w:color="auto"/>
              <w:left w:val="none" w:sz="0" w:space="0" w:color="auto"/>
              <w:bottom w:val="none" w:sz="0" w:space="0" w:color="auto"/>
              <w:right w:val="none" w:sz="0" w:space="0" w:color="auto"/>
            </w:tcBorders>
            <w:noWrap/>
            <w:hideMark/>
          </w:tcPr>
          <w:p w:rsidR="003217B9" w:rsidRPr="00636B1E" w:rsidRDefault="003217B9" w:rsidP="00911CA1">
            <w:pPr>
              <w:spacing w:before="60" w:after="60"/>
              <w:jc w:val="center"/>
              <w:rPr>
                <w:rFonts w:ascii="Calibri" w:eastAsia="Times New Roman" w:hAnsi="Calibri" w:cs="Calibri"/>
                <w:color w:val="000000"/>
                <w:sz w:val="22"/>
                <w:lang w:val="en-US"/>
              </w:rPr>
            </w:pPr>
            <w:r w:rsidRPr="00636B1E">
              <w:rPr>
                <w:rFonts w:ascii="Calibri" w:eastAsia="Times New Roman" w:hAnsi="Calibri" w:cs="Calibri"/>
                <w:color w:val="000000"/>
                <w:sz w:val="22"/>
                <w:lang w:val="en-US"/>
              </w:rPr>
              <w:t>40,393</w:t>
            </w:r>
          </w:p>
        </w:tc>
        <w:tc>
          <w:tcPr>
            <w:tcW w:w="1985" w:type="dxa"/>
            <w:tcBorders>
              <w:top w:val="none" w:sz="0" w:space="0" w:color="auto"/>
              <w:bottom w:val="none" w:sz="0" w:space="0" w:color="auto"/>
            </w:tcBorders>
            <w:noWrap/>
            <w:hideMark/>
          </w:tcPr>
          <w:p w:rsidR="003217B9" w:rsidRPr="00636B1E" w:rsidRDefault="003217B9" w:rsidP="00911CA1">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636B1E">
              <w:rPr>
                <w:rFonts w:ascii="Calibri" w:eastAsia="Times New Roman" w:hAnsi="Calibri" w:cs="Calibri"/>
                <w:color w:val="000000"/>
                <w:sz w:val="22"/>
                <w:lang w:val="en-US"/>
              </w:rPr>
              <w:t>23.0%</w:t>
            </w:r>
          </w:p>
        </w:tc>
        <w:tc>
          <w:tcPr>
            <w:cnfStyle w:val="000010000000" w:firstRow="0" w:lastRow="0" w:firstColumn="0" w:lastColumn="0" w:oddVBand="1" w:evenVBand="0" w:oddHBand="0" w:evenHBand="0" w:firstRowFirstColumn="0" w:firstRowLastColumn="0" w:lastRowFirstColumn="0" w:lastRowLastColumn="0"/>
            <w:tcW w:w="2315" w:type="dxa"/>
            <w:tcBorders>
              <w:top w:val="none" w:sz="0" w:space="0" w:color="auto"/>
              <w:left w:val="none" w:sz="0" w:space="0" w:color="auto"/>
              <w:bottom w:val="none" w:sz="0" w:space="0" w:color="auto"/>
              <w:right w:val="none" w:sz="0" w:space="0" w:color="auto"/>
            </w:tcBorders>
            <w:noWrap/>
            <w:hideMark/>
          </w:tcPr>
          <w:p w:rsidR="003217B9" w:rsidRPr="00636B1E" w:rsidRDefault="003217B9" w:rsidP="00911CA1">
            <w:pPr>
              <w:spacing w:before="60" w:after="60"/>
              <w:jc w:val="center"/>
              <w:rPr>
                <w:rFonts w:ascii="Calibri" w:eastAsia="Times New Roman" w:hAnsi="Calibri" w:cs="Calibri"/>
                <w:color w:val="000000"/>
                <w:sz w:val="22"/>
                <w:lang w:val="en-US"/>
              </w:rPr>
            </w:pPr>
            <w:r w:rsidRPr="00636B1E">
              <w:rPr>
                <w:rFonts w:ascii="Calibri" w:eastAsia="Times New Roman" w:hAnsi="Calibri" w:cs="Calibri"/>
                <w:color w:val="000000"/>
                <w:sz w:val="22"/>
                <w:lang w:val="en-US"/>
              </w:rPr>
              <w:t>$46.62</w:t>
            </w:r>
          </w:p>
        </w:tc>
      </w:tr>
      <w:tr w:rsidR="003217B9" w:rsidRPr="00636B1E" w:rsidTr="00EF1847">
        <w:trPr>
          <w:trHeight w:val="315"/>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noWrap/>
            <w:hideMark/>
          </w:tcPr>
          <w:p w:rsidR="003217B9" w:rsidRPr="00636B1E" w:rsidRDefault="003217B9" w:rsidP="00911CA1">
            <w:pPr>
              <w:spacing w:before="60" w:after="60"/>
              <w:rPr>
                <w:rFonts w:ascii="Calibri" w:eastAsia="Times New Roman" w:hAnsi="Calibri" w:cs="Calibri"/>
                <w:color w:val="000000"/>
                <w:sz w:val="22"/>
                <w:lang w:val="en-US"/>
              </w:rPr>
            </w:pPr>
            <w:r>
              <w:rPr>
                <w:rFonts w:ascii="Calibri" w:eastAsia="Times New Roman" w:hAnsi="Calibri" w:cs="Calibri"/>
                <w:color w:val="000000"/>
                <w:sz w:val="22"/>
                <w:lang w:val="en-US"/>
              </w:rPr>
              <w:t>High</w:t>
            </w:r>
          </w:p>
        </w:tc>
        <w:tc>
          <w:tcPr>
            <w:cnfStyle w:val="000010000000" w:firstRow="0" w:lastRow="0" w:firstColumn="0" w:lastColumn="0" w:oddVBand="1" w:evenVBand="0" w:oddHBand="0" w:evenHBand="0" w:firstRowFirstColumn="0" w:firstRowLastColumn="0" w:lastRowFirstColumn="0" w:lastRowLastColumn="0"/>
            <w:tcW w:w="2409" w:type="dxa"/>
            <w:tcBorders>
              <w:left w:val="none" w:sz="0" w:space="0" w:color="auto"/>
              <w:right w:val="none" w:sz="0" w:space="0" w:color="auto"/>
            </w:tcBorders>
            <w:noWrap/>
            <w:hideMark/>
          </w:tcPr>
          <w:p w:rsidR="003217B9" w:rsidRPr="00636B1E" w:rsidRDefault="003217B9" w:rsidP="00911CA1">
            <w:pPr>
              <w:spacing w:before="60" w:after="60"/>
              <w:jc w:val="center"/>
              <w:rPr>
                <w:rFonts w:ascii="Calibri" w:eastAsia="Times New Roman" w:hAnsi="Calibri" w:cs="Calibri"/>
                <w:color w:val="000000"/>
                <w:sz w:val="22"/>
                <w:lang w:val="en-US"/>
              </w:rPr>
            </w:pPr>
            <w:r w:rsidRPr="00636B1E">
              <w:rPr>
                <w:rFonts w:ascii="Calibri" w:eastAsia="Times New Roman" w:hAnsi="Calibri" w:cs="Calibri"/>
                <w:color w:val="000000"/>
                <w:sz w:val="22"/>
                <w:lang w:val="en-US"/>
              </w:rPr>
              <w:t>107,105</w:t>
            </w:r>
          </w:p>
        </w:tc>
        <w:tc>
          <w:tcPr>
            <w:tcW w:w="1985" w:type="dxa"/>
            <w:noWrap/>
            <w:hideMark/>
          </w:tcPr>
          <w:p w:rsidR="003217B9" w:rsidRPr="00636B1E" w:rsidRDefault="003217B9" w:rsidP="00911CA1">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636B1E">
              <w:rPr>
                <w:rFonts w:ascii="Calibri" w:eastAsia="Times New Roman" w:hAnsi="Calibri" w:cs="Calibri"/>
                <w:color w:val="000000"/>
                <w:sz w:val="22"/>
                <w:lang w:val="en-US"/>
              </w:rPr>
              <w:t>61.1%</w:t>
            </w:r>
          </w:p>
        </w:tc>
        <w:tc>
          <w:tcPr>
            <w:cnfStyle w:val="000010000000" w:firstRow="0" w:lastRow="0" w:firstColumn="0" w:lastColumn="0" w:oddVBand="1" w:evenVBand="0" w:oddHBand="0" w:evenHBand="0" w:firstRowFirstColumn="0" w:firstRowLastColumn="0" w:lastRowFirstColumn="0" w:lastRowLastColumn="0"/>
            <w:tcW w:w="2315" w:type="dxa"/>
            <w:tcBorders>
              <w:left w:val="none" w:sz="0" w:space="0" w:color="auto"/>
              <w:right w:val="none" w:sz="0" w:space="0" w:color="auto"/>
            </w:tcBorders>
            <w:noWrap/>
            <w:hideMark/>
          </w:tcPr>
          <w:p w:rsidR="003217B9" w:rsidRPr="00636B1E" w:rsidRDefault="003217B9" w:rsidP="00911CA1">
            <w:pPr>
              <w:spacing w:before="60" w:after="60"/>
              <w:jc w:val="center"/>
              <w:rPr>
                <w:rFonts w:ascii="Calibri" w:eastAsia="Times New Roman" w:hAnsi="Calibri" w:cs="Calibri"/>
                <w:color w:val="000000"/>
                <w:sz w:val="22"/>
                <w:lang w:val="en-US"/>
              </w:rPr>
            </w:pPr>
            <w:r w:rsidRPr="00636B1E">
              <w:rPr>
                <w:rFonts w:ascii="Calibri" w:eastAsia="Times New Roman" w:hAnsi="Calibri" w:cs="Calibri"/>
                <w:color w:val="000000"/>
                <w:sz w:val="22"/>
                <w:lang w:val="en-US"/>
              </w:rPr>
              <w:t>$67.32</w:t>
            </w:r>
          </w:p>
        </w:tc>
      </w:tr>
      <w:tr w:rsidR="003217B9" w:rsidRPr="00D65C73" w:rsidTr="00A2217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right w:val="none" w:sz="0" w:space="0" w:color="auto"/>
            </w:tcBorders>
            <w:shd w:val="clear" w:color="auto" w:fill="auto"/>
            <w:noWrap/>
            <w:hideMark/>
          </w:tcPr>
          <w:p w:rsidR="003217B9" w:rsidRPr="00D65C73" w:rsidRDefault="003217B9" w:rsidP="00911CA1">
            <w:pPr>
              <w:spacing w:before="60" w:after="60"/>
              <w:rPr>
                <w:rFonts w:ascii="Calibri" w:eastAsia="Times New Roman" w:hAnsi="Calibri" w:cs="Calibri"/>
                <w:color w:val="000000"/>
                <w:sz w:val="22"/>
                <w:lang w:val="en-US"/>
              </w:rPr>
            </w:pPr>
            <w:r w:rsidRPr="00D65C73">
              <w:rPr>
                <w:rFonts w:ascii="Calibri" w:eastAsia="Times New Roman" w:hAnsi="Calibri" w:cs="Calibri"/>
                <w:color w:val="000000"/>
                <w:sz w:val="22"/>
                <w:lang w:val="en-US"/>
              </w:rPr>
              <w:t>Total</w:t>
            </w:r>
          </w:p>
        </w:tc>
        <w:tc>
          <w:tcPr>
            <w:cnfStyle w:val="000010000000" w:firstRow="0" w:lastRow="0" w:firstColumn="0" w:lastColumn="0" w:oddVBand="1" w:evenVBand="0" w:oddHBand="0" w:evenHBand="0" w:firstRowFirstColumn="0" w:firstRowLastColumn="0" w:lastRowFirstColumn="0" w:lastRowLastColumn="0"/>
            <w:tcW w:w="2409" w:type="dxa"/>
            <w:tcBorders>
              <w:top w:val="none" w:sz="0" w:space="0" w:color="auto"/>
              <w:left w:val="none" w:sz="0" w:space="0" w:color="auto"/>
              <w:bottom w:val="none" w:sz="0" w:space="0" w:color="auto"/>
              <w:right w:val="none" w:sz="0" w:space="0" w:color="auto"/>
            </w:tcBorders>
            <w:shd w:val="clear" w:color="auto" w:fill="auto"/>
            <w:noWrap/>
            <w:hideMark/>
          </w:tcPr>
          <w:p w:rsidR="003217B9" w:rsidRPr="00D65C73" w:rsidRDefault="003217B9" w:rsidP="00911CA1">
            <w:pPr>
              <w:spacing w:before="60" w:after="60"/>
              <w:jc w:val="center"/>
              <w:rPr>
                <w:rFonts w:ascii="Calibri" w:eastAsia="Times New Roman" w:hAnsi="Calibri" w:cs="Calibri"/>
                <w:b/>
                <w:color w:val="000000"/>
                <w:sz w:val="22"/>
                <w:lang w:val="en-US"/>
              </w:rPr>
            </w:pPr>
            <w:r w:rsidRPr="00D65C73">
              <w:rPr>
                <w:rFonts w:ascii="Calibri" w:eastAsia="Times New Roman" w:hAnsi="Calibri" w:cs="Calibri"/>
                <w:b/>
                <w:color w:val="000000"/>
                <w:sz w:val="22"/>
                <w:lang w:val="en-US"/>
              </w:rPr>
              <w:t>175,360</w:t>
            </w:r>
          </w:p>
        </w:tc>
        <w:tc>
          <w:tcPr>
            <w:tcW w:w="1985" w:type="dxa"/>
            <w:tcBorders>
              <w:top w:val="none" w:sz="0" w:space="0" w:color="auto"/>
              <w:bottom w:val="none" w:sz="0" w:space="0" w:color="auto"/>
            </w:tcBorders>
            <w:shd w:val="clear" w:color="auto" w:fill="auto"/>
            <w:noWrap/>
            <w:hideMark/>
          </w:tcPr>
          <w:p w:rsidR="003217B9" w:rsidRPr="00D65C73" w:rsidRDefault="003217B9" w:rsidP="00911CA1">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val="en-US"/>
              </w:rPr>
            </w:pPr>
            <w:r w:rsidRPr="00D65C73">
              <w:rPr>
                <w:rFonts w:ascii="Calibri" w:eastAsia="Times New Roman" w:hAnsi="Calibri" w:cs="Calibri"/>
                <w:b/>
                <w:color w:val="000000"/>
                <w:sz w:val="22"/>
                <w:lang w:val="en-US"/>
              </w:rPr>
              <w:t>100.0%</w:t>
            </w:r>
          </w:p>
        </w:tc>
        <w:tc>
          <w:tcPr>
            <w:cnfStyle w:val="000010000000" w:firstRow="0" w:lastRow="0" w:firstColumn="0" w:lastColumn="0" w:oddVBand="1" w:evenVBand="0" w:oddHBand="0" w:evenHBand="0" w:firstRowFirstColumn="0" w:firstRowLastColumn="0" w:lastRowFirstColumn="0" w:lastRowLastColumn="0"/>
            <w:tcW w:w="2315" w:type="dxa"/>
            <w:tcBorders>
              <w:top w:val="none" w:sz="0" w:space="0" w:color="auto"/>
              <w:left w:val="none" w:sz="0" w:space="0" w:color="auto"/>
              <w:bottom w:val="none" w:sz="0" w:space="0" w:color="auto"/>
              <w:right w:val="none" w:sz="0" w:space="0" w:color="auto"/>
            </w:tcBorders>
            <w:shd w:val="clear" w:color="auto" w:fill="auto"/>
            <w:noWrap/>
            <w:hideMark/>
          </w:tcPr>
          <w:p w:rsidR="003217B9" w:rsidRPr="00D65C73" w:rsidRDefault="003217B9" w:rsidP="00911CA1">
            <w:pPr>
              <w:spacing w:before="60" w:after="60"/>
              <w:jc w:val="center"/>
              <w:rPr>
                <w:rFonts w:ascii="Calibri" w:eastAsia="Times New Roman" w:hAnsi="Calibri" w:cs="Calibri"/>
                <w:b/>
                <w:color w:val="000000"/>
                <w:sz w:val="22"/>
                <w:lang w:val="en-US"/>
              </w:rPr>
            </w:pPr>
            <w:r w:rsidRPr="00D65C73">
              <w:rPr>
                <w:rFonts w:ascii="Calibri" w:eastAsia="Times New Roman" w:hAnsi="Calibri" w:cs="Calibri"/>
                <w:b/>
                <w:color w:val="000000"/>
                <w:sz w:val="22"/>
                <w:lang w:val="en-US"/>
              </w:rPr>
              <w:t>$53.98</w:t>
            </w:r>
          </w:p>
        </w:tc>
      </w:tr>
    </w:tbl>
    <w:p w:rsidR="003217B9" w:rsidRPr="00835AA6" w:rsidRDefault="003217B9" w:rsidP="003217B9">
      <w:pPr>
        <w:rPr>
          <w:sz w:val="22"/>
        </w:rPr>
      </w:pPr>
      <w:r w:rsidRPr="00835AA6">
        <w:rPr>
          <w:sz w:val="22"/>
        </w:rPr>
        <w:t>*</w:t>
      </w:r>
      <w:r w:rsidR="00D65C73">
        <w:rPr>
          <w:sz w:val="22"/>
        </w:rPr>
        <w:t xml:space="preserve"> </w:t>
      </w:r>
      <w:r w:rsidRPr="00835AA6">
        <w:rPr>
          <w:sz w:val="22"/>
        </w:rPr>
        <w:t xml:space="preserve">Minor differences between the chart and table </w:t>
      </w:r>
      <w:r w:rsidR="002965F2">
        <w:rPr>
          <w:sz w:val="22"/>
        </w:rPr>
        <w:t>per cent</w:t>
      </w:r>
      <w:r w:rsidRPr="00835AA6">
        <w:rPr>
          <w:sz w:val="22"/>
        </w:rPr>
        <w:t xml:space="preserve"> are due to rounding</w:t>
      </w:r>
    </w:p>
    <w:p w:rsidR="00980F62" w:rsidRDefault="003217B9" w:rsidP="001F2491">
      <w:pPr>
        <w:pStyle w:val="Heading3-Chapter62"/>
      </w:pPr>
      <w:bookmarkStart w:id="414" w:name="_Toc486350714"/>
      <w:bookmarkStart w:id="415" w:name="_Toc486600040"/>
      <w:r w:rsidRPr="003F12E8">
        <w:t>ACFI 11 Medication</w:t>
      </w:r>
      <w:bookmarkEnd w:id="414"/>
      <w:bookmarkEnd w:id="415"/>
    </w:p>
    <w:p w:rsidR="00980F62" w:rsidRDefault="003217B9" w:rsidP="00557DB1">
      <w:pPr>
        <w:rPr>
          <w:lang w:eastAsia="en-AU"/>
        </w:rPr>
      </w:pPr>
      <w:bookmarkStart w:id="416" w:name="_Hlk484701789"/>
      <w:r w:rsidRPr="00A807DF">
        <w:rPr>
          <w:lang w:eastAsia="en-AU"/>
        </w:rPr>
        <w:t>The proportion of residents receiving assistance with medications</w:t>
      </w:r>
      <w:r>
        <w:rPr>
          <w:lang w:eastAsia="en-AU"/>
        </w:rPr>
        <w:t xml:space="preserve"> has been virtually unchanged since 2009 (</w:t>
      </w:r>
      <w:hyperlink w:anchor="Fig0602" w:history="1">
        <w:r w:rsidRPr="002F576C">
          <w:rPr>
            <w:rStyle w:val="Hyperlink"/>
            <w:lang w:eastAsia="en-AU"/>
          </w:rPr>
          <w:t>Figure 6.2</w:t>
        </w:r>
      </w:hyperlink>
      <w:r>
        <w:rPr>
          <w:lang w:eastAsia="en-AU"/>
        </w:rPr>
        <w:t>). The proportion of residents receiving i</w:t>
      </w:r>
      <w:r w:rsidRPr="00A807DF">
        <w:rPr>
          <w:lang w:eastAsia="en-AU"/>
        </w:rPr>
        <w:t>njections</w:t>
      </w:r>
      <w:r w:rsidR="009C3440">
        <w:rPr>
          <w:lang w:eastAsia="en-AU"/>
        </w:rPr>
        <w:t xml:space="preserve"> (</w:t>
      </w:r>
      <w:hyperlink w:anchor="Fig0603" w:history="1">
        <w:r w:rsidR="009C3440" w:rsidRPr="002F576C">
          <w:rPr>
            <w:rStyle w:val="Hyperlink"/>
            <w:lang w:eastAsia="en-AU"/>
          </w:rPr>
          <w:t>Figure</w:t>
        </w:r>
        <w:r w:rsidR="00A22174">
          <w:rPr>
            <w:rStyle w:val="Hyperlink"/>
            <w:lang w:eastAsia="en-AU"/>
          </w:rPr>
          <w:t> </w:t>
        </w:r>
        <w:r w:rsidR="009C3440" w:rsidRPr="002F576C">
          <w:rPr>
            <w:rStyle w:val="Hyperlink"/>
            <w:lang w:eastAsia="en-AU"/>
          </w:rPr>
          <w:t>6.3</w:t>
        </w:r>
      </w:hyperlink>
      <w:r w:rsidR="009C3440">
        <w:rPr>
          <w:lang w:eastAsia="en-AU"/>
        </w:rPr>
        <w:t>)</w:t>
      </w:r>
      <w:r w:rsidRPr="00A807DF">
        <w:rPr>
          <w:lang w:eastAsia="en-AU"/>
        </w:rPr>
        <w:t xml:space="preserve"> has </w:t>
      </w:r>
      <w:r>
        <w:rPr>
          <w:lang w:eastAsia="en-AU"/>
        </w:rPr>
        <w:t>grown by 5.2</w:t>
      </w:r>
      <w:r w:rsidR="002965F2">
        <w:rPr>
          <w:lang w:eastAsia="en-AU"/>
        </w:rPr>
        <w:t xml:space="preserve"> per cent</w:t>
      </w:r>
      <w:r>
        <w:rPr>
          <w:lang w:eastAsia="en-AU"/>
        </w:rPr>
        <w:t xml:space="preserve"> pa. from</w:t>
      </w:r>
      <w:r w:rsidRPr="00A807DF">
        <w:rPr>
          <w:lang w:eastAsia="en-AU"/>
        </w:rPr>
        <w:t xml:space="preserve"> 2009 </w:t>
      </w:r>
      <w:r>
        <w:rPr>
          <w:lang w:eastAsia="en-AU"/>
        </w:rPr>
        <w:t xml:space="preserve">to </w:t>
      </w:r>
      <w:r w:rsidR="00DF6768">
        <w:rPr>
          <w:lang w:eastAsia="en-AU"/>
        </w:rPr>
        <w:t xml:space="preserve">June 30, </w:t>
      </w:r>
      <w:r>
        <w:rPr>
          <w:lang w:eastAsia="en-AU"/>
        </w:rPr>
        <w:t xml:space="preserve">2016 </w:t>
      </w:r>
      <w:r w:rsidRPr="00A807DF">
        <w:rPr>
          <w:lang w:eastAsia="en-AU"/>
        </w:rPr>
        <w:t>(4.4 to 5.9</w:t>
      </w:r>
      <w:r w:rsidR="002965F2">
        <w:rPr>
          <w:lang w:eastAsia="en-AU"/>
        </w:rPr>
        <w:t xml:space="preserve"> per cent</w:t>
      </w:r>
      <w:r>
        <w:rPr>
          <w:lang w:eastAsia="en-AU"/>
        </w:rPr>
        <w:t>) with around 10,200 residents receiving this type of support</w:t>
      </w:r>
      <w:r w:rsidRPr="00A807DF">
        <w:rPr>
          <w:lang w:eastAsia="en-AU"/>
        </w:rPr>
        <w:t>.</w:t>
      </w:r>
      <w:r>
        <w:rPr>
          <w:lang w:eastAsia="en-AU"/>
        </w:rPr>
        <w:t xml:space="preserve"> Only 1.9</w:t>
      </w:r>
      <w:r w:rsidR="002965F2">
        <w:rPr>
          <w:lang w:eastAsia="en-AU"/>
        </w:rPr>
        <w:t xml:space="preserve"> per cent</w:t>
      </w:r>
      <w:r>
        <w:rPr>
          <w:lang w:eastAsia="en-AU"/>
        </w:rPr>
        <w:t xml:space="preserve"> of residents received no help with medication.</w:t>
      </w:r>
    </w:p>
    <w:p w:rsidR="00484EE0" w:rsidRDefault="00484EE0">
      <w:pPr>
        <w:spacing w:after="200"/>
        <w:jc w:val="left"/>
        <w:rPr>
          <w:lang w:eastAsia="en-AU"/>
        </w:rPr>
      </w:pPr>
      <w:r>
        <w:rPr>
          <w:lang w:eastAsia="en-AU"/>
        </w:rPr>
        <w:br w:type="page"/>
      </w:r>
    </w:p>
    <w:p w:rsidR="0046234D" w:rsidRDefault="00CA4524" w:rsidP="0046234D">
      <w:pPr>
        <w:pStyle w:val="Caption"/>
        <w:keepNext/>
      </w:pPr>
      <w:bookmarkStart w:id="417" w:name="_Toc495416521"/>
      <w:bookmarkStart w:id="418" w:name="_Toc485932330"/>
      <w:bookmarkStart w:id="419" w:name="_Toc485932423"/>
      <w:bookmarkStart w:id="420" w:name="_Toc486600164"/>
      <w:bookmarkStart w:id="421" w:name="_Toc486605004"/>
      <w:bookmarkEnd w:id="416"/>
      <w:r>
        <w:lastRenderedPageBreak/>
        <w:t>Figure 6.</w:t>
      </w:r>
      <w:r w:rsidR="009A3F5A">
        <w:fldChar w:fldCharType="begin"/>
      </w:r>
      <w:r w:rsidR="009A3F5A">
        <w:instrText xml:space="preserve"> SEQ Figure_6. \* ARABIC </w:instrText>
      </w:r>
      <w:r w:rsidR="009A3F5A">
        <w:fldChar w:fldCharType="separate"/>
      </w:r>
      <w:r w:rsidR="00856E49">
        <w:rPr>
          <w:noProof/>
        </w:rPr>
        <w:t>2</w:t>
      </w:r>
      <w:r w:rsidR="009A3F5A">
        <w:rPr>
          <w:noProof/>
        </w:rPr>
        <w:fldChar w:fldCharType="end"/>
      </w:r>
      <w:r>
        <w:t xml:space="preserve">: </w:t>
      </w:r>
      <w:r w:rsidRPr="00CA4524">
        <w:t>ACFI 11 Medication Rating B=Assistance Required (2009 – 2016)</w:t>
      </w:r>
      <w:bookmarkEnd w:id="417"/>
    </w:p>
    <w:p w:rsidR="00795F88" w:rsidRDefault="00795F88" w:rsidP="00DF6768">
      <w:r>
        <w:rPr>
          <w:noProof/>
          <w:lang w:eastAsia="en-AU"/>
        </w:rPr>
        <w:drawing>
          <wp:inline distT="0" distB="0" distL="0" distR="0" wp14:anchorId="01006EC0" wp14:editId="08A57706">
            <wp:extent cx="5450205" cy="3169920"/>
            <wp:effectExtent l="0" t="0" r="0" b="0"/>
            <wp:docPr id="129" name="Picture 129" descr="Figure 6.2 is a line graph that illustrates the percentage of residents receiving medication for rating B (assistance required) under the Complex Health Care (CHC) domain from 2009 to 2016, as summaris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50205" cy="3169920"/>
                    </a:xfrm>
                    <a:prstGeom prst="rect">
                      <a:avLst/>
                    </a:prstGeom>
                    <a:noFill/>
                  </pic:spPr>
                </pic:pic>
              </a:graphicData>
            </a:graphic>
          </wp:inline>
        </w:drawing>
      </w:r>
    </w:p>
    <w:p w:rsidR="00980F62" w:rsidRDefault="0046234D" w:rsidP="0046234D">
      <w:pPr>
        <w:pStyle w:val="Caption"/>
        <w:keepNext/>
      </w:pPr>
      <w:bookmarkStart w:id="422" w:name="_Toc495416522"/>
      <w:bookmarkEnd w:id="418"/>
      <w:bookmarkEnd w:id="419"/>
      <w:bookmarkEnd w:id="420"/>
      <w:bookmarkEnd w:id="421"/>
      <w:r>
        <w:t>Figure 6.</w:t>
      </w:r>
      <w:r w:rsidR="009A3F5A">
        <w:fldChar w:fldCharType="begin"/>
      </w:r>
      <w:r w:rsidR="009A3F5A">
        <w:instrText xml:space="preserve"> SEQ Figure_6. \* ARABIC </w:instrText>
      </w:r>
      <w:r w:rsidR="009A3F5A">
        <w:fldChar w:fldCharType="separate"/>
      </w:r>
      <w:r w:rsidR="00856E49">
        <w:rPr>
          <w:noProof/>
        </w:rPr>
        <w:t>3</w:t>
      </w:r>
      <w:r w:rsidR="009A3F5A">
        <w:rPr>
          <w:noProof/>
        </w:rPr>
        <w:fldChar w:fldCharType="end"/>
      </w:r>
      <w:r>
        <w:t xml:space="preserve">: </w:t>
      </w:r>
      <w:r w:rsidRPr="0046234D">
        <w:t>ACFI 11 Medication Ratings A = No Help and C = Injections (2009 – 2016)</w:t>
      </w:r>
      <w:bookmarkEnd w:id="422"/>
    </w:p>
    <w:p w:rsidR="00795F88" w:rsidRDefault="00795F88" w:rsidP="003217B9">
      <w:pPr>
        <w:rPr>
          <w:lang w:eastAsia="en-AU"/>
        </w:rPr>
      </w:pPr>
      <w:r>
        <w:rPr>
          <w:noProof/>
          <w:lang w:eastAsia="en-AU"/>
        </w:rPr>
        <w:drawing>
          <wp:inline distT="0" distB="0" distL="0" distR="0" wp14:anchorId="4ED3C84B" wp14:editId="2DB7C38B">
            <wp:extent cx="5499100" cy="2932430"/>
            <wp:effectExtent l="0" t="0" r="6350" b="1270"/>
            <wp:docPr id="131" name="Picture 131" descr="Figure 6.3 is a line graph illustrating the percentage of residents requiring assistance for medication for rating A (no help) and C (injections) under the Complex Health Care (CHC) domain from 2009 to 2016, as summaris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99100" cy="2932430"/>
                    </a:xfrm>
                    <a:prstGeom prst="rect">
                      <a:avLst/>
                    </a:prstGeom>
                    <a:noFill/>
                  </pic:spPr>
                </pic:pic>
              </a:graphicData>
            </a:graphic>
          </wp:inline>
        </w:drawing>
      </w:r>
    </w:p>
    <w:p w:rsidR="00980F62" w:rsidRDefault="003217B9" w:rsidP="001F2491">
      <w:pPr>
        <w:pStyle w:val="Heading3-Chapter62"/>
      </w:pPr>
      <w:bookmarkStart w:id="423" w:name="_Toc486350715"/>
      <w:bookmarkStart w:id="424" w:name="_Toc486600041"/>
      <w:bookmarkStart w:id="425" w:name="_Hlk489278280"/>
      <w:r w:rsidRPr="003F12E8">
        <w:t>ACFI 12 C</w:t>
      </w:r>
      <w:r w:rsidR="00CE672B" w:rsidRPr="003F12E8">
        <w:t>HC</w:t>
      </w:r>
      <w:bookmarkEnd w:id="423"/>
      <w:bookmarkEnd w:id="424"/>
    </w:p>
    <w:p w:rsidR="003217B9" w:rsidRPr="00B33CC9" w:rsidRDefault="003217B9" w:rsidP="00483480">
      <w:pPr>
        <w:pStyle w:val="Heading4-Chapter622"/>
        <w:spacing w:before="120"/>
        <w:rPr>
          <w:rStyle w:val="Strong"/>
          <w:b/>
        </w:rPr>
      </w:pPr>
      <w:bookmarkStart w:id="426" w:name="_Hlk489278288"/>
      <w:bookmarkEnd w:id="425"/>
      <w:r w:rsidRPr="00B33CC9">
        <w:rPr>
          <w:rStyle w:val="Strong"/>
          <w:b/>
        </w:rPr>
        <w:t>Blood Pressure &amp; Blood Glucose</w:t>
      </w:r>
    </w:p>
    <w:bookmarkEnd w:id="426"/>
    <w:p w:rsidR="00980F62" w:rsidRDefault="003217B9" w:rsidP="00557DB1">
      <w:pPr>
        <w:rPr>
          <w:lang w:eastAsia="en-AU"/>
        </w:rPr>
      </w:pPr>
      <w:r w:rsidRPr="00A807DF">
        <w:rPr>
          <w:lang w:eastAsia="en-AU"/>
        </w:rPr>
        <w:t xml:space="preserve">The proportion of residents receiving </w:t>
      </w:r>
      <w:r>
        <w:rPr>
          <w:lang w:eastAsia="en-AU"/>
        </w:rPr>
        <w:t>daily blood pressure checks has increased by 10.4</w:t>
      </w:r>
      <w:r w:rsidR="002965F2">
        <w:rPr>
          <w:lang w:eastAsia="en-AU"/>
        </w:rPr>
        <w:t xml:space="preserve"> per cent</w:t>
      </w:r>
      <w:r>
        <w:rPr>
          <w:lang w:eastAsia="en-AU"/>
        </w:rPr>
        <w:t xml:space="preserve"> pa. since 2009, from 3.1</w:t>
      </w:r>
      <w:r w:rsidR="002965F2">
        <w:rPr>
          <w:lang w:eastAsia="en-AU"/>
        </w:rPr>
        <w:t xml:space="preserve"> per cent</w:t>
      </w:r>
      <w:r>
        <w:rPr>
          <w:lang w:eastAsia="en-AU"/>
        </w:rPr>
        <w:t xml:space="preserve"> of residents to now 6.2</w:t>
      </w:r>
      <w:r w:rsidR="002965F2">
        <w:rPr>
          <w:lang w:eastAsia="en-AU"/>
        </w:rPr>
        <w:t xml:space="preserve"> per cent</w:t>
      </w:r>
      <w:r>
        <w:rPr>
          <w:lang w:eastAsia="en-AU"/>
        </w:rPr>
        <w:t xml:space="preserve"> of residents (</w:t>
      </w:r>
      <w:hyperlink w:anchor="Fig0604" w:history="1">
        <w:r w:rsidRPr="002F576C">
          <w:rPr>
            <w:rStyle w:val="Hyperlink"/>
            <w:lang w:eastAsia="en-AU"/>
          </w:rPr>
          <w:t>Figure 6.4</w:t>
        </w:r>
      </w:hyperlink>
      <w:r>
        <w:rPr>
          <w:lang w:eastAsia="en-AU"/>
        </w:rPr>
        <w:t>). Daily blood glucose tests have also increased to 8.6</w:t>
      </w:r>
      <w:r w:rsidR="002965F2">
        <w:rPr>
          <w:lang w:eastAsia="en-AU"/>
        </w:rPr>
        <w:t xml:space="preserve"> per cent</w:t>
      </w:r>
      <w:r>
        <w:rPr>
          <w:lang w:eastAsia="en-AU"/>
        </w:rPr>
        <w:t xml:space="preserve"> of residents in 2016, but at a lower growth rate of 4.9</w:t>
      </w:r>
      <w:r w:rsidR="002965F2">
        <w:rPr>
          <w:lang w:eastAsia="en-AU"/>
        </w:rPr>
        <w:t xml:space="preserve"> per cent</w:t>
      </w:r>
      <w:r>
        <w:rPr>
          <w:lang w:eastAsia="en-AU"/>
        </w:rPr>
        <w:t xml:space="preserve"> pa. since 2009.</w:t>
      </w:r>
    </w:p>
    <w:p w:rsidR="0046234D" w:rsidRDefault="0046234D" w:rsidP="0046234D">
      <w:pPr>
        <w:pStyle w:val="Caption"/>
        <w:keepNext/>
        <w:spacing w:before="120"/>
      </w:pPr>
      <w:bookmarkStart w:id="427" w:name="_Toc495416523"/>
      <w:r>
        <w:t>Figure 6.</w:t>
      </w:r>
      <w:r w:rsidR="009A3F5A">
        <w:fldChar w:fldCharType="begin"/>
      </w:r>
      <w:r w:rsidR="009A3F5A">
        <w:instrText xml:space="preserve"> SEQ Figure_6. \* ARABIC </w:instrText>
      </w:r>
      <w:r w:rsidR="009A3F5A">
        <w:fldChar w:fldCharType="separate"/>
      </w:r>
      <w:r w:rsidR="00856E49">
        <w:rPr>
          <w:noProof/>
        </w:rPr>
        <w:t>4</w:t>
      </w:r>
      <w:r w:rsidR="009A3F5A">
        <w:rPr>
          <w:noProof/>
        </w:rPr>
        <w:fldChar w:fldCharType="end"/>
      </w:r>
      <w:r>
        <w:t xml:space="preserve">: </w:t>
      </w:r>
      <w:r w:rsidRPr="0046234D">
        <w:t>Blood Pressure &amp; Blood Glucose (2009 – 2016)</w:t>
      </w:r>
      <w:bookmarkEnd w:id="427"/>
    </w:p>
    <w:p w:rsidR="00795F88" w:rsidRDefault="00795F88" w:rsidP="00557DB1">
      <w:pPr>
        <w:rPr>
          <w:noProof/>
          <w:lang w:val="en-US"/>
        </w:rPr>
      </w:pPr>
      <w:r>
        <w:rPr>
          <w:noProof/>
          <w:lang w:eastAsia="en-AU"/>
        </w:rPr>
        <w:drawing>
          <wp:inline distT="0" distB="0" distL="0" distR="0" wp14:anchorId="7DD58901" wp14:editId="03F5DF95">
            <wp:extent cx="4860000" cy="2682000"/>
            <wp:effectExtent l="0" t="0" r="0" b="4445"/>
            <wp:docPr id="133" name="Picture 133" descr="Figure 6.4 is a line graph illustrating the percentage of residents receiving daily checks for blood pressure and glucose under the Complex Health Care (CHC) domain from 2009 to 2016, as summaris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60000" cy="2682000"/>
                    </a:xfrm>
                    <a:prstGeom prst="rect">
                      <a:avLst/>
                    </a:prstGeom>
                    <a:noFill/>
                  </pic:spPr>
                </pic:pic>
              </a:graphicData>
            </a:graphic>
          </wp:inline>
        </w:drawing>
      </w:r>
    </w:p>
    <w:p w:rsidR="00980F62" w:rsidRDefault="003217B9" w:rsidP="00557DB1">
      <w:pPr>
        <w:spacing w:after="0" w:line="240" w:lineRule="auto"/>
        <w:rPr>
          <w:rStyle w:val="Strong"/>
        </w:rPr>
      </w:pPr>
      <w:r w:rsidRPr="00BA356F">
        <w:rPr>
          <w:rStyle w:val="Strong"/>
        </w:rPr>
        <w:t>Pain Management Items</w:t>
      </w:r>
    </w:p>
    <w:p w:rsidR="00980F62" w:rsidRDefault="003217B9" w:rsidP="00557DB1">
      <w:pPr>
        <w:rPr>
          <w:lang w:eastAsia="en-AU"/>
        </w:rPr>
      </w:pPr>
      <w:r w:rsidRPr="00A0213C">
        <w:rPr>
          <w:lang w:eastAsia="en-AU"/>
        </w:rPr>
        <w:t xml:space="preserve">The pain management items </w:t>
      </w:r>
      <w:r>
        <w:rPr>
          <w:lang w:eastAsia="en-AU"/>
        </w:rPr>
        <w:t xml:space="preserve">have registered very significant growth from 2009 to </w:t>
      </w:r>
      <w:r w:rsidR="00BF5560">
        <w:rPr>
          <w:lang w:eastAsia="en-AU"/>
        </w:rPr>
        <w:t xml:space="preserve">June 30, </w:t>
      </w:r>
      <w:r>
        <w:rPr>
          <w:lang w:eastAsia="en-AU"/>
        </w:rPr>
        <w:t>2016. The proportion of residents receiving simple pain treatment (Q12.3) has increased by 15.1 to 50.4</w:t>
      </w:r>
      <w:r w:rsidR="002965F2">
        <w:rPr>
          <w:lang w:eastAsia="en-AU"/>
        </w:rPr>
        <w:t xml:space="preserve"> per cent pa.</w:t>
      </w:r>
      <w:r>
        <w:rPr>
          <w:lang w:eastAsia="en-AU"/>
        </w:rPr>
        <w:t>; complex pain management for 20 minutes a week (Q12.4a) has increased by 28.7 to now 33.7</w:t>
      </w:r>
      <w:r w:rsidR="002965F2">
        <w:rPr>
          <w:lang w:eastAsia="en-AU"/>
        </w:rPr>
        <w:t xml:space="preserve"> per cent pa.</w:t>
      </w:r>
      <w:r>
        <w:rPr>
          <w:lang w:eastAsia="en-AU"/>
        </w:rPr>
        <w:t xml:space="preserve"> of residents; and complex pain for 80 minutes by an AHP (Q12.b) has increased by 54.4</w:t>
      </w:r>
      <w:r w:rsidR="002965F2">
        <w:rPr>
          <w:lang w:eastAsia="en-AU"/>
        </w:rPr>
        <w:t xml:space="preserve"> per cent</w:t>
      </w:r>
      <w:r>
        <w:rPr>
          <w:lang w:eastAsia="en-AU"/>
        </w:rPr>
        <w:t xml:space="preserve"> pa. with 35.3</w:t>
      </w:r>
      <w:r w:rsidR="002965F2">
        <w:rPr>
          <w:lang w:eastAsia="en-AU"/>
        </w:rPr>
        <w:t xml:space="preserve"> per cent</w:t>
      </w:r>
      <w:r>
        <w:rPr>
          <w:lang w:eastAsia="en-AU"/>
        </w:rPr>
        <w:t xml:space="preserve"> of residents receiving this level of treatment by June 30, 2016.</w:t>
      </w:r>
    </w:p>
    <w:p w:rsidR="0046234D" w:rsidRDefault="0046234D" w:rsidP="0046234D">
      <w:pPr>
        <w:pStyle w:val="Caption"/>
        <w:keepNext/>
        <w:spacing w:before="120"/>
      </w:pPr>
      <w:bookmarkStart w:id="428" w:name="_Toc495416524"/>
      <w:r>
        <w:t>Figure 6.</w:t>
      </w:r>
      <w:r w:rsidR="009A3F5A">
        <w:fldChar w:fldCharType="begin"/>
      </w:r>
      <w:r w:rsidR="009A3F5A">
        <w:instrText xml:space="preserve"> SEQ Figure_6. \* ARABIC </w:instrText>
      </w:r>
      <w:r w:rsidR="009A3F5A">
        <w:fldChar w:fldCharType="separate"/>
      </w:r>
      <w:r w:rsidR="00856E49">
        <w:rPr>
          <w:noProof/>
        </w:rPr>
        <w:t>5</w:t>
      </w:r>
      <w:r w:rsidR="009A3F5A">
        <w:rPr>
          <w:noProof/>
        </w:rPr>
        <w:fldChar w:fldCharType="end"/>
      </w:r>
      <w:r>
        <w:t xml:space="preserve">: </w:t>
      </w:r>
      <w:r w:rsidRPr="0046234D">
        <w:t>Pain Management Simple &amp; Complex (2009 – 2016)</w:t>
      </w:r>
      <w:bookmarkEnd w:id="428"/>
    </w:p>
    <w:p w:rsidR="003217B9" w:rsidRPr="008E1353" w:rsidRDefault="00795F88" w:rsidP="003B4470">
      <w:pPr>
        <w:rPr>
          <w:lang w:eastAsia="en-AU"/>
        </w:rPr>
      </w:pPr>
      <w:r>
        <w:rPr>
          <w:noProof/>
          <w:lang w:eastAsia="en-AU"/>
        </w:rPr>
        <w:drawing>
          <wp:inline distT="0" distB="0" distL="0" distR="0" wp14:anchorId="0A8F001E" wp14:editId="2B044016">
            <wp:extent cx="4860000" cy="2660400"/>
            <wp:effectExtent l="0" t="0" r="0" b="6985"/>
            <wp:docPr id="135" name="Picture 135" descr="Figure 6.5 is a line graph illustrating the percentage of residents receiving pain management under questions 12.3, 12.4a and 12.4b under the Complex Health Care (CHC) domain from 2009 to 2016, as summaris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60000" cy="2660400"/>
                    </a:xfrm>
                    <a:prstGeom prst="rect">
                      <a:avLst/>
                    </a:prstGeom>
                    <a:noFill/>
                  </pic:spPr>
                </pic:pic>
              </a:graphicData>
            </a:graphic>
          </wp:inline>
        </w:drawing>
      </w:r>
      <w:r w:rsidR="003217B9">
        <w:br w:type="page"/>
      </w:r>
      <w:r w:rsidR="003217B9" w:rsidRPr="00BA356F">
        <w:rPr>
          <w:rStyle w:val="Strong"/>
        </w:rPr>
        <w:lastRenderedPageBreak/>
        <w:t>Skin Integrity, RN Feeding, Suppositories &amp; Catheter Care</w:t>
      </w:r>
    </w:p>
    <w:p w:rsidR="00980F62" w:rsidRDefault="003217B9" w:rsidP="00720C8D">
      <w:pPr>
        <w:rPr>
          <w:lang w:eastAsia="en-AU"/>
        </w:rPr>
      </w:pPr>
      <w:r>
        <w:rPr>
          <w:lang w:eastAsia="en-AU"/>
        </w:rPr>
        <w:t>The proportion of residents with claims for RN special feeding (0.3</w:t>
      </w:r>
      <w:r w:rsidR="0065091B">
        <w:rPr>
          <w:lang w:eastAsia="en-AU"/>
        </w:rPr>
        <w:t xml:space="preserve"> per cent</w:t>
      </w:r>
      <w:r>
        <w:rPr>
          <w:lang w:eastAsia="en-AU"/>
        </w:rPr>
        <w:t xml:space="preserve"> on June 30, 2016; </w:t>
      </w:r>
      <w:r w:rsidR="00821900">
        <w:rPr>
          <w:lang w:eastAsia="en-AU"/>
        </w:rPr>
        <w:t xml:space="preserve">negative </w:t>
      </w:r>
      <w:r>
        <w:rPr>
          <w:lang w:eastAsia="en-AU"/>
        </w:rPr>
        <w:t>growth pa.</w:t>
      </w:r>
      <w:r w:rsidRPr="00CA6444">
        <w:rPr>
          <w:lang w:eastAsia="en-AU"/>
        </w:rPr>
        <w:t xml:space="preserve"> </w:t>
      </w:r>
      <w:r>
        <w:rPr>
          <w:lang w:eastAsia="en-AU"/>
        </w:rPr>
        <w:t>-14.4</w:t>
      </w:r>
      <w:r w:rsidR="0065091B">
        <w:rPr>
          <w:lang w:eastAsia="en-AU"/>
        </w:rPr>
        <w:t xml:space="preserve"> per cent</w:t>
      </w:r>
      <w:r>
        <w:rPr>
          <w:lang w:eastAsia="en-AU"/>
        </w:rPr>
        <w:t>) and suppositories (0.7</w:t>
      </w:r>
      <w:r w:rsidR="0065091B">
        <w:rPr>
          <w:lang w:eastAsia="en-AU"/>
        </w:rPr>
        <w:t xml:space="preserve"> per cent</w:t>
      </w:r>
      <w:r>
        <w:rPr>
          <w:lang w:eastAsia="en-AU"/>
        </w:rPr>
        <w:t xml:space="preserve"> on June 30, 2016; </w:t>
      </w:r>
      <w:r w:rsidR="00821900">
        <w:rPr>
          <w:lang w:eastAsia="en-AU"/>
        </w:rPr>
        <w:t xml:space="preserve">negative </w:t>
      </w:r>
      <w:r>
        <w:rPr>
          <w:lang w:eastAsia="en-AU"/>
        </w:rPr>
        <w:t>growth pa.</w:t>
      </w:r>
      <w:r w:rsidR="00795F88">
        <w:rPr>
          <w:lang w:eastAsia="en-AU"/>
        </w:rPr>
        <w:t xml:space="preserve"> </w:t>
      </w:r>
      <w:r>
        <w:rPr>
          <w:lang w:eastAsia="en-AU"/>
        </w:rPr>
        <w:t>-17.6</w:t>
      </w:r>
      <w:r w:rsidR="0065091B">
        <w:rPr>
          <w:lang w:eastAsia="en-AU"/>
        </w:rPr>
        <w:t xml:space="preserve"> per cent</w:t>
      </w:r>
      <w:r>
        <w:rPr>
          <w:lang w:eastAsia="en-AU"/>
        </w:rPr>
        <w:t>) have remained low and reducing since the ACFI was introduced (</w:t>
      </w:r>
      <w:hyperlink w:anchor="Fig0606" w:history="1">
        <w:r w:rsidRPr="002F576C">
          <w:rPr>
            <w:rStyle w:val="Hyperlink"/>
            <w:lang w:eastAsia="en-AU"/>
          </w:rPr>
          <w:t>Figure 6.6</w:t>
        </w:r>
      </w:hyperlink>
      <w:r>
        <w:rPr>
          <w:lang w:eastAsia="en-AU"/>
        </w:rPr>
        <w:t>). The proportion of residents with catheter care claims are also relatively low (3.2</w:t>
      </w:r>
      <w:r w:rsidR="0065091B">
        <w:rPr>
          <w:lang w:eastAsia="en-AU"/>
        </w:rPr>
        <w:t xml:space="preserve"> per cent</w:t>
      </w:r>
      <w:r>
        <w:rPr>
          <w:lang w:eastAsia="en-AU"/>
        </w:rPr>
        <w:t xml:space="preserve"> on June 30, 2016) but have remained consistent over the period since 2009 (growth pa. 1.1</w:t>
      </w:r>
      <w:r w:rsidR="0065091B">
        <w:rPr>
          <w:lang w:eastAsia="en-AU"/>
        </w:rPr>
        <w:t xml:space="preserve"> per cent</w:t>
      </w:r>
      <w:r>
        <w:rPr>
          <w:lang w:eastAsia="en-AU"/>
        </w:rPr>
        <w:t>).</w:t>
      </w:r>
    </w:p>
    <w:p w:rsidR="00980F62" w:rsidRDefault="003217B9" w:rsidP="00720C8D">
      <w:pPr>
        <w:rPr>
          <w:lang w:eastAsia="en-AU"/>
        </w:rPr>
      </w:pPr>
      <w:r>
        <w:rPr>
          <w:lang w:eastAsia="en-AU"/>
        </w:rPr>
        <w:t>As might be expected, the proportion of residents with claims for skin integrity needs (re-positioning at least 4 times per day) applies to a much higher proportion of residents at June 30, 2016 (38.7</w:t>
      </w:r>
      <w:r w:rsidR="0065091B">
        <w:rPr>
          <w:lang w:eastAsia="en-AU"/>
        </w:rPr>
        <w:t xml:space="preserve"> per cent</w:t>
      </w:r>
      <w:r>
        <w:rPr>
          <w:lang w:eastAsia="en-AU"/>
        </w:rPr>
        <w:t>) although the growth in this item has been relatively modest over the period since 2009 (2.6</w:t>
      </w:r>
      <w:r w:rsidR="0065091B">
        <w:rPr>
          <w:lang w:eastAsia="en-AU"/>
        </w:rPr>
        <w:t xml:space="preserve"> per cent</w:t>
      </w:r>
      <w:r>
        <w:rPr>
          <w:lang w:eastAsia="en-AU"/>
        </w:rPr>
        <w:t xml:space="preserve"> pa.). This item, however, is showing a slightly increased rate of growth since 2013 (</w:t>
      </w:r>
      <w:hyperlink w:anchor="Fig0606" w:history="1">
        <w:r w:rsidRPr="002F576C">
          <w:rPr>
            <w:rStyle w:val="Hyperlink"/>
            <w:lang w:eastAsia="en-AU"/>
          </w:rPr>
          <w:t>Figure 6.6</w:t>
        </w:r>
      </w:hyperlink>
      <w:r>
        <w:rPr>
          <w:lang w:eastAsia="en-AU"/>
        </w:rPr>
        <w:t>).</w:t>
      </w:r>
    </w:p>
    <w:p w:rsidR="0046234D" w:rsidRDefault="0046234D" w:rsidP="0046234D">
      <w:pPr>
        <w:pStyle w:val="Caption"/>
        <w:keepNext/>
      </w:pPr>
      <w:bookmarkStart w:id="429" w:name="_Toc495416525"/>
      <w:r>
        <w:t>Figure 6.</w:t>
      </w:r>
      <w:r w:rsidR="009A3F5A">
        <w:fldChar w:fldCharType="begin"/>
      </w:r>
      <w:r w:rsidR="009A3F5A">
        <w:instrText xml:space="preserve"> SEQ Figure_6. \* ARABIC </w:instrText>
      </w:r>
      <w:r w:rsidR="009A3F5A">
        <w:fldChar w:fldCharType="separate"/>
      </w:r>
      <w:r w:rsidR="00856E49">
        <w:rPr>
          <w:noProof/>
        </w:rPr>
        <w:t>6</w:t>
      </w:r>
      <w:r w:rsidR="009A3F5A">
        <w:rPr>
          <w:noProof/>
        </w:rPr>
        <w:fldChar w:fldCharType="end"/>
      </w:r>
      <w:r>
        <w:t xml:space="preserve">: </w:t>
      </w:r>
      <w:r w:rsidRPr="0046234D">
        <w:t>Skin Integrity, RN Feeding, Suppositories &amp; Catheters (2009 – 2016)</w:t>
      </w:r>
      <w:bookmarkEnd w:id="429"/>
    </w:p>
    <w:p w:rsidR="00795F88" w:rsidRDefault="00795F88" w:rsidP="003217B9">
      <w:pPr>
        <w:rPr>
          <w:lang w:eastAsia="en-AU"/>
        </w:rPr>
      </w:pPr>
      <w:r>
        <w:rPr>
          <w:noProof/>
          <w:lang w:eastAsia="en-AU"/>
        </w:rPr>
        <w:drawing>
          <wp:inline distT="0" distB="0" distL="0" distR="0" wp14:anchorId="5D1B66E1" wp14:editId="7F46AC3D">
            <wp:extent cx="5681980" cy="4139565"/>
            <wp:effectExtent l="0" t="0" r="0" b="0"/>
            <wp:docPr id="137" name="Picture 137" descr="Figure 6.6 is a line graph illustrating the percentage of claims for skin integrity, registered nurse (RN) feeding, suppositories and catheter care under the Complex Health Care (CHC) domain from 2009 to 2016, as summaris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81980" cy="4139565"/>
                    </a:xfrm>
                    <a:prstGeom prst="rect">
                      <a:avLst/>
                    </a:prstGeom>
                    <a:noFill/>
                  </pic:spPr>
                </pic:pic>
              </a:graphicData>
            </a:graphic>
          </wp:inline>
        </w:drawing>
      </w:r>
    </w:p>
    <w:p w:rsidR="003217B9" w:rsidRDefault="003217B9" w:rsidP="003217B9">
      <w:pPr>
        <w:rPr>
          <w:rFonts w:ascii="Calibri" w:hAnsi="Calibri" w:cs="Times New Roman"/>
          <w:b/>
          <w:iCs/>
          <w:szCs w:val="18"/>
        </w:rPr>
      </w:pPr>
      <w:r>
        <w:br w:type="page"/>
      </w:r>
    </w:p>
    <w:p w:rsidR="00980F62" w:rsidRDefault="003217B9" w:rsidP="003B4470">
      <w:pPr>
        <w:rPr>
          <w:rStyle w:val="Strong"/>
        </w:rPr>
      </w:pPr>
      <w:r w:rsidRPr="00BA356F">
        <w:rPr>
          <w:rStyle w:val="Strong"/>
        </w:rPr>
        <w:lastRenderedPageBreak/>
        <w:t>Infectious Conditions, Chronic Wounds, Intravenous Fluids &amp; Oedema</w:t>
      </w:r>
    </w:p>
    <w:p w:rsidR="00980F62" w:rsidRDefault="003217B9" w:rsidP="00720C8D">
      <w:pPr>
        <w:rPr>
          <w:lang w:eastAsia="en-AU"/>
        </w:rPr>
      </w:pPr>
      <w:r w:rsidRPr="005979D3">
        <w:rPr>
          <w:lang w:eastAsia="en-AU"/>
        </w:rPr>
        <w:t>The proportion of residents with claims for intravenous fluids and dialysis is extremely low (0.1</w:t>
      </w:r>
      <w:r w:rsidR="0065091B">
        <w:rPr>
          <w:lang w:eastAsia="en-AU"/>
        </w:rPr>
        <w:t xml:space="preserve"> per cent</w:t>
      </w:r>
      <w:r w:rsidRPr="005979D3">
        <w:rPr>
          <w:lang w:eastAsia="en-AU"/>
        </w:rPr>
        <w:t>) showing no growth since ACFI introd</w:t>
      </w:r>
      <w:r>
        <w:rPr>
          <w:lang w:eastAsia="en-AU"/>
        </w:rPr>
        <w:t>uction. Similarly, infectious conditions</w:t>
      </w:r>
      <w:r w:rsidRPr="005979D3">
        <w:rPr>
          <w:lang w:eastAsia="en-AU"/>
        </w:rPr>
        <w:t xml:space="preserve"> were claimed for a low proportion of residents throughout the period (1.7</w:t>
      </w:r>
      <w:r w:rsidR="0065091B">
        <w:rPr>
          <w:lang w:eastAsia="en-AU"/>
        </w:rPr>
        <w:t xml:space="preserve"> per cent</w:t>
      </w:r>
      <w:r w:rsidRPr="005979D3">
        <w:rPr>
          <w:lang w:eastAsia="en-AU"/>
        </w:rPr>
        <w:t>) although there has been some growth (6.3</w:t>
      </w:r>
      <w:r w:rsidR="0065091B">
        <w:rPr>
          <w:lang w:eastAsia="en-AU"/>
        </w:rPr>
        <w:t xml:space="preserve"> per cent</w:t>
      </w:r>
      <w:r>
        <w:rPr>
          <w:lang w:eastAsia="en-AU"/>
        </w:rPr>
        <w:t xml:space="preserve"> pa.</w:t>
      </w:r>
      <w:r w:rsidRPr="005979D3">
        <w:rPr>
          <w:lang w:eastAsia="en-AU"/>
        </w:rPr>
        <w:t>).</w:t>
      </w:r>
      <w:r w:rsidR="007A576E">
        <w:rPr>
          <w:lang w:eastAsia="en-AU"/>
        </w:rPr>
        <w:t xml:space="preserve"> </w:t>
      </w:r>
      <w:r w:rsidRPr="005979D3">
        <w:rPr>
          <w:lang w:eastAsia="en-AU"/>
        </w:rPr>
        <w:t>The proportion of residents with chronic wounds claims is at 6.6</w:t>
      </w:r>
      <w:r w:rsidR="0065091B">
        <w:rPr>
          <w:lang w:eastAsia="en-AU"/>
        </w:rPr>
        <w:t xml:space="preserve"> per cent</w:t>
      </w:r>
      <w:r w:rsidRPr="005979D3">
        <w:rPr>
          <w:lang w:eastAsia="en-AU"/>
        </w:rPr>
        <w:t xml:space="preserve"> or slightly over 11,000 residents at June 30</w:t>
      </w:r>
      <w:r>
        <w:rPr>
          <w:lang w:eastAsia="en-AU"/>
        </w:rPr>
        <w:t>,</w:t>
      </w:r>
      <w:r w:rsidRPr="005979D3">
        <w:rPr>
          <w:lang w:eastAsia="en-AU"/>
        </w:rPr>
        <w:t xml:space="preserve"> 2016 but this proportion has been consistent over the period since 2009 (</w:t>
      </w:r>
      <w:hyperlink w:anchor="Fig0607" w:history="1">
        <w:r w:rsidRPr="002F576C">
          <w:rPr>
            <w:rStyle w:val="Hyperlink"/>
            <w:lang w:eastAsia="en-AU"/>
          </w:rPr>
          <w:t>Figure 6.7</w:t>
        </w:r>
      </w:hyperlink>
      <w:r w:rsidRPr="005979D3">
        <w:rPr>
          <w:lang w:eastAsia="en-AU"/>
        </w:rPr>
        <w:t>).</w:t>
      </w:r>
    </w:p>
    <w:p w:rsidR="00980F62" w:rsidRDefault="003217B9" w:rsidP="00720C8D">
      <w:pPr>
        <w:rPr>
          <w:lang w:eastAsia="en-AU"/>
        </w:rPr>
      </w:pPr>
      <w:r w:rsidRPr="005979D3">
        <w:rPr>
          <w:lang w:eastAsia="en-AU"/>
        </w:rPr>
        <w:t>In comparison to these items</w:t>
      </w:r>
      <w:r>
        <w:rPr>
          <w:lang w:eastAsia="en-AU"/>
        </w:rPr>
        <w:t>,</w:t>
      </w:r>
      <w:r w:rsidRPr="005979D3">
        <w:rPr>
          <w:lang w:eastAsia="en-AU"/>
        </w:rPr>
        <w:t xml:space="preserve"> the proportion of residents with oedema claims has </w:t>
      </w:r>
      <w:r>
        <w:rPr>
          <w:lang w:eastAsia="en-AU"/>
        </w:rPr>
        <w:t>risen</w:t>
      </w:r>
      <w:r w:rsidRPr="005979D3">
        <w:rPr>
          <w:lang w:eastAsia="en-AU"/>
        </w:rPr>
        <w:t xml:space="preserve"> from 11.6</w:t>
      </w:r>
      <w:r w:rsidR="0065091B">
        <w:rPr>
          <w:lang w:eastAsia="en-AU"/>
        </w:rPr>
        <w:t xml:space="preserve"> per cent</w:t>
      </w:r>
      <w:r w:rsidRPr="005979D3">
        <w:rPr>
          <w:lang w:eastAsia="en-AU"/>
        </w:rPr>
        <w:t xml:space="preserve"> in 2009 to 41</w:t>
      </w:r>
      <w:r w:rsidR="0065091B">
        <w:rPr>
          <w:lang w:eastAsia="en-AU"/>
        </w:rPr>
        <w:t xml:space="preserve"> per cent</w:t>
      </w:r>
      <w:r w:rsidRPr="005979D3">
        <w:rPr>
          <w:lang w:eastAsia="en-AU"/>
        </w:rPr>
        <w:t xml:space="preserve"> in June 2016.</w:t>
      </w:r>
      <w:r w:rsidR="007A576E">
        <w:rPr>
          <w:lang w:eastAsia="en-AU"/>
        </w:rPr>
        <w:t xml:space="preserve"> </w:t>
      </w:r>
      <w:r w:rsidRPr="005979D3">
        <w:rPr>
          <w:lang w:eastAsia="en-AU"/>
        </w:rPr>
        <w:t>This is a growth rate of 19.7</w:t>
      </w:r>
      <w:r w:rsidR="0065091B">
        <w:rPr>
          <w:lang w:eastAsia="en-AU"/>
        </w:rPr>
        <w:t xml:space="preserve"> per cent</w:t>
      </w:r>
      <w:r w:rsidRPr="005979D3">
        <w:rPr>
          <w:lang w:eastAsia="en-AU"/>
        </w:rPr>
        <w:t xml:space="preserve"> pa. In this regard</w:t>
      </w:r>
      <w:r>
        <w:rPr>
          <w:lang w:eastAsia="en-AU"/>
        </w:rPr>
        <w:t>,</w:t>
      </w:r>
      <w:r w:rsidRPr="005979D3">
        <w:rPr>
          <w:lang w:eastAsia="en-AU"/>
        </w:rPr>
        <w:t xml:space="preserve"> the Department has split this item </w:t>
      </w:r>
      <w:r>
        <w:rPr>
          <w:lang w:eastAsia="en-AU"/>
        </w:rPr>
        <w:t xml:space="preserve">into two levels </w:t>
      </w:r>
      <w:r w:rsidRPr="005979D3">
        <w:rPr>
          <w:lang w:eastAsia="en-AU"/>
        </w:rPr>
        <w:t>from January 2017</w:t>
      </w:r>
      <w:r>
        <w:rPr>
          <w:lang w:eastAsia="en-AU"/>
        </w:rPr>
        <w:t>,</w:t>
      </w:r>
      <w:r w:rsidRPr="005979D3">
        <w:rPr>
          <w:lang w:eastAsia="en-AU"/>
        </w:rPr>
        <w:t xml:space="preserve"> as described earlier in the discussion on changes to the ACFI since introduction.</w:t>
      </w:r>
    </w:p>
    <w:p w:rsidR="0046234D" w:rsidRDefault="0046234D" w:rsidP="0046234D">
      <w:pPr>
        <w:pStyle w:val="Caption"/>
        <w:keepNext/>
      </w:pPr>
      <w:bookmarkStart w:id="430" w:name="_Toc495416526"/>
      <w:r>
        <w:t>Figure 6.</w:t>
      </w:r>
      <w:r w:rsidR="009A3F5A">
        <w:fldChar w:fldCharType="begin"/>
      </w:r>
      <w:r w:rsidR="009A3F5A">
        <w:instrText xml:space="preserve"> SEQ Figure_6. \* ARABIC </w:instrText>
      </w:r>
      <w:r w:rsidR="009A3F5A">
        <w:fldChar w:fldCharType="separate"/>
      </w:r>
      <w:r w:rsidR="00856E49">
        <w:rPr>
          <w:noProof/>
        </w:rPr>
        <w:t>7</w:t>
      </w:r>
      <w:r w:rsidR="009A3F5A">
        <w:rPr>
          <w:noProof/>
        </w:rPr>
        <w:fldChar w:fldCharType="end"/>
      </w:r>
      <w:r>
        <w:t xml:space="preserve">: </w:t>
      </w:r>
      <w:r w:rsidRPr="0046234D">
        <w:t>Infectious Conditions, Chronic Wounds, Intravenous &amp; Oedema (2009 – 2016)</w:t>
      </w:r>
      <w:bookmarkEnd w:id="430"/>
    </w:p>
    <w:p w:rsidR="00795F88" w:rsidRDefault="00795F88" w:rsidP="003217B9">
      <w:pPr>
        <w:rPr>
          <w:lang w:eastAsia="en-AU"/>
        </w:rPr>
      </w:pPr>
      <w:r>
        <w:rPr>
          <w:noProof/>
          <w:lang w:eastAsia="en-AU"/>
        </w:rPr>
        <w:drawing>
          <wp:inline distT="0" distB="0" distL="0" distR="0" wp14:anchorId="554A8C95" wp14:editId="280003AD">
            <wp:extent cx="5724525" cy="4383405"/>
            <wp:effectExtent l="0" t="0" r="9525" b="0"/>
            <wp:docPr id="139" name="Picture 139" descr="Figure 6.7 is a line graph illustrating the percentage of claims for infectious conditions, chronic wounds, intravenous and oedema under the Complex Health Care (CHC) domain from 2009 to 2016, as summaris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4525" cy="4383405"/>
                    </a:xfrm>
                    <a:prstGeom prst="rect">
                      <a:avLst/>
                    </a:prstGeom>
                    <a:noFill/>
                  </pic:spPr>
                </pic:pic>
              </a:graphicData>
            </a:graphic>
          </wp:inline>
        </w:drawing>
      </w:r>
    </w:p>
    <w:p w:rsidR="003217B9" w:rsidRDefault="003217B9" w:rsidP="003217B9">
      <w:pPr>
        <w:rPr>
          <w:rFonts w:ascii="Calibri" w:hAnsi="Calibri" w:cs="Times New Roman"/>
          <w:b/>
          <w:iCs/>
          <w:szCs w:val="18"/>
        </w:rPr>
      </w:pPr>
      <w:r>
        <w:br w:type="page"/>
      </w:r>
    </w:p>
    <w:p w:rsidR="003217B9" w:rsidRPr="00BA356F" w:rsidRDefault="003217B9" w:rsidP="003B4470">
      <w:pPr>
        <w:rPr>
          <w:rStyle w:val="Strong"/>
        </w:rPr>
      </w:pPr>
      <w:r w:rsidRPr="00BA356F">
        <w:rPr>
          <w:rStyle w:val="Strong"/>
        </w:rPr>
        <w:lastRenderedPageBreak/>
        <w:t>Oxygen Therapy, Palliative Care &amp; Stoma Care</w:t>
      </w:r>
    </w:p>
    <w:p w:rsidR="00980F62" w:rsidRDefault="003217B9" w:rsidP="007A404E">
      <w:pPr>
        <w:rPr>
          <w:lang w:eastAsia="en-AU"/>
        </w:rPr>
      </w:pPr>
      <w:r>
        <w:rPr>
          <w:lang w:eastAsia="en-AU"/>
        </w:rPr>
        <w:t>A</w:t>
      </w:r>
      <w:r w:rsidRPr="00971A31">
        <w:rPr>
          <w:lang w:eastAsia="en-AU"/>
        </w:rPr>
        <w:t xml:space="preserve">s at June </w:t>
      </w:r>
      <w:r>
        <w:rPr>
          <w:lang w:eastAsia="en-AU"/>
        </w:rPr>
        <w:t xml:space="preserve">30, </w:t>
      </w:r>
      <w:r w:rsidRPr="00971A31">
        <w:rPr>
          <w:lang w:eastAsia="en-AU"/>
        </w:rPr>
        <w:t>2016</w:t>
      </w:r>
      <w:r>
        <w:rPr>
          <w:lang w:eastAsia="en-AU"/>
        </w:rPr>
        <w:t>,</w:t>
      </w:r>
      <w:r w:rsidRPr="00971A31">
        <w:rPr>
          <w:lang w:eastAsia="en-AU"/>
        </w:rPr>
        <w:t xml:space="preserve"> </w:t>
      </w:r>
      <w:r>
        <w:rPr>
          <w:lang w:eastAsia="en-AU"/>
        </w:rPr>
        <w:t>t</w:t>
      </w:r>
      <w:r w:rsidRPr="00971A31">
        <w:rPr>
          <w:lang w:eastAsia="en-AU"/>
        </w:rPr>
        <w:t>he proportion of residents with claims for oxygen therapy (2.1</w:t>
      </w:r>
      <w:r w:rsidR="0065091B">
        <w:rPr>
          <w:lang w:eastAsia="en-AU"/>
        </w:rPr>
        <w:t xml:space="preserve"> per cent</w:t>
      </w:r>
      <w:r w:rsidRPr="00971A31">
        <w:rPr>
          <w:lang w:eastAsia="en-AU"/>
        </w:rPr>
        <w:t>; growth rate 2.4</w:t>
      </w:r>
      <w:r w:rsidR="0065091B">
        <w:rPr>
          <w:lang w:eastAsia="en-AU"/>
        </w:rPr>
        <w:t xml:space="preserve"> per cent</w:t>
      </w:r>
      <w:r>
        <w:rPr>
          <w:lang w:eastAsia="en-AU"/>
        </w:rPr>
        <w:t xml:space="preserve"> pa.</w:t>
      </w:r>
      <w:r w:rsidRPr="00971A31">
        <w:rPr>
          <w:lang w:eastAsia="en-AU"/>
        </w:rPr>
        <w:t>) and stoma care (1.2</w:t>
      </w:r>
      <w:r w:rsidR="0065091B">
        <w:rPr>
          <w:lang w:eastAsia="en-AU"/>
        </w:rPr>
        <w:t xml:space="preserve"> per cent</w:t>
      </w:r>
      <w:r w:rsidRPr="00971A31">
        <w:rPr>
          <w:lang w:eastAsia="en-AU"/>
        </w:rPr>
        <w:t>; growth rate -0.8</w:t>
      </w:r>
      <w:r w:rsidR="0065091B">
        <w:rPr>
          <w:lang w:eastAsia="en-AU"/>
        </w:rPr>
        <w:t xml:space="preserve"> per cent</w:t>
      </w:r>
      <w:r>
        <w:rPr>
          <w:lang w:eastAsia="en-AU"/>
        </w:rPr>
        <w:t xml:space="preserve"> pa.</w:t>
      </w:r>
      <w:r w:rsidRPr="00971A31">
        <w:rPr>
          <w:lang w:eastAsia="en-AU"/>
        </w:rPr>
        <w:t>) are low and have been stable since ACFI introduction in 2009.</w:t>
      </w:r>
    </w:p>
    <w:p w:rsidR="00980F62" w:rsidRDefault="003217B9" w:rsidP="007A404E">
      <w:pPr>
        <w:rPr>
          <w:lang w:eastAsia="en-AU"/>
        </w:rPr>
      </w:pPr>
      <w:r>
        <w:rPr>
          <w:lang w:eastAsia="en-AU"/>
        </w:rPr>
        <w:t>In contrast, the proportion of residents with palliative care claims, while also relatively low at June 30, 2016, has varied from 0.9</w:t>
      </w:r>
      <w:r w:rsidR="0065091B">
        <w:rPr>
          <w:lang w:eastAsia="en-AU"/>
        </w:rPr>
        <w:t xml:space="preserve"> per cent</w:t>
      </w:r>
      <w:r>
        <w:rPr>
          <w:lang w:eastAsia="en-AU"/>
        </w:rPr>
        <w:t xml:space="preserve"> in 2009, up to almost 2.3</w:t>
      </w:r>
      <w:r w:rsidR="0065091B">
        <w:rPr>
          <w:lang w:eastAsia="en-AU"/>
        </w:rPr>
        <w:t xml:space="preserve"> per cent</w:t>
      </w:r>
      <w:r>
        <w:rPr>
          <w:lang w:eastAsia="en-AU"/>
        </w:rPr>
        <w:t xml:space="preserve"> in 2013, and more recently down to 0.4</w:t>
      </w:r>
      <w:r w:rsidR="0065091B">
        <w:rPr>
          <w:lang w:eastAsia="en-AU"/>
        </w:rPr>
        <w:t xml:space="preserve"> per cent</w:t>
      </w:r>
      <w:r>
        <w:rPr>
          <w:lang w:eastAsia="en-AU"/>
        </w:rPr>
        <w:t xml:space="preserve"> (approximately 7,000 residents) at June 30, 2016. This represents a growth rate of negative 10.1</w:t>
      </w:r>
      <w:r w:rsidR="0065091B">
        <w:rPr>
          <w:lang w:eastAsia="en-AU"/>
        </w:rPr>
        <w:t xml:space="preserve"> per cent</w:t>
      </w:r>
      <w:r>
        <w:rPr>
          <w:lang w:eastAsia="en-AU"/>
        </w:rPr>
        <w:t xml:space="preserve"> pa. The reduction in the number of claims in the palliative care area is most likely due to a clarification from the Department regarding the criteria for a claim in this area and additional focus from the Departmental ACFI Review Program on what constituted a valid claim.</w:t>
      </w:r>
    </w:p>
    <w:p w:rsidR="0046234D" w:rsidRDefault="0046234D" w:rsidP="0046234D">
      <w:pPr>
        <w:pStyle w:val="Caption"/>
        <w:keepNext/>
      </w:pPr>
      <w:bookmarkStart w:id="431" w:name="_Toc495416527"/>
      <w:r>
        <w:t>Figure 6.</w:t>
      </w:r>
      <w:r w:rsidR="009A3F5A">
        <w:fldChar w:fldCharType="begin"/>
      </w:r>
      <w:r w:rsidR="009A3F5A">
        <w:instrText xml:space="preserve"> SEQ Figure_6. \* ARABIC </w:instrText>
      </w:r>
      <w:r w:rsidR="009A3F5A">
        <w:fldChar w:fldCharType="separate"/>
      </w:r>
      <w:r w:rsidR="00856E49">
        <w:rPr>
          <w:noProof/>
        </w:rPr>
        <w:t>8</w:t>
      </w:r>
      <w:r w:rsidR="009A3F5A">
        <w:rPr>
          <w:noProof/>
        </w:rPr>
        <w:fldChar w:fldCharType="end"/>
      </w:r>
      <w:r>
        <w:t xml:space="preserve">: </w:t>
      </w:r>
      <w:r w:rsidRPr="0046234D">
        <w:t>Oxygen Therapy, Palliative Care &amp; Stoma Care (2009 – 2016)</w:t>
      </w:r>
      <w:bookmarkEnd w:id="431"/>
    </w:p>
    <w:p w:rsidR="00795F88" w:rsidRDefault="00795F88" w:rsidP="003217B9">
      <w:pPr>
        <w:rPr>
          <w:noProof/>
          <w:lang w:val="en-US"/>
        </w:rPr>
      </w:pPr>
      <w:r>
        <w:rPr>
          <w:noProof/>
          <w:lang w:eastAsia="en-AU"/>
        </w:rPr>
        <w:drawing>
          <wp:inline distT="0" distB="0" distL="0" distR="0" wp14:anchorId="2399CBA2" wp14:editId="5E25B9C6">
            <wp:extent cx="5742940" cy="4243070"/>
            <wp:effectExtent l="0" t="0" r="0" b="5080"/>
            <wp:docPr id="141" name="Picture 141" descr="Figure 6.8 is a line graph illustrating the percentage of claims for oxygen therapy, palliative and stoma care under the Complex Health Care (CHC) domain from 2009 to 2016, as summaris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42940" cy="4243070"/>
                    </a:xfrm>
                    <a:prstGeom prst="rect">
                      <a:avLst/>
                    </a:prstGeom>
                    <a:noFill/>
                  </pic:spPr>
                </pic:pic>
              </a:graphicData>
            </a:graphic>
          </wp:inline>
        </w:drawing>
      </w:r>
    </w:p>
    <w:p w:rsidR="003217B9" w:rsidRDefault="003217B9" w:rsidP="003217B9">
      <w:pPr>
        <w:rPr>
          <w:b/>
        </w:rPr>
      </w:pPr>
      <w:r>
        <w:rPr>
          <w:b/>
        </w:rPr>
        <w:br w:type="page"/>
      </w:r>
    </w:p>
    <w:p w:rsidR="00980F62" w:rsidRDefault="003217B9" w:rsidP="003B4470">
      <w:pPr>
        <w:rPr>
          <w:rStyle w:val="Strong"/>
        </w:rPr>
      </w:pPr>
      <w:r w:rsidRPr="00BA356F">
        <w:rPr>
          <w:rStyle w:val="Strong"/>
        </w:rPr>
        <w:lastRenderedPageBreak/>
        <w:t>Tracheostomy, Tube Feeding &amp; Vital Signs Technical Equipment</w:t>
      </w:r>
    </w:p>
    <w:p w:rsidR="00980F62" w:rsidRDefault="003217B9" w:rsidP="00720C8D">
      <w:pPr>
        <w:rPr>
          <w:lang w:eastAsia="en-AU"/>
        </w:rPr>
      </w:pPr>
      <w:r w:rsidRPr="00605DC2">
        <w:rPr>
          <w:lang w:eastAsia="en-AU"/>
        </w:rPr>
        <w:t>The proportion of residents with claims for tracheostomy, tube feeding and the use of vital signs technical equipment is extremely low (0.1</w:t>
      </w:r>
      <w:r w:rsidR="0065091B">
        <w:rPr>
          <w:lang w:eastAsia="en-AU"/>
        </w:rPr>
        <w:t xml:space="preserve"> per cent</w:t>
      </w:r>
      <w:r w:rsidRPr="00605DC2">
        <w:rPr>
          <w:lang w:eastAsia="en-AU"/>
        </w:rPr>
        <w:t xml:space="preserve">) and </w:t>
      </w:r>
      <w:r>
        <w:rPr>
          <w:lang w:eastAsia="en-AU"/>
        </w:rPr>
        <w:t>has remained low</w:t>
      </w:r>
      <w:r w:rsidRPr="00605DC2">
        <w:rPr>
          <w:lang w:eastAsia="en-AU"/>
        </w:rPr>
        <w:t xml:space="preserve"> since the introduction of the ACFI (</w:t>
      </w:r>
      <w:hyperlink w:anchor="Fig0609" w:history="1">
        <w:r w:rsidRPr="00EC19CA">
          <w:rPr>
            <w:rStyle w:val="Hyperlink"/>
            <w:lang w:eastAsia="en-AU"/>
          </w:rPr>
          <w:t>Figure 6.9</w:t>
        </w:r>
      </w:hyperlink>
      <w:r w:rsidRPr="00605DC2">
        <w:rPr>
          <w:lang w:eastAsia="en-AU"/>
        </w:rPr>
        <w:t xml:space="preserve">). </w:t>
      </w:r>
      <w:r>
        <w:rPr>
          <w:lang w:eastAsia="en-AU"/>
        </w:rPr>
        <w:t>In fact, n</w:t>
      </w:r>
      <w:r w:rsidRPr="00605DC2">
        <w:rPr>
          <w:lang w:eastAsia="en-AU"/>
        </w:rPr>
        <w:t>egative growth has been recorded for both tracheostomy care (-6.4</w:t>
      </w:r>
      <w:r w:rsidR="0065091B">
        <w:rPr>
          <w:lang w:eastAsia="en-AU"/>
        </w:rPr>
        <w:t xml:space="preserve"> per cent</w:t>
      </w:r>
      <w:r>
        <w:rPr>
          <w:lang w:eastAsia="en-AU"/>
        </w:rPr>
        <w:t xml:space="preserve"> pa.</w:t>
      </w:r>
      <w:r w:rsidRPr="00605DC2">
        <w:rPr>
          <w:lang w:eastAsia="en-AU"/>
        </w:rPr>
        <w:t>) and tube feeding (-6.5</w:t>
      </w:r>
      <w:r w:rsidR="0065091B">
        <w:rPr>
          <w:lang w:eastAsia="en-AU"/>
        </w:rPr>
        <w:t xml:space="preserve"> per cent</w:t>
      </w:r>
      <w:r>
        <w:rPr>
          <w:lang w:eastAsia="en-AU"/>
        </w:rPr>
        <w:t xml:space="preserve"> pa.</w:t>
      </w:r>
      <w:r w:rsidRPr="00605DC2">
        <w:rPr>
          <w:lang w:eastAsia="en-AU"/>
        </w:rPr>
        <w:t>) since ACFI introduction. The use of vital signs technical equipment has shown growth over the period from 2009 (growth rate 17.9</w:t>
      </w:r>
      <w:r w:rsidR="0065091B">
        <w:rPr>
          <w:lang w:eastAsia="en-AU"/>
        </w:rPr>
        <w:t xml:space="preserve"> per cent</w:t>
      </w:r>
      <w:r w:rsidRPr="00605DC2">
        <w:rPr>
          <w:lang w:eastAsia="en-AU"/>
        </w:rPr>
        <w:t xml:space="preserve"> pa.) and was claimed for 0.6</w:t>
      </w:r>
      <w:r w:rsidR="0065091B">
        <w:rPr>
          <w:lang w:eastAsia="en-AU"/>
        </w:rPr>
        <w:t xml:space="preserve"> per cent</w:t>
      </w:r>
      <w:r w:rsidRPr="00605DC2">
        <w:rPr>
          <w:lang w:eastAsia="en-AU"/>
        </w:rPr>
        <w:t xml:space="preserve"> of residents (over 10,000) as at June 30</w:t>
      </w:r>
      <w:r>
        <w:rPr>
          <w:lang w:eastAsia="en-AU"/>
        </w:rPr>
        <w:t>,</w:t>
      </w:r>
      <w:r w:rsidRPr="00605DC2">
        <w:rPr>
          <w:lang w:eastAsia="en-AU"/>
        </w:rPr>
        <w:t xml:space="preserve"> 2016.</w:t>
      </w:r>
    </w:p>
    <w:p w:rsidR="0046234D" w:rsidRDefault="0046234D" w:rsidP="0046234D">
      <w:pPr>
        <w:pStyle w:val="Caption"/>
        <w:keepNext/>
      </w:pPr>
      <w:bookmarkStart w:id="432" w:name="_Toc495416528"/>
      <w:r>
        <w:t>Figure 6.</w:t>
      </w:r>
      <w:r w:rsidR="009A3F5A">
        <w:fldChar w:fldCharType="begin"/>
      </w:r>
      <w:r w:rsidR="009A3F5A">
        <w:instrText xml:space="preserve"> SEQ Figure_6. \* ARABIC </w:instrText>
      </w:r>
      <w:r w:rsidR="009A3F5A">
        <w:fldChar w:fldCharType="separate"/>
      </w:r>
      <w:r w:rsidR="00856E49">
        <w:rPr>
          <w:noProof/>
        </w:rPr>
        <w:t>9</w:t>
      </w:r>
      <w:r w:rsidR="009A3F5A">
        <w:rPr>
          <w:noProof/>
        </w:rPr>
        <w:fldChar w:fldCharType="end"/>
      </w:r>
      <w:r>
        <w:t xml:space="preserve">: </w:t>
      </w:r>
      <w:r w:rsidRPr="0046234D">
        <w:t>Tracheostomy, Tube Feeding &amp; Vital Signs Technical Equipment (2009 – 2016)</w:t>
      </w:r>
      <w:bookmarkEnd w:id="432"/>
    </w:p>
    <w:p w:rsidR="00795F88" w:rsidRDefault="00795F88" w:rsidP="003217B9">
      <w:pPr>
        <w:rPr>
          <w:lang w:eastAsia="en-AU"/>
        </w:rPr>
      </w:pPr>
      <w:r>
        <w:rPr>
          <w:noProof/>
          <w:lang w:eastAsia="en-AU"/>
        </w:rPr>
        <w:drawing>
          <wp:inline distT="0" distB="0" distL="0" distR="0" wp14:anchorId="6854DC69" wp14:editId="1A988F2C">
            <wp:extent cx="5742940" cy="4316095"/>
            <wp:effectExtent l="0" t="0" r="0" b="8255"/>
            <wp:docPr id="143" name="Picture 143" descr="Figure 6.9 is a line graph illustrating the percentage of claims for tracheostomy, tube feeding and vital signs technical equipment under the Complex Health Care (CHC) domain from 2009 to 2016, as summaris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42940" cy="4316095"/>
                    </a:xfrm>
                    <a:prstGeom prst="rect">
                      <a:avLst/>
                    </a:prstGeom>
                    <a:noFill/>
                  </pic:spPr>
                </pic:pic>
              </a:graphicData>
            </a:graphic>
          </wp:inline>
        </w:drawing>
      </w:r>
    </w:p>
    <w:p w:rsidR="003217B9" w:rsidRPr="00F073D7" w:rsidRDefault="003217B9" w:rsidP="005E0BCA">
      <w:pPr>
        <w:pStyle w:val="Heading2-Chapter6"/>
      </w:pPr>
      <w:bookmarkStart w:id="433" w:name="_Toc486350716"/>
      <w:bookmarkStart w:id="434" w:name="_Toc486600042"/>
      <w:bookmarkStart w:id="435" w:name="_Toc491426047"/>
      <w:r w:rsidRPr="008C79B4">
        <w:t>C</w:t>
      </w:r>
      <w:r w:rsidRPr="00F073D7">
        <w:t xml:space="preserve">HC Domain </w:t>
      </w:r>
      <w:r>
        <w:t>Review</w:t>
      </w:r>
      <w:bookmarkEnd w:id="433"/>
      <w:bookmarkEnd w:id="434"/>
      <w:bookmarkEnd w:id="435"/>
    </w:p>
    <w:p w:rsidR="00980F62" w:rsidRDefault="003217B9" w:rsidP="00720C8D">
      <w:pPr>
        <w:rPr>
          <w:lang w:eastAsia="en-AU"/>
        </w:rPr>
      </w:pPr>
      <w:r w:rsidRPr="00334EE6">
        <w:rPr>
          <w:lang w:eastAsia="en-AU"/>
        </w:rPr>
        <w:t>AACS conducted a series of consultations, review of relevant tools and literature on assessment and statistical analysis on the CHC domain items as described in section 6.1 covering the distributional changes in the various items since 2009.</w:t>
      </w:r>
    </w:p>
    <w:p w:rsidR="003217B9" w:rsidRPr="00605DC2" w:rsidRDefault="003217B9" w:rsidP="00720C8D">
      <w:pPr>
        <w:rPr>
          <w:lang w:eastAsia="en-AU"/>
        </w:rPr>
      </w:pPr>
      <w:bookmarkStart w:id="436" w:name="_Toc478568249"/>
      <w:r w:rsidRPr="00334EE6">
        <w:rPr>
          <w:lang w:eastAsia="en-AU"/>
        </w:rPr>
        <w:t>Contemporary issues were considered and using the findings from the consultations, item distributions and further statistical analyses</w:t>
      </w:r>
      <w:r w:rsidR="003A14C5">
        <w:rPr>
          <w:lang w:eastAsia="en-AU"/>
        </w:rPr>
        <w:t>,</w:t>
      </w:r>
      <w:r w:rsidRPr="00334EE6">
        <w:rPr>
          <w:lang w:eastAsia="en-AU"/>
        </w:rPr>
        <w:t xml:space="preserve"> it was determined that a number of changes would be made to ACFI questions 11 and 12</w:t>
      </w:r>
      <w:r w:rsidR="00BE5404">
        <w:rPr>
          <w:lang w:eastAsia="en-AU"/>
        </w:rPr>
        <w:t xml:space="preserve"> to simplify the domain (e.g. remove the matrix), remove items that were not considered complex and reframe the complex pain management </w:t>
      </w:r>
      <w:r w:rsidR="00BE5404">
        <w:rPr>
          <w:lang w:eastAsia="en-AU"/>
        </w:rPr>
        <w:lastRenderedPageBreak/>
        <w:t>items in a broadly based therapy program</w:t>
      </w:r>
      <w:r w:rsidRPr="00334EE6">
        <w:rPr>
          <w:lang w:eastAsia="en-AU"/>
        </w:rPr>
        <w:t>. The following sections discuss</w:t>
      </w:r>
      <w:r w:rsidR="00BE5404">
        <w:rPr>
          <w:lang w:eastAsia="en-AU"/>
        </w:rPr>
        <w:t xml:space="preserve"> the</w:t>
      </w:r>
      <w:r w:rsidRPr="00334EE6">
        <w:rPr>
          <w:lang w:eastAsia="en-AU"/>
        </w:rPr>
        <w:t xml:space="preserve"> changes and recommendations.</w:t>
      </w:r>
    </w:p>
    <w:p w:rsidR="00980F62" w:rsidRDefault="003217B9" w:rsidP="007439AD">
      <w:pPr>
        <w:pStyle w:val="Heading3-Chapter63"/>
      </w:pPr>
      <w:bookmarkStart w:id="437" w:name="_Toc486350717"/>
      <w:bookmarkStart w:id="438" w:name="_Toc486600043"/>
      <w:r w:rsidRPr="007439AD">
        <w:t xml:space="preserve">Comprehensive Health Assessment </w:t>
      </w:r>
      <w:bookmarkEnd w:id="437"/>
      <w:bookmarkEnd w:id="438"/>
      <w:r w:rsidR="009B54DF" w:rsidRPr="007439AD">
        <w:t>Requir</w:t>
      </w:r>
      <w:r w:rsidR="00645268" w:rsidRPr="007439AD">
        <w:t>e</w:t>
      </w:r>
      <w:r w:rsidR="009B54DF" w:rsidRPr="007439AD">
        <w:t>ment</w:t>
      </w:r>
    </w:p>
    <w:p w:rsidR="003217B9" w:rsidRDefault="003217B9" w:rsidP="00720C8D">
      <w:pPr>
        <w:rPr>
          <w:iCs/>
          <w:lang w:eastAsia="en-AU"/>
        </w:rPr>
      </w:pPr>
      <w:r w:rsidRPr="00605DC2">
        <w:rPr>
          <w:lang w:eastAsia="en-AU"/>
        </w:rPr>
        <w:t xml:space="preserve">While the primary operation </w:t>
      </w:r>
      <w:r>
        <w:rPr>
          <w:lang w:eastAsia="en-AU"/>
        </w:rPr>
        <w:t xml:space="preserve">of the ACFI </w:t>
      </w:r>
      <w:r w:rsidRPr="00605DC2">
        <w:rPr>
          <w:lang w:eastAsia="en-AU"/>
        </w:rPr>
        <w:t xml:space="preserve">is as a funding tool, the R-ACFI has further expanded the requirement for evidence based assessments to underpin claims and the assessed care needs of residents. </w:t>
      </w:r>
      <w:r>
        <w:rPr>
          <w:lang w:eastAsia="en-AU"/>
        </w:rPr>
        <w:t xml:space="preserve">Although </w:t>
      </w:r>
      <w:r w:rsidRPr="00605DC2">
        <w:rPr>
          <w:lang w:eastAsia="en-AU"/>
        </w:rPr>
        <w:t>the individual items or list of health care procedures in this domain have requirements covering various specific items (e.g. assessments, directives), there is no overall requirement for a comprehensive health care assessment and the item requirements do</w:t>
      </w:r>
      <w:r>
        <w:rPr>
          <w:lang w:eastAsia="en-AU"/>
        </w:rPr>
        <w:t xml:space="preserve"> not</w:t>
      </w:r>
      <w:r w:rsidRPr="00605DC2">
        <w:rPr>
          <w:lang w:eastAsia="en-AU"/>
        </w:rPr>
        <w:t xml:space="preserve"> always cover the ne</w:t>
      </w:r>
      <w:r>
        <w:rPr>
          <w:lang w:eastAsia="en-AU"/>
        </w:rPr>
        <w:t xml:space="preserve">ed for overall supervision and </w:t>
      </w:r>
      <w:r w:rsidRPr="00605DC2">
        <w:rPr>
          <w:lang w:eastAsia="en-AU"/>
        </w:rPr>
        <w:t>monitoring of the interventions by suitably qualified staff operating in their scope of practice.</w:t>
      </w:r>
    </w:p>
    <w:p w:rsidR="003217B9" w:rsidRPr="00605DC2" w:rsidRDefault="003217B9" w:rsidP="00720C8D">
      <w:pPr>
        <w:rPr>
          <w:lang w:eastAsia="en-AU"/>
        </w:rPr>
      </w:pPr>
      <w:r w:rsidRPr="00605DC2">
        <w:rPr>
          <w:lang w:eastAsia="en-AU"/>
        </w:rPr>
        <w:t xml:space="preserve">In this regard, it is expected that all residents will receive regular nursing services which include health care assessments, care planning and evaluation by a nurse practitioner </w:t>
      </w:r>
      <w:r w:rsidR="008B3A3F">
        <w:rPr>
          <w:lang w:eastAsia="en-AU"/>
        </w:rPr>
        <w:t xml:space="preserve">or </w:t>
      </w:r>
      <w:r w:rsidRPr="00605DC2">
        <w:rPr>
          <w:lang w:eastAsia="en-AU"/>
        </w:rPr>
        <w:t>re</w:t>
      </w:r>
      <w:r w:rsidR="008B3A3F">
        <w:rPr>
          <w:lang w:eastAsia="en-AU"/>
        </w:rPr>
        <w:t>gistered nurse</w:t>
      </w:r>
      <w:r w:rsidR="00EC1F48">
        <w:rPr>
          <w:lang w:eastAsia="en-AU"/>
        </w:rPr>
        <w:t xml:space="preserve"> (RN)</w:t>
      </w:r>
      <w:r w:rsidRPr="00605DC2">
        <w:rPr>
          <w:lang w:eastAsia="en-AU"/>
        </w:rPr>
        <w:t>. The CHC items in the R-ACFI are indicative items of complex health care needs, and the stated R-ACFI requirements are in addition to the expectation that all residents will receive regular health assessments, care planning and evaluation.</w:t>
      </w:r>
    </w:p>
    <w:p w:rsidR="003B4470" w:rsidRDefault="003217B9" w:rsidP="001C28AF">
      <w:pPr>
        <w:rPr>
          <w:lang w:eastAsia="en-AU"/>
        </w:rPr>
      </w:pPr>
      <w:r w:rsidRPr="00BA356F">
        <w:rPr>
          <w:rStyle w:val="Strong"/>
        </w:rPr>
        <w:t>Recommendation:</w:t>
      </w:r>
      <w:r>
        <w:rPr>
          <w:lang w:eastAsia="en-AU"/>
        </w:rPr>
        <w:t xml:space="preserve"> It </w:t>
      </w:r>
      <w:r w:rsidR="00E21EC4">
        <w:rPr>
          <w:lang w:eastAsia="en-AU"/>
        </w:rPr>
        <w:t xml:space="preserve">will </w:t>
      </w:r>
      <w:r>
        <w:rPr>
          <w:lang w:eastAsia="en-AU"/>
        </w:rPr>
        <w:t>be require</w:t>
      </w:r>
      <w:r w:rsidR="001412C5">
        <w:rPr>
          <w:lang w:eastAsia="en-AU"/>
        </w:rPr>
        <w:t>d,</w:t>
      </w:r>
      <w:r>
        <w:rPr>
          <w:lang w:eastAsia="en-AU"/>
        </w:rPr>
        <w:t xml:space="preserve"> for a claim in the C</w:t>
      </w:r>
      <w:r w:rsidR="001412C5">
        <w:rPr>
          <w:lang w:eastAsia="en-AU"/>
        </w:rPr>
        <w:t>HC</w:t>
      </w:r>
      <w:r>
        <w:rPr>
          <w:lang w:eastAsia="en-AU"/>
        </w:rPr>
        <w:t xml:space="preserve"> domain, that a resident has </w:t>
      </w:r>
      <w:r w:rsidRPr="008B4005">
        <w:rPr>
          <w:lang w:eastAsia="en-AU"/>
        </w:rPr>
        <w:t xml:space="preserve">a regular </w:t>
      </w:r>
      <w:r>
        <w:rPr>
          <w:lang w:eastAsia="en-AU"/>
        </w:rPr>
        <w:t xml:space="preserve">documented </w:t>
      </w:r>
      <w:r w:rsidR="00EC1F48">
        <w:rPr>
          <w:lang w:eastAsia="en-AU"/>
        </w:rPr>
        <w:t xml:space="preserve">comprehensive </w:t>
      </w:r>
      <w:r w:rsidR="00E851F7">
        <w:rPr>
          <w:lang w:eastAsia="en-AU"/>
        </w:rPr>
        <w:t>three-monthly</w:t>
      </w:r>
      <w:r w:rsidRPr="008B4005">
        <w:rPr>
          <w:lang w:eastAsia="en-AU"/>
        </w:rPr>
        <w:t xml:space="preserve"> health assessment </w:t>
      </w:r>
      <w:r>
        <w:rPr>
          <w:lang w:eastAsia="en-AU"/>
        </w:rPr>
        <w:t xml:space="preserve">undertaken and signed off </w:t>
      </w:r>
      <w:r w:rsidRPr="008B4005">
        <w:rPr>
          <w:lang w:eastAsia="en-AU"/>
        </w:rPr>
        <w:t xml:space="preserve">by a </w:t>
      </w:r>
      <w:r>
        <w:rPr>
          <w:lang w:eastAsia="en-AU"/>
        </w:rPr>
        <w:t xml:space="preserve">registered </w:t>
      </w:r>
      <w:r w:rsidRPr="008B4005">
        <w:rPr>
          <w:lang w:eastAsia="en-AU"/>
        </w:rPr>
        <w:t>nurse</w:t>
      </w:r>
      <w:r w:rsidR="00EC1F48">
        <w:rPr>
          <w:lang w:eastAsia="en-AU"/>
        </w:rPr>
        <w:t xml:space="preserve"> (RN)</w:t>
      </w:r>
      <w:r w:rsidRPr="008B4005">
        <w:rPr>
          <w:lang w:eastAsia="en-AU"/>
        </w:rPr>
        <w:t xml:space="preserve"> (e.g. Comprehensive Health Assessment –</w:t>
      </w:r>
      <w:r w:rsidR="00EC1F48">
        <w:rPr>
          <w:lang w:eastAsia="en-AU"/>
        </w:rPr>
        <w:t xml:space="preserve"> </w:t>
      </w:r>
      <w:r w:rsidR="00B76580" w:rsidRPr="003B4470">
        <w:t>https://www2.health.vic.gov.au/ageing-and-aged-care/residential-aged-care/safety-and-quality/improving-resident-care/comprehensive-health-assessment</w:t>
      </w:r>
      <w:bookmarkStart w:id="439" w:name="_Toc486350718"/>
      <w:bookmarkStart w:id="440" w:name="_Toc486600044"/>
      <w:r w:rsidR="001C28AF">
        <w:rPr>
          <w:lang w:eastAsia="en-AU"/>
        </w:rPr>
        <w:t>).</w:t>
      </w:r>
    </w:p>
    <w:p w:rsidR="00980F62" w:rsidRDefault="003217B9" w:rsidP="007439AD">
      <w:pPr>
        <w:pStyle w:val="Heading3-Chapter63"/>
        <w:rPr>
          <w:lang w:eastAsia="en-AU"/>
        </w:rPr>
      </w:pPr>
      <w:r w:rsidRPr="007439AD">
        <w:rPr>
          <w:lang w:eastAsia="en-AU"/>
        </w:rPr>
        <w:t>Reconfiguration of Existing ACFI Questions</w:t>
      </w:r>
      <w:bookmarkEnd w:id="439"/>
      <w:bookmarkEnd w:id="440"/>
    </w:p>
    <w:p w:rsidR="00980F62" w:rsidRDefault="003217B9" w:rsidP="007439AD">
      <w:pPr>
        <w:pStyle w:val="Heading4-Chapter632"/>
      </w:pPr>
      <w:r w:rsidRPr="007439AD">
        <w:t>Medication Question moved into the C</w:t>
      </w:r>
      <w:r w:rsidR="001412C5" w:rsidRPr="007439AD">
        <w:t>HC</w:t>
      </w:r>
      <w:r w:rsidRPr="007439AD">
        <w:t xml:space="preserve"> Procedure List</w:t>
      </w:r>
    </w:p>
    <w:p w:rsidR="00980F62" w:rsidRDefault="003217B9" w:rsidP="00F17BAC">
      <w:pPr>
        <w:rPr>
          <w:lang w:eastAsia="en-AU"/>
        </w:rPr>
      </w:pPr>
      <w:r w:rsidRPr="00605DC2">
        <w:rPr>
          <w:lang w:eastAsia="en-AU"/>
        </w:rPr>
        <w:t>The ACFI 11 Medication question has been used in a matrix with ACFI 12 which covers complex health care procedures since the ACFI introduction. The matrix ‘weighting’ has been changed several times including the major change introduced on January 1, 2017 where Medication Q11 levels were combined into none, some help and injections and the new matrix with the ACFI 12 ratings (A, B, C, D) was created.</w:t>
      </w:r>
    </w:p>
    <w:p w:rsidR="00980F62" w:rsidRDefault="003217B9" w:rsidP="00F17BAC">
      <w:pPr>
        <w:rPr>
          <w:lang w:eastAsia="en-AU"/>
        </w:rPr>
      </w:pPr>
      <w:r>
        <w:rPr>
          <w:lang w:eastAsia="en-AU"/>
        </w:rPr>
        <w:t>However, there are some issues with the matrix arrangement:</w:t>
      </w:r>
    </w:p>
    <w:p w:rsidR="003217B9" w:rsidRDefault="003217B9" w:rsidP="00151877">
      <w:pPr>
        <w:pStyle w:val="ListParagraph"/>
        <w:numPr>
          <w:ilvl w:val="0"/>
          <w:numId w:val="69"/>
        </w:numPr>
        <w:rPr>
          <w:lang w:eastAsia="en-AU"/>
        </w:rPr>
      </w:pPr>
      <w:r w:rsidRPr="00764BDB">
        <w:rPr>
          <w:lang w:eastAsia="en-AU"/>
        </w:rPr>
        <w:t>Current matrix funding approach does not reflect care needs for one scenario</w:t>
      </w:r>
      <w:r w:rsidR="00767F18">
        <w:rPr>
          <w:lang w:eastAsia="en-AU"/>
        </w:rPr>
        <w:t xml:space="preserve"> where the r</w:t>
      </w:r>
      <w:r>
        <w:rPr>
          <w:lang w:eastAsia="en-AU"/>
        </w:rPr>
        <w:t>esident has an A in ACFI 11 and a B in ACFI 12 (scores zero). The ACFI 12 aspect is not funded.</w:t>
      </w:r>
    </w:p>
    <w:p w:rsidR="00980F62" w:rsidRDefault="003217B9" w:rsidP="00151877">
      <w:pPr>
        <w:pStyle w:val="ListParagraph"/>
        <w:numPr>
          <w:ilvl w:val="0"/>
          <w:numId w:val="69"/>
        </w:numPr>
        <w:rPr>
          <w:lang w:eastAsia="en-AU"/>
        </w:rPr>
      </w:pPr>
      <w:r>
        <w:rPr>
          <w:lang w:eastAsia="en-AU"/>
        </w:rPr>
        <w:t>Medication is effectively just another health procedure; thus, it does not warrant being a pivotal item in the determination of funding in the CHC Domain.</w:t>
      </w:r>
    </w:p>
    <w:p w:rsidR="003217B9" w:rsidRDefault="003217B9" w:rsidP="00151877">
      <w:pPr>
        <w:pStyle w:val="ListParagraph"/>
        <w:numPr>
          <w:ilvl w:val="0"/>
          <w:numId w:val="69"/>
        </w:numPr>
        <w:rPr>
          <w:lang w:eastAsia="en-AU"/>
        </w:rPr>
      </w:pPr>
      <w:r>
        <w:rPr>
          <w:lang w:eastAsia="en-AU"/>
        </w:rPr>
        <w:t>Combining medications into the procedures items also simplifies the funding determination as the domain and weights can be individually allocated to medication assistance and injection aspects.</w:t>
      </w:r>
      <w:r w:rsidR="007A576E">
        <w:rPr>
          <w:lang w:eastAsia="en-AU"/>
        </w:rPr>
        <w:t xml:space="preserve"> </w:t>
      </w:r>
      <w:r w:rsidR="009B54DF">
        <w:rPr>
          <w:lang w:eastAsia="en-AU"/>
        </w:rPr>
        <w:t>These weights can be adjusted in future.</w:t>
      </w:r>
    </w:p>
    <w:p w:rsidR="00980F62" w:rsidRDefault="003217B9" w:rsidP="00151877">
      <w:pPr>
        <w:pStyle w:val="ListParagraph"/>
        <w:numPr>
          <w:ilvl w:val="0"/>
          <w:numId w:val="69"/>
        </w:numPr>
        <w:rPr>
          <w:lang w:eastAsia="en-AU"/>
        </w:rPr>
      </w:pPr>
      <w:r>
        <w:rPr>
          <w:lang w:eastAsia="en-AU"/>
        </w:rPr>
        <w:lastRenderedPageBreak/>
        <w:t>By including the administration of medications in the health care procedures list, it allows the administration of suppositories at least weekly (ACFI 12.7) to be combined into the medication assistance procedure where it best fits.</w:t>
      </w:r>
    </w:p>
    <w:p w:rsidR="003217B9" w:rsidRDefault="003217B9" w:rsidP="007A404E">
      <w:pPr>
        <w:rPr>
          <w:lang w:eastAsia="en-AU"/>
        </w:rPr>
      </w:pPr>
      <w:r>
        <w:rPr>
          <w:lang w:eastAsia="en-AU"/>
        </w:rPr>
        <w:t>By including medication into the single CHC question, all valid claims in medications and for CHC will be recognised in the scoring of the new R-ACFI 8 (C</w:t>
      </w:r>
      <w:r w:rsidR="001412C5">
        <w:rPr>
          <w:lang w:eastAsia="en-AU"/>
        </w:rPr>
        <w:t>HC</w:t>
      </w:r>
      <w:r>
        <w:rPr>
          <w:lang w:eastAsia="en-AU"/>
        </w:rPr>
        <w:t>).</w:t>
      </w:r>
    </w:p>
    <w:p w:rsidR="00980F62" w:rsidRDefault="003217B9" w:rsidP="007A404E">
      <w:pPr>
        <w:rPr>
          <w:lang w:eastAsia="en-AU"/>
        </w:rPr>
      </w:pPr>
      <w:r w:rsidRPr="00BA356F">
        <w:rPr>
          <w:rStyle w:val="Strong"/>
        </w:rPr>
        <w:t>Recommendation:</w:t>
      </w:r>
      <w:r>
        <w:rPr>
          <w:b/>
          <w:lang w:eastAsia="en-AU"/>
        </w:rPr>
        <w:t xml:space="preserve"> </w:t>
      </w:r>
      <w:r w:rsidRPr="00734F14">
        <w:rPr>
          <w:lang w:eastAsia="en-AU"/>
        </w:rPr>
        <w:t>T</w:t>
      </w:r>
      <w:r>
        <w:rPr>
          <w:lang w:eastAsia="en-AU"/>
        </w:rPr>
        <w:t>he medication items are included with the other procedures in the C</w:t>
      </w:r>
      <w:r w:rsidR="001412C5">
        <w:rPr>
          <w:lang w:eastAsia="en-AU"/>
        </w:rPr>
        <w:t>HC</w:t>
      </w:r>
      <w:r>
        <w:rPr>
          <w:lang w:eastAsia="en-AU"/>
        </w:rPr>
        <w:t xml:space="preserve"> domain. The recommended new medication item will have two levels, </w:t>
      </w:r>
      <w:r w:rsidR="00842D68">
        <w:rPr>
          <w:lang w:eastAsia="en-AU"/>
        </w:rPr>
        <w:t xml:space="preserve">but </w:t>
      </w:r>
      <w:r w:rsidR="001412C5">
        <w:rPr>
          <w:lang w:eastAsia="en-AU"/>
        </w:rPr>
        <w:t xml:space="preserve">only the item reflecting the higher complexity can be </w:t>
      </w:r>
      <w:r w:rsidR="00842D68">
        <w:rPr>
          <w:lang w:eastAsia="en-AU"/>
        </w:rPr>
        <w:t xml:space="preserve">included in the </w:t>
      </w:r>
      <w:r w:rsidR="001412C5">
        <w:rPr>
          <w:lang w:eastAsia="en-AU"/>
        </w:rPr>
        <w:t>claim</w:t>
      </w:r>
      <w:r>
        <w:rPr>
          <w:lang w:eastAsia="en-AU"/>
        </w:rPr>
        <w:t>.</w:t>
      </w:r>
    </w:p>
    <w:p w:rsidR="003217B9" w:rsidRDefault="003217B9" w:rsidP="00F17BAC">
      <w:pPr>
        <w:spacing w:after="0"/>
        <w:rPr>
          <w:lang w:eastAsia="en-AU"/>
        </w:rPr>
      </w:pPr>
      <w:r>
        <w:rPr>
          <w:lang w:eastAsia="en-AU"/>
        </w:rPr>
        <w:t xml:space="preserve">The following items were therefore added to the </w:t>
      </w:r>
      <w:r w:rsidR="00842D68">
        <w:rPr>
          <w:lang w:eastAsia="en-AU"/>
        </w:rPr>
        <w:t xml:space="preserve">R-ACFI </w:t>
      </w:r>
      <w:r>
        <w:rPr>
          <w:lang w:eastAsia="en-AU"/>
        </w:rPr>
        <w:t>CHC procedures list:</w:t>
      </w:r>
    </w:p>
    <w:p w:rsidR="003217B9" w:rsidRDefault="003217B9" w:rsidP="00557DB1">
      <w:pPr>
        <w:pStyle w:val="ListParagraph"/>
        <w:numPr>
          <w:ilvl w:val="0"/>
          <w:numId w:val="28"/>
        </w:numPr>
        <w:spacing w:after="200"/>
        <w:rPr>
          <w:lang w:eastAsia="en-AU"/>
        </w:rPr>
      </w:pPr>
      <w:r>
        <w:rPr>
          <w:lang w:eastAsia="en-AU"/>
        </w:rPr>
        <w:t>Medication Item 9a (Level 1) – weight 3 points (determined in relativity to the other procedures): Suppositories and enemas (from ACFI 12.7), weekly patches, daily assistance with medications.</w:t>
      </w:r>
    </w:p>
    <w:p w:rsidR="003217B9" w:rsidRPr="00164606" w:rsidRDefault="003217B9" w:rsidP="00557DB1">
      <w:pPr>
        <w:pStyle w:val="ListParagraph"/>
        <w:numPr>
          <w:ilvl w:val="0"/>
          <w:numId w:val="28"/>
        </w:numPr>
        <w:spacing w:after="200"/>
        <w:rPr>
          <w:lang w:eastAsia="en-AU"/>
        </w:rPr>
      </w:pPr>
      <w:r>
        <w:rPr>
          <w:lang w:eastAsia="en-AU"/>
        </w:rPr>
        <w:t>Medication Item 9b (Level 2) – weight 6 points (determined in relativity to the other procedures): Daily administration of injections (subcutaneous, intramuscular</w:t>
      </w:r>
      <w:r w:rsidR="00767F18">
        <w:rPr>
          <w:lang w:eastAsia="en-AU"/>
        </w:rPr>
        <w:t xml:space="preserve"> and intravenous)</w:t>
      </w:r>
      <w:r w:rsidR="006B4182">
        <w:rPr>
          <w:lang w:eastAsia="en-AU"/>
        </w:rPr>
        <w:t>.</w:t>
      </w:r>
    </w:p>
    <w:p w:rsidR="003217B9" w:rsidRDefault="003217B9" w:rsidP="00F17BAC">
      <w:pPr>
        <w:rPr>
          <w:lang w:eastAsia="en-AU"/>
        </w:rPr>
      </w:pPr>
      <w:r>
        <w:rPr>
          <w:lang w:eastAsia="en-AU"/>
        </w:rPr>
        <w:t>The medication changes do not impact on current care practices, and there are no changes to items that can be claimed. Additionally, it also better reflects</w:t>
      </w:r>
      <w:r w:rsidR="00842D68">
        <w:rPr>
          <w:lang w:eastAsia="en-AU"/>
        </w:rPr>
        <w:t xml:space="preserve"> the nursing resources required</w:t>
      </w:r>
      <w:r>
        <w:rPr>
          <w:lang w:eastAsia="en-AU"/>
        </w:rPr>
        <w:t xml:space="preserve"> as stakeholders reported that daily medications are commonly administered by PCA staff who are monitored by RNs. Nurses (Enrolled Nurses and Registered Nurses) administer injections (and some of the other more complex medicines).</w:t>
      </w:r>
    </w:p>
    <w:p w:rsidR="00980F62" w:rsidRDefault="003217B9" w:rsidP="007439AD">
      <w:pPr>
        <w:pStyle w:val="Heading4-Chapter632"/>
      </w:pPr>
      <w:r w:rsidRPr="007439AD">
        <w:t>Depression Question is moved from the B</w:t>
      </w:r>
      <w:r w:rsidR="00767F18" w:rsidRPr="007439AD">
        <w:t>EH</w:t>
      </w:r>
      <w:r w:rsidRPr="007439AD">
        <w:t xml:space="preserve"> Domain into the C</w:t>
      </w:r>
      <w:r w:rsidR="00767F18" w:rsidRPr="007439AD">
        <w:t>HC</w:t>
      </w:r>
      <w:r w:rsidRPr="007439AD">
        <w:t xml:space="preserve"> Procedures List</w:t>
      </w:r>
    </w:p>
    <w:p w:rsidR="00980F62" w:rsidRDefault="00BC3B35" w:rsidP="007A404E">
      <w:pPr>
        <w:keepNext/>
        <w:spacing w:before="120" w:after="0"/>
        <w:rPr>
          <w:rStyle w:val="Strong"/>
        </w:rPr>
      </w:pPr>
      <w:r w:rsidRPr="00BA356F">
        <w:rPr>
          <w:rStyle w:val="Strong"/>
        </w:rPr>
        <w:t>Care Staff and the Cornell Scale for Depression (CSD)</w:t>
      </w:r>
    </w:p>
    <w:p w:rsidR="00980F62" w:rsidRDefault="00BC3B35" w:rsidP="00F71659">
      <w:pPr>
        <w:rPr>
          <w:color w:val="000000" w:themeColor="text1"/>
          <w:lang w:eastAsia="en-AU"/>
        </w:rPr>
      </w:pPr>
      <w:r>
        <w:rPr>
          <w:color w:val="000000" w:themeColor="text1"/>
          <w:lang w:eastAsia="en-AU"/>
        </w:rPr>
        <w:t>F</w:t>
      </w:r>
      <w:r w:rsidRPr="00EA58E2">
        <w:rPr>
          <w:color w:val="000000" w:themeColor="text1"/>
          <w:lang w:eastAsia="en-AU"/>
        </w:rPr>
        <w:t>eedback from the consultations indicated that the depression assessment is not well understood by care staff and is not completed appropriately i.e. notes are not regularly completed for the items.</w:t>
      </w:r>
      <w:r w:rsidR="00F71659">
        <w:rPr>
          <w:color w:val="000000" w:themeColor="text1"/>
          <w:lang w:eastAsia="en-AU"/>
        </w:rPr>
        <w:t xml:space="preserve"> </w:t>
      </w:r>
      <w:r>
        <w:rPr>
          <w:color w:val="000000" w:themeColor="text1"/>
          <w:lang w:eastAsia="en-AU"/>
        </w:rPr>
        <w:t>Without notes against each CSD item, it is not possible to use</w:t>
      </w:r>
      <w:r w:rsidRPr="00EA58E2">
        <w:rPr>
          <w:color w:val="000000" w:themeColor="text1"/>
          <w:lang w:eastAsia="en-AU"/>
        </w:rPr>
        <w:t xml:space="preserve"> </w:t>
      </w:r>
      <w:r>
        <w:rPr>
          <w:color w:val="000000" w:themeColor="text1"/>
          <w:lang w:eastAsia="en-AU"/>
        </w:rPr>
        <w:t>the assessment information for care planning</w:t>
      </w:r>
      <w:r w:rsidRPr="00EA58E2">
        <w:rPr>
          <w:color w:val="000000" w:themeColor="text1"/>
          <w:lang w:eastAsia="en-AU"/>
        </w:rPr>
        <w:t>, as the scores do not inform on care needs.</w:t>
      </w:r>
    </w:p>
    <w:p w:rsidR="00BC3B35" w:rsidRPr="00BA356F" w:rsidRDefault="00BC3B35" w:rsidP="007A404E">
      <w:pPr>
        <w:keepNext/>
        <w:spacing w:before="120" w:after="0"/>
        <w:rPr>
          <w:rStyle w:val="Strong"/>
        </w:rPr>
      </w:pPr>
      <w:r w:rsidRPr="00BA356F">
        <w:rPr>
          <w:rStyle w:val="Strong"/>
        </w:rPr>
        <w:t>Validating the Cornell Scale for Depression (CSD) ACFI Claims</w:t>
      </w:r>
    </w:p>
    <w:p w:rsidR="00980F62" w:rsidRDefault="00BC3B35" w:rsidP="00F71659">
      <w:pPr>
        <w:rPr>
          <w:color w:val="000000" w:themeColor="text1"/>
          <w:lang w:eastAsia="en-AU"/>
        </w:rPr>
      </w:pPr>
      <w:r>
        <w:rPr>
          <w:color w:val="000000" w:themeColor="text1"/>
          <w:lang w:eastAsia="en-AU"/>
        </w:rPr>
        <w:t>From the Department RO perspective, t</w:t>
      </w:r>
      <w:r w:rsidRPr="00EA58E2">
        <w:rPr>
          <w:color w:val="000000" w:themeColor="text1"/>
          <w:lang w:eastAsia="en-AU"/>
        </w:rPr>
        <w:t xml:space="preserve">he assessment </w:t>
      </w:r>
      <w:r>
        <w:rPr>
          <w:color w:val="000000" w:themeColor="text1"/>
          <w:lang w:eastAsia="en-AU"/>
        </w:rPr>
        <w:t xml:space="preserve">result and ratings cannot be </w:t>
      </w:r>
      <w:r w:rsidRPr="00EA58E2">
        <w:rPr>
          <w:color w:val="000000" w:themeColor="text1"/>
          <w:lang w:eastAsia="en-AU"/>
        </w:rPr>
        <w:t>properly validated without the notes informing on why the outcome was reached</w:t>
      </w:r>
      <w:r>
        <w:rPr>
          <w:color w:val="000000" w:themeColor="text1"/>
          <w:lang w:eastAsia="en-AU"/>
        </w:rPr>
        <w:t>. T</w:t>
      </w:r>
      <w:r w:rsidRPr="00EA58E2">
        <w:rPr>
          <w:color w:val="000000" w:themeColor="text1"/>
          <w:lang w:eastAsia="en-AU"/>
        </w:rPr>
        <w:t>he assessment notes are centr</w:t>
      </w:r>
      <w:r>
        <w:rPr>
          <w:color w:val="000000" w:themeColor="text1"/>
          <w:lang w:eastAsia="en-AU"/>
        </w:rPr>
        <w:t>al to validating the CSD items and completion of the notes would need to</w:t>
      </w:r>
      <w:r w:rsidRPr="00EA58E2">
        <w:rPr>
          <w:color w:val="000000" w:themeColor="text1"/>
          <w:lang w:eastAsia="en-AU"/>
        </w:rPr>
        <w:t xml:space="preserve"> be made </w:t>
      </w:r>
      <w:r>
        <w:rPr>
          <w:color w:val="000000" w:themeColor="text1"/>
          <w:lang w:eastAsia="en-AU"/>
        </w:rPr>
        <w:t xml:space="preserve">mandatory as </w:t>
      </w:r>
      <w:r w:rsidRPr="00EA58E2">
        <w:rPr>
          <w:color w:val="000000" w:themeColor="text1"/>
          <w:lang w:eastAsia="en-AU"/>
        </w:rPr>
        <w:t xml:space="preserve">an evidence requirement if </w:t>
      </w:r>
      <w:r>
        <w:rPr>
          <w:color w:val="000000" w:themeColor="text1"/>
          <w:lang w:eastAsia="en-AU"/>
        </w:rPr>
        <w:t xml:space="preserve">the depression question continues to be the basis for the outcome of an </w:t>
      </w:r>
      <w:r w:rsidRPr="00EA58E2">
        <w:rPr>
          <w:color w:val="000000" w:themeColor="text1"/>
          <w:lang w:eastAsia="en-AU"/>
        </w:rPr>
        <w:t>assessment tool</w:t>
      </w:r>
      <w:r>
        <w:rPr>
          <w:color w:val="000000" w:themeColor="text1"/>
          <w:lang w:eastAsia="en-AU"/>
        </w:rPr>
        <w:t xml:space="preserve"> rating</w:t>
      </w:r>
      <w:r w:rsidRPr="00EA58E2">
        <w:rPr>
          <w:color w:val="000000" w:themeColor="text1"/>
          <w:lang w:eastAsia="en-AU"/>
        </w:rPr>
        <w:t>.</w:t>
      </w:r>
    </w:p>
    <w:p w:rsidR="00980F62" w:rsidRDefault="00BC3B35" w:rsidP="007A404E">
      <w:pPr>
        <w:keepNext/>
        <w:spacing w:before="120" w:after="0"/>
        <w:rPr>
          <w:rStyle w:val="Strong"/>
        </w:rPr>
      </w:pPr>
      <w:r w:rsidRPr="00BA356F">
        <w:rPr>
          <w:rStyle w:val="Strong"/>
        </w:rPr>
        <w:t>Reframing the ACFI Depression Approach</w:t>
      </w:r>
    </w:p>
    <w:p w:rsidR="00980F62" w:rsidRDefault="00BC3B35" w:rsidP="00F71659">
      <w:pPr>
        <w:rPr>
          <w:color w:val="000000" w:themeColor="text1"/>
          <w:lang w:eastAsia="en-AU"/>
        </w:rPr>
      </w:pPr>
      <w:r>
        <w:rPr>
          <w:color w:val="000000" w:themeColor="text1"/>
          <w:lang w:eastAsia="en-AU"/>
        </w:rPr>
        <w:t xml:space="preserve">While a focus on depression and its symptoms in residential care needs to continue, it is essential to improve the current approach while still providing an emphasis and funding in this area. The option considered was to move the depression question from the behaviour </w:t>
      </w:r>
      <w:r>
        <w:rPr>
          <w:color w:val="000000" w:themeColor="text1"/>
          <w:lang w:eastAsia="en-AU"/>
        </w:rPr>
        <w:lastRenderedPageBreak/>
        <w:t>BEH domain (statistical analysis using IRT also indicated that it now does not fit with the BEH domain questions) and to make it a single item within the CHC domain.</w:t>
      </w:r>
    </w:p>
    <w:p w:rsidR="00980F62" w:rsidRDefault="00BC3B35" w:rsidP="00F71659">
      <w:pPr>
        <w:rPr>
          <w:color w:val="000000" w:themeColor="text1"/>
          <w:lang w:eastAsia="en-AU"/>
        </w:rPr>
      </w:pPr>
      <w:r>
        <w:rPr>
          <w:color w:val="000000" w:themeColor="text1"/>
          <w:lang w:eastAsia="en-AU"/>
        </w:rPr>
        <w:t xml:space="preserve">Consultations with </w:t>
      </w:r>
      <w:r w:rsidRPr="00EA58E2">
        <w:rPr>
          <w:color w:val="000000" w:themeColor="text1"/>
          <w:lang w:eastAsia="en-AU"/>
        </w:rPr>
        <w:t xml:space="preserve">stakeholder groups were in favour </w:t>
      </w:r>
      <w:r>
        <w:rPr>
          <w:color w:val="000000" w:themeColor="text1"/>
          <w:lang w:eastAsia="en-AU"/>
        </w:rPr>
        <w:t>of this option, including</w:t>
      </w:r>
      <w:r w:rsidRPr="00EA58E2">
        <w:rPr>
          <w:color w:val="000000" w:themeColor="text1"/>
          <w:lang w:eastAsia="en-AU"/>
        </w:rPr>
        <w:t xml:space="preserve"> </w:t>
      </w:r>
      <w:r>
        <w:rPr>
          <w:color w:val="000000" w:themeColor="text1"/>
          <w:lang w:eastAsia="en-AU"/>
        </w:rPr>
        <w:t xml:space="preserve">the use of </w:t>
      </w:r>
      <w:r>
        <w:rPr>
          <w:lang w:eastAsia="en-AU"/>
        </w:rPr>
        <w:t xml:space="preserve">a </w:t>
      </w:r>
      <w:r w:rsidR="00F71659">
        <w:rPr>
          <w:lang w:eastAsia="en-AU"/>
        </w:rPr>
        <w:t>simplified</w:t>
      </w:r>
      <w:r>
        <w:rPr>
          <w:lang w:eastAsia="en-AU"/>
        </w:rPr>
        <w:t xml:space="preserve"> approach to Depression assessment in keeping with the skills of care staff. This will also a</w:t>
      </w:r>
      <w:r w:rsidRPr="00EA58E2">
        <w:rPr>
          <w:color w:val="000000" w:themeColor="text1"/>
          <w:lang w:eastAsia="en-AU"/>
        </w:rPr>
        <w:t xml:space="preserve">llow for </w:t>
      </w:r>
      <w:r>
        <w:rPr>
          <w:color w:val="000000" w:themeColor="text1"/>
          <w:lang w:eastAsia="en-AU"/>
        </w:rPr>
        <w:t xml:space="preserve">the </w:t>
      </w:r>
      <w:r w:rsidRPr="00EA58E2">
        <w:rPr>
          <w:color w:val="000000" w:themeColor="text1"/>
          <w:lang w:eastAsia="en-AU"/>
        </w:rPr>
        <w:t xml:space="preserve">selection of assessment tools to suit the </w:t>
      </w:r>
      <w:r>
        <w:rPr>
          <w:color w:val="000000" w:themeColor="text1"/>
          <w:lang w:eastAsia="en-AU"/>
        </w:rPr>
        <w:t>needs of the resident</w:t>
      </w:r>
      <w:r w:rsidRPr="00EA58E2">
        <w:rPr>
          <w:color w:val="000000" w:themeColor="text1"/>
          <w:lang w:eastAsia="en-AU"/>
        </w:rPr>
        <w:t>.</w:t>
      </w:r>
    </w:p>
    <w:p w:rsidR="003217B9" w:rsidRDefault="003217B9" w:rsidP="00F71659">
      <w:pPr>
        <w:rPr>
          <w:lang w:eastAsia="en-AU"/>
        </w:rPr>
      </w:pPr>
      <w:r>
        <w:rPr>
          <w:lang w:eastAsia="en-AU"/>
        </w:rPr>
        <w:t xml:space="preserve">There were several considerations that influenced the decision to move ACFI 10 Depression and place it with the CHC procedures list. </w:t>
      </w:r>
      <w:r w:rsidRPr="00764BDB">
        <w:rPr>
          <w:lang w:eastAsia="en-AU"/>
        </w:rPr>
        <w:t>These</w:t>
      </w:r>
      <w:r>
        <w:rPr>
          <w:lang w:eastAsia="en-AU"/>
        </w:rPr>
        <w:t xml:space="preserve"> considerations, in brief, included:</w:t>
      </w:r>
    </w:p>
    <w:p w:rsidR="00980F62" w:rsidRDefault="003217B9" w:rsidP="00F02312">
      <w:pPr>
        <w:pStyle w:val="ListParagraph"/>
        <w:numPr>
          <w:ilvl w:val="6"/>
          <w:numId w:val="144"/>
        </w:numPr>
        <w:spacing w:after="0"/>
        <w:ind w:left="357" w:hanging="357"/>
        <w:rPr>
          <w:lang w:eastAsia="en-AU"/>
        </w:rPr>
      </w:pPr>
      <w:r>
        <w:rPr>
          <w:lang w:eastAsia="en-AU"/>
        </w:rPr>
        <w:t>The Major Depression question is a better fit to the CHC domain than to the current be</w:t>
      </w:r>
      <w:r w:rsidR="00836EDD">
        <w:rPr>
          <w:lang w:eastAsia="en-AU"/>
        </w:rPr>
        <w:t>haviour domain.</w:t>
      </w:r>
    </w:p>
    <w:p w:rsidR="00980F62" w:rsidRDefault="003217B9" w:rsidP="00F02312">
      <w:pPr>
        <w:pStyle w:val="ListParagraph"/>
        <w:numPr>
          <w:ilvl w:val="6"/>
          <w:numId w:val="144"/>
        </w:numPr>
        <w:ind w:left="357" w:hanging="357"/>
        <w:rPr>
          <w:lang w:eastAsia="en-AU"/>
        </w:rPr>
      </w:pPr>
      <w:r>
        <w:rPr>
          <w:lang w:eastAsia="en-AU"/>
        </w:rPr>
        <w:t>ACFI Depression claims require use of a depression assessment tool that has proven complex for many provider assessors and, as well, it has been subject to up-scoring which has impacted on the validity of the results.</w:t>
      </w:r>
      <w:r w:rsidRPr="009E7262">
        <w:rPr>
          <w:lang w:eastAsia="en-AU"/>
        </w:rPr>
        <w:t xml:space="preserve"> </w:t>
      </w:r>
      <w:r>
        <w:rPr>
          <w:lang w:eastAsia="en-AU"/>
        </w:rPr>
        <w:t>A depression assessment will still be needed as the basis for the claim but the score on the assessment will not determine the level of the claim.</w:t>
      </w:r>
    </w:p>
    <w:p w:rsidR="00980F62" w:rsidRDefault="003217B9" w:rsidP="00F02312">
      <w:pPr>
        <w:pStyle w:val="ListParagraph"/>
        <w:numPr>
          <w:ilvl w:val="6"/>
          <w:numId w:val="144"/>
        </w:numPr>
        <w:ind w:left="357" w:hanging="357"/>
        <w:rPr>
          <w:iCs/>
          <w:lang w:eastAsia="en-AU"/>
        </w:rPr>
      </w:pPr>
      <w:r w:rsidRPr="009E7262">
        <w:rPr>
          <w:lang w:eastAsia="en-AU"/>
        </w:rPr>
        <w:t xml:space="preserve">A claim for </w:t>
      </w:r>
      <w:r>
        <w:rPr>
          <w:lang w:eastAsia="en-AU"/>
        </w:rPr>
        <w:t>M</w:t>
      </w:r>
      <w:r w:rsidRPr="009E7262">
        <w:rPr>
          <w:lang w:eastAsia="en-AU"/>
        </w:rPr>
        <w:t xml:space="preserve">ajor </w:t>
      </w:r>
      <w:r>
        <w:rPr>
          <w:lang w:eastAsia="en-AU"/>
        </w:rPr>
        <w:t>D</w:t>
      </w:r>
      <w:r w:rsidRPr="009E7262">
        <w:rPr>
          <w:lang w:eastAsia="en-AU"/>
        </w:rPr>
        <w:t xml:space="preserve">epression can be determined and validated via a diagnosis </w:t>
      </w:r>
      <w:r>
        <w:rPr>
          <w:lang w:eastAsia="en-AU"/>
        </w:rPr>
        <w:t xml:space="preserve">of Major Depression </w:t>
      </w:r>
      <w:r w:rsidRPr="009E7262">
        <w:rPr>
          <w:lang w:eastAsia="en-AU"/>
        </w:rPr>
        <w:t>alone</w:t>
      </w:r>
      <w:r>
        <w:rPr>
          <w:lang w:eastAsia="en-AU"/>
        </w:rPr>
        <w:t xml:space="preserve"> (evidence of how this was determined will be required)</w:t>
      </w:r>
      <w:r w:rsidRPr="009E7262">
        <w:rPr>
          <w:lang w:eastAsia="en-AU"/>
        </w:rPr>
        <w:t xml:space="preserve">. </w:t>
      </w:r>
      <w:r w:rsidRPr="007A404E">
        <w:rPr>
          <w:iCs/>
          <w:lang w:eastAsia="en-AU"/>
        </w:rPr>
        <w:t>Some 36</w:t>
      </w:r>
      <w:r w:rsidR="0065091B">
        <w:rPr>
          <w:iCs/>
          <w:lang w:eastAsia="en-AU"/>
        </w:rPr>
        <w:t xml:space="preserve"> per cent</w:t>
      </w:r>
      <w:r w:rsidRPr="007A404E">
        <w:rPr>
          <w:iCs/>
          <w:lang w:eastAsia="en-AU"/>
        </w:rPr>
        <w:t xml:space="preserve"> of claims had a diagnosis of depression. Seeking a diagnosis will no longer qualify as a diagnosis for a claim.</w:t>
      </w:r>
    </w:p>
    <w:p w:rsidR="003217B9" w:rsidRPr="00823F85" w:rsidRDefault="003217B9" w:rsidP="00F71659">
      <w:pPr>
        <w:rPr>
          <w:rFonts w:eastAsiaTheme="majorEastAsia" w:cstheme="minorHAnsi"/>
          <w:b/>
          <w:iCs/>
          <w:color w:val="2F5496" w:themeColor="accent1" w:themeShade="BF"/>
          <w:szCs w:val="24"/>
          <w:lang w:eastAsia="en-AU"/>
        </w:rPr>
      </w:pPr>
      <w:r w:rsidRPr="00BA356F">
        <w:rPr>
          <w:rStyle w:val="Strong"/>
        </w:rPr>
        <w:t>Recommendation:</w:t>
      </w:r>
      <w:r w:rsidRPr="00823F85">
        <w:rPr>
          <w:lang w:eastAsia="en-AU"/>
        </w:rPr>
        <w:t xml:space="preserve"> </w:t>
      </w:r>
      <w:r>
        <w:rPr>
          <w:lang w:eastAsia="en-AU"/>
        </w:rPr>
        <w:t xml:space="preserve">The depression question is included in the R-ACFI </w:t>
      </w:r>
      <w:r w:rsidRPr="008C79B4">
        <w:rPr>
          <w:lang w:eastAsia="en-AU"/>
        </w:rPr>
        <w:t>8</w:t>
      </w:r>
      <w:r>
        <w:rPr>
          <w:lang w:eastAsia="en-AU"/>
        </w:rPr>
        <w:t xml:space="preserve"> C</w:t>
      </w:r>
      <w:r w:rsidR="001D23E4">
        <w:rPr>
          <w:lang w:eastAsia="en-AU"/>
        </w:rPr>
        <w:t>HC</w:t>
      </w:r>
      <w:r>
        <w:rPr>
          <w:lang w:eastAsia="en-AU"/>
        </w:rPr>
        <w:t xml:space="preserve"> procedures list </w:t>
      </w:r>
      <w:r w:rsidR="00836EDD">
        <w:rPr>
          <w:lang w:eastAsia="en-AU"/>
        </w:rPr>
        <w:t xml:space="preserve">as a stand-alone </w:t>
      </w:r>
      <w:r>
        <w:rPr>
          <w:lang w:eastAsia="en-AU"/>
        </w:rPr>
        <w:t xml:space="preserve">item. </w:t>
      </w:r>
      <w:r w:rsidRPr="00957769">
        <w:rPr>
          <w:iCs/>
          <w:lang w:eastAsia="en-AU"/>
        </w:rPr>
        <w:t xml:space="preserve">The evidence requirements for </w:t>
      </w:r>
      <w:r>
        <w:rPr>
          <w:iCs/>
          <w:lang w:eastAsia="en-AU"/>
        </w:rPr>
        <w:t xml:space="preserve">a </w:t>
      </w:r>
      <w:r w:rsidRPr="00957769">
        <w:rPr>
          <w:iCs/>
          <w:lang w:eastAsia="en-AU"/>
        </w:rPr>
        <w:t xml:space="preserve">Depression </w:t>
      </w:r>
      <w:r>
        <w:rPr>
          <w:iCs/>
          <w:lang w:eastAsia="en-AU"/>
        </w:rPr>
        <w:t xml:space="preserve">claim </w:t>
      </w:r>
      <w:r w:rsidRPr="00957769">
        <w:rPr>
          <w:iCs/>
          <w:lang w:eastAsia="en-AU"/>
        </w:rPr>
        <w:t>w</w:t>
      </w:r>
      <w:r>
        <w:rPr>
          <w:iCs/>
          <w:lang w:eastAsia="en-AU"/>
        </w:rPr>
        <w:t>ill</w:t>
      </w:r>
      <w:r w:rsidRPr="00957769">
        <w:rPr>
          <w:iCs/>
          <w:lang w:eastAsia="en-AU"/>
        </w:rPr>
        <w:t xml:space="preserve"> include:</w:t>
      </w:r>
    </w:p>
    <w:p w:rsidR="003217B9" w:rsidRPr="00053BA8" w:rsidRDefault="003217B9" w:rsidP="00557DB1">
      <w:pPr>
        <w:pStyle w:val="ListParagraph"/>
        <w:numPr>
          <w:ilvl w:val="0"/>
          <w:numId w:val="31"/>
        </w:numPr>
        <w:rPr>
          <w:lang w:eastAsia="en-AU"/>
        </w:rPr>
      </w:pPr>
      <w:r>
        <w:rPr>
          <w:lang w:eastAsia="en-AU"/>
        </w:rPr>
        <w:t>A</w:t>
      </w:r>
      <w:r w:rsidRPr="00053BA8">
        <w:rPr>
          <w:lang w:eastAsia="en-AU"/>
        </w:rPr>
        <w:t xml:space="preserve"> mandated requirement </w:t>
      </w:r>
      <w:r>
        <w:rPr>
          <w:lang w:eastAsia="en-AU"/>
        </w:rPr>
        <w:t>for</w:t>
      </w:r>
      <w:r w:rsidRPr="00053BA8">
        <w:rPr>
          <w:lang w:eastAsia="en-AU"/>
        </w:rPr>
        <w:t xml:space="preserve"> a </w:t>
      </w:r>
      <w:r>
        <w:rPr>
          <w:lang w:eastAsia="en-AU"/>
        </w:rPr>
        <w:t xml:space="preserve">current </w:t>
      </w:r>
      <w:r w:rsidRPr="00053BA8">
        <w:rPr>
          <w:lang w:eastAsia="en-AU"/>
        </w:rPr>
        <w:t xml:space="preserve">diagnosis of </w:t>
      </w:r>
      <w:r>
        <w:rPr>
          <w:lang w:eastAsia="en-AU"/>
        </w:rPr>
        <w:t>Major D</w:t>
      </w:r>
      <w:r w:rsidRPr="00053BA8">
        <w:rPr>
          <w:lang w:eastAsia="en-AU"/>
        </w:rPr>
        <w:t>epression</w:t>
      </w:r>
      <w:r>
        <w:rPr>
          <w:lang w:eastAsia="en-AU"/>
        </w:rPr>
        <w:t xml:space="preserve"> (</w:t>
      </w:r>
      <w:r w:rsidRPr="008C79B4">
        <w:rPr>
          <w:lang w:eastAsia="en-AU"/>
        </w:rPr>
        <w:t>that</w:t>
      </w:r>
      <w:r>
        <w:rPr>
          <w:lang w:eastAsia="en-AU"/>
        </w:rPr>
        <w:t xml:space="preserve"> impacts on current care needs). </w:t>
      </w:r>
      <w:r w:rsidR="00836EDD">
        <w:rPr>
          <w:lang w:eastAsia="en-AU"/>
        </w:rPr>
        <w:t>Example c</w:t>
      </w:r>
      <w:r>
        <w:rPr>
          <w:lang w:eastAsia="en-AU"/>
        </w:rPr>
        <w:t xml:space="preserve">riteria for a diagnosis are set out in DSM-V </w:t>
      </w:r>
      <w:r w:rsidRPr="00B2167D">
        <w:rPr>
          <w:lang w:eastAsia="en-AU"/>
        </w:rPr>
        <w:t>(American Psychiatric Association,</w:t>
      </w:r>
      <w:r w:rsidRPr="001947B6">
        <w:rPr>
          <w:lang w:eastAsia="en-AU"/>
        </w:rPr>
        <w:t xml:space="preserve"> </w:t>
      </w:r>
      <w:r w:rsidRPr="00141F7E">
        <w:rPr>
          <w:lang w:eastAsia="en-AU"/>
        </w:rPr>
        <w:t>2013)</w:t>
      </w:r>
      <w:r w:rsidRPr="004D3BC0">
        <w:rPr>
          <w:lang w:eastAsia="en-AU"/>
        </w:rPr>
        <w:t>.</w:t>
      </w:r>
    </w:p>
    <w:p w:rsidR="003217B9" w:rsidRPr="00957769" w:rsidRDefault="003217B9" w:rsidP="00557DB1">
      <w:pPr>
        <w:pStyle w:val="ListParagraph"/>
        <w:numPr>
          <w:ilvl w:val="0"/>
          <w:numId w:val="31"/>
        </w:numPr>
        <w:rPr>
          <w:lang w:eastAsia="en-AU"/>
        </w:rPr>
      </w:pPr>
      <w:r>
        <w:rPr>
          <w:lang w:eastAsia="en-AU"/>
        </w:rPr>
        <w:t xml:space="preserve">Completion of </w:t>
      </w:r>
      <w:r w:rsidRPr="00053BA8">
        <w:rPr>
          <w:lang w:eastAsia="en-AU"/>
        </w:rPr>
        <w:t xml:space="preserve">a depression assessment tool </w:t>
      </w:r>
      <w:r>
        <w:rPr>
          <w:lang w:eastAsia="en-AU"/>
        </w:rPr>
        <w:t xml:space="preserve">from the recommended list </w:t>
      </w:r>
      <w:r w:rsidRPr="00053BA8">
        <w:rPr>
          <w:lang w:eastAsia="en-AU"/>
        </w:rPr>
        <w:t>(</w:t>
      </w:r>
      <w:r>
        <w:rPr>
          <w:lang w:eastAsia="en-AU"/>
        </w:rPr>
        <w:t xml:space="preserve">no </w:t>
      </w:r>
      <w:r w:rsidRPr="00053BA8">
        <w:rPr>
          <w:lang w:eastAsia="en-AU"/>
        </w:rPr>
        <w:t>mandated</w:t>
      </w:r>
      <w:r>
        <w:rPr>
          <w:lang w:eastAsia="en-AU"/>
        </w:rPr>
        <w:t xml:space="preserve"> </w:t>
      </w:r>
      <w:r w:rsidRPr="00957769">
        <w:rPr>
          <w:lang w:eastAsia="en-AU"/>
        </w:rPr>
        <w:t>tool)</w:t>
      </w:r>
      <w:r>
        <w:rPr>
          <w:lang w:eastAsia="en-AU"/>
        </w:rPr>
        <w:t>.</w:t>
      </w:r>
    </w:p>
    <w:p w:rsidR="003217B9" w:rsidRDefault="003217B9" w:rsidP="00557DB1">
      <w:pPr>
        <w:pStyle w:val="ListParagraph"/>
        <w:numPr>
          <w:ilvl w:val="0"/>
          <w:numId w:val="31"/>
        </w:numPr>
        <w:rPr>
          <w:lang w:eastAsia="en-AU"/>
        </w:rPr>
      </w:pPr>
      <w:r w:rsidRPr="00957769">
        <w:rPr>
          <w:lang w:eastAsia="en-AU"/>
        </w:rPr>
        <w:t>Provision of a care directive setting out the treatment and management approach</w:t>
      </w:r>
      <w:r>
        <w:rPr>
          <w:lang w:eastAsia="en-AU"/>
        </w:rPr>
        <w:t>.</w:t>
      </w:r>
    </w:p>
    <w:p w:rsidR="003217B9" w:rsidRDefault="003217B9" w:rsidP="00557DB1">
      <w:pPr>
        <w:pStyle w:val="ListParagraph"/>
        <w:numPr>
          <w:ilvl w:val="0"/>
          <w:numId w:val="31"/>
        </w:numPr>
        <w:rPr>
          <w:lang w:eastAsia="en-AU"/>
        </w:rPr>
      </w:pPr>
      <w:r>
        <w:rPr>
          <w:lang w:eastAsia="en-AU"/>
        </w:rPr>
        <w:t>An item weight of 3 points (determined in relativity to the other procedures).</w:t>
      </w:r>
    </w:p>
    <w:p w:rsidR="007F1893" w:rsidRDefault="007F1893" w:rsidP="007F1893">
      <w:pPr>
        <w:rPr>
          <w:rStyle w:val="Strong"/>
        </w:rPr>
      </w:pPr>
      <w:r>
        <w:rPr>
          <w:rStyle w:val="Strong"/>
        </w:rPr>
        <w:br w:type="page"/>
      </w:r>
    </w:p>
    <w:p w:rsidR="003217B9" w:rsidRPr="007F1893" w:rsidRDefault="003217B9" w:rsidP="004425B9">
      <w:pPr>
        <w:spacing w:before="120" w:after="60"/>
        <w:rPr>
          <w:rStyle w:val="Strong"/>
        </w:rPr>
      </w:pPr>
      <w:r w:rsidRPr="007F1893">
        <w:rPr>
          <w:rStyle w:val="Strong"/>
        </w:rPr>
        <w:lastRenderedPageBreak/>
        <w:t>Major Depression (APA, 2013)</w:t>
      </w:r>
    </w:p>
    <w:p w:rsidR="00980F62" w:rsidRDefault="009B653C" w:rsidP="00F06656">
      <w:pPr>
        <w:pBdr>
          <w:top w:val="single" w:sz="4" w:space="1" w:color="auto"/>
          <w:left w:val="single" w:sz="4" w:space="4" w:color="auto"/>
          <w:right w:val="single" w:sz="4" w:space="4" w:color="auto"/>
        </w:pBdr>
        <w:rPr>
          <w:b/>
          <w:bCs/>
          <w:i/>
          <w:sz w:val="20"/>
          <w:szCs w:val="20"/>
          <w:lang w:val="en-US"/>
        </w:rPr>
      </w:pPr>
      <w:r w:rsidRPr="00764BDB">
        <w:rPr>
          <w:b/>
          <w:bCs/>
          <w:i/>
          <w:sz w:val="20"/>
          <w:szCs w:val="20"/>
          <w:lang w:val="en-US"/>
        </w:rPr>
        <w:t>Major Depressive Disorder – DSM V</w:t>
      </w:r>
    </w:p>
    <w:p w:rsidR="009B653C" w:rsidRPr="00764BDB" w:rsidRDefault="009B653C" w:rsidP="00F06656">
      <w:pPr>
        <w:pBdr>
          <w:left w:val="single" w:sz="4" w:space="4" w:color="auto"/>
          <w:right w:val="single" w:sz="4" w:space="4" w:color="auto"/>
        </w:pBdr>
        <w:rPr>
          <w:i/>
          <w:sz w:val="20"/>
          <w:szCs w:val="20"/>
          <w:lang w:val="en-US"/>
        </w:rPr>
      </w:pPr>
      <w:r w:rsidRPr="00764BDB">
        <w:rPr>
          <w:i/>
          <w:sz w:val="20"/>
          <w:szCs w:val="20"/>
          <w:lang w:val="en-US"/>
        </w:rPr>
        <w:t>1, Criteria A-C represent a major depressive episode.</w:t>
      </w:r>
    </w:p>
    <w:p w:rsidR="00980F62" w:rsidRDefault="009B653C" w:rsidP="00F06656">
      <w:pPr>
        <w:pStyle w:val="ListParagraph"/>
        <w:numPr>
          <w:ilvl w:val="1"/>
          <w:numId w:val="183"/>
        </w:numPr>
        <w:pBdr>
          <w:left w:val="single" w:sz="4" w:space="4" w:color="auto"/>
          <w:right w:val="single" w:sz="4" w:space="4" w:color="auto"/>
        </w:pBdr>
        <w:spacing w:after="60"/>
        <w:ind w:left="357" w:hanging="357"/>
        <w:contextualSpacing w:val="0"/>
        <w:rPr>
          <w:i/>
          <w:sz w:val="20"/>
          <w:szCs w:val="20"/>
          <w:lang w:val="en-US"/>
        </w:rPr>
      </w:pPr>
      <w:r w:rsidRPr="001A4CC1">
        <w:rPr>
          <w:b/>
          <w:bCs/>
          <w:i/>
          <w:sz w:val="20"/>
          <w:szCs w:val="20"/>
          <w:lang w:val="en-US"/>
        </w:rPr>
        <w:t>Five (or more) of the following symptoms have been present during the same 2-week period and represent a change from previous functioning; at least one of the symptoms is either (1) depressed mood or (2) loss of interest or pleasure.</w:t>
      </w:r>
      <w:r w:rsidRPr="001A4CC1">
        <w:rPr>
          <w:i/>
          <w:sz w:val="20"/>
          <w:szCs w:val="20"/>
          <w:lang w:val="en-US"/>
        </w:rPr>
        <w:t xml:space="preserve"> Note: Do not include symptoms that are clearly attributable to another medical condition.</w:t>
      </w:r>
    </w:p>
    <w:p w:rsidR="00980F62" w:rsidRDefault="009B653C" w:rsidP="00F06656">
      <w:pPr>
        <w:pStyle w:val="ListParagraph"/>
        <w:numPr>
          <w:ilvl w:val="0"/>
          <w:numId w:val="256"/>
        </w:numPr>
        <w:pBdr>
          <w:left w:val="single" w:sz="4" w:space="30" w:color="auto"/>
          <w:right w:val="single" w:sz="4" w:space="4" w:color="auto"/>
        </w:pBdr>
        <w:spacing w:after="60"/>
        <w:ind w:left="881" w:hanging="357"/>
        <w:contextualSpacing w:val="0"/>
        <w:rPr>
          <w:i/>
          <w:sz w:val="20"/>
          <w:szCs w:val="20"/>
          <w:lang w:val="en-US"/>
        </w:rPr>
      </w:pPr>
      <w:r w:rsidRPr="001A4CC1">
        <w:rPr>
          <w:i/>
          <w:sz w:val="20"/>
          <w:szCs w:val="20"/>
          <w:lang w:val="en-US"/>
        </w:rPr>
        <w:t>Depressed mood most of the day, nearly every day, as indicated by either subjective report</w:t>
      </w:r>
      <w:r w:rsidR="007F1893">
        <w:rPr>
          <w:i/>
          <w:sz w:val="20"/>
          <w:szCs w:val="20"/>
          <w:lang w:val="en-US"/>
        </w:rPr>
        <w:br/>
      </w:r>
      <w:r w:rsidRPr="001A4CC1">
        <w:rPr>
          <w:i/>
          <w:sz w:val="20"/>
          <w:szCs w:val="20"/>
          <w:lang w:val="en-US"/>
        </w:rPr>
        <w:t>(e.g., feels sad, empty, hopeless) or observation made by others (e.g., appears tearful).</w:t>
      </w:r>
    </w:p>
    <w:p w:rsidR="00980F62" w:rsidRDefault="009B653C" w:rsidP="00F06656">
      <w:pPr>
        <w:pStyle w:val="ListParagraph"/>
        <w:numPr>
          <w:ilvl w:val="0"/>
          <w:numId w:val="256"/>
        </w:numPr>
        <w:pBdr>
          <w:left w:val="single" w:sz="4" w:space="30" w:color="auto"/>
          <w:right w:val="single" w:sz="4" w:space="4" w:color="auto"/>
        </w:pBdr>
        <w:spacing w:after="60"/>
        <w:ind w:left="881" w:hanging="357"/>
        <w:contextualSpacing w:val="0"/>
        <w:rPr>
          <w:i/>
          <w:sz w:val="20"/>
          <w:szCs w:val="20"/>
          <w:lang w:val="en-US"/>
        </w:rPr>
      </w:pPr>
      <w:r w:rsidRPr="001A4CC1">
        <w:rPr>
          <w:i/>
          <w:sz w:val="20"/>
          <w:szCs w:val="20"/>
          <w:lang w:val="en-US"/>
        </w:rPr>
        <w:t>Markedly diminished interest or pleasure in all, or almost all, activities most of the day, nearly every day (as indicated by either subjective account or observation.)</w:t>
      </w:r>
    </w:p>
    <w:p w:rsidR="00980F62" w:rsidRDefault="009B653C" w:rsidP="00F06656">
      <w:pPr>
        <w:pStyle w:val="ListParagraph"/>
        <w:numPr>
          <w:ilvl w:val="0"/>
          <w:numId w:val="256"/>
        </w:numPr>
        <w:pBdr>
          <w:left w:val="single" w:sz="4" w:space="30" w:color="auto"/>
          <w:right w:val="single" w:sz="4" w:space="4" w:color="auto"/>
        </w:pBdr>
        <w:spacing w:after="60"/>
        <w:ind w:left="881" w:hanging="357"/>
        <w:contextualSpacing w:val="0"/>
        <w:rPr>
          <w:i/>
          <w:sz w:val="20"/>
          <w:szCs w:val="20"/>
          <w:lang w:val="en-US"/>
        </w:rPr>
      </w:pPr>
      <w:r w:rsidRPr="001A4CC1">
        <w:rPr>
          <w:i/>
          <w:sz w:val="20"/>
          <w:szCs w:val="20"/>
          <w:lang w:val="en-US"/>
        </w:rPr>
        <w:t>Significant weight loss when not dieting or weight gain (e.g., a change of more than 5% of body weight in a month), or decrease or increase in appetite nearly every day. (Note: In children, consider failure to make expected weight gain.)</w:t>
      </w:r>
    </w:p>
    <w:p w:rsidR="00980F62" w:rsidRDefault="009B653C" w:rsidP="00F06656">
      <w:pPr>
        <w:pStyle w:val="ListParagraph"/>
        <w:numPr>
          <w:ilvl w:val="0"/>
          <w:numId w:val="256"/>
        </w:numPr>
        <w:pBdr>
          <w:left w:val="single" w:sz="4" w:space="30" w:color="auto"/>
          <w:right w:val="single" w:sz="4" w:space="4" w:color="auto"/>
        </w:pBdr>
        <w:spacing w:after="60"/>
        <w:ind w:left="881" w:hanging="357"/>
        <w:contextualSpacing w:val="0"/>
        <w:rPr>
          <w:i/>
          <w:sz w:val="20"/>
          <w:szCs w:val="20"/>
          <w:lang w:val="en-US"/>
        </w:rPr>
      </w:pPr>
      <w:r w:rsidRPr="001A4CC1">
        <w:rPr>
          <w:i/>
          <w:sz w:val="20"/>
          <w:szCs w:val="20"/>
          <w:lang w:val="en-US"/>
        </w:rPr>
        <w:t>Insomnia or hypersomnia nearly every day.</w:t>
      </w:r>
    </w:p>
    <w:p w:rsidR="00980F62" w:rsidRDefault="009B653C" w:rsidP="00F06656">
      <w:pPr>
        <w:pStyle w:val="ListParagraph"/>
        <w:numPr>
          <w:ilvl w:val="0"/>
          <w:numId w:val="256"/>
        </w:numPr>
        <w:pBdr>
          <w:left w:val="single" w:sz="4" w:space="30" w:color="auto"/>
          <w:right w:val="single" w:sz="4" w:space="4" w:color="auto"/>
        </w:pBdr>
        <w:spacing w:after="60"/>
        <w:ind w:left="881" w:hanging="357"/>
        <w:contextualSpacing w:val="0"/>
        <w:rPr>
          <w:i/>
          <w:sz w:val="20"/>
          <w:szCs w:val="20"/>
          <w:lang w:val="en-US"/>
        </w:rPr>
      </w:pPr>
      <w:r w:rsidRPr="001A4CC1">
        <w:rPr>
          <w:i/>
          <w:sz w:val="20"/>
          <w:szCs w:val="20"/>
          <w:lang w:val="en-US"/>
        </w:rPr>
        <w:t>Psychomotor agitation or retardation nearly every day (observable by others, not merely subjective feelings of restlessness or being slowed down).</w:t>
      </w:r>
    </w:p>
    <w:p w:rsidR="00980F62" w:rsidRDefault="009B653C" w:rsidP="00F06656">
      <w:pPr>
        <w:pStyle w:val="ListParagraph"/>
        <w:numPr>
          <w:ilvl w:val="0"/>
          <w:numId w:val="256"/>
        </w:numPr>
        <w:pBdr>
          <w:left w:val="single" w:sz="4" w:space="30" w:color="auto"/>
          <w:right w:val="single" w:sz="4" w:space="4" w:color="auto"/>
        </w:pBdr>
        <w:spacing w:after="60"/>
        <w:ind w:left="881" w:hanging="357"/>
        <w:contextualSpacing w:val="0"/>
        <w:rPr>
          <w:i/>
          <w:sz w:val="20"/>
          <w:szCs w:val="20"/>
          <w:lang w:val="en-US"/>
        </w:rPr>
      </w:pPr>
      <w:r w:rsidRPr="001A4CC1">
        <w:rPr>
          <w:i/>
          <w:sz w:val="20"/>
          <w:szCs w:val="20"/>
          <w:lang w:val="en-US"/>
        </w:rPr>
        <w:t>Fatigue or loss of energy nearly every day.</w:t>
      </w:r>
    </w:p>
    <w:p w:rsidR="00980F62" w:rsidRDefault="009B653C" w:rsidP="00F06656">
      <w:pPr>
        <w:pStyle w:val="ListParagraph"/>
        <w:numPr>
          <w:ilvl w:val="0"/>
          <w:numId w:val="256"/>
        </w:numPr>
        <w:pBdr>
          <w:left w:val="single" w:sz="4" w:space="30" w:color="auto"/>
          <w:right w:val="single" w:sz="4" w:space="4" w:color="auto"/>
        </w:pBdr>
        <w:spacing w:after="60"/>
        <w:ind w:left="881" w:hanging="357"/>
        <w:contextualSpacing w:val="0"/>
        <w:rPr>
          <w:i/>
          <w:sz w:val="20"/>
          <w:szCs w:val="20"/>
          <w:lang w:val="en-US"/>
        </w:rPr>
      </w:pPr>
      <w:r w:rsidRPr="001A4CC1">
        <w:rPr>
          <w:i/>
          <w:sz w:val="20"/>
          <w:szCs w:val="20"/>
          <w:lang w:val="en-US"/>
        </w:rPr>
        <w:t>Feelings of worthlessness or excessive or inappropriate guilt (which may be delusional) nearly every day (not merely self-reproach or guilt about being sick).</w:t>
      </w:r>
    </w:p>
    <w:p w:rsidR="00980F62" w:rsidRDefault="009B653C" w:rsidP="00F06656">
      <w:pPr>
        <w:pStyle w:val="ListParagraph"/>
        <w:numPr>
          <w:ilvl w:val="0"/>
          <w:numId w:val="256"/>
        </w:numPr>
        <w:pBdr>
          <w:left w:val="single" w:sz="4" w:space="30" w:color="auto"/>
          <w:right w:val="single" w:sz="4" w:space="4" w:color="auto"/>
        </w:pBdr>
        <w:spacing w:after="60"/>
        <w:ind w:left="881" w:hanging="357"/>
        <w:contextualSpacing w:val="0"/>
        <w:rPr>
          <w:i/>
          <w:sz w:val="20"/>
          <w:szCs w:val="20"/>
          <w:lang w:val="en-US"/>
        </w:rPr>
      </w:pPr>
      <w:r w:rsidRPr="001A4CC1">
        <w:rPr>
          <w:i/>
          <w:sz w:val="20"/>
          <w:szCs w:val="20"/>
          <w:lang w:val="en-US"/>
        </w:rPr>
        <w:t>Diminished ability to think or concentrate, or indecisiveness, nearly every day (either by subjective account or as observed by others).</w:t>
      </w:r>
    </w:p>
    <w:p w:rsidR="00980F62" w:rsidRDefault="009B653C" w:rsidP="00F06656">
      <w:pPr>
        <w:pStyle w:val="ListParagraph"/>
        <w:numPr>
          <w:ilvl w:val="0"/>
          <w:numId w:val="256"/>
        </w:numPr>
        <w:pBdr>
          <w:left w:val="single" w:sz="4" w:space="30" w:color="auto"/>
          <w:right w:val="single" w:sz="4" w:space="4" w:color="auto"/>
        </w:pBdr>
        <w:spacing w:after="60"/>
        <w:ind w:left="881" w:hanging="357"/>
        <w:contextualSpacing w:val="0"/>
        <w:rPr>
          <w:i/>
          <w:sz w:val="20"/>
          <w:szCs w:val="20"/>
          <w:lang w:val="en-US"/>
        </w:rPr>
      </w:pPr>
      <w:r w:rsidRPr="001A4CC1">
        <w:rPr>
          <w:i/>
          <w:sz w:val="20"/>
          <w:szCs w:val="20"/>
          <w:lang w:val="en-US"/>
        </w:rPr>
        <w:t>Recurrent thoughts of death (not just fear of dying), recurrent suicidal ideation without a specific plan, or a suicide attempt or a specific plan for committing suicide.</w:t>
      </w:r>
    </w:p>
    <w:p w:rsidR="00980F62" w:rsidRDefault="009B653C" w:rsidP="00F06656">
      <w:pPr>
        <w:pStyle w:val="ListParagraph"/>
        <w:numPr>
          <w:ilvl w:val="1"/>
          <w:numId w:val="183"/>
        </w:numPr>
        <w:pBdr>
          <w:left w:val="single" w:sz="4" w:space="4" w:color="auto"/>
          <w:right w:val="single" w:sz="4" w:space="4" w:color="auto"/>
        </w:pBdr>
        <w:spacing w:after="60"/>
        <w:ind w:left="357" w:hanging="357"/>
        <w:contextualSpacing w:val="0"/>
        <w:rPr>
          <w:b/>
          <w:bCs/>
          <w:i/>
          <w:sz w:val="20"/>
          <w:szCs w:val="20"/>
          <w:lang w:val="en-US"/>
        </w:rPr>
      </w:pPr>
      <w:r w:rsidRPr="001A4CC1">
        <w:rPr>
          <w:b/>
          <w:bCs/>
          <w:i/>
          <w:sz w:val="20"/>
          <w:szCs w:val="20"/>
          <w:lang w:val="en-US"/>
        </w:rPr>
        <w:t>The symptoms cause clinically significant distress or impairment in social, occupational, or other important areas of functioning.</w:t>
      </w:r>
    </w:p>
    <w:p w:rsidR="009B653C" w:rsidRPr="00385716" w:rsidRDefault="009B653C" w:rsidP="00F06656">
      <w:pPr>
        <w:pStyle w:val="ListParagraph"/>
        <w:numPr>
          <w:ilvl w:val="1"/>
          <w:numId w:val="183"/>
        </w:numPr>
        <w:pBdr>
          <w:left w:val="single" w:sz="4" w:space="4" w:color="auto"/>
          <w:bottom w:val="single" w:sz="4" w:space="1" w:color="auto"/>
          <w:right w:val="single" w:sz="4" w:space="4" w:color="auto"/>
        </w:pBdr>
        <w:spacing w:after="60"/>
        <w:ind w:left="357" w:hanging="357"/>
        <w:contextualSpacing w:val="0"/>
        <w:rPr>
          <w:b/>
          <w:bCs/>
          <w:i/>
          <w:sz w:val="20"/>
          <w:szCs w:val="20"/>
          <w:lang w:val="en-US"/>
        </w:rPr>
      </w:pPr>
      <w:r w:rsidRPr="00385716">
        <w:rPr>
          <w:b/>
          <w:bCs/>
          <w:i/>
          <w:sz w:val="20"/>
          <w:szCs w:val="20"/>
          <w:lang w:val="en-US"/>
        </w:rPr>
        <w:t>The episode</w:t>
      </w:r>
      <w:r w:rsidRPr="00385716">
        <w:rPr>
          <w:b/>
          <w:i/>
          <w:sz w:val="20"/>
          <w:szCs w:val="20"/>
          <w:lang w:val="en-US"/>
        </w:rPr>
        <w:t xml:space="preserve"> is not attributable to the physiological effects of a substance or to another medical condition</w:t>
      </w:r>
      <w:r w:rsidRPr="00385716">
        <w:rPr>
          <w:i/>
          <w:sz w:val="20"/>
          <w:szCs w:val="20"/>
          <w:lang w:val="en-US"/>
        </w:rPr>
        <w:t>.</w:t>
      </w:r>
    </w:p>
    <w:p w:rsidR="003217B9" w:rsidRPr="00BA356F" w:rsidRDefault="003217B9" w:rsidP="007A404E">
      <w:pPr>
        <w:spacing w:before="120" w:after="0"/>
        <w:rPr>
          <w:rStyle w:val="Strong"/>
        </w:rPr>
      </w:pPr>
      <w:r w:rsidRPr="00BA356F">
        <w:rPr>
          <w:rStyle w:val="Strong"/>
        </w:rPr>
        <w:t>Depression Assessment</w:t>
      </w:r>
    </w:p>
    <w:p w:rsidR="003217B9" w:rsidRPr="00764BDB" w:rsidRDefault="003217B9" w:rsidP="00F71659">
      <w:pPr>
        <w:spacing w:after="0"/>
        <w:rPr>
          <w:lang w:eastAsia="en-AU"/>
        </w:rPr>
      </w:pPr>
      <w:r w:rsidRPr="00764BDB">
        <w:rPr>
          <w:lang w:eastAsia="en-AU"/>
        </w:rPr>
        <w:t xml:space="preserve">There </w:t>
      </w:r>
      <w:r w:rsidR="001D23E4">
        <w:rPr>
          <w:lang w:eastAsia="en-AU"/>
        </w:rPr>
        <w:t>are</w:t>
      </w:r>
      <w:r w:rsidRPr="00764BDB">
        <w:rPr>
          <w:lang w:eastAsia="en-AU"/>
        </w:rPr>
        <w:t xml:space="preserve"> three recommended assessment tools - the modified </w:t>
      </w:r>
      <w:r w:rsidR="001D23E4">
        <w:rPr>
          <w:lang w:eastAsia="en-AU"/>
        </w:rPr>
        <w:t>C</w:t>
      </w:r>
      <w:r w:rsidRPr="00764BDB">
        <w:rPr>
          <w:lang w:eastAsia="en-AU"/>
        </w:rPr>
        <w:t>SD in Dementia (as used in the current ACFI), the K-10 and the GDS. This would cover the range of residents who can be interviewed and those who cannot be interviewed. This approach would also support the common use of the NSAF supplementary depression assessment tools</w:t>
      </w:r>
      <w:r w:rsidR="001D23E4">
        <w:rPr>
          <w:lang w:eastAsia="en-AU"/>
        </w:rPr>
        <w:t xml:space="preserve">, </w:t>
      </w:r>
      <w:r w:rsidRPr="00764BDB">
        <w:rPr>
          <w:lang w:eastAsia="en-AU"/>
        </w:rPr>
        <w:t>the K-10 and the GDS.</w:t>
      </w:r>
    </w:p>
    <w:p w:rsidR="003217B9" w:rsidRPr="00BA356F" w:rsidRDefault="003217B9" w:rsidP="007A404E">
      <w:pPr>
        <w:spacing w:before="120" w:after="0"/>
        <w:rPr>
          <w:rStyle w:val="Strong"/>
        </w:rPr>
      </w:pPr>
      <w:r w:rsidRPr="00BA356F">
        <w:rPr>
          <w:rStyle w:val="Strong"/>
        </w:rPr>
        <w:t>Care Directive</w:t>
      </w:r>
    </w:p>
    <w:p w:rsidR="00980F62" w:rsidRDefault="003217B9" w:rsidP="00F71659">
      <w:pPr>
        <w:rPr>
          <w:lang w:eastAsia="en-AU"/>
        </w:rPr>
      </w:pPr>
      <w:r w:rsidRPr="00764BDB">
        <w:rPr>
          <w:lang w:eastAsia="en-AU"/>
        </w:rPr>
        <w:t>The depression care directive should set out the planned and individualised management strategy to address the resident’s depressive symptoms. For example, the Challenge Depression Kit (Fleming, 2001) sets out some practical steps that aged care staff can use to reduce depressive symptoms.</w:t>
      </w:r>
    </w:p>
    <w:p w:rsidR="003217B9" w:rsidRPr="00764BDB" w:rsidRDefault="003217B9" w:rsidP="00F71659">
      <w:pPr>
        <w:rPr>
          <w:lang w:eastAsia="en-AU"/>
        </w:rPr>
      </w:pPr>
      <w:r w:rsidRPr="00764BDB">
        <w:rPr>
          <w:lang w:eastAsia="en-AU"/>
        </w:rPr>
        <w:t xml:space="preserve">After identifying the symptoms (i.e. by assessment), the causes or underlying factors need to be considered. Evidence-based interventions can then be developed, and individualised care directives implemented to address the symptoms. In accordance with a quality improvement </w:t>
      </w:r>
      <w:r w:rsidRPr="00764BDB">
        <w:rPr>
          <w:lang w:eastAsia="en-AU"/>
        </w:rPr>
        <w:lastRenderedPageBreak/>
        <w:t xml:space="preserve">approach, the intervention should be reviewed regularly (e.g. </w:t>
      </w:r>
      <w:r w:rsidR="00E851F7">
        <w:rPr>
          <w:lang w:eastAsia="en-AU"/>
        </w:rPr>
        <w:t>three-monthly</w:t>
      </w:r>
      <w:r w:rsidRPr="00764BDB">
        <w:rPr>
          <w:lang w:eastAsia="en-AU"/>
        </w:rPr>
        <w:t>) and updated as required.</w:t>
      </w:r>
    </w:p>
    <w:p w:rsidR="003217B9" w:rsidRPr="007439AD" w:rsidRDefault="003217B9" w:rsidP="007439AD">
      <w:pPr>
        <w:pStyle w:val="Heading4-Chapter632"/>
      </w:pPr>
      <w:r w:rsidRPr="007439AD">
        <w:t>ACFI 12 Items to be Re-Weighted</w:t>
      </w:r>
    </w:p>
    <w:p w:rsidR="00980F62" w:rsidRDefault="003217B9" w:rsidP="003217B9">
      <w:r>
        <w:t xml:space="preserve">The consultations </w:t>
      </w:r>
      <w:r w:rsidRPr="005F494A">
        <w:t xml:space="preserve">covered </w:t>
      </w:r>
      <w:r>
        <w:t>CHC</w:t>
      </w:r>
      <w:r w:rsidRPr="005F494A">
        <w:t xml:space="preserve"> domain items and identified items</w:t>
      </w:r>
      <w:r w:rsidR="00F71659">
        <w:t xml:space="preserve"> </w:t>
      </w:r>
      <w:r>
        <w:t xml:space="preserve">not clinically complex to undertake, that should still be included as Registered Nursing staff play a role in supervising and, in the case of blood glucose measurement, assessing the significance of the results. Enrolled nurses or </w:t>
      </w:r>
      <w:r w:rsidR="001D23E4">
        <w:t>PCAs</w:t>
      </w:r>
      <w:r>
        <w:t xml:space="preserve"> typically performed the activity. These items were therefore re-weighted as their importance relative to other procedures in the list was weighted too highly. The following changes are recommended:</w:t>
      </w:r>
    </w:p>
    <w:p w:rsidR="003217B9" w:rsidRPr="00BA356F" w:rsidRDefault="003217B9" w:rsidP="00C25220">
      <w:pPr>
        <w:spacing w:before="120" w:after="0"/>
        <w:rPr>
          <w:rStyle w:val="Strong"/>
        </w:rPr>
      </w:pPr>
      <w:r w:rsidRPr="00BA356F">
        <w:rPr>
          <w:rStyle w:val="Strong"/>
        </w:rPr>
        <w:t>ACFI 12.2 Blood Glucose</w:t>
      </w:r>
    </w:p>
    <w:p w:rsidR="003217B9" w:rsidRDefault="003217B9" w:rsidP="003217B9">
      <w:pPr>
        <w:rPr>
          <w:rFonts w:ascii="Calibri" w:hAnsi="Calibri"/>
          <w:szCs w:val="24"/>
        </w:rPr>
      </w:pPr>
      <w:r w:rsidRPr="005F494A">
        <w:t xml:space="preserve">The measurement of blood glucose is no longer considered a </w:t>
      </w:r>
      <w:r>
        <w:t>complex care procedure.</w:t>
      </w:r>
      <w:r w:rsidR="007A576E">
        <w:t xml:space="preserve"> </w:t>
      </w:r>
      <w:r>
        <w:t>Blood Glucose readings were reported at the consultations to be undertaken by ENs with the RN monitoring the outcomes. This item could be reduced in weight from 3 points to 1 to reflect the lower complexity.</w:t>
      </w:r>
    </w:p>
    <w:p w:rsidR="003217B9" w:rsidRDefault="003217B9" w:rsidP="003217B9">
      <w:pPr>
        <w:rPr>
          <w:sz w:val="22"/>
        </w:rPr>
      </w:pPr>
      <w:r w:rsidRPr="00BA356F">
        <w:rPr>
          <w:rStyle w:val="Strong"/>
        </w:rPr>
        <w:t>Recommendation:</w:t>
      </w:r>
      <w:r w:rsidRPr="003A55D6">
        <w:rPr>
          <w:bCs/>
        </w:rPr>
        <w:t xml:space="preserve"> </w:t>
      </w:r>
      <w:r w:rsidR="001D23E4" w:rsidRPr="003A55D6">
        <w:rPr>
          <w:bCs/>
        </w:rPr>
        <w:t>The</w:t>
      </w:r>
      <w:r w:rsidR="001D23E4">
        <w:rPr>
          <w:b/>
          <w:bCs/>
        </w:rPr>
        <w:t xml:space="preserve"> </w:t>
      </w:r>
      <w:r>
        <w:t xml:space="preserve">blood glucose item </w:t>
      </w:r>
      <w:r w:rsidR="001D23E4">
        <w:t xml:space="preserve">be re-weighted </w:t>
      </w:r>
      <w:r>
        <w:t>from 3 points to 1 point.</w:t>
      </w:r>
    </w:p>
    <w:p w:rsidR="003217B9" w:rsidRPr="007439AD" w:rsidRDefault="003217B9" w:rsidP="00C25220">
      <w:pPr>
        <w:spacing w:before="120" w:after="0"/>
        <w:rPr>
          <w:rStyle w:val="Strong"/>
        </w:rPr>
      </w:pPr>
      <w:r w:rsidRPr="007439AD">
        <w:rPr>
          <w:rStyle w:val="Strong"/>
        </w:rPr>
        <w:t>ACFI 12.13 Oxygen Therapy</w:t>
      </w:r>
    </w:p>
    <w:p w:rsidR="003217B9" w:rsidRDefault="003217B9" w:rsidP="003217B9">
      <w:pPr>
        <w:rPr>
          <w:rFonts w:ascii="Calibri" w:hAnsi="Calibri"/>
          <w:szCs w:val="24"/>
        </w:rPr>
      </w:pPr>
      <w:r>
        <w:t>Oxygen therapy was reported at the consultations as not clinically complex, with most associated activities undertaken by PCA staff with RN monitoring. This item could be reduced in weight from 3 points to 1 to reflect the lower complexity.</w:t>
      </w:r>
    </w:p>
    <w:p w:rsidR="00980F62" w:rsidRDefault="003217B9" w:rsidP="003217B9">
      <w:r w:rsidRPr="00BA356F">
        <w:rPr>
          <w:rStyle w:val="Strong"/>
        </w:rPr>
        <w:t>Recommendation:</w:t>
      </w:r>
      <w:r>
        <w:rPr>
          <w:b/>
          <w:bCs/>
        </w:rPr>
        <w:t xml:space="preserve"> </w:t>
      </w:r>
      <w:r w:rsidR="001D23E4" w:rsidRPr="003A55D6">
        <w:rPr>
          <w:bCs/>
        </w:rPr>
        <w:t xml:space="preserve">The </w:t>
      </w:r>
      <w:r>
        <w:t xml:space="preserve">oxygen therapy item </w:t>
      </w:r>
      <w:r w:rsidR="001D23E4">
        <w:t xml:space="preserve">be re-weighted </w:t>
      </w:r>
      <w:r>
        <w:t>from 3 points to 1 point.</w:t>
      </w:r>
    </w:p>
    <w:p w:rsidR="003217B9" w:rsidRPr="007439AD" w:rsidRDefault="003217B9" w:rsidP="007439AD">
      <w:pPr>
        <w:pStyle w:val="Heading4-Chapter632"/>
      </w:pPr>
      <w:r w:rsidRPr="007439AD">
        <w:t>ACFI 12 Items recommended to be removed from the R-ACFI Complex Health Care Domain</w:t>
      </w:r>
    </w:p>
    <w:p w:rsidR="00980F62" w:rsidRDefault="003217B9" w:rsidP="003217B9">
      <w:pPr>
        <w:rPr>
          <w:lang w:eastAsia="en-AU"/>
        </w:rPr>
      </w:pPr>
      <w:r>
        <w:rPr>
          <w:lang w:eastAsia="en-AU"/>
        </w:rPr>
        <w:t>The consultations covered items that should be removed as they were not clinically complex and did not fit within the CHC domain. Accordingly, the following changes are recommended:</w:t>
      </w:r>
    </w:p>
    <w:p w:rsidR="003217B9" w:rsidRPr="007439AD" w:rsidRDefault="003217B9" w:rsidP="00C25220">
      <w:pPr>
        <w:spacing w:after="0"/>
        <w:rPr>
          <w:rStyle w:val="Strong"/>
        </w:rPr>
      </w:pPr>
      <w:r w:rsidRPr="007439AD">
        <w:rPr>
          <w:rStyle w:val="Strong"/>
        </w:rPr>
        <w:t>ACFI 12.1 Blood Pressure</w:t>
      </w:r>
    </w:p>
    <w:p w:rsidR="00980F62" w:rsidRDefault="003217B9" w:rsidP="003217B9">
      <w:pPr>
        <w:rPr>
          <w:lang w:eastAsia="en-AU"/>
        </w:rPr>
      </w:pPr>
      <w:r w:rsidRPr="007439AD">
        <w:rPr>
          <w:lang w:eastAsia="en-AU"/>
        </w:rPr>
        <w:t xml:space="preserve">This aspect of care is no longer considered a complex care issue, with the availability of automatic reading machines. It is also within the scope of practice of many care staff types (ENs and PCAs with some minor training), with the RN playing a monitoring role. As such, Blood Pressure </w:t>
      </w:r>
      <w:r w:rsidR="00F71659" w:rsidRPr="007439AD">
        <w:rPr>
          <w:lang w:eastAsia="en-AU"/>
        </w:rPr>
        <w:t xml:space="preserve">measurement </w:t>
      </w:r>
      <w:r w:rsidRPr="007439AD">
        <w:rPr>
          <w:lang w:eastAsia="en-AU"/>
        </w:rPr>
        <w:t>does not discriminate between residents, and is considered to be part of the usual nursing care provided to all residents (i.e. as part of the regular resident reviews).</w:t>
      </w:r>
    </w:p>
    <w:p w:rsidR="003217B9" w:rsidRPr="007439AD" w:rsidRDefault="003217B9" w:rsidP="00C25220">
      <w:pPr>
        <w:rPr>
          <w:lang w:eastAsia="en-AU"/>
        </w:rPr>
      </w:pPr>
      <w:r w:rsidRPr="00BA356F">
        <w:rPr>
          <w:rStyle w:val="Strong"/>
        </w:rPr>
        <w:t>Recommendation:</w:t>
      </w:r>
      <w:r w:rsidRPr="007439AD">
        <w:rPr>
          <w:b/>
          <w:lang w:eastAsia="en-AU"/>
        </w:rPr>
        <w:t xml:space="preserve"> </w:t>
      </w:r>
      <w:r w:rsidR="00F34ECE" w:rsidRPr="007439AD">
        <w:rPr>
          <w:lang w:eastAsia="en-AU"/>
        </w:rPr>
        <w:t xml:space="preserve">The </w:t>
      </w:r>
      <w:r w:rsidRPr="007439AD">
        <w:rPr>
          <w:lang w:eastAsia="en-AU"/>
        </w:rPr>
        <w:t xml:space="preserve">blood pressure item </w:t>
      </w:r>
      <w:r w:rsidR="00F34ECE" w:rsidRPr="007439AD">
        <w:rPr>
          <w:lang w:eastAsia="en-AU"/>
        </w:rPr>
        <w:t xml:space="preserve">be removed and the funding </w:t>
      </w:r>
      <w:r w:rsidRPr="007439AD">
        <w:rPr>
          <w:lang w:eastAsia="en-AU"/>
        </w:rPr>
        <w:t>re-allocate</w:t>
      </w:r>
      <w:r w:rsidR="00F34ECE" w:rsidRPr="007439AD">
        <w:rPr>
          <w:lang w:eastAsia="en-AU"/>
        </w:rPr>
        <w:t xml:space="preserve">d to the </w:t>
      </w:r>
      <w:r w:rsidRPr="007439AD">
        <w:rPr>
          <w:lang w:eastAsia="en-AU"/>
        </w:rPr>
        <w:t>remaining C</w:t>
      </w:r>
      <w:r w:rsidR="00F34ECE" w:rsidRPr="007439AD">
        <w:rPr>
          <w:lang w:eastAsia="en-AU"/>
        </w:rPr>
        <w:t>HC</w:t>
      </w:r>
      <w:r w:rsidRPr="007439AD">
        <w:rPr>
          <w:lang w:eastAsia="en-AU"/>
        </w:rPr>
        <w:t xml:space="preserve"> procedures</w:t>
      </w:r>
      <w:r w:rsidR="001C28AF" w:rsidRPr="007439AD">
        <w:rPr>
          <w:lang w:eastAsia="en-AU"/>
        </w:rPr>
        <w:t>.</w:t>
      </w:r>
    </w:p>
    <w:p w:rsidR="004425B9" w:rsidRDefault="004425B9" w:rsidP="004425B9">
      <w:pPr>
        <w:rPr>
          <w:rStyle w:val="Strong"/>
        </w:rPr>
      </w:pPr>
      <w:r>
        <w:rPr>
          <w:rStyle w:val="Strong"/>
        </w:rPr>
        <w:br w:type="page"/>
      </w:r>
    </w:p>
    <w:p w:rsidR="003217B9" w:rsidRPr="00C25220" w:rsidRDefault="003217B9" w:rsidP="00C25220">
      <w:pPr>
        <w:spacing w:after="0"/>
        <w:rPr>
          <w:rStyle w:val="Strong"/>
        </w:rPr>
      </w:pPr>
      <w:r w:rsidRPr="007439AD">
        <w:rPr>
          <w:rStyle w:val="Strong"/>
        </w:rPr>
        <w:lastRenderedPageBreak/>
        <w:t>ACFI 12.18 Technical equipment for continuous monitoring of vital signs including Continuous Positive Airway Pressure (CPAP) machine</w:t>
      </w:r>
    </w:p>
    <w:p w:rsidR="003217B9" w:rsidRPr="00C947C9" w:rsidRDefault="003217B9" w:rsidP="003217B9">
      <w:pPr>
        <w:rPr>
          <w:lang w:eastAsia="en-AU"/>
        </w:rPr>
      </w:pPr>
      <w:r w:rsidRPr="00C947C9">
        <w:rPr>
          <w:lang w:eastAsia="en-AU"/>
        </w:rPr>
        <w:t>Consultations informed that this item is not a complex treatment</w:t>
      </w:r>
      <w:r>
        <w:rPr>
          <w:lang w:eastAsia="en-AU"/>
        </w:rPr>
        <w:t xml:space="preserve"> –</w:t>
      </w:r>
      <w:r w:rsidRPr="00C947C9">
        <w:rPr>
          <w:lang w:eastAsia="en-AU"/>
        </w:rPr>
        <w:t xml:space="preserve"> it is a monitoring task</w:t>
      </w:r>
      <w:r>
        <w:rPr>
          <w:lang w:eastAsia="en-AU"/>
        </w:rPr>
        <w:t xml:space="preserve"> and is </w:t>
      </w:r>
      <w:r w:rsidRPr="00C947C9">
        <w:rPr>
          <w:lang w:eastAsia="en-AU"/>
        </w:rPr>
        <w:t>undertaken by</w:t>
      </w:r>
      <w:r>
        <w:rPr>
          <w:lang w:eastAsia="en-AU"/>
        </w:rPr>
        <w:t>,</w:t>
      </w:r>
      <w:r w:rsidRPr="00C947C9">
        <w:rPr>
          <w:lang w:eastAsia="en-AU"/>
        </w:rPr>
        <w:t xml:space="preserve"> and within the scope of practice of</w:t>
      </w:r>
      <w:r>
        <w:rPr>
          <w:lang w:eastAsia="en-AU"/>
        </w:rPr>
        <w:t>,</w:t>
      </w:r>
      <w:r w:rsidRPr="00C947C9">
        <w:rPr>
          <w:lang w:eastAsia="en-AU"/>
        </w:rPr>
        <w:t xml:space="preserve"> nearly all care staff types.</w:t>
      </w:r>
    </w:p>
    <w:p w:rsidR="003217B9" w:rsidRDefault="003217B9" w:rsidP="001C28AF">
      <w:pPr>
        <w:spacing w:after="0"/>
        <w:rPr>
          <w:lang w:eastAsia="en-AU"/>
        </w:rPr>
      </w:pPr>
      <w:r w:rsidRPr="00BA356F">
        <w:rPr>
          <w:rStyle w:val="Strong"/>
        </w:rPr>
        <w:t>Recommendation:</w:t>
      </w:r>
      <w:r>
        <w:rPr>
          <w:b/>
          <w:lang w:eastAsia="en-AU"/>
        </w:rPr>
        <w:t xml:space="preserve"> </w:t>
      </w:r>
      <w:r w:rsidR="00F34ECE" w:rsidRPr="003A55D6">
        <w:rPr>
          <w:lang w:eastAsia="en-AU"/>
        </w:rPr>
        <w:t xml:space="preserve">Item </w:t>
      </w:r>
      <w:r w:rsidRPr="00C947C9">
        <w:rPr>
          <w:lang w:eastAsia="en-AU"/>
        </w:rPr>
        <w:t xml:space="preserve">12.18 </w:t>
      </w:r>
      <w:r w:rsidRPr="00C947C9">
        <w:t>Technical equipment for continuous monitoring of vital signs</w:t>
      </w:r>
      <w:r w:rsidRPr="00443286">
        <w:rPr>
          <w:lang w:eastAsia="en-AU"/>
        </w:rPr>
        <w:t xml:space="preserve"> item </w:t>
      </w:r>
      <w:r w:rsidR="00F34ECE">
        <w:rPr>
          <w:lang w:eastAsia="en-AU"/>
        </w:rPr>
        <w:t xml:space="preserve">be removed and </w:t>
      </w:r>
      <w:r w:rsidRPr="00443286">
        <w:rPr>
          <w:lang w:eastAsia="en-AU"/>
        </w:rPr>
        <w:t xml:space="preserve">the funding </w:t>
      </w:r>
      <w:r w:rsidR="00F34ECE">
        <w:rPr>
          <w:lang w:eastAsia="en-AU"/>
        </w:rPr>
        <w:t xml:space="preserve">reallocated </w:t>
      </w:r>
      <w:r w:rsidRPr="00443286">
        <w:rPr>
          <w:lang w:eastAsia="en-AU"/>
        </w:rPr>
        <w:t>to the remaining C</w:t>
      </w:r>
      <w:r w:rsidR="00F34ECE">
        <w:rPr>
          <w:lang w:eastAsia="en-AU"/>
        </w:rPr>
        <w:t>HC</w:t>
      </w:r>
      <w:r w:rsidRPr="00443286">
        <w:rPr>
          <w:lang w:eastAsia="en-AU"/>
        </w:rPr>
        <w:t xml:space="preserve"> procedures</w:t>
      </w:r>
      <w:r w:rsidR="001C28AF">
        <w:rPr>
          <w:lang w:eastAsia="en-AU"/>
        </w:rPr>
        <w:t>.</w:t>
      </w:r>
    </w:p>
    <w:p w:rsidR="00980F62" w:rsidRDefault="003217B9" w:rsidP="007439AD">
      <w:pPr>
        <w:pStyle w:val="Heading4-Chapter632"/>
      </w:pPr>
      <w:r w:rsidRPr="007439AD">
        <w:t>ACFI 12 Items to be included within existing R-ACFI Questions</w:t>
      </w:r>
    </w:p>
    <w:p w:rsidR="003217B9" w:rsidRDefault="00F34ECE" w:rsidP="003217B9">
      <w:pPr>
        <w:rPr>
          <w:lang w:eastAsia="en-AU"/>
        </w:rPr>
      </w:pPr>
      <w:r w:rsidRPr="003A55D6">
        <w:rPr>
          <w:lang w:eastAsia="en-AU"/>
        </w:rPr>
        <w:t xml:space="preserve">Some items were found to have a more </w:t>
      </w:r>
      <w:r w:rsidR="003217B9" w:rsidRPr="00F34ECE">
        <w:rPr>
          <w:lang w:eastAsia="en-AU"/>
        </w:rPr>
        <w:t>logical</w:t>
      </w:r>
      <w:r w:rsidR="003217B9">
        <w:rPr>
          <w:lang w:eastAsia="en-AU"/>
        </w:rPr>
        <w:t xml:space="preserve"> fit to another R-ACFI question </w:t>
      </w:r>
      <w:r>
        <w:rPr>
          <w:lang w:eastAsia="en-AU"/>
        </w:rPr>
        <w:t xml:space="preserve">or </w:t>
      </w:r>
      <w:r w:rsidR="003217B9">
        <w:rPr>
          <w:lang w:eastAsia="en-AU"/>
        </w:rPr>
        <w:t>were considered effectively covered elsewhere</w:t>
      </w:r>
      <w:r>
        <w:rPr>
          <w:lang w:eastAsia="en-AU"/>
        </w:rPr>
        <w:t>. These items are to be move</w:t>
      </w:r>
      <w:r w:rsidR="00344F2F">
        <w:rPr>
          <w:lang w:eastAsia="en-AU"/>
        </w:rPr>
        <w:t xml:space="preserve">d or </w:t>
      </w:r>
      <w:r>
        <w:rPr>
          <w:lang w:eastAsia="en-AU"/>
        </w:rPr>
        <w:t>removed</w:t>
      </w:r>
      <w:r w:rsidR="003217B9">
        <w:rPr>
          <w:lang w:eastAsia="en-AU"/>
        </w:rPr>
        <w:t>:</w:t>
      </w:r>
    </w:p>
    <w:p w:rsidR="00980F62" w:rsidRDefault="003217B9" w:rsidP="00C25220">
      <w:pPr>
        <w:spacing w:after="0"/>
        <w:rPr>
          <w:rStyle w:val="Strong"/>
        </w:rPr>
      </w:pPr>
      <w:r w:rsidRPr="00C25220">
        <w:rPr>
          <w:rStyle w:val="Strong"/>
        </w:rPr>
        <w:t>ACFI 12.7 Suppositories and enemas</w:t>
      </w:r>
    </w:p>
    <w:p w:rsidR="003217B9" w:rsidRPr="004D38FE" w:rsidRDefault="003217B9" w:rsidP="004D38FE">
      <w:pPr>
        <w:rPr>
          <w:lang w:eastAsia="en-AU"/>
        </w:rPr>
      </w:pPr>
      <w:r w:rsidRPr="004D38FE">
        <w:rPr>
          <w:lang w:eastAsia="en-AU"/>
        </w:rPr>
        <w:t>As the R-ACFI includes medication in the procedures list, it is appropriate to include suppositories and enemas in the medication assistance item (R-ACFI item 9a).</w:t>
      </w:r>
    </w:p>
    <w:p w:rsidR="003217B9" w:rsidRDefault="003217B9" w:rsidP="00C25220">
      <w:pPr>
        <w:rPr>
          <w:lang w:eastAsia="en-AU"/>
        </w:rPr>
      </w:pPr>
      <w:r w:rsidRPr="00BA356F">
        <w:rPr>
          <w:rStyle w:val="Strong"/>
        </w:rPr>
        <w:t>Recommendation:</w:t>
      </w:r>
      <w:r>
        <w:rPr>
          <w:b/>
          <w:lang w:eastAsia="en-AU"/>
        </w:rPr>
        <w:t xml:space="preserve"> </w:t>
      </w:r>
      <w:r w:rsidRPr="00AD0B19">
        <w:rPr>
          <w:lang w:eastAsia="en-AU"/>
        </w:rPr>
        <w:t>ACFI</w:t>
      </w:r>
      <w:r>
        <w:rPr>
          <w:b/>
          <w:lang w:eastAsia="en-AU"/>
        </w:rPr>
        <w:t xml:space="preserve"> </w:t>
      </w:r>
      <w:r w:rsidRPr="00600DC3">
        <w:rPr>
          <w:lang w:eastAsia="en-AU"/>
        </w:rPr>
        <w:t>12.7 Suppositories and enemas</w:t>
      </w:r>
      <w:r w:rsidR="00F34ECE">
        <w:rPr>
          <w:lang w:eastAsia="en-AU"/>
        </w:rPr>
        <w:t xml:space="preserve"> be moved </w:t>
      </w:r>
      <w:r>
        <w:rPr>
          <w:lang w:eastAsia="en-AU"/>
        </w:rPr>
        <w:t>to the new Medication Item (Level 1).</w:t>
      </w:r>
      <w:r w:rsidR="00344F2F">
        <w:rPr>
          <w:lang w:eastAsia="en-AU"/>
        </w:rPr>
        <w:t xml:space="preserve"> </w:t>
      </w:r>
      <w:r>
        <w:rPr>
          <w:lang w:eastAsia="en-AU"/>
        </w:rPr>
        <w:t xml:space="preserve">The weekly administration of suppositories or enemas is </w:t>
      </w:r>
      <w:r w:rsidR="00F34ECE">
        <w:rPr>
          <w:lang w:eastAsia="en-AU"/>
        </w:rPr>
        <w:t xml:space="preserve">clinically </w:t>
      </w:r>
      <w:r>
        <w:rPr>
          <w:lang w:eastAsia="en-AU"/>
        </w:rPr>
        <w:t xml:space="preserve">infrequent </w:t>
      </w:r>
      <w:r w:rsidR="00F34ECE">
        <w:rPr>
          <w:lang w:eastAsia="en-AU"/>
        </w:rPr>
        <w:t>a</w:t>
      </w:r>
      <w:r w:rsidRPr="00BD489D">
        <w:rPr>
          <w:lang w:eastAsia="en-AU"/>
        </w:rPr>
        <w:t>nd not considered best practice</w:t>
      </w:r>
      <w:r>
        <w:rPr>
          <w:lang w:eastAsia="en-AU"/>
        </w:rPr>
        <w:t xml:space="preserve"> as a frequent intervention</w:t>
      </w:r>
      <w:r w:rsidRPr="00BD489D">
        <w:rPr>
          <w:lang w:eastAsia="en-AU"/>
        </w:rPr>
        <w:t>.</w:t>
      </w:r>
    </w:p>
    <w:p w:rsidR="003217B9" w:rsidRPr="00C25220" w:rsidRDefault="003217B9" w:rsidP="00C25220">
      <w:pPr>
        <w:spacing w:after="0"/>
        <w:rPr>
          <w:rStyle w:val="Strong"/>
        </w:rPr>
      </w:pPr>
      <w:r w:rsidRPr="00C25220">
        <w:rPr>
          <w:rStyle w:val="Strong"/>
        </w:rPr>
        <w:t>ACFI 12.12a Management of arthritic joints and oedema related to arthritis by the application of tubular and/or other elasticised support bandages</w:t>
      </w:r>
    </w:p>
    <w:p w:rsidR="00980F62" w:rsidRDefault="003217B9" w:rsidP="00F710BC">
      <w:r w:rsidRPr="008A0712">
        <w:rPr>
          <w:rFonts w:ascii="Calibri" w:eastAsia="Times New Roman" w:hAnsi="Calibri" w:cs="Calibri"/>
          <w:color w:val="000000"/>
          <w:szCs w:val="24"/>
          <w:lang w:val="en-US"/>
        </w:rPr>
        <w:t>As the former ACFI 12.12 item has now been split into two aspects</w:t>
      </w:r>
      <w:r w:rsidR="00F710BC">
        <w:rPr>
          <w:rFonts w:ascii="Calibri" w:eastAsia="Times New Roman" w:hAnsi="Calibri" w:cs="Calibri"/>
          <w:color w:val="000000"/>
          <w:szCs w:val="24"/>
          <w:lang w:val="en-US"/>
        </w:rPr>
        <w:t xml:space="preserve"> (item 12.12b is discussed later)</w:t>
      </w:r>
      <w:r>
        <w:rPr>
          <w:rFonts w:ascii="Calibri" w:eastAsia="Times New Roman" w:hAnsi="Calibri" w:cs="Calibri"/>
          <w:color w:val="000000"/>
          <w:szCs w:val="24"/>
          <w:lang w:val="en-US"/>
        </w:rPr>
        <w:t>,</w:t>
      </w:r>
      <w:r w:rsidRPr="008A0712">
        <w:rPr>
          <w:rFonts w:ascii="Calibri" w:eastAsia="Times New Roman" w:hAnsi="Calibri" w:cs="Calibri"/>
          <w:color w:val="000000"/>
          <w:szCs w:val="24"/>
          <w:lang w:val="en-US"/>
        </w:rPr>
        <w:t xml:space="preserve"> it was considered that the current </w:t>
      </w:r>
      <w:r>
        <w:rPr>
          <w:rFonts w:ascii="Calibri" w:eastAsia="Times New Roman" w:hAnsi="Calibri" w:cs="Calibri"/>
          <w:color w:val="000000"/>
          <w:szCs w:val="24"/>
          <w:lang w:val="en-US"/>
        </w:rPr>
        <w:t xml:space="preserve">ACFI </w:t>
      </w:r>
      <w:r w:rsidRPr="008A0712">
        <w:rPr>
          <w:rFonts w:ascii="Calibri" w:eastAsia="Times New Roman" w:hAnsi="Calibri" w:cs="Calibri"/>
          <w:color w:val="000000"/>
          <w:szCs w:val="24"/>
          <w:lang w:val="en-US"/>
        </w:rPr>
        <w:t xml:space="preserve">12.12a </w:t>
      </w:r>
      <w:r w:rsidR="00F34ECE">
        <w:rPr>
          <w:rFonts w:ascii="Calibri" w:eastAsia="Times New Roman" w:hAnsi="Calibri" w:cs="Calibri"/>
          <w:color w:val="000000"/>
          <w:szCs w:val="24"/>
          <w:lang w:val="en-US"/>
        </w:rPr>
        <w:t>‘</w:t>
      </w:r>
      <w:r w:rsidRPr="008A0712">
        <w:rPr>
          <w:rFonts w:ascii="Calibri" w:eastAsia="Times New Roman" w:hAnsi="Calibri" w:cs="Calibri"/>
          <w:color w:val="000000"/>
          <w:szCs w:val="24"/>
          <w:lang w:val="en-US"/>
        </w:rPr>
        <w:t>Management of arthritic joints and oedema related to arthritis by the application of tubular and/other elasticised support bandages</w:t>
      </w:r>
      <w:r w:rsidR="00F34ECE">
        <w:rPr>
          <w:rFonts w:ascii="Calibri" w:eastAsia="Times New Roman" w:hAnsi="Calibri" w:cs="Calibri"/>
          <w:color w:val="000000"/>
          <w:szCs w:val="24"/>
          <w:lang w:val="en-US"/>
        </w:rPr>
        <w:t>’</w:t>
      </w:r>
      <w:r w:rsidRPr="008A0712">
        <w:rPr>
          <w:rFonts w:ascii="Calibri" w:eastAsia="Times New Roman" w:hAnsi="Calibri" w:cs="Calibri"/>
          <w:color w:val="000000"/>
          <w:szCs w:val="24"/>
          <w:lang w:val="en-US"/>
        </w:rPr>
        <w:t xml:space="preserve"> is adequately covered in </w:t>
      </w:r>
      <w:r>
        <w:rPr>
          <w:rFonts w:ascii="Calibri" w:eastAsia="Times New Roman" w:hAnsi="Calibri" w:cs="Calibri"/>
          <w:color w:val="000000"/>
          <w:szCs w:val="24"/>
          <w:lang w:val="en-US"/>
        </w:rPr>
        <w:t xml:space="preserve">the activities of R-ACFI </w:t>
      </w:r>
      <w:r w:rsidRPr="008A0712">
        <w:rPr>
          <w:rFonts w:ascii="Calibri" w:eastAsia="Times New Roman" w:hAnsi="Calibri" w:cs="Calibri"/>
          <w:color w:val="000000"/>
          <w:szCs w:val="24"/>
          <w:lang w:val="en-US"/>
        </w:rPr>
        <w:t xml:space="preserve">3 </w:t>
      </w:r>
      <w:r>
        <w:rPr>
          <w:rFonts w:ascii="Calibri" w:eastAsia="Times New Roman" w:hAnsi="Calibri" w:cs="Calibri"/>
          <w:color w:val="000000"/>
          <w:szCs w:val="24"/>
          <w:lang w:val="en-US"/>
        </w:rPr>
        <w:t>Personal Hygiene (</w:t>
      </w:r>
      <w:r w:rsidRPr="008A0712">
        <w:rPr>
          <w:rFonts w:ascii="Calibri" w:eastAsia="Times New Roman" w:hAnsi="Calibri" w:cs="Calibri"/>
          <w:color w:val="000000"/>
          <w:szCs w:val="24"/>
          <w:lang w:val="en-US"/>
        </w:rPr>
        <w:t>Dressing</w:t>
      </w:r>
      <w:r>
        <w:rPr>
          <w:rFonts w:ascii="Calibri" w:eastAsia="Times New Roman" w:hAnsi="Calibri" w:cs="Calibri"/>
          <w:color w:val="000000"/>
          <w:szCs w:val="24"/>
          <w:lang w:val="en-US"/>
        </w:rPr>
        <w:t xml:space="preserve"> &amp; Undressing).</w:t>
      </w:r>
      <w:r w:rsidR="00F34ECE" w:rsidRPr="00F34ECE">
        <w:rPr>
          <w:lang w:eastAsia="en-AU"/>
        </w:rPr>
        <w:t xml:space="preserve"> </w:t>
      </w:r>
      <w:r w:rsidR="00F34ECE">
        <w:rPr>
          <w:lang w:eastAsia="en-AU"/>
        </w:rPr>
        <w:t xml:space="preserve">Consultations informed that this item is not a complex care issue – it is within the scope of practice of nearly all care staff types, and is undertaken as part of the daily dressing routine. Also, treatments and procedures </w:t>
      </w:r>
      <w:r w:rsidR="00F34ECE" w:rsidRPr="00D50754">
        <w:rPr>
          <w:lang w:eastAsia="en-AU"/>
        </w:rPr>
        <w:t xml:space="preserve">under </w:t>
      </w:r>
      <w:r w:rsidR="00F34ECE" w:rsidRPr="00D50754">
        <w:t xml:space="preserve">Specified Care and Services </w:t>
      </w:r>
      <w:r w:rsidR="00F34ECE">
        <w:t>(SC&amp;S 2.4) covers the care and services related to bandages and dressing as directed for use by a Health Professional (i.e. such as directed in ACFI 12.12a).</w:t>
      </w:r>
    </w:p>
    <w:p w:rsidR="00980F62" w:rsidRDefault="003217B9" w:rsidP="00F710BC">
      <w:pPr>
        <w:spacing w:after="0"/>
        <w:rPr>
          <w:rFonts w:ascii="Calibri" w:eastAsia="Times New Roman" w:hAnsi="Calibri" w:cs="Calibri"/>
          <w:color w:val="000000"/>
          <w:szCs w:val="24"/>
          <w:lang w:val="en-US"/>
        </w:rPr>
      </w:pPr>
      <w:r w:rsidRPr="00BA356F">
        <w:rPr>
          <w:rStyle w:val="Strong"/>
        </w:rPr>
        <w:t>Recommendation:</w:t>
      </w:r>
      <w:r w:rsidRPr="00B5044E">
        <w:rPr>
          <w:rFonts w:ascii="Calibri" w:eastAsia="Times New Roman" w:hAnsi="Calibri" w:cs="Calibri"/>
          <w:color w:val="000000"/>
          <w:szCs w:val="24"/>
          <w:lang w:val="en-US"/>
        </w:rPr>
        <w:t xml:space="preserve"> </w:t>
      </w:r>
      <w:r w:rsidR="00F34ECE" w:rsidRPr="00B5044E">
        <w:rPr>
          <w:rFonts w:ascii="Calibri" w:eastAsia="Times New Roman" w:hAnsi="Calibri" w:cs="Calibri"/>
          <w:color w:val="000000"/>
          <w:szCs w:val="24"/>
          <w:lang w:val="en-US"/>
        </w:rPr>
        <w:t>ACFI12.12a Management of arthritic joints and oedema related to arthritis by the application of tubular and/or other elasticised support bandages be included as a normal part of care under R-ACFI 3 Personal Hygiene (Dressing &amp; Undressing).</w:t>
      </w:r>
      <w:r w:rsidR="007A576E">
        <w:rPr>
          <w:rFonts w:ascii="Calibri" w:eastAsia="Times New Roman" w:hAnsi="Calibri" w:cs="Calibri"/>
          <w:color w:val="000000"/>
          <w:szCs w:val="24"/>
          <w:lang w:val="en-US"/>
        </w:rPr>
        <w:t xml:space="preserve"> </w:t>
      </w:r>
      <w:r w:rsidR="00B5044E" w:rsidRPr="00B5044E">
        <w:rPr>
          <w:rFonts w:ascii="Calibri" w:eastAsia="Times New Roman" w:hAnsi="Calibri" w:cs="Calibri"/>
          <w:color w:val="000000"/>
          <w:szCs w:val="24"/>
          <w:lang w:val="en-US"/>
        </w:rPr>
        <w:t>The f</w:t>
      </w:r>
      <w:r w:rsidR="00B5044E">
        <w:rPr>
          <w:rFonts w:ascii="Calibri" w:eastAsia="Times New Roman" w:hAnsi="Calibri" w:cs="Calibri"/>
          <w:color w:val="000000"/>
          <w:szCs w:val="24"/>
          <w:lang w:val="en-US"/>
        </w:rPr>
        <w:t xml:space="preserve">itting </w:t>
      </w:r>
      <w:r w:rsidRPr="00B5044E">
        <w:rPr>
          <w:rFonts w:ascii="Calibri" w:eastAsia="Times New Roman" w:hAnsi="Calibri" w:cs="Calibri"/>
          <w:color w:val="000000"/>
          <w:szCs w:val="24"/>
          <w:lang w:val="en-US"/>
        </w:rPr>
        <w:t>and removing of hip protectors, slings, cuffs, splints, medical braces, tubular elasticised support bandage and prostheses other than for the lower limb</w:t>
      </w:r>
      <w:r w:rsidR="00B5044E" w:rsidRPr="00B5044E">
        <w:rPr>
          <w:rFonts w:ascii="Calibri" w:eastAsia="Times New Roman" w:hAnsi="Calibri" w:cs="Calibri"/>
          <w:color w:val="000000"/>
          <w:szCs w:val="24"/>
          <w:lang w:val="en-US"/>
        </w:rPr>
        <w:t xml:space="preserve"> is to </w:t>
      </w:r>
      <w:r w:rsidR="00B5044E">
        <w:rPr>
          <w:rFonts w:ascii="Calibri" w:eastAsia="Times New Roman" w:hAnsi="Calibri" w:cs="Calibri"/>
          <w:color w:val="000000"/>
          <w:szCs w:val="24"/>
          <w:lang w:val="en-US"/>
        </w:rPr>
        <w:t>be mov</w:t>
      </w:r>
      <w:r w:rsidR="00B5044E" w:rsidRPr="00B5044E">
        <w:rPr>
          <w:rFonts w:ascii="Calibri" w:eastAsia="Times New Roman" w:hAnsi="Calibri" w:cs="Calibri"/>
          <w:color w:val="000000"/>
          <w:szCs w:val="24"/>
          <w:lang w:val="en-US"/>
        </w:rPr>
        <w:t>ed to the R-ACFI 3 question.</w:t>
      </w:r>
    </w:p>
    <w:bookmarkEnd w:id="436"/>
    <w:p w:rsidR="003217B9" w:rsidRPr="007439AD" w:rsidRDefault="003217B9" w:rsidP="007439AD">
      <w:pPr>
        <w:pStyle w:val="Heading4-Chapter632"/>
      </w:pPr>
      <w:r w:rsidRPr="007439AD">
        <w:t>Pain Management Items Restructure</w:t>
      </w:r>
    </w:p>
    <w:p w:rsidR="003217B9" w:rsidRPr="004D38FE" w:rsidRDefault="003217B9" w:rsidP="004D38FE">
      <w:pPr>
        <w:rPr>
          <w:lang w:eastAsia="en-AU"/>
        </w:rPr>
      </w:pPr>
      <w:r w:rsidRPr="004D38FE">
        <w:rPr>
          <w:lang w:eastAsia="en-AU"/>
        </w:rPr>
        <w:t xml:space="preserve">More detailed discussion on the re-framing of the pain management items is covered in </w:t>
      </w:r>
      <w:hyperlink w:anchor="Ch07" w:history="1">
        <w:r w:rsidRPr="00A91929">
          <w:rPr>
            <w:rStyle w:val="Hyperlink"/>
            <w:lang w:eastAsia="en-AU"/>
          </w:rPr>
          <w:t>Chapter 7</w:t>
        </w:r>
      </w:hyperlink>
      <w:r w:rsidRPr="004D38FE">
        <w:rPr>
          <w:lang w:eastAsia="en-AU"/>
        </w:rPr>
        <w:t>. This section provides a brief overview of the issues and recommended outcome</w:t>
      </w:r>
      <w:r w:rsidR="00F34ECE" w:rsidRPr="004D38FE">
        <w:rPr>
          <w:lang w:eastAsia="en-AU"/>
        </w:rPr>
        <w:t>s</w:t>
      </w:r>
      <w:r w:rsidRPr="004D38FE">
        <w:rPr>
          <w:lang w:eastAsia="en-AU"/>
        </w:rPr>
        <w:t>.</w:t>
      </w:r>
    </w:p>
    <w:p w:rsidR="004425B9" w:rsidRPr="004425B9" w:rsidRDefault="004425B9" w:rsidP="004425B9">
      <w:pPr>
        <w:rPr>
          <w:rStyle w:val="Strong"/>
          <w:b w:val="0"/>
        </w:rPr>
      </w:pPr>
      <w:r>
        <w:rPr>
          <w:rStyle w:val="Strong"/>
        </w:rPr>
        <w:br w:type="page"/>
      </w:r>
    </w:p>
    <w:p w:rsidR="003217B9" w:rsidRPr="00C25220" w:rsidRDefault="003217B9" w:rsidP="00C25220">
      <w:pPr>
        <w:spacing w:after="0"/>
        <w:rPr>
          <w:rStyle w:val="Strong"/>
        </w:rPr>
      </w:pPr>
      <w:r w:rsidRPr="00C25220">
        <w:rPr>
          <w:rStyle w:val="Strong"/>
        </w:rPr>
        <w:lastRenderedPageBreak/>
        <w:t>ACFI 12.3, 12.4a, 12.4b: Pain Management Items</w:t>
      </w:r>
    </w:p>
    <w:p w:rsidR="009F52FE" w:rsidRPr="009F52FE" w:rsidRDefault="003217B9" w:rsidP="000B0053">
      <w:pPr>
        <w:pStyle w:val="ListParagraph"/>
        <w:numPr>
          <w:ilvl w:val="3"/>
          <w:numId w:val="235"/>
        </w:numPr>
        <w:spacing w:after="0"/>
        <w:ind w:left="357" w:hanging="357"/>
        <w:contextualSpacing w:val="0"/>
        <w:rPr>
          <w:rStyle w:val="Strong"/>
        </w:rPr>
      </w:pPr>
      <w:r w:rsidRPr="009F52FE">
        <w:rPr>
          <w:rStyle w:val="Strong"/>
        </w:rPr>
        <w:t>Narrow Focus</w:t>
      </w:r>
    </w:p>
    <w:p w:rsidR="003217B9" w:rsidRPr="009F52FE" w:rsidRDefault="003217B9" w:rsidP="009F52FE">
      <w:pPr>
        <w:rPr>
          <w:lang w:eastAsia="en-AU"/>
        </w:rPr>
      </w:pPr>
      <w:r w:rsidRPr="009F52FE">
        <w:rPr>
          <w:lang w:eastAsia="en-AU"/>
        </w:rPr>
        <w:t xml:space="preserve">While these items target an important care need area, the specific interventions listed are too narrowly focused (heat packs, massage, technical equipment). Funding would be better targeted to a broader physical </w:t>
      </w:r>
      <w:r w:rsidR="00DB6CD5" w:rsidRPr="009F52FE">
        <w:rPr>
          <w:lang w:eastAsia="en-AU"/>
        </w:rPr>
        <w:t>Therapy Program</w:t>
      </w:r>
      <w:r w:rsidRPr="009F52FE">
        <w:rPr>
          <w:lang w:eastAsia="en-AU"/>
        </w:rPr>
        <w:t xml:space="preserve"> to provide not only pain management programs but support physical therapies for improvement or maintenance of functioning. This would enable the therapy interventions to be broadened to include a general wellness, restorative approach, and provides an opportunity to directly include the consumer in choice of options.</w:t>
      </w:r>
    </w:p>
    <w:p w:rsidR="009F52FE" w:rsidRPr="009F52FE" w:rsidRDefault="003217B9" w:rsidP="000B0053">
      <w:pPr>
        <w:pStyle w:val="ListParagraph"/>
        <w:numPr>
          <w:ilvl w:val="3"/>
          <w:numId w:val="235"/>
        </w:numPr>
        <w:spacing w:after="0"/>
        <w:ind w:left="357" w:hanging="357"/>
        <w:contextualSpacing w:val="0"/>
        <w:rPr>
          <w:rStyle w:val="Strong"/>
        </w:rPr>
      </w:pPr>
      <w:r w:rsidRPr="009F52FE">
        <w:rPr>
          <w:rStyle w:val="Strong"/>
        </w:rPr>
        <w:t>Excessive Growth</w:t>
      </w:r>
    </w:p>
    <w:p w:rsidR="00980F62" w:rsidRDefault="003217B9" w:rsidP="009F52FE">
      <w:pPr>
        <w:rPr>
          <w:lang w:eastAsia="en-AU"/>
        </w:rPr>
      </w:pPr>
      <w:r w:rsidRPr="009F52FE">
        <w:rPr>
          <w:lang w:eastAsia="en-AU"/>
        </w:rPr>
        <w:t>The funding provided to target pain management via these three items has grown significantly since 2009 (</w:t>
      </w:r>
      <w:hyperlink w:anchor="Tab0605" w:history="1">
        <w:r w:rsidRPr="00126DC4">
          <w:rPr>
            <w:rStyle w:val="Hyperlink"/>
            <w:lang w:eastAsia="en-AU"/>
          </w:rPr>
          <w:t>Table 6.5</w:t>
        </w:r>
      </w:hyperlink>
      <w:r w:rsidRPr="009F52FE">
        <w:rPr>
          <w:lang w:eastAsia="en-AU"/>
        </w:rPr>
        <w:t xml:space="preserve">). The item that funds </w:t>
      </w:r>
      <w:r w:rsidR="00646FBA" w:rsidRPr="009F52FE">
        <w:rPr>
          <w:lang w:eastAsia="en-AU"/>
        </w:rPr>
        <w:t>AHP</w:t>
      </w:r>
      <w:r w:rsidRPr="009F52FE">
        <w:rPr>
          <w:lang w:eastAsia="en-AU"/>
        </w:rPr>
        <w:t xml:space="preserve"> interventions to target pain management (item 12.4b) has had a per annum growth rate of 54.5</w:t>
      </w:r>
      <w:r w:rsidR="0065091B" w:rsidRPr="009F52FE">
        <w:rPr>
          <w:lang w:eastAsia="en-AU"/>
        </w:rPr>
        <w:t xml:space="preserve"> per cent</w:t>
      </w:r>
      <w:r w:rsidRPr="009F52FE">
        <w:rPr>
          <w:lang w:eastAsia="en-AU"/>
        </w:rPr>
        <w:t xml:space="preserve"> since 2009 and a disproportionate amount of the ACFI funding is now determined by these three items.</w:t>
      </w:r>
    </w:p>
    <w:p w:rsidR="00E77C0F" w:rsidRDefault="0046234D" w:rsidP="00E77C0F">
      <w:pPr>
        <w:pStyle w:val="Caption"/>
        <w:keepNext/>
      </w:pPr>
      <w:bookmarkStart w:id="441" w:name="_Toc495416346"/>
      <w:bookmarkStart w:id="442" w:name="Tab0605"/>
      <w:r>
        <w:t>Table 6.</w:t>
      </w:r>
      <w:r w:rsidR="009A3F5A">
        <w:fldChar w:fldCharType="begin"/>
      </w:r>
      <w:r w:rsidR="009A3F5A">
        <w:instrText xml:space="preserve"> SEQ Table_6. \* ARABIC </w:instrText>
      </w:r>
      <w:r w:rsidR="009A3F5A">
        <w:fldChar w:fldCharType="separate"/>
      </w:r>
      <w:r w:rsidR="00856E49">
        <w:rPr>
          <w:noProof/>
        </w:rPr>
        <w:t>5</w:t>
      </w:r>
      <w:r w:rsidR="009A3F5A">
        <w:rPr>
          <w:noProof/>
        </w:rPr>
        <w:fldChar w:fldCharType="end"/>
      </w:r>
      <w:r>
        <w:t xml:space="preserve">: </w:t>
      </w:r>
      <w:r w:rsidRPr="0046234D">
        <w:t>Growth in Pain Management Q12 Items</w:t>
      </w:r>
      <w:bookmarkEnd w:id="441"/>
    </w:p>
    <w:tbl>
      <w:tblPr>
        <w:tblStyle w:val="GridTable1Light-Accent11"/>
        <w:tblW w:w="9174"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Description w:val="Table 6.5 is a list of details for the growth of pain management questions under the Complex Health Care (CHC) domain from 2009 to 2016 with a percentage per annum (pa.), as summarised in the text prior to this table. This table is to be read left to right, top to bottom, noting pain management levels are basic, registered nurse (RN) and Allied Health Professional (AHP)."/>
      </w:tblPr>
      <w:tblGrid>
        <w:gridCol w:w="2127"/>
        <w:gridCol w:w="1748"/>
        <w:gridCol w:w="1324"/>
        <w:gridCol w:w="1325"/>
        <w:gridCol w:w="1325"/>
        <w:gridCol w:w="1325"/>
      </w:tblGrid>
      <w:tr w:rsidR="003217B9" w:rsidRPr="00090516" w:rsidTr="00374C2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127" w:type="dxa"/>
            <w:tcBorders>
              <w:bottom w:val="none" w:sz="0" w:space="0" w:color="auto"/>
            </w:tcBorders>
            <w:shd w:val="clear" w:color="auto" w:fill="5B9BD5" w:themeFill="accent5"/>
            <w:noWrap/>
            <w:vAlign w:val="center"/>
            <w:hideMark/>
          </w:tcPr>
          <w:p w:rsidR="003217B9" w:rsidRPr="00090516" w:rsidRDefault="003217B9" w:rsidP="00374C2B">
            <w:pPr>
              <w:spacing w:before="60" w:after="60"/>
              <w:jc w:val="left"/>
              <w:rPr>
                <w:rFonts w:ascii="Calibri" w:hAnsi="Calibri" w:cs="Calibri"/>
                <w:color w:val="FFFFFF" w:themeColor="background1"/>
                <w:szCs w:val="24"/>
              </w:rPr>
            </w:pPr>
            <w:bookmarkStart w:id="443" w:name="_Hlk483150957"/>
            <w:bookmarkEnd w:id="442"/>
            <w:r w:rsidRPr="00090516">
              <w:rPr>
                <w:rFonts w:ascii="Calibri" w:hAnsi="Calibri" w:cs="Calibri"/>
                <w:color w:val="FFFFFF" w:themeColor="background1"/>
                <w:szCs w:val="24"/>
              </w:rPr>
              <w:t>ACFI sub-question</w:t>
            </w:r>
          </w:p>
        </w:tc>
        <w:tc>
          <w:tcPr>
            <w:tcW w:w="1748" w:type="dxa"/>
            <w:tcBorders>
              <w:bottom w:val="none" w:sz="0" w:space="0" w:color="auto"/>
            </w:tcBorders>
            <w:shd w:val="clear" w:color="auto" w:fill="5B9BD5" w:themeFill="accent5"/>
            <w:noWrap/>
            <w:vAlign w:val="center"/>
            <w:hideMark/>
          </w:tcPr>
          <w:p w:rsidR="003217B9" w:rsidRPr="00090516" w:rsidRDefault="003217B9" w:rsidP="00374C2B">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rPr>
            </w:pPr>
            <w:r w:rsidRPr="00090516">
              <w:rPr>
                <w:rFonts w:ascii="Calibri" w:hAnsi="Calibri" w:cs="Calibri"/>
                <w:color w:val="FFFFFF" w:themeColor="background1"/>
                <w:szCs w:val="24"/>
              </w:rPr>
              <w:t>Level</w:t>
            </w:r>
          </w:p>
        </w:tc>
        <w:tc>
          <w:tcPr>
            <w:tcW w:w="1324" w:type="dxa"/>
            <w:tcBorders>
              <w:bottom w:val="none" w:sz="0" w:space="0" w:color="auto"/>
            </w:tcBorders>
            <w:shd w:val="clear" w:color="auto" w:fill="5B9BD5" w:themeFill="accent5"/>
            <w:noWrap/>
            <w:vAlign w:val="center"/>
            <w:hideMark/>
          </w:tcPr>
          <w:p w:rsidR="003217B9" w:rsidRPr="00090516" w:rsidRDefault="003217B9" w:rsidP="00374C2B">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rPr>
            </w:pPr>
            <w:r w:rsidRPr="00090516">
              <w:rPr>
                <w:rFonts w:ascii="Calibri" w:hAnsi="Calibri" w:cs="Calibri"/>
                <w:color w:val="FFFFFF" w:themeColor="background1"/>
                <w:szCs w:val="24"/>
              </w:rPr>
              <w:t>Years of data</w:t>
            </w:r>
          </w:p>
        </w:tc>
        <w:tc>
          <w:tcPr>
            <w:tcW w:w="1325" w:type="dxa"/>
            <w:tcBorders>
              <w:bottom w:val="none" w:sz="0" w:space="0" w:color="auto"/>
            </w:tcBorders>
            <w:shd w:val="clear" w:color="auto" w:fill="5B9BD5" w:themeFill="accent5"/>
            <w:noWrap/>
            <w:vAlign w:val="center"/>
            <w:hideMark/>
          </w:tcPr>
          <w:p w:rsidR="003217B9" w:rsidRPr="00090516" w:rsidRDefault="003217B9" w:rsidP="00374C2B">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rPr>
            </w:pPr>
            <w:r w:rsidRPr="00090516">
              <w:rPr>
                <w:rFonts w:ascii="Calibri" w:hAnsi="Calibri" w:cs="Calibri"/>
                <w:color w:val="FFFFFF" w:themeColor="background1"/>
                <w:szCs w:val="24"/>
              </w:rPr>
              <w:t>Value at start</w:t>
            </w:r>
          </w:p>
        </w:tc>
        <w:tc>
          <w:tcPr>
            <w:tcW w:w="1325" w:type="dxa"/>
            <w:tcBorders>
              <w:bottom w:val="none" w:sz="0" w:space="0" w:color="auto"/>
            </w:tcBorders>
            <w:shd w:val="clear" w:color="auto" w:fill="5B9BD5" w:themeFill="accent5"/>
            <w:noWrap/>
            <w:vAlign w:val="center"/>
            <w:hideMark/>
          </w:tcPr>
          <w:p w:rsidR="003217B9" w:rsidRPr="00090516" w:rsidRDefault="003217B9" w:rsidP="00374C2B">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rPr>
            </w:pPr>
            <w:r w:rsidRPr="00090516">
              <w:rPr>
                <w:rFonts w:ascii="Calibri" w:hAnsi="Calibri" w:cs="Calibri"/>
                <w:color w:val="FFFFFF" w:themeColor="background1"/>
                <w:szCs w:val="24"/>
              </w:rPr>
              <w:t>Value at June 2016</w:t>
            </w:r>
          </w:p>
        </w:tc>
        <w:tc>
          <w:tcPr>
            <w:tcW w:w="1325" w:type="dxa"/>
            <w:tcBorders>
              <w:bottom w:val="none" w:sz="0" w:space="0" w:color="auto"/>
            </w:tcBorders>
            <w:shd w:val="clear" w:color="auto" w:fill="5B9BD5" w:themeFill="accent5"/>
            <w:noWrap/>
            <w:vAlign w:val="center"/>
            <w:hideMark/>
          </w:tcPr>
          <w:p w:rsidR="003217B9" w:rsidRPr="00090516" w:rsidRDefault="003217B9" w:rsidP="00374C2B">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rPr>
            </w:pPr>
            <w:r w:rsidRPr="00090516">
              <w:rPr>
                <w:rFonts w:ascii="Calibri" w:hAnsi="Calibri" w:cs="Calibri"/>
                <w:color w:val="FFFFFF" w:themeColor="background1"/>
                <w:szCs w:val="24"/>
              </w:rPr>
              <w:t>Growth pa</w:t>
            </w:r>
          </w:p>
        </w:tc>
      </w:tr>
      <w:tr w:rsidR="003217B9" w:rsidTr="007F2ED6">
        <w:trPr>
          <w:trHeight w:val="300"/>
        </w:trPr>
        <w:tc>
          <w:tcPr>
            <w:cnfStyle w:val="001000000000" w:firstRow="0" w:lastRow="0" w:firstColumn="1" w:lastColumn="0" w:oddVBand="0" w:evenVBand="0" w:oddHBand="0" w:evenHBand="0" w:firstRowFirstColumn="0" w:firstRowLastColumn="0" w:lastRowFirstColumn="0" w:lastRowLastColumn="0"/>
            <w:tcW w:w="2127" w:type="dxa"/>
            <w:noWrap/>
          </w:tcPr>
          <w:p w:rsidR="003217B9" w:rsidRDefault="003217B9" w:rsidP="00374C2B">
            <w:pPr>
              <w:spacing w:before="60" w:after="60"/>
              <w:rPr>
                <w:rFonts w:ascii="Calibri" w:hAnsi="Calibri" w:cs="Calibri"/>
                <w:color w:val="000000"/>
                <w:sz w:val="22"/>
              </w:rPr>
            </w:pPr>
            <w:r>
              <w:rPr>
                <w:rFonts w:ascii="Calibri" w:hAnsi="Calibri" w:cs="Calibri"/>
                <w:sz w:val="22"/>
              </w:rPr>
              <w:t xml:space="preserve">Q12.3 </w:t>
            </w:r>
          </w:p>
        </w:tc>
        <w:tc>
          <w:tcPr>
            <w:tcW w:w="1748" w:type="dxa"/>
            <w:noWrap/>
          </w:tcPr>
          <w:p w:rsidR="003217B9" w:rsidRDefault="003217B9" w:rsidP="00374C2B">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sz w:val="22"/>
              </w:rPr>
              <w:t>Pain – basic</w:t>
            </w:r>
          </w:p>
        </w:tc>
        <w:tc>
          <w:tcPr>
            <w:tcW w:w="1324" w:type="dxa"/>
            <w:noWrap/>
          </w:tcPr>
          <w:p w:rsidR="003217B9" w:rsidRDefault="003217B9" w:rsidP="00374C2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7</w:t>
            </w:r>
          </w:p>
        </w:tc>
        <w:tc>
          <w:tcPr>
            <w:tcW w:w="1325" w:type="dxa"/>
            <w:noWrap/>
          </w:tcPr>
          <w:p w:rsidR="003217B9" w:rsidRDefault="003217B9" w:rsidP="00374C2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18.8%</w:t>
            </w:r>
          </w:p>
        </w:tc>
        <w:tc>
          <w:tcPr>
            <w:tcW w:w="1325" w:type="dxa"/>
            <w:noWrap/>
          </w:tcPr>
          <w:p w:rsidR="003217B9" w:rsidRDefault="003217B9" w:rsidP="00374C2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50.4%</w:t>
            </w:r>
          </w:p>
        </w:tc>
        <w:tc>
          <w:tcPr>
            <w:tcW w:w="1325" w:type="dxa"/>
            <w:noWrap/>
          </w:tcPr>
          <w:p w:rsidR="003217B9" w:rsidRDefault="003217B9" w:rsidP="00374C2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15.1%</w:t>
            </w:r>
          </w:p>
        </w:tc>
      </w:tr>
      <w:tr w:rsidR="003217B9" w:rsidTr="007F2ED6">
        <w:trPr>
          <w:trHeight w:val="300"/>
        </w:trPr>
        <w:tc>
          <w:tcPr>
            <w:cnfStyle w:val="001000000000" w:firstRow="0" w:lastRow="0" w:firstColumn="1" w:lastColumn="0" w:oddVBand="0" w:evenVBand="0" w:oddHBand="0" w:evenHBand="0" w:firstRowFirstColumn="0" w:firstRowLastColumn="0" w:lastRowFirstColumn="0" w:lastRowLastColumn="0"/>
            <w:tcW w:w="2127" w:type="dxa"/>
            <w:noWrap/>
          </w:tcPr>
          <w:p w:rsidR="003217B9" w:rsidRDefault="003217B9" w:rsidP="00374C2B">
            <w:pPr>
              <w:spacing w:before="60" w:after="60"/>
              <w:rPr>
                <w:rFonts w:ascii="Calibri" w:hAnsi="Calibri" w:cs="Calibri"/>
                <w:sz w:val="22"/>
              </w:rPr>
            </w:pPr>
            <w:r>
              <w:rPr>
                <w:rFonts w:ascii="Calibri" w:hAnsi="Calibri" w:cs="Calibri"/>
                <w:sz w:val="22"/>
              </w:rPr>
              <w:t xml:space="preserve">Q12.4a </w:t>
            </w:r>
          </w:p>
        </w:tc>
        <w:tc>
          <w:tcPr>
            <w:tcW w:w="1748" w:type="dxa"/>
            <w:noWrap/>
          </w:tcPr>
          <w:p w:rsidR="003217B9" w:rsidRDefault="003217B9" w:rsidP="00374C2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Pain – RN</w:t>
            </w:r>
          </w:p>
        </w:tc>
        <w:tc>
          <w:tcPr>
            <w:tcW w:w="1324" w:type="dxa"/>
            <w:noWrap/>
          </w:tcPr>
          <w:p w:rsidR="003217B9" w:rsidRDefault="003217B9" w:rsidP="00374C2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7</w:t>
            </w:r>
          </w:p>
        </w:tc>
        <w:tc>
          <w:tcPr>
            <w:tcW w:w="1325" w:type="dxa"/>
            <w:noWrap/>
          </w:tcPr>
          <w:p w:rsidR="003217B9" w:rsidRDefault="003217B9" w:rsidP="00374C2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5.8%</w:t>
            </w:r>
          </w:p>
        </w:tc>
        <w:tc>
          <w:tcPr>
            <w:tcW w:w="1325" w:type="dxa"/>
            <w:noWrap/>
          </w:tcPr>
          <w:p w:rsidR="003217B9" w:rsidRDefault="003217B9" w:rsidP="00374C2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33.7%</w:t>
            </w:r>
          </w:p>
        </w:tc>
        <w:tc>
          <w:tcPr>
            <w:tcW w:w="1325" w:type="dxa"/>
            <w:noWrap/>
          </w:tcPr>
          <w:p w:rsidR="003217B9" w:rsidRDefault="003217B9" w:rsidP="00374C2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28.7%</w:t>
            </w:r>
          </w:p>
        </w:tc>
      </w:tr>
      <w:tr w:rsidR="003217B9" w:rsidTr="007F2ED6">
        <w:trPr>
          <w:trHeight w:val="300"/>
        </w:trPr>
        <w:tc>
          <w:tcPr>
            <w:cnfStyle w:val="001000000000" w:firstRow="0" w:lastRow="0" w:firstColumn="1" w:lastColumn="0" w:oddVBand="0" w:evenVBand="0" w:oddHBand="0" w:evenHBand="0" w:firstRowFirstColumn="0" w:firstRowLastColumn="0" w:lastRowFirstColumn="0" w:lastRowLastColumn="0"/>
            <w:tcW w:w="2127" w:type="dxa"/>
            <w:noWrap/>
          </w:tcPr>
          <w:p w:rsidR="003217B9" w:rsidRDefault="003217B9" w:rsidP="00374C2B">
            <w:pPr>
              <w:spacing w:before="60" w:after="60"/>
              <w:rPr>
                <w:rFonts w:ascii="Calibri" w:hAnsi="Calibri" w:cs="Calibri"/>
                <w:sz w:val="22"/>
              </w:rPr>
            </w:pPr>
            <w:r>
              <w:rPr>
                <w:rFonts w:ascii="Calibri" w:hAnsi="Calibri" w:cs="Calibri"/>
                <w:sz w:val="22"/>
              </w:rPr>
              <w:t xml:space="preserve">Q12.4b </w:t>
            </w:r>
          </w:p>
        </w:tc>
        <w:tc>
          <w:tcPr>
            <w:tcW w:w="1748" w:type="dxa"/>
            <w:noWrap/>
          </w:tcPr>
          <w:p w:rsidR="003217B9" w:rsidRDefault="003217B9" w:rsidP="00374C2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Pain – AHP</w:t>
            </w:r>
          </w:p>
        </w:tc>
        <w:tc>
          <w:tcPr>
            <w:tcW w:w="1324" w:type="dxa"/>
            <w:noWrap/>
          </w:tcPr>
          <w:p w:rsidR="003217B9" w:rsidRDefault="003217B9" w:rsidP="00374C2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7</w:t>
            </w:r>
          </w:p>
        </w:tc>
        <w:tc>
          <w:tcPr>
            <w:tcW w:w="1325" w:type="dxa"/>
            <w:noWrap/>
          </w:tcPr>
          <w:p w:rsidR="003217B9" w:rsidRDefault="003217B9" w:rsidP="00374C2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1.7%</w:t>
            </w:r>
          </w:p>
        </w:tc>
        <w:tc>
          <w:tcPr>
            <w:tcW w:w="1325" w:type="dxa"/>
            <w:noWrap/>
          </w:tcPr>
          <w:p w:rsidR="003217B9" w:rsidRDefault="003217B9" w:rsidP="00374C2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35.3%</w:t>
            </w:r>
          </w:p>
        </w:tc>
        <w:tc>
          <w:tcPr>
            <w:tcW w:w="1325" w:type="dxa"/>
            <w:noWrap/>
          </w:tcPr>
          <w:p w:rsidR="003217B9" w:rsidRDefault="003217B9" w:rsidP="00374C2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54.4%</w:t>
            </w:r>
          </w:p>
        </w:tc>
      </w:tr>
    </w:tbl>
    <w:bookmarkEnd w:id="443"/>
    <w:p w:rsidR="00980F62" w:rsidRDefault="003217B9" w:rsidP="007A404E">
      <w:pPr>
        <w:spacing w:before="120"/>
        <w:rPr>
          <w:lang w:eastAsia="en-AU"/>
        </w:rPr>
      </w:pPr>
      <w:r w:rsidRPr="00BA356F">
        <w:rPr>
          <w:rStyle w:val="Strong"/>
        </w:rPr>
        <w:t>Recommendation:</w:t>
      </w:r>
      <w:r>
        <w:rPr>
          <w:b/>
          <w:lang w:eastAsia="en-AU"/>
        </w:rPr>
        <w:t xml:space="preserve"> </w:t>
      </w:r>
      <w:r w:rsidRPr="00B0273F">
        <w:rPr>
          <w:lang w:eastAsia="en-AU"/>
        </w:rPr>
        <w:t>To address the narrow focus of the current pain management items</w:t>
      </w:r>
      <w:r>
        <w:rPr>
          <w:lang w:eastAsia="en-AU"/>
        </w:rPr>
        <w:t xml:space="preserve">, deliver a more consistent and predictable funding outcome and fund a more broadly-based physical </w:t>
      </w:r>
      <w:r w:rsidR="00DB6CD5">
        <w:rPr>
          <w:lang w:eastAsia="en-AU"/>
        </w:rPr>
        <w:t>Therapy Program</w:t>
      </w:r>
      <w:r>
        <w:rPr>
          <w:lang w:eastAsia="en-AU"/>
        </w:rPr>
        <w:t>. It is recommended that the three pain management items are removed from the C</w:t>
      </w:r>
      <w:r w:rsidR="00646FBA">
        <w:rPr>
          <w:lang w:eastAsia="en-AU"/>
        </w:rPr>
        <w:t>HC</w:t>
      </w:r>
      <w:r>
        <w:rPr>
          <w:lang w:eastAsia="en-AU"/>
        </w:rPr>
        <w:t xml:space="preserve"> Domain and combined </w:t>
      </w:r>
      <w:r w:rsidR="00631BEE">
        <w:rPr>
          <w:lang w:eastAsia="en-AU"/>
        </w:rPr>
        <w:t xml:space="preserve">into a new R-ACFI Therapy </w:t>
      </w:r>
      <w:r w:rsidR="002543A8">
        <w:rPr>
          <w:lang w:eastAsia="en-AU"/>
        </w:rPr>
        <w:t>Program</w:t>
      </w:r>
      <w:r>
        <w:rPr>
          <w:lang w:eastAsia="en-AU"/>
        </w:rPr>
        <w:t xml:space="preserve">. The Therapy </w:t>
      </w:r>
      <w:r w:rsidR="002543A8">
        <w:rPr>
          <w:lang w:eastAsia="en-AU"/>
        </w:rPr>
        <w:t xml:space="preserve">Program </w:t>
      </w:r>
      <w:r>
        <w:rPr>
          <w:lang w:eastAsia="en-AU"/>
        </w:rPr>
        <w:t xml:space="preserve">would be funded from the money </w:t>
      </w:r>
      <w:r w:rsidR="00646FBA">
        <w:rPr>
          <w:lang w:eastAsia="en-AU"/>
        </w:rPr>
        <w:t xml:space="preserve">currently </w:t>
      </w:r>
      <w:r>
        <w:rPr>
          <w:lang w:eastAsia="en-AU"/>
        </w:rPr>
        <w:t>attribut</w:t>
      </w:r>
      <w:r w:rsidR="00646FBA">
        <w:rPr>
          <w:lang w:eastAsia="en-AU"/>
        </w:rPr>
        <w:t>ed</w:t>
      </w:r>
      <w:r>
        <w:rPr>
          <w:lang w:eastAsia="en-AU"/>
        </w:rPr>
        <w:t xml:space="preserve"> to these items.</w:t>
      </w:r>
    </w:p>
    <w:p w:rsidR="003217B9" w:rsidRDefault="003217B9" w:rsidP="003217B9">
      <w:pPr>
        <w:rPr>
          <w:lang w:eastAsia="en-AU"/>
        </w:rPr>
      </w:pPr>
      <w:r>
        <w:rPr>
          <w:lang w:eastAsia="en-AU"/>
        </w:rPr>
        <w:t xml:space="preserve">Stakeholders were very supportive of moving the </w:t>
      </w:r>
      <w:r w:rsidR="002543A8">
        <w:rPr>
          <w:lang w:eastAsia="en-AU"/>
        </w:rPr>
        <w:t>pain items into a Therapy Program</w:t>
      </w:r>
      <w:r>
        <w:rPr>
          <w:lang w:eastAsia="en-AU"/>
        </w:rPr>
        <w:t>. The recommended The</w:t>
      </w:r>
      <w:r w:rsidR="002543A8">
        <w:rPr>
          <w:lang w:eastAsia="en-AU"/>
        </w:rPr>
        <w:t>rapy</w:t>
      </w:r>
      <w:r w:rsidR="00646FBA">
        <w:rPr>
          <w:lang w:eastAsia="en-AU"/>
        </w:rPr>
        <w:t xml:space="preserve"> </w:t>
      </w:r>
      <w:r>
        <w:rPr>
          <w:lang w:eastAsia="en-AU"/>
        </w:rPr>
        <w:t xml:space="preserve">guidelines are discussed in </w:t>
      </w:r>
      <w:hyperlink w:anchor="Ch07" w:history="1">
        <w:r w:rsidRPr="00A91929">
          <w:rPr>
            <w:rStyle w:val="Hyperlink"/>
            <w:lang w:eastAsia="en-AU"/>
          </w:rPr>
          <w:t>Chapter 7</w:t>
        </w:r>
      </w:hyperlink>
      <w:r>
        <w:rPr>
          <w:lang w:eastAsia="en-AU"/>
        </w:rPr>
        <w:t>.</w:t>
      </w:r>
    </w:p>
    <w:p w:rsidR="00B5044E" w:rsidRPr="007439AD" w:rsidRDefault="00B5044E" w:rsidP="007439AD">
      <w:pPr>
        <w:pStyle w:val="Heading4-Chapter632"/>
      </w:pPr>
      <w:bookmarkStart w:id="444" w:name="_Toc486350719"/>
      <w:r w:rsidRPr="007439AD">
        <w:t>Restructure</w:t>
      </w:r>
      <w:r w:rsidR="00A4539A" w:rsidRPr="007439AD">
        <w:t xml:space="preserve"> of Item 12.12b </w:t>
      </w:r>
      <w:r w:rsidR="0061202D" w:rsidRPr="007439AD">
        <w:t>Management o</w:t>
      </w:r>
      <w:r w:rsidR="0098538D" w:rsidRPr="007439AD">
        <w:t>f Non-</w:t>
      </w:r>
      <w:r w:rsidR="0061202D" w:rsidRPr="007439AD">
        <w:t>Arthritic Oedema</w:t>
      </w:r>
    </w:p>
    <w:p w:rsidR="00FB1D4F" w:rsidRDefault="00FB1D4F" w:rsidP="00F710BC">
      <w:pPr>
        <w:rPr>
          <w:lang w:eastAsia="en-AU"/>
        </w:rPr>
      </w:pPr>
      <w:r>
        <w:t xml:space="preserve">The CHC procedure covering non-arthritic oedema (12.12b) </w:t>
      </w:r>
      <w:r w:rsidR="008861BC">
        <w:t>is currently:</w:t>
      </w:r>
    </w:p>
    <w:p w:rsidR="00A4539A" w:rsidRPr="00F710BC" w:rsidRDefault="00FB1D4F" w:rsidP="007A404E">
      <w:pPr>
        <w:rPr>
          <w:lang w:eastAsia="en-AU"/>
        </w:rPr>
      </w:pPr>
      <w:r w:rsidRPr="00BA356F">
        <w:rPr>
          <w:rStyle w:val="Strong"/>
        </w:rPr>
        <w:t>Current item</w:t>
      </w:r>
      <w:r w:rsidR="0098538D" w:rsidRPr="00BA356F">
        <w:rPr>
          <w:rStyle w:val="Strong"/>
        </w:rPr>
        <w:t xml:space="preserve"> 12.12b</w:t>
      </w:r>
      <w:r w:rsidR="00AE33B5" w:rsidRPr="00BA356F">
        <w:rPr>
          <w:rStyle w:val="Strong"/>
        </w:rPr>
        <w:t>:</w:t>
      </w:r>
      <w:r w:rsidR="00AE33B5">
        <w:rPr>
          <w:b/>
          <w:lang w:eastAsia="en-AU"/>
        </w:rPr>
        <w:t xml:space="preserve"> </w:t>
      </w:r>
      <w:r w:rsidR="00A4539A" w:rsidRPr="00F710BC">
        <w:rPr>
          <w:lang w:eastAsia="en-AU"/>
        </w:rPr>
        <w:t>Managem</w:t>
      </w:r>
      <w:r w:rsidRPr="00F710BC">
        <w:rPr>
          <w:lang w:eastAsia="en-AU"/>
        </w:rPr>
        <w:t>ent of oedema related to:</w:t>
      </w:r>
    </w:p>
    <w:p w:rsidR="00A4539A" w:rsidRPr="00A4539A" w:rsidRDefault="008861BC" w:rsidP="007A404E">
      <w:pPr>
        <w:rPr>
          <w:lang w:eastAsia="en-AU"/>
        </w:rPr>
      </w:pPr>
      <w:r>
        <w:rPr>
          <w:lang w:eastAsia="en-AU"/>
        </w:rPr>
        <w:t>“</w:t>
      </w:r>
      <w:r w:rsidR="00F710BC">
        <w:rPr>
          <w:lang w:eastAsia="en-AU"/>
        </w:rPr>
        <w:t>N</w:t>
      </w:r>
      <w:r w:rsidR="00A4539A" w:rsidRPr="00A4539A">
        <w:rPr>
          <w:lang w:eastAsia="en-AU"/>
        </w:rPr>
        <w:t>on-arthritic oedema OR deep vein thrombosis by the fitting and removal of compression garments and/or compression</w:t>
      </w:r>
      <w:r w:rsidR="00AE33B5">
        <w:rPr>
          <w:lang w:eastAsia="en-AU"/>
        </w:rPr>
        <w:t xml:space="preserve"> bandages or c</w:t>
      </w:r>
      <w:r w:rsidR="00A4539A" w:rsidRPr="00A4539A">
        <w:rPr>
          <w:lang w:eastAsia="en-AU"/>
        </w:rPr>
        <w:t>hronic skin conditions by the application and removal of dry dressings and/or protective bandaging.</w:t>
      </w:r>
      <w:r>
        <w:rPr>
          <w:lang w:eastAsia="en-AU"/>
        </w:rPr>
        <w:t>”</w:t>
      </w:r>
    </w:p>
    <w:p w:rsidR="00A4539A" w:rsidRDefault="00FB1D4F" w:rsidP="007A404E">
      <w:r>
        <w:t>Feedback from the consultations and discussions with wound management experts has indicated that a further review of the item is needed</w:t>
      </w:r>
      <w:r w:rsidR="0098538D">
        <w:t xml:space="preserve"> to</w:t>
      </w:r>
      <w:r w:rsidR="00F710BC">
        <w:t xml:space="preserve"> better fit with contemporary practice to ensure the correct clinical approach is supported</w:t>
      </w:r>
      <w:r>
        <w:t>.</w:t>
      </w:r>
      <w:r w:rsidR="007A576E">
        <w:t xml:space="preserve"> </w:t>
      </w:r>
      <w:r>
        <w:t xml:space="preserve">It is recommended that </w:t>
      </w:r>
      <w:r w:rsidR="0098538D">
        <w:t>12.12b</w:t>
      </w:r>
      <w:r w:rsidR="008861BC">
        <w:t xml:space="preserve"> (R-ACFI CHC item 7)</w:t>
      </w:r>
      <w:r w:rsidR="0098538D">
        <w:t xml:space="preserve"> be modified </w:t>
      </w:r>
      <w:r w:rsidR="00AE33B5">
        <w:t>to include aspects associated with:</w:t>
      </w:r>
    </w:p>
    <w:p w:rsidR="00AE33B5" w:rsidRPr="00AE33B5" w:rsidRDefault="00AE33B5" w:rsidP="00F02312">
      <w:pPr>
        <w:pStyle w:val="m-235865268959371134tabletype"/>
        <w:numPr>
          <w:ilvl w:val="7"/>
          <w:numId w:val="166"/>
        </w:numPr>
        <w:spacing w:before="120" w:beforeAutospacing="0" w:after="0" w:afterAutospacing="0" w:line="276" w:lineRule="auto"/>
        <w:ind w:left="357" w:hanging="357"/>
        <w:rPr>
          <w:rFonts w:asciiTheme="minorHAnsi" w:hAnsiTheme="minorHAnsi" w:cstheme="minorBidi"/>
          <w:sz w:val="24"/>
          <w:lang w:val="en-AU"/>
        </w:rPr>
      </w:pPr>
      <w:r w:rsidRPr="00AE33B5">
        <w:rPr>
          <w:rFonts w:asciiTheme="minorHAnsi" w:hAnsiTheme="minorHAnsi" w:cstheme="minorBidi"/>
          <w:sz w:val="24"/>
          <w:lang w:val="en-AU"/>
        </w:rPr>
        <w:lastRenderedPageBreak/>
        <w:t>Oedema due to a medical diagnosis of:</w:t>
      </w:r>
    </w:p>
    <w:p w:rsidR="00AE33B5" w:rsidRPr="00AE33B5" w:rsidRDefault="00AE33B5" w:rsidP="00F02312">
      <w:pPr>
        <w:pStyle w:val="m-235865268959371134tabletype"/>
        <w:numPr>
          <w:ilvl w:val="0"/>
          <w:numId w:val="167"/>
        </w:numPr>
        <w:spacing w:before="0" w:beforeAutospacing="0" w:after="0" w:afterAutospacing="0" w:line="276" w:lineRule="auto"/>
        <w:rPr>
          <w:rFonts w:asciiTheme="minorHAnsi" w:hAnsiTheme="minorHAnsi" w:cstheme="minorBidi"/>
          <w:sz w:val="24"/>
          <w:lang w:val="en-AU"/>
        </w:rPr>
      </w:pPr>
      <w:r w:rsidRPr="00AE33B5">
        <w:rPr>
          <w:rFonts w:asciiTheme="minorHAnsi" w:hAnsiTheme="minorHAnsi" w:cstheme="minorBidi"/>
          <w:sz w:val="24"/>
          <w:lang w:val="en-AU"/>
        </w:rPr>
        <w:t>chronic venous insufficiency</w:t>
      </w:r>
    </w:p>
    <w:p w:rsidR="00980F62" w:rsidRDefault="00233275" w:rsidP="00F02312">
      <w:pPr>
        <w:pStyle w:val="m-235865268959371134tabletype"/>
        <w:numPr>
          <w:ilvl w:val="0"/>
          <w:numId w:val="167"/>
        </w:numPr>
        <w:spacing w:before="0" w:beforeAutospacing="0" w:after="0" w:afterAutospacing="0" w:line="276" w:lineRule="auto"/>
        <w:rPr>
          <w:rFonts w:asciiTheme="minorHAnsi" w:hAnsiTheme="minorHAnsi" w:cstheme="minorBidi"/>
          <w:sz w:val="24"/>
          <w:lang w:val="en-AU"/>
        </w:rPr>
      </w:pPr>
      <w:r w:rsidRPr="00AE33B5">
        <w:rPr>
          <w:rFonts w:asciiTheme="minorHAnsi" w:hAnsiTheme="minorHAnsi" w:cstheme="minorBidi"/>
          <w:sz w:val="24"/>
          <w:lang w:val="en-AU"/>
        </w:rPr>
        <w:t>lymphedema</w:t>
      </w:r>
    </w:p>
    <w:p w:rsidR="00AE33B5" w:rsidRPr="00AE33B5" w:rsidRDefault="00AE33B5" w:rsidP="00F02312">
      <w:pPr>
        <w:pStyle w:val="m-235865268959371134tabletype"/>
        <w:numPr>
          <w:ilvl w:val="0"/>
          <w:numId w:val="167"/>
        </w:numPr>
        <w:spacing w:before="0" w:beforeAutospacing="0" w:after="0" w:afterAutospacing="0" w:line="276" w:lineRule="auto"/>
        <w:rPr>
          <w:rFonts w:asciiTheme="minorHAnsi" w:hAnsiTheme="minorHAnsi" w:cstheme="minorBidi"/>
          <w:sz w:val="24"/>
          <w:lang w:val="en-AU"/>
        </w:rPr>
      </w:pPr>
      <w:r w:rsidRPr="00AE33B5">
        <w:rPr>
          <w:rFonts w:asciiTheme="minorHAnsi" w:hAnsiTheme="minorHAnsi" w:cstheme="minorBidi"/>
          <w:sz w:val="24"/>
          <w:lang w:val="en-AU"/>
        </w:rPr>
        <w:t>acute (ongoing) DVT</w:t>
      </w:r>
    </w:p>
    <w:p w:rsidR="00F710BC" w:rsidRPr="00AE33B5" w:rsidRDefault="00AE33B5" w:rsidP="00F02312">
      <w:pPr>
        <w:pStyle w:val="m-235865268959371134tabletype"/>
        <w:numPr>
          <w:ilvl w:val="7"/>
          <w:numId w:val="166"/>
        </w:numPr>
        <w:spacing w:before="120" w:beforeAutospacing="0" w:after="0" w:afterAutospacing="0" w:line="276" w:lineRule="auto"/>
        <w:ind w:left="357" w:hanging="357"/>
        <w:rPr>
          <w:rFonts w:asciiTheme="minorHAnsi" w:hAnsiTheme="minorHAnsi" w:cstheme="minorBidi"/>
          <w:sz w:val="24"/>
          <w:lang w:val="en-AU"/>
        </w:rPr>
      </w:pPr>
      <w:r>
        <w:rPr>
          <w:rFonts w:asciiTheme="minorHAnsi" w:hAnsiTheme="minorHAnsi" w:cstheme="minorBidi"/>
          <w:sz w:val="24"/>
          <w:lang w:val="en-AU"/>
        </w:rPr>
        <w:t>A</w:t>
      </w:r>
      <w:r w:rsidRPr="00AE33B5">
        <w:rPr>
          <w:rFonts w:asciiTheme="minorHAnsi" w:hAnsiTheme="minorHAnsi" w:cstheme="minorBidi"/>
          <w:sz w:val="24"/>
          <w:lang w:val="en-AU"/>
        </w:rPr>
        <w:t xml:space="preserve"> more specified directive covering:</w:t>
      </w:r>
    </w:p>
    <w:p w:rsidR="00F710BC" w:rsidRPr="00AE33B5" w:rsidRDefault="00AE33B5" w:rsidP="00F02312">
      <w:pPr>
        <w:pStyle w:val="Tabletype"/>
        <w:numPr>
          <w:ilvl w:val="0"/>
          <w:numId w:val="168"/>
        </w:numPr>
        <w:spacing w:after="0" w:line="276" w:lineRule="auto"/>
        <w:rPr>
          <w:rFonts w:asciiTheme="minorHAnsi" w:eastAsiaTheme="minorHAnsi" w:hAnsiTheme="minorHAnsi" w:cstheme="minorBidi"/>
          <w:sz w:val="24"/>
          <w:szCs w:val="22"/>
        </w:rPr>
      </w:pPr>
      <w:r w:rsidRPr="00AE33B5">
        <w:rPr>
          <w:rFonts w:asciiTheme="minorHAnsi" w:eastAsiaTheme="minorHAnsi" w:hAnsiTheme="minorHAnsi" w:cstheme="minorBidi"/>
          <w:sz w:val="24"/>
          <w:szCs w:val="22"/>
        </w:rPr>
        <w:t>measurements taken</w:t>
      </w:r>
    </w:p>
    <w:p w:rsidR="00F710BC" w:rsidRPr="00AE33B5" w:rsidRDefault="00AE33B5" w:rsidP="00F02312">
      <w:pPr>
        <w:pStyle w:val="Tabletype"/>
        <w:numPr>
          <w:ilvl w:val="0"/>
          <w:numId w:val="168"/>
        </w:numPr>
        <w:spacing w:after="0" w:line="276" w:lineRule="auto"/>
        <w:rPr>
          <w:rFonts w:asciiTheme="minorHAnsi" w:eastAsiaTheme="minorHAnsi" w:hAnsiTheme="minorHAnsi" w:cstheme="minorBidi"/>
          <w:sz w:val="24"/>
          <w:szCs w:val="22"/>
        </w:rPr>
      </w:pPr>
      <w:r w:rsidRPr="00AE33B5">
        <w:rPr>
          <w:rFonts w:asciiTheme="minorHAnsi" w:eastAsiaTheme="minorHAnsi" w:hAnsiTheme="minorHAnsi" w:cstheme="minorBidi"/>
          <w:sz w:val="24"/>
          <w:szCs w:val="22"/>
        </w:rPr>
        <w:t>level of compression required</w:t>
      </w:r>
    </w:p>
    <w:p w:rsidR="00F710BC" w:rsidRPr="00AE33B5" w:rsidRDefault="00AE33B5" w:rsidP="00F02312">
      <w:pPr>
        <w:pStyle w:val="Tabletype"/>
        <w:numPr>
          <w:ilvl w:val="0"/>
          <w:numId w:val="168"/>
        </w:numPr>
        <w:spacing w:after="0" w:line="276" w:lineRule="auto"/>
        <w:rPr>
          <w:rFonts w:asciiTheme="minorHAnsi" w:eastAsiaTheme="minorHAnsi" w:hAnsiTheme="minorHAnsi" w:cstheme="minorBidi"/>
          <w:sz w:val="24"/>
          <w:szCs w:val="22"/>
        </w:rPr>
      </w:pPr>
      <w:r w:rsidRPr="00AE33B5">
        <w:rPr>
          <w:rFonts w:asciiTheme="minorHAnsi" w:eastAsiaTheme="minorHAnsi" w:hAnsiTheme="minorHAnsi" w:cstheme="minorBidi"/>
          <w:sz w:val="24"/>
          <w:szCs w:val="22"/>
        </w:rPr>
        <w:t>type/description of the prescribed garment; and</w:t>
      </w:r>
    </w:p>
    <w:p w:rsidR="00AE33B5" w:rsidRPr="00AE33B5" w:rsidRDefault="00AE33B5" w:rsidP="00F02312">
      <w:pPr>
        <w:pStyle w:val="Tabletype"/>
        <w:numPr>
          <w:ilvl w:val="0"/>
          <w:numId w:val="168"/>
        </w:numPr>
        <w:spacing w:after="0" w:line="276" w:lineRule="auto"/>
        <w:rPr>
          <w:rFonts w:asciiTheme="minorHAnsi" w:eastAsiaTheme="minorHAnsi" w:hAnsiTheme="minorHAnsi" w:cstheme="minorBidi"/>
          <w:sz w:val="24"/>
          <w:szCs w:val="22"/>
        </w:rPr>
      </w:pPr>
      <w:r w:rsidRPr="00AE33B5">
        <w:rPr>
          <w:rFonts w:asciiTheme="minorHAnsi" w:eastAsiaTheme="minorHAnsi" w:hAnsiTheme="minorHAnsi" w:cstheme="minorBidi"/>
          <w:sz w:val="24"/>
          <w:szCs w:val="22"/>
        </w:rPr>
        <w:t>application directions</w:t>
      </w:r>
    </w:p>
    <w:p w:rsidR="00F710BC" w:rsidRPr="00AE33B5" w:rsidRDefault="00AE33B5" w:rsidP="00D53D26">
      <w:pPr>
        <w:pStyle w:val="Tabletype"/>
        <w:spacing w:before="120" w:after="0" w:line="276" w:lineRule="auto"/>
        <w:rPr>
          <w:rFonts w:asciiTheme="minorHAnsi" w:eastAsiaTheme="minorHAnsi" w:hAnsiTheme="minorHAnsi" w:cstheme="minorBidi"/>
          <w:sz w:val="24"/>
          <w:szCs w:val="22"/>
          <w:lang w:eastAsia="en-AU"/>
        </w:rPr>
      </w:pPr>
      <w:r w:rsidRPr="00AE33B5">
        <w:rPr>
          <w:rFonts w:asciiTheme="minorHAnsi" w:eastAsiaTheme="minorHAnsi" w:hAnsiTheme="minorHAnsi" w:cstheme="minorBidi"/>
          <w:sz w:val="24"/>
          <w:szCs w:val="22"/>
          <w:lang w:eastAsia="en-AU"/>
        </w:rPr>
        <w:t>Refer to the recommended R-ACFI procedures list in section 6.4.1</w:t>
      </w:r>
      <w:r w:rsidR="00376240">
        <w:rPr>
          <w:rFonts w:asciiTheme="minorHAnsi" w:eastAsiaTheme="minorHAnsi" w:hAnsiTheme="minorHAnsi" w:cstheme="minorBidi"/>
          <w:sz w:val="24"/>
          <w:szCs w:val="22"/>
          <w:lang w:eastAsia="en-AU"/>
        </w:rPr>
        <w:t xml:space="preserve"> (</w:t>
      </w:r>
      <w:hyperlink w:anchor="Tab0606" w:history="1">
        <w:r w:rsidR="00376240" w:rsidRPr="00D062E1">
          <w:rPr>
            <w:rStyle w:val="Hyperlink"/>
            <w:rFonts w:asciiTheme="minorHAnsi" w:eastAsiaTheme="minorHAnsi" w:hAnsiTheme="minorHAnsi" w:cstheme="minorBidi"/>
            <w:sz w:val="24"/>
            <w:szCs w:val="22"/>
            <w:lang w:eastAsia="en-AU"/>
          </w:rPr>
          <w:t>Table 6.6</w:t>
        </w:r>
      </w:hyperlink>
      <w:r w:rsidR="00376240">
        <w:rPr>
          <w:rFonts w:asciiTheme="minorHAnsi" w:eastAsiaTheme="minorHAnsi" w:hAnsiTheme="minorHAnsi" w:cstheme="minorBidi"/>
          <w:sz w:val="24"/>
          <w:szCs w:val="22"/>
          <w:lang w:eastAsia="en-AU"/>
        </w:rPr>
        <w:t>)</w:t>
      </w:r>
      <w:r w:rsidRPr="00AE33B5">
        <w:rPr>
          <w:rFonts w:asciiTheme="minorHAnsi" w:eastAsiaTheme="minorHAnsi" w:hAnsiTheme="minorHAnsi" w:cstheme="minorBidi"/>
          <w:sz w:val="24"/>
          <w:szCs w:val="22"/>
          <w:lang w:eastAsia="en-AU"/>
        </w:rPr>
        <w:t xml:space="preserve"> for full details.</w:t>
      </w:r>
    </w:p>
    <w:p w:rsidR="002D63BE" w:rsidRPr="007439AD" w:rsidRDefault="00D42C4D" w:rsidP="007439AD">
      <w:pPr>
        <w:pStyle w:val="Heading4-Chapter632"/>
      </w:pPr>
      <w:bookmarkStart w:id="445" w:name="_Hlk488528763"/>
      <w:r w:rsidRPr="007439AD">
        <w:t>Mandatory Re-Appraisal 6-Months after a Claim for Palliative Care</w:t>
      </w:r>
    </w:p>
    <w:p w:rsidR="00980F62" w:rsidRDefault="00D42C4D" w:rsidP="007B7F50">
      <w:pPr>
        <w:pStyle w:val="Tabletype"/>
        <w:spacing w:after="0" w:line="276" w:lineRule="auto"/>
        <w:rPr>
          <w:rFonts w:asciiTheme="minorHAnsi" w:hAnsiTheme="minorHAnsi" w:cstheme="minorHAnsi"/>
          <w:sz w:val="24"/>
          <w:szCs w:val="24"/>
        </w:rPr>
      </w:pPr>
      <w:r w:rsidRPr="007439AD">
        <w:rPr>
          <w:rFonts w:asciiTheme="minorHAnsi" w:hAnsiTheme="minorHAnsi" w:cstheme="minorHAnsi"/>
          <w:sz w:val="24"/>
          <w:szCs w:val="24"/>
        </w:rPr>
        <w:t>To ensure that palliative care claims are congruent with the intent and requirements as specified in the R-ACFI User Guide, it is recommended that the full R-ACFI must be re-submitted 6 months after the claim comes into effect.</w:t>
      </w:r>
    </w:p>
    <w:p w:rsidR="00955F9B" w:rsidRPr="007439AD" w:rsidRDefault="00955F9B" w:rsidP="007439AD">
      <w:pPr>
        <w:pStyle w:val="Heading4-Chapter632"/>
      </w:pPr>
      <w:r w:rsidRPr="007439AD">
        <w:t>Future Changes for Consideration in the R-ACFI</w:t>
      </w:r>
    </w:p>
    <w:p w:rsidR="00955F9B" w:rsidRPr="00DE20B2" w:rsidRDefault="00955F9B" w:rsidP="00955F9B">
      <w:r>
        <w:t>There were a number of other changes considered for inclusion in the R-ACFI that are described in Appendix 6.3</w:t>
      </w:r>
      <w:r w:rsidR="002C164A">
        <w:t xml:space="preserve"> (e.g. Bariatric care)</w:t>
      </w:r>
      <w:r>
        <w:t>.</w:t>
      </w:r>
      <w:r w:rsidR="007A576E">
        <w:t xml:space="preserve"> </w:t>
      </w:r>
      <w:r>
        <w:t xml:space="preserve">The changes were deemed </w:t>
      </w:r>
      <w:r w:rsidRPr="00764BDB">
        <w:t>not feasible for implementation within this phase (i.e. within 12 months).</w:t>
      </w:r>
      <w:r w:rsidR="007A576E">
        <w:t xml:space="preserve"> </w:t>
      </w:r>
      <w:r w:rsidR="002C164A">
        <w:t>I</w:t>
      </w:r>
      <w:r>
        <w:t xml:space="preserve">t is recommended that they should be considered </w:t>
      </w:r>
      <w:r w:rsidR="008075D0">
        <w:t>in</w:t>
      </w:r>
      <w:r w:rsidR="002C164A">
        <w:t xml:space="preserve"> future R-ACFI modifications</w:t>
      </w:r>
      <w:r w:rsidRPr="00764BDB">
        <w:t>.</w:t>
      </w:r>
    </w:p>
    <w:p w:rsidR="00980F62" w:rsidRDefault="003217B9" w:rsidP="005E0BCA">
      <w:pPr>
        <w:pStyle w:val="Heading2-Chapter6"/>
      </w:pPr>
      <w:bookmarkStart w:id="446" w:name="_Toc491426048"/>
      <w:bookmarkStart w:id="447" w:name="_Toc486350720"/>
      <w:bookmarkStart w:id="448" w:name="_Toc486600046"/>
      <w:bookmarkEnd w:id="444"/>
      <w:bookmarkEnd w:id="445"/>
      <w:r>
        <w:t>The R-ACFI C</w:t>
      </w:r>
      <w:r w:rsidRPr="001E7E19">
        <w:t xml:space="preserve">HC Domain </w:t>
      </w:r>
      <w:r>
        <w:t xml:space="preserve">Recommended </w:t>
      </w:r>
      <w:r w:rsidRPr="001E7E19">
        <w:t>Changes</w:t>
      </w:r>
      <w:bookmarkEnd w:id="446"/>
      <w:bookmarkEnd w:id="447"/>
      <w:bookmarkEnd w:id="448"/>
    </w:p>
    <w:p w:rsidR="005531D5" w:rsidRDefault="005531D5" w:rsidP="005531D5">
      <w:pPr>
        <w:rPr>
          <w:lang w:eastAsia="en-AU"/>
        </w:rPr>
      </w:pPr>
      <w:r w:rsidRPr="00C95BB6">
        <w:rPr>
          <w:lang w:eastAsia="en-AU"/>
        </w:rPr>
        <w:t xml:space="preserve">The rationale </w:t>
      </w:r>
      <w:r>
        <w:rPr>
          <w:lang w:eastAsia="en-AU"/>
        </w:rPr>
        <w:t xml:space="preserve">for </w:t>
      </w:r>
      <w:r w:rsidRPr="00C95BB6">
        <w:rPr>
          <w:lang w:eastAsia="en-AU"/>
        </w:rPr>
        <w:t>and the recommended change</w:t>
      </w:r>
      <w:r>
        <w:rPr>
          <w:lang w:eastAsia="en-AU"/>
        </w:rPr>
        <w:t>s</w:t>
      </w:r>
      <w:r w:rsidRPr="00C95BB6">
        <w:rPr>
          <w:lang w:eastAsia="en-AU"/>
        </w:rPr>
        <w:t xml:space="preserve"> </w:t>
      </w:r>
      <w:r>
        <w:rPr>
          <w:lang w:eastAsia="en-AU"/>
        </w:rPr>
        <w:t>to</w:t>
      </w:r>
      <w:r w:rsidRPr="00C95BB6">
        <w:rPr>
          <w:lang w:eastAsia="en-AU"/>
        </w:rPr>
        <w:t xml:space="preserve"> </w:t>
      </w:r>
      <w:r>
        <w:rPr>
          <w:lang w:eastAsia="en-AU"/>
        </w:rPr>
        <w:t>the</w:t>
      </w:r>
      <w:r w:rsidRPr="00C95BB6">
        <w:rPr>
          <w:lang w:eastAsia="en-AU"/>
        </w:rPr>
        <w:t xml:space="preserve"> R-ACFI </w:t>
      </w:r>
      <w:r>
        <w:rPr>
          <w:lang w:eastAsia="en-AU"/>
        </w:rPr>
        <w:t>CHC</w:t>
      </w:r>
      <w:r w:rsidRPr="00C95BB6">
        <w:rPr>
          <w:lang w:eastAsia="en-AU"/>
        </w:rPr>
        <w:t xml:space="preserve"> question </w:t>
      </w:r>
      <w:r>
        <w:rPr>
          <w:lang w:eastAsia="en-AU"/>
        </w:rPr>
        <w:t>is</w:t>
      </w:r>
      <w:r w:rsidRPr="00C95BB6">
        <w:rPr>
          <w:lang w:eastAsia="en-AU"/>
        </w:rPr>
        <w:t xml:space="preserve"> described in </w:t>
      </w:r>
      <w:r>
        <w:rPr>
          <w:lang w:eastAsia="en-AU"/>
        </w:rPr>
        <w:t>Appendix 6.2. The recommended changes in summary are:</w:t>
      </w:r>
    </w:p>
    <w:p w:rsidR="00642084" w:rsidRPr="00E166DF" w:rsidRDefault="00642084" w:rsidP="000B0053">
      <w:pPr>
        <w:pStyle w:val="ListParagraph"/>
        <w:numPr>
          <w:ilvl w:val="0"/>
          <w:numId w:val="236"/>
        </w:numPr>
        <w:ind w:left="357" w:hanging="357"/>
        <w:contextualSpacing w:val="0"/>
        <w:rPr>
          <w:szCs w:val="24"/>
        </w:rPr>
      </w:pPr>
      <w:r w:rsidRPr="008861BC">
        <w:rPr>
          <w:lang w:eastAsia="en-AU"/>
        </w:rPr>
        <w:t xml:space="preserve">A new requirement </w:t>
      </w:r>
      <w:r>
        <w:rPr>
          <w:lang w:eastAsia="en-AU"/>
        </w:rPr>
        <w:t>a</w:t>
      </w:r>
      <w:r w:rsidRPr="008861BC">
        <w:rPr>
          <w:lang w:eastAsia="en-AU"/>
        </w:rPr>
        <w:t xml:space="preserve"> claim in the Complex Health Care domain is that there is </w:t>
      </w:r>
      <w:r>
        <w:rPr>
          <w:lang w:eastAsia="en-AU"/>
        </w:rPr>
        <w:t xml:space="preserve">documented </w:t>
      </w:r>
      <w:r w:rsidRPr="008861BC">
        <w:rPr>
          <w:lang w:eastAsia="en-AU"/>
        </w:rPr>
        <w:t>evidence that the resident has a regular ongoing 3 monthly comprehensive health assessment undertaken and signed off by a registered nurse.</w:t>
      </w:r>
    </w:p>
    <w:p w:rsidR="00642084" w:rsidRPr="008861BC" w:rsidRDefault="00642084" w:rsidP="000B0053">
      <w:pPr>
        <w:pStyle w:val="ListParagraph"/>
        <w:numPr>
          <w:ilvl w:val="0"/>
          <w:numId w:val="236"/>
        </w:numPr>
        <w:ind w:left="357" w:hanging="357"/>
        <w:contextualSpacing w:val="0"/>
        <w:rPr>
          <w:lang w:eastAsia="en-AU"/>
        </w:rPr>
      </w:pPr>
      <w:r w:rsidRPr="008861BC">
        <w:rPr>
          <w:lang w:eastAsia="en-AU"/>
        </w:rPr>
        <w:t>The Medication</w:t>
      </w:r>
      <w:r w:rsidRPr="00E166DF">
        <w:rPr>
          <w:b/>
          <w:lang w:eastAsia="en-AU"/>
        </w:rPr>
        <w:t xml:space="preserve"> </w:t>
      </w:r>
      <w:r w:rsidRPr="008861BC">
        <w:rPr>
          <w:lang w:eastAsia="en-AU"/>
        </w:rPr>
        <w:t>question (ACFI 11) has</w:t>
      </w:r>
      <w:r w:rsidRPr="00E166DF">
        <w:rPr>
          <w:b/>
          <w:lang w:eastAsia="en-AU"/>
        </w:rPr>
        <w:t xml:space="preserve"> </w:t>
      </w:r>
      <w:r w:rsidRPr="008861BC">
        <w:rPr>
          <w:lang w:eastAsia="en-AU"/>
        </w:rPr>
        <w:t>been moved into the R-ACFI Complex Health Care Procedures list as two separate items. The items are now (i) daily medications, patches, suppositories and enemas (weight 3) and (ii) daily injections (weight 6).</w:t>
      </w:r>
    </w:p>
    <w:p w:rsidR="00642084" w:rsidRPr="008861BC" w:rsidRDefault="00642084" w:rsidP="000B0053">
      <w:pPr>
        <w:pStyle w:val="ListParagraph"/>
        <w:numPr>
          <w:ilvl w:val="0"/>
          <w:numId w:val="236"/>
        </w:numPr>
        <w:ind w:left="357" w:hanging="357"/>
        <w:contextualSpacing w:val="0"/>
        <w:rPr>
          <w:lang w:eastAsia="en-AU"/>
        </w:rPr>
      </w:pPr>
      <w:r w:rsidRPr="008861BC">
        <w:rPr>
          <w:lang w:eastAsia="en-AU"/>
        </w:rPr>
        <w:t>Removal of the items 12.1 blood pressure, 12.18 vital signs technical equipment as these are considered not discriminating items and low in complexity.</w:t>
      </w:r>
    </w:p>
    <w:p w:rsidR="00642084" w:rsidRPr="008861BC" w:rsidRDefault="00642084" w:rsidP="000B0053">
      <w:pPr>
        <w:pStyle w:val="ListParagraph"/>
        <w:numPr>
          <w:ilvl w:val="0"/>
          <w:numId w:val="236"/>
        </w:numPr>
        <w:ind w:left="357" w:hanging="357"/>
        <w:contextualSpacing w:val="0"/>
        <w:rPr>
          <w:lang w:eastAsia="en-AU"/>
        </w:rPr>
      </w:pPr>
      <w:r w:rsidRPr="008861BC">
        <w:rPr>
          <w:lang w:eastAsia="en-AU"/>
        </w:rPr>
        <w:t>Removal of the item 12.12a management of arthritic joints &amp; oedema as it is included and covered in the R-ACFI 3 checklist item “dressing and undressing”.</w:t>
      </w:r>
    </w:p>
    <w:p w:rsidR="00642084" w:rsidRPr="008861BC" w:rsidRDefault="00642084" w:rsidP="000B0053">
      <w:pPr>
        <w:pStyle w:val="ListParagraph"/>
        <w:numPr>
          <w:ilvl w:val="0"/>
          <w:numId w:val="236"/>
        </w:numPr>
        <w:ind w:left="357" w:hanging="357"/>
        <w:contextualSpacing w:val="0"/>
      </w:pPr>
      <w:r w:rsidRPr="008861BC">
        <w:rPr>
          <w:lang w:eastAsia="en-AU"/>
        </w:rPr>
        <w:t xml:space="preserve">Improvements to the ACFI item focusing on non-arthritic oedema </w:t>
      </w:r>
      <w:r w:rsidRPr="008861BC">
        <w:t>12.12b (R-ACFI CHC item 7) to include aspects associated with a medical diagnosis of specific types and a detailed directive covering measurements, level of compression, types of garments and application.</w:t>
      </w:r>
    </w:p>
    <w:p w:rsidR="00642084" w:rsidRPr="00E166DF" w:rsidRDefault="00642084" w:rsidP="000B0053">
      <w:pPr>
        <w:pStyle w:val="ListParagraph"/>
        <w:numPr>
          <w:ilvl w:val="0"/>
          <w:numId w:val="236"/>
        </w:numPr>
        <w:ind w:left="357" w:hanging="357"/>
        <w:contextualSpacing w:val="0"/>
        <w:rPr>
          <w:sz w:val="22"/>
        </w:rPr>
      </w:pPr>
      <w:r w:rsidRPr="008861BC">
        <w:lastRenderedPageBreak/>
        <w:t>Re-weighting of the blood glucose and oxygen therapy items from 3 points to 1 point to reflect their lower level of complexity in relation to the other items.</w:t>
      </w:r>
    </w:p>
    <w:p w:rsidR="00642084" w:rsidRPr="008861BC" w:rsidRDefault="00642084" w:rsidP="000B0053">
      <w:pPr>
        <w:pStyle w:val="ListParagraph"/>
        <w:numPr>
          <w:ilvl w:val="0"/>
          <w:numId w:val="236"/>
        </w:numPr>
        <w:ind w:left="357" w:hanging="357"/>
        <w:contextualSpacing w:val="0"/>
        <w:rPr>
          <w:lang w:eastAsia="en-AU"/>
        </w:rPr>
      </w:pPr>
      <w:r w:rsidRPr="008861BC">
        <w:rPr>
          <w:lang w:eastAsia="en-AU"/>
        </w:rPr>
        <w:t>Inclusion of a Depression item into the CHC procedures list and re-framed as “Major Depression”.</w:t>
      </w:r>
      <w:r w:rsidR="007A576E">
        <w:rPr>
          <w:lang w:eastAsia="en-AU"/>
        </w:rPr>
        <w:t xml:space="preserve"> </w:t>
      </w:r>
      <w:r w:rsidRPr="008861BC">
        <w:rPr>
          <w:lang w:eastAsia="en-AU"/>
        </w:rPr>
        <w:t xml:space="preserve">The funding from the Depression question has been added into the Complex Health Domain funding pool ($3.65 </w:t>
      </w:r>
      <w:r w:rsidR="00735127">
        <w:rPr>
          <w:lang w:eastAsia="en-AU"/>
        </w:rPr>
        <w:t>per day</w:t>
      </w:r>
      <w:r w:rsidRPr="008861BC">
        <w:rPr>
          <w:lang w:eastAsia="en-AU"/>
        </w:rPr>
        <w:t>).</w:t>
      </w:r>
    </w:p>
    <w:p w:rsidR="00642084" w:rsidRPr="008861BC" w:rsidRDefault="00642084" w:rsidP="000B0053">
      <w:pPr>
        <w:pStyle w:val="ListParagraph"/>
        <w:numPr>
          <w:ilvl w:val="0"/>
          <w:numId w:val="236"/>
        </w:numPr>
        <w:ind w:left="357" w:hanging="357"/>
        <w:contextualSpacing w:val="0"/>
        <w:rPr>
          <w:lang w:eastAsia="en-AU"/>
        </w:rPr>
      </w:pPr>
      <w:r w:rsidRPr="008861BC">
        <w:rPr>
          <w:lang w:eastAsia="en-AU"/>
        </w:rPr>
        <w:t>A palliative care claim will now trigger a 6-month mandatory re-appraisal</w:t>
      </w:r>
      <w:r w:rsidR="00233275">
        <w:rPr>
          <w:lang w:eastAsia="en-AU"/>
        </w:rPr>
        <w:t>.</w:t>
      </w:r>
    </w:p>
    <w:p w:rsidR="00980F62" w:rsidRDefault="00642084" w:rsidP="000B0053">
      <w:pPr>
        <w:pStyle w:val="ListParagraph"/>
        <w:numPr>
          <w:ilvl w:val="0"/>
          <w:numId w:val="236"/>
        </w:numPr>
        <w:ind w:left="357" w:hanging="357"/>
        <w:contextualSpacing w:val="0"/>
        <w:rPr>
          <w:lang w:eastAsia="en-AU"/>
        </w:rPr>
      </w:pPr>
      <w:r w:rsidRPr="008861BC">
        <w:rPr>
          <w:lang w:eastAsia="en-AU"/>
        </w:rPr>
        <w:t>Relocation of the pain management items (12.3, 12.4a, 12.4b) and funding into the new</w:t>
      </w:r>
      <w:r w:rsidR="007A576E">
        <w:rPr>
          <w:lang w:eastAsia="en-AU"/>
        </w:rPr>
        <w:t xml:space="preserve"> </w:t>
      </w:r>
      <w:r w:rsidRPr="008861BC">
        <w:rPr>
          <w:lang w:eastAsia="en-AU"/>
        </w:rPr>
        <w:t xml:space="preserve"> R-ACFI Therapy Program which has a broader physical therapy focus.</w:t>
      </w:r>
      <w:r w:rsidR="007A576E">
        <w:rPr>
          <w:lang w:eastAsia="en-AU"/>
        </w:rPr>
        <w:t xml:space="preserve"> </w:t>
      </w:r>
      <w:r w:rsidRPr="008861BC">
        <w:rPr>
          <w:lang w:eastAsia="en-AU"/>
        </w:rPr>
        <w:t xml:space="preserve">The funding determined from the pain management items over the past 4 years has been averaged and $15 </w:t>
      </w:r>
      <w:r w:rsidR="00735127">
        <w:rPr>
          <w:lang w:eastAsia="en-AU"/>
        </w:rPr>
        <w:t>per day</w:t>
      </w:r>
      <w:r w:rsidRPr="008861BC">
        <w:rPr>
          <w:lang w:eastAsia="en-AU"/>
        </w:rPr>
        <w:t xml:space="preserve"> has been transferred from the Complex Health Domain into the new Therapy Program.</w:t>
      </w:r>
    </w:p>
    <w:p w:rsidR="00980F62" w:rsidRDefault="005531D5" w:rsidP="00D06654">
      <w:pPr>
        <w:rPr>
          <w:lang w:eastAsia="en-AU"/>
        </w:rPr>
      </w:pPr>
      <w:r>
        <w:rPr>
          <w:lang w:eastAsia="en-AU"/>
        </w:rPr>
        <w:t xml:space="preserve">These changes have </w:t>
      </w:r>
      <w:r w:rsidR="00EC5C8D">
        <w:rPr>
          <w:lang w:eastAsia="en-AU"/>
        </w:rPr>
        <w:t>meant that the domain required</w:t>
      </w:r>
      <w:r w:rsidRPr="00C45932">
        <w:rPr>
          <w:lang w:eastAsia="en-AU"/>
        </w:rPr>
        <w:t xml:space="preserve"> re-calibration with revised cut points. The removal of the pain management items also means that the funding attached to th</w:t>
      </w:r>
      <w:r>
        <w:rPr>
          <w:lang w:eastAsia="en-AU"/>
        </w:rPr>
        <w:t>ese claims is removed from the CHC</w:t>
      </w:r>
      <w:r w:rsidRPr="00C45932">
        <w:rPr>
          <w:lang w:eastAsia="en-AU"/>
        </w:rPr>
        <w:t xml:space="preserve"> domain and re-alloc</w:t>
      </w:r>
      <w:r w:rsidR="002543A8">
        <w:rPr>
          <w:lang w:eastAsia="en-AU"/>
        </w:rPr>
        <w:t>ated into the new Therapy Program</w:t>
      </w:r>
      <w:r w:rsidRPr="00C45932">
        <w:rPr>
          <w:lang w:eastAsia="en-AU"/>
        </w:rPr>
        <w:t>.</w:t>
      </w:r>
    </w:p>
    <w:p w:rsidR="005531D5" w:rsidRPr="00C56404" w:rsidRDefault="005531D5" w:rsidP="00D06654">
      <w:pPr>
        <w:rPr>
          <w:lang w:eastAsia="en-AU"/>
        </w:rPr>
      </w:pPr>
      <w:r w:rsidRPr="00C45932">
        <w:rPr>
          <w:lang w:eastAsia="en-AU"/>
        </w:rPr>
        <w:t xml:space="preserve">Details of the </w:t>
      </w:r>
      <w:r w:rsidR="00D00F87">
        <w:rPr>
          <w:lang w:eastAsia="en-AU"/>
        </w:rPr>
        <w:t xml:space="preserve">Therapy </w:t>
      </w:r>
      <w:r w:rsidR="002543A8">
        <w:rPr>
          <w:lang w:eastAsia="en-AU"/>
        </w:rPr>
        <w:t>P</w:t>
      </w:r>
      <w:r w:rsidR="00D00F87">
        <w:rPr>
          <w:lang w:eastAsia="en-AU"/>
        </w:rPr>
        <w:t xml:space="preserve">rogram are provided in </w:t>
      </w:r>
      <w:hyperlink w:anchor="Ch07" w:history="1">
        <w:r w:rsidR="00D00F87" w:rsidRPr="00A91929">
          <w:rPr>
            <w:rStyle w:val="Hyperlink"/>
            <w:lang w:eastAsia="en-AU"/>
          </w:rPr>
          <w:t>Chapter 7</w:t>
        </w:r>
      </w:hyperlink>
      <w:r w:rsidR="00D00F87">
        <w:rPr>
          <w:lang w:eastAsia="en-AU"/>
        </w:rPr>
        <w:t xml:space="preserve"> and the </w:t>
      </w:r>
      <w:r w:rsidRPr="00C45932">
        <w:rPr>
          <w:lang w:eastAsia="en-AU"/>
        </w:rPr>
        <w:t xml:space="preserve">funding changes are </w:t>
      </w:r>
      <w:r w:rsidR="00D00F87">
        <w:rPr>
          <w:lang w:eastAsia="en-AU"/>
        </w:rPr>
        <w:t>detailed</w:t>
      </w:r>
      <w:r w:rsidRPr="00C45932">
        <w:rPr>
          <w:lang w:eastAsia="en-AU"/>
        </w:rPr>
        <w:t xml:space="preserve"> in </w:t>
      </w:r>
      <w:hyperlink w:anchor="Ch08" w:history="1">
        <w:r w:rsidRPr="00A91929">
          <w:rPr>
            <w:rStyle w:val="Hyperlink"/>
            <w:lang w:eastAsia="en-AU"/>
          </w:rPr>
          <w:t>Chapter 8</w:t>
        </w:r>
      </w:hyperlink>
      <w:r w:rsidRPr="00C45932">
        <w:rPr>
          <w:lang w:eastAsia="en-AU"/>
        </w:rPr>
        <w:t>.</w:t>
      </w:r>
    </w:p>
    <w:p w:rsidR="003217B9" w:rsidRPr="001305B2" w:rsidRDefault="001F09F2" w:rsidP="001305B2">
      <w:pPr>
        <w:pStyle w:val="Heading3-Chapter64"/>
        <w:ind w:right="-188"/>
      </w:pPr>
      <w:r w:rsidRPr="001305B2">
        <w:t>Recommended Use</w:t>
      </w:r>
      <w:r w:rsidR="008075D0" w:rsidRPr="001305B2">
        <w:t>r</w:t>
      </w:r>
      <w:r w:rsidRPr="001305B2">
        <w:t xml:space="preserve"> Guide</w:t>
      </w:r>
      <w:r w:rsidR="003217B9" w:rsidRPr="001305B2">
        <w:t xml:space="preserve"> R-ACFI Format for the CHC</w:t>
      </w:r>
      <w:r w:rsidR="00642084" w:rsidRPr="001305B2">
        <w:t xml:space="preserve"> Domain</w:t>
      </w:r>
    </w:p>
    <w:p w:rsidR="003217B9" w:rsidRPr="00BA356F" w:rsidRDefault="003217B9" w:rsidP="00D06654">
      <w:pPr>
        <w:spacing w:after="0"/>
        <w:rPr>
          <w:rStyle w:val="Strong"/>
        </w:rPr>
      </w:pPr>
      <w:r w:rsidRPr="00BA356F">
        <w:rPr>
          <w:rStyle w:val="Strong"/>
        </w:rPr>
        <w:t>Description</w:t>
      </w:r>
    </w:p>
    <w:p w:rsidR="003217B9" w:rsidRPr="000C0B5E" w:rsidRDefault="003217B9" w:rsidP="00D06654">
      <w:pPr>
        <w:rPr>
          <w:szCs w:val="24"/>
        </w:rPr>
      </w:pPr>
      <w:r w:rsidRPr="000C0B5E">
        <w:rPr>
          <w:szCs w:val="24"/>
        </w:rPr>
        <w:t xml:space="preserve">This question relates to the assessed need for ongoing </w:t>
      </w:r>
      <w:r w:rsidR="00E37BB2">
        <w:rPr>
          <w:szCs w:val="24"/>
        </w:rPr>
        <w:t>C</w:t>
      </w:r>
      <w:r w:rsidR="008075D0">
        <w:rPr>
          <w:szCs w:val="24"/>
        </w:rPr>
        <w:t xml:space="preserve">omplex </w:t>
      </w:r>
      <w:r w:rsidR="00E37BB2">
        <w:rPr>
          <w:szCs w:val="24"/>
        </w:rPr>
        <w:t>H</w:t>
      </w:r>
      <w:r w:rsidR="008075D0">
        <w:rPr>
          <w:szCs w:val="24"/>
        </w:rPr>
        <w:t xml:space="preserve">ealth </w:t>
      </w:r>
      <w:r w:rsidR="00E37BB2">
        <w:rPr>
          <w:szCs w:val="24"/>
        </w:rPr>
        <w:t>C</w:t>
      </w:r>
      <w:r w:rsidR="008075D0">
        <w:rPr>
          <w:szCs w:val="24"/>
        </w:rPr>
        <w:t>are (CHC)</w:t>
      </w:r>
      <w:r w:rsidRPr="000C0B5E">
        <w:rPr>
          <w:szCs w:val="24"/>
        </w:rPr>
        <w:t xml:space="preserve"> procedures and activities. It excludes temporary nursing interventions e.g. management of temporary post-surgical catheters or stomas, management of minor injuries or acu</w:t>
      </w:r>
      <w:r>
        <w:rPr>
          <w:szCs w:val="24"/>
        </w:rPr>
        <w:t>te illnesses such as colds.</w:t>
      </w:r>
    </w:p>
    <w:p w:rsidR="003217B9" w:rsidRPr="000C0B5E" w:rsidRDefault="003217B9" w:rsidP="00D06654">
      <w:pPr>
        <w:rPr>
          <w:szCs w:val="24"/>
        </w:rPr>
      </w:pPr>
      <w:r w:rsidRPr="000C0B5E">
        <w:rPr>
          <w:szCs w:val="24"/>
        </w:rPr>
        <w:t>The ratings in this question relate to the technical complexity and frequency of the procedures.</w:t>
      </w:r>
      <w:r w:rsidR="007A576E">
        <w:rPr>
          <w:szCs w:val="24"/>
        </w:rPr>
        <w:t xml:space="preserve"> </w:t>
      </w:r>
      <w:r w:rsidRPr="000C0B5E">
        <w:rPr>
          <w:szCs w:val="24"/>
        </w:rPr>
        <w:t xml:space="preserve">The minimum frequency of procedures is ‘at least weekly’ </w:t>
      </w:r>
      <w:r>
        <w:rPr>
          <w:szCs w:val="24"/>
        </w:rPr>
        <w:t>– i</w:t>
      </w:r>
      <w:r w:rsidRPr="000C0B5E">
        <w:rPr>
          <w:szCs w:val="24"/>
        </w:rPr>
        <w:t>f less than this it is not taken into account in calculating a rating.</w:t>
      </w:r>
    </w:p>
    <w:p w:rsidR="003217B9" w:rsidRPr="00BA356F" w:rsidRDefault="003217B9" w:rsidP="00D06654">
      <w:pPr>
        <w:spacing w:after="0"/>
        <w:rPr>
          <w:rStyle w:val="Strong"/>
        </w:rPr>
      </w:pPr>
      <w:r w:rsidRPr="00BA356F">
        <w:rPr>
          <w:rStyle w:val="Strong"/>
        </w:rPr>
        <w:t>Requirements</w:t>
      </w:r>
    </w:p>
    <w:p w:rsidR="003217B9" w:rsidRDefault="003217B9" w:rsidP="00D06654">
      <w:pPr>
        <w:rPr>
          <w:szCs w:val="24"/>
        </w:rPr>
      </w:pPr>
      <w:r>
        <w:rPr>
          <w:szCs w:val="24"/>
        </w:rPr>
        <w:t>To be eligible for C</w:t>
      </w:r>
      <w:r w:rsidR="00E37BB2">
        <w:rPr>
          <w:szCs w:val="24"/>
        </w:rPr>
        <w:t>HC</w:t>
      </w:r>
      <w:r>
        <w:rPr>
          <w:szCs w:val="24"/>
        </w:rPr>
        <w:t xml:space="preserve"> Domain funding:</w:t>
      </w:r>
    </w:p>
    <w:p w:rsidR="003217B9" w:rsidRPr="00976772" w:rsidRDefault="003217B9" w:rsidP="007A404E">
      <w:pPr>
        <w:pStyle w:val="ListParagraph"/>
        <w:numPr>
          <w:ilvl w:val="0"/>
          <w:numId w:val="29"/>
        </w:numPr>
        <w:spacing w:before="120" w:line="240" w:lineRule="auto"/>
        <w:ind w:left="357" w:hanging="357"/>
        <w:rPr>
          <w:szCs w:val="24"/>
        </w:rPr>
      </w:pPr>
      <w:r>
        <w:rPr>
          <w:szCs w:val="24"/>
        </w:rPr>
        <w:t>There must be a claim on at least one item in the R-ACFI 8 procedures list</w:t>
      </w:r>
      <w:r w:rsidR="00233275">
        <w:rPr>
          <w:szCs w:val="24"/>
        </w:rPr>
        <w:t>; and</w:t>
      </w:r>
    </w:p>
    <w:p w:rsidR="003217B9" w:rsidRPr="00764BDB" w:rsidRDefault="003217B9" w:rsidP="007A404E">
      <w:pPr>
        <w:pStyle w:val="ListParagraph"/>
        <w:numPr>
          <w:ilvl w:val="0"/>
          <w:numId w:val="29"/>
        </w:numPr>
        <w:spacing w:before="120" w:line="240" w:lineRule="auto"/>
        <w:ind w:left="357" w:hanging="357"/>
        <w:rPr>
          <w:szCs w:val="24"/>
        </w:rPr>
      </w:pPr>
      <w:r>
        <w:rPr>
          <w:lang w:eastAsia="en-AU"/>
        </w:rPr>
        <w:t xml:space="preserve">There is evidence that the resident has a </w:t>
      </w:r>
      <w:r w:rsidRPr="008B4005">
        <w:rPr>
          <w:lang w:eastAsia="en-AU"/>
        </w:rPr>
        <w:t xml:space="preserve">regular </w:t>
      </w:r>
      <w:r>
        <w:rPr>
          <w:lang w:eastAsia="en-AU"/>
        </w:rPr>
        <w:t xml:space="preserve">ongoing documented </w:t>
      </w:r>
      <w:r w:rsidR="00E851F7">
        <w:rPr>
          <w:lang w:eastAsia="en-AU"/>
        </w:rPr>
        <w:t>three-monthly</w:t>
      </w:r>
      <w:r w:rsidRPr="008B4005">
        <w:rPr>
          <w:lang w:eastAsia="en-AU"/>
        </w:rPr>
        <w:t xml:space="preserve"> </w:t>
      </w:r>
      <w:r w:rsidRPr="00764BDB">
        <w:rPr>
          <w:lang w:eastAsia="en-AU"/>
        </w:rPr>
        <w:t>comprehensive health assessment undertaken and signed off by a R</w:t>
      </w:r>
      <w:r w:rsidR="00E37BB2">
        <w:rPr>
          <w:lang w:eastAsia="en-AU"/>
        </w:rPr>
        <w:t>N.</w:t>
      </w:r>
    </w:p>
    <w:p w:rsidR="003217B9" w:rsidRPr="00764BDB" w:rsidRDefault="003217B9" w:rsidP="00D06654">
      <w:pPr>
        <w:rPr>
          <w:szCs w:val="24"/>
        </w:rPr>
      </w:pPr>
      <w:r w:rsidRPr="00764BDB">
        <w:rPr>
          <w:szCs w:val="24"/>
        </w:rPr>
        <w:t>A procedure satisfies the requirements for R-ACFI 8 if:</w:t>
      </w:r>
    </w:p>
    <w:p w:rsidR="003217B9" w:rsidRPr="00764BDB" w:rsidRDefault="003217B9" w:rsidP="007A404E">
      <w:pPr>
        <w:pStyle w:val="ListParagraph"/>
        <w:numPr>
          <w:ilvl w:val="0"/>
          <w:numId w:val="29"/>
        </w:numPr>
        <w:spacing w:before="120" w:line="240" w:lineRule="auto"/>
        <w:ind w:left="357" w:hanging="357"/>
        <w:rPr>
          <w:szCs w:val="24"/>
        </w:rPr>
      </w:pPr>
      <w:r w:rsidRPr="00764BDB">
        <w:rPr>
          <w:szCs w:val="24"/>
        </w:rPr>
        <w:t>The stated requirements in the checklist are met for an item;</w:t>
      </w:r>
    </w:p>
    <w:p w:rsidR="00980F62" w:rsidRDefault="003217B9" w:rsidP="007A404E">
      <w:pPr>
        <w:pStyle w:val="ListParagraph"/>
        <w:numPr>
          <w:ilvl w:val="0"/>
          <w:numId w:val="29"/>
        </w:numPr>
        <w:spacing w:before="120" w:line="240" w:lineRule="auto"/>
        <w:ind w:left="357" w:hanging="357"/>
        <w:rPr>
          <w:szCs w:val="24"/>
        </w:rPr>
      </w:pPr>
      <w:r>
        <w:rPr>
          <w:szCs w:val="24"/>
        </w:rPr>
        <w:t xml:space="preserve">A </w:t>
      </w:r>
      <w:r w:rsidRPr="000C0B5E">
        <w:rPr>
          <w:szCs w:val="24"/>
        </w:rPr>
        <w:t xml:space="preserve">Health Professional acting in their scope of practice conducts an Assessment of the </w:t>
      </w:r>
      <w:r>
        <w:rPr>
          <w:szCs w:val="24"/>
        </w:rPr>
        <w:t>resident’s u</w:t>
      </w:r>
      <w:r w:rsidRPr="000C0B5E">
        <w:rPr>
          <w:szCs w:val="24"/>
        </w:rPr>
        <w:t xml:space="preserve">sual </w:t>
      </w:r>
      <w:r>
        <w:rPr>
          <w:szCs w:val="24"/>
        </w:rPr>
        <w:t>care n</w:t>
      </w:r>
      <w:r w:rsidRPr="000C0B5E">
        <w:rPr>
          <w:szCs w:val="24"/>
        </w:rPr>
        <w:t>eeds at the time of the appraisal;</w:t>
      </w:r>
    </w:p>
    <w:p w:rsidR="003217B9" w:rsidRDefault="003217B9" w:rsidP="007A404E">
      <w:pPr>
        <w:pStyle w:val="ListParagraph"/>
        <w:numPr>
          <w:ilvl w:val="0"/>
          <w:numId w:val="29"/>
        </w:numPr>
        <w:spacing w:before="120" w:line="240" w:lineRule="auto"/>
        <w:ind w:left="357" w:hanging="357"/>
        <w:rPr>
          <w:szCs w:val="24"/>
        </w:rPr>
      </w:pPr>
      <w:r w:rsidRPr="000C0B5E">
        <w:rPr>
          <w:szCs w:val="24"/>
        </w:rPr>
        <w:t xml:space="preserve">The Health Professional identifies the </w:t>
      </w:r>
      <w:r>
        <w:rPr>
          <w:szCs w:val="24"/>
        </w:rPr>
        <w:t>reside</w:t>
      </w:r>
      <w:r w:rsidRPr="000C0B5E">
        <w:rPr>
          <w:szCs w:val="24"/>
        </w:rPr>
        <w:t>nt’s care needs in a Directive</w:t>
      </w:r>
      <w:r>
        <w:rPr>
          <w:szCs w:val="24"/>
        </w:rPr>
        <w:t>; and</w:t>
      </w:r>
    </w:p>
    <w:p w:rsidR="003217B9" w:rsidRDefault="003217B9" w:rsidP="007A404E">
      <w:pPr>
        <w:pStyle w:val="ListParagraph"/>
        <w:numPr>
          <w:ilvl w:val="0"/>
          <w:numId w:val="29"/>
        </w:numPr>
        <w:spacing w:before="120" w:line="240" w:lineRule="auto"/>
        <w:ind w:left="357" w:hanging="357"/>
        <w:rPr>
          <w:szCs w:val="24"/>
        </w:rPr>
      </w:pPr>
      <w:r>
        <w:rPr>
          <w:szCs w:val="24"/>
        </w:rPr>
        <w:t>A record of treatment is provided in requested items</w:t>
      </w:r>
      <w:r w:rsidR="00233275">
        <w:rPr>
          <w:szCs w:val="24"/>
        </w:rPr>
        <w:t>; and</w:t>
      </w:r>
    </w:p>
    <w:p w:rsidR="00862670" w:rsidRPr="00862670" w:rsidRDefault="00862670" w:rsidP="007A404E">
      <w:pPr>
        <w:pStyle w:val="ListParagraph"/>
        <w:numPr>
          <w:ilvl w:val="0"/>
          <w:numId w:val="29"/>
        </w:numPr>
        <w:spacing w:before="120" w:line="240" w:lineRule="auto"/>
        <w:ind w:left="357" w:hanging="357"/>
        <w:rPr>
          <w:szCs w:val="24"/>
        </w:rPr>
      </w:pPr>
      <w:r w:rsidRPr="00862670">
        <w:rPr>
          <w:szCs w:val="24"/>
          <w:lang w:eastAsia="en-AU"/>
        </w:rPr>
        <w:t>A Palliative Care claim will require a mandatory re-appraisal in 6 months.</w:t>
      </w:r>
    </w:p>
    <w:p w:rsidR="003217B9" w:rsidRPr="00BA356F" w:rsidRDefault="003217B9" w:rsidP="009909C9">
      <w:pPr>
        <w:spacing w:after="0"/>
        <w:rPr>
          <w:rStyle w:val="Strong"/>
        </w:rPr>
      </w:pPr>
      <w:r w:rsidRPr="00BA356F">
        <w:rPr>
          <w:rStyle w:val="Strong"/>
        </w:rPr>
        <w:lastRenderedPageBreak/>
        <w:t>Directives</w:t>
      </w:r>
    </w:p>
    <w:p w:rsidR="003217B9" w:rsidRPr="000C0B5E" w:rsidRDefault="003217B9" w:rsidP="00D06654">
      <w:pPr>
        <w:spacing w:after="0"/>
        <w:rPr>
          <w:rFonts w:cstheme="minorHAnsi"/>
          <w:szCs w:val="24"/>
        </w:rPr>
      </w:pPr>
      <w:r w:rsidRPr="000C0B5E">
        <w:rPr>
          <w:rFonts w:cstheme="minorHAnsi"/>
          <w:szCs w:val="24"/>
        </w:rPr>
        <w:t xml:space="preserve">A </w:t>
      </w:r>
      <w:r w:rsidRPr="006E49A2">
        <w:rPr>
          <w:rFonts w:cstheme="minorHAnsi"/>
          <w:szCs w:val="24"/>
        </w:rPr>
        <w:t xml:space="preserve">Directive </w:t>
      </w:r>
      <w:r w:rsidRPr="000C0B5E">
        <w:rPr>
          <w:rFonts w:cstheme="minorHAnsi"/>
          <w:szCs w:val="24"/>
        </w:rPr>
        <w:t>must:</w:t>
      </w:r>
    </w:p>
    <w:p w:rsidR="00980F62" w:rsidRDefault="003217B9" w:rsidP="007A404E">
      <w:pPr>
        <w:pStyle w:val="ListParagraph"/>
        <w:numPr>
          <w:ilvl w:val="0"/>
          <w:numId w:val="30"/>
        </w:numPr>
        <w:spacing w:before="120" w:line="240" w:lineRule="auto"/>
        <w:ind w:left="357" w:hanging="357"/>
        <w:rPr>
          <w:rFonts w:cstheme="minorHAnsi"/>
          <w:szCs w:val="24"/>
        </w:rPr>
      </w:pPr>
      <w:r>
        <w:rPr>
          <w:rFonts w:cstheme="minorHAnsi"/>
          <w:szCs w:val="24"/>
        </w:rPr>
        <w:t>B</w:t>
      </w:r>
      <w:r w:rsidRPr="000C0B5E">
        <w:rPr>
          <w:rFonts w:cstheme="minorHAnsi"/>
          <w:szCs w:val="24"/>
        </w:rPr>
        <w:t>e given by a Health Professional acting in their scope of practice;</w:t>
      </w:r>
    </w:p>
    <w:p w:rsidR="003217B9" w:rsidRPr="000C0B5E" w:rsidRDefault="003217B9" w:rsidP="007A404E">
      <w:pPr>
        <w:pStyle w:val="ListParagraph"/>
        <w:numPr>
          <w:ilvl w:val="0"/>
          <w:numId w:val="30"/>
        </w:numPr>
        <w:spacing w:before="120" w:line="240" w:lineRule="auto"/>
        <w:ind w:left="357" w:hanging="357"/>
        <w:rPr>
          <w:rFonts w:cstheme="minorHAnsi"/>
          <w:szCs w:val="24"/>
        </w:rPr>
      </w:pPr>
      <w:r>
        <w:rPr>
          <w:rFonts w:cstheme="minorHAnsi"/>
          <w:szCs w:val="24"/>
        </w:rPr>
        <w:t>B</w:t>
      </w:r>
      <w:r w:rsidRPr="000C0B5E">
        <w:rPr>
          <w:rFonts w:cstheme="minorHAnsi"/>
          <w:szCs w:val="24"/>
        </w:rPr>
        <w:t xml:space="preserve">e given by a </w:t>
      </w:r>
      <w:r>
        <w:rPr>
          <w:rFonts w:cstheme="minorHAnsi"/>
          <w:szCs w:val="24"/>
        </w:rPr>
        <w:t>M</w:t>
      </w:r>
      <w:r w:rsidRPr="000C0B5E">
        <w:rPr>
          <w:rFonts w:cstheme="minorHAnsi"/>
          <w:szCs w:val="24"/>
        </w:rPr>
        <w:t xml:space="preserve">edical </w:t>
      </w:r>
      <w:r>
        <w:rPr>
          <w:rFonts w:cstheme="minorHAnsi"/>
          <w:szCs w:val="24"/>
        </w:rPr>
        <w:t>P</w:t>
      </w:r>
      <w:r w:rsidRPr="000C0B5E">
        <w:rPr>
          <w:rFonts w:cstheme="minorHAnsi"/>
          <w:szCs w:val="24"/>
        </w:rPr>
        <w:t xml:space="preserve">ractitioner or </w:t>
      </w:r>
      <w:r>
        <w:rPr>
          <w:rFonts w:cstheme="minorHAnsi"/>
          <w:szCs w:val="24"/>
        </w:rPr>
        <w:t>R</w:t>
      </w:r>
      <w:r w:rsidR="00E37BB2">
        <w:rPr>
          <w:rFonts w:cstheme="minorHAnsi"/>
          <w:szCs w:val="24"/>
        </w:rPr>
        <w:t>N</w:t>
      </w:r>
      <w:r w:rsidRPr="000C0B5E">
        <w:rPr>
          <w:rFonts w:cstheme="minorHAnsi"/>
          <w:szCs w:val="24"/>
        </w:rPr>
        <w:t xml:space="preserve"> or </w:t>
      </w:r>
      <w:r w:rsidR="00E37BB2">
        <w:rPr>
          <w:rFonts w:cstheme="minorHAnsi"/>
          <w:szCs w:val="24"/>
        </w:rPr>
        <w:t>AHP</w:t>
      </w:r>
      <w:r w:rsidRPr="000C0B5E">
        <w:rPr>
          <w:rFonts w:cstheme="minorHAnsi"/>
          <w:szCs w:val="24"/>
        </w:rPr>
        <w:t>, if specifically required by the item;</w:t>
      </w:r>
    </w:p>
    <w:p w:rsidR="00980F62" w:rsidRDefault="003217B9" w:rsidP="007A404E">
      <w:pPr>
        <w:pStyle w:val="ListParagraph"/>
        <w:numPr>
          <w:ilvl w:val="0"/>
          <w:numId w:val="30"/>
        </w:numPr>
        <w:spacing w:before="120" w:line="240" w:lineRule="auto"/>
        <w:ind w:left="357" w:hanging="357"/>
        <w:rPr>
          <w:rFonts w:cstheme="minorHAnsi"/>
          <w:szCs w:val="24"/>
        </w:rPr>
      </w:pPr>
      <w:r>
        <w:rPr>
          <w:rFonts w:cstheme="minorHAnsi"/>
          <w:szCs w:val="24"/>
        </w:rPr>
        <w:t>D</w:t>
      </w:r>
      <w:r w:rsidRPr="000C0B5E">
        <w:rPr>
          <w:rFonts w:cstheme="minorHAnsi"/>
          <w:szCs w:val="24"/>
        </w:rPr>
        <w:t>irect the manner in which the care is to be provided, the qualifications of any person involved in providing the care, and the frequency of the treatment; and</w:t>
      </w:r>
    </w:p>
    <w:p w:rsidR="003217B9" w:rsidRPr="000C0B5E" w:rsidRDefault="003217B9" w:rsidP="007A404E">
      <w:pPr>
        <w:pStyle w:val="ListParagraph"/>
        <w:numPr>
          <w:ilvl w:val="0"/>
          <w:numId w:val="30"/>
        </w:numPr>
        <w:spacing w:before="120" w:line="240" w:lineRule="auto"/>
        <w:ind w:left="357" w:hanging="357"/>
        <w:rPr>
          <w:rFonts w:cstheme="minorHAnsi"/>
          <w:szCs w:val="24"/>
        </w:rPr>
      </w:pPr>
      <w:r>
        <w:rPr>
          <w:rFonts w:cstheme="minorHAnsi"/>
          <w:szCs w:val="24"/>
        </w:rPr>
        <w:t>I</w:t>
      </w:r>
      <w:r w:rsidRPr="000C0B5E">
        <w:rPr>
          <w:rFonts w:cstheme="minorHAnsi"/>
          <w:szCs w:val="24"/>
        </w:rPr>
        <w:t>dentify the associated management and /or treatment plan.</w:t>
      </w:r>
    </w:p>
    <w:p w:rsidR="00980F62" w:rsidRDefault="003217B9" w:rsidP="009909C9">
      <w:pPr>
        <w:spacing w:before="120" w:after="0"/>
        <w:rPr>
          <w:rStyle w:val="Strong"/>
        </w:rPr>
      </w:pPr>
      <w:r w:rsidRPr="009909C9">
        <w:rPr>
          <w:rStyle w:val="Strong"/>
        </w:rPr>
        <w:t>Record of Treatment</w:t>
      </w:r>
    </w:p>
    <w:p w:rsidR="003217B9" w:rsidRPr="000C0B5E" w:rsidRDefault="003217B9" w:rsidP="00D06654">
      <w:pPr>
        <w:rPr>
          <w:rFonts w:cstheme="minorHAnsi"/>
          <w:szCs w:val="24"/>
        </w:rPr>
      </w:pPr>
      <w:r w:rsidRPr="000C0B5E">
        <w:rPr>
          <w:rFonts w:cstheme="minorHAnsi"/>
          <w:szCs w:val="24"/>
        </w:rPr>
        <w:t xml:space="preserve">The Record of Treatment must be kept in accordance with the </w:t>
      </w:r>
      <w:r>
        <w:rPr>
          <w:rFonts w:cstheme="minorHAnsi"/>
          <w:szCs w:val="24"/>
        </w:rPr>
        <w:t>D</w:t>
      </w:r>
      <w:r w:rsidRPr="000C0B5E">
        <w:rPr>
          <w:rFonts w:cstheme="minorHAnsi"/>
          <w:szCs w:val="24"/>
        </w:rPr>
        <w:t>irective as long as the treatment is being provided. An Australian Government Authorised Officer may request to see a record of treatment.</w:t>
      </w:r>
    </w:p>
    <w:p w:rsidR="00980F62" w:rsidRDefault="003217B9" w:rsidP="00D06654">
      <w:pPr>
        <w:rPr>
          <w:rFonts w:cstheme="minorHAnsi"/>
          <w:szCs w:val="24"/>
        </w:rPr>
      </w:pPr>
      <w:r w:rsidRPr="000C0B5E">
        <w:rPr>
          <w:rFonts w:cstheme="minorHAnsi"/>
          <w:szCs w:val="24"/>
        </w:rPr>
        <w:t xml:space="preserve">The </w:t>
      </w:r>
      <w:r w:rsidR="008A1198">
        <w:rPr>
          <w:rFonts w:cstheme="minorHAnsi"/>
          <w:szCs w:val="24"/>
        </w:rPr>
        <w:t>R-</w:t>
      </w:r>
      <w:r w:rsidRPr="000C0B5E">
        <w:rPr>
          <w:rFonts w:cstheme="minorHAnsi"/>
          <w:szCs w:val="24"/>
        </w:rPr>
        <w:t>ACFI Answer Appraisal Pack must include copies of treatment records post the submission date, for a reasonable period, to support the claim</w:t>
      </w:r>
      <w:r>
        <w:rPr>
          <w:rFonts w:cstheme="minorHAnsi"/>
          <w:szCs w:val="24"/>
        </w:rPr>
        <w:t xml:space="preserve"> (r</w:t>
      </w:r>
      <w:r w:rsidRPr="000C0B5E">
        <w:rPr>
          <w:rFonts w:cstheme="minorHAnsi"/>
          <w:szCs w:val="24"/>
        </w:rPr>
        <w:t xml:space="preserve">efer </w:t>
      </w:r>
      <w:r w:rsidR="008A1198">
        <w:rPr>
          <w:rFonts w:cstheme="minorHAnsi"/>
          <w:szCs w:val="24"/>
        </w:rPr>
        <w:t xml:space="preserve">ACFI User Guide </w:t>
      </w:r>
      <w:r w:rsidRPr="000C0B5E">
        <w:rPr>
          <w:rFonts w:cstheme="minorHAnsi"/>
          <w:szCs w:val="24"/>
        </w:rPr>
        <w:t xml:space="preserve">page 8, Record Keeping, the </w:t>
      </w:r>
      <w:r w:rsidRPr="000C0B5E">
        <w:rPr>
          <w:rFonts w:cstheme="minorHAnsi"/>
          <w:i/>
          <w:iCs/>
          <w:szCs w:val="24"/>
        </w:rPr>
        <w:t>‘ACFI appraisal pack must include all information needed by the department to verify a provider’s ACFI claim’</w:t>
      </w:r>
      <w:r>
        <w:rPr>
          <w:rFonts w:cstheme="minorHAnsi"/>
          <w:i/>
          <w:iCs/>
          <w:szCs w:val="24"/>
        </w:rPr>
        <w:t>)</w:t>
      </w:r>
      <w:r w:rsidRPr="000C0B5E">
        <w:rPr>
          <w:rFonts w:cstheme="minorHAnsi"/>
          <w:szCs w:val="24"/>
        </w:rPr>
        <w:t>.</w:t>
      </w:r>
    </w:p>
    <w:p w:rsidR="003217B9" w:rsidRPr="00BA356F" w:rsidRDefault="003217B9" w:rsidP="009909C9">
      <w:pPr>
        <w:spacing w:before="120" w:after="0"/>
        <w:rPr>
          <w:rStyle w:val="Strong"/>
        </w:rPr>
      </w:pPr>
      <w:r w:rsidRPr="00BA356F">
        <w:rPr>
          <w:rStyle w:val="Strong"/>
        </w:rPr>
        <w:t>Assessments</w:t>
      </w:r>
    </w:p>
    <w:p w:rsidR="003217B9" w:rsidRPr="00DA426F" w:rsidRDefault="003217B9" w:rsidP="00D06654">
      <w:pPr>
        <w:rPr>
          <w:rFonts w:cstheme="minorHAnsi"/>
          <w:szCs w:val="24"/>
        </w:rPr>
      </w:pPr>
      <w:r w:rsidRPr="00DA426F">
        <w:rPr>
          <w:rFonts w:cstheme="minorHAnsi"/>
          <w:szCs w:val="24"/>
        </w:rPr>
        <w:t>Assessments are requir</w:t>
      </w:r>
      <w:r>
        <w:rPr>
          <w:rFonts w:cstheme="minorHAnsi"/>
          <w:szCs w:val="24"/>
        </w:rPr>
        <w:t>ed for skin integrity, special RN feeding, depression, chronic wound management and palliative care. The recommended assessments for depression are:</w:t>
      </w:r>
    </w:p>
    <w:p w:rsidR="003217B9" w:rsidRPr="00DA426F" w:rsidRDefault="003217B9" w:rsidP="00857699">
      <w:pPr>
        <w:pStyle w:val="ListParagraph"/>
        <w:numPr>
          <w:ilvl w:val="0"/>
          <w:numId w:val="27"/>
        </w:numPr>
        <w:ind w:left="425" w:hanging="425"/>
        <w:rPr>
          <w:rFonts w:cstheme="minorHAnsi"/>
          <w:szCs w:val="24"/>
        </w:rPr>
      </w:pPr>
      <w:r w:rsidRPr="00DA426F">
        <w:rPr>
          <w:rFonts w:cstheme="minorHAnsi"/>
          <w:szCs w:val="24"/>
        </w:rPr>
        <w:t>Revised CSD</w:t>
      </w:r>
      <w:r>
        <w:rPr>
          <w:rFonts w:cstheme="minorHAnsi"/>
          <w:szCs w:val="24"/>
        </w:rPr>
        <w:t xml:space="preserve"> in Dementia</w:t>
      </w:r>
    </w:p>
    <w:p w:rsidR="003217B9" w:rsidRPr="00DA426F" w:rsidRDefault="003217B9" w:rsidP="00857699">
      <w:pPr>
        <w:pStyle w:val="ListParagraph"/>
        <w:numPr>
          <w:ilvl w:val="0"/>
          <w:numId w:val="27"/>
        </w:numPr>
        <w:ind w:left="425" w:hanging="425"/>
        <w:rPr>
          <w:rFonts w:cstheme="minorHAnsi"/>
          <w:szCs w:val="24"/>
        </w:rPr>
      </w:pPr>
      <w:r w:rsidRPr="00DA426F">
        <w:rPr>
          <w:rFonts w:cstheme="minorHAnsi"/>
          <w:szCs w:val="24"/>
        </w:rPr>
        <w:t>GDS</w:t>
      </w:r>
    </w:p>
    <w:p w:rsidR="003217B9" w:rsidRPr="00DA426F" w:rsidRDefault="003217B9" w:rsidP="00857699">
      <w:pPr>
        <w:pStyle w:val="ListParagraph"/>
        <w:numPr>
          <w:ilvl w:val="0"/>
          <w:numId w:val="27"/>
        </w:numPr>
        <w:ind w:left="425" w:hanging="425"/>
        <w:rPr>
          <w:rFonts w:cstheme="minorHAnsi"/>
          <w:szCs w:val="24"/>
        </w:rPr>
      </w:pPr>
      <w:r w:rsidRPr="00DA426F">
        <w:rPr>
          <w:rFonts w:cstheme="minorHAnsi"/>
          <w:szCs w:val="24"/>
        </w:rPr>
        <w:t>K-10</w:t>
      </w:r>
    </w:p>
    <w:p w:rsidR="003217B9" w:rsidRPr="00DA426F" w:rsidRDefault="003217B9" w:rsidP="00D06654">
      <w:pPr>
        <w:rPr>
          <w:rFonts w:cstheme="minorHAnsi"/>
          <w:szCs w:val="24"/>
        </w:rPr>
      </w:pPr>
      <w:r w:rsidRPr="00DA426F">
        <w:rPr>
          <w:rFonts w:cstheme="minorHAnsi"/>
          <w:szCs w:val="24"/>
        </w:rPr>
        <w:t>The CSD is found in the ACFI Assessment Pack. The GDS and K-10 are supplementary tools used by the ACATs in the NSAF.</w:t>
      </w:r>
    </w:p>
    <w:p w:rsidR="003217B9" w:rsidRPr="00DA426F" w:rsidRDefault="003217B9" w:rsidP="00857699">
      <w:pPr>
        <w:rPr>
          <w:lang w:eastAsia="en-AU"/>
        </w:rPr>
      </w:pPr>
      <w:r w:rsidRPr="00DA426F">
        <w:rPr>
          <w:lang w:eastAsia="en-AU"/>
        </w:rPr>
        <w:t xml:space="preserve">It is recommended </w:t>
      </w:r>
      <w:r>
        <w:rPr>
          <w:lang w:eastAsia="en-AU"/>
        </w:rPr>
        <w:t xml:space="preserve">that for an </w:t>
      </w:r>
      <w:r w:rsidRPr="006071CB">
        <w:rPr>
          <w:lang w:eastAsia="en-AU"/>
        </w:rPr>
        <w:t xml:space="preserve">assessment </w:t>
      </w:r>
      <w:r>
        <w:rPr>
          <w:lang w:eastAsia="en-AU"/>
        </w:rPr>
        <w:t xml:space="preserve">to </w:t>
      </w:r>
      <w:r w:rsidRPr="006071CB">
        <w:rPr>
          <w:lang w:eastAsia="en-AU"/>
        </w:rPr>
        <w:t xml:space="preserve">be </w:t>
      </w:r>
      <w:r>
        <w:rPr>
          <w:lang w:eastAsia="en-AU"/>
        </w:rPr>
        <w:t xml:space="preserve">current it must have been </w:t>
      </w:r>
      <w:r w:rsidRPr="006071CB">
        <w:rPr>
          <w:lang w:eastAsia="en-AU"/>
        </w:rPr>
        <w:t xml:space="preserve">completed within the past 3 months </w:t>
      </w:r>
      <w:r>
        <w:rPr>
          <w:lang w:eastAsia="en-AU"/>
        </w:rPr>
        <w:t>and</w:t>
      </w:r>
      <w:r w:rsidRPr="006071CB">
        <w:rPr>
          <w:lang w:eastAsia="en-AU"/>
        </w:rPr>
        <w:t xml:space="preserve"> c</w:t>
      </w:r>
      <w:r>
        <w:rPr>
          <w:lang w:eastAsia="en-AU"/>
        </w:rPr>
        <w:t>ontinue</w:t>
      </w:r>
      <w:r w:rsidRPr="006071CB">
        <w:rPr>
          <w:lang w:eastAsia="en-AU"/>
        </w:rPr>
        <w:t xml:space="preserve"> to reflect the </w:t>
      </w:r>
      <w:r>
        <w:rPr>
          <w:lang w:eastAsia="en-AU"/>
        </w:rPr>
        <w:t>reside</w:t>
      </w:r>
      <w:r w:rsidRPr="006071CB">
        <w:rPr>
          <w:lang w:eastAsia="en-AU"/>
        </w:rPr>
        <w:t xml:space="preserve">nt’s </w:t>
      </w:r>
      <w:r>
        <w:rPr>
          <w:lang w:eastAsia="en-AU"/>
        </w:rPr>
        <w:t xml:space="preserve">complex health care </w:t>
      </w:r>
      <w:r w:rsidRPr="006071CB">
        <w:rPr>
          <w:lang w:eastAsia="en-AU"/>
        </w:rPr>
        <w:t xml:space="preserve">needs at the time of appraisal. </w:t>
      </w:r>
      <w:r w:rsidRPr="00DA426F">
        <w:rPr>
          <w:lang w:eastAsia="en-AU"/>
        </w:rPr>
        <w:t>This would require the resident’s complex health care needs to be reviewed for any recent changes and the assessment/directive to be signed off (indicating there are no changes) during the appraisal period.</w:t>
      </w:r>
    </w:p>
    <w:p w:rsidR="003217B9" w:rsidRPr="002C5942" w:rsidRDefault="003217B9" w:rsidP="009909C9">
      <w:pPr>
        <w:spacing w:after="0"/>
        <w:rPr>
          <w:rFonts w:cstheme="minorHAnsi"/>
          <w:szCs w:val="24"/>
          <w:lang w:eastAsia="ja-JP"/>
        </w:rPr>
      </w:pPr>
      <w:r w:rsidRPr="002C5942">
        <w:rPr>
          <w:rFonts w:cstheme="minorHAnsi"/>
          <w:szCs w:val="24"/>
          <w:lang w:eastAsia="ja-JP"/>
        </w:rPr>
        <w:t>‘</w:t>
      </w:r>
      <w:r w:rsidRPr="002C5942">
        <w:rPr>
          <w:rFonts w:cstheme="minorHAnsi"/>
          <w:b/>
          <w:bCs/>
          <w:szCs w:val="24"/>
          <w:lang w:eastAsia="ja-JP"/>
        </w:rPr>
        <w:t>Health Professional’</w:t>
      </w:r>
      <w:r w:rsidRPr="002C5942">
        <w:rPr>
          <w:rFonts w:cstheme="minorHAnsi"/>
          <w:szCs w:val="24"/>
          <w:lang w:eastAsia="ja-JP"/>
        </w:rPr>
        <w:t xml:space="preserve"> m</w:t>
      </w:r>
      <w:r>
        <w:rPr>
          <w:rFonts w:cstheme="minorHAnsi"/>
          <w:szCs w:val="24"/>
          <w:lang w:eastAsia="ja-JP"/>
        </w:rPr>
        <w:t xml:space="preserve">eans a practitioner listed in A or B </w:t>
      </w:r>
      <w:r w:rsidRPr="002C5942">
        <w:rPr>
          <w:rFonts w:cstheme="minorHAnsi"/>
          <w:szCs w:val="24"/>
          <w:lang w:eastAsia="ja-JP"/>
        </w:rPr>
        <w:t>below:</w:t>
      </w:r>
    </w:p>
    <w:p w:rsidR="003217B9" w:rsidRPr="00BA356F" w:rsidRDefault="003217B9" w:rsidP="009909C9">
      <w:pPr>
        <w:spacing w:before="120" w:after="0"/>
        <w:rPr>
          <w:rStyle w:val="Strong"/>
        </w:rPr>
      </w:pPr>
      <w:r w:rsidRPr="00BA356F">
        <w:rPr>
          <w:rStyle w:val="Strong"/>
        </w:rPr>
        <w:t>List A</w:t>
      </w:r>
    </w:p>
    <w:p w:rsidR="003217B9" w:rsidRPr="00F637A2" w:rsidRDefault="003217B9" w:rsidP="00F02312">
      <w:pPr>
        <w:pStyle w:val="ListParagraph"/>
        <w:numPr>
          <w:ilvl w:val="0"/>
          <w:numId w:val="145"/>
        </w:numPr>
        <w:ind w:left="425" w:hanging="425"/>
        <w:rPr>
          <w:rFonts w:cstheme="minorHAnsi"/>
          <w:bCs/>
          <w:szCs w:val="24"/>
        </w:rPr>
      </w:pPr>
      <w:r w:rsidRPr="00F637A2">
        <w:rPr>
          <w:rFonts w:cstheme="minorHAnsi"/>
          <w:bCs/>
          <w:szCs w:val="24"/>
        </w:rPr>
        <w:t>Nurse practitioner</w:t>
      </w:r>
      <w:r w:rsidRPr="00F637A2">
        <w:rPr>
          <w:rFonts w:cstheme="minorHAnsi"/>
          <w:bCs/>
          <w:szCs w:val="24"/>
          <w:lang w:eastAsia="ja-JP"/>
        </w:rPr>
        <w:t>;</w:t>
      </w:r>
    </w:p>
    <w:p w:rsidR="003217B9" w:rsidRPr="00F637A2" w:rsidRDefault="003217B9" w:rsidP="00F02312">
      <w:pPr>
        <w:pStyle w:val="ListParagraph"/>
        <w:numPr>
          <w:ilvl w:val="0"/>
          <w:numId w:val="145"/>
        </w:numPr>
        <w:ind w:left="425" w:hanging="425"/>
        <w:rPr>
          <w:rFonts w:cstheme="minorHAnsi"/>
          <w:bCs/>
          <w:szCs w:val="24"/>
        </w:rPr>
      </w:pPr>
      <w:r w:rsidRPr="00F637A2">
        <w:rPr>
          <w:rFonts w:cstheme="minorHAnsi"/>
          <w:bCs/>
          <w:szCs w:val="24"/>
        </w:rPr>
        <w:t>Registered nurse</w:t>
      </w:r>
      <w:r w:rsidRPr="00F637A2">
        <w:rPr>
          <w:rFonts w:cstheme="minorHAnsi"/>
          <w:bCs/>
          <w:szCs w:val="24"/>
          <w:lang w:eastAsia="ja-JP"/>
        </w:rPr>
        <w:t>;</w:t>
      </w:r>
    </w:p>
    <w:p w:rsidR="003217B9" w:rsidRDefault="003217B9" w:rsidP="00F02312">
      <w:pPr>
        <w:pStyle w:val="ListParagraph"/>
        <w:numPr>
          <w:ilvl w:val="0"/>
          <w:numId w:val="145"/>
        </w:numPr>
        <w:ind w:left="425" w:hanging="425"/>
        <w:rPr>
          <w:rFonts w:cstheme="minorHAnsi"/>
          <w:szCs w:val="24"/>
        </w:rPr>
      </w:pPr>
      <w:r w:rsidRPr="00F637A2">
        <w:rPr>
          <w:rFonts w:cstheme="minorHAnsi"/>
          <w:bCs/>
          <w:szCs w:val="24"/>
        </w:rPr>
        <w:t>Medical practitioner</w:t>
      </w:r>
      <w:r w:rsidRPr="00F637A2">
        <w:rPr>
          <w:rFonts w:cstheme="minorHAnsi"/>
          <w:szCs w:val="24"/>
          <w:lang w:eastAsia="ja-JP"/>
        </w:rPr>
        <w:t>;</w:t>
      </w:r>
      <w:r w:rsidR="009B782E">
        <w:rPr>
          <w:rFonts w:cstheme="minorHAnsi"/>
          <w:szCs w:val="24"/>
          <w:lang w:eastAsia="ja-JP"/>
        </w:rPr>
        <w:t xml:space="preserve"> or</w:t>
      </w:r>
    </w:p>
    <w:p w:rsidR="003217B9" w:rsidRPr="004071BE" w:rsidRDefault="003217B9" w:rsidP="00F02312">
      <w:pPr>
        <w:pStyle w:val="ListParagraph"/>
        <w:numPr>
          <w:ilvl w:val="0"/>
          <w:numId w:val="145"/>
        </w:numPr>
        <w:ind w:left="425" w:hanging="425"/>
        <w:rPr>
          <w:rFonts w:cstheme="minorHAnsi"/>
          <w:szCs w:val="24"/>
        </w:rPr>
      </w:pPr>
      <w:r>
        <w:rPr>
          <w:rFonts w:cstheme="minorHAnsi"/>
          <w:bCs/>
          <w:szCs w:val="24"/>
          <w:lang w:eastAsia="ja-JP"/>
        </w:rPr>
        <w:t>A</w:t>
      </w:r>
      <w:r w:rsidRPr="004071BE">
        <w:rPr>
          <w:rFonts w:cstheme="minorHAnsi"/>
          <w:bCs/>
          <w:szCs w:val="24"/>
          <w:lang w:eastAsia="ja-JP"/>
        </w:rPr>
        <w:t>n a</w:t>
      </w:r>
      <w:r w:rsidRPr="004071BE">
        <w:rPr>
          <w:rFonts w:cstheme="minorHAnsi"/>
          <w:bCs/>
          <w:szCs w:val="24"/>
        </w:rPr>
        <w:t>llied health professional</w:t>
      </w:r>
      <w:r w:rsidRPr="004071BE">
        <w:rPr>
          <w:rFonts w:cstheme="minorHAnsi"/>
          <w:bCs/>
          <w:szCs w:val="24"/>
          <w:lang w:eastAsia="ja-JP"/>
        </w:rPr>
        <w:t xml:space="preserve"> who is an</w:t>
      </w:r>
      <w:r w:rsidRPr="004071BE">
        <w:rPr>
          <w:rFonts w:cstheme="minorHAnsi"/>
          <w:szCs w:val="24"/>
        </w:rPr>
        <w:t xml:space="preserve">: </w:t>
      </w:r>
      <w:r>
        <w:rPr>
          <w:rFonts w:cstheme="minorHAnsi"/>
          <w:szCs w:val="24"/>
        </w:rPr>
        <w:t>Occupational T</w:t>
      </w:r>
      <w:r w:rsidRPr="004071BE">
        <w:rPr>
          <w:rFonts w:cstheme="minorHAnsi"/>
          <w:szCs w:val="24"/>
        </w:rPr>
        <w:t>herapist</w:t>
      </w:r>
      <w:r w:rsidRPr="004071BE">
        <w:rPr>
          <w:rFonts w:cstheme="minorHAnsi"/>
          <w:szCs w:val="24"/>
          <w:lang w:eastAsia="ja-JP"/>
        </w:rPr>
        <w:t xml:space="preserve">; </w:t>
      </w:r>
      <w:r w:rsidRPr="004071BE">
        <w:rPr>
          <w:rFonts w:cstheme="minorHAnsi"/>
          <w:szCs w:val="24"/>
        </w:rPr>
        <w:t>Physiotherapist</w:t>
      </w:r>
      <w:r w:rsidRPr="004071BE">
        <w:rPr>
          <w:rFonts w:cstheme="minorHAnsi"/>
          <w:szCs w:val="24"/>
          <w:lang w:eastAsia="ja-JP"/>
        </w:rPr>
        <w:t xml:space="preserve">; </w:t>
      </w:r>
      <w:r w:rsidRPr="004071BE">
        <w:rPr>
          <w:rFonts w:cstheme="minorHAnsi"/>
          <w:szCs w:val="24"/>
        </w:rPr>
        <w:t>Podiatrist</w:t>
      </w:r>
      <w:r w:rsidRPr="004071BE">
        <w:rPr>
          <w:rFonts w:cstheme="minorHAnsi"/>
          <w:szCs w:val="24"/>
          <w:lang w:eastAsia="ja-JP"/>
        </w:rPr>
        <w:t xml:space="preserve">; </w:t>
      </w:r>
      <w:r w:rsidRPr="004071BE">
        <w:rPr>
          <w:rFonts w:cstheme="minorHAnsi"/>
          <w:szCs w:val="24"/>
        </w:rPr>
        <w:t>Chiropractor</w:t>
      </w:r>
      <w:r w:rsidRPr="004071BE">
        <w:rPr>
          <w:rFonts w:cstheme="minorHAnsi"/>
          <w:szCs w:val="24"/>
          <w:lang w:eastAsia="ja-JP"/>
        </w:rPr>
        <w:t xml:space="preserve">; </w:t>
      </w:r>
      <w:r w:rsidRPr="004071BE">
        <w:rPr>
          <w:rFonts w:cstheme="minorHAnsi"/>
          <w:szCs w:val="24"/>
        </w:rPr>
        <w:t>Osteopath</w:t>
      </w:r>
      <w:r w:rsidRPr="004071BE">
        <w:rPr>
          <w:rFonts w:cstheme="minorHAnsi"/>
          <w:szCs w:val="24"/>
          <w:lang w:eastAsia="ja-JP"/>
        </w:rPr>
        <w:t xml:space="preserve"> and has </w:t>
      </w:r>
      <w:r w:rsidRPr="004071BE">
        <w:rPr>
          <w:rFonts w:cstheme="minorHAnsi"/>
          <w:szCs w:val="24"/>
        </w:rPr>
        <w:t xml:space="preserve">a current certificate of registration </w:t>
      </w:r>
      <w:r w:rsidRPr="004071BE">
        <w:rPr>
          <w:rFonts w:cstheme="minorHAnsi"/>
          <w:szCs w:val="24"/>
          <w:lang w:eastAsia="ja-JP"/>
        </w:rPr>
        <w:t xml:space="preserve">issued </w:t>
      </w:r>
      <w:r w:rsidRPr="004071BE">
        <w:rPr>
          <w:rFonts w:cstheme="minorHAnsi"/>
          <w:szCs w:val="24"/>
        </w:rPr>
        <w:t>by the National Board</w:t>
      </w:r>
      <w:r w:rsidRPr="004071BE">
        <w:rPr>
          <w:rFonts w:cstheme="minorHAnsi"/>
          <w:szCs w:val="24"/>
          <w:lang w:eastAsia="ja-JP"/>
        </w:rPr>
        <w:t xml:space="preserve"> for that person’s profession (see the </w:t>
      </w:r>
      <w:r w:rsidRPr="004071BE">
        <w:rPr>
          <w:rFonts w:cstheme="minorHAnsi"/>
          <w:i/>
          <w:iCs/>
          <w:szCs w:val="24"/>
        </w:rPr>
        <w:t>Health Practitioner National Regulation Law 2009</w:t>
      </w:r>
      <w:r w:rsidRPr="004071BE">
        <w:rPr>
          <w:rFonts w:cstheme="minorHAnsi"/>
          <w:szCs w:val="24"/>
        </w:rPr>
        <w:t xml:space="preserve"> (</w:t>
      </w:r>
      <w:r w:rsidRPr="004071BE">
        <w:rPr>
          <w:rFonts w:cstheme="minorHAnsi"/>
          <w:szCs w:val="24"/>
          <w:lang w:eastAsia="ja-JP"/>
        </w:rPr>
        <w:t xml:space="preserve">the </w:t>
      </w:r>
      <w:r w:rsidRPr="004071BE">
        <w:rPr>
          <w:rFonts w:cstheme="minorHAnsi"/>
          <w:szCs w:val="24"/>
        </w:rPr>
        <w:t>National Law)</w:t>
      </w:r>
      <w:r w:rsidR="00A36DC3">
        <w:rPr>
          <w:rFonts w:cstheme="minorHAnsi"/>
          <w:szCs w:val="24"/>
          <w:lang w:eastAsia="ja-JP"/>
        </w:rPr>
        <w:t>.</w:t>
      </w:r>
    </w:p>
    <w:p w:rsidR="009909C9" w:rsidRDefault="009909C9" w:rsidP="009909C9">
      <w:pPr>
        <w:rPr>
          <w:rStyle w:val="Strong"/>
        </w:rPr>
      </w:pPr>
      <w:r>
        <w:rPr>
          <w:rStyle w:val="Strong"/>
        </w:rPr>
        <w:br w:type="page"/>
      </w:r>
    </w:p>
    <w:p w:rsidR="003217B9" w:rsidRPr="00BA356F" w:rsidRDefault="003217B9" w:rsidP="009909C9">
      <w:pPr>
        <w:spacing w:before="120" w:after="0"/>
        <w:rPr>
          <w:rStyle w:val="Strong"/>
        </w:rPr>
      </w:pPr>
      <w:r w:rsidRPr="00BA356F">
        <w:rPr>
          <w:rStyle w:val="Strong"/>
        </w:rPr>
        <w:lastRenderedPageBreak/>
        <w:t>List B</w:t>
      </w:r>
    </w:p>
    <w:p w:rsidR="003217B9" w:rsidRDefault="003217B9" w:rsidP="003A55D6">
      <w:pPr>
        <w:rPr>
          <w:rFonts w:cstheme="minorHAnsi"/>
          <w:szCs w:val="24"/>
          <w:lang w:eastAsia="ja-JP"/>
        </w:rPr>
      </w:pPr>
      <w:bookmarkStart w:id="449" w:name="_Toc485932300"/>
      <w:bookmarkStart w:id="450" w:name="_Toc486116047"/>
      <w:r w:rsidRPr="00E97B02">
        <w:t>An allied health professional who is a Dietitian, Speech Pathologist or Exercise</w:t>
      </w:r>
      <w:r>
        <w:t xml:space="preserve"> Physiologist</w:t>
      </w:r>
      <w:r w:rsidRPr="002C5942">
        <w:rPr>
          <w:lang w:eastAsia="ja-JP"/>
        </w:rPr>
        <w:t xml:space="preserve"> and has current </w:t>
      </w:r>
      <w:r w:rsidRPr="002C5942">
        <w:t>accredit</w:t>
      </w:r>
      <w:r w:rsidRPr="002C5942">
        <w:rPr>
          <w:lang w:eastAsia="ja-JP"/>
        </w:rPr>
        <w:t>ation</w:t>
      </w:r>
      <w:r w:rsidRPr="002C5942">
        <w:t xml:space="preserve"> with the relevant self-regulated professional body.</w:t>
      </w:r>
      <w:bookmarkEnd w:id="449"/>
      <w:bookmarkEnd w:id="450"/>
    </w:p>
    <w:p w:rsidR="00E77C0F" w:rsidRDefault="0046234D" w:rsidP="00E77C0F">
      <w:pPr>
        <w:pStyle w:val="Caption"/>
        <w:keepNext/>
      </w:pPr>
      <w:bookmarkStart w:id="451" w:name="_Toc495416347"/>
      <w:bookmarkStart w:id="452" w:name="Tab0606"/>
      <w:r>
        <w:t>Table 6.</w:t>
      </w:r>
      <w:r w:rsidR="009A3F5A">
        <w:fldChar w:fldCharType="begin"/>
      </w:r>
      <w:r w:rsidR="009A3F5A">
        <w:instrText xml:space="preserve"> SEQ Table_6. \* ARABIC </w:instrText>
      </w:r>
      <w:r w:rsidR="009A3F5A">
        <w:fldChar w:fldCharType="separate"/>
      </w:r>
      <w:r w:rsidR="00856E49">
        <w:rPr>
          <w:noProof/>
        </w:rPr>
        <w:t>6</w:t>
      </w:r>
      <w:r w:rsidR="009A3F5A">
        <w:rPr>
          <w:noProof/>
        </w:rPr>
        <w:fldChar w:fldCharType="end"/>
      </w:r>
      <w:r>
        <w:t xml:space="preserve">: </w:t>
      </w:r>
      <w:r w:rsidRPr="0046234D">
        <w:t>Checklist of R-ACFI CHC procedures to be completed</w:t>
      </w:r>
      <w:bookmarkEnd w:id="451"/>
    </w:p>
    <w:tbl>
      <w:tblPr>
        <w:tblStyle w:val="TableGrid"/>
        <w:tblW w:w="9356" w:type="dxa"/>
        <w:tblInd w:w="85" w:type="dxa"/>
        <w:tblCellMar>
          <w:top w:w="85" w:type="dxa"/>
          <w:left w:w="85" w:type="dxa"/>
          <w:right w:w="85" w:type="dxa"/>
        </w:tblCellMar>
        <w:tblLook w:val="04A0" w:firstRow="1" w:lastRow="0" w:firstColumn="1" w:lastColumn="0" w:noHBand="0" w:noVBand="1"/>
        <w:tblDescription w:val="Table 6.6 is an example of the procedures checklist for complex health care (CHC) under the revised aged care funding instrument (R-ACFI). This table contains 4 heading columns:&#10;1. R-ACFI Score number&#10;2. List of CHC procedures for residents that can be claimed under the R-ACFI&#10;3. Evidence requirements for the procedures&#10;4. Tick box for if a procedure has been undertaken for a resident.&#10;This table is to be read left to right, top to bottom, noting that tick boxes are not functional."/>
      </w:tblPr>
      <w:tblGrid>
        <w:gridCol w:w="850"/>
        <w:gridCol w:w="4112"/>
        <w:gridCol w:w="3685"/>
        <w:gridCol w:w="709"/>
      </w:tblGrid>
      <w:tr w:rsidR="003217B9" w:rsidRPr="001069D4" w:rsidTr="001069D4">
        <w:trPr>
          <w:cantSplit/>
          <w:trHeight w:val="217"/>
          <w:tblHeader/>
        </w:trPr>
        <w:tc>
          <w:tcPr>
            <w:tcW w:w="850" w:type="dxa"/>
            <w:shd w:val="clear" w:color="auto" w:fill="D9E2F3" w:themeFill="accent1" w:themeFillTint="33"/>
          </w:tcPr>
          <w:p w:rsidR="003217B9" w:rsidRPr="001069D4" w:rsidRDefault="003217B9" w:rsidP="00374C2B">
            <w:pPr>
              <w:pStyle w:val="Tableheader"/>
              <w:jc w:val="center"/>
              <w:rPr>
                <w:rFonts w:asciiTheme="minorHAnsi" w:hAnsiTheme="minorHAnsi" w:cstheme="minorHAnsi"/>
                <w:szCs w:val="20"/>
              </w:rPr>
            </w:pPr>
            <w:bookmarkStart w:id="453" w:name="_Hlk486360073"/>
            <w:bookmarkEnd w:id="452"/>
            <w:r w:rsidRPr="001069D4">
              <w:rPr>
                <w:rFonts w:asciiTheme="minorHAnsi" w:hAnsiTheme="minorHAnsi" w:cstheme="minorHAnsi"/>
                <w:szCs w:val="20"/>
              </w:rPr>
              <w:t>R-ACFI</w:t>
            </w:r>
            <w:r w:rsidR="00374C2B" w:rsidRPr="001069D4">
              <w:rPr>
                <w:rFonts w:asciiTheme="minorHAnsi" w:hAnsiTheme="minorHAnsi" w:cstheme="minorHAnsi"/>
                <w:szCs w:val="20"/>
              </w:rPr>
              <w:t xml:space="preserve"> </w:t>
            </w:r>
            <w:r w:rsidRPr="001069D4">
              <w:rPr>
                <w:rFonts w:asciiTheme="minorHAnsi" w:hAnsiTheme="minorHAnsi" w:cstheme="minorHAnsi"/>
                <w:szCs w:val="20"/>
              </w:rPr>
              <w:t>Score</w:t>
            </w:r>
          </w:p>
        </w:tc>
        <w:tc>
          <w:tcPr>
            <w:tcW w:w="4112" w:type="dxa"/>
            <w:shd w:val="clear" w:color="auto" w:fill="D9E2F3" w:themeFill="accent1" w:themeFillTint="33"/>
          </w:tcPr>
          <w:p w:rsidR="003217B9" w:rsidRPr="001069D4" w:rsidRDefault="003217B9" w:rsidP="00EA2FBA">
            <w:pPr>
              <w:pStyle w:val="Tableheader"/>
              <w:jc w:val="left"/>
              <w:rPr>
                <w:rFonts w:asciiTheme="minorHAnsi" w:hAnsiTheme="minorHAnsi" w:cstheme="minorHAnsi"/>
                <w:szCs w:val="20"/>
              </w:rPr>
            </w:pPr>
            <w:r w:rsidRPr="001069D4">
              <w:rPr>
                <w:rFonts w:asciiTheme="minorHAnsi" w:hAnsiTheme="minorHAnsi" w:cstheme="minorHAnsi"/>
                <w:szCs w:val="20"/>
              </w:rPr>
              <w:t>C</w:t>
            </w:r>
            <w:r w:rsidR="00EA2FBA" w:rsidRPr="001069D4">
              <w:rPr>
                <w:rFonts w:asciiTheme="minorHAnsi" w:hAnsiTheme="minorHAnsi" w:cstheme="minorHAnsi"/>
                <w:szCs w:val="20"/>
              </w:rPr>
              <w:t>HC</w:t>
            </w:r>
            <w:r w:rsidRPr="001069D4">
              <w:rPr>
                <w:rFonts w:asciiTheme="minorHAnsi" w:hAnsiTheme="minorHAnsi" w:cstheme="minorHAnsi"/>
                <w:szCs w:val="20"/>
              </w:rPr>
              <w:t xml:space="preserve"> procedures</w:t>
            </w:r>
          </w:p>
        </w:tc>
        <w:tc>
          <w:tcPr>
            <w:tcW w:w="3685" w:type="dxa"/>
            <w:shd w:val="clear" w:color="auto" w:fill="D9E2F3" w:themeFill="accent1" w:themeFillTint="33"/>
          </w:tcPr>
          <w:p w:rsidR="003217B9" w:rsidRPr="001069D4" w:rsidRDefault="003217B9" w:rsidP="00A51750">
            <w:pPr>
              <w:pStyle w:val="Tableheader"/>
              <w:jc w:val="left"/>
              <w:rPr>
                <w:rFonts w:asciiTheme="minorHAnsi" w:hAnsiTheme="minorHAnsi" w:cstheme="minorHAnsi"/>
                <w:szCs w:val="20"/>
              </w:rPr>
            </w:pPr>
            <w:r w:rsidRPr="001069D4">
              <w:rPr>
                <w:rFonts w:asciiTheme="minorHAnsi" w:hAnsiTheme="minorHAnsi" w:cstheme="minorHAnsi"/>
                <w:szCs w:val="20"/>
              </w:rPr>
              <w:t>Evidence Requirements</w:t>
            </w:r>
          </w:p>
        </w:tc>
        <w:tc>
          <w:tcPr>
            <w:tcW w:w="709" w:type="dxa"/>
            <w:shd w:val="clear" w:color="auto" w:fill="D9E2F3" w:themeFill="accent1" w:themeFillTint="33"/>
          </w:tcPr>
          <w:p w:rsidR="003217B9" w:rsidRPr="001069D4" w:rsidRDefault="003217B9" w:rsidP="00A51750">
            <w:pPr>
              <w:pStyle w:val="Tableheader"/>
              <w:jc w:val="center"/>
              <w:rPr>
                <w:rFonts w:asciiTheme="minorHAnsi" w:hAnsiTheme="minorHAnsi" w:cstheme="minorHAnsi"/>
                <w:szCs w:val="20"/>
              </w:rPr>
            </w:pPr>
            <w:r w:rsidRPr="001069D4">
              <w:rPr>
                <w:rFonts w:asciiTheme="minorHAnsi" w:hAnsiTheme="minorHAnsi" w:cstheme="minorHAnsi"/>
                <w:szCs w:val="20"/>
              </w:rPr>
              <w:t>Tick if yes</w:t>
            </w:r>
          </w:p>
        </w:tc>
      </w:tr>
      <w:tr w:rsidR="003217B9" w:rsidRPr="00491548" w:rsidTr="001069D4">
        <w:trPr>
          <w:cantSplit/>
          <w:trHeight w:val="32"/>
        </w:trPr>
        <w:tc>
          <w:tcPr>
            <w:tcW w:w="850" w:type="dxa"/>
          </w:tcPr>
          <w:p w:rsidR="003217B9" w:rsidRPr="00491548" w:rsidRDefault="003217B9" w:rsidP="00A51750">
            <w:pPr>
              <w:pStyle w:val="Tabletype"/>
              <w:jc w:val="center"/>
              <w:rPr>
                <w:rFonts w:asciiTheme="minorHAnsi" w:hAnsiTheme="minorHAnsi" w:cstheme="minorHAnsi"/>
                <w:sz w:val="20"/>
                <w:szCs w:val="20"/>
              </w:rPr>
            </w:pPr>
            <w:r w:rsidRPr="00491548">
              <w:rPr>
                <w:rFonts w:asciiTheme="minorHAnsi" w:hAnsiTheme="minorHAnsi" w:cstheme="minorHAnsi"/>
                <w:sz w:val="20"/>
                <w:szCs w:val="20"/>
              </w:rPr>
              <w:t>1</w:t>
            </w:r>
          </w:p>
        </w:tc>
        <w:tc>
          <w:tcPr>
            <w:tcW w:w="4112" w:type="dxa"/>
          </w:tcPr>
          <w:p w:rsidR="003217B9" w:rsidRPr="00491548" w:rsidRDefault="003217B9" w:rsidP="00857699">
            <w:pPr>
              <w:pStyle w:val="Tabletype"/>
              <w:spacing w:after="60"/>
              <w:jc w:val="left"/>
              <w:rPr>
                <w:rFonts w:asciiTheme="minorHAnsi" w:hAnsiTheme="minorHAnsi" w:cstheme="minorHAnsi"/>
                <w:sz w:val="20"/>
                <w:szCs w:val="20"/>
              </w:rPr>
            </w:pPr>
            <w:r w:rsidRPr="00491548">
              <w:rPr>
                <w:rFonts w:asciiTheme="minorHAnsi" w:hAnsiTheme="minorHAnsi" w:cstheme="minorHAnsi"/>
                <w:sz w:val="20"/>
                <w:szCs w:val="20"/>
              </w:rPr>
              <w:t>Management of ongoing stoma care.</w:t>
            </w:r>
          </w:p>
          <w:p w:rsidR="003217B9" w:rsidRPr="00491548" w:rsidRDefault="003217B9" w:rsidP="00857699">
            <w:pPr>
              <w:pStyle w:val="Tabletype"/>
              <w:spacing w:after="60"/>
              <w:jc w:val="left"/>
              <w:rPr>
                <w:rFonts w:asciiTheme="minorHAnsi" w:hAnsiTheme="minorHAnsi" w:cstheme="minorHAnsi"/>
                <w:sz w:val="20"/>
                <w:szCs w:val="20"/>
              </w:rPr>
            </w:pPr>
            <w:r w:rsidRPr="00491548">
              <w:rPr>
                <w:rFonts w:asciiTheme="minorHAnsi" w:hAnsiTheme="minorHAnsi" w:cstheme="minorHAnsi"/>
                <w:sz w:val="20"/>
                <w:szCs w:val="20"/>
              </w:rPr>
              <w:t>Excludes temporary stomas e.g. post-surgery. Excludes supra pubic catheters (SPCs)</w:t>
            </w:r>
            <w:r w:rsidR="009B782E" w:rsidRPr="00491548">
              <w:rPr>
                <w:rFonts w:asciiTheme="minorHAnsi" w:hAnsiTheme="minorHAnsi" w:cstheme="minorHAnsi"/>
                <w:sz w:val="20"/>
                <w:szCs w:val="20"/>
              </w:rPr>
              <w:t>.</w:t>
            </w:r>
          </w:p>
        </w:tc>
        <w:tc>
          <w:tcPr>
            <w:tcW w:w="3685" w:type="dxa"/>
          </w:tcPr>
          <w:p w:rsidR="00980F62"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1.</w:t>
            </w:r>
            <w:r w:rsidRPr="00491548">
              <w:rPr>
                <w:rFonts w:asciiTheme="minorHAnsi" w:hAnsiTheme="minorHAnsi" w:cstheme="minorHAnsi"/>
                <w:sz w:val="20"/>
                <w:szCs w:val="20"/>
              </w:rPr>
              <w:tab/>
              <w:t>Diagnosis</w:t>
            </w:r>
          </w:p>
          <w:p w:rsidR="003217B9" w:rsidRPr="00491548" w:rsidRDefault="003217B9" w:rsidP="00857699">
            <w:pPr>
              <w:pStyle w:val="Tabletype"/>
              <w:spacing w:before="80" w:after="80"/>
              <w:jc w:val="left"/>
              <w:rPr>
                <w:rFonts w:asciiTheme="minorHAnsi" w:hAnsiTheme="minorHAnsi" w:cstheme="minorHAnsi"/>
                <w:b/>
                <w:sz w:val="20"/>
                <w:szCs w:val="20"/>
              </w:rPr>
            </w:pPr>
            <w:r w:rsidRPr="00491548">
              <w:rPr>
                <w:rFonts w:asciiTheme="minorHAnsi" w:hAnsiTheme="minorHAnsi" w:cstheme="minorHAnsi"/>
                <w:b/>
                <w:sz w:val="20"/>
                <w:szCs w:val="20"/>
              </w:rPr>
              <w:t>AND</w:t>
            </w:r>
          </w:p>
          <w:p w:rsidR="003217B9" w:rsidRPr="00491548"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2.</w:t>
            </w:r>
            <w:r w:rsidRPr="00491548">
              <w:rPr>
                <w:rFonts w:asciiTheme="minorHAnsi" w:hAnsiTheme="minorHAnsi" w:cstheme="minorHAnsi"/>
                <w:sz w:val="20"/>
                <w:szCs w:val="20"/>
              </w:rPr>
              <w:tab/>
              <w:t>Directive [registered nurse or medical practitioner]</w:t>
            </w:r>
          </w:p>
        </w:tc>
        <w:tc>
          <w:tcPr>
            <w:tcW w:w="709" w:type="dxa"/>
            <w:vAlign w:val="center"/>
          </w:tcPr>
          <w:p w:rsidR="003217B9" w:rsidRPr="00491548" w:rsidRDefault="003217B9" w:rsidP="00A51750">
            <w:pPr>
              <w:jc w:val="center"/>
              <w:rPr>
                <w:sz w:val="20"/>
                <w:szCs w:val="20"/>
              </w:rPr>
            </w:pPr>
            <w:r w:rsidRPr="00491548">
              <w:rPr>
                <w:sz w:val="20"/>
                <w:szCs w:val="20"/>
              </w:rPr>
              <w:sym w:font="Wingdings" w:char="F06F"/>
            </w:r>
            <w:r w:rsidRPr="00491548">
              <w:rPr>
                <w:sz w:val="20"/>
                <w:szCs w:val="20"/>
              </w:rPr>
              <w:t xml:space="preserve"> 1</w:t>
            </w:r>
          </w:p>
        </w:tc>
      </w:tr>
      <w:tr w:rsidR="003217B9" w:rsidRPr="00491548" w:rsidTr="001069D4">
        <w:trPr>
          <w:cantSplit/>
          <w:trHeight w:val="32"/>
        </w:trPr>
        <w:tc>
          <w:tcPr>
            <w:tcW w:w="850" w:type="dxa"/>
          </w:tcPr>
          <w:p w:rsidR="003217B9" w:rsidRPr="00491548" w:rsidRDefault="003217B9" w:rsidP="00A51750">
            <w:pPr>
              <w:pStyle w:val="Tabletype"/>
              <w:jc w:val="center"/>
              <w:rPr>
                <w:rFonts w:asciiTheme="minorHAnsi" w:hAnsiTheme="minorHAnsi" w:cstheme="minorHAnsi"/>
                <w:sz w:val="20"/>
                <w:szCs w:val="20"/>
              </w:rPr>
            </w:pPr>
            <w:r w:rsidRPr="00491548">
              <w:rPr>
                <w:rFonts w:asciiTheme="minorHAnsi" w:hAnsiTheme="minorHAnsi" w:cstheme="minorHAnsi"/>
                <w:sz w:val="20"/>
                <w:szCs w:val="20"/>
              </w:rPr>
              <w:t>1</w:t>
            </w:r>
          </w:p>
        </w:tc>
        <w:tc>
          <w:tcPr>
            <w:tcW w:w="4112" w:type="dxa"/>
          </w:tcPr>
          <w:p w:rsidR="003217B9" w:rsidRPr="00491548" w:rsidRDefault="003217B9" w:rsidP="00857699">
            <w:pPr>
              <w:pStyle w:val="Tabletype"/>
              <w:spacing w:after="60"/>
              <w:jc w:val="left"/>
              <w:rPr>
                <w:rFonts w:asciiTheme="minorHAnsi" w:hAnsiTheme="minorHAnsi" w:cstheme="minorHAnsi"/>
                <w:sz w:val="20"/>
                <w:szCs w:val="20"/>
              </w:rPr>
            </w:pPr>
            <w:bookmarkStart w:id="454" w:name="_Hlk488267260"/>
            <w:r w:rsidRPr="00491548">
              <w:rPr>
                <w:rFonts w:asciiTheme="minorHAnsi" w:hAnsiTheme="minorHAnsi" w:cstheme="minorHAnsi"/>
                <w:sz w:val="20"/>
                <w:szCs w:val="20"/>
              </w:rPr>
              <w:t>Blood glucose measurement for the monitoring of a diagnosed medical conditio</w:t>
            </w:r>
            <w:r w:rsidR="002C205F" w:rsidRPr="00491548">
              <w:rPr>
                <w:rFonts w:asciiTheme="minorHAnsi" w:hAnsiTheme="minorHAnsi" w:cstheme="minorHAnsi"/>
                <w:sz w:val="20"/>
                <w:szCs w:val="20"/>
              </w:rPr>
              <w:t xml:space="preserve">n e.g. diabetes, is an ongoing </w:t>
            </w:r>
            <w:r w:rsidRPr="00491548">
              <w:rPr>
                <w:rFonts w:asciiTheme="minorHAnsi" w:hAnsiTheme="minorHAnsi" w:cstheme="minorHAnsi"/>
                <w:sz w:val="20"/>
                <w:szCs w:val="20"/>
              </w:rPr>
              <w:t>care need AND frequency at least daily</w:t>
            </w:r>
            <w:bookmarkEnd w:id="454"/>
            <w:r w:rsidR="009B782E" w:rsidRPr="00491548">
              <w:rPr>
                <w:rFonts w:asciiTheme="minorHAnsi" w:hAnsiTheme="minorHAnsi" w:cstheme="minorHAnsi"/>
                <w:sz w:val="20"/>
                <w:szCs w:val="20"/>
              </w:rPr>
              <w:t>.</w:t>
            </w:r>
          </w:p>
        </w:tc>
        <w:tc>
          <w:tcPr>
            <w:tcW w:w="3685" w:type="dxa"/>
          </w:tcPr>
          <w:p w:rsidR="003217B9" w:rsidRPr="00491548"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1.</w:t>
            </w:r>
            <w:r w:rsidRPr="00491548">
              <w:rPr>
                <w:rFonts w:asciiTheme="minorHAnsi" w:hAnsiTheme="minorHAnsi" w:cstheme="minorHAnsi"/>
                <w:sz w:val="20"/>
                <w:szCs w:val="20"/>
              </w:rPr>
              <w:tab/>
              <w:t>Medical practitioner directive</w:t>
            </w:r>
          </w:p>
          <w:p w:rsidR="003217B9" w:rsidRPr="00491548" w:rsidRDefault="003217B9" w:rsidP="00857699">
            <w:pPr>
              <w:pStyle w:val="Tabletype"/>
              <w:spacing w:before="80" w:after="80"/>
              <w:jc w:val="left"/>
              <w:rPr>
                <w:rFonts w:asciiTheme="minorHAnsi" w:hAnsiTheme="minorHAnsi" w:cstheme="minorHAnsi"/>
                <w:sz w:val="20"/>
                <w:szCs w:val="20"/>
              </w:rPr>
            </w:pPr>
            <w:r w:rsidRPr="00491548">
              <w:rPr>
                <w:rFonts w:asciiTheme="minorHAnsi" w:hAnsiTheme="minorHAnsi" w:cstheme="minorHAnsi"/>
                <w:sz w:val="20"/>
                <w:szCs w:val="20"/>
              </w:rPr>
              <w:t>AND</w:t>
            </w:r>
          </w:p>
          <w:p w:rsidR="003217B9" w:rsidRPr="00491548"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on request: record</w:t>
            </w:r>
          </w:p>
        </w:tc>
        <w:tc>
          <w:tcPr>
            <w:tcW w:w="709" w:type="dxa"/>
            <w:vAlign w:val="center"/>
          </w:tcPr>
          <w:p w:rsidR="003217B9" w:rsidRPr="00491548" w:rsidRDefault="003217B9" w:rsidP="00A51750">
            <w:pPr>
              <w:jc w:val="center"/>
              <w:rPr>
                <w:sz w:val="20"/>
                <w:szCs w:val="20"/>
              </w:rPr>
            </w:pPr>
            <w:r w:rsidRPr="00491548">
              <w:rPr>
                <w:sz w:val="20"/>
                <w:szCs w:val="20"/>
              </w:rPr>
              <w:sym w:font="Wingdings" w:char="F06F"/>
            </w:r>
            <w:r w:rsidRPr="00491548">
              <w:rPr>
                <w:sz w:val="20"/>
                <w:szCs w:val="20"/>
              </w:rPr>
              <w:t xml:space="preserve"> 2</w:t>
            </w:r>
          </w:p>
        </w:tc>
      </w:tr>
      <w:tr w:rsidR="003217B9" w:rsidRPr="00491548" w:rsidTr="001069D4">
        <w:trPr>
          <w:cantSplit/>
          <w:trHeight w:val="32"/>
        </w:trPr>
        <w:tc>
          <w:tcPr>
            <w:tcW w:w="850" w:type="dxa"/>
          </w:tcPr>
          <w:p w:rsidR="003217B9" w:rsidRPr="00491548" w:rsidRDefault="003217B9" w:rsidP="00A51750">
            <w:pPr>
              <w:pStyle w:val="Tabletype"/>
              <w:jc w:val="center"/>
              <w:rPr>
                <w:rFonts w:asciiTheme="minorHAnsi" w:hAnsiTheme="minorHAnsi" w:cstheme="minorHAnsi"/>
                <w:sz w:val="20"/>
                <w:szCs w:val="20"/>
              </w:rPr>
            </w:pPr>
            <w:r w:rsidRPr="00491548">
              <w:rPr>
                <w:rFonts w:asciiTheme="minorHAnsi" w:hAnsiTheme="minorHAnsi" w:cstheme="minorHAnsi"/>
                <w:sz w:val="20"/>
                <w:szCs w:val="20"/>
              </w:rPr>
              <w:t>1</w:t>
            </w:r>
          </w:p>
        </w:tc>
        <w:tc>
          <w:tcPr>
            <w:tcW w:w="4112" w:type="dxa"/>
          </w:tcPr>
          <w:p w:rsidR="003217B9" w:rsidRPr="00491548" w:rsidRDefault="003217B9" w:rsidP="00857699">
            <w:pPr>
              <w:pStyle w:val="Tabletype"/>
              <w:spacing w:after="60"/>
              <w:jc w:val="left"/>
              <w:rPr>
                <w:rFonts w:asciiTheme="minorHAnsi" w:hAnsiTheme="minorHAnsi" w:cstheme="minorHAnsi"/>
                <w:sz w:val="20"/>
                <w:szCs w:val="20"/>
              </w:rPr>
            </w:pPr>
            <w:r w:rsidRPr="00491548">
              <w:rPr>
                <w:rFonts w:asciiTheme="minorHAnsi" w:hAnsiTheme="minorHAnsi" w:cstheme="minorHAnsi"/>
                <w:sz w:val="20"/>
                <w:szCs w:val="20"/>
              </w:rPr>
              <w:t>Oxygen therapy not self-managed.</w:t>
            </w:r>
          </w:p>
        </w:tc>
        <w:tc>
          <w:tcPr>
            <w:tcW w:w="3685" w:type="dxa"/>
          </w:tcPr>
          <w:p w:rsidR="00980F62"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1.</w:t>
            </w:r>
            <w:r w:rsidRPr="00491548">
              <w:rPr>
                <w:rFonts w:asciiTheme="minorHAnsi" w:hAnsiTheme="minorHAnsi" w:cstheme="minorHAnsi"/>
                <w:sz w:val="20"/>
                <w:szCs w:val="20"/>
              </w:rPr>
              <w:tab/>
              <w:t>Diagnosis</w:t>
            </w:r>
          </w:p>
          <w:p w:rsidR="003217B9" w:rsidRPr="00491548" w:rsidRDefault="003217B9" w:rsidP="00857699">
            <w:pPr>
              <w:pStyle w:val="Tabletype"/>
              <w:spacing w:before="80" w:after="80"/>
              <w:jc w:val="left"/>
              <w:rPr>
                <w:rFonts w:asciiTheme="minorHAnsi" w:hAnsiTheme="minorHAnsi" w:cstheme="minorHAnsi"/>
                <w:b/>
                <w:sz w:val="20"/>
                <w:szCs w:val="20"/>
              </w:rPr>
            </w:pPr>
            <w:r w:rsidRPr="00491548">
              <w:rPr>
                <w:rFonts w:asciiTheme="minorHAnsi" w:hAnsiTheme="minorHAnsi" w:cstheme="minorHAnsi"/>
                <w:b/>
                <w:sz w:val="20"/>
                <w:szCs w:val="20"/>
              </w:rPr>
              <w:t>AND</w:t>
            </w:r>
          </w:p>
          <w:p w:rsidR="003217B9" w:rsidRPr="00491548"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2.</w:t>
            </w:r>
            <w:r w:rsidRPr="00491548">
              <w:rPr>
                <w:rFonts w:asciiTheme="minorHAnsi" w:hAnsiTheme="minorHAnsi" w:cstheme="minorHAnsi"/>
                <w:sz w:val="20"/>
                <w:szCs w:val="20"/>
              </w:rPr>
              <w:tab/>
              <w:t>Directive [registered nurse or medical practitioner]</w:t>
            </w:r>
          </w:p>
        </w:tc>
        <w:tc>
          <w:tcPr>
            <w:tcW w:w="709" w:type="dxa"/>
            <w:vAlign w:val="center"/>
          </w:tcPr>
          <w:p w:rsidR="003217B9" w:rsidRPr="00491548" w:rsidRDefault="003217B9" w:rsidP="00A51750">
            <w:pPr>
              <w:jc w:val="center"/>
              <w:rPr>
                <w:sz w:val="20"/>
                <w:szCs w:val="20"/>
              </w:rPr>
            </w:pPr>
            <w:r w:rsidRPr="00491548">
              <w:rPr>
                <w:sz w:val="20"/>
                <w:szCs w:val="20"/>
              </w:rPr>
              <w:sym w:font="Wingdings" w:char="F06F"/>
            </w:r>
            <w:r w:rsidRPr="00491548">
              <w:rPr>
                <w:sz w:val="20"/>
                <w:szCs w:val="20"/>
              </w:rPr>
              <w:t xml:space="preserve"> 3</w:t>
            </w:r>
          </w:p>
        </w:tc>
      </w:tr>
      <w:tr w:rsidR="003217B9" w:rsidRPr="00491548" w:rsidTr="001069D4">
        <w:trPr>
          <w:cantSplit/>
          <w:trHeight w:val="32"/>
        </w:trPr>
        <w:tc>
          <w:tcPr>
            <w:tcW w:w="850" w:type="dxa"/>
          </w:tcPr>
          <w:p w:rsidR="003217B9" w:rsidRPr="00491548" w:rsidRDefault="003217B9" w:rsidP="00A51750">
            <w:pPr>
              <w:pStyle w:val="Tabletype"/>
              <w:jc w:val="center"/>
              <w:rPr>
                <w:rFonts w:asciiTheme="minorHAnsi" w:hAnsiTheme="minorHAnsi" w:cstheme="minorHAnsi"/>
                <w:sz w:val="20"/>
                <w:szCs w:val="20"/>
              </w:rPr>
            </w:pPr>
            <w:r w:rsidRPr="00491548">
              <w:rPr>
                <w:rFonts w:asciiTheme="minorHAnsi" w:hAnsiTheme="minorHAnsi" w:cstheme="minorHAnsi"/>
                <w:sz w:val="20"/>
                <w:szCs w:val="20"/>
              </w:rPr>
              <w:t xml:space="preserve">3 </w:t>
            </w:r>
          </w:p>
        </w:tc>
        <w:tc>
          <w:tcPr>
            <w:tcW w:w="4112" w:type="dxa"/>
          </w:tcPr>
          <w:p w:rsidR="003217B9" w:rsidRPr="00491548" w:rsidRDefault="003217B9" w:rsidP="00857699">
            <w:pPr>
              <w:pStyle w:val="Tabletype"/>
              <w:spacing w:after="60"/>
              <w:jc w:val="left"/>
              <w:rPr>
                <w:rFonts w:asciiTheme="minorHAnsi" w:hAnsiTheme="minorHAnsi" w:cstheme="minorHAnsi"/>
                <w:sz w:val="20"/>
                <w:szCs w:val="20"/>
              </w:rPr>
            </w:pPr>
            <w:r w:rsidRPr="00491548">
              <w:rPr>
                <w:rFonts w:asciiTheme="minorHAnsi" w:hAnsiTheme="minorHAnsi" w:cstheme="minorHAnsi"/>
                <w:sz w:val="20"/>
                <w:szCs w:val="20"/>
              </w:rPr>
              <w:t>Complex skin integrity management for residents with compromised skin integrity who are usually confined to bed and/ or chair and cannot self-ambulate. The management plan must include repositioning at least 4 times per day.</w:t>
            </w:r>
          </w:p>
        </w:tc>
        <w:tc>
          <w:tcPr>
            <w:tcW w:w="3685" w:type="dxa"/>
          </w:tcPr>
          <w:p w:rsidR="003217B9" w:rsidRPr="00491548"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1.</w:t>
            </w:r>
            <w:r w:rsidRPr="00491548">
              <w:rPr>
                <w:rFonts w:asciiTheme="minorHAnsi" w:hAnsiTheme="minorHAnsi" w:cstheme="minorHAnsi"/>
                <w:sz w:val="20"/>
                <w:szCs w:val="20"/>
              </w:rPr>
              <w:tab/>
              <w:t>Directive [registered nurse or medical practitioner or allied health professional]</w:t>
            </w:r>
          </w:p>
          <w:p w:rsidR="003217B9" w:rsidRPr="00491548" w:rsidRDefault="003217B9" w:rsidP="00857699">
            <w:pPr>
              <w:pStyle w:val="Tabletype"/>
              <w:spacing w:before="80" w:after="80"/>
              <w:jc w:val="left"/>
              <w:rPr>
                <w:rFonts w:asciiTheme="minorHAnsi" w:hAnsiTheme="minorHAnsi" w:cstheme="minorHAnsi"/>
                <w:b/>
                <w:sz w:val="20"/>
                <w:szCs w:val="20"/>
              </w:rPr>
            </w:pPr>
            <w:r w:rsidRPr="00491548">
              <w:rPr>
                <w:rFonts w:asciiTheme="minorHAnsi" w:hAnsiTheme="minorHAnsi" w:cstheme="minorHAnsi"/>
                <w:b/>
                <w:sz w:val="20"/>
                <w:szCs w:val="20"/>
              </w:rPr>
              <w:t>AND</w:t>
            </w:r>
          </w:p>
          <w:p w:rsidR="003217B9" w:rsidRPr="00491548"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2.</w:t>
            </w:r>
            <w:r w:rsidRPr="00491548">
              <w:rPr>
                <w:rFonts w:asciiTheme="minorHAnsi" w:hAnsiTheme="minorHAnsi" w:cstheme="minorHAnsi"/>
                <w:sz w:val="20"/>
                <w:szCs w:val="20"/>
              </w:rPr>
              <w:tab/>
              <w:t>Skin integrity assessment</w:t>
            </w:r>
          </w:p>
        </w:tc>
        <w:tc>
          <w:tcPr>
            <w:tcW w:w="709" w:type="dxa"/>
            <w:vAlign w:val="center"/>
          </w:tcPr>
          <w:p w:rsidR="003217B9" w:rsidRPr="00491548" w:rsidRDefault="003217B9" w:rsidP="00A51750">
            <w:pPr>
              <w:jc w:val="center"/>
              <w:rPr>
                <w:sz w:val="20"/>
                <w:szCs w:val="20"/>
              </w:rPr>
            </w:pPr>
            <w:r w:rsidRPr="00491548">
              <w:rPr>
                <w:sz w:val="20"/>
                <w:szCs w:val="20"/>
              </w:rPr>
              <w:sym w:font="Wingdings" w:char="F06F"/>
            </w:r>
            <w:r w:rsidRPr="00491548">
              <w:rPr>
                <w:sz w:val="20"/>
                <w:szCs w:val="20"/>
              </w:rPr>
              <w:t xml:space="preserve"> 4</w:t>
            </w:r>
          </w:p>
        </w:tc>
      </w:tr>
      <w:tr w:rsidR="003217B9" w:rsidRPr="00491548" w:rsidTr="001069D4">
        <w:trPr>
          <w:cantSplit/>
        </w:trPr>
        <w:tc>
          <w:tcPr>
            <w:tcW w:w="850" w:type="dxa"/>
          </w:tcPr>
          <w:p w:rsidR="003217B9" w:rsidRPr="00491548" w:rsidRDefault="003217B9" w:rsidP="00A51750">
            <w:pPr>
              <w:pStyle w:val="Tabletype"/>
              <w:jc w:val="center"/>
              <w:rPr>
                <w:rFonts w:asciiTheme="minorHAnsi" w:hAnsiTheme="minorHAnsi" w:cstheme="minorHAnsi"/>
                <w:sz w:val="20"/>
                <w:szCs w:val="20"/>
              </w:rPr>
            </w:pPr>
            <w:r w:rsidRPr="00491548">
              <w:rPr>
                <w:rFonts w:asciiTheme="minorHAnsi" w:hAnsiTheme="minorHAnsi" w:cstheme="minorHAnsi"/>
                <w:sz w:val="20"/>
                <w:szCs w:val="20"/>
              </w:rPr>
              <w:t>3</w:t>
            </w:r>
          </w:p>
        </w:tc>
        <w:tc>
          <w:tcPr>
            <w:tcW w:w="4112" w:type="dxa"/>
          </w:tcPr>
          <w:p w:rsidR="003217B9" w:rsidRPr="00491548" w:rsidRDefault="003217B9" w:rsidP="00857699">
            <w:pPr>
              <w:pStyle w:val="Tabletype"/>
              <w:spacing w:after="60"/>
              <w:jc w:val="left"/>
              <w:rPr>
                <w:rFonts w:asciiTheme="minorHAnsi" w:hAnsiTheme="minorHAnsi" w:cstheme="minorHAnsi"/>
                <w:sz w:val="20"/>
                <w:szCs w:val="20"/>
              </w:rPr>
            </w:pPr>
            <w:r w:rsidRPr="00491548">
              <w:rPr>
                <w:rFonts w:asciiTheme="minorHAnsi" w:hAnsiTheme="minorHAnsi" w:cstheme="minorHAnsi"/>
                <w:sz w:val="20"/>
                <w:szCs w:val="20"/>
              </w:rPr>
              <w:t>Management of special feeding undertaken by RN, on a one-to-one basis, for people with severe dysphagia, excluding tube feeding</w:t>
            </w:r>
            <w:r w:rsidR="009B782E" w:rsidRPr="00491548">
              <w:rPr>
                <w:rFonts w:asciiTheme="minorHAnsi" w:hAnsiTheme="minorHAnsi" w:cstheme="minorHAnsi"/>
                <w:sz w:val="20"/>
                <w:szCs w:val="20"/>
              </w:rPr>
              <w:t>.</w:t>
            </w:r>
          </w:p>
          <w:p w:rsidR="003217B9" w:rsidRPr="00491548" w:rsidRDefault="003217B9" w:rsidP="00857699">
            <w:pPr>
              <w:pStyle w:val="Tabletype"/>
              <w:spacing w:after="60"/>
              <w:jc w:val="left"/>
              <w:rPr>
                <w:rFonts w:asciiTheme="minorHAnsi" w:hAnsiTheme="minorHAnsi" w:cstheme="minorHAnsi"/>
                <w:sz w:val="20"/>
                <w:szCs w:val="20"/>
              </w:rPr>
            </w:pPr>
            <w:r w:rsidRPr="00491548">
              <w:rPr>
                <w:rFonts w:asciiTheme="minorHAnsi" w:hAnsiTheme="minorHAnsi" w:cstheme="minorHAnsi"/>
                <w:sz w:val="20"/>
                <w:szCs w:val="20"/>
              </w:rPr>
              <w:t>Frequency at least daily.</w:t>
            </w:r>
          </w:p>
        </w:tc>
        <w:tc>
          <w:tcPr>
            <w:tcW w:w="3685" w:type="dxa"/>
          </w:tcPr>
          <w:p w:rsidR="00980F62"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1.</w:t>
            </w:r>
            <w:r w:rsidRPr="00491548">
              <w:rPr>
                <w:rFonts w:asciiTheme="minorHAnsi" w:hAnsiTheme="minorHAnsi" w:cstheme="minorHAnsi"/>
                <w:sz w:val="20"/>
                <w:szCs w:val="20"/>
              </w:rPr>
              <w:tab/>
              <w:t>Diagnosis</w:t>
            </w:r>
          </w:p>
          <w:p w:rsidR="003217B9" w:rsidRPr="00491548" w:rsidRDefault="003217B9" w:rsidP="00857699">
            <w:pPr>
              <w:pStyle w:val="Tabletype"/>
              <w:spacing w:before="80" w:after="80"/>
              <w:jc w:val="left"/>
              <w:rPr>
                <w:rFonts w:asciiTheme="minorHAnsi" w:hAnsiTheme="minorHAnsi" w:cstheme="minorHAnsi"/>
                <w:sz w:val="20"/>
                <w:szCs w:val="20"/>
              </w:rPr>
            </w:pPr>
            <w:r w:rsidRPr="00491548">
              <w:rPr>
                <w:rFonts w:asciiTheme="minorHAnsi" w:hAnsiTheme="minorHAnsi" w:cstheme="minorHAnsi"/>
                <w:sz w:val="20"/>
                <w:szCs w:val="20"/>
              </w:rPr>
              <w:t>AND</w:t>
            </w:r>
          </w:p>
          <w:p w:rsidR="003217B9" w:rsidRPr="00491548"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2.</w:t>
            </w:r>
            <w:r w:rsidRPr="00491548">
              <w:rPr>
                <w:rFonts w:asciiTheme="minorHAnsi" w:hAnsiTheme="minorHAnsi" w:cstheme="minorHAnsi"/>
                <w:sz w:val="20"/>
                <w:szCs w:val="20"/>
              </w:rPr>
              <w:tab/>
              <w:t>Directive [registered nurse or medical practitioner or allied health professional]</w:t>
            </w:r>
          </w:p>
          <w:p w:rsidR="003217B9" w:rsidRPr="00491548" w:rsidRDefault="003217B9" w:rsidP="00857699">
            <w:pPr>
              <w:pStyle w:val="Tabletype"/>
              <w:spacing w:before="80" w:after="80"/>
              <w:jc w:val="left"/>
              <w:rPr>
                <w:rFonts w:asciiTheme="minorHAnsi" w:hAnsiTheme="minorHAnsi" w:cstheme="minorHAnsi"/>
                <w:b/>
                <w:sz w:val="20"/>
                <w:szCs w:val="20"/>
              </w:rPr>
            </w:pPr>
            <w:r w:rsidRPr="00491548">
              <w:rPr>
                <w:rFonts w:asciiTheme="minorHAnsi" w:hAnsiTheme="minorHAnsi" w:cstheme="minorHAnsi"/>
                <w:b/>
                <w:sz w:val="20"/>
                <w:szCs w:val="20"/>
              </w:rPr>
              <w:t>AND</w:t>
            </w:r>
          </w:p>
          <w:p w:rsidR="003217B9" w:rsidRPr="00491548"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3.</w:t>
            </w:r>
            <w:r w:rsidRPr="00491548">
              <w:rPr>
                <w:rFonts w:asciiTheme="minorHAnsi" w:hAnsiTheme="minorHAnsi" w:cstheme="minorHAnsi"/>
                <w:sz w:val="20"/>
                <w:szCs w:val="20"/>
              </w:rPr>
              <w:tab/>
              <w:t xml:space="preserve">Swallowing Assessment </w:t>
            </w:r>
          </w:p>
        </w:tc>
        <w:tc>
          <w:tcPr>
            <w:tcW w:w="709" w:type="dxa"/>
            <w:vAlign w:val="center"/>
          </w:tcPr>
          <w:p w:rsidR="003217B9" w:rsidRPr="00491548" w:rsidRDefault="003217B9" w:rsidP="00A51750">
            <w:pPr>
              <w:jc w:val="center"/>
              <w:rPr>
                <w:sz w:val="20"/>
                <w:szCs w:val="20"/>
              </w:rPr>
            </w:pPr>
            <w:r w:rsidRPr="00491548">
              <w:rPr>
                <w:sz w:val="20"/>
                <w:szCs w:val="20"/>
              </w:rPr>
              <w:sym w:font="Wingdings" w:char="F06F"/>
            </w:r>
            <w:r w:rsidRPr="00491548">
              <w:rPr>
                <w:sz w:val="20"/>
                <w:szCs w:val="20"/>
              </w:rPr>
              <w:t xml:space="preserve"> 5</w:t>
            </w:r>
          </w:p>
        </w:tc>
      </w:tr>
      <w:tr w:rsidR="003217B9" w:rsidRPr="00491548" w:rsidTr="001069D4">
        <w:trPr>
          <w:cantSplit/>
        </w:trPr>
        <w:tc>
          <w:tcPr>
            <w:tcW w:w="850" w:type="dxa"/>
          </w:tcPr>
          <w:p w:rsidR="003217B9" w:rsidRPr="00491548" w:rsidRDefault="003217B9" w:rsidP="00A51750">
            <w:pPr>
              <w:pStyle w:val="Tabletype"/>
              <w:jc w:val="center"/>
              <w:rPr>
                <w:rFonts w:asciiTheme="minorHAnsi" w:hAnsiTheme="minorHAnsi" w:cstheme="minorHAnsi"/>
                <w:sz w:val="20"/>
                <w:szCs w:val="20"/>
              </w:rPr>
            </w:pPr>
            <w:r w:rsidRPr="00491548">
              <w:rPr>
                <w:rFonts w:asciiTheme="minorHAnsi" w:hAnsiTheme="minorHAnsi" w:cstheme="minorHAnsi"/>
                <w:sz w:val="20"/>
                <w:szCs w:val="20"/>
              </w:rPr>
              <w:t>3</w:t>
            </w:r>
          </w:p>
        </w:tc>
        <w:tc>
          <w:tcPr>
            <w:tcW w:w="4112" w:type="dxa"/>
          </w:tcPr>
          <w:p w:rsidR="003217B9" w:rsidRPr="00491548" w:rsidRDefault="003217B9" w:rsidP="00857699">
            <w:pPr>
              <w:pStyle w:val="Tabletype"/>
              <w:spacing w:after="60"/>
              <w:jc w:val="left"/>
              <w:rPr>
                <w:rFonts w:asciiTheme="minorHAnsi" w:hAnsiTheme="minorHAnsi" w:cstheme="minorHAnsi"/>
                <w:sz w:val="20"/>
                <w:szCs w:val="20"/>
              </w:rPr>
            </w:pPr>
            <w:r w:rsidRPr="00491548">
              <w:rPr>
                <w:rFonts w:asciiTheme="minorHAnsi" w:hAnsiTheme="minorHAnsi" w:cstheme="minorHAnsi"/>
                <w:sz w:val="20"/>
                <w:szCs w:val="20"/>
              </w:rPr>
              <w:t>Catheter care program (ongoing); excludes temporary catheters e.g. short term post-surgery catheters.</w:t>
            </w:r>
          </w:p>
        </w:tc>
        <w:tc>
          <w:tcPr>
            <w:tcW w:w="3685" w:type="dxa"/>
          </w:tcPr>
          <w:p w:rsidR="00980F62"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1.</w:t>
            </w:r>
            <w:r w:rsidRPr="00491548">
              <w:rPr>
                <w:rFonts w:asciiTheme="minorHAnsi" w:hAnsiTheme="minorHAnsi" w:cstheme="minorHAnsi"/>
                <w:sz w:val="20"/>
                <w:szCs w:val="20"/>
              </w:rPr>
              <w:tab/>
              <w:t>Diagnosis</w:t>
            </w:r>
          </w:p>
          <w:p w:rsidR="003217B9" w:rsidRPr="00491548" w:rsidRDefault="003217B9" w:rsidP="00857699">
            <w:pPr>
              <w:pStyle w:val="Tabletype"/>
              <w:spacing w:before="80" w:after="80"/>
              <w:jc w:val="left"/>
              <w:rPr>
                <w:rFonts w:asciiTheme="minorHAnsi" w:hAnsiTheme="minorHAnsi" w:cstheme="minorHAnsi"/>
                <w:b/>
                <w:sz w:val="20"/>
                <w:szCs w:val="20"/>
              </w:rPr>
            </w:pPr>
            <w:r w:rsidRPr="00491548">
              <w:rPr>
                <w:rFonts w:asciiTheme="minorHAnsi" w:hAnsiTheme="minorHAnsi" w:cstheme="minorHAnsi"/>
                <w:b/>
                <w:sz w:val="20"/>
                <w:szCs w:val="20"/>
              </w:rPr>
              <w:t>AND</w:t>
            </w:r>
          </w:p>
          <w:p w:rsidR="003217B9" w:rsidRPr="00491548"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2.</w:t>
            </w:r>
            <w:r w:rsidRPr="00491548">
              <w:rPr>
                <w:rFonts w:asciiTheme="minorHAnsi" w:hAnsiTheme="minorHAnsi" w:cstheme="minorHAnsi"/>
                <w:sz w:val="20"/>
                <w:szCs w:val="20"/>
              </w:rPr>
              <w:tab/>
              <w:t>Directive [registered nurse or medical practitioner]</w:t>
            </w:r>
          </w:p>
        </w:tc>
        <w:tc>
          <w:tcPr>
            <w:tcW w:w="709" w:type="dxa"/>
            <w:vAlign w:val="center"/>
          </w:tcPr>
          <w:p w:rsidR="003217B9" w:rsidRPr="00491548" w:rsidRDefault="003217B9" w:rsidP="00A51750">
            <w:pPr>
              <w:jc w:val="center"/>
              <w:rPr>
                <w:sz w:val="20"/>
                <w:szCs w:val="20"/>
              </w:rPr>
            </w:pPr>
            <w:r w:rsidRPr="00491548">
              <w:rPr>
                <w:sz w:val="20"/>
                <w:szCs w:val="20"/>
              </w:rPr>
              <w:sym w:font="Wingdings" w:char="F06F"/>
            </w:r>
            <w:r w:rsidRPr="00491548">
              <w:rPr>
                <w:sz w:val="20"/>
                <w:szCs w:val="20"/>
              </w:rPr>
              <w:t xml:space="preserve"> 6</w:t>
            </w:r>
          </w:p>
        </w:tc>
      </w:tr>
      <w:tr w:rsidR="00C6264F" w:rsidRPr="00491548" w:rsidTr="001069D4">
        <w:trPr>
          <w:cantSplit/>
        </w:trPr>
        <w:tc>
          <w:tcPr>
            <w:tcW w:w="850" w:type="dxa"/>
          </w:tcPr>
          <w:p w:rsidR="00C6264F" w:rsidRPr="00491548" w:rsidRDefault="00C6264F" w:rsidP="00C6264F">
            <w:pPr>
              <w:pStyle w:val="Tabletype"/>
              <w:jc w:val="center"/>
              <w:rPr>
                <w:rFonts w:asciiTheme="minorHAnsi" w:hAnsiTheme="minorHAnsi" w:cstheme="minorHAnsi"/>
                <w:sz w:val="20"/>
                <w:szCs w:val="20"/>
              </w:rPr>
            </w:pPr>
            <w:bookmarkStart w:id="455" w:name="_Hlk488597277"/>
            <w:r w:rsidRPr="00491548">
              <w:rPr>
                <w:rFonts w:asciiTheme="minorHAnsi" w:hAnsiTheme="minorHAnsi" w:cstheme="minorHAnsi"/>
                <w:sz w:val="20"/>
                <w:szCs w:val="20"/>
              </w:rPr>
              <w:lastRenderedPageBreak/>
              <w:t>3</w:t>
            </w:r>
          </w:p>
        </w:tc>
        <w:tc>
          <w:tcPr>
            <w:tcW w:w="4112" w:type="dxa"/>
          </w:tcPr>
          <w:p w:rsidR="00C63FC2" w:rsidRPr="00491548" w:rsidRDefault="00C63FC2" w:rsidP="00857699">
            <w:pPr>
              <w:jc w:val="left"/>
              <w:rPr>
                <w:sz w:val="20"/>
                <w:szCs w:val="20"/>
              </w:rPr>
            </w:pPr>
            <w:r w:rsidRPr="00491548">
              <w:rPr>
                <w:sz w:val="20"/>
                <w:szCs w:val="20"/>
              </w:rPr>
              <w:t>Complex management of oedema, when the management plan includes the use of compression therapy that includes (bandages/ hosiery/ garment) applied at least weekly for</w:t>
            </w:r>
            <w:r w:rsidR="009B782E" w:rsidRPr="00491548">
              <w:rPr>
                <w:sz w:val="20"/>
                <w:szCs w:val="20"/>
              </w:rPr>
              <w:t xml:space="preserve"> o</w:t>
            </w:r>
            <w:r w:rsidRPr="00491548">
              <w:rPr>
                <w:sz w:val="20"/>
                <w:szCs w:val="20"/>
              </w:rPr>
              <w:t>edema due to one of the following medical conditions as diagnosed by the medical practitioner:</w:t>
            </w:r>
          </w:p>
          <w:p w:rsidR="00C63FC2" w:rsidRPr="00491548" w:rsidRDefault="00C63FC2" w:rsidP="00F02312">
            <w:pPr>
              <w:pStyle w:val="m-235865268959371134tabletype"/>
              <w:numPr>
                <w:ilvl w:val="1"/>
                <w:numId w:val="170"/>
              </w:numPr>
              <w:spacing w:before="0" w:beforeAutospacing="0" w:after="0" w:afterAutospacing="0" w:line="276" w:lineRule="auto"/>
              <w:ind w:left="357" w:hanging="357"/>
              <w:jc w:val="left"/>
              <w:rPr>
                <w:sz w:val="20"/>
                <w:szCs w:val="20"/>
              </w:rPr>
            </w:pPr>
            <w:r w:rsidRPr="00491548">
              <w:rPr>
                <w:sz w:val="20"/>
                <w:szCs w:val="20"/>
              </w:rPr>
              <w:t>chronic venous insufficiency</w:t>
            </w:r>
          </w:p>
          <w:p w:rsidR="00980F62" w:rsidRDefault="00C63FC2" w:rsidP="00F02312">
            <w:pPr>
              <w:pStyle w:val="m-235865268959371134tabletype"/>
              <w:numPr>
                <w:ilvl w:val="1"/>
                <w:numId w:val="170"/>
              </w:numPr>
              <w:spacing w:before="0" w:beforeAutospacing="0" w:after="0" w:afterAutospacing="0" w:line="276" w:lineRule="auto"/>
              <w:ind w:left="357" w:hanging="357"/>
              <w:jc w:val="left"/>
              <w:rPr>
                <w:sz w:val="20"/>
                <w:szCs w:val="20"/>
              </w:rPr>
            </w:pPr>
            <w:r w:rsidRPr="00491548">
              <w:rPr>
                <w:sz w:val="20"/>
                <w:szCs w:val="20"/>
              </w:rPr>
              <w:t>lymphoedema</w:t>
            </w:r>
          </w:p>
          <w:p w:rsidR="00C63FC2" w:rsidRPr="00491548" w:rsidRDefault="00C63FC2" w:rsidP="00F02312">
            <w:pPr>
              <w:pStyle w:val="m-235865268959371134tabletype"/>
              <w:numPr>
                <w:ilvl w:val="1"/>
                <w:numId w:val="170"/>
              </w:numPr>
              <w:spacing w:before="0" w:beforeAutospacing="0" w:after="0" w:afterAutospacing="0" w:line="276" w:lineRule="auto"/>
              <w:ind w:left="357" w:hanging="357"/>
              <w:jc w:val="left"/>
              <w:rPr>
                <w:sz w:val="20"/>
                <w:szCs w:val="20"/>
              </w:rPr>
            </w:pPr>
            <w:r w:rsidRPr="00491548">
              <w:rPr>
                <w:sz w:val="20"/>
                <w:szCs w:val="20"/>
              </w:rPr>
              <w:t>acute (ongoing) DVT (lower leg)</w:t>
            </w:r>
          </w:p>
          <w:p w:rsidR="008A1198" w:rsidRPr="00491548" w:rsidRDefault="008A1198" w:rsidP="00857699">
            <w:pPr>
              <w:pStyle w:val="m-235865268959371134tabletype"/>
              <w:spacing w:before="0" w:beforeAutospacing="0" w:after="120" w:afterAutospacing="0" w:line="276" w:lineRule="auto"/>
              <w:jc w:val="left"/>
              <w:rPr>
                <w:sz w:val="20"/>
                <w:szCs w:val="20"/>
              </w:rPr>
            </w:pPr>
            <w:r w:rsidRPr="00491548">
              <w:rPr>
                <w:sz w:val="20"/>
                <w:szCs w:val="20"/>
              </w:rPr>
              <w:t>The compression garments must be selected correctly to apply the degree of compression required by the individual resident, as evidenced in the diagnosis, assessment and directive.</w:t>
            </w:r>
          </w:p>
          <w:p w:rsidR="008A1198" w:rsidRPr="00491548" w:rsidRDefault="008A1198" w:rsidP="00857699">
            <w:pPr>
              <w:pStyle w:val="m-235865268959371134tabletype"/>
              <w:spacing w:before="0" w:beforeAutospacing="0" w:after="0" w:afterAutospacing="0" w:line="276" w:lineRule="auto"/>
              <w:jc w:val="left"/>
              <w:rPr>
                <w:rFonts w:asciiTheme="minorHAnsi" w:hAnsiTheme="minorHAnsi" w:cstheme="minorHAnsi"/>
                <w:sz w:val="20"/>
                <w:szCs w:val="20"/>
              </w:rPr>
            </w:pPr>
            <w:r w:rsidRPr="00491548">
              <w:rPr>
                <w:sz w:val="20"/>
                <w:szCs w:val="20"/>
              </w:rPr>
              <w:t xml:space="preserve">It is expected that the Health Professional providing the directive for treatment would have the clinical expertise to identify the appropriate garments for treating these complex health care conditions. </w:t>
            </w:r>
          </w:p>
        </w:tc>
        <w:tc>
          <w:tcPr>
            <w:tcW w:w="3685" w:type="dxa"/>
          </w:tcPr>
          <w:p w:rsidR="00C63FC2" w:rsidRPr="00491548" w:rsidRDefault="00C63FC2" w:rsidP="00F02312">
            <w:pPr>
              <w:pStyle w:val="m-235865268959371134tabletype"/>
              <w:numPr>
                <w:ilvl w:val="0"/>
                <w:numId w:val="169"/>
              </w:numPr>
              <w:spacing w:before="0" w:beforeAutospacing="0" w:after="60" w:afterAutospacing="0"/>
              <w:ind w:left="284" w:hanging="284"/>
              <w:jc w:val="left"/>
              <w:rPr>
                <w:sz w:val="20"/>
                <w:szCs w:val="20"/>
              </w:rPr>
            </w:pPr>
            <w:r w:rsidRPr="00491548">
              <w:rPr>
                <w:sz w:val="20"/>
                <w:szCs w:val="20"/>
              </w:rPr>
              <w:t>Diagnosis (documented by a Medical Practitioner)</w:t>
            </w:r>
          </w:p>
          <w:p w:rsidR="00C63FC2" w:rsidRPr="00491548" w:rsidRDefault="00C63FC2" w:rsidP="00857699">
            <w:pPr>
              <w:pStyle w:val="m-235865268959371134tabletype"/>
              <w:spacing w:before="80" w:beforeAutospacing="0" w:after="80" w:afterAutospacing="0"/>
              <w:jc w:val="left"/>
              <w:rPr>
                <w:b/>
                <w:bCs/>
                <w:sz w:val="20"/>
                <w:szCs w:val="20"/>
              </w:rPr>
            </w:pPr>
            <w:r w:rsidRPr="00491548">
              <w:rPr>
                <w:b/>
                <w:bCs/>
                <w:sz w:val="20"/>
                <w:szCs w:val="20"/>
              </w:rPr>
              <w:t>AND</w:t>
            </w:r>
          </w:p>
          <w:p w:rsidR="00980F62" w:rsidRDefault="00C63FC2" w:rsidP="00F02312">
            <w:pPr>
              <w:pStyle w:val="m-235865268959371134tabletype"/>
              <w:numPr>
                <w:ilvl w:val="0"/>
                <w:numId w:val="169"/>
              </w:numPr>
              <w:spacing w:before="0" w:beforeAutospacing="0" w:after="60" w:afterAutospacing="0"/>
              <w:ind w:left="284" w:hanging="284"/>
              <w:jc w:val="left"/>
              <w:rPr>
                <w:sz w:val="20"/>
                <w:szCs w:val="20"/>
              </w:rPr>
            </w:pPr>
            <w:r w:rsidRPr="00491548">
              <w:rPr>
                <w:sz w:val="20"/>
                <w:szCs w:val="20"/>
              </w:rPr>
              <w:t>Directive [registered nurse or medical practitioner or allied health professional].</w:t>
            </w:r>
          </w:p>
          <w:p w:rsidR="00C63FC2" w:rsidRPr="00491548" w:rsidRDefault="00C63FC2" w:rsidP="00857699">
            <w:pPr>
              <w:pStyle w:val="m-235865268959371134tabletype"/>
              <w:spacing w:before="0" w:beforeAutospacing="0" w:after="0" w:afterAutospacing="0" w:line="276" w:lineRule="auto"/>
              <w:jc w:val="left"/>
              <w:rPr>
                <w:sz w:val="20"/>
                <w:szCs w:val="20"/>
              </w:rPr>
            </w:pPr>
            <w:r w:rsidRPr="00491548">
              <w:rPr>
                <w:sz w:val="20"/>
                <w:szCs w:val="20"/>
              </w:rPr>
              <w:t>The Directive is to contain the assessment outcomes, goals of treatment and treatment plan, covering:</w:t>
            </w:r>
          </w:p>
          <w:p w:rsidR="00C63FC2" w:rsidRPr="00491548" w:rsidRDefault="00C63FC2" w:rsidP="00F02312">
            <w:pPr>
              <w:pStyle w:val="m-235865268959371134tabletype"/>
              <w:numPr>
                <w:ilvl w:val="0"/>
                <w:numId w:val="120"/>
              </w:numPr>
              <w:spacing w:before="0" w:beforeAutospacing="0" w:after="0" w:afterAutospacing="0" w:line="276" w:lineRule="auto"/>
              <w:ind w:left="357" w:hanging="357"/>
              <w:jc w:val="left"/>
              <w:rPr>
                <w:sz w:val="20"/>
                <w:szCs w:val="20"/>
              </w:rPr>
            </w:pPr>
            <w:r w:rsidRPr="00491548">
              <w:rPr>
                <w:sz w:val="20"/>
                <w:szCs w:val="20"/>
              </w:rPr>
              <w:t>Aim of the compression therapy</w:t>
            </w:r>
          </w:p>
          <w:p w:rsidR="00C63FC2" w:rsidRPr="00491548" w:rsidRDefault="00C63FC2" w:rsidP="00F02312">
            <w:pPr>
              <w:pStyle w:val="m-235865268959371134tabletype"/>
              <w:numPr>
                <w:ilvl w:val="0"/>
                <w:numId w:val="120"/>
              </w:numPr>
              <w:spacing w:before="0" w:beforeAutospacing="0" w:after="0" w:afterAutospacing="0" w:line="276" w:lineRule="auto"/>
              <w:ind w:left="357" w:hanging="357"/>
              <w:jc w:val="left"/>
              <w:rPr>
                <w:sz w:val="20"/>
                <w:szCs w:val="20"/>
              </w:rPr>
            </w:pPr>
            <w:r w:rsidRPr="00491548">
              <w:rPr>
                <w:sz w:val="20"/>
                <w:szCs w:val="20"/>
              </w:rPr>
              <w:t>Type/description of the bandage/hosiery/garment</w:t>
            </w:r>
          </w:p>
          <w:p w:rsidR="00980F62" w:rsidRDefault="00C63FC2" w:rsidP="00F02312">
            <w:pPr>
              <w:pStyle w:val="m-235865268959371134tabletype"/>
              <w:numPr>
                <w:ilvl w:val="0"/>
                <w:numId w:val="120"/>
              </w:numPr>
              <w:spacing w:before="0" w:beforeAutospacing="0" w:after="0" w:afterAutospacing="0" w:line="276" w:lineRule="auto"/>
              <w:ind w:left="357" w:hanging="357"/>
              <w:jc w:val="left"/>
              <w:rPr>
                <w:sz w:val="20"/>
                <w:szCs w:val="20"/>
              </w:rPr>
            </w:pPr>
            <w:r w:rsidRPr="00491548">
              <w:rPr>
                <w:sz w:val="20"/>
                <w:szCs w:val="20"/>
              </w:rPr>
              <w:t xml:space="preserve">Objective measurements </w:t>
            </w:r>
            <w:r w:rsidR="00857699" w:rsidRPr="00491548">
              <w:rPr>
                <w:sz w:val="20"/>
                <w:szCs w:val="20"/>
              </w:rPr>
              <w:br/>
            </w:r>
            <w:r w:rsidRPr="00491548">
              <w:rPr>
                <w:sz w:val="20"/>
                <w:szCs w:val="20"/>
              </w:rPr>
              <w:t>e.g. calf size, ankle size, Doppler ankle brachial pressure index [ABPI] etc.</w:t>
            </w:r>
          </w:p>
          <w:p w:rsidR="00C63FC2" w:rsidRPr="00491548" w:rsidRDefault="00C63FC2" w:rsidP="00F02312">
            <w:pPr>
              <w:pStyle w:val="m-235865268959371134tabletype"/>
              <w:numPr>
                <w:ilvl w:val="0"/>
                <w:numId w:val="120"/>
              </w:numPr>
              <w:spacing w:before="0" w:beforeAutospacing="0" w:after="0" w:afterAutospacing="0" w:line="276" w:lineRule="auto"/>
              <w:ind w:left="357" w:hanging="357"/>
              <w:jc w:val="left"/>
              <w:rPr>
                <w:sz w:val="20"/>
                <w:szCs w:val="20"/>
              </w:rPr>
            </w:pPr>
            <w:r w:rsidRPr="00491548">
              <w:rPr>
                <w:sz w:val="20"/>
                <w:szCs w:val="20"/>
              </w:rPr>
              <w:t>Compression mmHg</w:t>
            </w:r>
          </w:p>
          <w:p w:rsidR="00C63FC2" w:rsidRPr="00491548" w:rsidRDefault="00C63FC2" w:rsidP="00F02312">
            <w:pPr>
              <w:pStyle w:val="m-235865268959371134tabletype"/>
              <w:numPr>
                <w:ilvl w:val="0"/>
                <w:numId w:val="120"/>
              </w:numPr>
              <w:spacing w:before="0" w:beforeAutospacing="0" w:after="0" w:afterAutospacing="0" w:line="276" w:lineRule="auto"/>
              <w:ind w:left="357" w:hanging="357"/>
              <w:jc w:val="left"/>
              <w:rPr>
                <w:sz w:val="20"/>
                <w:szCs w:val="20"/>
              </w:rPr>
            </w:pPr>
            <w:r w:rsidRPr="00491548">
              <w:rPr>
                <w:sz w:val="20"/>
                <w:szCs w:val="20"/>
              </w:rPr>
              <w:t>Application directions (e.g. frequency of application, who is to apply the therapy).</w:t>
            </w:r>
          </w:p>
          <w:p w:rsidR="00C63FC2" w:rsidRPr="00491548" w:rsidRDefault="00C63FC2" w:rsidP="00F02312">
            <w:pPr>
              <w:pStyle w:val="m-235865268959371134tabletype"/>
              <w:numPr>
                <w:ilvl w:val="0"/>
                <w:numId w:val="120"/>
              </w:numPr>
              <w:spacing w:before="0" w:beforeAutospacing="0" w:after="0" w:afterAutospacing="0" w:line="276" w:lineRule="auto"/>
              <w:ind w:left="357" w:hanging="357"/>
              <w:jc w:val="left"/>
              <w:rPr>
                <w:sz w:val="20"/>
                <w:szCs w:val="20"/>
              </w:rPr>
            </w:pPr>
            <w:r w:rsidRPr="00491548">
              <w:rPr>
                <w:sz w:val="20"/>
                <w:szCs w:val="20"/>
              </w:rPr>
              <w:t>Review details.</w:t>
            </w:r>
          </w:p>
          <w:p w:rsidR="00C63FC2" w:rsidRPr="00491548" w:rsidRDefault="00C63FC2" w:rsidP="00857699">
            <w:pPr>
              <w:pStyle w:val="m-235865268959371134tabletype"/>
              <w:spacing w:before="80" w:beforeAutospacing="0" w:after="80" w:afterAutospacing="0"/>
              <w:jc w:val="left"/>
              <w:rPr>
                <w:b/>
                <w:bCs/>
                <w:sz w:val="20"/>
                <w:szCs w:val="20"/>
              </w:rPr>
            </w:pPr>
            <w:r w:rsidRPr="00491548">
              <w:rPr>
                <w:b/>
                <w:bCs/>
                <w:sz w:val="20"/>
                <w:szCs w:val="20"/>
              </w:rPr>
              <w:t>AND</w:t>
            </w:r>
          </w:p>
          <w:p w:rsidR="00C6264F" w:rsidRPr="00491548" w:rsidRDefault="00C63FC2" w:rsidP="00857699">
            <w:pPr>
              <w:pStyle w:val="m-235865268959371134tabletype"/>
              <w:spacing w:before="0" w:beforeAutospacing="0" w:after="60" w:afterAutospacing="0"/>
              <w:ind w:left="284" w:hanging="284"/>
              <w:jc w:val="left"/>
              <w:rPr>
                <w:rFonts w:asciiTheme="minorHAnsi" w:hAnsiTheme="minorHAnsi" w:cstheme="minorHAnsi"/>
                <w:sz w:val="20"/>
                <w:szCs w:val="20"/>
              </w:rPr>
            </w:pPr>
            <w:r w:rsidRPr="00491548">
              <w:rPr>
                <w:b/>
                <w:bCs/>
                <w:sz w:val="20"/>
                <w:szCs w:val="20"/>
              </w:rPr>
              <w:t>3.</w:t>
            </w:r>
            <w:r w:rsidRPr="00491548">
              <w:rPr>
                <w:sz w:val="20"/>
                <w:szCs w:val="20"/>
              </w:rPr>
              <w:t xml:space="preserve"> Record of Treatment</w:t>
            </w:r>
          </w:p>
        </w:tc>
        <w:tc>
          <w:tcPr>
            <w:tcW w:w="709" w:type="dxa"/>
            <w:vAlign w:val="center"/>
          </w:tcPr>
          <w:p w:rsidR="00C6264F" w:rsidRPr="00491548" w:rsidRDefault="00C6264F" w:rsidP="00C6264F">
            <w:pPr>
              <w:jc w:val="center"/>
              <w:rPr>
                <w:sz w:val="20"/>
                <w:szCs w:val="20"/>
              </w:rPr>
            </w:pPr>
            <w:r w:rsidRPr="00491548">
              <w:rPr>
                <w:sz w:val="20"/>
                <w:szCs w:val="20"/>
              </w:rPr>
              <w:sym w:font="Wingdings" w:char="F06F"/>
            </w:r>
            <w:r w:rsidRPr="00491548">
              <w:rPr>
                <w:sz w:val="20"/>
                <w:szCs w:val="20"/>
              </w:rPr>
              <w:t xml:space="preserve"> 7</w:t>
            </w:r>
          </w:p>
        </w:tc>
      </w:tr>
      <w:bookmarkEnd w:id="455"/>
      <w:tr w:rsidR="003217B9" w:rsidRPr="00491548" w:rsidTr="001069D4">
        <w:trPr>
          <w:cantSplit/>
        </w:trPr>
        <w:tc>
          <w:tcPr>
            <w:tcW w:w="850" w:type="dxa"/>
            <w:tcBorders>
              <w:bottom w:val="single" w:sz="12" w:space="0" w:color="auto"/>
            </w:tcBorders>
          </w:tcPr>
          <w:p w:rsidR="003217B9" w:rsidRPr="00491548" w:rsidRDefault="003217B9" w:rsidP="00A51750">
            <w:pPr>
              <w:pStyle w:val="Tabletype"/>
              <w:jc w:val="center"/>
              <w:rPr>
                <w:rFonts w:asciiTheme="minorHAnsi" w:hAnsiTheme="minorHAnsi" w:cstheme="minorHAnsi"/>
                <w:sz w:val="20"/>
                <w:szCs w:val="20"/>
              </w:rPr>
            </w:pPr>
            <w:r w:rsidRPr="00491548">
              <w:rPr>
                <w:rFonts w:asciiTheme="minorHAnsi" w:hAnsiTheme="minorHAnsi" w:cstheme="minorHAnsi"/>
                <w:sz w:val="20"/>
                <w:szCs w:val="20"/>
              </w:rPr>
              <w:t>3</w:t>
            </w:r>
          </w:p>
        </w:tc>
        <w:tc>
          <w:tcPr>
            <w:tcW w:w="4112" w:type="dxa"/>
            <w:tcBorders>
              <w:bottom w:val="single" w:sz="12" w:space="0" w:color="auto"/>
            </w:tcBorders>
          </w:tcPr>
          <w:p w:rsidR="003217B9" w:rsidRPr="00491548" w:rsidRDefault="003217B9" w:rsidP="00857699">
            <w:pPr>
              <w:pStyle w:val="Tabletype"/>
              <w:spacing w:after="60"/>
              <w:jc w:val="left"/>
              <w:rPr>
                <w:rFonts w:asciiTheme="minorHAnsi" w:hAnsiTheme="minorHAnsi" w:cstheme="minorHAnsi"/>
                <w:sz w:val="20"/>
                <w:szCs w:val="20"/>
              </w:rPr>
            </w:pPr>
            <w:r w:rsidRPr="00491548">
              <w:rPr>
                <w:rFonts w:asciiTheme="minorHAnsi" w:hAnsiTheme="minorHAnsi" w:cstheme="minorHAnsi"/>
                <w:sz w:val="20"/>
                <w:szCs w:val="20"/>
              </w:rPr>
              <w:t xml:space="preserve">Depression </w:t>
            </w:r>
          </w:p>
        </w:tc>
        <w:tc>
          <w:tcPr>
            <w:tcW w:w="3685" w:type="dxa"/>
            <w:tcBorders>
              <w:bottom w:val="single" w:sz="12" w:space="0" w:color="auto"/>
            </w:tcBorders>
          </w:tcPr>
          <w:p w:rsidR="003217B9" w:rsidRPr="00491548" w:rsidRDefault="003217B9" w:rsidP="00857699">
            <w:pPr>
              <w:pStyle w:val="Tabletype"/>
              <w:numPr>
                <w:ilvl w:val="0"/>
                <w:numId w:val="24"/>
              </w:numPr>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 xml:space="preserve">Diagnosis of </w:t>
            </w:r>
            <w:r w:rsidR="007D1171" w:rsidRPr="00491548">
              <w:rPr>
                <w:rFonts w:asciiTheme="minorHAnsi" w:hAnsiTheme="minorHAnsi" w:cstheme="minorHAnsi"/>
                <w:sz w:val="20"/>
                <w:szCs w:val="20"/>
              </w:rPr>
              <w:t>Major Depressive D</w:t>
            </w:r>
            <w:r w:rsidRPr="00491548">
              <w:rPr>
                <w:rFonts w:asciiTheme="minorHAnsi" w:hAnsiTheme="minorHAnsi" w:cstheme="minorHAnsi"/>
                <w:sz w:val="20"/>
                <w:szCs w:val="20"/>
              </w:rPr>
              <w:t>isorder</w:t>
            </w:r>
          </w:p>
          <w:p w:rsidR="003217B9" w:rsidRPr="00491548" w:rsidRDefault="003217B9" w:rsidP="00857699">
            <w:pPr>
              <w:pStyle w:val="Tabletype"/>
              <w:spacing w:before="80" w:after="80"/>
              <w:jc w:val="left"/>
              <w:rPr>
                <w:rFonts w:asciiTheme="minorHAnsi" w:hAnsiTheme="minorHAnsi" w:cstheme="minorHAnsi"/>
                <w:b/>
                <w:sz w:val="20"/>
                <w:szCs w:val="20"/>
              </w:rPr>
            </w:pPr>
            <w:r w:rsidRPr="00491548">
              <w:rPr>
                <w:rFonts w:asciiTheme="minorHAnsi" w:hAnsiTheme="minorHAnsi" w:cstheme="minorHAnsi"/>
                <w:b/>
                <w:sz w:val="20"/>
                <w:szCs w:val="20"/>
              </w:rPr>
              <w:t>AND</w:t>
            </w:r>
          </w:p>
          <w:p w:rsidR="003217B9" w:rsidRPr="00491548" w:rsidRDefault="003217B9" w:rsidP="00857699">
            <w:pPr>
              <w:pStyle w:val="Tabletype"/>
              <w:numPr>
                <w:ilvl w:val="0"/>
                <w:numId w:val="24"/>
              </w:numPr>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Directive [registered nurse or medical practitioner]</w:t>
            </w:r>
          </w:p>
          <w:p w:rsidR="003217B9" w:rsidRPr="00491548" w:rsidRDefault="003217B9" w:rsidP="00857699">
            <w:pPr>
              <w:pStyle w:val="Tabletype"/>
              <w:spacing w:before="80" w:after="80"/>
              <w:jc w:val="left"/>
              <w:rPr>
                <w:rFonts w:asciiTheme="minorHAnsi" w:hAnsiTheme="minorHAnsi" w:cstheme="minorHAnsi"/>
                <w:b/>
                <w:sz w:val="20"/>
                <w:szCs w:val="20"/>
              </w:rPr>
            </w:pPr>
            <w:r w:rsidRPr="00491548">
              <w:rPr>
                <w:rFonts w:asciiTheme="minorHAnsi" w:hAnsiTheme="minorHAnsi" w:cstheme="minorHAnsi"/>
                <w:b/>
                <w:sz w:val="20"/>
                <w:szCs w:val="20"/>
              </w:rPr>
              <w:t>AND</w:t>
            </w:r>
          </w:p>
          <w:p w:rsidR="003217B9" w:rsidRPr="00491548" w:rsidRDefault="003217B9" w:rsidP="00857699">
            <w:pPr>
              <w:pStyle w:val="Tabletype"/>
              <w:numPr>
                <w:ilvl w:val="0"/>
                <w:numId w:val="24"/>
              </w:numPr>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 xml:space="preserve">Depression Assessment (recommend CSD, GDS, K-10) </w:t>
            </w:r>
          </w:p>
        </w:tc>
        <w:tc>
          <w:tcPr>
            <w:tcW w:w="709" w:type="dxa"/>
            <w:tcBorders>
              <w:bottom w:val="single" w:sz="12" w:space="0" w:color="auto"/>
            </w:tcBorders>
            <w:vAlign w:val="center"/>
          </w:tcPr>
          <w:p w:rsidR="003217B9" w:rsidRPr="00491548" w:rsidRDefault="003217B9" w:rsidP="00A51750">
            <w:pPr>
              <w:jc w:val="center"/>
              <w:rPr>
                <w:sz w:val="20"/>
                <w:szCs w:val="20"/>
              </w:rPr>
            </w:pPr>
            <w:r w:rsidRPr="00491548">
              <w:rPr>
                <w:sz w:val="20"/>
                <w:szCs w:val="20"/>
              </w:rPr>
              <w:sym w:font="Wingdings" w:char="F06F"/>
            </w:r>
            <w:r w:rsidRPr="00491548">
              <w:rPr>
                <w:sz w:val="20"/>
                <w:szCs w:val="20"/>
              </w:rPr>
              <w:t xml:space="preserve"> 8</w:t>
            </w:r>
          </w:p>
        </w:tc>
      </w:tr>
      <w:tr w:rsidR="003217B9" w:rsidRPr="00491548" w:rsidTr="001069D4">
        <w:trPr>
          <w:cantSplit/>
        </w:trPr>
        <w:tc>
          <w:tcPr>
            <w:tcW w:w="850" w:type="dxa"/>
            <w:tcBorders>
              <w:top w:val="single" w:sz="12" w:space="0" w:color="auto"/>
              <w:left w:val="single" w:sz="12" w:space="0" w:color="auto"/>
              <w:bottom w:val="single" w:sz="2" w:space="0" w:color="auto"/>
              <w:right w:val="single" w:sz="2" w:space="0" w:color="auto"/>
            </w:tcBorders>
          </w:tcPr>
          <w:p w:rsidR="003217B9" w:rsidRPr="00491548" w:rsidRDefault="003217B9" w:rsidP="00A51750">
            <w:pPr>
              <w:pStyle w:val="Tabletype"/>
              <w:jc w:val="center"/>
              <w:rPr>
                <w:rFonts w:asciiTheme="minorHAnsi" w:hAnsiTheme="minorHAnsi" w:cstheme="minorHAnsi"/>
                <w:sz w:val="20"/>
                <w:szCs w:val="20"/>
              </w:rPr>
            </w:pPr>
            <w:r w:rsidRPr="00491548">
              <w:rPr>
                <w:rFonts w:asciiTheme="minorHAnsi" w:hAnsiTheme="minorHAnsi" w:cstheme="minorHAnsi"/>
                <w:sz w:val="20"/>
                <w:szCs w:val="20"/>
              </w:rPr>
              <w:t>3</w:t>
            </w:r>
          </w:p>
        </w:tc>
        <w:tc>
          <w:tcPr>
            <w:tcW w:w="4112" w:type="dxa"/>
            <w:tcBorders>
              <w:top w:val="single" w:sz="12" w:space="0" w:color="auto"/>
              <w:left w:val="single" w:sz="2" w:space="0" w:color="auto"/>
              <w:bottom w:val="single" w:sz="2" w:space="0" w:color="auto"/>
              <w:right w:val="single" w:sz="2" w:space="0" w:color="auto"/>
            </w:tcBorders>
          </w:tcPr>
          <w:p w:rsidR="003217B9" w:rsidRPr="00491548" w:rsidRDefault="003217B9" w:rsidP="00857699">
            <w:pPr>
              <w:pStyle w:val="Tabletype"/>
              <w:spacing w:after="60"/>
              <w:jc w:val="left"/>
              <w:rPr>
                <w:rFonts w:asciiTheme="minorHAnsi" w:hAnsiTheme="minorHAnsi" w:cstheme="minorHAnsi"/>
                <w:sz w:val="20"/>
                <w:szCs w:val="20"/>
              </w:rPr>
            </w:pPr>
            <w:r w:rsidRPr="00491548">
              <w:rPr>
                <w:rFonts w:asciiTheme="minorHAnsi" w:hAnsiTheme="minorHAnsi" w:cstheme="minorHAnsi"/>
                <w:sz w:val="20"/>
                <w:szCs w:val="20"/>
              </w:rPr>
              <w:t>Medications 1- Weekly patches, suppositories or enemas, Daily Medication Assistance</w:t>
            </w:r>
            <w:r w:rsidR="004A01D6" w:rsidRPr="00491548">
              <w:rPr>
                <w:rFonts w:asciiTheme="minorHAnsi" w:hAnsiTheme="minorHAnsi" w:cstheme="minorHAnsi"/>
                <w:sz w:val="20"/>
                <w:szCs w:val="20"/>
              </w:rPr>
              <w:t>.</w:t>
            </w:r>
          </w:p>
        </w:tc>
        <w:tc>
          <w:tcPr>
            <w:tcW w:w="3685" w:type="dxa"/>
            <w:tcBorders>
              <w:top w:val="single" w:sz="12" w:space="0" w:color="auto"/>
              <w:left w:val="single" w:sz="2" w:space="0" w:color="auto"/>
              <w:bottom w:val="single" w:sz="2" w:space="0" w:color="auto"/>
              <w:right w:val="single" w:sz="2" w:space="0" w:color="auto"/>
            </w:tcBorders>
          </w:tcPr>
          <w:p w:rsidR="003217B9" w:rsidRPr="00491548" w:rsidRDefault="003217B9" w:rsidP="00857699">
            <w:pPr>
              <w:pStyle w:val="Tabletype"/>
              <w:numPr>
                <w:ilvl w:val="0"/>
                <w:numId w:val="25"/>
              </w:numPr>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Medication Directive/Chart [medical practitioner]</w:t>
            </w:r>
          </w:p>
          <w:p w:rsidR="003217B9" w:rsidRPr="00491548" w:rsidRDefault="003217B9" w:rsidP="00857699">
            <w:pPr>
              <w:pStyle w:val="Tabletype"/>
              <w:spacing w:after="60"/>
              <w:ind w:left="284" w:hanging="284"/>
              <w:jc w:val="left"/>
              <w:rPr>
                <w:rFonts w:asciiTheme="minorHAnsi" w:hAnsiTheme="minorHAnsi" w:cstheme="minorHAnsi"/>
                <w:sz w:val="20"/>
                <w:szCs w:val="20"/>
              </w:rPr>
            </w:pPr>
          </w:p>
        </w:tc>
        <w:tc>
          <w:tcPr>
            <w:tcW w:w="709" w:type="dxa"/>
            <w:tcBorders>
              <w:top w:val="single" w:sz="12" w:space="0" w:color="auto"/>
              <w:left w:val="single" w:sz="2" w:space="0" w:color="auto"/>
              <w:bottom w:val="single" w:sz="2" w:space="0" w:color="auto"/>
              <w:right w:val="single" w:sz="12" w:space="0" w:color="auto"/>
            </w:tcBorders>
            <w:vAlign w:val="center"/>
          </w:tcPr>
          <w:p w:rsidR="003217B9" w:rsidRPr="00491548" w:rsidRDefault="003217B9" w:rsidP="00A51750">
            <w:pPr>
              <w:jc w:val="center"/>
              <w:rPr>
                <w:sz w:val="20"/>
                <w:szCs w:val="20"/>
              </w:rPr>
            </w:pPr>
            <w:r w:rsidRPr="00491548">
              <w:rPr>
                <w:sz w:val="20"/>
                <w:szCs w:val="20"/>
              </w:rPr>
              <w:sym w:font="Wingdings" w:char="F06F"/>
            </w:r>
            <w:r w:rsidRPr="00491548">
              <w:rPr>
                <w:sz w:val="20"/>
                <w:szCs w:val="20"/>
              </w:rPr>
              <w:t xml:space="preserve"> 9a</w:t>
            </w:r>
          </w:p>
        </w:tc>
      </w:tr>
      <w:tr w:rsidR="00491548" w:rsidRPr="00491548" w:rsidTr="001069D4">
        <w:trPr>
          <w:cantSplit/>
        </w:trPr>
        <w:tc>
          <w:tcPr>
            <w:tcW w:w="9356" w:type="dxa"/>
            <w:gridSpan w:val="4"/>
            <w:tcBorders>
              <w:top w:val="single" w:sz="2" w:space="0" w:color="auto"/>
              <w:left w:val="single" w:sz="12" w:space="0" w:color="auto"/>
              <w:bottom w:val="single" w:sz="2" w:space="0" w:color="auto"/>
              <w:right w:val="single" w:sz="12" w:space="0" w:color="auto"/>
            </w:tcBorders>
            <w:vAlign w:val="center"/>
          </w:tcPr>
          <w:p w:rsidR="00491548" w:rsidRPr="00491548" w:rsidRDefault="00491548" w:rsidP="00491548">
            <w:pPr>
              <w:spacing w:after="0"/>
              <w:jc w:val="center"/>
              <w:rPr>
                <w:sz w:val="20"/>
                <w:szCs w:val="20"/>
              </w:rPr>
            </w:pPr>
            <w:r w:rsidRPr="00491548">
              <w:rPr>
                <w:rFonts w:cstheme="minorHAnsi"/>
                <w:b/>
                <w:sz w:val="20"/>
                <w:szCs w:val="20"/>
              </w:rPr>
              <w:t>OR</w:t>
            </w:r>
          </w:p>
        </w:tc>
      </w:tr>
      <w:tr w:rsidR="003217B9" w:rsidRPr="00491548" w:rsidTr="001069D4">
        <w:trPr>
          <w:cantSplit/>
        </w:trPr>
        <w:tc>
          <w:tcPr>
            <w:tcW w:w="850" w:type="dxa"/>
            <w:tcBorders>
              <w:top w:val="single" w:sz="2" w:space="0" w:color="auto"/>
              <w:left w:val="single" w:sz="12" w:space="0" w:color="auto"/>
              <w:bottom w:val="single" w:sz="12" w:space="0" w:color="auto"/>
              <w:right w:val="single" w:sz="2" w:space="0" w:color="auto"/>
            </w:tcBorders>
          </w:tcPr>
          <w:p w:rsidR="003217B9" w:rsidRPr="00491548" w:rsidRDefault="003217B9" w:rsidP="00A51750">
            <w:pPr>
              <w:pStyle w:val="Tabletype"/>
              <w:jc w:val="center"/>
              <w:rPr>
                <w:rFonts w:asciiTheme="minorHAnsi" w:hAnsiTheme="minorHAnsi" w:cstheme="minorHAnsi"/>
                <w:sz w:val="20"/>
                <w:szCs w:val="20"/>
              </w:rPr>
            </w:pPr>
            <w:r w:rsidRPr="00491548">
              <w:rPr>
                <w:rFonts w:asciiTheme="minorHAnsi" w:hAnsiTheme="minorHAnsi" w:cstheme="minorHAnsi"/>
                <w:sz w:val="20"/>
                <w:szCs w:val="20"/>
              </w:rPr>
              <w:t>6</w:t>
            </w:r>
          </w:p>
        </w:tc>
        <w:tc>
          <w:tcPr>
            <w:tcW w:w="4112" w:type="dxa"/>
            <w:tcBorders>
              <w:top w:val="single" w:sz="2" w:space="0" w:color="auto"/>
              <w:left w:val="single" w:sz="2" w:space="0" w:color="auto"/>
              <w:bottom w:val="single" w:sz="12" w:space="0" w:color="auto"/>
              <w:right w:val="single" w:sz="2" w:space="0" w:color="auto"/>
            </w:tcBorders>
          </w:tcPr>
          <w:p w:rsidR="003217B9" w:rsidRPr="00491548" w:rsidRDefault="003217B9" w:rsidP="00857699">
            <w:pPr>
              <w:jc w:val="left"/>
              <w:rPr>
                <w:rFonts w:cstheme="minorHAnsi"/>
                <w:sz w:val="20"/>
                <w:szCs w:val="20"/>
              </w:rPr>
            </w:pPr>
            <w:r w:rsidRPr="00491548">
              <w:rPr>
                <w:rFonts w:cstheme="minorHAnsi"/>
                <w:sz w:val="20"/>
                <w:szCs w:val="20"/>
              </w:rPr>
              <w:t>Medications 2- Daily administration of injections</w:t>
            </w:r>
            <w:r w:rsidR="008A1198" w:rsidRPr="00491548">
              <w:rPr>
                <w:rFonts w:cstheme="minorHAnsi"/>
                <w:sz w:val="20"/>
                <w:szCs w:val="20"/>
              </w:rPr>
              <w:t xml:space="preserve"> (Subcutaneous, intramuscular, intravenous)</w:t>
            </w:r>
            <w:r w:rsidRPr="00491548">
              <w:rPr>
                <w:rFonts w:cstheme="minorHAnsi"/>
                <w:sz w:val="20"/>
                <w:szCs w:val="20"/>
              </w:rPr>
              <w:t>.</w:t>
            </w:r>
          </w:p>
          <w:p w:rsidR="003217B9" w:rsidRPr="00491548" w:rsidRDefault="003217B9" w:rsidP="00857699">
            <w:pPr>
              <w:pStyle w:val="Tabletype"/>
              <w:spacing w:after="60"/>
              <w:jc w:val="left"/>
              <w:rPr>
                <w:rFonts w:asciiTheme="minorHAnsi" w:hAnsiTheme="minorHAnsi" w:cstheme="minorHAnsi"/>
                <w:sz w:val="20"/>
                <w:szCs w:val="20"/>
              </w:rPr>
            </w:pPr>
            <w:r w:rsidRPr="00491548">
              <w:rPr>
                <w:rFonts w:asciiTheme="minorHAnsi" w:hAnsiTheme="minorHAnsi" w:cstheme="minorHAnsi"/>
                <w:sz w:val="20"/>
                <w:szCs w:val="20"/>
              </w:rPr>
              <w:t>Can only claim one item- either 9a or 9b.</w:t>
            </w:r>
          </w:p>
        </w:tc>
        <w:tc>
          <w:tcPr>
            <w:tcW w:w="3685" w:type="dxa"/>
            <w:tcBorders>
              <w:top w:val="single" w:sz="2" w:space="0" w:color="auto"/>
              <w:left w:val="single" w:sz="2" w:space="0" w:color="auto"/>
              <w:bottom w:val="single" w:sz="12" w:space="0" w:color="auto"/>
              <w:right w:val="single" w:sz="2" w:space="0" w:color="auto"/>
            </w:tcBorders>
          </w:tcPr>
          <w:p w:rsidR="003217B9" w:rsidRPr="00491548" w:rsidRDefault="003217B9" w:rsidP="00857699">
            <w:pPr>
              <w:pStyle w:val="Tabletype"/>
              <w:numPr>
                <w:ilvl w:val="0"/>
                <w:numId w:val="26"/>
              </w:numPr>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Medication Directive/Chart [medical practitioner]</w:t>
            </w:r>
          </w:p>
          <w:p w:rsidR="003217B9" w:rsidRPr="00491548" w:rsidRDefault="003217B9" w:rsidP="00857699">
            <w:pPr>
              <w:pStyle w:val="Tabletype"/>
              <w:spacing w:after="60"/>
              <w:ind w:left="284" w:hanging="284"/>
              <w:jc w:val="left"/>
              <w:rPr>
                <w:rFonts w:asciiTheme="minorHAnsi" w:hAnsiTheme="minorHAnsi" w:cstheme="minorHAnsi"/>
                <w:sz w:val="20"/>
                <w:szCs w:val="20"/>
              </w:rPr>
            </w:pPr>
          </w:p>
        </w:tc>
        <w:tc>
          <w:tcPr>
            <w:tcW w:w="709" w:type="dxa"/>
            <w:tcBorders>
              <w:top w:val="single" w:sz="2" w:space="0" w:color="auto"/>
              <w:left w:val="single" w:sz="2" w:space="0" w:color="auto"/>
              <w:bottom w:val="single" w:sz="12" w:space="0" w:color="auto"/>
              <w:right w:val="single" w:sz="12" w:space="0" w:color="auto"/>
            </w:tcBorders>
            <w:vAlign w:val="center"/>
          </w:tcPr>
          <w:p w:rsidR="003217B9" w:rsidRPr="00491548" w:rsidRDefault="003217B9" w:rsidP="00A51750">
            <w:pPr>
              <w:jc w:val="center"/>
              <w:rPr>
                <w:sz w:val="20"/>
                <w:szCs w:val="20"/>
              </w:rPr>
            </w:pPr>
            <w:r w:rsidRPr="00491548">
              <w:rPr>
                <w:sz w:val="20"/>
                <w:szCs w:val="20"/>
              </w:rPr>
              <w:sym w:font="Wingdings" w:char="F06F"/>
            </w:r>
            <w:r w:rsidRPr="00491548">
              <w:rPr>
                <w:sz w:val="20"/>
                <w:szCs w:val="20"/>
              </w:rPr>
              <w:t xml:space="preserve"> 9b</w:t>
            </w:r>
          </w:p>
        </w:tc>
      </w:tr>
      <w:tr w:rsidR="003217B9" w:rsidRPr="00491548" w:rsidTr="001069D4">
        <w:trPr>
          <w:cantSplit/>
        </w:trPr>
        <w:tc>
          <w:tcPr>
            <w:tcW w:w="850" w:type="dxa"/>
          </w:tcPr>
          <w:p w:rsidR="003217B9" w:rsidRPr="00491548" w:rsidRDefault="003217B9" w:rsidP="00A51750">
            <w:pPr>
              <w:pStyle w:val="Tabletype"/>
              <w:jc w:val="center"/>
              <w:rPr>
                <w:rFonts w:asciiTheme="minorHAnsi" w:hAnsiTheme="minorHAnsi" w:cstheme="minorHAnsi"/>
                <w:sz w:val="20"/>
                <w:szCs w:val="20"/>
              </w:rPr>
            </w:pPr>
            <w:r w:rsidRPr="00491548">
              <w:rPr>
                <w:rFonts w:asciiTheme="minorHAnsi" w:hAnsiTheme="minorHAnsi" w:cstheme="minorHAnsi"/>
                <w:sz w:val="20"/>
                <w:szCs w:val="20"/>
              </w:rPr>
              <w:t>6</w:t>
            </w:r>
          </w:p>
        </w:tc>
        <w:tc>
          <w:tcPr>
            <w:tcW w:w="4112" w:type="dxa"/>
          </w:tcPr>
          <w:p w:rsidR="003217B9" w:rsidRPr="00491548" w:rsidRDefault="003217B9" w:rsidP="00857699">
            <w:pPr>
              <w:pStyle w:val="Tabletype"/>
              <w:spacing w:after="60"/>
              <w:jc w:val="left"/>
              <w:rPr>
                <w:rFonts w:asciiTheme="minorHAnsi" w:hAnsiTheme="minorHAnsi" w:cstheme="minorHAnsi"/>
                <w:sz w:val="20"/>
                <w:szCs w:val="20"/>
              </w:rPr>
            </w:pPr>
            <w:r w:rsidRPr="00491548">
              <w:rPr>
                <w:rFonts w:asciiTheme="minorHAnsi" w:hAnsiTheme="minorHAnsi" w:cstheme="minorHAnsi"/>
                <w:sz w:val="20"/>
                <w:szCs w:val="20"/>
              </w:rPr>
              <w:t>Management of chronic infectious conditions</w:t>
            </w:r>
          </w:p>
          <w:p w:rsidR="003217B9" w:rsidRPr="00491548" w:rsidRDefault="003217B9" w:rsidP="00857699">
            <w:pPr>
              <w:pStyle w:val="Tabletype"/>
              <w:numPr>
                <w:ilvl w:val="0"/>
                <w:numId w:val="32"/>
              </w:numPr>
              <w:spacing w:after="60"/>
              <w:ind w:left="326" w:hanging="326"/>
              <w:jc w:val="left"/>
              <w:rPr>
                <w:rFonts w:asciiTheme="minorHAnsi" w:hAnsiTheme="minorHAnsi" w:cstheme="minorHAnsi"/>
                <w:sz w:val="20"/>
                <w:szCs w:val="20"/>
              </w:rPr>
            </w:pPr>
            <w:r w:rsidRPr="00491548">
              <w:rPr>
                <w:rFonts w:asciiTheme="minorHAnsi" w:hAnsiTheme="minorHAnsi" w:cstheme="minorHAnsi"/>
                <w:sz w:val="20"/>
                <w:szCs w:val="20"/>
              </w:rPr>
              <w:t>Antibiotic resistant bacterial infections</w:t>
            </w:r>
          </w:p>
          <w:p w:rsidR="003217B9" w:rsidRPr="00491548" w:rsidRDefault="003217B9" w:rsidP="00857699">
            <w:pPr>
              <w:pStyle w:val="Tabletype"/>
              <w:numPr>
                <w:ilvl w:val="0"/>
                <w:numId w:val="32"/>
              </w:numPr>
              <w:spacing w:after="60"/>
              <w:ind w:left="326" w:hanging="326"/>
              <w:jc w:val="left"/>
              <w:rPr>
                <w:rFonts w:asciiTheme="minorHAnsi" w:hAnsiTheme="minorHAnsi" w:cstheme="minorHAnsi"/>
                <w:sz w:val="20"/>
                <w:szCs w:val="20"/>
              </w:rPr>
            </w:pPr>
            <w:r w:rsidRPr="00491548">
              <w:rPr>
                <w:rFonts w:asciiTheme="minorHAnsi" w:hAnsiTheme="minorHAnsi" w:cstheme="minorHAnsi"/>
                <w:sz w:val="20"/>
                <w:szCs w:val="20"/>
              </w:rPr>
              <w:t>Tuberculosis</w:t>
            </w:r>
          </w:p>
          <w:p w:rsidR="003217B9" w:rsidRPr="00491548" w:rsidRDefault="003217B9" w:rsidP="00857699">
            <w:pPr>
              <w:pStyle w:val="Tabletype"/>
              <w:numPr>
                <w:ilvl w:val="0"/>
                <w:numId w:val="32"/>
              </w:numPr>
              <w:spacing w:after="60"/>
              <w:ind w:left="326" w:hanging="326"/>
              <w:jc w:val="left"/>
              <w:rPr>
                <w:rFonts w:asciiTheme="minorHAnsi" w:hAnsiTheme="minorHAnsi" w:cstheme="minorHAnsi"/>
                <w:sz w:val="20"/>
                <w:szCs w:val="20"/>
              </w:rPr>
            </w:pPr>
            <w:r w:rsidRPr="00491548">
              <w:rPr>
                <w:rFonts w:asciiTheme="minorHAnsi" w:hAnsiTheme="minorHAnsi" w:cstheme="minorHAnsi"/>
                <w:sz w:val="20"/>
                <w:szCs w:val="20"/>
              </w:rPr>
              <w:t>AIDS and other immune-deficiency conditions</w:t>
            </w:r>
          </w:p>
          <w:p w:rsidR="003217B9" w:rsidRPr="00491548" w:rsidRDefault="003217B9" w:rsidP="00857699">
            <w:pPr>
              <w:pStyle w:val="Tabletype"/>
              <w:numPr>
                <w:ilvl w:val="0"/>
                <w:numId w:val="32"/>
              </w:numPr>
              <w:spacing w:after="60"/>
              <w:ind w:left="256" w:hanging="256"/>
              <w:jc w:val="left"/>
              <w:rPr>
                <w:rFonts w:asciiTheme="minorHAnsi" w:hAnsiTheme="minorHAnsi" w:cstheme="minorHAnsi"/>
                <w:sz w:val="20"/>
                <w:szCs w:val="20"/>
              </w:rPr>
            </w:pPr>
            <w:r w:rsidRPr="00491548">
              <w:rPr>
                <w:rFonts w:asciiTheme="minorHAnsi" w:hAnsiTheme="minorHAnsi" w:cstheme="minorHAnsi"/>
                <w:sz w:val="20"/>
                <w:szCs w:val="20"/>
              </w:rPr>
              <w:t>Infectious hepatitis</w:t>
            </w:r>
          </w:p>
        </w:tc>
        <w:tc>
          <w:tcPr>
            <w:tcW w:w="3685" w:type="dxa"/>
          </w:tcPr>
          <w:p w:rsidR="00980F62"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1.</w:t>
            </w:r>
            <w:r w:rsidRPr="00491548">
              <w:rPr>
                <w:rFonts w:asciiTheme="minorHAnsi" w:hAnsiTheme="minorHAnsi" w:cstheme="minorHAnsi"/>
                <w:sz w:val="20"/>
                <w:szCs w:val="20"/>
              </w:rPr>
              <w:tab/>
              <w:t>Diagnosis</w:t>
            </w:r>
          </w:p>
          <w:p w:rsidR="003217B9" w:rsidRPr="00491548" w:rsidRDefault="003217B9" w:rsidP="00857699">
            <w:pPr>
              <w:pStyle w:val="Tabletype"/>
              <w:spacing w:before="80" w:after="80"/>
              <w:jc w:val="left"/>
              <w:rPr>
                <w:rFonts w:asciiTheme="minorHAnsi" w:hAnsiTheme="minorHAnsi" w:cstheme="minorHAnsi"/>
                <w:b/>
                <w:sz w:val="20"/>
                <w:szCs w:val="20"/>
              </w:rPr>
            </w:pPr>
            <w:r w:rsidRPr="00491548">
              <w:rPr>
                <w:rFonts w:asciiTheme="minorHAnsi" w:hAnsiTheme="minorHAnsi" w:cstheme="minorHAnsi"/>
                <w:b/>
                <w:sz w:val="20"/>
                <w:szCs w:val="20"/>
              </w:rPr>
              <w:t>AND</w:t>
            </w:r>
          </w:p>
          <w:p w:rsidR="003217B9" w:rsidRPr="00491548"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2.</w:t>
            </w:r>
            <w:r w:rsidRPr="00491548">
              <w:rPr>
                <w:rFonts w:asciiTheme="minorHAnsi" w:hAnsiTheme="minorHAnsi" w:cstheme="minorHAnsi"/>
                <w:sz w:val="20"/>
                <w:szCs w:val="20"/>
              </w:rPr>
              <w:tab/>
              <w:t>Directive [registered nurse or medical practitioner]</w:t>
            </w:r>
          </w:p>
        </w:tc>
        <w:tc>
          <w:tcPr>
            <w:tcW w:w="709" w:type="dxa"/>
            <w:vAlign w:val="center"/>
          </w:tcPr>
          <w:p w:rsidR="003217B9" w:rsidRPr="00491548" w:rsidRDefault="003217B9" w:rsidP="00A51750">
            <w:pPr>
              <w:jc w:val="center"/>
              <w:rPr>
                <w:sz w:val="20"/>
                <w:szCs w:val="20"/>
              </w:rPr>
            </w:pPr>
            <w:r w:rsidRPr="00491548">
              <w:rPr>
                <w:sz w:val="20"/>
                <w:szCs w:val="20"/>
              </w:rPr>
              <w:sym w:font="Wingdings" w:char="F06F"/>
            </w:r>
            <w:r w:rsidRPr="00491548">
              <w:rPr>
                <w:sz w:val="20"/>
                <w:szCs w:val="20"/>
              </w:rPr>
              <w:t xml:space="preserve"> 10</w:t>
            </w:r>
          </w:p>
        </w:tc>
      </w:tr>
      <w:tr w:rsidR="003217B9" w:rsidRPr="00491548" w:rsidTr="001069D4">
        <w:trPr>
          <w:cantSplit/>
        </w:trPr>
        <w:tc>
          <w:tcPr>
            <w:tcW w:w="850" w:type="dxa"/>
          </w:tcPr>
          <w:p w:rsidR="003217B9" w:rsidRPr="00491548" w:rsidRDefault="003217B9" w:rsidP="00A51750">
            <w:pPr>
              <w:pStyle w:val="Tabletype"/>
              <w:jc w:val="center"/>
              <w:rPr>
                <w:rFonts w:asciiTheme="minorHAnsi" w:hAnsiTheme="minorHAnsi" w:cstheme="minorHAnsi"/>
                <w:sz w:val="20"/>
                <w:szCs w:val="20"/>
              </w:rPr>
            </w:pPr>
            <w:r w:rsidRPr="00491548">
              <w:rPr>
                <w:rFonts w:asciiTheme="minorHAnsi" w:hAnsiTheme="minorHAnsi" w:cstheme="minorHAnsi"/>
                <w:sz w:val="20"/>
                <w:szCs w:val="20"/>
              </w:rPr>
              <w:lastRenderedPageBreak/>
              <w:t>6</w:t>
            </w:r>
          </w:p>
        </w:tc>
        <w:tc>
          <w:tcPr>
            <w:tcW w:w="4112" w:type="dxa"/>
          </w:tcPr>
          <w:p w:rsidR="003217B9" w:rsidRPr="00491548" w:rsidRDefault="003217B9" w:rsidP="00857699">
            <w:pPr>
              <w:pStyle w:val="Tabletype"/>
              <w:spacing w:after="60"/>
              <w:jc w:val="left"/>
              <w:rPr>
                <w:rFonts w:asciiTheme="minorHAnsi" w:hAnsiTheme="minorHAnsi" w:cstheme="minorHAnsi"/>
                <w:sz w:val="20"/>
                <w:szCs w:val="20"/>
              </w:rPr>
            </w:pPr>
            <w:r w:rsidRPr="00491548">
              <w:rPr>
                <w:rFonts w:asciiTheme="minorHAnsi" w:hAnsiTheme="minorHAnsi" w:cstheme="minorHAnsi"/>
                <w:sz w:val="20"/>
                <w:szCs w:val="20"/>
              </w:rPr>
              <w:t>Management of chronic wounds, including varicose and pressure ulcers, and diabetic foot ulcers</w:t>
            </w:r>
          </w:p>
        </w:tc>
        <w:tc>
          <w:tcPr>
            <w:tcW w:w="3685" w:type="dxa"/>
          </w:tcPr>
          <w:p w:rsidR="00980F62"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1.</w:t>
            </w:r>
            <w:r w:rsidRPr="00491548">
              <w:rPr>
                <w:rFonts w:asciiTheme="minorHAnsi" w:hAnsiTheme="minorHAnsi" w:cstheme="minorHAnsi"/>
                <w:sz w:val="20"/>
                <w:szCs w:val="20"/>
              </w:rPr>
              <w:tab/>
              <w:t>Diagnosis</w:t>
            </w:r>
          </w:p>
          <w:p w:rsidR="003217B9" w:rsidRPr="00491548" w:rsidRDefault="003217B9" w:rsidP="00857699">
            <w:pPr>
              <w:pStyle w:val="Tabletype"/>
              <w:spacing w:before="80" w:after="80"/>
              <w:jc w:val="left"/>
              <w:rPr>
                <w:rFonts w:asciiTheme="minorHAnsi" w:hAnsiTheme="minorHAnsi" w:cstheme="minorHAnsi"/>
                <w:b/>
                <w:sz w:val="20"/>
                <w:szCs w:val="20"/>
              </w:rPr>
            </w:pPr>
            <w:r w:rsidRPr="00491548">
              <w:rPr>
                <w:rFonts w:asciiTheme="minorHAnsi" w:hAnsiTheme="minorHAnsi" w:cstheme="minorHAnsi"/>
                <w:b/>
                <w:sz w:val="20"/>
                <w:szCs w:val="20"/>
              </w:rPr>
              <w:t>AND</w:t>
            </w:r>
          </w:p>
          <w:p w:rsidR="003217B9" w:rsidRPr="00491548"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2.</w:t>
            </w:r>
            <w:r w:rsidRPr="00491548">
              <w:rPr>
                <w:rFonts w:asciiTheme="minorHAnsi" w:hAnsiTheme="minorHAnsi" w:cstheme="minorHAnsi"/>
                <w:sz w:val="20"/>
                <w:szCs w:val="20"/>
              </w:rPr>
              <w:tab/>
              <w:t>Directive [registered nurse or medical practitioner or allied health professional]</w:t>
            </w:r>
          </w:p>
          <w:p w:rsidR="003217B9" w:rsidRPr="00491548" w:rsidRDefault="003217B9" w:rsidP="00857699">
            <w:pPr>
              <w:pStyle w:val="Tabletype"/>
              <w:spacing w:before="80" w:after="80"/>
              <w:jc w:val="left"/>
              <w:rPr>
                <w:rFonts w:asciiTheme="minorHAnsi" w:hAnsiTheme="minorHAnsi" w:cstheme="minorHAnsi"/>
                <w:b/>
                <w:sz w:val="20"/>
                <w:szCs w:val="20"/>
              </w:rPr>
            </w:pPr>
            <w:r w:rsidRPr="00491548">
              <w:rPr>
                <w:rFonts w:asciiTheme="minorHAnsi" w:hAnsiTheme="minorHAnsi" w:cstheme="minorHAnsi"/>
                <w:b/>
                <w:sz w:val="20"/>
                <w:szCs w:val="20"/>
              </w:rPr>
              <w:t>AND</w:t>
            </w:r>
          </w:p>
          <w:p w:rsidR="003217B9" w:rsidRPr="00491548"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3.</w:t>
            </w:r>
            <w:r w:rsidRPr="00491548">
              <w:rPr>
                <w:rFonts w:asciiTheme="minorHAnsi" w:hAnsiTheme="minorHAnsi" w:cstheme="minorHAnsi"/>
                <w:sz w:val="20"/>
                <w:szCs w:val="20"/>
              </w:rPr>
              <w:tab/>
              <w:t>Wound Assessment</w:t>
            </w:r>
          </w:p>
          <w:p w:rsidR="003217B9" w:rsidRPr="00491548" w:rsidRDefault="003217B9" w:rsidP="00857699">
            <w:pPr>
              <w:pStyle w:val="Tabletype"/>
              <w:spacing w:before="80" w:after="80"/>
              <w:jc w:val="left"/>
              <w:rPr>
                <w:rFonts w:asciiTheme="minorHAnsi" w:hAnsiTheme="minorHAnsi" w:cstheme="minorHAnsi"/>
                <w:b/>
                <w:sz w:val="20"/>
                <w:szCs w:val="20"/>
              </w:rPr>
            </w:pPr>
            <w:r w:rsidRPr="00491548">
              <w:rPr>
                <w:rFonts w:asciiTheme="minorHAnsi" w:hAnsiTheme="minorHAnsi" w:cstheme="minorHAnsi"/>
                <w:b/>
                <w:sz w:val="20"/>
                <w:szCs w:val="20"/>
              </w:rPr>
              <w:t>AND</w:t>
            </w:r>
          </w:p>
          <w:p w:rsidR="003217B9" w:rsidRPr="00491548"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On request: record</w:t>
            </w:r>
          </w:p>
        </w:tc>
        <w:tc>
          <w:tcPr>
            <w:tcW w:w="709" w:type="dxa"/>
            <w:vAlign w:val="center"/>
          </w:tcPr>
          <w:p w:rsidR="003217B9" w:rsidRPr="00491548" w:rsidRDefault="003217B9" w:rsidP="00A51750">
            <w:pPr>
              <w:jc w:val="center"/>
              <w:rPr>
                <w:sz w:val="20"/>
                <w:szCs w:val="20"/>
              </w:rPr>
            </w:pPr>
            <w:r w:rsidRPr="00491548">
              <w:rPr>
                <w:sz w:val="20"/>
                <w:szCs w:val="20"/>
              </w:rPr>
              <w:sym w:font="Wingdings" w:char="F06F"/>
            </w:r>
            <w:r w:rsidRPr="00491548">
              <w:rPr>
                <w:sz w:val="20"/>
                <w:szCs w:val="20"/>
              </w:rPr>
              <w:t xml:space="preserve"> 11</w:t>
            </w:r>
          </w:p>
        </w:tc>
      </w:tr>
      <w:tr w:rsidR="003217B9" w:rsidRPr="00491548" w:rsidTr="001069D4">
        <w:trPr>
          <w:cantSplit/>
        </w:trPr>
        <w:tc>
          <w:tcPr>
            <w:tcW w:w="850" w:type="dxa"/>
          </w:tcPr>
          <w:p w:rsidR="003217B9" w:rsidRPr="00491548" w:rsidRDefault="003217B9" w:rsidP="00A51750">
            <w:pPr>
              <w:pStyle w:val="Tabletype"/>
              <w:jc w:val="center"/>
              <w:rPr>
                <w:rFonts w:asciiTheme="minorHAnsi" w:hAnsiTheme="minorHAnsi" w:cstheme="minorHAnsi"/>
                <w:sz w:val="20"/>
                <w:szCs w:val="20"/>
              </w:rPr>
            </w:pPr>
            <w:r w:rsidRPr="00491548">
              <w:rPr>
                <w:rFonts w:asciiTheme="minorHAnsi" w:hAnsiTheme="minorHAnsi" w:cstheme="minorHAnsi"/>
                <w:sz w:val="20"/>
                <w:szCs w:val="20"/>
              </w:rPr>
              <w:t>6</w:t>
            </w:r>
          </w:p>
        </w:tc>
        <w:tc>
          <w:tcPr>
            <w:tcW w:w="4112" w:type="dxa"/>
          </w:tcPr>
          <w:p w:rsidR="003217B9" w:rsidRPr="00491548" w:rsidRDefault="003217B9" w:rsidP="00857699">
            <w:pPr>
              <w:pStyle w:val="Tabletype"/>
              <w:spacing w:after="60"/>
              <w:jc w:val="left"/>
              <w:rPr>
                <w:rFonts w:asciiTheme="minorHAnsi" w:hAnsiTheme="minorHAnsi" w:cstheme="minorHAnsi"/>
                <w:sz w:val="20"/>
                <w:szCs w:val="20"/>
              </w:rPr>
            </w:pPr>
            <w:r w:rsidRPr="00491548">
              <w:rPr>
                <w:rFonts w:asciiTheme="minorHAnsi" w:hAnsiTheme="minorHAnsi" w:cstheme="minorHAnsi"/>
                <w:sz w:val="20"/>
                <w:szCs w:val="20"/>
              </w:rPr>
              <w:t>Management of ongoing administration of intravenous fluids, hypodermoclysis, syringe drivers and dialysis.</w:t>
            </w:r>
          </w:p>
        </w:tc>
        <w:tc>
          <w:tcPr>
            <w:tcW w:w="3685" w:type="dxa"/>
          </w:tcPr>
          <w:p w:rsidR="003217B9" w:rsidRPr="00491548"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1.</w:t>
            </w:r>
            <w:r w:rsidRPr="00491548">
              <w:rPr>
                <w:rFonts w:asciiTheme="minorHAnsi" w:hAnsiTheme="minorHAnsi" w:cstheme="minorHAnsi"/>
                <w:sz w:val="20"/>
                <w:szCs w:val="20"/>
              </w:rPr>
              <w:tab/>
              <w:t>Directive/prescription [authorised nurse practitioner or medical practitioner]</w:t>
            </w:r>
          </w:p>
        </w:tc>
        <w:tc>
          <w:tcPr>
            <w:tcW w:w="709" w:type="dxa"/>
            <w:vAlign w:val="center"/>
          </w:tcPr>
          <w:p w:rsidR="003217B9" w:rsidRPr="00491548" w:rsidRDefault="003217B9" w:rsidP="00A51750">
            <w:pPr>
              <w:jc w:val="center"/>
              <w:rPr>
                <w:sz w:val="20"/>
                <w:szCs w:val="20"/>
              </w:rPr>
            </w:pPr>
            <w:r w:rsidRPr="00491548">
              <w:rPr>
                <w:sz w:val="20"/>
                <w:szCs w:val="20"/>
              </w:rPr>
              <w:sym w:font="Wingdings" w:char="F06F"/>
            </w:r>
            <w:r w:rsidRPr="00491548">
              <w:rPr>
                <w:sz w:val="20"/>
                <w:szCs w:val="20"/>
              </w:rPr>
              <w:t xml:space="preserve"> 12</w:t>
            </w:r>
          </w:p>
        </w:tc>
      </w:tr>
      <w:tr w:rsidR="003217B9" w:rsidRPr="00491548" w:rsidTr="001069D4">
        <w:trPr>
          <w:cantSplit/>
        </w:trPr>
        <w:tc>
          <w:tcPr>
            <w:tcW w:w="850" w:type="dxa"/>
          </w:tcPr>
          <w:p w:rsidR="003217B9" w:rsidRPr="00491548" w:rsidRDefault="003217B9" w:rsidP="00A51750">
            <w:pPr>
              <w:pStyle w:val="Tabletype"/>
              <w:jc w:val="center"/>
              <w:rPr>
                <w:rFonts w:asciiTheme="minorHAnsi" w:hAnsiTheme="minorHAnsi" w:cstheme="minorHAnsi"/>
                <w:sz w:val="20"/>
                <w:szCs w:val="20"/>
              </w:rPr>
            </w:pPr>
            <w:r w:rsidRPr="00491548">
              <w:rPr>
                <w:rFonts w:asciiTheme="minorHAnsi" w:hAnsiTheme="minorHAnsi" w:cstheme="minorHAnsi"/>
                <w:sz w:val="20"/>
                <w:szCs w:val="20"/>
              </w:rPr>
              <w:t>6</w:t>
            </w:r>
          </w:p>
        </w:tc>
        <w:tc>
          <w:tcPr>
            <w:tcW w:w="4112" w:type="dxa"/>
          </w:tcPr>
          <w:p w:rsidR="003217B9" w:rsidRPr="00491548" w:rsidRDefault="003217B9" w:rsidP="00857699">
            <w:pPr>
              <w:pStyle w:val="Tabletype"/>
              <w:spacing w:after="60"/>
              <w:jc w:val="left"/>
              <w:rPr>
                <w:rFonts w:asciiTheme="minorHAnsi" w:hAnsiTheme="minorHAnsi" w:cstheme="minorHAnsi"/>
                <w:sz w:val="20"/>
                <w:szCs w:val="20"/>
              </w:rPr>
            </w:pPr>
            <w:r w:rsidRPr="00491548">
              <w:rPr>
                <w:rFonts w:asciiTheme="minorHAnsi" w:hAnsiTheme="minorHAnsi" w:cstheme="minorHAnsi"/>
                <w:sz w:val="20"/>
                <w:szCs w:val="20"/>
              </w:rPr>
              <w:t>Suctioning airways, tracheostomy care.</w:t>
            </w:r>
          </w:p>
        </w:tc>
        <w:tc>
          <w:tcPr>
            <w:tcW w:w="3685" w:type="dxa"/>
          </w:tcPr>
          <w:p w:rsidR="00980F62"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1.</w:t>
            </w:r>
            <w:r w:rsidRPr="00491548">
              <w:rPr>
                <w:rFonts w:asciiTheme="minorHAnsi" w:hAnsiTheme="minorHAnsi" w:cstheme="minorHAnsi"/>
                <w:sz w:val="20"/>
                <w:szCs w:val="20"/>
              </w:rPr>
              <w:tab/>
              <w:t>Diagnosis</w:t>
            </w:r>
          </w:p>
          <w:p w:rsidR="003217B9" w:rsidRPr="00491548" w:rsidRDefault="003217B9" w:rsidP="00857699">
            <w:pPr>
              <w:pStyle w:val="Tabletype"/>
              <w:spacing w:before="80" w:after="80"/>
              <w:jc w:val="left"/>
              <w:rPr>
                <w:rFonts w:asciiTheme="minorHAnsi" w:hAnsiTheme="minorHAnsi" w:cstheme="minorHAnsi"/>
                <w:b/>
                <w:sz w:val="20"/>
                <w:szCs w:val="20"/>
              </w:rPr>
            </w:pPr>
            <w:r w:rsidRPr="00491548">
              <w:rPr>
                <w:rFonts w:asciiTheme="minorHAnsi" w:hAnsiTheme="minorHAnsi" w:cstheme="minorHAnsi"/>
                <w:b/>
                <w:sz w:val="20"/>
                <w:szCs w:val="20"/>
              </w:rPr>
              <w:t>AND</w:t>
            </w:r>
          </w:p>
          <w:p w:rsidR="003217B9" w:rsidRPr="00491548"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2.</w:t>
            </w:r>
            <w:r w:rsidRPr="00491548">
              <w:rPr>
                <w:rFonts w:asciiTheme="minorHAnsi" w:hAnsiTheme="minorHAnsi" w:cstheme="minorHAnsi"/>
                <w:sz w:val="20"/>
                <w:szCs w:val="20"/>
              </w:rPr>
              <w:tab/>
              <w:t>Directive [registered nurse or medical practitioner]</w:t>
            </w:r>
          </w:p>
        </w:tc>
        <w:tc>
          <w:tcPr>
            <w:tcW w:w="709" w:type="dxa"/>
            <w:vAlign w:val="center"/>
          </w:tcPr>
          <w:p w:rsidR="003217B9" w:rsidRPr="00491548" w:rsidRDefault="003217B9" w:rsidP="00A51750">
            <w:pPr>
              <w:jc w:val="center"/>
              <w:rPr>
                <w:sz w:val="20"/>
                <w:szCs w:val="20"/>
              </w:rPr>
            </w:pPr>
            <w:r w:rsidRPr="00491548">
              <w:rPr>
                <w:sz w:val="20"/>
                <w:szCs w:val="20"/>
              </w:rPr>
              <w:sym w:font="Wingdings" w:char="F06F"/>
            </w:r>
            <w:r w:rsidRPr="00491548">
              <w:rPr>
                <w:sz w:val="20"/>
                <w:szCs w:val="20"/>
              </w:rPr>
              <w:t xml:space="preserve"> 13</w:t>
            </w:r>
          </w:p>
        </w:tc>
      </w:tr>
      <w:tr w:rsidR="003217B9" w:rsidRPr="00491548" w:rsidTr="001069D4">
        <w:trPr>
          <w:cantSplit/>
        </w:trPr>
        <w:tc>
          <w:tcPr>
            <w:tcW w:w="850" w:type="dxa"/>
          </w:tcPr>
          <w:p w:rsidR="003217B9" w:rsidRPr="00491548" w:rsidRDefault="003217B9" w:rsidP="00A51750">
            <w:pPr>
              <w:pStyle w:val="Tabletype"/>
              <w:jc w:val="center"/>
              <w:rPr>
                <w:rFonts w:asciiTheme="minorHAnsi" w:hAnsiTheme="minorHAnsi" w:cstheme="minorHAnsi"/>
                <w:sz w:val="20"/>
                <w:szCs w:val="20"/>
              </w:rPr>
            </w:pPr>
            <w:r w:rsidRPr="00491548">
              <w:rPr>
                <w:rFonts w:asciiTheme="minorHAnsi" w:hAnsiTheme="minorHAnsi" w:cstheme="minorHAnsi"/>
                <w:sz w:val="20"/>
                <w:szCs w:val="20"/>
              </w:rPr>
              <w:t>6</w:t>
            </w:r>
          </w:p>
        </w:tc>
        <w:tc>
          <w:tcPr>
            <w:tcW w:w="4112" w:type="dxa"/>
          </w:tcPr>
          <w:p w:rsidR="003217B9" w:rsidRPr="00491548" w:rsidRDefault="003217B9" w:rsidP="00857699">
            <w:pPr>
              <w:pStyle w:val="Tabletype"/>
              <w:spacing w:after="60"/>
              <w:jc w:val="left"/>
              <w:rPr>
                <w:rFonts w:asciiTheme="minorHAnsi" w:hAnsiTheme="minorHAnsi" w:cstheme="minorHAnsi"/>
                <w:sz w:val="20"/>
                <w:szCs w:val="20"/>
              </w:rPr>
            </w:pPr>
            <w:r w:rsidRPr="00491548">
              <w:rPr>
                <w:rFonts w:asciiTheme="minorHAnsi" w:hAnsiTheme="minorHAnsi" w:cstheme="minorHAnsi"/>
                <w:sz w:val="20"/>
                <w:szCs w:val="20"/>
              </w:rPr>
              <w:t>Management of ongoing tube feeding.</w:t>
            </w:r>
          </w:p>
        </w:tc>
        <w:tc>
          <w:tcPr>
            <w:tcW w:w="3685" w:type="dxa"/>
          </w:tcPr>
          <w:p w:rsidR="00980F62"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1.</w:t>
            </w:r>
            <w:r w:rsidRPr="00491548">
              <w:rPr>
                <w:rFonts w:asciiTheme="minorHAnsi" w:hAnsiTheme="minorHAnsi" w:cstheme="minorHAnsi"/>
                <w:sz w:val="20"/>
                <w:szCs w:val="20"/>
              </w:rPr>
              <w:tab/>
              <w:t>Diagnosis</w:t>
            </w:r>
          </w:p>
          <w:p w:rsidR="003217B9" w:rsidRPr="00491548" w:rsidRDefault="003217B9" w:rsidP="00857699">
            <w:pPr>
              <w:pStyle w:val="Tabletype"/>
              <w:spacing w:before="80" w:after="80"/>
              <w:jc w:val="left"/>
              <w:rPr>
                <w:rFonts w:asciiTheme="minorHAnsi" w:hAnsiTheme="minorHAnsi" w:cstheme="minorHAnsi"/>
                <w:b/>
                <w:sz w:val="20"/>
                <w:szCs w:val="20"/>
              </w:rPr>
            </w:pPr>
            <w:r w:rsidRPr="00491548">
              <w:rPr>
                <w:rFonts w:asciiTheme="minorHAnsi" w:hAnsiTheme="minorHAnsi" w:cstheme="minorHAnsi"/>
                <w:b/>
                <w:sz w:val="20"/>
                <w:szCs w:val="20"/>
              </w:rPr>
              <w:t>AND</w:t>
            </w:r>
          </w:p>
          <w:p w:rsidR="003217B9" w:rsidRPr="00491548"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2.</w:t>
            </w:r>
            <w:r w:rsidRPr="00491548">
              <w:rPr>
                <w:rFonts w:asciiTheme="minorHAnsi" w:hAnsiTheme="minorHAnsi" w:cstheme="minorHAnsi"/>
                <w:sz w:val="20"/>
                <w:szCs w:val="20"/>
              </w:rPr>
              <w:tab/>
              <w:t>Directive [registered nurse or medical practitioner or allied health professional]</w:t>
            </w:r>
          </w:p>
        </w:tc>
        <w:tc>
          <w:tcPr>
            <w:tcW w:w="709" w:type="dxa"/>
            <w:vAlign w:val="center"/>
          </w:tcPr>
          <w:p w:rsidR="003217B9" w:rsidRPr="00491548" w:rsidRDefault="003217B9" w:rsidP="00A51750">
            <w:pPr>
              <w:jc w:val="center"/>
              <w:rPr>
                <w:sz w:val="20"/>
                <w:szCs w:val="20"/>
              </w:rPr>
            </w:pPr>
            <w:r w:rsidRPr="00491548">
              <w:rPr>
                <w:sz w:val="20"/>
                <w:szCs w:val="20"/>
              </w:rPr>
              <w:sym w:font="Wingdings" w:char="F06F"/>
            </w:r>
            <w:r w:rsidRPr="00491548">
              <w:rPr>
                <w:sz w:val="20"/>
                <w:szCs w:val="20"/>
              </w:rPr>
              <w:t xml:space="preserve"> 14</w:t>
            </w:r>
          </w:p>
        </w:tc>
      </w:tr>
      <w:tr w:rsidR="003217B9" w:rsidRPr="00491548" w:rsidTr="001069D4">
        <w:trPr>
          <w:cantSplit/>
        </w:trPr>
        <w:tc>
          <w:tcPr>
            <w:tcW w:w="850" w:type="dxa"/>
          </w:tcPr>
          <w:p w:rsidR="003217B9" w:rsidRPr="00491548" w:rsidRDefault="003217B9" w:rsidP="00A51750">
            <w:pPr>
              <w:pStyle w:val="Tabletype"/>
              <w:jc w:val="center"/>
              <w:rPr>
                <w:rFonts w:asciiTheme="minorHAnsi" w:hAnsiTheme="minorHAnsi" w:cstheme="minorHAnsi"/>
                <w:sz w:val="20"/>
                <w:szCs w:val="20"/>
              </w:rPr>
            </w:pPr>
            <w:r w:rsidRPr="00491548">
              <w:rPr>
                <w:rFonts w:asciiTheme="minorHAnsi" w:hAnsiTheme="minorHAnsi" w:cstheme="minorHAnsi"/>
                <w:sz w:val="20"/>
                <w:szCs w:val="20"/>
              </w:rPr>
              <w:t>15</w:t>
            </w:r>
          </w:p>
        </w:tc>
        <w:tc>
          <w:tcPr>
            <w:tcW w:w="4112" w:type="dxa"/>
          </w:tcPr>
          <w:p w:rsidR="003217B9" w:rsidRPr="00491548" w:rsidRDefault="003217B9" w:rsidP="008C2EF2">
            <w:pPr>
              <w:pStyle w:val="Tabletype"/>
              <w:jc w:val="left"/>
              <w:rPr>
                <w:rFonts w:asciiTheme="minorHAnsi" w:hAnsiTheme="minorHAnsi" w:cstheme="minorHAnsi"/>
                <w:sz w:val="20"/>
                <w:szCs w:val="20"/>
              </w:rPr>
            </w:pPr>
            <w:r w:rsidRPr="00491548">
              <w:rPr>
                <w:rFonts w:asciiTheme="minorHAnsi" w:hAnsiTheme="minorHAnsi" w:cstheme="minorHAnsi"/>
                <w:sz w:val="20"/>
                <w:szCs w:val="20"/>
              </w:rPr>
              <w:t>Palliative Care Program involving End of Life care where ongoing care will involve intensive clinical nursing and/or complex pain management in the residential care setting.</w:t>
            </w:r>
          </w:p>
          <w:p w:rsidR="003217B9" w:rsidRPr="00491548" w:rsidRDefault="003217B9" w:rsidP="00857699">
            <w:pPr>
              <w:autoSpaceDE w:val="0"/>
              <w:autoSpaceDN w:val="0"/>
              <w:adjustRightInd w:val="0"/>
              <w:jc w:val="left"/>
              <w:rPr>
                <w:rFonts w:cstheme="minorHAnsi"/>
                <w:b/>
                <w:sz w:val="20"/>
                <w:szCs w:val="20"/>
              </w:rPr>
            </w:pPr>
            <w:r w:rsidRPr="00491548">
              <w:rPr>
                <w:rFonts w:cstheme="minorHAnsi"/>
                <w:b/>
                <w:sz w:val="20"/>
                <w:szCs w:val="20"/>
              </w:rPr>
              <w:t>End-of-life (terminal) care definition</w:t>
            </w:r>
          </w:p>
          <w:p w:rsidR="003217B9" w:rsidRPr="00491548" w:rsidRDefault="003217B9" w:rsidP="00857699">
            <w:pPr>
              <w:autoSpaceDE w:val="0"/>
              <w:autoSpaceDN w:val="0"/>
              <w:adjustRightInd w:val="0"/>
              <w:jc w:val="left"/>
              <w:rPr>
                <w:rFonts w:cstheme="minorHAnsi"/>
                <w:b/>
                <w:i/>
                <w:sz w:val="20"/>
                <w:szCs w:val="20"/>
              </w:rPr>
            </w:pPr>
            <w:r w:rsidRPr="00491548">
              <w:rPr>
                <w:rFonts w:cstheme="minorHAnsi"/>
                <w:b/>
                <w:i/>
                <w:sz w:val="20"/>
                <w:szCs w:val="20"/>
              </w:rPr>
              <w:t>This description is similar to and modified from the end-of-life description found in page 6 of the 2017 ACFI User Guide.</w:t>
            </w:r>
          </w:p>
          <w:p w:rsidR="003217B9" w:rsidRPr="00491548" w:rsidRDefault="003217B9" w:rsidP="00857699">
            <w:pPr>
              <w:autoSpaceDE w:val="0"/>
              <w:autoSpaceDN w:val="0"/>
              <w:adjustRightInd w:val="0"/>
              <w:jc w:val="left"/>
              <w:rPr>
                <w:rFonts w:cstheme="minorHAnsi"/>
                <w:i/>
                <w:sz w:val="20"/>
                <w:szCs w:val="20"/>
              </w:rPr>
            </w:pPr>
            <w:r w:rsidRPr="00491548">
              <w:rPr>
                <w:rFonts w:cstheme="minorHAnsi"/>
                <w:i/>
                <w:sz w:val="20"/>
                <w:szCs w:val="20"/>
              </w:rPr>
              <w:t xml:space="preserve">“… palliative care is appropriate when the resident is </w:t>
            </w:r>
            <w:r w:rsidRPr="00491548">
              <w:rPr>
                <w:rFonts w:cstheme="minorHAnsi"/>
                <w:i/>
                <w:sz w:val="20"/>
                <w:szCs w:val="20"/>
                <w:u w:val="single"/>
              </w:rPr>
              <w:t>in the final days or weeks</w:t>
            </w:r>
            <w:r w:rsidRPr="00491548">
              <w:rPr>
                <w:rFonts w:cstheme="minorHAnsi"/>
                <w:i/>
                <w:sz w:val="20"/>
                <w:szCs w:val="20"/>
              </w:rPr>
              <w:t xml:space="preserve"> of life and care decisions may need to be reviewed more frequently.” (Australian Palliative Residential Aged Care Project, 2006, p. 38)</w:t>
            </w:r>
          </w:p>
        </w:tc>
        <w:tc>
          <w:tcPr>
            <w:tcW w:w="3685" w:type="dxa"/>
          </w:tcPr>
          <w:p w:rsidR="003217B9" w:rsidRPr="00491548"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1. Directive by [CNC/CNS in pain or palliative care or medical practitioner]</w:t>
            </w:r>
          </w:p>
          <w:p w:rsidR="003217B9" w:rsidRPr="00491548" w:rsidRDefault="003217B9" w:rsidP="00857699">
            <w:pPr>
              <w:pStyle w:val="Tabletype"/>
              <w:spacing w:before="80" w:after="80"/>
              <w:jc w:val="left"/>
              <w:rPr>
                <w:rFonts w:asciiTheme="minorHAnsi" w:hAnsiTheme="minorHAnsi" w:cstheme="minorHAnsi"/>
                <w:b/>
                <w:sz w:val="20"/>
                <w:szCs w:val="20"/>
              </w:rPr>
            </w:pPr>
            <w:r w:rsidRPr="00491548">
              <w:rPr>
                <w:rFonts w:asciiTheme="minorHAnsi" w:hAnsiTheme="minorHAnsi" w:cstheme="minorHAnsi"/>
                <w:b/>
                <w:sz w:val="20"/>
                <w:szCs w:val="20"/>
              </w:rPr>
              <w:t>AND</w:t>
            </w:r>
          </w:p>
          <w:p w:rsidR="003217B9" w:rsidRPr="00491548" w:rsidRDefault="003217B9" w:rsidP="00857699">
            <w:pPr>
              <w:pStyle w:val="Tabletype"/>
              <w:spacing w:after="60"/>
              <w:ind w:left="284" w:hanging="284"/>
              <w:jc w:val="left"/>
              <w:rPr>
                <w:rFonts w:asciiTheme="minorHAnsi" w:hAnsiTheme="minorHAnsi" w:cstheme="minorHAnsi"/>
                <w:sz w:val="20"/>
                <w:szCs w:val="20"/>
              </w:rPr>
            </w:pPr>
            <w:r w:rsidRPr="00491548">
              <w:rPr>
                <w:rFonts w:asciiTheme="minorHAnsi" w:hAnsiTheme="minorHAnsi" w:cstheme="minorHAnsi"/>
                <w:sz w:val="20"/>
                <w:szCs w:val="20"/>
              </w:rPr>
              <w:t>2. Pain Assessment (as per Pain Management Guidelines (PMG) kit)</w:t>
            </w:r>
          </w:p>
          <w:p w:rsidR="003217B9" w:rsidRPr="00491548" w:rsidRDefault="003217B9" w:rsidP="00857699">
            <w:pPr>
              <w:pStyle w:val="Tabletype"/>
              <w:spacing w:before="80" w:after="80"/>
              <w:jc w:val="left"/>
              <w:rPr>
                <w:rFonts w:asciiTheme="minorHAnsi" w:hAnsiTheme="minorHAnsi" w:cstheme="minorHAnsi"/>
                <w:b/>
                <w:sz w:val="20"/>
                <w:szCs w:val="20"/>
              </w:rPr>
            </w:pPr>
            <w:r w:rsidRPr="00491548">
              <w:rPr>
                <w:rFonts w:asciiTheme="minorHAnsi" w:hAnsiTheme="minorHAnsi" w:cstheme="minorHAnsi"/>
                <w:b/>
                <w:sz w:val="20"/>
                <w:szCs w:val="20"/>
              </w:rPr>
              <w:t>AND</w:t>
            </w:r>
          </w:p>
          <w:p w:rsidR="003217B9" w:rsidRPr="00491548" w:rsidRDefault="003217B9" w:rsidP="00857699">
            <w:pPr>
              <w:spacing w:after="60"/>
              <w:ind w:left="284" w:hanging="284"/>
              <w:jc w:val="left"/>
              <w:rPr>
                <w:sz w:val="20"/>
                <w:szCs w:val="20"/>
                <w:lang w:eastAsia="en-AU"/>
              </w:rPr>
            </w:pPr>
            <w:r w:rsidRPr="00491548">
              <w:rPr>
                <w:rFonts w:cstheme="minorHAnsi"/>
                <w:sz w:val="20"/>
                <w:szCs w:val="20"/>
              </w:rPr>
              <w:t>3. Assess the resident using the</w:t>
            </w:r>
            <w:r w:rsidRPr="00491548">
              <w:rPr>
                <w:sz w:val="20"/>
                <w:szCs w:val="20"/>
                <w:lang w:eastAsia="en-AU"/>
              </w:rPr>
              <w:t xml:space="preserve"> Palliative Approach Toolkit in Residential Aged Care Facilities.</w:t>
            </w:r>
          </w:p>
          <w:p w:rsidR="002E5628" w:rsidRPr="00491548" w:rsidRDefault="002E5628" w:rsidP="00857699">
            <w:pPr>
              <w:jc w:val="left"/>
              <w:rPr>
                <w:rFonts w:cstheme="minorHAnsi"/>
                <w:sz w:val="20"/>
                <w:szCs w:val="20"/>
              </w:rPr>
            </w:pPr>
            <w:r w:rsidRPr="00491548">
              <w:rPr>
                <w:sz w:val="20"/>
                <w:szCs w:val="20"/>
                <w:lang w:eastAsia="en-AU"/>
              </w:rPr>
              <w:t>*Note: a Palliative Care claim will require a mandatory re-appraisal in 6 months.</w:t>
            </w:r>
          </w:p>
        </w:tc>
        <w:tc>
          <w:tcPr>
            <w:tcW w:w="709" w:type="dxa"/>
            <w:vAlign w:val="center"/>
          </w:tcPr>
          <w:p w:rsidR="003217B9" w:rsidRPr="00491548" w:rsidRDefault="003217B9" w:rsidP="00A51750">
            <w:pPr>
              <w:jc w:val="center"/>
              <w:rPr>
                <w:sz w:val="20"/>
                <w:szCs w:val="20"/>
              </w:rPr>
            </w:pPr>
            <w:r w:rsidRPr="00491548">
              <w:rPr>
                <w:sz w:val="20"/>
                <w:szCs w:val="20"/>
              </w:rPr>
              <w:sym w:font="Wingdings" w:char="F06F"/>
            </w:r>
            <w:r w:rsidRPr="00491548">
              <w:rPr>
                <w:sz w:val="20"/>
                <w:szCs w:val="20"/>
              </w:rPr>
              <w:t xml:space="preserve"> 15</w:t>
            </w:r>
          </w:p>
        </w:tc>
      </w:tr>
      <w:bookmarkEnd w:id="453"/>
    </w:tbl>
    <w:p w:rsidR="003217B9" w:rsidRDefault="003217B9" w:rsidP="00237A38">
      <w:r>
        <w:br w:type="page"/>
      </w:r>
    </w:p>
    <w:p w:rsidR="00FB6A08" w:rsidRPr="001305B2" w:rsidRDefault="00FB6A08" w:rsidP="001305B2">
      <w:pPr>
        <w:pStyle w:val="Heading3-Chapter64"/>
      </w:pPr>
      <w:bookmarkStart w:id="456" w:name="_Toc485824710"/>
      <w:bookmarkStart w:id="457" w:name="_Toc486350722"/>
      <w:bookmarkStart w:id="458" w:name="_Toc486600049"/>
      <w:bookmarkStart w:id="459" w:name="_Toc486600048"/>
      <w:r w:rsidRPr="001305B2">
        <w:lastRenderedPageBreak/>
        <w:t xml:space="preserve">The R-ACFI </w:t>
      </w:r>
      <w:r w:rsidR="00376240" w:rsidRPr="001305B2">
        <w:t>CHC</w:t>
      </w:r>
      <w:r w:rsidRPr="001305B2">
        <w:t xml:space="preserve"> Classification Model</w:t>
      </w:r>
    </w:p>
    <w:p w:rsidR="00980F62" w:rsidRDefault="00550670" w:rsidP="00D06654">
      <w:pPr>
        <w:rPr>
          <w:lang w:eastAsia="en-AU"/>
        </w:rPr>
      </w:pPr>
      <w:r w:rsidRPr="001305B2">
        <w:rPr>
          <w:lang w:eastAsia="en-AU"/>
        </w:rPr>
        <w:t>The R-ACFI CHC domain uses the list of procedures and their weightings to derive a distribution and then cut points based on categories of none (no score), low, medium and high.</w:t>
      </w:r>
      <w:r w:rsidR="007A576E" w:rsidRPr="001305B2">
        <w:rPr>
          <w:lang w:eastAsia="en-AU"/>
        </w:rPr>
        <w:t xml:space="preserve"> </w:t>
      </w:r>
      <w:r w:rsidRPr="001305B2">
        <w:rPr>
          <w:lang w:eastAsia="en-AU"/>
        </w:rPr>
        <w:t xml:space="preserve">The weightings are described in </w:t>
      </w:r>
      <w:hyperlink w:anchor="Tab0606" w:history="1">
        <w:r w:rsidRPr="00D062E1">
          <w:rPr>
            <w:rStyle w:val="Hyperlink"/>
            <w:lang w:eastAsia="en-AU"/>
          </w:rPr>
          <w:t>Table 6.6</w:t>
        </w:r>
      </w:hyperlink>
      <w:r w:rsidRPr="001305B2">
        <w:rPr>
          <w:lang w:eastAsia="en-AU"/>
        </w:rPr>
        <w:t>.</w:t>
      </w:r>
      <w:r w:rsidR="007A576E" w:rsidRPr="001305B2">
        <w:rPr>
          <w:lang w:eastAsia="en-AU"/>
        </w:rPr>
        <w:t xml:space="preserve"> </w:t>
      </w:r>
      <w:r w:rsidRPr="001305B2">
        <w:rPr>
          <w:lang w:eastAsia="en-AU"/>
        </w:rPr>
        <w:t>A score in any item will result in a low domain rating.</w:t>
      </w:r>
      <w:r w:rsidR="007A576E" w:rsidRPr="001305B2">
        <w:rPr>
          <w:lang w:eastAsia="en-AU"/>
        </w:rPr>
        <w:t xml:space="preserve"> </w:t>
      </w:r>
      <w:r w:rsidRPr="001305B2">
        <w:rPr>
          <w:lang w:eastAsia="en-AU"/>
        </w:rPr>
        <w:t>The distribution has been aligned as far as possible to the current ACFI CHC domain although changes in funding outcomes from the ACFI to R-ACFI are mainly dependent on the level of claims in the pain management items.</w:t>
      </w:r>
      <w:r w:rsidR="007A576E" w:rsidRPr="001305B2">
        <w:rPr>
          <w:lang w:eastAsia="en-AU"/>
        </w:rPr>
        <w:t xml:space="preserve"> </w:t>
      </w:r>
      <w:r w:rsidRPr="001305B2">
        <w:rPr>
          <w:lang w:eastAsia="en-AU"/>
        </w:rPr>
        <w:t>The funding outcomes in the CHC domain should be considered in combination with the funding available in the new Therapy program ($15 per day).</w:t>
      </w:r>
    </w:p>
    <w:p w:rsidR="00980F62" w:rsidRDefault="00550670" w:rsidP="00D06654">
      <w:pPr>
        <w:rPr>
          <w:lang w:eastAsia="en-AU"/>
        </w:rPr>
      </w:pPr>
      <w:r w:rsidRPr="001305B2">
        <w:rPr>
          <w:lang w:eastAsia="en-AU"/>
        </w:rPr>
        <w:t xml:space="preserve">Full details on the R-ACFI CHC funding are described in </w:t>
      </w:r>
      <w:hyperlink w:anchor="Ch08" w:history="1">
        <w:r w:rsidRPr="00A91929">
          <w:rPr>
            <w:rStyle w:val="Hyperlink"/>
            <w:lang w:eastAsia="en-AU"/>
          </w:rPr>
          <w:t>Chapter 8</w:t>
        </w:r>
      </w:hyperlink>
      <w:r w:rsidRPr="001305B2">
        <w:rPr>
          <w:lang w:eastAsia="en-AU"/>
        </w:rPr>
        <w:t>.</w:t>
      </w:r>
    </w:p>
    <w:p w:rsidR="00DD45C1" w:rsidRPr="001305B2" w:rsidRDefault="00DD45C1" w:rsidP="001305B2">
      <w:pPr>
        <w:pStyle w:val="Heading3-Chapter64"/>
      </w:pPr>
      <w:r w:rsidRPr="001305B2">
        <w:t>Accountability</w:t>
      </w:r>
      <w:bookmarkEnd w:id="456"/>
      <w:bookmarkEnd w:id="457"/>
      <w:bookmarkEnd w:id="458"/>
    </w:p>
    <w:p w:rsidR="00DD45C1" w:rsidRPr="001305B2" w:rsidRDefault="00DD45C1" w:rsidP="00D06654">
      <w:pPr>
        <w:rPr>
          <w:color w:val="000000" w:themeColor="text1"/>
          <w:lang w:eastAsia="en-AU"/>
        </w:rPr>
      </w:pPr>
      <w:r w:rsidRPr="001305B2">
        <w:rPr>
          <w:color w:val="000000" w:themeColor="text1"/>
          <w:lang w:eastAsia="en-AU"/>
        </w:rPr>
        <w:t>The strategies to improve accountability are:</w:t>
      </w:r>
    </w:p>
    <w:p w:rsidR="00980F62" w:rsidRDefault="00DD45C1" w:rsidP="00557DB1">
      <w:pPr>
        <w:pStyle w:val="ListParagraph"/>
        <w:numPr>
          <w:ilvl w:val="0"/>
          <w:numId w:val="21"/>
        </w:numPr>
      </w:pPr>
      <w:r w:rsidRPr="001305B2">
        <w:t xml:space="preserve">New recommended Comprehensive Health Assessment to be completed </w:t>
      </w:r>
      <w:r w:rsidR="00E851F7" w:rsidRPr="001305B2">
        <w:t>three-monthly</w:t>
      </w:r>
      <w:r w:rsidRPr="001305B2">
        <w:t>.</w:t>
      </w:r>
    </w:p>
    <w:p w:rsidR="00DD45C1" w:rsidRPr="001305B2" w:rsidRDefault="00DD45C1" w:rsidP="00557DB1">
      <w:pPr>
        <w:pStyle w:val="ListParagraph"/>
        <w:numPr>
          <w:ilvl w:val="0"/>
          <w:numId w:val="21"/>
        </w:numPr>
      </w:pPr>
      <w:r w:rsidRPr="001305B2">
        <w:t xml:space="preserve">Recommendation to </w:t>
      </w:r>
      <w:r w:rsidR="00D42C4D" w:rsidRPr="001305B2">
        <w:t>only allow a depression claim for major depression</w:t>
      </w:r>
      <w:r w:rsidRPr="001305B2">
        <w:t>.</w:t>
      </w:r>
    </w:p>
    <w:p w:rsidR="00D42C4D" w:rsidRPr="001305B2" w:rsidRDefault="00D42C4D" w:rsidP="00557DB1">
      <w:pPr>
        <w:pStyle w:val="ListParagraph"/>
        <w:numPr>
          <w:ilvl w:val="0"/>
          <w:numId w:val="21"/>
        </w:numPr>
        <w:spacing w:after="0"/>
        <w:contextualSpacing w:val="0"/>
        <w:rPr>
          <w:lang w:eastAsia="en-AU"/>
        </w:rPr>
      </w:pPr>
      <w:r w:rsidRPr="001305B2">
        <w:rPr>
          <w:lang w:eastAsia="en-AU"/>
        </w:rPr>
        <w:t>A palliative care claim will now trigger a 6-month mandatory re-appraisal</w:t>
      </w:r>
      <w:r w:rsidR="00037B66" w:rsidRPr="001305B2">
        <w:rPr>
          <w:lang w:eastAsia="en-AU"/>
        </w:rPr>
        <w:t>.</w:t>
      </w:r>
    </w:p>
    <w:p w:rsidR="00980F62" w:rsidRDefault="00DD45C1" w:rsidP="00557DB1">
      <w:pPr>
        <w:pStyle w:val="ListParagraph"/>
        <w:numPr>
          <w:ilvl w:val="0"/>
          <w:numId w:val="21"/>
        </w:numPr>
        <w:rPr>
          <w:color w:val="000000" w:themeColor="text1"/>
        </w:rPr>
      </w:pPr>
      <w:r w:rsidRPr="001305B2">
        <w:rPr>
          <w:color w:val="000000" w:themeColor="text1"/>
        </w:rPr>
        <w:t>Mandating that a RN or AHP sign off on all assessments as this is current practice in most organisations, for both legal and quality requirements.</w:t>
      </w:r>
    </w:p>
    <w:p w:rsidR="00980F62" w:rsidRDefault="00DD45C1" w:rsidP="00557DB1">
      <w:pPr>
        <w:pStyle w:val="ListParagraph"/>
        <w:numPr>
          <w:ilvl w:val="0"/>
          <w:numId w:val="21"/>
        </w:numPr>
        <w:rPr>
          <w:color w:val="000000" w:themeColor="text1"/>
        </w:rPr>
      </w:pPr>
      <w:r w:rsidRPr="001305B2">
        <w:rPr>
          <w:color w:val="000000" w:themeColor="text1"/>
        </w:rPr>
        <w:t xml:space="preserve">The </w:t>
      </w:r>
      <w:r w:rsidR="007B7F50" w:rsidRPr="001305B2">
        <w:rPr>
          <w:color w:val="000000" w:themeColor="text1"/>
        </w:rPr>
        <w:t>R-</w:t>
      </w:r>
      <w:r w:rsidRPr="001305B2">
        <w:rPr>
          <w:color w:val="000000" w:themeColor="text1"/>
        </w:rPr>
        <w:t xml:space="preserve">ACFI User Guide </w:t>
      </w:r>
      <w:r w:rsidR="008A1198" w:rsidRPr="001305B2">
        <w:rPr>
          <w:color w:val="000000" w:themeColor="text1"/>
        </w:rPr>
        <w:t>sh</w:t>
      </w:r>
      <w:r w:rsidRPr="001305B2">
        <w:rPr>
          <w:color w:val="000000" w:themeColor="text1"/>
        </w:rPr>
        <w:t>ould emphasise that Health Professionals are accountable to their registration body (AHPRA) for their professional decisions, and identified issues will be referred to AHPRA.</w:t>
      </w:r>
    </w:p>
    <w:p w:rsidR="00980F62" w:rsidRDefault="00D42C4D" w:rsidP="00557DB1">
      <w:pPr>
        <w:pStyle w:val="ListParagraph"/>
        <w:numPr>
          <w:ilvl w:val="0"/>
          <w:numId w:val="21"/>
        </w:numPr>
      </w:pPr>
      <w:r w:rsidRPr="001305B2">
        <w:rPr>
          <w:color w:val="000000" w:themeColor="text1"/>
          <w:lang w:eastAsia="en-AU"/>
        </w:rPr>
        <w:t xml:space="preserve">Supporting </w:t>
      </w:r>
      <w:r w:rsidRPr="001305B2">
        <w:rPr>
          <w:color w:val="000000" w:themeColor="text1"/>
        </w:rPr>
        <w:t xml:space="preserve">family members to sign off on the ACFI pack – this would also support CDC practices </w:t>
      </w:r>
      <w:r w:rsidRPr="001305B2">
        <w:t>by ensuring that they have a clear understanding of their relative’s care needs and required services.</w:t>
      </w:r>
    </w:p>
    <w:p w:rsidR="00B27456" w:rsidRPr="001305B2" w:rsidRDefault="00B27456" w:rsidP="001305B2">
      <w:pPr>
        <w:pStyle w:val="Heading3-Chapter64"/>
      </w:pPr>
      <w:r w:rsidRPr="001305B2">
        <w:t xml:space="preserve">The R-ACFI </w:t>
      </w:r>
      <w:r w:rsidR="00DD45C1" w:rsidRPr="001305B2">
        <w:t>CHC</w:t>
      </w:r>
      <w:r w:rsidRPr="001305B2">
        <w:t xml:space="preserve"> Domain </w:t>
      </w:r>
      <w:r w:rsidR="00DD45C1" w:rsidRPr="001305B2">
        <w:t>- Snapshot</w:t>
      </w:r>
    </w:p>
    <w:p w:rsidR="00980F62" w:rsidRDefault="00B27456" w:rsidP="00B27456">
      <w:r w:rsidRPr="008861BC">
        <w:rPr>
          <w:lang w:eastAsia="en-AU"/>
        </w:rPr>
        <w:t xml:space="preserve">AACS conducted a series of consultations, review of relevant tools and literature on assessment and statistical analysis on the Complex Health domain items. The major changes recommended for this domain involve the removal of the pain management items and the associated funding ($15 </w:t>
      </w:r>
      <w:r w:rsidR="00735127">
        <w:rPr>
          <w:lang w:eastAsia="en-AU"/>
        </w:rPr>
        <w:t>per day</w:t>
      </w:r>
      <w:r w:rsidRPr="008861BC">
        <w:rPr>
          <w:lang w:eastAsia="en-AU"/>
        </w:rPr>
        <w:t xml:space="preserve">) and the addition of the depression item which contributed an additional $3.64 </w:t>
      </w:r>
      <w:r w:rsidR="00735127">
        <w:rPr>
          <w:lang w:eastAsia="en-AU"/>
        </w:rPr>
        <w:t>per day</w:t>
      </w:r>
      <w:r w:rsidRPr="008861BC">
        <w:rPr>
          <w:lang w:eastAsia="en-AU"/>
        </w:rPr>
        <w:t xml:space="preserve"> to the CHC funding pool.</w:t>
      </w:r>
      <w:r w:rsidR="007A576E">
        <w:rPr>
          <w:lang w:eastAsia="en-AU"/>
        </w:rPr>
        <w:t xml:space="preserve"> </w:t>
      </w:r>
      <w:r w:rsidRPr="008861BC">
        <w:t xml:space="preserve">Full details </w:t>
      </w:r>
      <w:r w:rsidR="0095773A" w:rsidRPr="008861BC">
        <w:t>of the R-ACFI CHC funding is</w:t>
      </w:r>
      <w:r w:rsidRPr="008861BC">
        <w:t xml:space="preserve"> provided in </w:t>
      </w:r>
      <w:hyperlink w:anchor="Ch08" w:history="1">
        <w:r w:rsidRPr="00A91929">
          <w:rPr>
            <w:rStyle w:val="Hyperlink"/>
          </w:rPr>
          <w:t>Chapter 8</w:t>
        </w:r>
      </w:hyperlink>
      <w:r w:rsidRPr="008861BC">
        <w:t>.</w:t>
      </w:r>
    </w:p>
    <w:p w:rsidR="00980F62" w:rsidRDefault="00B27456" w:rsidP="00B27456">
      <w:pPr>
        <w:spacing w:after="0"/>
        <w:rPr>
          <w:lang w:eastAsia="en-AU"/>
        </w:rPr>
      </w:pPr>
      <w:r w:rsidRPr="008861BC">
        <w:rPr>
          <w:lang w:eastAsia="en-AU"/>
        </w:rPr>
        <w:t>Changes (in brief) to the Complex Health domain include:</w:t>
      </w:r>
    </w:p>
    <w:p w:rsidR="00B27456" w:rsidRPr="008C2EF2" w:rsidRDefault="00B27456" w:rsidP="00F02312">
      <w:pPr>
        <w:pStyle w:val="ListParagraph"/>
        <w:numPr>
          <w:ilvl w:val="2"/>
          <w:numId w:val="169"/>
        </w:numPr>
        <w:spacing w:before="120" w:after="200" w:line="240" w:lineRule="auto"/>
        <w:ind w:left="357" w:hanging="357"/>
        <w:rPr>
          <w:szCs w:val="24"/>
        </w:rPr>
      </w:pPr>
      <w:r w:rsidRPr="008861BC">
        <w:rPr>
          <w:lang w:eastAsia="en-AU"/>
        </w:rPr>
        <w:t>A new requirement for any claim in the Complex Health Care domain is that there is evidence that the resident has a regular ongoing documented 3 monthly comprehensive health assessment undertaken and signed off by a registered nurse.</w:t>
      </w:r>
    </w:p>
    <w:p w:rsidR="00B27456" w:rsidRPr="008861BC" w:rsidRDefault="00B27456" w:rsidP="00F02312">
      <w:pPr>
        <w:pStyle w:val="ListParagraph"/>
        <w:numPr>
          <w:ilvl w:val="0"/>
          <w:numId w:val="169"/>
        </w:numPr>
        <w:ind w:left="357" w:hanging="357"/>
        <w:rPr>
          <w:lang w:eastAsia="en-AU"/>
        </w:rPr>
      </w:pPr>
      <w:r w:rsidRPr="008861BC">
        <w:rPr>
          <w:lang w:eastAsia="en-AU"/>
        </w:rPr>
        <w:t>The Medication</w:t>
      </w:r>
      <w:r w:rsidRPr="008C2EF2">
        <w:rPr>
          <w:b/>
          <w:lang w:eastAsia="en-AU"/>
        </w:rPr>
        <w:t xml:space="preserve"> </w:t>
      </w:r>
      <w:r w:rsidRPr="008861BC">
        <w:rPr>
          <w:lang w:eastAsia="en-AU"/>
        </w:rPr>
        <w:t>question (ACFI 11) has</w:t>
      </w:r>
      <w:r w:rsidRPr="008C2EF2">
        <w:rPr>
          <w:b/>
          <w:lang w:eastAsia="en-AU"/>
        </w:rPr>
        <w:t xml:space="preserve"> </w:t>
      </w:r>
      <w:r w:rsidRPr="008861BC">
        <w:rPr>
          <w:lang w:eastAsia="en-AU"/>
        </w:rPr>
        <w:t xml:space="preserve">been moved into the R-ACFI Complex Health Care Procedures list as two separate items. The items are now (i) daily medications, </w:t>
      </w:r>
      <w:r w:rsidR="008A1198">
        <w:rPr>
          <w:lang w:eastAsia="en-AU"/>
        </w:rPr>
        <w:t xml:space="preserve">at least weekly </w:t>
      </w:r>
      <w:r w:rsidRPr="008861BC">
        <w:rPr>
          <w:lang w:eastAsia="en-AU"/>
        </w:rPr>
        <w:t>patches, suppositories and enemas (weight 3) and (ii) daily injections (weight 6).</w:t>
      </w:r>
    </w:p>
    <w:p w:rsidR="00B27456" w:rsidRPr="008861BC" w:rsidRDefault="00B27456" w:rsidP="00F02312">
      <w:pPr>
        <w:pStyle w:val="ListParagraph"/>
        <w:numPr>
          <w:ilvl w:val="0"/>
          <w:numId w:val="169"/>
        </w:numPr>
        <w:ind w:left="357" w:hanging="357"/>
        <w:rPr>
          <w:lang w:eastAsia="en-AU"/>
        </w:rPr>
      </w:pPr>
      <w:r w:rsidRPr="008861BC">
        <w:rPr>
          <w:lang w:eastAsia="en-AU"/>
        </w:rPr>
        <w:lastRenderedPageBreak/>
        <w:t>Removal of the items 12.1 blood pressure, 12.18 vital signs technical equipment as these are considered not discriminating items and low in complexity.</w:t>
      </w:r>
    </w:p>
    <w:p w:rsidR="00B27456" w:rsidRPr="008861BC" w:rsidRDefault="00B27456" w:rsidP="00F02312">
      <w:pPr>
        <w:pStyle w:val="ListParagraph"/>
        <w:numPr>
          <w:ilvl w:val="0"/>
          <w:numId w:val="169"/>
        </w:numPr>
        <w:ind w:left="357" w:hanging="357"/>
        <w:rPr>
          <w:lang w:eastAsia="en-AU"/>
        </w:rPr>
      </w:pPr>
      <w:r w:rsidRPr="008861BC">
        <w:rPr>
          <w:lang w:eastAsia="en-AU"/>
        </w:rPr>
        <w:t>Removal of the item 12.12a management of arthritic joints &amp; oedema as it is included and covered in the R-ACFI 3 checklist item “dressing and undressing”.</w:t>
      </w:r>
    </w:p>
    <w:p w:rsidR="008861BC" w:rsidRPr="008861BC" w:rsidRDefault="008861BC" w:rsidP="00F02312">
      <w:pPr>
        <w:pStyle w:val="ListParagraph"/>
        <w:numPr>
          <w:ilvl w:val="0"/>
          <w:numId w:val="169"/>
        </w:numPr>
        <w:ind w:left="357" w:hanging="357"/>
      </w:pPr>
      <w:r w:rsidRPr="008861BC">
        <w:rPr>
          <w:lang w:eastAsia="en-AU"/>
        </w:rPr>
        <w:t xml:space="preserve">Improvements to the ACFI item focusing on non-arthritic oedema </w:t>
      </w:r>
      <w:r w:rsidRPr="008861BC">
        <w:t>12.12b (R-ACFI CHC item 7) to include aspects associated with a medical diagnosis of specific types and a detailed directive covering measurements, level of compression, types of garments and application.</w:t>
      </w:r>
    </w:p>
    <w:p w:rsidR="00B27456" w:rsidRPr="008C2EF2" w:rsidRDefault="00B27456" w:rsidP="00F02312">
      <w:pPr>
        <w:pStyle w:val="ListParagraph"/>
        <w:numPr>
          <w:ilvl w:val="0"/>
          <w:numId w:val="169"/>
        </w:numPr>
        <w:ind w:left="357" w:hanging="357"/>
        <w:rPr>
          <w:sz w:val="22"/>
        </w:rPr>
      </w:pPr>
      <w:r w:rsidRPr="008861BC">
        <w:t>Re-weighting of the blood glucose and oxygen therapy items from 3 points to 1 point to reflect their lower level of complexity in relation to the other items.</w:t>
      </w:r>
    </w:p>
    <w:p w:rsidR="00B27456" w:rsidRPr="008861BC" w:rsidRDefault="00B27456" w:rsidP="00F02312">
      <w:pPr>
        <w:pStyle w:val="ListParagraph"/>
        <w:numPr>
          <w:ilvl w:val="0"/>
          <w:numId w:val="169"/>
        </w:numPr>
        <w:ind w:left="357" w:hanging="357"/>
        <w:rPr>
          <w:lang w:eastAsia="en-AU"/>
        </w:rPr>
      </w:pPr>
      <w:r w:rsidRPr="008861BC">
        <w:rPr>
          <w:lang w:eastAsia="en-AU"/>
        </w:rPr>
        <w:t>Inclusion of a Depression item into the CHC procedures list and re-framed as “Major Depression”.</w:t>
      </w:r>
      <w:r w:rsidR="007A576E">
        <w:rPr>
          <w:lang w:eastAsia="en-AU"/>
        </w:rPr>
        <w:t xml:space="preserve"> </w:t>
      </w:r>
      <w:r w:rsidRPr="008861BC">
        <w:rPr>
          <w:lang w:eastAsia="en-AU"/>
        </w:rPr>
        <w:t xml:space="preserve">The funding from the Depression question has been added into the Complex Health Domain funding pool ($3.65 </w:t>
      </w:r>
      <w:r w:rsidR="00735127">
        <w:rPr>
          <w:lang w:eastAsia="en-AU"/>
        </w:rPr>
        <w:t>per day</w:t>
      </w:r>
      <w:r w:rsidRPr="008861BC">
        <w:rPr>
          <w:lang w:eastAsia="en-AU"/>
        </w:rPr>
        <w:t>).</w:t>
      </w:r>
    </w:p>
    <w:p w:rsidR="0095773A" w:rsidRPr="008861BC" w:rsidRDefault="0095773A" w:rsidP="00F02312">
      <w:pPr>
        <w:pStyle w:val="ListParagraph"/>
        <w:numPr>
          <w:ilvl w:val="0"/>
          <w:numId w:val="169"/>
        </w:numPr>
        <w:ind w:left="357" w:hanging="357"/>
        <w:rPr>
          <w:lang w:eastAsia="en-AU"/>
        </w:rPr>
      </w:pPr>
      <w:r w:rsidRPr="008861BC">
        <w:rPr>
          <w:lang w:eastAsia="en-AU"/>
        </w:rPr>
        <w:t>A palliative care claim will now trigger a 6-month mandatory re-appraisal</w:t>
      </w:r>
    </w:p>
    <w:p w:rsidR="00980F62" w:rsidRDefault="00B27456" w:rsidP="00F02312">
      <w:pPr>
        <w:pStyle w:val="ListParagraph"/>
        <w:numPr>
          <w:ilvl w:val="0"/>
          <w:numId w:val="169"/>
        </w:numPr>
        <w:ind w:left="357" w:hanging="357"/>
        <w:rPr>
          <w:lang w:eastAsia="en-AU"/>
        </w:rPr>
      </w:pPr>
      <w:r w:rsidRPr="008861BC">
        <w:rPr>
          <w:lang w:eastAsia="en-AU"/>
        </w:rPr>
        <w:t>Relocation of the pain management items (12.3, 12.4a, 12.4b) and funding into the new</w:t>
      </w:r>
      <w:r w:rsidR="007A576E">
        <w:rPr>
          <w:lang w:eastAsia="en-AU"/>
        </w:rPr>
        <w:t xml:space="preserve"> </w:t>
      </w:r>
      <w:r w:rsidRPr="008861BC">
        <w:rPr>
          <w:lang w:eastAsia="en-AU"/>
        </w:rPr>
        <w:t xml:space="preserve"> R-ACFI Therapy Program which has a broader physical therapy focus.</w:t>
      </w:r>
      <w:r w:rsidR="007A576E">
        <w:rPr>
          <w:lang w:eastAsia="en-AU"/>
        </w:rPr>
        <w:t xml:space="preserve"> </w:t>
      </w:r>
      <w:r w:rsidRPr="008861BC">
        <w:rPr>
          <w:lang w:eastAsia="en-AU"/>
        </w:rPr>
        <w:t xml:space="preserve">The funding determined from the pain management items over the past 4 years has been averaged and $15 </w:t>
      </w:r>
      <w:r w:rsidR="00735127">
        <w:rPr>
          <w:lang w:eastAsia="en-AU"/>
        </w:rPr>
        <w:t>per day</w:t>
      </w:r>
      <w:r w:rsidRPr="008861BC">
        <w:rPr>
          <w:lang w:eastAsia="en-AU"/>
        </w:rPr>
        <w:t xml:space="preserve"> has been transferred from the Complex Health Domain into the new Therapy Program.</w:t>
      </w:r>
    </w:p>
    <w:p w:rsidR="00B27456" w:rsidRPr="008861BC" w:rsidRDefault="00473246" w:rsidP="00B27456">
      <w:pPr>
        <w:spacing w:after="200"/>
        <w:rPr>
          <w:rFonts w:ascii="Calibri" w:hAnsi="Calibri" w:cs="Times New Roman"/>
          <w:iCs/>
          <w:szCs w:val="18"/>
        </w:rPr>
      </w:pPr>
      <w:hyperlink w:anchor="Tab0607" w:history="1">
        <w:r w:rsidR="008861BC" w:rsidRPr="00D062E1">
          <w:rPr>
            <w:rStyle w:val="Hyperlink"/>
            <w:rFonts w:ascii="Calibri" w:hAnsi="Calibri" w:cs="Times New Roman"/>
            <w:iCs/>
            <w:szCs w:val="18"/>
          </w:rPr>
          <w:t>Table 6.7</w:t>
        </w:r>
      </w:hyperlink>
      <w:r w:rsidR="008861BC" w:rsidRPr="008861BC">
        <w:rPr>
          <w:rFonts w:ascii="Calibri" w:hAnsi="Calibri" w:cs="Times New Roman"/>
          <w:iCs/>
          <w:szCs w:val="18"/>
        </w:rPr>
        <w:t xml:space="preserve"> provides a summary of the assessments relevant to the R-ACFI CHC domain.</w:t>
      </w:r>
    </w:p>
    <w:p w:rsidR="00376240" w:rsidRDefault="00376240" w:rsidP="00376240">
      <w:pPr>
        <w:rPr>
          <w:rFonts w:ascii="Calibri" w:hAnsi="Calibri" w:cs="Times New Roman"/>
          <w:szCs w:val="18"/>
        </w:rPr>
      </w:pPr>
      <w:r>
        <w:br w:type="page"/>
      </w:r>
    </w:p>
    <w:p w:rsidR="00E77C0F" w:rsidRDefault="0046234D" w:rsidP="00E77C0F">
      <w:pPr>
        <w:pStyle w:val="Caption"/>
        <w:keepNext/>
      </w:pPr>
      <w:bookmarkStart w:id="460" w:name="_Toc495416348"/>
      <w:bookmarkStart w:id="461" w:name="Tab0607"/>
      <w:r>
        <w:lastRenderedPageBreak/>
        <w:t>Table 6.</w:t>
      </w:r>
      <w:r w:rsidR="009A3F5A">
        <w:fldChar w:fldCharType="begin"/>
      </w:r>
      <w:r w:rsidR="009A3F5A">
        <w:instrText xml:space="preserve"> SEQ Table_6. \* ARABIC </w:instrText>
      </w:r>
      <w:r w:rsidR="009A3F5A">
        <w:fldChar w:fldCharType="separate"/>
      </w:r>
      <w:r w:rsidR="00856E49">
        <w:rPr>
          <w:noProof/>
        </w:rPr>
        <w:t>7</w:t>
      </w:r>
      <w:r w:rsidR="009A3F5A">
        <w:rPr>
          <w:noProof/>
        </w:rPr>
        <w:fldChar w:fldCharType="end"/>
      </w:r>
      <w:r>
        <w:t xml:space="preserve">: </w:t>
      </w:r>
      <w:r w:rsidRPr="0046234D">
        <w:t>R-ACFI Complex Health Assessment Tools Recommendations</w:t>
      </w:r>
      <w:bookmarkEnd w:id="460"/>
    </w:p>
    <w:tbl>
      <w:tblPr>
        <w:tblStyle w:val="GridTable1Light-Accent11"/>
        <w:tblW w:w="9214"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20" w:firstRow="1" w:lastRow="0" w:firstColumn="0" w:lastColumn="0" w:noHBand="0" w:noVBand="1"/>
        <w:tblDescription w:val="Table 6.7 is a list of details for the mandatory and recommended assessment tools for complex health care (CHC) under the revised aged care funding instrument (R-ACFI). This table is to be read left to right, top to bottom."/>
      </w:tblPr>
      <w:tblGrid>
        <w:gridCol w:w="2518"/>
        <w:gridCol w:w="2410"/>
        <w:gridCol w:w="4286"/>
      </w:tblGrid>
      <w:tr w:rsidR="00376240" w:rsidRPr="00090516" w:rsidTr="00374C2B">
        <w:trPr>
          <w:cnfStyle w:val="100000000000" w:firstRow="1" w:lastRow="0" w:firstColumn="0" w:lastColumn="0" w:oddVBand="0" w:evenVBand="0" w:oddHBand="0" w:evenHBand="0" w:firstRowFirstColumn="0" w:firstRowLastColumn="0" w:lastRowFirstColumn="0" w:lastRowLastColumn="0"/>
          <w:tblHeader/>
        </w:trPr>
        <w:tc>
          <w:tcPr>
            <w:tcW w:w="9214" w:type="dxa"/>
            <w:gridSpan w:val="3"/>
            <w:tcBorders>
              <w:bottom w:val="none" w:sz="0" w:space="0" w:color="auto"/>
            </w:tcBorders>
            <w:shd w:val="clear" w:color="auto" w:fill="5B9BD5" w:themeFill="accent5"/>
            <w:hideMark/>
          </w:tcPr>
          <w:bookmarkEnd w:id="461"/>
          <w:p w:rsidR="00B27456" w:rsidRPr="00090516" w:rsidRDefault="00B27456" w:rsidP="00B712EC">
            <w:pPr>
              <w:spacing w:after="0"/>
              <w:rPr>
                <w:color w:val="FFFFFF" w:themeColor="background1"/>
                <w:szCs w:val="24"/>
                <w:lang w:val="en-US"/>
              </w:rPr>
            </w:pPr>
            <w:r w:rsidRPr="00090516">
              <w:rPr>
                <w:bCs w:val="0"/>
                <w:color w:val="FFFFFF" w:themeColor="background1"/>
                <w:szCs w:val="24"/>
              </w:rPr>
              <w:t>Complex Health Care (CHC)</w:t>
            </w:r>
          </w:p>
        </w:tc>
      </w:tr>
      <w:tr w:rsidR="00376240" w:rsidRPr="00376240" w:rsidTr="00374C2B">
        <w:tc>
          <w:tcPr>
            <w:tcW w:w="2518" w:type="dxa"/>
            <w:shd w:val="clear" w:color="auto" w:fill="DEEAF6" w:themeFill="accent5" w:themeFillTint="33"/>
            <w:hideMark/>
          </w:tcPr>
          <w:p w:rsidR="00B27456" w:rsidRPr="00376240" w:rsidRDefault="00B27456" w:rsidP="00374C2B">
            <w:pPr>
              <w:spacing w:after="0"/>
              <w:rPr>
                <w:b/>
                <w:szCs w:val="24"/>
                <w:lang w:val="en-US"/>
              </w:rPr>
            </w:pPr>
            <w:r w:rsidRPr="00376240">
              <w:rPr>
                <w:rFonts w:cstheme="minorHAnsi"/>
                <w:b/>
                <w:szCs w:val="24"/>
                <w:lang w:val="en-US"/>
              </w:rPr>
              <w:t>Mandatory</w:t>
            </w:r>
          </w:p>
        </w:tc>
        <w:tc>
          <w:tcPr>
            <w:tcW w:w="2410" w:type="dxa"/>
            <w:shd w:val="clear" w:color="auto" w:fill="DEEAF6" w:themeFill="accent5" w:themeFillTint="33"/>
            <w:hideMark/>
          </w:tcPr>
          <w:p w:rsidR="00B27456" w:rsidRPr="00376240" w:rsidRDefault="00B27456" w:rsidP="00B712EC">
            <w:pPr>
              <w:spacing w:after="0"/>
              <w:rPr>
                <w:b/>
                <w:szCs w:val="24"/>
                <w:lang w:val="en-US"/>
              </w:rPr>
            </w:pPr>
            <w:r w:rsidRPr="00376240">
              <w:rPr>
                <w:rFonts w:cstheme="minorHAnsi"/>
                <w:b/>
                <w:szCs w:val="24"/>
                <w:lang w:val="en-US"/>
              </w:rPr>
              <w:t>Recommended</w:t>
            </w:r>
          </w:p>
        </w:tc>
        <w:tc>
          <w:tcPr>
            <w:tcW w:w="4286" w:type="dxa"/>
            <w:shd w:val="clear" w:color="auto" w:fill="DEEAF6" w:themeFill="accent5" w:themeFillTint="33"/>
            <w:hideMark/>
          </w:tcPr>
          <w:p w:rsidR="00B27456" w:rsidRPr="00376240" w:rsidRDefault="00B27456" w:rsidP="00B712EC">
            <w:pPr>
              <w:spacing w:after="0"/>
              <w:rPr>
                <w:szCs w:val="24"/>
                <w:lang w:val="en-US"/>
              </w:rPr>
            </w:pPr>
            <w:r w:rsidRPr="00376240">
              <w:rPr>
                <w:rFonts w:cstheme="minorHAnsi"/>
                <w:b/>
                <w:szCs w:val="24"/>
                <w:lang w:val="en-US"/>
              </w:rPr>
              <w:t>Source</w:t>
            </w:r>
          </w:p>
        </w:tc>
      </w:tr>
      <w:tr w:rsidR="00376240" w:rsidRPr="00376240" w:rsidTr="00374C2B">
        <w:tc>
          <w:tcPr>
            <w:tcW w:w="2518" w:type="dxa"/>
          </w:tcPr>
          <w:p w:rsidR="00B27456" w:rsidRPr="007F1D25" w:rsidRDefault="00B27456" w:rsidP="008C2EF2">
            <w:pPr>
              <w:spacing w:after="0"/>
              <w:jc w:val="left"/>
              <w:rPr>
                <w:sz w:val="22"/>
                <w:lang w:val="en-US"/>
              </w:rPr>
            </w:pPr>
            <w:r w:rsidRPr="007F1D25">
              <w:rPr>
                <w:rFonts w:cstheme="minorHAnsi"/>
                <w:b/>
                <w:sz w:val="22"/>
                <w:lang w:val="en-US"/>
              </w:rPr>
              <w:t xml:space="preserve">Comprehensive Health Assessment (CHA) </w:t>
            </w:r>
            <w:r w:rsidRPr="007F1D25">
              <w:rPr>
                <w:sz w:val="22"/>
                <w:lang w:eastAsia="en-AU"/>
              </w:rPr>
              <w:t>Regular, ongoing, documented 3</w:t>
            </w:r>
            <w:r w:rsidR="008A1198" w:rsidRPr="007F1D25">
              <w:rPr>
                <w:sz w:val="22"/>
                <w:lang w:eastAsia="en-AU"/>
              </w:rPr>
              <w:t>-</w:t>
            </w:r>
            <w:r w:rsidRPr="007F1D25">
              <w:rPr>
                <w:sz w:val="22"/>
                <w:lang w:eastAsia="en-AU"/>
              </w:rPr>
              <w:t xml:space="preserve">monthly, comprehensive health assessment, </w:t>
            </w:r>
            <w:r w:rsidR="00FB6A08" w:rsidRPr="007F1D25">
              <w:rPr>
                <w:sz w:val="22"/>
                <w:lang w:eastAsia="en-AU"/>
              </w:rPr>
              <w:t>undertaken and signed off by a Registered N</w:t>
            </w:r>
            <w:r w:rsidRPr="007F1D25">
              <w:rPr>
                <w:sz w:val="22"/>
                <w:lang w:eastAsia="en-AU"/>
              </w:rPr>
              <w:t>urse</w:t>
            </w:r>
          </w:p>
        </w:tc>
        <w:tc>
          <w:tcPr>
            <w:tcW w:w="2410" w:type="dxa"/>
          </w:tcPr>
          <w:p w:rsidR="00B27456" w:rsidRPr="007F1D25" w:rsidRDefault="00B27456" w:rsidP="008C2EF2">
            <w:pPr>
              <w:spacing w:after="0"/>
              <w:jc w:val="left"/>
              <w:rPr>
                <w:sz w:val="22"/>
              </w:rPr>
            </w:pPr>
            <w:r w:rsidRPr="007F1D25">
              <w:rPr>
                <w:rFonts w:cstheme="minorHAnsi"/>
                <w:sz w:val="22"/>
              </w:rPr>
              <w:t>Comprehensive Health Assessment for Older People: Documentation Template</w:t>
            </w:r>
            <w:r w:rsidR="00FB6A08" w:rsidRPr="007F1D25">
              <w:rPr>
                <w:rFonts w:cstheme="minorHAnsi"/>
                <w:sz w:val="22"/>
              </w:rPr>
              <w:t>, 2014</w:t>
            </w:r>
            <w:r w:rsidRPr="007F1D25">
              <w:rPr>
                <w:rFonts w:cstheme="minorHAnsi"/>
                <w:sz w:val="22"/>
              </w:rPr>
              <w:t>. (CHAOP)</w:t>
            </w:r>
          </w:p>
        </w:tc>
        <w:tc>
          <w:tcPr>
            <w:tcW w:w="4286" w:type="dxa"/>
          </w:tcPr>
          <w:p w:rsidR="00B27456" w:rsidRPr="007B7F50" w:rsidRDefault="00B27456" w:rsidP="008C2EF2">
            <w:pPr>
              <w:jc w:val="left"/>
              <w:rPr>
                <w:sz w:val="22"/>
              </w:rPr>
            </w:pPr>
            <w:r w:rsidRPr="007B7F50">
              <w:rPr>
                <w:sz w:val="22"/>
              </w:rPr>
              <w:t xml:space="preserve">La Trobe University (ACEBAC) research team: Dr Deirdre Fetherstonhaugh, Dr Margaret Winbolt, Dr Michael Bauer, Professor Rhonda Nay. This project was supported with funding from Victorian Department of Health, Wellbeing, Integrated Care and Ageing Division and from the Home and Community Care Program which is jointly funded by the Commonwealth and Victorian Governments. </w:t>
            </w:r>
            <w:hyperlink r:id="rId78" w:history="1">
              <w:r w:rsidR="00353FEA" w:rsidRPr="00450C20">
                <w:rPr>
                  <w:rStyle w:val="Hyperlink"/>
                  <w:sz w:val="22"/>
                </w:rPr>
                <w:t>Comprehensive health assessment of the older person</w:t>
              </w:r>
            </w:hyperlink>
          </w:p>
        </w:tc>
      </w:tr>
      <w:tr w:rsidR="00376240" w:rsidRPr="00376240" w:rsidTr="00374C2B">
        <w:tc>
          <w:tcPr>
            <w:tcW w:w="2518" w:type="dxa"/>
            <w:hideMark/>
          </w:tcPr>
          <w:p w:rsidR="00FB6A08" w:rsidRPr="007F1D25" w:rsidRDefault="00B27456" w:rsidP="008C2EF2">
            <w:pPr>
              <w:spacing w:after="0"/>
              <w:jc w:val="left"/>
              <w:rPr>
                <w:rFonts w:cstheme="minorHAnsi"/>
                <w:sz w:val="22"/>
              </w:rPr>
            </w:pPr>
            <w:r w:rsidRPr="007F1D25">
              <w:rPr>
                <w:b/>
                <w:sz w:val="22"/>
                <w:lang w:eastAsia="en-AU"/>
              </w:rPr>
              <w:t>Nursing Assessments</w:t>
            </w:r>
            <w:r w:rsidRPr="007F1D25">
              <w:rPr>
                <w:rFonts w:cstheme="minorHAnsi"/>
                <w:sz w:val="22"/>
              </w:rPr>
              <w:t xml:space="preserve"> are required for</w:t>
            </w:r>
            <w:r w:rsidR="00FB6A08" w:rsidRPr="007F1D25">
              <w:rPr>
                <w:rFonts w:cstheme="minorHAnsi"/>
                <w:sz w:val="22"/>
              </w:rPr>
              <w:t>:</w:t>
            </w:r>
          </w:p>
          <w:p w:rsidR="00FB6A08" w:rsidRPr="007F1D25" w:rsidRDefault="00FB6A08" w:rsidP="008C2EF2">
            <w:pPr>
              <w:spacing w:after="0"/>
              <w:jc w:val="left"/>
              <w:rPr>
                <w:rFonts w:cstheme="minorHAnsi"/>
                <w:sz w:val="22"/>
              </w:rPr>
            </w:pPr>
            <w:r w:rsidRPr="007F1D25">
              <w:rPr>
                <w:rFonts w:cstheme="minorHAnsi"/>
                <w:sz w:val="22"/>
              </w:rPr>
              <w:t>Skin Integrity</w:t>
            </w:r>
            <w:r w:rsidR="006A5E86">
              <w:rPr>
                <w:rFonts w:cstheme="minorHAnsi"/>
                <w:sz w:val="22"/>
              </w:rPr>
              <w:t>-</w:t>
            </w:r>
          </w:p>
          <w:p w:rsidR="00FB6A08" w:rsidRPr="007F1D25" w:rsidRDefault="00FB6A08" w:rsidP="008C2EF2">
            <w:pPr>
              <w:spacing w:after="0"/>
              <w:jc w:val="left"/>
              <w:rPr>
                <w:sz w:val="22"/>
              </w:rPr>
            </w:pPr>
            <w:r w:rsidRPr="007F1D25">
              <w:rPr>
                <w:sz w:val="22"/>
              </w:rPr>
              <w:t>R-ACFI 8 item 4</w:t>
            </w:r>
          </w:p>
          <w:p w:rsidR="00376240" w:rsidRPr="007F1D25" w:rsidRDefault="00376240" w:rsidP="008C2EF2">
            <w:pPr>
              <w:spacing w:after="0"/>
              <w:jc w:val="left"/>
              <w:rPr>
                <w:rFonts w:cstheme="minorHAnsi"/>
                <w:sz w:val="22"/>
              </w:rPr>
            </w:pPr>
            <w:r w:rsidRPr="007F1D25">
              <w:rPr>
                <w:rFonts w:cstheme="minorHAnsi"/>
                <w:sz w:val="22"/>
              </w:rPr>
              <w:t>Swallowing</w:t>
            </w:r>
            <w:r w:rsidR="006A5E86">
              <w:rPr>
                <w:rFonts w:cstheme="minorHAnsi"/>
                <w:sz w:val="22"/>
              </w:rPr>
              <w:t>-</w:t>
            </w:r>
          </w:p>
          <w:p w:rsidR="00980F62" w:rsidRDefault="00376240" w:rsidP="008C2EF2">
            <w:pPr>
              <w:spacing w:after="0"/>
              <w:jc w:val="left"/>
              <w:rPr>
                <w:rFonts w:cstheme="minorHAnsi"/>
                <w:sz w:val="22"/>
              </w:rPr>
            </w:pPr>
            <w:r w:rsidRPr="007F1D25">
              <w:rPr>
                <w:sz w:val="22"/>
              </w:rPr>
              <w:t>R-ACFI 8 item 5</w:t>
            </w:r>
          </w:p>
          <w:p w:rsidR="00FB6A08" w:rsidRPr="007F1D25" w:rsidRDefault="00FB6A08" w:rsidP="008C2EF2">
            <w:pPr>
              <w:spacing w:after="0"/>
              <w:jc w:val="left"/>
              <w:rPr>
                <w:rFonts w:cstheme="minorHAnsi"/>
                <w:sz w:val="22"/>
              </w:rPr>
            </w:pPr>
            <w:r w:rsidRPr="007F1D25">
              <w:rPr>
                <w:rFonts w:cstheme="minorHAnsi"/>
                <w:sz w:val="22"/>
              </w:rPr>
              <w:t>Wounds</w:t>
            </w:r>
            <w:r w:rsidR="006A5E86">
              <w:rPr>
                <w:rFonts w:cstheme="minorHAnsi"/>
                <w:sz w:val="22"/>
              </w:rPr>
              <w:t>-</w:t>
            </w:r>
          </w:p>
          <w:p w:rsidR="00B27456" w:rsidRPr="007F1D25" w:rsidRDefault="00FB6A08" w:rsidP="008C2EF2">
            <w:pPr>
              <w:spacing w:after="0"/>
              <w:jc w:val="left"/>
              <w:rPr>
                <w:sz w:val="22"/>
                <w:lang w:val="en-US"/>
              </w:rPr>
            </w:pPr>
            <w:r w:rsidRPr="007F1D25">
              <w:rPr>
                <w:sz w:val="22"/>
              </w:rPr>
              <w:t>R-ACFI 8 it</w:t>
            </w:r>
            <w:r w:rsidR="00376240" w:rsidRPr="007F1D25">
              <w:rPr>
                <w:sz w:val="22"/>
              </w:rPr>
              <w:t>em 11</w:t>
            </w:r>
          </w:p>
        </w:tc>
        <w:tc>
          <w:tcPr>
            <w:tcW w:w="2410" w:type="dxa"/>
          </w:tcPr>
          <w:p w:rsidR="00B27456" w:rsidRPr="007F1D25" w:rsidRDefault="00B27456" w:rsidP="008C2EF2">
            <w:pPr>
              <w:spacing w:after="0"/>
              <w:jc w:val="left"/>
              <w:rPr>
                <w:sz w:val="22"/>
                <w:lang w:val="en-US"/>
              </w:rPr>
            </w:pPr>
            <w:r w:rsidRPr="007F1D25">
              <w:rPr>
                <w:sz w:val="22"/>
                <w:lang w:val="en-US"/>
              </w:rPr>
              <w:t xml:space="preserve">Validated assessments </w:t>
            </w:r>
          </w:p>
        </w:tc>
        <w:tc>
          <w:tcPr>
            <w:tcW w:w="4286" w:type="dxa"/>
          </w:tcPr>
          <w:p w:rsidR="00B27456" w:rsidRPr="007F1D25" w:rsidRDefault="00FB6A08" w:rsidP="008C2EF2">
            <w:pPr>
              <w:spacing w:after="0"/>
              <w:jc w:val="left"/>
              <w:rPr>
                <w:rFonts w:cstheme="minorHAnsi"/>
                <w:sz w:val="22"/>
                <w:lang w:val="en-US"/>
              </w:rPr>
            </w:pPr>
            <w:r w:rsidRPr="007F1D25">
              <w:rPr>
                <w:rFonts w:cstheme="minorHAnsi"/>
                <w:sz w:val="22"/>
              </w:rPr>
              <w:t xml:space="preserve">For example, </w:t>
            </w:r>
            <w:r w:rsidR="00B27456" w:rsidRPr="007F1D25">
              <w:rPr>
                <w:rFonts w:cstheme="minorHAnsi"/>
                <w:sz w:val="22"/>
              </w:rPr>
              <w:t>NATFRAME (</w:t>
            </w:r>
            <w:r w:rsidR="00B27456" w:rsidRPr="007F1D25">
              <w:rPr>
                <w:rFonts w:cstheme="minorHAnsi"/>
                <w:sz w:val="22"/>
                <w:shd w:val="clear" w:color="auto" w:fill="FFFFFF"/>
              </w:rPr>
              <w:t>National Framework for Documenting Care in Residential Aged Care Services)</w:t>
            </w:r>
          </w:p>
        </w:tc>
      </w:tr>
      <w:tr w:rsidR="00C63FC2" w:rsidRPr="00376240" w:rsidTr="00374C2B">
        <w:tc>
          <w:tcPr>
            <w:tcW w:w="2518" w:type="dxa"/>
          </w:tcPr>
          <w:p w:rsidR="00980F62" w:rsidRDefault="00C63FC2" w:rsidP="008C2EF2">
            <w:pPr>
              <w:spacing w:after="0"/>
              <w:jc w:val="left"/>
              <w:rPr>
                <w:b/>
                <w:sz w:val="22"/>
                <w:lang w:eastAsia="en-AU"/>
              </w:rPr>
            </w:pPr>
            <w:r w:rsidRPr="007F1D25">
              <w:rPr>
                <w:b/>
                <w:sz w:val="22"/>
                <w:lang w:eastAsia="en-AU"/>
              </w:rPr>
              <w:t>Nursing Assessment</w:t>
            </w:r>
          </w:p>
          <w:p w:rsidR="00C63FC2" w:rsidRPr="007F1D25" w:rsidRDefault="00C63FC2" w:rsidP="008C2EF2">
            <w:pPr>
              <w:spacing w:after="0"/>
              <w:jc w:val="left"/>
              <w:rPr>
                <w:b/>
                <w:sz w:val="22"/>
                <w:lang w:eastAsia="en-AU"/>
              </w:rPr>
            </w:pPr>
            <w:r w:rsidRPr="007F1D25">
              <w:rPr>
                <w:sz w:val="22"/>
                <w:lang w:eastAsia="en-AU"/>
              </w:rPr>
              <w:t>R-ACFI</w:t>
            </w:r>
            <w:r w:rsidR="000D255C" w:rsidRPr="007F1D25">
              <w:rPr>
                <w:sz w:val="22"/>
                <w:lang w:eastAsia="en-AU"/>
              </w:rPr>
              <w:t xml:space="preserve"> </w:t>
            </w:r>
            <w:r w:rsidR="006A5E86" w:rsidRPr="00133CEF">
              <w:rPr>
                <w:sz w:val="22"/>
              </w:rPr>
              <w:t>8 item</w:t>
            </w:r>
            <w:r w:rsidR="006A5E86">
              <w:rPr>
                <w:sz w:val="22"/>
                <w:lang w:eastAsia="en-AU"/>
              </w:rPr>
              <w:t xml:space="preserve"> 7-</w:t>
            </w:r>
          </w:p>
          <w:p w:rsidR="00C63FC2" w:rsidRPr="007F1D25" w:rsidRDefault="00C63FC2" w:rsidP="008C2EF2">
            <w:pPr>
              <w:spacing w:after="0"/>
              <w:jc w:val="left"/>
              <w:rPr>
                <w:b/>
                <w:sz w:val="22"/>
                <w:lang w:eastAsia="en-AU"/>
              </w:rPr>
            </w:pPr>
            <w:r w:rsidRPr="007B7F50">
              <w:rPr>
                <w:sz w:val="22"/>
              </w:rPr>
              <w:t>Complex management of oedema</w:t>
            </w:r>
          </w:p>
        </w:tc>
        <w:tc>
          <w:tcPr>
            <w:tcW w:w="2410" w:type="dxa"/>
          </w:tcPr>
          <w:p w:rsidR="00C63FC2" w:rsidRPr="007F1D25" w:rsidRDefault="00C63FC2" w:rsidP="008C2EF2">
            <w:pPr>
              <w:spacing w:after="0"/>
              <w:jc w:val="left"/>
              <w:rPr>
                <w:sz w:val="22"/>
                <w:lang w:val="en-US"/>
              </w:rPr>
            </w:pPr>
            <w:r w:rsidRPr="007B7F50">
              <w:rPr>
                <w:sz w:val="22"/>
              </w:rPr>
              <w:t>Compression garment selection, fitting and monitoring education</w:t>
            </w:r>
            <w:r w:rsidR="007A576E">
              <w:rPr>
                <w:sz w:val="22"/>
              </w:rPr>
              <w:t xml:space="preserve"> </w:t>
            </w:r>
            <w:r w:rsidRPr="007B7F50">
              <w:rPr>
                <w:sz w:val="22"/>
              </w:rPr>
              <w:t>resource (2014)</w:t>
            </w:r>
          </w:p>
        </w:tc>
        <w:tc>
          <w:tcPr>
            <w:tcW w:w="4286" w:type="dxa"/>
          </w:tcPr>
          <w:p w:rsidR="00C63FC2" w:rsidRPr="007F1D25" w:rsidRDefault="00C63FC2" w:rsidP="008C2EF2">
            <w:pPr>
              <w:jc w:val="left"/>
              <w:rPr>
                <w:rFonts w:cstheme="minorHAnsi"/>
                <w:sz w:val="22"/>
              </w:rPr>
            </w:pPr>
            <w:r w:rsidRPr="007B7F50">
              <w:rPr>
                <w:sz w:val="22"/>
              </w:rPr>
              <w:t xml:space="preserve">Queensland Health. Compression garment selection, fitting and monitoring education resource (2014) </w:t>
            </w:r>
            <w:hyperlink r:id="rId79" w:history="1">
              <w:r w:rsidR="00E06374">
                <w:rPr>
                  <w:rStyle w:val="Hyperlink"/>
                  <w:sz w:val="22"/>
                </w:rPr>
                <w:t>Compression garment selection, fitting and monitoring education resource Component 1: Self guided learning package</w:t>
              </w:r>
            </w:hyperlink>
          </w:p>
        </w:tc>
      </w:tr>
      <w:tr w:rsidR="00376240" w:rsidRPr="00376240" w:rsidTr="00374C2B">
        <w:tc>
          <w:tcPr>
            <w:tcW w:w="2518" w:type="dxa"/>
            <w:vMerge w:val="restart"/>
          </w:tcPr>
          <w:p w:rsidR="00980F62" w:rsidRDefault="00B27456" w:rsidP="008C2EF2">
            <w:pPr>
              <w:spacing w:after="0"/>
              <w:jc w:val="left"/>
              <w:rPr>
                <w:sz w:val="22"/>
                <w:lang w:val="en-US"/>
              </w:rPr>
            </w:pPr>
            <w:r w:rsidRPr="007F1D25">
              <w:rPr>
                <w:rFonts w:cstheme="minorHAnsi"/>
                <w:b/>
                <w:sz w:val="22"/>
              </w:rPr>
              <w:t>Depression Assessment</w:t>
            </w:r>
          </w:p>
          <w:p w:rsidR="00B27456" w:rsidRPr="007F1D25" w:rsidRDefault="00FB6A08" w:rsidP="008C2EF2">
            <w:pPr>
              <w:spacing w:after="0"/>
              <w:jc w:val="left"/>
              <w:rPr>
                <w:sz w:val="22"/>
                <w:lang w:val="en-US"/>
              </w:rPr>
            </w:pPr>
            <w:r w:rsidRPr="007F1D25">
              <w:rPr>
                <w:sz w:val="22"/>
              </w:rPr>
              <w:t>R-ACFI 8 item 8</w:t>
            </w:r>
          </w:p>
        </w:tc>
        <w:tc>
          <w:tcPr>
            <w:tcW w:w="2410" w:type="dxa"/>
          </w:tcPr>
          <w:p w:rsidR="00B27456" w:rsidRPr="007F1D25" w:rsidRDefault="00B27456" w:rsidP="008C2EF2">
            <w:pPr>
              <w:spacing w:after="200"/>
              <w:jc w:val="left"/>
              <w:rPr>
                <w:sz w:val="22"/>
                <w:lang w:val="en-US"/>
              </w:rPr>
            </w:pPr>
            <w:r w:rsidRPr="007F1D25">
              <w:rPr>
                <w:rFonts w:cstheme="minorHAnsi"/>
                <w:sz w:val="22"/>
              </w:rPr>
              <w:t>Revised Cornell Scale for Depression (CSD)</w:t>
            </w:r>
          </w:p>
        </w:tc>
        <w:tc>
          <w:tcPr>
            <w:tcW w:w="4286" w:type="dxa"/>
          </w:tcPr>
          <w:p w:rsidR="00B27456" w:rsidRPr="007F1D25" w:rsidRDefault="00B27456" w:rsidP="008C2EF2">
            <w:pPr>
              <w:spacing w:after="0"/>
              <w:jc w:val="left"/>
              <w:rPr>
                <w:sz w:val="22"/>
                <w:lang w:val="en-US"/>
              </w:rPr>
            </w:pPr>
            <w:r w:rsidRPr="007F1D25">
              <w:rPr>
                <w:sz w:val="22"/>
                <w:lang w:val="en-US"/>
              </w:rPr>
              <w:t>ACFI Assessment Pack</w:t>
            </w:r>
          </w:p>
        </w:tc>
      </w:tr>
      <w:tr w:rsidR="00376240" w:rsidRPr="00376240" w:rsidTr="00374C2B">
        <w:tc>
          <w:tcPr>
            <w:tcW w:w="2518" w:type="dxa"/>
            <w:vMerge/>
          </w:tcPr>
          <w:p w:rsidR="00B27456" w:rsidRPr="007F1D25" w:rsidRDefault="00B27456" w:rsidP="008C2EF2">
            <w:pPr>
              <w:spacing w:after="0"/>
              <w:jc w:val="left"/>
              <w:rPr>
                <w:sz w:val="22"/>
                <w:lang w:val="en-US"/>
              </w:rPr>
            </w:pPr>
          </w:p>
        </w:tc>
        <w:tc>
          <w:tcPr>
            <w:tcW w:w="2410" w:type="dxa"/>
          </w:tcPr>
          <w:p w:rsidR="00B27456" w:rsidRPr="007F1D25" w:rsidRDefault="00B27456" w:rsidP="008C2EF2">
            <w:pPr>
              <w:spacing w:after="0"/>
              <w:jc w:val="left"/>
              <w:rPr>
                <w:sz w:val="22"/>
                <w:lang w:val="en-US"/>
              </w:rPr>
            </w:pPr>
            <w:r w:rsidRPr="007F1D25">
              <w:rPr>
                <w:sz w:val="22"/>
              </w:rPr>
              <w:t>Kessler Psychological Distress Scale (K10)</w:t>
            </w:r>
            <w:r w:rsidRPr="007F1D25">
              <w:rPr>
                <w:sz w:val="22"/>
                <w:lang w:eastAsia="en-AU"/>
              </w:rPr>
              <w:t xml:space="preserve"> </w:t>
            </w:r>
          </w:p>
        </w:tc>
        <w:tc>
          <w:tcPr>
            <w:tcW w:w="4286" w:type="dxa"/>
          </w:tcPr>
          <w:p w:rsidR="00B27456" w:rsidRPr="007F1D25" w:rsidRDefault="00B27456" w:rsidP="008C2EF2">
            <w:pPr>
              <w:spacing w:after="0"/>
              <w:jc w:val="left"/>
              <w:rPr>
                <w:sz w:val="22"/>
                <w:lang w:val="en-US"/>
              </w:rPr>
            </w:pPr>
            <w:r w:rsidRPr="007F1D25">
              <w:rPr>
                <w:sz w:val="22"/>
                <w:lang w:val="en-US"/>
              </w:rPr>
              <w:t>NSAF</w:t>
            </w:r>
          </w:p>
        </w:tc>
      </w:tr>
      <w:tr w:rsidR="00376240" w:rsidRPr="00376240" w:rsidTr="00374C2B">
        <w:tc>
          <w:tcPr>
            <w:tcW w:w="2518" w:type="dxa"/>
            <w:vMerge/>
          </w:tcPr>
          <w:p w:rsidR="00B27456" w:rsidRPr="007F1D25" w:rsidRDefault="00B27456" w:rsidP="008C2EF2">
            <w:pPr>
              <w:spacing w:after="0"/>
              <w:jc w:val="left"/>
              <w:rPr>
                <w:sz w:val="22"/>
                <w:lang w:val="en-US"/>
              </w:rPr>
            </w:pPr>
          </w:p>
        </w:tc>
        <w:tc>
          <w:tcPr>
            <w:tcW w:w="2410" w:type="dxa"/>
          </w:tcPr>
          <w:p w:rsidR="00B27456" w:rsidRPr="007F1D25" w:rsidRDefault="00B27456" w:rsidP="008C2EF2">
            <w:pPr>
              <w:spacing w:after="0"/>
              <w:jc w:val="left"/>
              <w:rPr>
                <w:sz w:val="22"/>
                <w:lang w:val="en-US"/>
              </w:rPr>
            </w:pPr>
            <w:r w:rsidRPr="007F1D25">
              <w:rPr>
                <w:sz w:val="22"/>
                <w:lang w:eastAsia="en-AU"/>
              </w:rPr>
              <w:t xml:space="preserve">Geriatric Depression Scale (GDS) </w:t>
            </w:r>
          </w:p>
        </w:tc>
        <w:tc>
          <w:tcPr>
            <w:tcW w:w="4286" w:type="dxa"/>
          </w:tcPr>
          <w:p w:rsidR="00B27456" w:rsidRPr="007F1D25" w:rsidRDefault="00B27456" w:rsidP="008C2EF2">
            <w:pPr>
              <w:spacing w:after="0"/>
              <w:jc w:val="left"/>
              <w:rPr>
                <w:sz w:val="22"/>
                <w:lang w:val="en-US"/>
              </w:rPr>
            </w:pPr>
            <w:r w:rsidRPr="007F1D25">
              <w:rPr>
                <w:sz w:val="22"/>
                <w:lang w:val="en-US"/>
              </w:rPr>
              <w:t>NSAF &amp; NATFRAME</w:t>
            </w:r>
          </w:p>
        </w:tc>
      </w:tr>
      <w:tr w:rsidR="00376240" w:rsidRPr="00376240" w:rsidTr="00374C2B">
        <w:tc>
          <w:tcPr>
            <w:tcW w:w="2518" w:type="dxa"/>
          </w:tcPr>
          <w:p w:rsidR="00980F62" w:rsidRDefault="00FB6A08" w:rsidP="008C2EF2">
            <w:pPr>
              <w:spacing w:after="0"/>
              <w:jc w:val="left"/>
              <w:rPr>
                <w:sz w:val="22"/>
              </w:rPr>
            </w:pPr>
            <w:r w:rsidRPr="007F1D25">
              <w:rPr>
                <w:b/>
                <w:sz w:val="22"/>
                <w:lang w:val="en-US"/>
              </w:rPr>
              <w:t>Palliative Care Assessment</w:t>
            </w:r>
          </w:p>
          <w:p w:rsidR="00FB6A08" w:rsidRPr="007F1D25" w:rsidRDefault="00FB6A08" w:rsidP="008C2EF2">
            <w:pPr>
              <w:spacing w:after="0"/>
              <w:jc w:val="left"/>
              <w:rPr>
                <w:b/>
                <w:sz w:val="22"/>
                <w:lang w:val="en-US"/>
              </w:rPr>
            </w:pPr>
            <w:r w:rsidRPr="007F1D25">
              <w:rPr>
                <w:sz w:val="22"/>
              </w:rPr>
              <w:t>R-ACFI 8 item 15</w:t>
            </w:r>
          </w:p>
        </w:tc>
        <w:tc>
          <w:tcPr>
            <w:tcW w:w="2410" w:type="dxa"/>
          </w:tcPr>
          <w:p w:rsidR="00FB6A08" w:rsidRPr="007F1D25" w:rsidRDefault="00FB6A08" w:rsidP="008C2EF2">
            <w:pPr>
              <w:spacing w:after="0"/>
              <w:jc w:val="left"/>
              <w:rPr>
                <w:sz w:val="22"/>
                <w:lang w:eastAsia="en-AU"/>
              </w:rPr>
            </w:pPr>
            <w:r w:rsidRPr="007F1D25">
              <w:rPr>
                <w:sz w:val="22"/>
                <w:lang w:eastAsia="en-AU"/>
              </w:rPr>
              <w:t>The resident is to be assessed using the Palliative toolkit in Residential Aged Care.</w:t>
            </w:r>
            <w:r w:rsidR="007A576E">
              <w:rPr>
                <w:sz w:val="22"/>
                <w:lang w:eastAsia="en-AU"/>
              </w:rPr>
              <w:t xml:space="preserve"> </w:t>
            </w:r>
          </w:p>
        </w:tc>
        <w:tc>
          <w:tcPr>
            <w:tcW w:w="4286" w:type="dxa"/>
          </w:tcPr>
          <w:p w:rsidR="00FB6A08" w:rsidRPr="007F1D25" w:rsidRDefault="00FB6A08" w:rsidP="008C2EF2">
            <w:pPr>
              <w:spacing w:after="0"/>
              <w:jc w:val="left"/>
              <w:rPr>
                <w:sz w:val="22"/>
                <w:lang w:val="en-US"/>
              </w:rPr>
            </w:pPr>
            <w:r w:rsidRPr="007F1D25">
              <w:rPr>
                <w:sz w:val="22"/>
              </w:rPr>
              <w:t xml:space="preserve">Recommended Pain Assessments from the Pain Management Guidelines (PMG) kit. </w:t>
            </w:r>
          </w:p>
        </w:tc>
      </w:tr>
    </w:tbl>
    <w:bookmarkStart w:id="462" w:name="_Toc485824539"/>
    <w:bookmarkStart w:id="463" w:name="_Toc485932431"/>
    <w:bookmarkStart w:id="464" w:name="_Toc486600172"/>
    <w:bookmarkEnd w:id="459"/>
    <w:p w:rsidR="00376240" w:rsidRDefault="00D062E1" w:rsidP="008C2EF2">
      <w:pPr>
        <w:spacing w:before="240"/>
      </w:pPr>
      <w:r>
        <w:fldChar w:fldCharType="begin"/>
      </w:r>
      <w:r>
        <w:instrText xml:space="preserve"> HYPERLINK  \l "Tab0608" </w:instrText>
      </w:r>
      <w:r>
        <w:fldChar w:fldCharType="separate"/>
      </w:r>
      <w:r w:rsidR="00376240" w:rsidRPr="00D062E1">
        <w:rPr>
          <w:rStyle w:val="Hyperlink"/>
        </w:rPr>
        <w:t>Table 6.</w:t>
      </w:r>
      <w:r w:rsidR="00723158" w:rsidRPr="00D062E1">
        <w:rPr>
          <w:rStyle w:val="Hyperlink"/>
        </w:rPr>
        <w:t>8</w:t>
      </w:r>
      <w:r>
        <w:fldChar w:fldCharType="end"/>
      </w:r>
      <w:r w:rsidR="00376240" w:rsidRPr="00764BDB">
        <w:t xml:space="preserve"> below provides a summary of the CHC domain recommendations.</w:t>
      </w:r>
      <w:r w:rsidR="00702B79">
        <w:t xml:space="preserve"> </w:t>
      </w:r>
      <w:r w:rsidR="0062110E">
        <w:t>N</w:t>
      </w:r>
      <w:r w:rsidR="0062110E" w:rsidRPr="006249BC">
        <w:t>ot</w:t>
      </w:r>
      <w:r w:rsidR="0062110E">
        <w:t>e</w:t>
      </w:r>
      <w:r w:rsidR="0062110E" w:rsidRPr="006249BC">
        <w:t xml:space="preserve"> any "N</w:t>
      </w:r>
      <w:r w:rsidR="00C86B67">
        <w:t>R</w:t>
      </w:r>
      <w:r w:rsidR="0062110E" w:rsidRPr="006249BC">
        <w:t>" references indicate no recommendation was provided.</w:t>
      </w:r>
    </w:p>
    <w:p w:rsidR="003217B9" w:rsidRDefault="003217B9" w:rsidP="003217B9">
      <w:pPr>
        <w:pStyle w:val="Caption"/>
        <w:sectPr w:rsidR="003217B9" w:rsidSect="007F1893">
          <w:headerReference w:type="default" r:id="rId80"/>
          <w:footerReference w:type="default" r:id="rId81"/>
          <w:type w:val="continuous"/>
          <w:pgSz w:w="11906" w:h="16838"/>
          <w:pgMar w:top="1440" w:right="1440" w:bottom="1440" w:left="1440" w:header="708" w:footer="708" w:gutter="0"/>
          <w:cols w:space="708"/>
          <w:docGrid w:linePitch="360"/>
        </w:sectPr>
      </w:pPr>
    </w:p>
    <w:p w:rsidR="00E77C0F" w:rsidRDefault="00E77C0F" w:rsidP="00E77C0F">
      <w:pPr>
        <w:pStyle w:val="Caption"/>
        <w:keepNext/>
      </w:pPr>
      <w:bookmarkStart w:id="465" w:name="_Toc495416349"/>
      <w:bookmarkStart w:id="466" w:name="Tab0608"/>
      <w:bookmarkEnd w:id="462"/>
      <w:bookmarkEnd w:id="463"/>
      <w:bookmarkEnd w:id="464"/>
      <w:r>
        <w:lastRenderedPageBreak/>
        <w:t>Table 6.</w:t>
      </w:r>
      <w:r w:rsidR="009A3F5A">
        <w:fldChar w:fldCharType="begin"/>
      </w:r>
      <w:r w:rsidR="009A3F5A">
        <w:instrText xml:space="preserve"> SEQ Table_6. \* ARABIC </w:instrText>
      </w:r>
      <w:r w:rsidR="009A3F5A">
        <w:fldChar w:fldCharType="separate"/>
      </w:r>
      <w:r w:rsidR="00856E49">
        <w:rPr>
          <w:noProof/>
        </w:rPr>
        <w:t>8</w:t>
      </w:r>
      <w:r w:rsidR="009A3F5A">
        <w:rPr>
          <w:noProof/>
        </w:rPr>
        <w:fldChar w:fldCharType="end"/>
      </w:r>
      <w:r w:rsidR="0046234D">
        <w:t xml:space="preserve">: </w:t>
      </w:r>
      <w:r w:rsidR="0046234D" w:rsidRPr="0046234D">
        <w:t>Summary of CHC Recommendations</w:t>
      </w:r>
      <w:bookmarkEnd w:id="465"/>
    </w:p>
    <w:tbl>
      <w:tblPr>
        <w:tblStyle w:val="TableGrid"/>
        <w:tblW w:w="14822" w:type="dxa"/>
        <w:tblInd w:w="-31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Description w:val="Table 6.8 is a list of details of the recommendations for the complex health care (CHC) domain as summarised in the text prior to this image. This table is to be read left to right, top to bottom, noting there are four sections for the main headers:&#10;1. Changes&#10;2. Detail&#10;3. Assessments, checklists and ratings, which includes headers Mandate/Recommend, Validated assessment, Standardised information, Contemporary and Outcomes&#10;4.Audit system, which includes Fit to External Assessment, Fit to RAC workforce, Fit to Gateway, Clarifies and Improves reviews."/>
      </w:tblPr>
      <w:tblGrid>
        <w:gridCol w:w="1165"/>
        <w:gridCol w:w="1388"/>
        <w:gridCol w:w="1559"/>
        <w:gridCol w:w="1089"/>
        <w:gridCol w:w="1193"/>
        <w:gridCol w:w="1256"/>
        <w:gridCol w:w="1344"/>
        <w:gridCol w:w="1207"/>
        <w:gridCol w:w="1193"/>
        <w:gridCol w:w="934"/>
        <w:gridCol w:w="1301"/>
        <w:gridCol w:w="1193"/>
      </w:tblGrid>
      <w:tr w:rsidR="00767BF0" w:rsidRPr="00F3077E" w:rsidTr="00123824">
        <w:trPr>
          <w:tblHeader/>
        </w:trPr>
        <w:tc>
          <w:tcPr>
            <w:tcW w:w="1165" w:type="dxa"/>
            <w:shd w:val="clear" w:color="auto" w:fill="5B9BD5" w:themeFill="accent5"/>
          </w:tcPr>
          <w:bookmarkEnd w:id="466"/>
          <w:p w:rsidR="003217B9" w:rsidRPr="00F3077E" w:rsidRDefault="003217B9" w:rsidP="00612073">
            <w:pPr>
              <w:spacing w:after="0"/>
              <w:jc w:val="center"/>
              <w:rPr>
                <w:color w:val="FFFFFF" w:themeColor="background1"/>
                <w:sz w:val="20"/>
                <w:szCs w:val="20"/>
              </w:rPr>
            </w:pPr>
            <w:r w:rsidRPr="00F3077E">
              <w:rPr>
                <w:b/>
                <w:color w:val="FFFFFF" w:themeColor="background1"/>
                <w:sz w:val="20"/>
                <w:szCs w:val="20"/>
              </w:rPr>
              <w:t>Change</w:t>
            </w:r>
          </w:p>
        </w:tc>
        <w:tc>
          <w:tcPr>
            <w:tcW w:w="1388" w:type="dxa"/>
            <w:shd w:val="clear" w:color="auto" w:fill="5B9BD5" w:themeFill="accent5"/>
          </w:tcPr>
          <w:p w:rsidR="003217B9" w:rsidRPr="00F3077E" w:rsidRDefault="003217B9" w:rsidP="00612073">
            <w:pPr>
              <w:spacing w:after="0"/>
              <w:jc w:val="center"/>
              <w:rPr>
                <w:color w:val="FFFFFF" w:themeColor="background1"/>
                <w:sz w:val="20"/>
                <w:szCs w:val="20"/>
              </w:rPr>
            </w:pPr>
            <w:r w:rsidRPr="00F3077E">
              <w:rPr>
                <w:b/>
                <w:color w:val="FFFFFF" w:themeColor="background1"/>
                <w:sz w:val="20"/>
                <w:szCs w:val="20"/>
              </w:rPr>
              <w:t xml:space="preserve">Detail </w:t>
            </w:r>
          </w:p>
        </w:tc>
        <w:tc>
          <w:tcPr>
            <w:tcW w:w="6441" w:type="dxa"/>
            <w:gridSpan w:val="5"/>
            <w:shd w:val="clear" w:color="auto" w:fill="5B9BD5" w:themeFill="accent5"/>
          </w:tcPr>
          <w:p w:rsidR="003217B9" w:rsidRPr="00F3077E" w:rsidRDefault="003217B9" w:rsidP="00612073">
            <w:pPr>
              <w:spacing w:after="0"/>
              <w:jc w:val="center"/>
              <w:rPr>
                <w:b/>
                <w:color w:val="FFFFFF" w:themeColor="background1"/>
                <w:sz w:val="20"/>
                <w:szCs w:val="20"/>
              </w:rPr>
            </w:pPr>
            <w:r w:rsidRPr="00F3077E">
              <w:rPr>
                <w:b/>
                <w:color w:val="FFFFFF" w:themeColor="background1"/>
                <w:sz w:val="20"/>
                <w:szCs w:val="20"/>
              </w:rPr>
              <w:t>Assessments, Checklists, Ratings</w:t>
            </w:r>
          </w:p>
        </w:tc>
        <w:tc>
          <w:tcPr>
            <w:tcW w:w="5828" w:type="dxa"/>
            <w:gridSpan w:val="5"/>
            <w:shd w:val="clear" w:color="auto" w:fill="5B9BD5" w:themeFill="accent5"/>
          </w:tcPr>
          <w:p w:rsidR="003217B9" w:rsidRPr="00F3077E" w:rsidRDefault="003217B9" w:rsidP="00612073">
            <w:pPr>
              <w:spacing w:after="0"/>
              <w:jc w:val="center"/>
              <w:rPr>
                <w:rFonts w:ascii="Calibri" w:hAnsi="Calibri" w:cs="Calibri"/>
                <w:b/>
                <w:color w:val="FFFFFF" w:themeColor="background1"/>
                <w:sz w:val="20"/>
                <w:szCs w:val="20"/>
              </w:rPr>
            </w:pPr>
            <w:r w:rsidRPr="00F3077E">
              <w:rPr>
                <w:b/>
                <w:color w:val="FFFFFF" w:themeColor="background1"/>
                <w:sz w:val="20"/>
                <w:szCs w:val="20"/>
              </w:rPr>
              <w:t>Audit system</w:t>
            </w:r>
          </w:p>
        </w:tc>
      </w:tr>
      <w:tr w:rsidR="007E7942" w:rsidRPr="00F3077E" w:rsidTr="00123824">
        <w:tc>
          <w:tcPr>
            <w:tcW w:w="1165" w:type="dxa"/>
            <w:shd w:val="clear" w:color="auto" w:fill="D9E2F3" w:themeFill="accent1" w:themeFillTint="33"/>
            <w:vAlign w:val="center"/>
          </w:tcPr>
          <w:p w:rsidR="007E7942" w:rsidRPr="00700522" w:rsidRDefault="007E7942" w:rsidP="009B653C">
            <w:pPr>
              <w:spacing w:before="40" w:after="40"/>
              <w:jc w:val="center"/>
              <w:rPr>
                <w:i/>
                <w:sz w:val="17"/>
                <w:szCs w:val="17"/>
              </w:rPr>
            </w:pPr>
            <w:r>
              <w:rPr>
                <w:i/>
                <w:sz w:val="17"/>
                <w:szCs w:val="17"/>
              </w:rPr>
              <w:t>Changes</w:t>
            </w:r>
            <w:r w:rsidRPr="00700522">
              <w:rPr>
                <w:i/>
                <w:sz w:val="17"/>
                <w:szCs w:val="17"/>
              </w:rPr>
              <w:t xml:space="preserve"> noted below</w:t>
            </w:r>
          </w:p>
        </w:tc>
        <w:tc>
          <w:tcPr>
            <w:tcW w:w="1388" w:type="dxa"/>
            <w:shd w:val="clear" w:color="auto" w:fill="D9E2F3" w:themeFill="accent1" w:themeFillTint="33"/>
            <w:vAlign w:val="center"/>
          </w:tcPr>
          <w:p w:rsidR="007E7942" w:rsidRPr="00700522" w:rsidRDefault="007E7942" w:rsidP="009B653C">
            <w:pPr>
              <w:spacing w:before="40" w:after="40"/>
              <w:jc w:val="center"/>
              <w:rPr>
                <w:i/>
                <w:sz w:val="17"/>
                <w:szCs w:val="17"/>
              </w:rPr>
            </w:pPr>
            <w:r>
              <w:rPr>
                <w:i/>
                <w:sz w:val="17"/>
                <w:szCs w:val="17"/>
              </w:rPr>
              <w:t>Details</w:t>
            </w:r>
            <w:r w:rsidRPr="00700522">
              <w:rPr>
                <w:i/>
                <w:sz w:val="17"/>
                <w:szCs w:val="17"/>
              </w:rPr>
              <w:t xml:space="preserve"> noted below</w:t>
            </w:r>
          </w:p>
        </w:tc>
        <w:tc>
          <w:tcPr>
            <w:tcW w:w="1559" w:type="dxa"/>
            <w:shd w:val="clear" w:color="auto" w:fill="D9E2F3" w:themeFill="accent1" w:themeFillTint="33"/>
          </w:tcPr>
          <w:p w:rsidR="007E7942" w:rsidRPr="00F3077E" w:rsidRDefault="007E7942" w:rsidP="00767BF0">
            <w:pPr>
              <w:spacing w:after="0"/>
              <w:jc w:val="center"/>
              <w:rPr>
                <w:b/>
                <w:sz w:val="17"/>
                <w:szCs w:val="17"/>
              </w:rPr>
            </w:pPr>
            <w:r w:rsidRPr="00F3077E">
              <w:rPr>
                <w:b/>
                <w:sz w:val="17"/>
                <w:szCs w:val="17"/>
              </w:rPr>
              <w:t>Mandate/ Recommend</w:t>
            </w:r>
          </w:p>
        </w:tc>
        <w:tc>
          <w:tcPr>
            <w:tcW w:w="1089" w:type="dxa"/>
            <w:shd w:val="clear" w:color="auto" w:fill="D9E2F3" w:themeFill="accent1" w:themeFillTint="33"/>
          </w:tcPr>
          <w:p w:rsidR="007E7942" w:rsidRPr="00F3077E" w:rsidRDefault="007E7942" w:rsidP="00612073">
            <w:pPr>
              <w:spacing w:after="0"/>
              <w:jc w:val="center"/>
              <w:rPr>
                <w:b/>
                <w:sz w:val="17"/>
                <w:szCs w:val="17"/>
              </w:rPr>
            </w:pPr>
            <w:r w:rsidRPr="00F3077E">
              <w:rPr>
                <w:b/>
                <w:sz w:val="17"/>
                <w:szCs w:val="17"/>
              </w:rPr>
              <w:t>Validated assessment</w:t>
            </w:r>
          </w:p>
        </w:tc>
        <w:tc>
          <w:tcPr>
            <w:tcW w:w="1193" w:type="dxa"/>
            <w:shd w:val="clear" w:color="auto" w:fill="D9E2F3" w:themeFill="accent1" w:themeFillTint="33"/>
          </w:tcPr>
          <w:p w:rsidR="007E7942" w:rsidRPr="00F3077E" w:rsidRDefault="007E7942" w:rsidP="00612073">
            <w:pPr>
              <w:spacing w:after="0"/>
              <w:jc w:val="center"/>
              <w:rPr>
                <w:b/>
                <w:sz w:val="17"/>
                <w:szCs w:val="17"/>
              </w:rPr>
            </w:pPr>
            <w:r w:rsidRPr="00F3077E">
              <w:rPr>
                <w:b/>
                <w:sz w:val="17"/>
                <w:szCs w:val="17"/>
              </w:rPr>
              <w:t>Standardised information</w:t>
            </w:r>
          </w:p>
        </w:tc>
        <w:tc>
          <w:tcPr>
            <w:tcW w:w="1256" w:type="dxa"/>
            <w:shd w:val="clear" w:color="auto" w:fill="D9E2F3" w:themeFill="accent1" w:themeFillTint="33"/>
          </w:tcPr>
          <w:p w:rsidR="007E7942" w:rsidRPr="00F3077E" w:rsidRDefault="007E7942" w:rsidP="00612073">
            <w:pPr>
              <w:spacing w:after="0"/>
              <w:jc w:val="center"/>
              <w:rPr>
                <w:b/>
                <w:sz w:val="17"/>
                <w:szCs w:val="17"/>
              </w:rPr>
            </w:pPr>
            <w:r w:rsidRPr="00F3077E">
              <w:rPr>
                <w:b/>
                <w:sz w:val="17"/>
                <w:szCs w:val="17"/>
              </w:rPr>
              <w:t>Contemporary</w:t>
            </w:r>
          </w:p>
        </w:tc>
        <w:tc>
          <w:tcPr>
            <w:tcW w:w="1344" w:type="dxa"/>
            <w:shd w:val="clear" w:color="auto" w:fill="D9E2F3" w:themeFill="accent1" w:themeFillTint="33"/>
          </w:tcPr>
          <w:p w:rsidR="007E7942" w:rsidRPr="00F3077E" w:rsidRDefault="007E7942" w:rsidP="00612073">
            <w:pPr>
              <w:spacing w:after="0"/>
              <w:jc w:val="center"/>
              <w:rPr>
                <w:b/>
                <w:sz w:val="17"/>
                <w:szCs w:val="17"/>
              </w:rPr>
            </w:pPr>
            <w:r w:rsidRPr="00F3077E">
              <w:rPr>
                <w:b/>
                <w:sz w:val="17"/>
                <w:szCs w:val="17"/>
              </w:rPr>
              <w:t>Outcomes</w:t>
            </w:r>
          </w:p>
        </w:tc>
        <w:tc>
          <w:tcPr>
            <w:tcW w:w="1207" w:type="dxa"/>
            <w:shd w:val="clear" w:color="auto" w:fill="D9E2F3" w:themeFill="accent1" w:themeFillTint="33"/>
          </w:tcPr>
          <w:p w:rsidR="007E7942" w:rsidRPr="00F3077E" w:rsidRDefault="007E7942" w:rsidP="00612073">
            <w:pPr>
              <w:spacing w:after="0"/>
              <w:jc w:val="center"/>
              <w:rPr>
                <w:b/>
                <w:sz w:val="17"/>
                <w:szCs w:val="17"/>
              </w:rPr>
            </w:pPr>
            <w:r w:rsidRPr="00F3077E">
              <w:rPr>
                <w:rFonts w:ascii="Calibri" w:hAnsi="Calibri" w:cs="Calibri"/>
                <w:b/>
                <w:sz w:val="17"/>
                <w:szCs w:val="17"/>
              </w:rPr>
              <w:t xml:space="preserve">Fit to </w:t>
            </w:r>
            <w:r w:rsidRPr="00F3077E">
              <w:rPr>
                <w:rStyle w:val="font71"/>
                <w:b/>
                <w:color w:val="auto"/>
                <w:sz w:val="17"/>
                <w:szCs w:val="17"/>
              </w:rPr>
              <w:t>External Assessment</w:t>
            </w:r>
          </w:p>
        </w:tc>
        <w:tc>
          <w:tcPr>
            <w:tcW w:w="1193" w:type="dxa"/>
            <w:shd w:val="clear" w:color="auto" w:fill="D9E2F3" w:themeFill="accent1" w:themeFillTint="33"/>
          </w:tcPr>
          <w:p w:rsidR="007E7942" w:rsidRPr="00F3077E" w:rsidRDefault="007E7942" w:rsidP="00612073">
            <w:pPr>
              <w:spacing w:after="0"/>
              <w:jc w:val="center"/>
              <w:rPr>
                <w:b/>
                <w:sz w:val="17"/>
                <w:szCs w:val="17"/>
              </w:rPr>
            </w:pPr>
            <w:r w:rsidRPr="00F3077E">
              <w:rPr>
                <w:rFonts w:ascii="Calibri" w:hAnsi="Calibri" w:cs="Calibri"/>
                <w:b/>
                <w:sz w:val="17"/>
                <w:szCs w:val="17"/>
              </w:rPr>
              <w:t xml:space="preserve">Fit to </w:t>
            </w:r>
            <w:r w:rsidRPr="00F3077E">
              <w:rPr>
                <w:rStyle w:val="font71"/>
                <w:b/>
                <w:color w:val="auto"/>
                <w:sz w:val="17"/>
                <w:szCs w:val="17"/>
              </w:rPr>
              <w:t>RAC workforce</w:t>
            </w:r>
          </w:p>
        </w:tc>
        <w:tc>
          <w:tcPr>
            <w:tcW w:w="934" w:type="dxa"/>
            <w:shd w:val="clear" w:color="auto" w:fill="D9E2F3" w:themeFill="accent1" w:themeFillTint="33"/>
          </w:tcPr>
          <w:p w:rsidR="007E7942" w:rsidRPr="00F3077E" w:rsidRDefault="007E7942" w:rsidP="00612073">
            <w:pPr>
              <w:spacing w:after="0"/>
              <w:jc w:val="center"/>
              <w:rPr>
                <w:b/>
                <w:sz w:val="17"/>
                <w:szCs w:val="17"/>
              </w:rPr>
            </w:pPr>
            <w:r w:rsidRPr="00F3077E">
              <w:rPr>
                <w:rFonts w:ascii="Calibri" w:hAnsi="Calibri" w:cs="Calibri"/>
                <w:b/>
                <w:sz w:val="17"/>
                <w:szCs w:val="17"/>
              </w:rPr>
              <w:t xml:space="preserve">Fit to </w:t>
            </w:r>
            <w:r w:rsidRPr="00F3077E">
              <w:rPr>
                <w:rStyle w:val="font71"/>
                <w:b/>
                <w:color w:val="auto"/>
                <w:sz w:val="17"/>
                <w:szCs w:val="17"/>
              </w:rPr>
              <w:t xml:space="preserve">Gateway </w:t>
            </w:r>
          </w:p>
        </w:tc>
        <w:tc>
          <w:tcPr>
            <w:tcW w:w="1301" w:type="dxa"/>
            <w:shd w:val="clear" w:color="auto" w:fill="D9E2F3" w:themeFill="accent1" w:themeFillTint="33"/>
          </w:tcPr>
          <w:p w:rsidR="007E7942" w:rsidRPr="00F3077E" w:rsidRDefault="007E7942" w:rsidP="00612073">
            <w:pPr>
              <w:spacing w:after="0"/>
              <w:jc w:val="center"/>
              <w:rPr>
                <w:b/>
                <w:sz w:val="17"/>
                <w:szCs w:val="17"/>
              </w:rPr>
            </w:pPr>
            <w:r w:rsidRPr="00F3077E">
              <w:rPr>
                <w:rFonts w:ascii="Calibri" w:hAnsi="Calibri" w:cs="Calibri"/>
                <w:b/>
                <w:sz w:val="17"/>
                <w:szCs w:val="17"/>
              </w:rPr>
              <w:t xml:space="preserve">Clarifies </w:t>
            </w:r>
          </w:p>
        </w:tc>
        <w:tc>
          <w:tcPr>
            <w:tcW w:w="1193" w:type="dxa"/>
            <w:shd w:val="clear" w:color="auto" w:fill="D9E2F3" w:themeFill="accent1" w:themeFillTint="33"/>
          </w:tcPr>
          <w:p w:rsidR="007E7942" w:rsidRPr="00F3077E" w:rsidRDefault="007E7942" w:rsidP="00612073">
            <w:pPr>
              <w:spacing w:after="0"/>
              <w:jc w:val="center"/>
              <w:rPr>
                <w:b/>
                <w:sz w:val="17"/>
                <w:szCs w:val="17"/>
              </w:rPr>
            </w:pPr>
            <w:r w:rsidRPr="00F3077E">
              <w:rPr>
                <w:rFonts w:ascii="Calibri" w:hAnsi="Calibri" w:cs="Calibri"/>
                <w:b/>
                <w:sz w:val="17"/>
                <w:szCs w:val="17"/>
              </w:rPr>
              <w:t>Improves reviews</w:t>
            </w:r>
          </w:p>
        </w:tc>
      </w:tr>
      <w:tr w:rsidR="00C86B67" w:rsidRPr="00F3077E" w:rsidTr="00123824">
        <w:tc>
          <w:tcPr>
            <w:tcW w:w="1165" w:type="dxa"/>
            <w:shd w:val="clear" w:color="auto" w:fill="D9E2F3" w:themeFill="accent1" w:themeFillTint="33"/>
          </w:tcPr>
          <w:p w:rsidR="00C86B67" w:rsidRPr="00F3077E" w:rsidRDefault="00C86B67" w:rsidP="00F3077E">
            <w:pPr>
              <w:spacing w:after="0"/>
              <w:jc w:val="left"/>
              <w:rPr>
                <w:b/>
                <w:sz w:val="17"/>
                <w:szCs w:val="17"/>
              </w:rPr>
            </w:pPr>
            <w:r w:rsidRPr="00F3077E">
              <w:rPr>
                <w:b/>
                <w:sz w:val="17"/>
                <w:szCs w:val="17"/>
              </w:rPr>
              <w:t>Assessm’t (Ax)</w:t>
            </w:r>
          </w:p>
        </w:tc>
        <w:tc>
          <w:tcPr>
            <w:tcW w:w="1388" w:type="dxa"/>
            <w:shd w:val="clear" w:color="auto" w:fill="auto"/>
          </w:tcPr>
          <w:p w:rsidR="00C86B67" w:rsidRPr="00F3077E" w:rsidRDefault="00C86B67" w:rsidP="00767BF0">
            <w:pPr>
              <w:spacing w:after="0"/>
              <w:jc w:val="center"/>
              <w:rPr>
                <w:sz w:val="17"/>
                <w:szCs w:val="17"/>
              </w:rPr>
            </w:pPr>
            <w:r w:rsidRPr="00F3077E">
              <w:rPr>
                <w:sz w:val="17"/>
                <w:szCs w:val="17"/>
              </w:rPr>
              <w:t>Comprehensive Health Assessment</w:t>
            </w:r>
          </w:p>
        </w:tc>
        <w:tc>
          <w:tcPr>
            <w:tcW w:w="1559" w:type="dxa"/>
            <w:shd w:val="clear" w:color="auto" w:fill="auto"/>
          </w:tcPr>
          <w:p w:rsidR="00C86B67" w:rsidRPr="00F3077E" w:rsidRDefault="00C86B67" w:rsidP="00767BF0">
            <w:pPr>
              <w:spacing w:after="0"/>
              <w:jc w:val="center"/>
              <w:rPr>
                <w:sz w:val="17"/>
                <w:szCs w:val="17"/>
              </w:rPr>
            </w:pPr>
            <w:r w:rsidRPr="00F3077E">
              <w:rPr>
                <w:sz w:val="17"/>
                <w:szCs w:val="17"/>
              </w:rPr>
              <w:t>Recommend</w:t>
            </w:r>
          </w:p>
          <w:p w:rsidR="00C86B67" w:rsidRPr="00F3077E" w:rsidRDefault="00C86B67" w:rsidP="00F3077E">
            <w:pPr>
              <w:spacing w:after="0"/>
              <w:jc w:val="center"/>
              <w:rPr>
                <w:sz w:val="17"/>
                <w:szCs w:val="17"/>
              </w:rPr>
            </w:pPr>
            <w:r w:rsidRPr="00F3077E">
              <w:rPr>
                <w:sz w:val="17"/>
                <w:szCs w:val="17"/>
              </w:rPr>
              <w:t>3-monthly CHA tool</w:t>
            </w:r>
          </w:p>
        </w:tc>
        <w:tc>
          <w:tcPr>
            <w:tcW w:w="1089" w:type="dxa"/>
            <w:shd w:val="clear" w:color="auto" w:fill="auto"/>
          </w:tcPr>
          <w:p w:rsidR="00C86B67" w:rsidRPr="00F3077E" w:rsidRDefault="00C86B67" w:rsidP="00767BF0">
            <w:pPr>
              <w:spacing w:after="0"/>
              <w:jc w:val="center"/>
              <w:rPr>
                <w:sz w:val="17"/>
                <w:szCs w:val="17"/>
              </w:rPr>
            </w:pPr>
            <w:r w:rsidRPr="00F3077E">
              <w:rPr>
                <w:sz w:val="17"/>
                <w:szCs w:val="17"/>
              </w:rPr>
              <w:t>YES</w:t>
            </w:r>
          </w:p>
        </w:tc>
        <w:tc>
          <w:tcPr>
            <w:tcW w:w="1193" w:type="dxa"/>
            <w:shd w:val="clear" w:color="auto" w:fill="auto"/>
          </w:tcPr>
          <w:p w:rsidR="00C86B67" w:rsidRPr="00F3077E" w:rsidRDefault="00C86B67" w:rsidP="00767BF0">
            <w:pPr>
              <w:spacing w:after="0"/>
              <w:jc w:val="center"/>
              <w:rPr>
                <w:sz w:val="17"/>
                <w:szCs w:val="17"/>
              </w:rPr>
            </w:pPr>
            <w:r>
              <w:rPr>
                <w:i/>
                <w:sz w:val="17"/>
                <w:szCs w:val="17"/>
              </w:rPr>
              <w:t>NR</w:t>
            </w:r>
          </w:p>
        </w:tc>
        <w:tc>
          <w:tcPr>
            <w:tcW w:w="1256" w:type="dxa"/>
            <w:shd w:val="clear" w:color="auto" w:fill="auto"/>
          </w:tcPr>
          <w:p w:rsidR="00C86B67" w:rsidRPr="00F3077E" w:rsidRDefault="00C86B67" w:rsidP="00767BF0">
            <w:pPr>
              <w:spacing w:after="0"/>
              <w:jc w:val="center"/>
              <w:rPr>
                <w:sz w:val="17"/>
                <w:szCs w:val="17"/>
              </w:rPr>
            </w:pPr>
            <w:r>
              <w:rPr>
                <w:i/>
                <w:sz w:val="17"/>
                <w:szCs w:val="17"/>
              </w:rPr>
              <w:t>NR</w:t>
            </w:r>
          </w:p>
        </w:tc>
        <w:tc>
          <w:tcPr>
            <w:tcW w:w="1344" w:type="dxa"/>
            <w:shd w:val="clear" w:color="auto" w:fill="auto"/>
          </w:tcPr>
          <w:p w:rsidR="00C86B67" w:rsidRPr="00F3077E" w:rsidRDefault="00C86B67" w:rsidP="00767BF0">
            <w:pPr>
              <w:spacing w:after="0"/>
              <w:jc w:val="center"/>
              <w:rPr>
                <w:sz w:val="17"/>
                <w:szCs w:val="17"/>
              </w:rPr>
            </w:pPr>
            <w:r w:rsidRPr="00F3077E">
              <w:rPr>
                <w:sz w:val="17"/>
                <w:szCs w:val="17"/>
              </w:rPr>
              <w:t>Currency (3/12)</w:t>
            </w:r>
          </w:p>
          <w:p w:rsidR="00C86B67" w:rsidRPr="00F3077E" w:rsidRDefault="00C86B67" w:rsidP="00767BF0">
            <w:pPr>
              <w:spacing w:after="0"/>
              <w:jc w:val="center"/>
              <w:rPr>
                <w:sz w:val="17"/>
                <w:szCs w:val="17"/>
              </w:rPr>
            </w:pPr>
            <w:r w:rsidRPr="00F3077E">
              <w:rPr>
                <w:sz w:val="17"/>
                <w:szCs w:val="17"/>
              </w:rPr>
              <w:t>For all CHC claims</w:t>
            </w:r>
          </w:p>
        </w:tc>
        <w:tc>
          <w:tcPr>
            <w:tcW w:w="1207" w:type="dxa"/>
            <w:shd w:val="clear" w:color="auto" w:fill="auto"/>
          </w:tcPr>
          <w:p w:rsidR="00C86B67" w:rsidRPr="00F3077E" w:rsidRDefault="00C86B67" w:rsidP="00767BF0">
            <w:pPr>
              <w:spacing w:after="0"/>
              <w:jc w:val="center"/>
              <w:rPr>
                <w:sz w:val="17"/>
                <w:szCs w:val="17"/>
              </w:rPr>
            </w:pPr>
            <w:r w:rsidRPr="00F3077E">
              <w:rPr>
                <w:sz w:val="17"/>
                <w:szCs w:val="17"/>
              </w:rPr>
              <w:t>No assessment</w:t>
            </w:r>
          </w:p>
        </w:tc>
        <w:tc>
          <w:tcPr>
            <w:tcW w:w="1193" w:type="dxa"/>
            <w:shd w:val="clear" w:color="auto" w:fill="auto"/>
          </w:tcPr>
          <w:p w:rsidR="00C86B67" w:rsidRPr="00F3077E" w:rsidRDefault="00C86B67" w:rsidP="00767BF0">
            <w:pPr>
              <w:spacing w:after="0"/>
              <w:jc w:val="center"/>
              <w:rPr>
                <w:sz w:val="17"/>
                <w:szCs w:val="17"/>
              </w:rPr>
            </w:pPr>
            <w:r w:rsidRPr="00F3077E">
              <w:rPr>
                <w:sz w:val="17"/>
                <w:szCs w:val="17"/>
              </w:rPr>
              <w:t>RN/AHP sign off</w:t>
            </w:r>
          </w:p>
        </w:tc>
        <w:tc>
          <w:tcPr>
            <w:tcW w:w="934" w:type="dxa"/>
            <w:shd w:val="clear" w:color="auto" w:fill="auto"/>
          </w:tcPr>
          <w:p w:rsidR="00C86B67" w:rsidRPr="00F3077E" w:rsidRDefault="00C86B67" w:rsidP="00767BF0">
            <w:pPr>
              <w:spacing w:after="0"/>
              <w:jc w:val="center"/>
              <w:rPr>
                <w:sz w:val="17"/>
                <w:szCs w:val="17"/>
              </w:rPr>
            </w:pPr>
            <w:r>
              <w:rPr>
                <w:i/>
                <w:sz w:val="17"/>
                <w:szCs w:val="17"/>
              </w:rPr>
              <w:t>NR</w:t>
            </w:r>
          </w:p>
        </w:tc>
        <w:tc>
          <w:tcPr>
            <w:tcW w:w="1301" w:type="dxa"/>
            <w:shd w:val="clear" w:color="auto" w:fill="auto"/>
          </w:tcPr>
          <w:p w:rsidR="00C86B67" w:rsidRPr="00F3077E" w:rsidRDefault="00C86B67" w:rsidP="00767BF0">
            <w:pPr>
              <w:spacing w:after="0"/>
              <w:jc w:val="center"/>
              <w:rPr>
                <w:sz w:val="17"/>
                <w:szCs w:val="17"/>
              </w:rPr>
            </w:pPr>
            <w:r w:rsidRPr="00F3077E">
              <w:rPr>
                <w:sz w:val="17"/>
                <w:szCs w:val="17"/>
              </w:rPr>
              <w:t>Professional Accountability</w:t>
            </w:r>
          </w:p>
        </w:tc>
        <w:tc>
          <w:tcPr>
            <w:tcW w:w="1193" w:type="dxa"/>
            <w:shd w:val="clear" w:color="auto" w:fill="auto"/>
          </w:tcPr>
          <w:p w:rsidR="00C86B67" w:rsidRPr="00F3077E" w:rsidRDefault="00C86B67" w:rsidP="00767BF0">
            <w:pPr>
              <w:spacing w:after="0"/>
              <w:jc w:val="center"/>
              <w:rPr>
                <w:sz w:val="17"/>
                <w:szCs w:val="17"/>
              </w:rPr>
            </w:pPr>
            <w:r w:rsidRPr="00F3077E">
              <w:rPr>
                <w:sz w:val="17"/>
                <w:szCs w:val="17"/>
              </w:rPr>
              <w:t>Claim requires a new Ax</w:t>
            </w:r>
          </w:p>
        </w:tc>
      </w:tr>
      <w:tr w:rsidR="00C86B67" w:rsidRPr="00F3077E" w:rsidTr="00123824">
        <w:tc>
          <w:tcPr>
            <w:tcW w:w="1165" w:type="dxa"/>
            <w:shd w:val="clear" w:color="auto" w:fill="D9E2F3" w:themeFill="accent1" w:themeFillTint="33"/>
          </w:tcPr>
          <w:p w:rsidR="00C86B67" w:rsidRPr="00F3077E" w:rsidRDefault="00C86B67" w:rsidP="00F3077E">
            <w:pPr>
              <w:spacing w:after="0"/>
              <w:jc w:val="left"/>
              <w:rPr>
                <w:b/>
                <w:sz w:val="17"/>
                <w:szCs w:val="17"/>
              </w:rPr>
            </w:pPr>
            <w:r w:rsidRPr="00F3077E">
              <w:rPr>
                <w:b/>
                <w:sz w:val="17"/>
                <w:szCs w:val="17"/>
              </w:rPr>
              <w:t>Assessm’t</w:t>
            </w:r>
          </w:p>
        </w:tc>
        <w:tc>
          <w:tcPr>
            <w:tcW w:w="1388" w:type="dxa"/>
          </w:tcPr>
          <w:p w:rsidR="00C86B67" w:rsidRPr="00F3077E" w:rsidRDefault="00C86B67" w:rsidP="00767BF0">
            <w:pPr>
              <w:spacing w:after="0"/>
              <w:jc w:val="center"/>
              <w:rPr>
                <w:sz w:val="17"/>
                <w:szCs w:val="17"/>
              </w:rPr>
            </w:pPr>
            <w:r w:rsidRPr="00F3077E">
              <w:rPr>
                <w:sz w:val="17"/>
                <w:szCs w:val="17"/>
              </w:rPr>
              <w:t>Depression Assessments for Depression item</w:t>
            </w:r>
          </w:p>
        </w:tc>
        <w:tc>
          <w:tcPr>
            <w:tcW w:w="1559" w:type="dxa"/>
          </w:tcPr>
          <w:p w:rsidR="00C86B67" w:rsidRPr="00F3077E" w:rsidRDefault="00C86B67" w:rsidP="00767BF0">
            <w:pPr>
              <w:spacing w:after="0"/>
              <w:jc w:val="center"/>
              <w:rPr>
                <w:sz w:val="17"/>
                <w:szCs w:val="17"/>
              </w:rPr>
            </w:pPr>
            <w:r w:rsidRPr="00F3077E">
              <w:rPr>
                <w:sz w:val="17"/>
                <w:szCs w:val="17"/>
              </w:rPr>
              <w:t>Recommend</w:t>
            </w:r>
          </w:p>
          <w:p w:rsidR="00C86B67" w:rsidRPr="00F3077E" w:rsidRDefault="00C86B67" w:rsidP="00767BF0">
            <w:pPr>
              <w:spacing w:after="0"/>
              <w:jc w:val="center"/>
              <w:rPr>
                <w:sz w:val="17"/>
                <w:szCs w:val="17"/>
              </w:rPr>
            </w:pPr>
            <w:r w:rsidRPr="00F3077E">
              <w:rPr>
                <w:sz w:val="17"/>
                <w:szCs w:val="17"/>
              </w:rPr>
              <w:t>CSD, GDS &amp;</w:t>
            </w:r>
          </w:p>
          <w:p w:rsidR="00C86B67" w:rsidRPr="00F3077E" w:rsidRDefault="00C86B67" w:rsidP="00767BF0">
            <w:pPr>
              <w:spacing w:after="0"/>
              <w:jc w:val="center"/>
              <w:rPr>
                <w:sz w:val="17"/>
                <w:szCs w:val="17"/>
              </w:rPr>
            </w:pPr>
            <w:r w:rsidRPr="00F3077E">
              <w:rPr>
                <w:sz w:val="17"/>
                <w:szCs w:val="17"/>
              </w:rPr>
              <w:t>K-10</w:t>
            </w:r>
          </w:p>
        </w:tc>
        <w:tc>
          <w:tcPr>
            <w:tcW w:w="1089" w:type="dxa"/>
          </w:tcPr>
          <w:p w:rsidR="00C86B67" w:rsidRPr="00F3077E" w:rsidRDefault="00C86B67" w:rsidP="00767BF0">
            <w:pPr>
              <w:spacing w:after="0"/>
              <w:jc w:val="center"/>
              <w:rPr>
                <w:sz w:val="17"/>
                <w:szCs w:val="17"/>
              </w:rPr>
            </w:pPr>
            <w:r w:rsidRPr="00F3077E">
              <w:rPr>
                <w:sz w:val="17"/>
                <w:szCs w:val="17"/>
              </w:rPr>
              <w:t>YES</w:t>
            </w:r>
          </w:p>
        </w:tc>
        <w:tc>
          <w:tcPr>
            <w:tcW w:w="1193" w:type="dxa"/>
          </w:tcPr>
          <w:p w:rsidR="00C86B67" w:rsidRPr="00F3077E" w:rsidRDefault="00C86B67" w:rsidP="00767BF0">
            <w:pPr>
              <w:spacing w:after="0"/>
              <w:jc w:val="center"/>
              <w:rPr>
                <w:sz w:val="17"/>
                <w:szCs w:val="17"/>
              </w:rPr>
            </w:pPr>
            <w:r>
              <w:rPr>
                <w:i/>
                <w:sz w:val="17"/>
                <w:szCs w:val="17"/>
              </w:rPr>
              <w:t>NR</w:t>
            </w:r>
          </w:p>
        </w:tc>
        <w:tc>
          <w:tcPr>
            <w:tcW w:w="1256" w:type="dxa"/>
          </w:tcPr>
          <w:p w:rsidR="00C86B67" w:rsidRPr="00F3077E" w:rsidRDefault="00C86B67" w:rsidP="00767BF0">
            <w:pPr>
              <w:spacing w:after="0"/>
              <w:jc w:val="center"/>
              <w:rPr>
                <w:sz w:val="17"/>
                <w:szCs w:val="17"/>
              </w:rPr>
            </w:pPr>
            <w:r w:rsidRPr="00F3077E">
              <w:rPr>
                <w:sz w:val="17"/>
                <w:szCs w:val="17"/>
              </w:rPr>
              <w:t>YES</w:t>
            </w:r>
          </w:p>
        </w:tc>
        <w:tc>
          <w:tcPr>
            <w:tcW w:w="1344" w:type="dxa"/>
          </w:tcPr>
          <w:p w:rsidR="00C86B67" w:rsidRPr="00F3077E" w:rsidRDefault="00C86B67" w:rsidP="00767BF0">
            <w:pPr>
              <w:spacing w:after="0"/>
              <w:jc w:val="center"/>
              <w:rPr>
                <w:sz w:val="17"/>
                <w:szCs w:val="17"/>
              </w:rPr>
            </w:pPr>
            <w:r w:rsidRPr="00F3077E">
              <w:rPr>
                <w:sz w:val="17"/>
                <w:szCs w:val="17"/>
              </w:rPr>
              <w:t>CSD</w:t>
            </w:r>
          </w:p>
          <w:p w:rsidR="00C86B67" w:rsidRPr="00F3077E" w:rsidRDefault="00C86B67" w:rsidP="00767BF0">
            <w:pPr>
              <w:spacing w:after="0"/>
              <w:jc w:val="center"/>
              <w:rPr>
                <w:sz w:val="17"/>
                <w:szCs w:val="17"/>
              </w:rPr>
            </w:pPr>
            <w:r w:rsidRPr="00F3077E">
              <w:rPr>
                <w:sz w:val="17"/>
                <w:szCs w:val="17"/>
              </w:rPr>
              <w:t>GDS</w:t>
            </w:r>
          </w:p>
          <w:p w:rsidR="00C86B67" w:rsidRPr="00F3077E" w:rsidRDefault="00C86B67" w:rsidP="00767BF0">
            <w:pPr>
              <w:spacing w:after="0"/>
              <w:jc w:val="center"/>
              <w:rPr>
                <w:sz w:val="17"/>
                <w:szCs w:val="17"/>
              </w:rPr>
            </w:pPr>
            <w:r w:rsidRPr="00F3077E">
              <w:rPr>
                <w:sz w:val="17"/>
                <w:szCs w:val="17"/>
              </w:rPr>
              <w:t>K-10</w:t>
            </w:r>
          </w:p>
        </w:tc>
        <w:tc>
          <w:tcPr>
            <w:tcW w:w="1207" w:type="dxa"/>
          </w:tcPr>
          <w:p w:rsidR="00C86B67" w:rsidRPr="00F3077E" w:rsidRDefault="00C86B67" w:rsidP="00767BF0">
            <w:pPr>
              <w:spacing w:after="0"/>
              <w:jc w:val="center"/>
              <w:rPr>
                <w:sz w:val="17"/>
                <w:szCs w:val="17"/>
              </w:rPr>
            </w:pPr>
            <w:r w:rsidRPr="00F3077E">
              <w:rPr>
                <w:sz w:val="17"/>
                <w:szCs w:val="17"/>
              </w:rPr>
              <w:t>YES</w:t>
            </w:r>
          </w:p>
        </w:tc>
        <w:tc>
          <w:tcPr>
            <w:tcW w:w="1193" w:type="dxa"/>
          </w:tcPr>
          <w:p w:rsidR="00C86B67" w:rsidRPr="00F3077E" w:rsidRDefault="00C86B67" w:rsidP="00767BF0">
            <w:pPr>
              <w:spacing w:after="0"/>
              <w:jc w:val="center"/>
              <w:rPr>
                <w:sz w:val="17"/>
                <w:szCs w:val="17"/>
              </w:rPr>
            </w:pPr>
            <w:r w:rsidRPr="00F3077E">
              <w:rPr>
                <w:sz w:val="17"/>
                <w:szCs w:val="17"/>
              </w:rPr>
              <w:t>CSD</w:t>
            </w:r>
          </w:p>
        </w:tc>
        <w:tc>
          <w:tcPr>
            <w:tcW w:w="934" w:type="dxa"/>
          </w:tcPr>
          <w:p w:rsidR="00C86B67" w:rsidRPr="00F3077E" w:rsidRDefault="00C86B67" w:rsidP="00767BF0">
            <w:pPr>
              <w:spacing w:after="0"/>
              <w:jc w:val="center"/>
              <w:rPr>
                <w:sz w:val="17"/>
                <w:szCs w:val="17"/>
              </w:rPr>
            </w:pPr>
            <w:r w:rsidRPr="00F3077E">
              <w:rPr>
                <w:sz w:val="17"/>
                <w:szCs w:val="17"/>
              </w:rPr>
              <w:t>GDS &amp;</w:t>
            </w:r>
          </w:p>
          <w:p w:rsidR="00C86B67" w:rsidRPr="00F3077E" w:rsidRDefault="00C86B67" w:rsidP="00767BF0">
            <w:pPr>
              <w:spacing w:after="0"/>
              <w:jc w:val="center"/>
              <w:rPr>
                <w:sz w:val="17"/>
                <w:szCs w:val="17"/>
              </w:rPr>
            </w:pPr>
            <w:r w:rsidRPr="00F3077E">
              <w:rPr>
                <w:sz w:val="17"/>
                <w:szCs w:val="17"/>
              </w:rPr>
              <w:t>K-10 in NSAF</w:t>
            </w:r>
          </w:p>
        </w:tc>
        <w:tc>
          <w:tcPr>
            <w:tcW w:w="1301" w:type="dxa"/>
          </w:tcPr>
          <w:p w:rsidR="00C86B67" w:rsidRPr="00F3077E" w:rsidRDefault="00C86B67" w:rsidP="00767BF0">
            <w:pPr>
              <w:spacing w:after="0"/>
              <w:jc w:val="center"/>
              <w:rPr>
                <w:sz w:val="17"/>
                <w:szCs w:val="17"/>
              </w:rPr>
            </w:pPr>
            <w:r w:rsidRPr="00F3077E">
              <w:rPr>
                <w:sz w:val="17"/>
                <w:szCs w:val="17"/>
              </w:rPr>
              <w:t>Information is for care planning, score not used</w:t>
            </w:r>
          </w:p>
        </w:tc>
        <w:tc>
          <w:tcPr>
            <w:tcW w:w="1193" w:type="dxa"/>
          </w:tcPr>
          <w:p w:rsidR="00C86B67" w:rsidRPr="00F3077E" w:rsidRDefault="00C86B67" w:rsidP="00767BF0">
            <w:pPr>
              <w:spacing w:after="0"/>
              <w:jc w:val="center"/>
              <w:rPr>
                <w:sz w:val="17"/>
                <w:szCs w:val="17"/>
              </w:rPr>
            </w:pPr>
            <w:r w:rsidRPr="00F3077E">
              <w:rPr>
                <w:sz w:val="17"/>
                <w:szCs w:val="17"/>
              </w:rPr>
              <w:t>Shared evidence</w:t>
            </w:r>
          </w:p>
        </w:tc>
      </w:tr>
      <w:tr w:rsidR="00C86B67" w:rsidRPr="00F3077E" w:rsidTr="00123824">
        <w:tc>
          <w:tcPr>
            <w:tcW w:w="1165" w:type="dxa"/>
            <w:shd w:val="clear" w:color="auto" w:fill="D9E2F3" w:themeFill="accent1" w:themeFillTint="33"/>
          </w:tcPr>
          <w:p w:rsidR="00C86B67" w:rsidRPr="00F3077E" w:rsidRDefault="00C86B67" w:rsidP="00F3077E">
            <w:pPr>
              <w:spacing w:after="0"/>
              <w:jc w:val="left"/>
              <w:rPr>
                <w:b/>
                <w:sz w:val="17"/>
                <w:szCs w:val="17"/>
              </w:rPr>
            </w:pPr>
            <w:r w:rsidRPr="00F3077E">
              <w:rPr>
                <w:b/>
                <w:sz w:val="17"/>
                <w:szCs w:val="17"/>
              </w:rPr>
              <w:t>Assessm’t</w:t>
            </w:r>
          </w:p>
        </w:tc>
        <w:tc>
          <w:tcPr>
            <w:tcW w:w="1388" w:type="dxa"/>
          </w:tcPr>
          <w:p w:rsidR="00C86B67" w:rsidRPr="00F3077E" w:rsidRDefault="00C86B67" w:rsidP="00767BF0">
            <w:pPr>
              <w:spacing w:after="0"/>
              <w:jc w:val="center"/>
              <w:rPr>
                <w:sz w:val="17"/>
                <w:szCs w:val="17"/>
              </w:rPr>
            </w:pPr>
            <w:r w:rsidRPr="00F3077E">
              <w:rPr>
                <w:sz w:val="17"/>
                <w:szCs w:val="17"/>
                <w:lang w:eastAsia="en-AU"/>
              </w:rPr>
              <w:t>Palliative Care needs Ax</w:t>
            </w:r>
          </w:p>
        </w:tc>
        <w:tc>
          <w:tcPr>
            <w:tcW w:w="1559" w:type="dxa"/>
          </w:tcPr>
          <w:p w:rsidR="00C86B67" w:rsidRPr="00F3077E" w:rsidRDefault="00C86B67" w:rsidP="00767BF0">
            <w:pPr>
              <w:spacing w:after="0"/>
              <w:jc w:val="center"/>
              <w:rPr>
                <w:sz w:val="17"/>
                <w:szCs w:val="17"/>
              </w:rPr>
            </w:pPr>
            <w:r w:rsidRPr="00F3077E">
              <w:rPr>
                <w:sz w:val="17"/>
                <w:szCs w:val="17"/>
                <w:lang w:eastAsia="en-AU"/>
              </w:rPr>
              <w:t>Palliative toolkit in Residential Aged Care</w:t>
            </w:r>
          </w:p>
        </w:tc>
        <w:tc>
          <w:tcPr>
            <w:tcW w:w="1089" w:type="dxa"/>
          </w:tcPr>
          <w:p w:rsidR="00C86B67" w:rsidRPr="00F3077E" w:rsidRDefault="00C86B67" w:rsidP="00767BF0">
            <w:pPr>
              <w:spacing w:after="0"/>
              <w:jc w:val="center"/>
              <w:rPr>
                <w:sz w:val="17"/>
                <w:szCs w:val="17"/>
              </w:rPr>
            </w:pPr>
            <w:r>
              <w:rPr>
                <w:i/>
                <w:sz w:val="17"/>
                <w:szCs w:val="17"/>
              </w:rPr>
              <w:t>NR</w:t>
            </w:r>
          </w:p>
        </w:tc>
        <w:tc>
          <w:tcPr>
            <w:tcW w:w="1193" w:type="dxa"/>
          </w:tcPr>
          <w:p w:rsidR="00C86B67" w:rsidRPr="00F3077E" w:rsidRDefault="00C86B67" w:rsidP="00767BF0">
            <w:pPr>
              <w:spacing w:after="0"/>
              <w:jc w:val="center"/>
              <w:rPr>
                <w:sz w:val="17"/>
                <w:szCs w:val="17"/>
              </w:rPr>
            </w:pPr>
            <w:r w:rsidRPr="00F3077E">
              <w:rPr>
                <w:sz w:val="17"/>
                <w:szCs w:val="17"/>
              </w:rPr>
              <w:t>YES</w:t>
            </w:r>
          </w:p>
        </w:tc>
        <w:tc>
          <w:tcPr>
            <w:tcW w:w="1256" w:type="dxa"/>
          </w:tcPr>
          <w:p w:rsidR="00C86B67" w:rsidRPr="00F3077E" w:rsidRDefault="00C86B67" w:rsidP="00767BF0">
            <w:pPr>
              <w:spacing w:after="0"/>
              <w:jc w:val="center"/>
              <w:rPr>
                <w:sz w:val="17"/>
                <w:szCs w:val="17"/>
              </w:rPr>
            </w:pPr>
            <w:r w:rsidRPr="00F3077E">
              <w:rPr>
                <w:sz w:val="17"/>
                <w:szCs w:val="17"/>
              </w:rPr>
              <w:t>YES</w:t>
            </w:r>
          </w:p>
        </w:tc>
        <w:tc>
          <w:tcPr>
            <w:tcW w:w="1344" w:type="dxa"/>
          </w:tcPr>
          <w:p w:rsidR="00C86B67" w:rsidRPr="00F3077E" w:rsidRDefault="00C86B67" w:rsidP="00767BF0">
            <w:pPr>
              <w:spacing w:after="0"/>
              <w:jc w:val="center"/>
              <w:rPr>
                <w:sz w:val="17"/>
                <w:szCs w:val="17"/>
              </w:rPr>
            </w:pPr>
            <w:r w:rsidRPr="00F3077E">
              <w:rPr>
                <w:sz w:val="17"/>
                <w:szCs w:val="17"/>
              </w:rPr>
              <w:t>Description of end stage</w:t>
            </w:r>
          </w:p>
        </w:tc>
        <w:tc>
          <w:tcPr>
            <w:tcW w:w="1207" w:type="dxa"/>
          </w:tcPr>
          <w:p w:rsidR="00C86B67" w:rsidRPr="00F3077E" w:rsidRDefault="00C86B67" w:rsidP="00767BF0">
            <w:pPr>
              <w:spacing w:after="0"/>
              <w:jc w:val="center"/>
              <w:rPr>
                <w:sz w:val="17"/>
                <w:szCs w:val="17"/>
              </w:rPr>
            </w:pPr>
            <w:r w:rsidRPr="00F3077E">
              <w:rPr>
                <w:sz w:val="17"/>
                <w:szCs w:val="17"/>
              </w:rPr>
              <w:t>YES</w:t>
            </w:r>
          </w:p>
        </w:tc>
        <w:tc>
          <w:tcPr>
            <w:tcW w:w="1193" w:type="dxa"/>
          </w:tcPr>
          <w:p w:rsidR="00C86B67" w:rsidRPr="00F3077E" w:rsidRDefault="00C86B67" w:rsidP="00767BF0">
            <w:pPr>
              <w:spacing w:after="0"/>
              <w:jc w:val="center"/>
              <w:rPr>
                <w:sz w:val="17"/>
                <w:szCs w:val="17"/>
              </w:rPr>
            </w:pPr>
            <w:r w:rsidRPr="00F3077E">
              <w:rPr>
                <w:sz w:val="17"/>
                <w:szCs w:val="17"/>
              </w:rPr>
              <w:t>No change- in current ACFI User Guide</w:t>
            </w:r>
          </w:p>
        </w:tc>
        <w:tc>
          <w:tcPr>
            <w:tcW w:w="934" w:type="dxa"/>
          </w:tcPr>
          <w:p w:rsidR="00C86B67" w:rsidRPr="00F3077E" w:rsidRDefault="00C86B67" w:rsidP="00767BF0">
            <w:pPr>
              <w:spacing w:after="0"/>
              <w:jc w:val="center"/>
              <w:rPr>
                <w:sz w:val="17"/>
                <w:szCs w:val="17"/>
              </w:rPr>
            </w:pPr>
            <w:r>
              <w:rPr>
                <w:i/>
                <w:sz w:val="17"/>
                <w:szCs w:val="17"/>
              </w:rPr>
              <w:t>NR</w:t>
            </w:r>
          </w:p>
        </w:tc>
        <w:tc>
          <w:tcPr>
            <w:tcW w:w="1301" w:type="dxa"/>
          </w:tcPr>
          <w:p w:rsidR="00C86B67" w:rsidRPr="00F3077E" w:rsidRDefault="00C86B67" w:rsidP="00767BF0">
            <w:pPr>
              <w:spacing w:after="0"/>
              <w:jc w:val="center"/>
              <w:rPr>
                <w:sz w:val="17"/>
                <w:szCs w:val="17"/>
              </w:rPr>
            </w:pPr>
            <w:r>
              <w:rPr>
                <w:i/>
                <w:sz w:val="17"/>
                <w:szCs w:val="17"/>
              </w:rPr>
              <w:t>NR</w:t>
            </w:r>
          </w:p>
        </w:tc>
        <w:tc>
          <w:tcPr>
            <w:tcW w:w="1193" w:type="dxa"/>
          </w:tcPr>
          <w:p w:rsidR="00C86B67" w:rsidRPr="00F3077E" w:rsidRDefault="00C86B67" w:rsidP="00767BF0">
            <w:pPr>
              <w:spacing w:after="0"/>
              <w:jc w:val="center"/>
              <w:rPr>
                <w:sz w:val="17"/>
                <w:szCs w:val="17"/>
              </w:rPr>
            </w:pPr>
            <w:r w:rsidRPr="00F3077E">
              <w:rPr>
                <w:sz w:val="17"/>
                <w:szCs w:val="17"/>
              </w:rPr>
              <w:t>Definition clarity</w:t>
            </w:r>
          </w:p>
        </w:tc>
      </w:tr>
      <w:tr w:rsidR="00C86B67" w:rsidRPr="00F3077E" w:rsidTr="00123824">
        <w:tc>
          <w:tcPr>
            <w:tcW w:w="1165" w:type="dxa"/>
            <w:shd w:val="clear" w:color="auto" w:fill="D9E2F3" w:themeFill="accent1" w:themeFillTint="33"/>
          </w:tcPr>
          <w:p w:rsidR="00C86B67" w:rsidRPr="00F3077E" w:rsidRDefault="00C86B67" w:rsidP="00F3077E">
            <w:pPr>
              <w:spacing w:after="0"/>
              <w:jc w:val="left"/>
              <w:rPr>
                <w:b/>
                <w:sz w:val="17"/>
                <w:szCs w:val="17"/>
              </w:rPr>
            </w:pPr>
            <w:r w:rsidRPr="00F3077E">
              <w:rPr>
                <w:b/>
                <w:sz w:val="17"/>
                <w:szCs w:val="17"/>
              </w:rPr>
              <w:t>Assessm’t</w:t>
            </w:r>
          </w:p>
        </w:tc>
        <w:tc>
          <w:tcPr>
            <w:tcW w:w="1388" w:type="dxa"/>
          </w:tcPr>
          <w:p w:rsidR="00C86B67" w:rsidRPr="00F3077E" w:rsidRDefault="00C86B67" w:rsidP="00767BF0">
            <w:pPr>
              <w:spacing w:after="0"/>
              <w:jc w:val="center"/>
              <w:rPr>
                <w:sz w:val="17"/>
                <w:szCs w:val="17"/>
              </w:rPr>
            </w:pPr>
            <w:r w:rsidRPr="00F3077E">
              <w:rPr>
                <w:sz w:val="17"/>
                <w:szCs w:val="17"/>
                <w:lang w:eastAsia="en-AU"/>
              </w:rPr>
              <w:t>Pain Ax for Palliative item</w:t>
            </w:r>
          </w:p>
        </w:tc>
        <w:tc>
          <w:tcPr>
            <w:tcW w:w="1559" w:type="dxa"/>
          </w:tcPr>
          <w:p w:rsidR="00C86B67" w:rsidRPr="00F3077E" w:rsidRDefault="00C86B67" w:rsidP="00F3077E">
            <w:pPr>
              <w:spacing w:after="0"/>
              <w:jc w:val="center"/>
              <w:rPr>
                <w:sz w:val="17"/>
                <w:szCs w:val="17"/>
              </w:rPr>
            </w:pPr>
            <w:r w:rsidRPr="00F3077E">
              <w:rPr>
                <w:sz w:val="17"/>
                <w:szCs w:val="17"/>
              </w:rPr>
              <w:t>Pain M</w:t>
            </w:r>
            <w:r>
              <w:rPr>
                <w:sz w:val="17"/>
                <w:szCs w:val="17"/>
              </w:rPr>
              <w:t>ana</w:t>
            </w:r>
            <w:r w:rsidRPr="00F3077E">
              <w:rPr>
                <w:sz w:val="17"/>
                <w:szCs w:val="17"/>
              </w:rPr>
              <w:t>g</w:t>
            </w:r>
            <w:r>
              <w:rPr>
                <w:sz w:val="17"/>
                <w:szCs w:val="17"/>
              </w:rPr>
              <w:t>e</w:t>
            </w:r>
            <w:r w:rsidRPr="00F3077E">
              <w:rPr>
                <w:sz w:val="17"/>
                <w:szCs w:val="17"/>
              </w:rPr>
              <w:t>m</w:t>
            </w:r>
            <w:r>
              <w:rPr>
                <w:sz w:val="17"/>
                <w:szCs w:val="17"/>
              </w:rPr>
              <w:t>en</w:t>
            </w:r>
            <w:r w:rsidRPr="00F3077E">
              <w:rPr>
                <w:sz w:val="17"/>
                <w:szCs w:val="17"/>
              </w:rPr>
              <w:t>t Guidelines (PMG) kit</w:t>
            </w:r>
          </w:p>
        </w:tc>
        <w:tc>
          <w:tcPr>
            <w:tcW w:w="1089" w:type="dxa"/>
          </w:tcPr>
          <w:p w:rsidR="00C86B67" w:rsidRPr="00F3077E" w:rsidRDefault="00C86B67" w:rsidP="00767BF0">
            <w:pPr>
              <w:spacing w:after="0"/>
              <w:jc w:val="center"/>
              <w:rPr>
                <w:sz w:val="17"/>
                <w:szCs w:val="17"/>
              </w:rPr>
            </w:pPr>
            <w:r w:rsidRPr="00F3077E">
              <w:rPr>
                <w:sz w:val="17"/>
                <w:szCs w:val="17"/>
              </w:rPr>
              <w:t>YES</w:t>
            </w:r>
          </w:p>
        </w:tc>
        <w:tc>
          <w:tcPr>
            <w:tcW w:w="1193" w:type="dxa"/>
          </w:tcPr>
          <w:p w:rsidR="00C86B67" w:rsidRPr="00F3077E" w:rsidRDefault="00C86B67" w:rsidP="00767BF0">
            <w:pPr>
              <w:spacing w:after="0"/>
              <w:jc w:val="center"/>
              <w:rPr>
                <w:sz w:val="17"/>
                <w:szCs w:val="17"/>
              </w:rPr>
            </w:pPr>
            <w:r>
              <w:rPr>
                <w:i/>
                <w:sz w:val="17"/>
                <w:szCs w:val="17"/>
              </w:rPr>
              <w:t>NR</w:t>
            </w:r>
          </w:p>
        </w:tc>
        <w:tc>
          <w:tcPr>
            <w:tcW w:w="1256" w:type="dxa"/>
          </w:tcPr>
          <w:p w:rsidR="00C86B67" w:rsidRPr="00F3077E" w:rsidRDefault="00C86B67" w:rsidP="00767BF0">
            <w:pPr>
              <w:spacing w:after="0"/>
              <w:jc w:val="center"/>
              <w:rPr>
                <w:sz w:val="17"/>
                <w:szCs w:val="17"/>
              </w:rPr>
            </w:pPr>
            <w:r w:rsidRPr="00F3077E">
              <w:rPr>
                <w:sz w:val="17"/>
                <w:szCs w:val="17"/>
              </w:rPr>
              <w:t>YES</w:t>
            </w:r>
          </w:p>
        </w:tc>
        <w:tc>
          <w:tcPr>
            <w:tcW w:w="1344" w:type="dxa"/>
          </w:tcPr>
          <w:p w:rsidR="00C86B67" w:rsidRPr="00F3077E" w:rsidRDefault="00C86B67" w:rsidP="00767BF0">
            <w:pPr>
              <w:spacing w:after="0"/>
              <w:jc w:val="center"/>
              <w:rPr>
                <w:sz w:val="17"/>
                <w:szCs w:val="17"/>
              </w:rPr>
            </w:pPr>
            <w:r w:rsidRPr="00F3077E">
              <w:rPr>
                <w:sz w:val="17"/>
                <w:szCs w:val="17"/>
              </w:rPr>
              <w:t>R-ACFI 8. 15 Scores 15</w:t>
            </w:r>
          </w:p>
        </w:tc>
        <w:tc>
          <w:tcPr>
            <w:tcW w:w="1207" w:type="dxa"/>
          </w:tcPr>
          <w:p w:rsidR="00C86B67" w:rsidRPr="00F3077E" w:rsidRDefault="00C86B67" w:rsidP="00767BF0">
            <w:pPr>
              <w:spacing w:after="0"/>
              <w:jc w:val="center"/>
              <w:rPr>
                <w:sz w:val="17"/>
                <w:szCs w:val="17"/>
              </w:rPr>
            </w:pPr>
            <w:r w:rsidRPr="00F3077E">
              <w:rPr>
                <w:sz w:val="17"/>
                <w:szCs w:val="17"/>
              </w:rPr>
              <w:t>YES</w:t>
            </w:r>
          </w:p>
        </w:tc>
        <w:tc>
          <w:tcPr>
            <w:tcW w:w="1193" w:type="dxa"/>
          </w:tcPr>
          <w:p w:rsidR="00C86B67" w:rsidRPr="00F3077E" w:rsidRDefault="00C86B67" w:rsidP="00767BF0">
            <w:pPr>
              <w:spacing w:after="0"/>
              <w:jc w:val="center"/>
              <w:rPr>
                <w:sz w:val="17"/>
                <w:szCs w:val="17"/>
              </w:rPr>
            </w:pPr>
            <w:r w:rsidRPr="00F3077E">
              <w:rPr>
                <w:sz w:val="17"/>
                <w:szCs w:val="17"/>
              </w:rPr>
              <w:t>No change- in current ACFI User Guide</w:t>
            </w:r>
          </w:p>
        </w:tc>
        <w:tc>
          <w:tcPr>
            <w:tcW w:w="934" w:type="dxa"/>
          </w:tcPr>
          <w:p w:rsidR="00C86B67" w:rsidRPr="00F3077E" w:rsidRDefault="00C86B67" w:rsidP="00767BF0">
            <w:pPr>
              <w:spacing w:after="0"/>
              <w:jc w:val="center"/>
              <w:rPr>
                <w:sz w:val="17"/>
                <w:szCs w:val="17"/>
              </w:rPr>
            </w:pPr>
            <w:r>
              <w:rPr>
                <w:i/>
                <w:sz w:val="17"/>
                <w:szCs w:val="17"/>
              </w:rPr>
              <w:t>NR</w:t>
            </w:r>
          </w:p>
        </w:tc>
        <w:tc>
          <w:tcPr>
            <w:tcW w:w="1301" w:type="dxa"/>
          </w:tcPr>
          <w:p w:rsidR="00C86B67" w:rsidRPr="00F3077E" w:rsidRDefault="00C86B67" w:rsidP="00767BF0">
            <w:pPr>
              <w:spacing w:after="0"/>
              <w:jc w:val="center"/>
              <w:rPr>
                <w:sz w:val="17"/>
                <w:szCs w:val="17"/>
              </w:rPr>
            </w:pPr>
            <w:r>
              <w:rPr>
                <w:i/>
                <w:sz w:val="17"/>
                <w:szCs w:val="17"/>
              </w:rPr>
              <w:t>NR</w:t>
            </w:r>
          </w:p>
        </w:tc>
        <w:tc>
          <w:tcPr>
            <w:tcW w:w="1193" w:type="dxa"/>
          </w:tcPr>
          <w:p w:rsidR="00C86B67" w:rsidRPr="00F3077E" w:rsidRDefault="00C86B67" w:rsidP="00767BF0">
            <w:pPr>
              <w:spacing w:after="0"/>
              <w:jc w:val="center"/>
              <w:rPr>
                <w:sz w:val="17"/>
                <w:szCs w:val="17"/>
              </w:rPr>
            </w:pPr>
            <w:r>
              <w:rPr>
                <w:i/>
                <w:sz w:val="17"/>
                <w:szCs w:val="17"/>
              </w:rPr>
              <w:t>NR</w:t>
            </w:r>
          </w:p>
        </w:tc>
      </w:tr>
      <w:tr w:rsidR="00C86B67" w:rsidRPr="00F3077E" w:rsidTr="00123824">
        <w:tc>
          <w:tcPr>
            <w:tcW w:w="1165" w:type="dxa"/>
            <w:shd w:val="clear" w:color="auto" w:fill="D9E2F3" w:themeFill="accent1" w:themeFillTint="33"/>
          </w:tcPr>
          <w:p w:rsidR="00C86B67" w:rsidRPr="00F3077E" w:rsidRDefault="00C86B67" w:rsidP="00F3077E">
            <w:pPr>
              <w:spacing w:after="0"/>
              <w:jc w:val="left"/>
              <w:rPr>
                <w:b/>
                <w:sz w:val="17"/>
                <w:szCs w:val="17"/>
              </w:rPr>
            </w:pPr>
            <w:r w:rsidRPr="00F3077E">
              <w:rPr>
                <w:b/>
                <w:sz w:val="17"/>
                <w:szCs w:val="17"/>
              </w:rPr>
              <w:t>Items removed</w:t>
            </w:r>
          </w:p>
        </w:tc>
        <w:tc>
          <w:tcPr>
            <w:tcW w:w="1388" w:type="dxa"/>
          </w:tcPr>
          <w:p w:rsidR="00C86B67" w:rsidRPr="00F3077E" w:rsidRDefault="00C86B67" w:rsidP="00767BF0">
            <w:pPr>
              <w:spacing w:after="0"/>
              <w:jc w:val="center"/>
              <w:rPr>
                <w:sz w:val="17"/>
                <w:szCs w:val="17"/>
              </w:rPr>
            </w:pPr>
            <w:r w:rsidRPr="00F3077E">
              <w:rPr>
                <w:sz w:val="17"/>
                <w:szCs w:val="17"/>
              </w:rPr>
              <w:t>BP;</w:t>
            </w:r>
          </w:p>
          <w:p w:rsidR="00C86B67" w:rsidRPr="00F3077E" w:rsidRDefault="00C86B67" w:rsidP="00767BF0">
            <w:pPr>
              <w:spacing w:after="0"/>
              <w:jc w:val="center"/>
              <w:rPr>
                <w:sz w:val="17"/>
                <w:szCs w:val="17"/>
              </w:rPr>
            </w:pPr>
            <w:r w:rsidRPr="00F3077E">
              <w:rPr>
                <w:sz w:val="17"/>
                <w:szCs w:val="17"/>
              </w:rPr>
              <w:t>Vital signs</w:t>
            </w:r>
          </w:p>
        </w:tc>
        <w:tc>
          <w:tcPr>
            <w:tcW w:w="1559" w:type="dxa"/>
          </w:tcPr>
          <w:p w:rsidR="00C86B67" w:rsidRPr="00F3077E" w:rsidRDefault="00C86B67" w:rsidP="00767BF0">
            <w:pPr>
              <w:spacing w:after="0"/>
              <w:jc w:val="center"/>
              <w:rPr>
                <w:i/>
                <w:sz w:val="17"/>
                <w:szCs w:val="17"/>
              </w:rPr>
            </w:pPr>
            <w:r>
              <w:rPr>
                <w:i/>
                <w:sz w:val="17"/>
                <w:szCs w:val="17"/>
              </w:rPr>
              <w:t>NR</w:t>
            </w:r>
          </w:p>
        </w:tc>
        <w:tc>
          <w:tcPr>
            <w:tcW w:w="1089" w:type="dxa"/>
          </w:tcPr>
          <w:p w:rsidR="00C86B67" w:rsidRPr="00F3077E" w:rsidRDefault="00C86B67" w:rsidP="00767BF0">
            <w:pPr>
              <w:spacing w:after="0"/>
              <w:jc w:val="center"/>
              <w:rPr>
                <w:sz w:val="17"/>
                <w:szCs w:val="17"/>
              </w:rPr>
            </w:pPr>
            <w:r>
              <w:rPr>
                <w:i/>
                <w:sz w:val="17"/>
                <w:szCs w:val="17"/>
              </w:rPr>
              <w:t>NR</w:t>
            </w:r>
          </w:p>
        </w:tc>
        <w:tc>
          <w:tcPr>
            <w:tcW w:w="1193" w:type="dxa"/>
          </w:tcPr>
          <w:p w:rsidR="00C86B67" w:rsidRPr="00F3077E" w:rsidRDefault="00C86B67" w:rsidP="00767BF0">
            <w:pPr>
              <w:spacing w:after="0"/>
              <w:jc w:val="center"/>
              <w:rPr>
                <w:sz w:val="17"/>
                <w:szCs w:val="17"/>
              </w:rPr>
            </w:pPr>
            <w:r>
              <w:rPr>
                <w:i/>
                <w:sz w:val="17"/>
                <w:szCs w:val="17"/>
              </w:rPr>
              <w:t>NR</w:t>
            </w:r>
          </w:p>
        </w:tc>
        <w:tc>
          <w:tcPr>
            <w:tcW w:w="1256" w:type="dxa"/>
          </w:tcPr>
          <w:p w:rsidR="00C86B67" w:rsidRPr="00F3077E" w:rsidRDefault="00C86B67" w:rsidP="00767BF0">
            <w:pPr>
              <w:spacing w:after="0"/>
              <w:jc w:val="center"/>
              <w:rPr>
                <w:sz w:val="17"/>
                <w:szCs w:val="17"/>
              </w:rPr>
            </w:pPr>
            <w:r>
              <w:rPr>
                <w:i/>
                <w:sz w:val="17"/>
                <w:szCs w:val="17"/>
              </w:rPr>
              <w:t>NR</w:t>
            </w:r>
          </w:p>
        </w:tc>
        <w:tc>
          <w:tcPr>
            <w:tcW w:w="1344" w:type="dxa"/>
          </w:tcPr>
          <w:p w:rsidR="00C86B67" w:rsidRPr="00F3077E" w:rsidRDefault="00C86B67" w:rsidP="00767BF0">
            <w:pPr>
              <w:spacing w:after="0"/>
              <w:jc w:val="center"/>
              <w:rPr>
                <w:sz w:val="17"/>
                <w:szCs w:val="17"/>
              </w:rPr>
            </w:pPr>
            <w:r w:rsidRPr="00F3077E">
              <w:rPr>
                <w:sz w:val="17"/>
                <w:szCs w:val="17"/>
              </w:rPr>
              <w:t>Not complex</w:t>
            </w:r>
          </w:p>
        </w:tc>
        <w:tc>
          <w:tcPr>
            <w:tcW w:w="1207" w:type="dxa"/>
          </w:tcPr>
          <w:p w:rsidR="00C86B67" w:rsidRPr="00F3077E" w:rsidRDefault="00C86B67" w:rsidP="00767BF0">
            <w:pPr>
              <w:spacing w:after="0"/>
              <w:jc w:val="center"/>
              <w:rPr>
                <w:sz w:val="17"/>
                <w:szCs w:val="17"/>
              </w:rPr>
            </w:pPr>
            <w:r w:rsidRPr="00F3077E">
              <w:rPr>
                <w:sz w:val="17"/>
                <w:szCs w:val="17"/>
              </w:rPr>
              <w:t>No assessment</w:t>
            </w:r>
          </w:p>
        </w:tc>
        <w:tc>
          <w:tcPr>
            <w:tcW w:w="1193" w:type="dxa"/>
          </w:tcPr>
          <w:p w:rsidR="00C86B67" w:rsidRPr="00F3077E" w:rsidRDefault="00C86B67" w:rsidP="00767BF0">
            <w:pPr>
              <w:spacing w:after="0"/>
              <w:jc w:val="center"/>
              <w:rPr>
                <w:sz w:val="17"/>
                <w:szCs w:val="17"/>
              </w:rPr>
            </w:pPr>
            <w:r>
              <w:rPr>
                <w:i/>
                <w:sz w:val="17"/>
                <w:szCs w:val="17"/>
              </w:rPr>
              <w:t>NR</w:t>
            </w:r>
          </w:p>
        </w:tc>
        <w:tc>
          <w:tcPr>
            <w:tcW w:w="934" w:type="dxa"/>
          </w:tcPr>
          <w:p w:rsidR="00C86B67" w:rsidRPr="00F3077E" w:rsidRDefault="00C86B67" w:rsidP="00767BF0">
            <w:pPr>
              <w:spacing w:after="0"/>
              <w:jc w:val="center"/>
              <w:rPr>
                <w:sz w:val="17"/>
                <w:szCs w:val="17"/>
              </w:rPr>
            </w:pPr>
            <w:r>
              <w:rPr>
                <w:i/>
                <w:sz w:val="17"/>
                <w:szCs w:val="17"/>
              </w:rPr>
              <w:t>NR</w:t>
            </w:r>
          </w:p>
        </w:tc>
        <w:tc>
          <w:tcPr>
            <w:tcW w:w="1301" w:type="dxa"/>
          </w:tcPr>
          <w:p w:rsidR="00C86B67" w:rsidRPr="00F3077E" w:rsidRDefault="00C86B67" w:rsidP="00767BF0">
            <w:pPr>
              <w:spacing w:after="0"/>
              <w:jc w:val="center"/>
              <w:rPr>
                <w:sz w:val="17"/>
                <w:szCs w:val="17"/>
              </w:rPr>
            </w:pPr>
            <w:r w:rsidRPr="00F3077E">
              <w:rPr>
                <w:sz w:val="17"/>
                <w:szCs w:val="17"/>
              </w:rPr>
              <w:t>Complexity</w:t>
            </w:r>
          </w:p>
        </w:tc>
        <w:tc>
          <w:tcPr>
            <w:tcW w:w="1193" w:type="dxa"/>
          </w:tcPr>
          <w:p w:rsidR="00C86B67" w:rsidRPr="00F3077E" w:rsidRDefault="00C86B67" w:rsidP="00767BF0">
            <w:pPr>
              <w:spacing w:after="0"/>
              <w:jc w:val="center"/>
              <w:rPr>
                <w:sz w:val="17"/>
                <w:szCs w:val="17"/>
              </w:rPr>
            </w:pPr>
            <w:r>
              <w:rPr>
                <w:i/>
                <w:sz w:val="17"/>
                <w:szCs w:val="17"/>
              </w:rPr>
              <w:t>NR</w:t>
            </w:r>
          </w:p>
        </w:tc>
      </w:tr>
      <w:tr w:rsidR="00C86B67" w:rsidRPr="00F3077E" w:rsidTr="00123824">
        <w:tc>
          <w:tcPr>
            <w:tcW w:w="1165" w:type="dxa"/>
            <w:shd w:val="clear" w:color="auto" w:fill="D9E2F3" w:themeFill="accent1" w:themeFillTint="33"/>
          </w:tcPr>
          <w:p w:rsidR="00C86B67" w:rsidRPr="00F3077E" w:rsidRDefault="00C86B67" w:rsidP="00F3077E">
            <w:pPr>
              <w:spacing w:after="0"/>
              <w:jc w:val="left"/>
              <w:rPr>
                <w:b/>
                <w:sz w:val="17"/>
                <w:szCs w:val="17"/>
              </w:rPr>
            </w:pPr>
            <w:r w:rsidRPr="00F3077E">
              <w:rPr>
                <w:b/>
                <w:sz w:val="17"/>
                <w:szCs w:val="17"/>
              </w:rPr>
              <w:t>Items</w:t>
            </w:r>
            <w:r>
              <w:rPr>
                <w:b/>
                <w:sz w:val="17"/>
                <w:szCs w:val="17"/>
              </w:rPr>
              <w:br/>
            </w:r>
            <w:r w:rsidRPr="00F3077E">
              <w:rPr>
                <w:b/>
                <w:sz w:val="17"/>
                <w:szCs w:val="17"/>
              </w:rPr>
              <w:t xml:space="preserve">re-scored </w:t>
            </w:r>
          </w:p>
        </w:tc>
        <w:tc>
          <w:tcPr>
            <w:tcW w:w="1388" w:type="dxa"/>
          </w:tcPr>
          <w:p w:rsidR="00C86B67" w:rsidRPr="00F3077E" w:rsidRDefault="00C86B67" w:rsidP="00767BF0">
            <w:pPr>
              <w:spacing w:after="0"/>
              <w:jc w:val="center"/>
              <w:rPr>
                <w:sz w:val="17"/>
                <w:szCs w:val="17"/>
              </w:rPr>
            </w:pPr>
            <w:r w:rsidRPr="00F3077E">
              <w:rPr>
                <w:sz w:val="17"/>
                <w:szCs w:val="17"/>
              </w:rPr>
              <w:t>BGL ;</w:t>
            </w:r>
          </w:p>
          <w:p w:rsidR="00C86B67" w:rsidRPr="00F3077E" w:rsidRDefault="00C86B67" w:rsidP="00767BF0">
            <w:pPr>
              <w:spacing w:after="0"/>
              <w:jc w:val="center"/>
              <w:rPr>
                <w:sz w:val="17"/>
                <w:szCs w:val="17"/>
              </w:rPr>
            </w:pPr>
            <w:r w:rsidRPr="00F3077E">
              <w:rPr>
                <w:sz w:val="17"/>
                <w:szCs w:val="17"/>
              </w:rPr>
              <w:t>Oxygen Therapy</w:t>
            </w:r>
          </w:p>
        </w:tc>
        <w:tc>
          <w:tcPr>
            <w:tcW w:w="1559" w:type="dxa"/>
          </w:tcPr>
          <w:p w:rsidR="00C86B67" w:rsidRPr="00F3077E" w:rsidRDefault="00C86B67" w:rsidP="00767BF0">
            <w:pPr>
              <w:spacing w:after="0"/>
              <w:jc w:val="center"/>
              <w:rPr>
                <w:sz w:val="17"/>
                <w:szCs w:val="17"/>
              </w:rPr>
            </w:pPr>
            <w:r>
              <w:rPr>
                <w:i/>
                <w:sz w:val="17"/>
                <w:szCs w:val="17"/>
              </w:rPr>
              <w:t>NR</w:t>
            </w:r>
          </w:p>
        </w:tc>
        <w:tc>
          <w:tcPr>
            <w:tcW w:w="1089" w:type="dxa"/>
          </w:tcPr>
          <w:p w:rsidR="00C86B67" w:rsidRPr="00F3077E" w:rsidRDefault="00C86B67" w:rsidP="00767BF0">
            <w:pPr>
              <w:spacing w:after="0"/>
              <w:jc w:val="center"/>
              <w:rPr>
                <w:sz w:val="17"/>
                <w:szCs w:val="17"/>
              </w:rPr>
            </w:pPr>
            <w:r>
              <w:rPr>
                <w:i/>
                <w:sz w:val="17"/>
                <w:szCs w:val="17"/>
              </w:rPr>
              <w:t>NR</w:t>
            </w:r>
          </w:p>
        </w:tc>
        <w:tc>
          <w:tcPr>
            <w:tcW w:w="1193" w:type="dxa"/>
          </w:tcPr>
          <w:p w:rsidR="00C86B67" w:rsidRPr="00F3077E" w:rsidRDefault="00C86B67" w:rsidP="00767BF0">
            <w:pPr>
              <w:spacing w:after="0"/>
              <w:jc w:val="center"/>
              <w:rPr>
                <w:sz w:val="17"/>
                <w:szCs w:val="17"/>
              </w:rPr>
            </w:pPr>
            <w:r>
              <w:rPr>
                <w:i/>
                <w:sz w:val="17"/>
                <w:szCs w:val="17"/>
              </w:rPr>
              <w:t>NR</w:t>
            </w:r>
          </w:p>
        </w:tc>
        <w:tc>
          <w:tcPr>
            <w:tcW w:w="1256" w:type="dxa"/>
          </w:tcPr>
          <w:p w:rsidR="00C86B67" w:rsidRPr="00F3077E" w:rsidRDefault="00C86B67" w:rsidP="00767BF0">
            <w:pPr>
              <w:spacing w:after="0"/>
              <w:jc w:val="center"/>
              <w:rPr>
                <w:sz w:val="17"/>
                <w:szCs w:val="17"/>
              </w:rPr>
            </w:pPr>
            <w:r>
              <w:rPr>
                <w:i/>
                <w:sz w:val="17"/>
                <w:szCs w:val="17"/>
              </w:rPr>
              <w:t>NR</w:t>
            </w:r>
          </w:p>
        </w:tc>
        <w:tc>
          <w:tcPr>
            <w:tcW w:w="1344" w:type="dxa"/>
          </w:tcPr>
          <w:p w:rsidR="00C86B67" w:rsidRPr="00F3077E" w:rsidRDefault="00C86B67" w:rsidP="00767BF0">
            <w:pPr>
              <w:spacing w:after="0"/>
              <w:jc w:val="center"/>
              <w:rPr>
                <w:sz w:val="17"/>
                <w:szCs w:val="17"/>
              </w:rPr>
            </w:pPr>
            <w:r w:rsidRPr="00F3077E">
              <w:rPr>
                <w:sz w:val="17"/>
                <w:szCs w:val="17"/>
              </w:rPr>
              <w:t>R-ACFI 8 Q2</w:t>
            </w:r>
          </w:p>
          <w:p w:rsidR="00C86B67" w:rsidRPr="00F3077E" w:rsidRDefault="00C86B67" w:rsidP="00767BF0">
            <w:pPr>
              <w:spacing w:after="0"/>
              <w:jc w:val="center"/>
              <w:rPr>
                <w:sz w:val="17"/>
                <w:szCs w:val="17"/>
              </w:rPr>
            </w:pPr>
            <w:r w:rsidRPr="00F3077E">
              <w:rPr>
                <w:sz w:val="17"/>
                <w:szCs w:val="17"/>
              </w:rPr>
              <w:t>R-ACFI 8 Q3 (scores reduced from 3 to 1)</w:t>
            </w:r>
          </w:p>
        </w:tc>
        <w:tc>
          <w:tcPr>
            <w:tcW w:w="1207" w:type="dxa"/>
          </w:tcPr>
          <w:p w:rsidR="00C86B67" w:rsidRPr="00F3077E" w:rsidRDefault="00C86B67" w:rsidP="00767BF0">
            <w:pPr>
              <w:spacing w:after="0"/>
              <w:jc w:val="center"/>
              <w:rPr>
                <w:sz w:val="17"/>
                <w:szCs w:val="17"/>
              </w:rPr>
            </w:pPr>
            <w:r w:rsidRPr="00F3077E">
              <w:rPr>
                <w:sz w:val="17"/>
                <w:szCs w:val="17"/>
              </w:rPr>
              <w:t>YES</w:t>
            </w:r>
          </w:p>
        </w:tc>
        <w:tc>
          <w:tcPr>
            <w:tcW w:w="1193" w:type="dxa"/>
          </w:tcPr>
          <w:p w:rsidR="00C86B67" w:rsidRPr="00F3077E" w:rsidRDefault="00C86B67" w:rsidP="00767BF0">
            <w:pPr>
              <w:spacing w:after="0"/>
              <w:jc w:val="center"/>
              <w:rPr>
                <w:sz w:val="17"/>
                <w:szCs w:val="17"/>
              </w:rPr>
            </w:pPr>
            <w:r w:rsidRPr="00F3077E">
              <w:rPr>
                <w:sz w:val="17"/>
                <w:szCs w:val="17"/>
              </w:rPr>
              <w:t>No change</w:t>
            </w:r>
          </w:p>
        </w:tc>
        <w:tc>
          <w:tcPr>
            <w:tcW w:w="934" w:type="dxa"/>
          </w:tcPr>
          <w:p w:rsidR="00C86B67" w:rsidRPr="00F3077E" w:rsidRDefault="00C86B67" w:rsidP="00767BF0">
            <w:pPr>
              <w:spacing w:after="0"/>
              <w:jc w:val="center"/>
              <w:rPr>
                <w:sz w:val="17"/>
                <w:szCs w:val="17"/>
              </w:rPr>
            </w:pPr>
            <w:r>
              <w:rPr>
                <w:i/>
                <w:sz w:val="17"/>
                <w:szCs w:val="17"/>
              </w:rPr>
              <w:t>NR</w:t>
            </w:r>
          </w:p>
        </w:tc>
        <w:tc>
          <w:tcPr>
            <w:tcW w:w="1301" w:type="dxa"/>
          </w:tcPr>
          <w:p w:rsidR="00C86B67" w:rsidRPr="00F3077E" w:rsidRDefault="00C86B67" w:rsidP="00767BF0">
            <w:pPr>
              <w:spacing w:after="0"/>
              <w:jc w:val="center"/>
              <w:rPr>
                <w:sz w:val="17"/>
                <w:szCs w:val="17"/>
              </w:rPr>
            </w:pPr>
            <w:r w:rsidRPr="00F3077E">
              <w:rPr>
                <w:sz w:val="17"/>
                <w:szCs w:val="17"/>
              </w:rPr>
              <w:t>Low complexity</w:t>
            </w:r>
          </w:p>
        </w:tc>
        <w:tc>
          <w:tcPr>
            <w:tcW w:w="1193" w:type="dxa"/>
          </w:tcPr>
          <w:p w:rsidR="00C86B67" w:rsidRPr="00F3077E" w:rsidRDefault="00C86B67" w:rsidP="00767BF0">
            <w:pPr>
              <w:spacing w:after="0"/>
              <w:jc w:val="center"/>
              <w:rPr>
                <w:sz w:val="17"/>
                <w:szCs w:val="17"/>
              </w:rPr>
            </w:pPr>
            <w:r>
              <w:rPr>
                <w:i/>
                <w:sz w:val="17"/>
                <w:szCs w:val="17"/>
              </w:rPr>
              <w:t>NR</w:t>
            </w:r>
          </w:p>
        </w:tc>
      </w:tr>
      <w:tr w:rsidR="00C86B67" w:rsidRPr="00F3077E" w:rsidTr="00123824">
        <w:tc>
          <w:tcPr>
            <w:tcW w:w="1165" w:type="dxa"/>
            <w:shd w:val="clear" w:color="auto" w:fill="D9E2F3" w:themeFill="accent1" w:themeFillTint="33"/>
          </w:tcPr>
          <w:p w:rsidR="00C86B67" w:rsidRPr="00F3077E" w:rsidRDefault="00C86B67" w:rsidP="00F3077E">
            <w:pPr>
              <w:spacing w:after="0"/>
              <w:jc w:val="left"/>
              <w:rPr>
                <w:b/>
                <w:sz w:val="17"/>
                <w:szCs w:val="17"/>
              </w:rPr>
            </w:pPr>
            <w:r w:rsidRPr="00F3077E">
              <w:rPr>
                <w:b/>
                <w:sz w:val="17"/>
                <w:szCs w:val="17"/>
              </w:rPr>
              <w:t>Item relocated</w:t>
            </w:r>
          </w:p>
        </w:tc>
        <w:tc>
          <w:tcPr>
            <w:tcW w:w="1388" w:type="dxa"/>
          </w:tcPr>
          <w:p w:rsidR="00C86B67" w:rsidRPr="00F3077E" w:rsidRDefault="00C86B67" w:rsidP="00767BF0">
            <w:pPr>
              <w:spacing w:after="0"/>
              <w:jc w:val="center"/>
              <w:rPr>
                <w:sz w:val="17"/>
                <w:szCs w:val="17"/>
              </w:rPr>
            </w:pPr>
            <w:r w:rsidRPr="00F3077E">
              <w:rPr>
                <w:sz w:val="17"/>
                <w:szCs w:val="17"/>
              </w:rPr>
              <w:t>Pain mgmt. items;</w:t>
            </w:r>
          </w:p>
        </w:tc>
        <w:tc>
          <w:tcPr>
            <w:tcW w:w="1559" w:type="dxa"/>
          </w:tcPr>
          <w:p w:rsidR="00C86B67" w:rsidRPr="00F3077E" w:rsidRDefault="00C86B67" w:rsidP="00767BF0">
            <w:pPr>
              <w:spacing w:after="0"/>
              <w:jc w:val="center"/>
              <w:rPr>
                <w:sz w:val="17"/>
                <w:szCs w:val="17"/>
              </w:rPr>
            </w:pPr>
            <w:r w:rsidRPr="00F3077E">
              <w:rPr>
                <w:sz w:val="17"/>
                <w:szCs w:val="17"/>
              </w:rPr>
              <w:t>Pain Mgmt Guidelines (PMG) kit</w:t>
            </w:r>
          </w:p>
        </w:tc>
        <w:tc>
          <w:tcPr>
            <w:tcW w:w="1089" w:type="dxa"/>
          </w:tcPr>
          <w:p w:rsidR="00C86B67" w:rsidRPr="00F3077E" w:rsidRDefault="00C86B67" w:rsidP="00767BF0">
            <w:pPr>
              <w:spacing w:after="0"/>
              <w:jc w:val="center"/>
              <w:rPr>
                <w:sz w:val="17"/>
                <w:szCs w:val="17"/>
              </w:rPr>
            </w:pPr>
            <w:r>
              <w:rPr>
                <w:i/>
                <w:sz w:val="17"/>
                <w:szCs w:val="17"/>
              </w:rPr>
              <w:t>NR</w:t>
            </w:r>
          </w:p>
        </w:tc>
        <w:tc>
          <w:tcPr>
            <w:tcW w:w="1193" w:type="dxa"/>
          </w:tcPr>
          <w:p w:rsidR="00C86B67" w:rsidRPr="00F3077E" w:rsidRDefault="00C86B67" w:rsidP="00767BF0">
            <w:pPr>
              <w:spacing w:after="0"/>
              <w:jc w:val="center"/>
              <w:rPr>
                <w:sz w:val="17"/>
                <w:szCs w:val="17"/>
              </w:rPr>
            </w:pPr>
            <w:r>
              <w:rPr>
                <w:i/>
                <w:sz w:val="17"/>
                <w:szCs w:val="17"/>
              </w:rPr>
              <w:t>NR</w:t>
            </w:r>
          </w:p>
        </w:tc>
        <w:tc>
          <w:tcPr>
            <w:tcW w:w="1256" w:type="dxa"/>
          </w:tcPr>
          <w:p w:rsidR="00C86B67" w:rsidRPr="00F3077E" w:rsidRDefault="00C86B67" w:rsidP="00767BF0">
            <w:pPr>
              <w:spacing w:after="0"/>
              <w:jc w:val="center"/>
              <w:rPr>
                <w:sz w:val="17"/>
                <w:szCs w:val="17"/>
              </w:rPr>
            </w:pPr>
            <w:r w:rsidRPr="00F3077E">
              <w:rPr>
                <w:sz w:val="17"/>
                <w:szCs w:val="17"/>
              </w:rPr>
              <w:t>YES- broader therapy choice</w:t>
            </w:r>
          </w:p>
        </w:tc>
        <w:tc>
          <w:tcPr>
            <w:tcW w:w="1344" w:type="dxa"/>
          </w:tcPr>
          <w:p w:rsidR="00C86B67" w:rsidRPr="00F3077E" w:rsidRDefault="00C86B67" w:rsidP="00767BF0">
            <w:pPr>
              <w:spacing w:after="0"/>
              <w:jc w:val="center"/>
              <w:rPr>
                <w:sz w:val="17"/>
                <w:szCs w:val="17"/>
              </w:rPr>
            </w:pPr>
            <w:r w:rsidRPr="00F3077E">
              <w:rPr>
                <w:sz w:val="17"/>
                <w:szCs w:val="17"/>
              </w:rPr>
              <w:t>Moved into Therapy Program</w:t>
            </w:r>
          </w:p>
        </w:tc>
        <w:tc>
          <w:tcPr>
            <w:tcW w:w="1207" w:type="dxa"/>
          </w:tcPr>
          <w:p w:rsidR="00C86B67" w:rsidRPr="00F3077E" w:rsidRDefault="00C86B67" w:rsidP="00767BF0">
            <w:pPr>
              <w:spacing w:after="0"/>
              <w:jc w:val="center"/>
              <w:rPr>
                <w:sz w:val="17"/>
                <w:szCs w:val="17"/>
              </w:rPr>
            </w:pPr>
            <w:r w:rsidRPr="00F3077E">
              <w:rPr>
                <w:sz w:val="17"/>
                <w:szCs w:val="17"/>
              </w:rPr>
              <w:t>Broad need</w:t>
            </w:r>
          </w:p>
        </w:tc>
        <w:tc>
          <w:tcPr>
            <w:tcW w:w="1193" w:type="dxa"/>
          </w:tcPr>
          <w:p w:rsidR="00C86B67" w:rsidRPr="00F3077E" w:rsidRDefault="00C86B67" w:rsidP="00767BF0">
            <w:pPr>
              <w:spacing w:after="0"/>
              <w:jc w:val="center"/>
              <w:rPr>
                <w:sz w:val="17"/>
                <w:szCs w:val="17"/>
              </w:rPr>
            </w:pPr>
            <w:r w:rsidRPr="00F3077E">
              <w:rPr>
                <w:sz w:val="17"/>
                <w:szCs w:val="17"/>
              </w:rPr>
              <w:t>No ax changes</w:t>
            </w:r>
          </w:p>
        </w:tc>
        <w:tc>
          <w:tcPr>
            <w:tcW w:w="934" w:type="dxa"/>
          </w:tcPr>
          <w:p w:rsidR="00C86B67" w:rsidRPr="00F3077E" w:rsidRDefault="00C86B67" w:rsidP="00767BF0">
            <w:pPr>
              <w:spacing w:after="0"/>
              <w:jc w:val="center"/>
              <w:rPr>
                <w:sz w:val="17"/>
                <w:szCs w:val="17"/>
              </w:rPr>
            </w:pPr>
            <w:r>
              <w:rPr>
                <w:i/>
                <w:sz w:val="17"/>
                <w:szCs w:val="17"/>
              </w:rPr>
              <w:t>NR</w:t>
            </w:r>
          </w:p>
        </w:tc>
        <w:tc>
          <w:tcPr>
            <w:tcW w:w="1301" w:type="dxa"/>
          </w:tcPr>
          <w:p w:rsidR="00C86B67" w:rsidRPr="00F3077E" w:rsidRDefault="00C86B67" w:rsidP="00767BF0">
            <w:pPr>
              <w:spacing w:after="0"/>
              <w:jc w:val="center"/>
              <w:rPr>
                <w:sz w:val="17"/>
                <w:szCs w:val="17"/>
              </w:rPr>
            </w:pPr>
            <w:r>
              <w:rPr>
                <w:i/>
                <w:sz w:val="17"/>
                <w:szCs w:val="17"/>
              </w:rPr>
              <w:t>NR</w:t>
            </w:r>
          </w:p>
        </w:tc>
        <w:tc>
          <w:tcPr>
            <w:tcW w:w="1193" w:type="dxa"/>
          </w:tcPr>
          <w:p w:rsidR="00C86B67" w:rsidRPr="00F3077E" w:rsidRDefault="00C86B67" w:rsidP="00767BF0">
            <w:pPr>
              <w:spacing w:after="0"/>
              <w:jc w:val="center"/>
              <w:rPr>
                <w:sz w:val="17"/>
                <w:szCs w:val="17"/>
              </w:rPr>
            </w:pPr>
            <w:r w:rsidRPr="00F3077E">
              <w:rPr>
                <w:sz w:val="17"/>
                <w:szCs w:val="17"/>
              </w:rPr>
              <w:t>As set out in Therapy Program</w:t>
            </w:r>
          </w:p>
        </w:tc>
      </w:tr>
      <w:tr w:rsidR="00C86B67" w:rsidRPr="00F3077E" w:rsidTr="00123824">
        <w:tc>
          <w:tcPr>
            <w:tcW w:w="1165" w:type="dxa"/>
            <w:shd w:val="clear" w:color="auto" w:fill="D9E2F3" w:themeFill="accent1" w:themeFillTint="33"/>
          </w:tcPr>
          <w:p w:rsidR="00C86B67" w:rsidRPr="00F3077E" w:rsidRDefault="00C86B67" w:rsidP="00F3077E">
            <w:pPr>
              <w:spacing w:after="0"/>
              <w:jc w:val="left"/>
              <w:rPr>
                <w:b/>
                <w:sz w:val="17"/>
                <w:szCs w:val="17"/>
              </w:rPr>
            </w:pPr>
            <w:r w:rsidRPr="00F3077E">
              <w:rPr>
                <w:b/>
                <w:sz w:val="17"/>
                <w:szCs w:val="17"/>
              </w:rPr>
              <w:t>Item relocated</w:t>
            </w:r>
          </w:p>
        </w:tc>
        <w:tc>
          <w:tcPr>
            <w:tcW w:w="1388" w:type="dxa"/>
          </w:tcPr>
          <w:p w:rsidR="00C86B67" w:rsidRPr="00F3077E" w:rsidRDefault="00C86B67" w:rsidP="00767BF0">
            <w:pPr>
              <w:spacing w:after="0"/>
              <w:jc w:val="center"/>
              <w:rPr>
                <w:sz w:val="17"/>
                <w:szCs w:val="17"/>
              </w:rPr>
            </w:pPr>
            <w:r w:rsidRPr="00F3077E">
              <w:rPr>
                <w:sz w:val="17"/>
                <w:szCs w:val="17"/>
              </w:rPr>
              <w:t>Management of arthritic joints/oedema</w:t>
            </w:r>
          </w:p>
        </w:tc>
        <w:tc>
          <w:tcPr>
            <w:tcW w:w="1559" w:type="dxa"/>
          </w:tcPr>
          <w:p w:rsidR="00C86B67" w:rsidRPr="00F3077E" w:rsidRDefault="00C86B67" w:rsidP="00767BF0">
            <w:pPr>
              <w:spacing w:after="0"/>
              <w:jc w:val="center"/>
              <w:rPr>
                <w:sz w:val="17"/>
                <w:szCs w:val="17"/>
              </w:rPr>
            </w:pPr>
            <w:r>
              <w:rPr>
                <w:i/>
                <w:sz w:val="17"/>
                <w:szCs w:val="17"/>
              </w:rPr>
              <w:t>NR</w:t>
            </w:r>
          </w:p>
        </w:tc>
        <w:tc>
          <w:tcPr>
            <w:tcW w:w="1089" w:type="dxa"/>
          </w:tcPr>
          <w:p w:rsidR="00C86B67" w:rsidRPr="00F3077E" w:rsidRDefault="00C86B67" w:rsidP="00767BF0">
            <w:pPr>
              <w:spacing w:after="0"/>
              <w:jc w:val="center"/>
              <w:rPr>
                <w:sz w:val="17"/>
                <w:szCs w:val="17"/>
              </w:rPr>
            </w:pPr>
            <w:r>
              <w:rPr>
                <w:i/>
                <w:sz w:val="17"/>
                <w:szCs w:val="17"/>
              </w:rPr>
              <w:t>NR</w:t>
            </w:r>
          </w:p>
        </w:tc>
        <w:tc>
          <w:tcPr>
            <w:tcW w:w="1193" w:type="dxa"/>
          </w:tcPr>
          <w:p w:rsidR="00C86B67" w:rsidRPr="00F3077E" w:rsidRDefault="00C86B67" w:rsidP="00767BF0">
            <w:pPr>
              <w:spacing w:after="0"/>
              <w:jc w:val="center"/>
              <w:rPr>
                <w:sz w:val="17"/>
                <w:szCs w:val="17"/>
              </w:rPr>
            </w:pPr>
            <w:r>
              <w:rPr>
                <w:i/>
                <w:sz w:val="17"/>
                <w:szCs w:val="17"/>
              </w:rPr>
              <w:t>NR</w:t>
            </w:r>
          </w:p>
        </w:tc>
        <w:tc>
          <w:tcPr>
            <w:tcW w:w="1256" w:type="dxa"/>
          </w:tcPr>
          <w:p w:rsidR="00C86B67" w:rsidRPr="00F3077E" w:rsidRDefault="00C86B67" w:rsidP="00767BF0">
            <w:pPr>
              <w:spacing w:after="0"/>
              <w:jc w:val="center"/>
              <w:rPr>
                <w:sz w:val="17"/>
                <w:szCs w:val="17"/>
              </w:rPr>
            </w:pPr>
            <w:r>
              <w:rPr>
                <w:i/>
                <w:sz w:val="17"/>
                <w:szCs w:val="17"/>
              </w:rPr>
              <w:t>NR</w:t>
            </w:r>
          </w:p>
        </w:tc>
        <w:tc>
          <w:tcPr>
            <w:tcW w:w="1344" w:type="dxa"/>
          </w:tcPr>
          <w:p w:rsidR="00C86B67" w:rsidRPr="00F3077E" w:rsidRDefault="00C86B67" w:rsidP="00767BF0">
            <w:pPr>
              <w:spacing w:after="0"/>
              <w:jc w:val="center"/>
              <w:rPr>
                <w:sz w:val="17"/>
                <w:szCs w:val="17"/>
              </w:rPr>
            </w:pPr>
            <w:r w:rsidRPr="00F3077E">
              <w:rPr>
                <w:sz w:val="17"/>
                <w:szCs w:val="17"/>
              </w:rPr>
              <w:t>Covered in</w:t>
            </w:r>
          </w:p>
          <w:p w:rsidR="00C86B67" w:rsidRPr="00F3077E" w:rsidRDefault="00C86B67" w:rsidP="00767BF0">
            <w:pPr>
              <w:spacing w:after="0"/>
              <w:jc w:val="center"/>
              <w:rPr>
                <w:sz w:val="17"/>
                <w:szCs w:val="17"/>
              </w:rPr>
            </w:pPr>
            <w:r w:rsidRPr="00F3077E">
              <w:rPr>
                <w:sz w:val="17"/>
                <w:szCs w:val="17"/>
              </w:rPr>
              <w:t>R-ACFI 3</w:t>
            </w:r>
          </w:p>
        </w:tc>
        <w:tc>
          <w:tcPr>
            <w:tcW w:w="1207" w:type="dxa"/>
          </w:tcPr>
          <w:p w:rsidR="00C86B67" w:rsidRPr="00F3077E" w:rsidRDefault="00C86B67" w:rsidP="00767BF0">
            <w:pPr>
              <w:spacing w:after="0"/>
              <w:jc w:val="center"/>
              <w:rPr>
                <w:sz w:val="17"/>
                <w:szCs w:val="17"/>
              </w:rPr>
            </w:pPr>
            <w:r w:rsidRPr="00F3077E">
              <w:rPr>
                <w:sz w:val="17"/>
                <w:szCs w:val="17"/>
              </w:rPr>
              <w:t>No assessment</w:t>
            </w:r>
          </w:p>
        </w:tc>
        <w:tc>
          <w:tcPr>
            <w:tcW w:w="1193" w:type="dxa"/>
          </w:tcPr>
          <w:p w:rsidR="00C86B67" w:rsidRPr="00F3077E" w:rsidRDefault="00C86B67" w:rsidP="00767BF0">
            <w:pPr>
              <w:spacing w:after="0"/>
              <w:jc w:val="center"/>
              <w:rPr>
                <w:sz w:val="17"/>
                <w:szCs w:val="17"/>
              </w:rPr>
            </w:pPr>
            <w:r w:rsidRPr="00F3077E">
              <w:rPr>
                <w:sz w:val="17"/>
                <w:szCs w:val="17"/>
              </w:rPr>
              <w:t>No practice change</w:t>
            </w:r>
          </w:p>
        </w:tc>
        <w:tc>
          <w:tcPr>
            <w:tcW w:w="934" w:type="dxa"/>
          </w:tcPr>
          <w:p w:rsidR="00C86B67" w:rsidRPr="00F3077E" w:rsidRDefault="00C86B67" w:rsidP="00767BF0">
            <w:pPr>
              <w:spacing w:after="0"/>
              <w:jc w:val="center"/>
              <w:rPr>
                <w:sz w:val="17"/>
                <w:szCs w:val="17"/>
              </w:rPr>
            </w:pPr>
            <w:r>
              <w:rPr>
                <w:i/>
                <w:sz w:val="17"/>
                <w:szCs w:val="17"/>
              </w:rPr>
              <w:t>NR</w:t>
            </w:r>
          </w:p>
        </w:tc>
        <w:tc>
          <w:tcPr>
            <w:tcW w:w="1301" w:type="dxa"/>
          </w:tcPr>
          <w:p w:rsidR="00C86B67" w:rsidRPr="00F3077E" w:rsidRDefault="00C86B67" w:rsidP="00767BF0">
            <w:pPr>
              <w:spacing w:after="0"/>
              <w:jc w:val="center"/>
              <w:rPr>
                <w:sz w:val="17"/>
                <w:szCs w:val="17"/>
              </w:rPr>
            </w:pPr>
            <w:r w:rsidRPr="00F3077E">
              <w:rPr>
                <w:sz w:val="17"/>
                <w:szCs w:val="17"/>
              </w:rPr>
              <w:t>Standard care</w:t>
            </w:r>
          </w:p>
        </w:tc>
        <w:tc>
          <w:tcPr>
            <w:tcW w:w="1193" w:type="dxa"/>
          </w:tcPr>
          <w:p w:rsidR="00C86B67" w:rsidRPr="00F3077E" w:rsidRDefault="00C86B67" w:rsidP="00767BF0">
            <w:pPr>
              <w:spacing w:after="0"/>
              <w:jc w:val="center"/>
              <w:rPr>
                <w:sz w:val="17"/>
                <w:szCs w:val="17"/>
              </w:rPr>
            </w:pPr>
            <w:r w:rsidRPr="00F3077E">
              <w:rPr>
                <w:sz w:val="17"/>
                <w:szCs w:val="17"/>
              </w:rPr>
              <w:t>Reduces requirements</w:t>
            </w:r>
          </w:p>
        </w:tc>
      </w:tr>
      <w:tr w:rsidR="00C86B67" w:rsidRPr="00F3077E" w:rsidTr="00123824">
        <w:tc>
          <w:tcPr>
            <w:tcW w:w="1165" w:type="dxa"/>
            <w:shd w:val="clear" w:color="auto" w:fill="D9E2F3" w:themeFill="accent1" w:themeFillTint="33"/>
          </w:tcPr>
          <w:p w:rsidR="00C86B67" w:rsidRPr="00F3077E" w:rsidRDefault="00C86B67" w:rsidP="00F3077E">
            <w:pPr>
              <w:spacing w:after="0"/>
              <w:jc w:val="left"/>
              <w:rPr>
                <w:b/>
                <w:sz w:val="17"/>
                <w:szCs w:val="17"/>
              </w:rPr>
            </w:pPr>
            <w:r w:rsidRPr="00F3077E">
              <w:rPr>
                <w:b/>
                <w:sz w:val="17"/>
                <w:szCs w:val="17"/>
              </w:rPr>
              <w:t>Item relocated</w:t>
            </w:r>
          </w:p>
        </w:tc>
        <w:tc>
          <w:tcPr>
            <w:tcW w:w="1388" w:type="dxa"/>
          </w:tcPr>
          <w:p w:rsidR="00C86B67" w:rsidRPr="00F3077E" w:rsidRDefault="00C86B67" w:rsidP="00767BF0">
            <w:pPr>
              <w:spacing w:after="0"/>
              <w:jc w:val="center"/>
              <w:rPr>
                <w:sz w:val="17"/>
                <w:szCs w:val="17"/>
              </w:rPr>
            </w:pPr>
            <w:r w:rsidRPr="00F3077E">
              <w:rPr>
                <w:sz w:val="17"/>
                <w:szCs w:val="17"/>
              </w:rPr>
              <w:t>Suppositories &amp; enemas</w:t>
            </w:r>
          </w:p>
        </w:tc>
        <w:tc>
          <w:tcPr>
            <w:tcW w:w="1559" w:type="dxa"/>
          </w:tcPr>
          <w:p w:rsidR="00C86B67" w:rsidRPr="00F3077E" w:rsidRDefault="00C86B67" w:rsidP="00767BF0">
            <w:pPr>
              <w:spacing w:after="0"/>
              <w:jc w:val="center"/>
              <w:rPr>
                <w:sz w:val="17"/>
                <w:szCs w:val="17"/>
              </w:rPr>
            </w:pPr>
            <w:r>
              <w:rPr>
                <w:i/>
                <w:sz w:val="17"/>
                <w:szCs w:val="17"/>
              </w:rPr>
              <w:t>NR</w:t>
            </w:r>
          </w:p>
        </w:tc>
        <w:tc>
          <w:tcPr>
            <w:tcW w:w="1089" w:type="dxa"/>
          </w:tcPr>
          <w:p w:rsidR="00C86B67" w:rsidRPr="00F3077E" w:rsidRDefault="00C86B67" w:rsidP="00767BF0">
            <w:pPr>
              <w:spacing w:after="0"/>
              <w:jc w:val="center"/>
              <w:rPr>
                <w:sz w:val="17"/>
                <w:szCs w:val="17"/>
              </w:rPr>
            </w:pPr>
            <w:r>
              <w:rPr>
                <w:i/>
                <w:sz w:val="17"/>
                <w:szCs w:val="17"/>
              </w:rPr>
              <w:t>NR</w:t>
            </w:r>
          </w:p>
        </w:tc>
        <w:tc>
          <w:tcPr>
            <w:tcW w:w="1193" w:type="dxa"/>
          </w:tcPr>
          <w:p w:rsidR="00C86B67" w:rsidRPr="00F3077E" w:rsidRDefault="00C86B67" w:rsidP="00767BF0">
            <w:pPr>
              <w:spacing w:after="0"/>
              <w:jc w:val="center"/>
              <w:rPr>
                <w:sz w:val="17"/>
                <w:szCs w:val="17"/>
              </w:rPr>
            </w:pPr>
            <w:r>
              <w:rPr>
                <w:i/>
                <w:sz w:val="17"/>
                <w:szCs w:val="17"/>
              </w:rPr>
              <w:t>NR</w:t>
            </w:r>
          </w:p>
        </w:tc>
        <w:tc>
          <w:tcPr>
            <w:tcW w:w="1256" w:type="dxa"/>
          </w:tcPr>
          <w:p w:rsidR="00C86B67" w:rsidRPr="00F3077E" w:rsidRDefault="00C86B67" w:rsidP="00767BF0">
            <w:pPr>
              <w:spacing w:after="0"/>
              <w:jc w:val="center"/>
              <w:rPr>
                <w:sz w:val="17"/>
                <w:szCs w:val="17"/>
              </w:rPr>
            </w:pPr>
            <w:r w:rsidRPr="00F3077E">
              <w:rPr>
                <w:sz w:val="17"/>
                <w:szCs w:val="17"/>
              </w:rPr>
              <w:t>Following best practice</w:t>
            </w:r>
          </w:p>
        </w:tc>
        <w:tc>
          <w:tcPr>
            <w:tcW w:w="1344" w:type="dxa"/>
          </w:tcPr>
          <w:p w:rsidR="00C86B67" w:rsidRPr="00F3077E" w:rsidRDefault="00C86B67" w:rsidP="00767BF0">
            <w:pPr>
              <w:spacing w:after="0"/>
              <w:jc w:val="center"/>
              <w:rPr>
                <w:sz w:val="17"/>
                <w:szCs w:val="17"/>
              </w:rPr>
            </w:pPr>
            <w:r w:rsidRPr="00F3077E">
              <w:rPr>
                <w:sz w:val="17"/>
                <w:szCs w:val="17"/>
              </w:rPr>
              <w:t>Included in Medication</w:t>
            </w:r>
          </w:p>
          <w:p w:rsidR="00C86B67" w:rsidRPr="00F3077E" w:rsidRDefault="00C86B67" w:rsidP="00767BF0">
            <w:pPr>
              <w:spacing w:after="0"/>
              <w:jc w:val="center"/>
              <w:rPr>
                <w:sz w:val="17"/>
                <w:szCs w:val="17"/>
              </w:rPr>
            </w:pPr>
            <w:r w:rsidRPr="00F3077E">
              <w:rPr>
                <w:sz w:val="17"/>
                <w:szCs w:val="17"/>
              </w:rPr>
              <w:t>R-ACFI 8. Q9a</w:t>
            </w:r>
          </w:p>
        </w:tc>
        <w:tc>
          <w:tcPr>
            <w:tcW w:w="1207" w:type="dxa"/>
          </w:tcPr>
          <w:p w:rsidR="00C86B67" w:rsidRPr="00F3077E" w:rsidRDefault="00C86B67" w:rsidP="00767BF0">
            <w:pPr>
              <w:spacing w:after="0"/>
              <w:jc w:val="center"/>
              <w:rPr>
                <w:sz w:val="17"/>
                <w:szCs w:val="17"/>
              </w:rPr>
            </w:pPr>
            <w:r w:rsidRPr="00F3077E">
              <w:rPr>
                <w:sz w:val="17"/>
                <w:szCs w:val="17"/>
              </w:rPr>
              <w:t>YES</w:t>
            </w:r>
          </w:p>
        </w:tc>
        <w:tc>
          <w:tcPr>
            <w:tcW w:w="1193" w:type="dxa"/>
          </w:tcPr>
          <w:p w:rsidR="00C86B67" w:rsidRPr="00F3077E" w:rsidRDefault="00C86B67" w:rsidP="00767BF0">
            <w:pPr>
              <w:spacing w:after="0"/>
              <w:jc w:val="center"/>
              <w:rPr>
                <w:sz w:val="17"/>
                <w:szCs w:val="17"/>
              </w:rPr>
            </w:pPr>
            <w:r w:rsidRPr="00F3077E">
              <w:rPr>
                <w:sz w:val="17"/>
                <w:szCs w:val="17"/>
              </w:rPr>
              <w:t>No change</w:t>
            </w:r>
          </w:p>
        </w:tc>
        <w:tc>
          <w:tcPr>
            <w:tcW w:w="934" w:type="dxa"/>
          </w:tcPr>
          <w:p w:rsidR="00C86B67" w:rsidRPr="00F3077E" w:rsidRDefault="00C86B67" w:rsidP="00767BF0">
            <w:pPr>
              <w:spacing w:after="0"/>
              <w:jc w:val="center"/>
              <w:rPr>
                <w:sz w:val="17"/>
                <w:szCs w:val="17"/>
              </w:rPr>
            </w:pPr>
            <w:r>
              <w:rPr>
                <w:i/>
                <w:sz w:val="17"/>
                <w:szCs w:val="17"/>
              </w:rPr>
              <w:t>NR</w:t>
            </w:r>
          </w:p>
        </w:tc>
        <w:tc>
          <w:tcPr>
            <w:tcW w:w="1301" w:type="dxa"/>
          </w:tcPr>
          <w:p w:rsidR="00C86B67" w:rsidRPr="00F3077E" w:rsidRDefault="00C86B67" w:rsidP="00767BF0">
            <w:pPr>
              <w:spacing w:after="0"/>
              <w:jc w:val="center"/>
              <w:rPr>
                <w:sz w:val="17"/>
                <w:szCs w:val="17"/>
              </w:rPr>
            </w:pPr>
            <w:r>
              <w:rPr>
                <w:i/>
                <w:sz w:val="17"/>
                <w:szCs w:val="17"/>
              </w:rPr>
              <w:t>NR</w:t>
            </w:r>
          </w:p>
        </w:tc>
        <w:tc>
          <w:tcPr>
            <w:tcW w:w="1193" w:type="dxa"/>
          </w:tcPr>
          <w:p w:rsidR="00C86B67" w:rsidRPr="00F3077E" w:rsidRDefault="00C86B67" w:rsidP="00767BF0">
            <w:pPr>
              <w:spacing w:after="0"/>
              <w:jc w:val="center"/>
              <w:rPr>
                <w:sz w:val="17"/>
                <w:szCs w:val="17"/>
              </w:rPr>
            </w:pPr>
            <w:r>
              <w:rPr>
                <w:i/>
                <w:sz w:val="17"/>
                <w:szCs w:val="17"/>
              </w:rPr>
              <w:t>NR</w:t>
            </w:r>
          </w:p>
        </w:tc>
      </w:tr>
      <w:tr w:rsidR="00C86B67" w:rsidRPr="00F3077E" w:rsidTr="00123824">
        <w:tc>
          <w:tcPr>
            <w:tcW w:w="1165" w:type="dxa"/>
            <w:shd w:val="clear" w:color="auto" w:fill="D9E2F3" w:themeFill="accent1" w:themeFillTint="33"/>
          </w:tcPr>
          <w:p w:rsidR="00C86B67" w:rsidRPr="00F3077E" w:rsidRDefault="00C86B67" w:rsidP="00F3077E">
            <w:pPr>
              <w:spacing w:after="0"/>
              <w:jc w:val="left"/>
              <w:rPr>
                <w:b/>
                <w:sz w:val="17"/>
                <w:szCs w:val="17"/>
              </w:rPr>
            </w:pPr>
            <w:r w:rsidRPr="00F3077E">
              <w:rPr>
                <w:b/>
                <w:sz w:val="17"/>
                <w:szCs w:val="17"/>
              </w:rPr>
              <w:t>Item clarified</w:t>
            </w:r>
          </w:p>
        </w:tc>
        <w:tc>
          <w:tcPr>
            <w:tcW w:w="1388" w:type="dxa"/>
          </w:tcPr>
          <w:p w:rsidR="00C86B67" w:rsidRPr="00F3077E" w:rsidRDefault="00C86B67" w:rsidP="00767BF0">
            <w:pPr>
              <w:spacing w:after="0"/>
              <w:jc w:val="center"/>
              <w:rPr>
                <w:sz w:val="17"/>
                <w:szCs w:val="17"/>
              </w:rPr>
            </w:pPr>
            <w:r w:rsidRPr="00F3077E">
              <w:rPr>
                <w:sz w:val="17"/>
                <w:szCs w:val="17"/>
              </w:rPr>
              <w:t>Mgmt. of oedema</w:t>
            </w:r>
          </w:p>
        </w:tc>
        <w:tc>
          <w:tcPr>
            <w:tcW w:w="1559" w:type="dxa"/>
          </w:tcPr>
          <w:p w:rsidR="00C86B67" w:rsidRPr="00F3077E" w:rsidRDefault="00C86B67" w:rsidP="00767BF0">
            <w:pPr>
              <w:spacing w:after="0"/>
              <w:jc w:val="center"/>
              <w:rPr>
                <w:sz w:val="17"/>
                <w:szCs w:val="17"/>
              </w:rPr>
            </w:pPr>
            <w:r w:rsidRPr="00F3077E">
              <w:rPr>
                <w:sz w:val="17"/>
                <w:szCs w:val="17"/>
              </w:rPr>
              <w:t>Assessment</w:t>
            </w:r>
          </w:p>
        </w:tc>
        <w:tc>
          <w:tcPr>
            <w:tcW w:w="1089" w:type="dxa"/>
          </w:tcPr>
          <w:p w:rsidR="00C86B67" w:rsidRPr="00F3077E" w:rsidRDefault="00C86B67" w:rsidP="00767BF0">
            <w:pPr>
              <w:spacing w:after="0"/>
              <w:jc w:val="center"/>
              <w:rPr>
                <w:sz w:val="17"/>
                <w:szCs w:val="17"/>
              </w:rPr>
            </w:pPr>
            <w:r>
              <w:rPr>
                <w:i/>
                <w:sz w:val="17"/>
                <w:szCs w:val="17"/>
              </w:rPr>
              <w:t>NR</w:t>
            </w:r>
          </w:p>
        </w:tc>
        <w:tc>
          <w:tcPr>
            <w:tcW w:w="1193" w:type="dxa"/>
          </w:tcPr>
          <w:p w:rsidR="00C86B67" w:rsidRPr="00F3077E" w:rsidRDefault="00C86B67" w:rsidP="00767BF0">
            <w:pPr>
              <w:spacing w:after="0"/>
              <w:jc w:val="center"/>
              <w:rPr>
                <w:sz w:val="17"/>
                <w:szCs w:val="17"/>
              </w:rPr>
            </w:pPr>
            <w:r>
              <w:rPr>
                <w:i/>
                <w:sz w:val="17"/>
                <w:szCs w:val="17"/>
              </w:rPr>
              <w:t>NR</w:t>
            </w:r>
          </w:p>
        </w:tc>
        <w:tc>
          <w:tcPr>
            <w:tcW w:w="1256" w:type="dxa"/>
          </w:tcPr>
          <w:p w:rsidR="00C86B67" w:rsidRPr="00F3077E" w:rsidRDefault="00C86B67" w:rsidP="00767BF0">
            <w:pPr>
              <w:spacing w:after="0"/>
              <w:jc w:val="center"/>
              <w:rPr>
                <w:sz w:val="17"/>
                <w:szCs w:val="17"/>
              </w:rPr>
            </w:pPr>
            <w:r w:rsidRPr="00F3077E">
              <w:rPr>
                <w:sz w:val="17"/>
                <w:szCs w:val="17"/>
              </w:rPr>
              <w:t>Following best practice</w:t>
            </w:r>
          </w:p>
        </w:tc>
        <w:tc>
          <w:tcPr>
            <w:tcW w:w="1344" w:type="dxa"/>
          </w:tcPr>
          <w:p w:rsidR="00C86B67" w:rsidRPr="00F3077E" w:rsidRDefault="00C86B67" w:rsidP="00767BF0">
            <w:pPr>
              <w:spacing w:after="0"/>
              <w:jc w:val="center"/>
              <w:rPr>
                <w:sz w:val="17"/>
                <w:szCs w:val="17"/>
              </w:rPr>
            </w:pPr>
            <w:r w:rsidRPr="00F3077E">
              <w:rPr>
                <w:sz w:val="17"/>
                <w:szCs w:val="17"/>
              </w:rPr>
              <w:t>R-ACFI Q8.7</w:t>
            </w:r>
          </w:p>
        </w:tc>
        <w:tc>
          <w:tcPr>
            <w:tcW w:w="1207" w:type="dxa"/>
          </w:tcPr>
          <w:p w:rsidR="00C86B67" w:rsidRPr="00F3077E" w:rsidRDefault="00C86B67" w:rsidP="00767BF0">
            <w:pPr>
              <w:spacing w:after="0"/>
              <w:jc w:val="center"/>
              <w:rPr>
                <w:sz w:val="17"/>
                <w:szCs w:val="17"/>
              </w:rPr>
            </w:pPr>
            <w:r w:rsidRPr="00F3077E">
              <w:rPr>
                <w:sz w:val="17"/>
                <w:szCs w:val="17"/>
              </w:rPr>
              <w:t>YES</w:t>
            </w:r>
          </w:p>
        </w:tc>
        <w:tc>
          <w:tcPr>
            <w:tcW w:w="1193" w:type="dxa"/>
          </w:tcPr>
          <w:p w:rsidR="00C86B67" w:rsidRPr="00F3077E" w:rsidRDefault="00C86B67" w:rsidP="00767BF0">
            <w:pPr>
              <w:spacing w:after="0"/>
              <w:jc w:val="center"/>
              <w:rPr>
                <w:sz w:val="17"/>
                <w:szCs w:val="17"/>
              </w:rPr>
            </w:pPr>
            <w:r w:rsidRPr="00F3077E">
              <w:rPr>
                <w:sz w:val="17"/>
                <w:szCs w:val="17"/>
              </w:rPr>
              <w:t>YES</w:t>
            </w:r>
          </w:p>
        </w:tc>
        <w:tc>
          <w:tcPr>
            <w:tcW w:w="934" w:type="dxa"/>
          </w:tcPr>
          <w:p w:rsidR="00C86B67" w:rsidRPr="00F3077E" w:rsidRDefault="00C86B67" w:rsidP="00767BF0">
            <w:pPr>
              <w:spacing w:after="0"/>
              <w:jc w:val="center"/>
              <w:rPr>
                <w:sz w:val="17"/>
                <w:szCs w:val="17"/>
              </w:rPr>
            </w:pPr>
            <w:r>
              <w:rPr>
                <w:i/>
                <w:sz w:val="17"/>
                <w:szCs w:val="17"/>
              </w:rPr>
              <w:t>NR</w:t>
            </w:r>
          </w:p>
        </w:tc>
        <w:tc>
          <w:tcPr>
            <w:tcW w:w="1301" w:type="dxa"/>
          </w:tcPr>
          <w:p w:rsidR="00C86B67" w:rsidRPr="00F3077E" w:rsidRDefault="00C86B67" w:rsidP="00767BF0">
            <w:pPr>
              <w:spacing w:after="0"/>
              <w:jc w:val="center"/>
              <w:rPr>
                <w:sz w:val="17"/>
                <w:szCs w:val="17"/>
              </w:rPr>
            </w:pPr>
            <w:r>
              <w:rPr>
                <w:i/>
                <w:sz w:val="17"/>
                <w:szCs w:val="17"/>
              </w:rPr>
              <w:t>NR</w:t>
            </w:r>
          </w:p>
        </w:tc>
        <w:tc>
          <w:tcPr>
            <w:tcW w:w="1193" w:type="dxa"/>
          </w:tcPr>
          <w:p w:rsidR="00C86B67" w:rsidRPr="00F3077E" w:rsidRDefault="00C86B67" w:rsidP="00767BF0">
            <w:pPr>
              <w:spacing w:after="0"/>
              <w:jc w:val="center"/>
              <w:rPr>
                <w:sz w:val="17"/>
                <w:szCs w:val="17"/>
              </w:rPr>
            </w:pPr>
            <w:r w:rsidRPr="00F3077E">
              <w:rPr>
                <w:sz w:val="17"/>
                <w:szCs w:val="17"/>
              </w:rPr>
              <w:t>Objective Directive</w:t>
            </w:r>
          </w:p>
        </w:tc>
      </w:tr>
      <w:tr w:rsidR="00C86B67" w:rsidRPr="00F3077E" w:rsidTr="00123824">
        <w:tc>
          <w:tcPr>
            <w:tcW w:w="1165" w:type="dxa"/>
            <w:shd w:val="clear" w:color="auto" w:fill="D9E2F3" w:themeFill="accent1" w:themeFillTint="33"/>
          </w:tcPr>
          <w:p w:rsidR="00C86B67" w:rsidRPr="00F3077E" w:rsidRDefault="00C86B67" w:rsidP="00F3077E">
            <w:pPr>
              <w:spacing w:after="0"/>
              <w:jc w:val="left"/>
              <w:rPr>
                <w:b/>
                <w:sz w:val="17"/>
                <w:szCs w:val="17"/>
              </w:rPr>
            </w:pPr>
            <w:r w:rsidRPr="00F3077E">
              <w:rPr>
                <w:b/>
                <w:sz w:val="17"/>
                <w:szCs w:val="17"/>
              </w:rPr>
              <w:t>Items added</w:t>
            </w:r>
          </w:p>
        </w:tc>
        <w:tc>
          <w:tcPr>
            <w:tcW w:w="1388" w:type="dxa"/>
          </w:tcPr>
          <w:p w:rsidR="00C86B67" w:rsidRPr="00F3077E" w:rsidRDefault="00C86B67" w:rsidP="00767BF0">
            <w:pPr>
              <w:spacing w:after="0"/>
              <w:jc w:val="center"/>
              <w:rPr>
                <w:sz w:val="17"/>
                <w:szCs w:val="17"/>
              </w:rPr>
            </w:pPr>
            <w:r w:rsidRPr="00F3077E">
              <w:rPr>
                <w:sz w:val="17"/>
                <w:szCs w:val="17"/>
              </w:rPr>
              <w:t>Medication</w:t>
            </w:r>
          </w:p>
          <w:p w:rsidR="00C86B67" w:rsidRPr="00F3077E" w:rsidRDefault="00C86B67" w:rsidP="00767BF0">
            <w:pPr>
              <w:spacing w:after="0"/>
              <w:jc w:val="center"/>
              <w:rPr>
                <w:sz w:val="17"/>
                <w:szCs w:val="17"/>
              </w:rPr>
            </w:pPr>
            <w:r w:rsidRPr="00F3077E">
              <w:rPr>
                <w:sz w:val="17"/>
                <w:szCs w:val="17"/>
              </w:rPr>
              <w:t>- 2 levels</w:t>
            </w:r>
          </w:p>
        </w:tc>
        <w:tc>
          <w:tcPr>
            <w:tcW w:w="1559" w:type="dxa"/>
          </w:tcPr>
          <w:p w:rsidR="00C86B67" w:rsidRPr="00F3077E" w:rsidRDefault="00C86B67" w:rsidP="00767BF0">
            <w:pPr>
              <w:spacing w:after="0"/>
              <w:jc w:val="center"/>
              <w:rPr>
                <w:sz w:val="17"/>
                <w:szCs w:val="17"/>
              </w:rPr>
            </w:pPr>
            <w:r>
              <w:rPr>
                <w:i/>
                <w:sz w:val="17"/>
                <w:szCs w:val="17"/>
              </w:rPr>
              <w:t>NR</w:t>
            </w:r>
          </w:p>
        </w:tc>
        <w:tc>
          <w:tcPr>
            <w:tcW w:w="1089" w:type="dxa"/>
          </w:tcPr>
          <w:p w:rsidR="00C86B67" w:rsidRPr="00F3077E" w:rsidRDefault="00C86B67" w:rsidP="00767BF0">
            <w:pPr>
              <w:spacing w:after="0"/>
              <w:jc w:val="center"/>
              <w:rPr>
                <w:sz w:val="17"/>
                <w:szCs w:val="17"/>
              </w:rPr>
            </w:pPr>
            <w:r>
              <w:rPr>
                <w:i/>
                <w:sz w:val="17"/>
                <w:szCs w:val="17"/>
              </w:rPr>
              <w:t>NR</w:t>
            </w:r>
          </w:p>
        </w:tc>
        <w:tc>
          <w:tcPr>
            <w:tcW w:w="1193" w:type="dxa"/>
          </w:tcPr>
          <w:p w:rsidR="00C86B67" w:rsidRPr="00F3077E" w:rsidRDefault="00C86B67" w:rsidP="00767BF0">
            <w:pPr>
              <w:spacing w:after="0"/>
              <w:jc w:val="center"/>
              <w:rPr>
                <w:sz w:val="17"/>
                <w:szCs w:val="17"/>
              </w:rPr>
            </w:pPr>
            <w:r>
              <w:rPr>
                <w:i/>
                <w:sz w:val="17"/>
                <w:szCs w:val="17"/>
              </w:rPr>
              <w:t>NR</w:t>
            </w:r>
          </w:p>
        </w:tc>
        <w:tc>
          <w:tcPr>
            <w:tcW w:w="1256" w:type="dxa"/>
          </w:tcPr>
          <w:p w:rsidR="00C86B67" w:rsidRPr="00F3077E" w:rsidRDefault="00C86B67" w:rsidP="00767BF0">
            <w:pPr>
              <w:spacing w:after="0"/>
              <w:jc w:val="center"/>
              <w:rPr>
                <w:sz w:val="17"/>
                <w:szCs w:val="17"/>
              </w:rPr>
            </w:pPr>
            <w:r>
              <w:rPr>
                <w:i/>
                <w:sz w:val="17"/>
                <w:szCs w:val="17"/>
              </w:rPr>
              <w:t>NR</w:t>
            </w:r>
          </w:p>
        </w:tc>
        <w:tc>
          <w:tcPr>
            <w:tcW w:w="1344" w:type="dxa"/>
          </w:tcPr>
          <w:p w:rsidR="00C86B67" w:rsidRPr="00F3077E" w:rsidRDefault="00C86B67" w:rsidP="00767BF0">
            <w:pPr>
              <w:spacing w:after="0"/>
              <w:jc w:val="center"/>
              <w:rPr>
                <w:sz w:val="17"/>
                <w:szCs w:val="17"/>
              </w:rPr>
            </w:pPr>
            <w:r w:rsidRPr="00F3077E">
              <w:rPr>
                <w:sz w:val="17"/>
                <w:szCs w:val="17"/>
              </w:rPr>
              <w:t>R-ACFI 8 Q9a (scores 3)</w:t>
            </w:r>
          </w:p>
          <w:p w:rsidR="00C86B67" w:rsidRPr="00F3077E" w:rsidRDefault="00C86B67" w:rsidP="00767BF0">
            <w:pPr>
              <w:spacing w:after="0"/>
              <w:jc w:val="center"/>
              <w:rPr>
                <w:sz w:val="17"/>
                <w:szCs w:val="17"/>
              </w:rPr>
            </w:pPr>
            <w:r w:rsidRPr="00F3077E">
              <w:rPr>
                <w:sz w:val="17"/>
                <w:szCs w:val="17"/>
              </w:rPr>
              <w:t>R-ACFI 8 Q9b (scores 6)</w:t>
            </w:r>
          </w:p>
        </w:tc>
        <w:tc>
          <w:tcPr>
            <w:tcW w:w="1207" w:type="dxa"/>
          </w:tcPr>
          <w:p w:rsidR="00C86B67" w:rsidRPr="00F3077E" w:rsidRDefault="00C86B67" w:rsidP="00767BF0">
            <w:pPr>
              <w:spacing w:after="0"/>
              <w:jc w:val="center"/>
              <w:rPr>
                <w:sz w:val="17"/>
                <w:szCs w:val="17"/>
              </w:rPr>
            </w:pPr>
            <w:r w:rsidRPr="00F3077E">
              <w:rPr>
                <w:sz w:val="17"/>
                <w:szCs w:val="17"/>
              </w:rPr>
              <w:t>YES</w:t>
            </w:r>
          </w:p>
        </w:tc>
        <w:tc>
          <w:tcPr>
            <w:tcW w:w="1193" w:type="dxa"/>
          </w:tcPr>
          <w:p w:rsidR="00C86B67" w:rsidRPr="00F3077E" w:rsidRDefault="00C86B67" w:rsidP="00767BF0">
            <w:pPr>
              <w:spacing w:after="0"/>
              <w:jc w:val="center"/>
              <w:rPr>
                <w:sz w:val="17"/>
                <w:szCs w:val="17"/>
              </w:rPr>
            </w:pPr>
            <w:r w:rsidRPr="00F3077E">
              <w:rPr>
                <w:sz w:val="17"/>
                <w:szCs w:val="17"/>
              </w:rPr>
              <w:t>No change</w:t>
            </w:r>
          </w:p>
        </w:tc>
        <w:tc>
          <w:tcPr>
            <w:tcW w:w="934" w:type="dxa"/>
          </w:tcPr>
          <w:p w:rsidR="00C86B67" w:rsidRPr="00F3077E" w:rsidRDefault="00C86B67" w:rsidP="00767BF0">
            <w:pPr>
              <w:spacing w:after="0"/>
              <w:jc w:val="center"/>
              <w:rPr>
                <w:sz w:val="17"/>
                <w:szCs w:val="17"/>
              </w:rPr>
            </w:pPr>
            <w:r>
              <w:rPr>
                <w:i/>
                <w:sz w:val="17"/>
                <w:szCs w:val="17"/>
              </w:rPr>
              <w:t>NR</w:t>
            </w:r>
          </w:p>
        </w:tc>
        <w:tc>
          <w:tcPr>
            <w:tcW w:w="1301" w:type="dxa"/>
          </w:tcPr>
          <w:p w:rsidR="00C86B67" w:rsidRPr="00F3077E" w:rsidRDefault="00C86B67" w:rsidP="00767BF0">
            <w:pPr>
              <w:spacing w:after="0"/>
              <w:jc w:val="center"/>
              <w:rPr>
                <w:sz w:val="17"/>
                <w:szCs w:val="17"/>
              </w:rPr>
            </w:pPr>
            <w:r>
              <w:rPr>
                <w:i/>
                <w:sz w:val="17"/>
                <w:szCs w:val="17"/>
              </w:rPr>
              <w:t>NR</w:t>
            </w:r>
          </w:p>
        </w:tc>
        <w:tc>
          <w:tcPr>
            <w:tcW w:w="1193" w:type="dxa"/>
          </w:tcPr>
          <w:p w:rsidR="00C86B67" w:rsidRPr="00F3077E" w:rsidRDefault="00C86B67" w:rsidP="00767BF0">
            <w:pPr>
              <w:spacing w:after="0"/>
              <w:jc w:val="center"/>
              <w:rPr>
                <w:sz w:val="17"/>
                <w:szCs w:val="17"/>
              </w:rPr>
            </w:pPr>
            <w:r>
              <w:rPr>
                <w:i/>
                <w:sz w:val="17"/>
                <w:szCs w:val="17"/>
              </w:rPr>
              <w:t>NR</w:t>
            </w:r>
          </w:p>
        </w:tc>
      </w:tr>
      <w:tr w:rsidR="00C86B67" w:rsidRPr="00F3077E" w:rsidTr="00123824">
        <w:tc>
          <w:tcPr>
            <w:tcW w:w="1165" w:type="dxa"/>
            <w:shd w:val="clear" w:color="auto" w:fill="D9E2F3" w:themeFill="accent1" w:themeFillTint="33"/>
          </w:tcPr>
          <w:p w:rsidR="00C86B67" w:rsidRPr="00F3077E" w:rsidRDefault="00C86B67" w:rsidP="00F3077E">
            <w:pPr>
              <w:spacing w:after="0"/>
              <w:jc w:val="left"/>
              <w:rPr>
                <w:b/>
                <w:sz w:val="17"/>
                <w:szCs w:val="17"/>
              </w:rPr>
            </w:pPr>
            <w:r w:rsidRPr="00F3077E">
              <w:rPr>
                <w:b/>
                <w:sz w:val="17"/>
                <w:szCs w:val="17"/>
              </w:rPr>
              <w:t>Items added</w:t>
            </w:r>
          </w:p>
        </w:tc>
        <w:tc>
          <w:tcPr>
            <w:tcW w:w="1388" w:type="dxa"/>
          </w:tcPr>
          <w:p w:rsidR="00C86B67" w:rsidRPr="00F3077E" w:rsidRDefault="00C86B67" w:rsidP="00767BF0">
            <w:pPr>
              <w:spacing w:after="0"/>
              <w:jc w:val="center"/>
              <w:rPr>
                <w:sz w:val="17"/>
                <w:szCs w:val="17"/>
              </w:rPr>
            </w:pPr>
            <w:r w:rsidRPr="00F3077E">
              <w:rPr>
                <w:sz w:val="17"/>
                <w:szCs w:val="17"/>
              </w:rPr>
              <w:t>Depression</w:t>
            </w:r>
          </w:p>
        </w:tc>
        <w:tc>
          <w:tcPr>
            <w:tcW w:w="1559" w:type="dxa"/>
          </w:tcPr>
          <w:p w:rsidR="00C86B67" w:rsidRPr="00F3077E" w:rsidRDefault="00C86B67" w:rsidP="00767BF0">
            <w:pPr>
              <w:spacing w:after="0"/>
              <w:jc w:val="center"/>
              <w:rPr>
                <w:sz w:val="17"/>
                <w:szCs w:val="17"/>
              </w:rPr>
            </w:pPr>
            <w:r>
              <w:rPr>
                <w:i/>
                <w:sz w:val="17"/>
                <w:szCs w:val="17"/>
              </w:rPr>
              <w:t>NR</w:t>
            </w:r>
          </w:p>
        </w:tc>
        <w:tc>
          <w:tcPr>
            <w:tcW w:w="1089" w:type="dxa"/>
          </w:tcPr>
          <w:p w:rsidR="00C86B67" w:rsidRPr="00F3077E" w:rsidRDefault="00C86B67" w:rsidP="00767BF0">
            <w:pPr>
              <w:spacing w:after="0"/>
              <w:jc w:val="center"/>
              <w:rPr>
                <w:sz w:val="17"/>
                <w:szCs w:val="17"/>
              </w:rPr>
            </w:pPr>
            <w:r w:rsidRPr="00F3077E">
              <w:rPr>
                <w:sz w:val="17"/>
                <w:szCs w:val="17"/>
              </w:rPr>
              <w:t>YES</w:t>
            </w:r>
          </w:p>
        </w:tc>
        <w:tc>
          <w:tcPr>
            <w:tcW w:w="1193" w:type="dxa"/>
          </w:tcPr>
          <w:p w:rsidR="00C86B67" w:rsidRPr="00F3077E" w:rsidRDefault="00C86B67" w:rsidP="00767BF0">
            <w:pPr>
              <w:spacing w:after="0"/>
              <w:jc w:val="center"/>
              <w:rPr>
                <w:sz w:val="17"/>
                <w:szCs w:val="17"/>
              </w:rPr>
            </w:pPr>
            <w:r w:rsidRPr="00F3077E">
              <w:rPr>
                <w:sz w:val="17"/>
                <w:szCs w:val="17"/>
              </w:rPr>
              <w:t>Major Depression</w:t>
            </w:r>
          </w:p>
        </w:tc>
        <w:tc>
          <w:tcPr>
            <w:tcW w:w="1256" w:type="dxa"/>
          </w:tcPr>
          <w:p w:rsidR="00C86B67" w:rsidRPr="00F3077E" w:rsidRDefault="00C86B67" w:rsidP="00767BF0">
            <w:pPr>
              <w:spacing w:after="0"/>
              <w:jc w:val="center"/>
              <w:rPr>
                <w:sz w:val="17"/>
                <w:szCs w:val="17"/>
              </w:rPr>
            </w:pPr>
            <w:r w:rsidRPr="00F3077E">
              <w:rPr>
                <w:sz w:val="17"/>
                <w:szCs w:val="17"/>
              </w:rPr>
              <w:t>Broader ax choice</w:t>
            </w:r>
          </w:p>
        </w:tc>
        <w:tc>
          <w:tcPr>
            <w:tcW w:w="1344" w:type="dxa"/>
          </w:tcPr>
          <w:p w:rsidR="00C86B67" w:rsidRPr="00F3077E" w:rsidRDefault="00C86B67" w:rsidP="00767BF0">
            <w:pPr>
              <w:spacing w:after="0"/>
              <w:jc w:val="center"/>
              <w:rPr>
                <w:sz w:val="17"/>
                <w:szCs w:val="17"/>
              </w:rPr>
            </w:pPr>
            <w:r w:rsidRPr="00F3077E">
              <w:rPr>
                <w:sz w:val="17"/>
                <w:szCs w:val="17"/>
              </w:rPr>
              <w:t>R-ACFI 8 Q8 (scores 3)</w:t>
            </w:r>
          </w:p>
        </w:tc>
        <w:tc>
          <w:tcPr>
            <w:tcW w:w="1207" w:type="dxa"/>
          </w:tcPr>
          <w:p w:rsidR="00C86B67" w:rsidRPr="00F3077E" w:rsidRDefault="00C86B67" w:rsidP="00767BF0">
            <w:pPr>
              <w:spacing w:after="0"/>
              <w:jc w:val="center"/>
              <w:rPr>
                <w:sz w:val="17"/>
                <w:szCs w:val="17"/>
              </w:rPr>
            </w:pPr>
            <w:r w:rsidRPr="00F3077E">
              <w:rPr>
                <w:sz w:val="17"/>
                <w:szCs w:val="17"/>
              </w:rPr>
              <w:t>YES</w:t>
            </w:r>
          </w:p>
        </w:tc>
        <w:tc>
          <w:tcPr>
            <w:tcW w:w="1193" w:type="dxa"/>
          </w:tcPr>
          <w:p w:rsidR="00C86B67" w:rsidRPr="00F3077E" w:rsidRDefault="00C86B67" w:rsidP="00767BF0">
            <w:pPr>
              <w:spacing w:after="0"/>
              <w:jc w:val="center"/>
              <w:rPr>
                <w:sz w:val="17"/>
                <w:szCs w:val="17"/>
              </w:rPr>
            </w:pPr>
            <w:r w:rsidRPr="00F3077E">
              <w:rPr>
                <w:sz w:val="17"/>
                <w:szCs w:val="17"/>
              </w:rPr>
              <w:t>Broader ax choice</w:t>
            </w:r>
          </w:p>
        </w:tc>
        <w:tc>
          <w:tcPr>
            <w:tcW w:w="934" w:type="dxa"/>
          </w:tcPr>
          <w:p w:rsidR="00C86B67" w:rsidRPr="00F3077E" w:rsidRDefault="00C86B67" w:rsidP="00767BF0">
            <w:pPr>
              <w:spacing w:after="0"/>
              <w:jc w:val="center"/>
              <w:rPr>
                <w:sz w:val="17"/>
                <w:szCs w:val="17"/>
              </w:rPr>
            </w:pPr>
            <w:r>
              <w:rPr>
                <w:i/>
                <w:sz w:val="17"/>
                <w:szCs w:val="17"/>
              </w:rPr>
              <w:t>NR</w:t>
            </w:r>
          </w:p>
        </w:tc>
        <w:tc>
          <w:tcPr>
            <w:tcW w:w="1301" w:type="dxa"/>
          </w:tcPr>
          <w:p w:rsidR="00C86B67" w:rsidRPr="00F3077E" w:rsidRDefault="00C86B67" w:rsidP="00767BF0">
            <w:pPr>
              <w:spacing w:after="0"/>
              <w:jc w:val="center"/>
              <w:rPr>
                <w:sz w:val="17"/>
                <w:szCs w:val="17"/>
              </w:rPr>
            </w:pPr>
            <w:r>
              <w:rPr>
                <w:i/>
                <w:sz w:val="17"/>
                <w:szCs w:val="17"/>
              </w:rPr>
              <w:t>NR</w:t>
            </w:r>
          </w:p>
        </w:tc>
        <w:tc>
          <w:tcPr>
            <w:tcW w:w="1193" w:type="dxa"/>
          </w:tcPr>
          <w:p w:rsidR="00C86B67" w:rsidRPr="00F3077E" w:rsidRDefault="00C86B67" w:rsidP="00767BF0">
            <w:pPr>
              <w:spacing w:after="0"/>
              <w:jc w:val="center"/>
              <w:rPr>
                <w:sz w:val="17"/>
                <w:szCs w:val="17"/>
              </w:rPr>
            </w:pPr>
            <w:r w:rsidRPr="00F3077E">
              <w:rPr>
                <w:sz w:val="17"/>
                <w:szCs w:val="17"/>
              </w:rPr>
              <w:t>Stronger Diagnosis</w:t>
            </w:r>
          </w:p>
        </w:tc>
      </w:tr>
    </w:tbl>
    <w:p w:rsidR="00DA01CF" w:rsidRDefault="00DA01CF" w:rsidP="003217B9">
      <w:pPr>
        <w:pStyle w:val="Caption"/>
        <w:sectPr w:rsidR="00DA01CF" w:rsidSect="003217B9">
          <w:headerReference w:type="default" r:id="rId82"/>
          <w:footerReference w:type="default" r:id="rId83"/>
          <w:pgSz w:w="16838" w:h="11906" w:orient="landscape"/>
          <w:pgMar w:top="1440" w:right="1440" w:bottom="1440" w:left="1440" w:header="708" w:footer="708" w:gutter="0"/>
          <w:cols w:space="708"/>
          <w:docGrid w:linePitch="360"/>
        </w:sectPr>
      </w:pPr>
    </w:p>
    <w:p w:rsidR="00256E3D" w:rsidRDefault="00256E3D" w:rsidP="00F849D4">
      <w:pPr>
        <w:pStyle w:val="Heading1-Chapters"/>
      </w:pPr>
      <w:bookmarkStart w:id="467" w:name="_Toc486600050"/>
      <w:bookmarkStart w:id="468" w:name="_Toc491426049"/>
      <w:bookmarkStart w:id="469" w:name="Ch07"/>
      <w:r w:rsidRPr="004846F9">
        <w:lastRenderedPageBreak/>
        <w:t xml:space="preserve">R-ACFI Therapy </w:t>
      </w:r>
      <w:r>
        <w:t>Program</w:t>
      </w:r>
      <w:bookmarkEnd w:id="467"/>
      <w:bookmarkEnd w:id="468"/>
    </w:p>
    <w:bookmarkEnd w:id="469"/>
    <w:p w:rsidR="00980F62" w:rsidRDefault="00D65C73" w:rsidP="00D65C73">
      <w:pPr>
        <w:shd w:val="clear" w:color="auto" w:fill="DEEAF6" w:themeFill="accent5" w:themeFillTint="33"/>
        <w:rPr>
          <w:lang w:eastAsia="en-AU"/>
        </w:rPr>
      </w:pPr>
      <w:r w:rsidRPr="00634AB9">
        <w:rPr>
          <w:lang w:eastAsia="en-AU"/>
        </w:rPr>
        <w:t>This Chapter contains the following sections:</w:t>
      </w:r>
    </w:p>
    <w:p w:rsidR="00D65C73" w:rsidRPr="00634AB9" w:rsidRDefault="00D65C73" w:rsidP="00D65C73">
      <w:pPr>
        <w:pStyle w:val="ListParagraph"/>
        <w:numPr>
          <w:ilvl w:val="0"/>
          <w:numId w:val="19"/>
        </w:numPr>
        <w:shd w:val="clear" w:color="auto" w:fill="DEEAF6" w:themeFill="accent5" w:themeFillTint="33"/>
        <w:rPr>
          <w:lang w:eastAsia="en-AU"/>
        </w:rPr>
      </w:pPr>
      <w:r w:rsidRPr="00634AB9">
        <w:rPr>
          <w:lang w:eastAsia="en-AU"/>
        </w:rPr>
        <w:t>Rationale for a Therapy Program</w:t>
      </w:r>
      <w:r w:rsidR="00374C2B">
        <w:rPr>
          <w:lang w:eastAsia="en-AU"/>
        </w:rPr>
        <w:t>.</w:t>
      </w:r>
    </w:p>
    <w:p w:rsidR="00D65C73" w:rsidRPr="00634AB9" w:rsidRDefault="00D65C73" w:rsidP="00D65C73">
      <w:pPr>
        <w:pStyle w:val="ListParagraph"/>
        <w:numPr>
          <w:ilvl w:val="0"/>
          <w:numId w:val="19"/>
        </w:numPr>
        <w:shd w:val="clear" w:color="auto" w:fill="DEEAF6" w:themeFill="accent5" w:themeFillTint="33"/>
        <w:rPr>
          <w:lang w:eastAsia="en-AU"/>
        </w:rPr>
      </w:pPr>
      <w:r w:rsidRPr="00634AB9">
        <w:rPr>
          <w:lang w:eastAsia="en-AU"/>
        </w:rPr>
        <w:t>Research on Physical Activity Interventions</w:t>
      </w:r>
      <w:r w:rsidR="00374C2B">
        <w:rPr>
          <w:lang w:eastAsia="en-AU"/>
        </w:rPr>
        <w:t>.</w:t>
      </w:r>
    </w:p>
    <w:p w:rsidR="00D65C73" w:rsidRPr="00634AB9" w:rsidRDefault="00D65C73" w:rsidP="00D65C73">
      <w:pPr>
        <w:pStyle w:val="ListParagraph"/>
        <w:numPr>
          <w:ilvl w:val="0"/>
          <w:numId w:val="19"/>
        </w:numPr>
        <w:shd w:val="clear" w:color="auto" w:fill="DEEAF6" w:themeFill="accent5" w:themeFillTint="33"/>
        <w:rPr>
          <w:lang w:eastAsia="en-AU"/>
        </w:rPr>
      </w:pPr>
      <w:r w:rsidRPr="00634AB9">
        <w:rPr>
          <w:lang w:eastAsia="en-AU"/>
        </w:rPr>
        <w:t>Program Principles</w:t>
      </w:r>
      <w:r w:rsidR="00374C2B">
        <w:rPr>
          <w:lang w:eastAsia="en-AU"/>
        </w:rPr>
        <w:t>.</w:t>
      </w:r>
    </w:p>
    <w:p w:rsidR="00D65C73" w:rsidRDefault="00D65C73" w:rsidP="00D65C73">
      <w:pPr>
        <w:pStyle w:val="ListParagraph"/>
        <w:numPr>
          <w:ilvl w:val="0"/>
          <w:numId w:val="19"/>
        </w:numPr>
        <w:shd w:val="clear" w:color="auto" w:fill="DEEAF6" w:themeFill="accent5" w:themeFillTint="33"/>
        <w:rPr>
          <w:lang w:eastAsia="en-AU"/>
        </w:rPr>
      </w:pPr>
      <w:r w:rsidRPr="00634AB9">
        <w:rPr>
          <w:lang w:eastAsia="en-AU"/>
        </w:rPr>
        <w:t>Program Funding</w:t>
      </w:r>
      <w:r w:rsidR="00374C2B">
        <w:rPr>
          <w:lang w:eastAsia="en-AU"/>
        </w:rPr>
        <w:t>.</w:t>
      </w:r>
    </w:p>
    <w:p w:rsidR="00D65C73" w:rsidRDefault="00D65C73" w:rsidP="00D65C73">
      <w:pPr>
        <w:pStyle w:val="ListParagraph"/>
        <w:numPr>
          <w:ilvl w:val="0"/>
          <w:numId w:val="19"/>
        </w:numPr>
        <w:shd w:val="clear" w:color="auto" w:fill="DEEAF6" w:themeFill="accent5" w:themeFillTint="33"/>
        <w:rPr>
          <w:lang w:eastAsia="en-AU"/>
        </w:rPr>
      </w:pPr>
      <w:r w:rsidRPr="00634AB9">
        <w:rPr>
          <w:lang w:eastAsia="en-AU"/>
        </w:rPr>
        <w:t>Recommendations and User Guide Overview</w:t>
      </w:r>
      <w:r w:rsidR="00374C2B">
        <w:rPr>
          <w:lang w:eastAsia="en-AU"/>
        </w:rPr>
        <w:t>.</w:t>
      </w:r>
    </w:p>
    <w:p w:rsidR="00256E3D" w:rsidRPr="00865852" w:rsidRDefault="00256E3D" w:rsidP="005E0BCA">
      <w:pPr>
        <w:pStyle w:val="Heading2-Chapter7"/>
      </w:pPr>
      <w:bookmarkStart w:id="470" w:name="_Toc491426050"/>
      <w:r w:rsidRPr="004846F9">
        <w:t xml:space="preserve">Why consider a </w:t>
      </w:r>
      <w:r w:rsidR="00DB6CD5">
        <w:t>Therapy Program</w:t>
      </w:r>
      <w:r w:rsidRPr="004846F9">
        <w:t xml:space="preserve"> in the R-ACFI?</w:t>
      </w:r>
      <w:bookmarkEnd w:id="470"/>
    </w:p>
    <w:p w:rsidR="00980F62" w:rsidRDefault="00256E3D" w:rsidP="008D61C7">
      <w:pPr>
        <w:rPr>
          <w:lang w:eastAsia="en-AU"/>
        </w:rPr>
      </w:pPr>
      <w:r>
        <w:rPr>
          <w:lang w:eastAsia="en-AU"/>
        </w:rPr>
        <w:t>There are two key reasons why a Therapy Program has been considered for the R-ACFI.</w:t>
      </w:r>
      <w:r w:rsidR="007A576E">
        <w:rPr>
          <w:lang w:eastAsia="en-AU"/>
        </w:rPr>
        <w:t xml:space="preserve"> </w:t>
      </w:r>
      <w:r>
        <w:rPr>
          <w:lang w:eastAsia="en-AU"/>
        </w:rPr>
        <w:t xml:space="preserve">Firstly, the current ACFI funding for physical therapy is limited to pain management and the approved specific interventions listed are narrowly focused (heat packs, massage, technical equipment). This means that broader-based physical </w:t>
      </w:r>
      <w:r w:rsidR="00DB6CD5">
        <w:rPr>
          <w:lang w:eastAsia="en-AU"/>
        </w:rPr>
        <w:t>Therapy Program</w:t>
      </w:r>
      <w:r>
        <w:rPr>
          <w:lang w:eastAsia="en-AU"/>
        </w:rPr>
        <w:t>s are not directly linked to ACFI funding. As there is good evidence that physical therapy interventions that include general wellness, restorative or maintenance approaches will benefit aged care residents, it is appropriate to review the structure and operation of these items. A new broadly-based Therapy Program will not only better target resident needs, but also give an opportunity to directly include the consumer and families in the choice of options.</w:t>
      </w:r>
    </w:p>
    <w:p w:rsidR="00980F62" w:rsidRDefault="00256E3D" w:rsidP="008D61C7">
      <w:pPr>
        <w:rPr>
          <w:lang w:eastAsia="en-AU"/>
        </w:rPr>
      </w:pPr>
      <w:r>
        <w:rPr>
          <w:lang w:eastAsia="en-AU"/>
        </w:rPr>
        <w:t>Secondly, the excessive growth in the pain management items needs to be addressed as it is the single most important factor in ACFI funding growth beyond the Government’s forward financial estimates. From 2014 to 2015</w:t>
      </w:r>
      <w:r w:rsidR="00DB6CD5">
        <w:rPr>
          <w:lang w:eastAsia="en-AU"/>
        </w:rPr>
        <w:t>,</w:t>
      </w:r>
      <w:r>
        <w:rPr>
          <w:lang w:eastAsia="en-AU"/>
        </w:rPr>
        <w:t xml:space="preserve"> there was funding growth of 5.2</w:t>
      </w:r>
      <w:r w:rsidR="0065091B">
        <w:rPr>
          <w:lang w:eastAsia="en-AU"/>
        </w:rPr>
        <w:t xml:space="preserve"> per cent</w:t>
      </w:r>
      <w:r>
        <w:rPr>
          <w:lang w:eastAsia="en-AU"/>
        </w:rPr>
        <w:t xml:space="preserve"> in the ADL domain, 5.2</w:t>
      </w:r>
      <w:r w:rsidR="0065091B">
        <w:rPr>
          <w:lang w:eastAsia="en-AU"/>
        </w:rPr>
        <w:t xml:space="preserve"> per cent</w:t>
      </w:r>
      <w:r>
        <w:rPr>
          <w:lang w:eastAsia="en-AU"/>
        </w:rPr>
        <w:t xml:space="preserve"> in the Behaviour domain and 11.2</w:t>
      </w:r>
      <w:r w:rsidR="0065091B">
        <w:rPr>
          <w:lang w:eastAsia="en-AU"/>
        </w:rPr>
        <w:t xml:space="preserve"> per cent</w:t>
      </w:r>
      <w:r>
        <w:rPr>
          <w:lang w:eastAsia="en-AU"/>
        </w:rPr>
        <w:t xml:space="preserve"> in the CHC domain. The growth of funding in the CHC domain is almost exclusively due to the increased proportion of residents with pain management claims. The growth in the proportion of residents with pain management claims has risen significantly and consistently since the introduction of the ACFI.</w:t>
      </w:r>
      <w:r w:rsidR="007A576E">
        <w:rPr>
          <w:lang w:eastAsia="en-AU"/>
        </w:rPr>
        <w:t xml:space="preserve"> </w:t>
      </w:r>
      <w:r>
        <w:rPr>
          <w:lang w:eastAsia="en-AU"/>
        </w:rPr>
        <w:t>For example:</w:t>
      </w:r>
    </w:p>
    <w:p w:rsidR="00980F62" w:rsidRDefault="00256E3D" w:rsidP="00F02312">
      <w:pPr>
        <w:pStyle w:val="ListParagraph"/>
        <w:numPr>
          <w:ilvl w:val="0"/>
          <w:numId w:val="146"/>
        </w:numPr>
        <w:ind w:left="357" w:right="-46" w:hanging="357"/>
      </w:pPr>
      <w:r>
        <w:t xml:space="preserve">ACFI 12.3 proportion of resident claims were </w:t>
      </w:r>
      <w:r w:rsidRPr="00EE1B37">
        <w:t>19%</w:t>
      </w:r>
      <w:r>
        <w:t xml:space="preserve"> in 2009</w:t>
      </w:r>
      <w:r w:rsidRPr="00EE1B37">
        <w:t>, 40% in 2014, and 50% in 2016.</w:t>
      </w:r>
    </w:p>
    <w:p w:rsidR="00980F62" w:rsidRDefault="00256E3D" w:rsidP="00F02312">
      <w:pPr>
        <w:pStyle w:val="ListParagraph"/>
        <w:numPr>
          <w:ilvl w:val="0"/>
          <w:numId w:val="146"/>
        </w:numPr>
        <w:ind w:left="357" w:right="-46" w:hanging="357"/>
      </w:pPr>
      <w:r>
        <w:t>ACFI 12.4a proportion of resident claims were 6% in 2009, 27% in 2014, and 34% in 2016.</w:t>
      </w:r>
    </w:p>
    <w:p w:rsidR="00980F62" w:rsidRDefault="00256E3D" w:rsidP="00F02312">
      <w:pPr>
        <w:pStyle w:val="ListParagraph"/>
        <w:numPr>
          <w:ilvl w:val="0"/>
          <w:numId w:val="146"/>
        </w:numPr>
        <w:ind w:left="357" w:right="-46" w:hanging="357"/>
      </w:pPr>
      <w:r>
        <w:t>ACFI 12.4b proportion of resident claims were 2% in 2009, 20% in 2014, and 35% in 2016.</w:t>
      </w:r>
    </w:p>
    <w:p w:rsidR="00980F62" w:rsidRDefault="00256E3D" w:rsidP="008D61C7">
      <w:pPr>
        <w:rPr>
          <w:lang w:eastAsia="en-AU"/>
        </w:rPr>
      </w:pPr>
      <w:r>
        <w:rPr>
          <w:lang w:eastAsia="en-AU"/>
        </w:rPr>
        <w:t>Without modification, these items will eventually be significantly altered or dropped altogether from the ACFI to maintain the Government’s budget commitments.</w:t>
      </w:r>
    </w:p>
    <w:p w:rsidR="00980F62" w:rsidRDefault="00256E3D" w:rsidP="008D61C7">
      <w:pPr>
        <w:rPr>
          <w:lang w:eastAsia="en-AU"/>
        </w:rPr>
      </w:pPr>
      <w:r w:rsidRPr="006F3F95">
        <w:rPr>
          <w:lang w:eastAsia="en-AU"/>
        </w:rPr>
        <w:t xml:space="preserve">The current review of the ACFI gives </w:t>
      </w:r>
      <w:r w:rsidRPr="00865852">
        <w:rPr>
          <w:lang w:eastAsia="en-AU"/>
        </w:rPr>
        <w:t xml:space="preserve">an opportunity </w:t>
      </w:r>
      <w:r>
        <w:rPr>
          <w:lang w:eastAsia="en-AU"/>
        </w:rPr>
        <w:t>to redress these issues and to provide more financial certainty for the Government and providers, in addition to improving the assistance and support to people living in residential aged care.</w:t>
      </w:r>
    </w:p>
    <w:p w:rsidR="00980F62" w:rsidRDefault="00256E3D" w:rsidP="005E0BCA">
      <w:pPr>
        <w:pStyle w:val="Heading2-Chapter7"/>
      </w:pPr>
      <w:bookmarkStart w:id="471" w:name="_Toc486600052"/>
      <w:bookmarkStart w:id="472" w:name="_Toc491426051"/>
      <w:r>
        <w:t>Are Physical Therapy Programs Effective?</w:t>
      </w:r>
      <w:bookmarkEnd w:id="471"/>
      <w:bookmarkEnd w:id="472"/>
    </w:p>
    <w:p w:rsidR="00980F62" w:rsidRDefault="00256E3D" w:rsidP="008D61C7">
      <w:pPr>
        <w:rPr>
          <w:lang w:eastAsia="en-AU"/>
        </w:rPr>
      </w:pPr>
      <w:bookmarkStart w:id="473" w:name="_Hlk485207076"/>
      <w:r w:rsidRPr="003E345E">
        <w:rPr>
          <w:lang w:eastAsia="en-AU"/>
        </w:rPr>
        <w:t xml:space="preserve">There is </w:t>
      </w:r>
      <w:r>
        <w:rPr>
          <w:lang w:eastAsia="en-AU"/>
        </w:rPr>
        <w:t xml:space="preserve">a </w:t>
      </w:r>
      <w:r w:rsidRPr="003E345E">
        <w:rPr>
          <w:lang w:eastAsia="en-AU"/>
        </w:rPr>
        <w:t>growing</w:t>
      </w:r>
      <w:r>
        <w:rPr>
          <w:lang w:eastAsia="en-AU"/>
        </w:rPr>
        <w:t xml:space="preserve"> body of</w:t>
      </w:r>
      <w:r w:rsidRPr="003E345E">
        <w:rPr>
          <w:lang w:eastAsia="en-AU"/>
        </w:rPr>
        <w:t xml:space="preserve"> evidence of </w:t>
      </w:r>
      <w:r>
        <w:rPr>
          <w:lang w:eastAsia="en-AU"/>
        </w:rPr>
        <w:t>the range of positive outcomes from physical therapy interventions with older frail persons. It not only improves or maintains functional ability, but can also impact on the management of chronic diseases and their associated risks, reducing falls, and improving social and quality of life outcomes.</w:t>
      </w:r>
    </w:p>
    <w:p w:rsidR="00702B79" w:rsidRPr="00023C90" w:rsidRDefault="00702B79" w:rsidP="00023C90">
      <w:pPr>
        <w:shd w:val="clear" w:color="auto" w:fill="D9D9D9" w:themeFill="background1" w:themeFillShade="D9"/>
        <w:rPr>
          <w:lang w:eastAsia="en-AU"/>
        </w:rPr>
      </w:pPr>
      <w:r w:rsidRPr="00023C90">
        <w:rPr>
          <w:lang w:eastAsia="en-AU"/>
        </w:rPr>
        <w:t>A recent literature review by Bauman, Merom, and Bull (2016) titled “Updating the Evidence for Physical Activity” stated that:</w:t>
      </w:r>
    </w:p>
    <w:p w:rsidR="00702B79" w:rsidRDefault="00702B79" w:rsidP="00023C90">
      <w:pPr>
        <w:shd w:val="clear" w:color="auto" w:fill="D9D9D9" w:themeFill="background1" w:themeFillShade="D9"/>
      </w:pPr>
      <w:r>
        <w:rPr>
          <w:lang w:eastAsia="en-AU"/>
        </w:rPr>
        <w:t>“</w:t>
      </w:r>
      <w:r w:rsidRPr="003E345E">
        <w:rPr>
          <w:i/>
        </w:rPr>
        <w:t>There is a global imperative to increase awareness of the emerging evidence on physical activity (PA) among older adults. “Healthy aging” has traditionally focused on preventing chronic disease, but greater efforts are required to reduce frailty and dependency and to maintain independent physical and cognitive function and mental health and well-being.</w:t>
      </w:r>
      <w:r>
        <w:rPr>
          <w:i/>
        </w:rPr>
        <w:t xml:space="preserve"> … There is epidemiological evidence that physical activity impacts (positively) on chronic disease prevention and risk reduction, functional status, psychological well-being, and social outcomes. … </w:t>
      </w:r>
      <w:r w:rsidRPr="00C876FF">
        <w:rPr>
          <w:i/>
        </w:rPr>
        <w:t>Many reviews and position statements support the benefits of PA for function, chronic disease outcomes, and mortality benefits in older adults, and these functional benefits extend to frail elders</w:t>
      </w:r>
      <w:r>
        <w:rPr>
          <w:i/>
        </w:rPr>
        <w:t xml:space="preserve">.” </w:t>
      </w:r>
      <w:r w:rsidRPr="003668EC">
        <w:t>(p. S268)</w:t>
      </w:r>
      <w:r>
        <w:t>.</w:t>
      </w:r>
    </w:p>
    <w:p w:rsidR="00702B79" w:rsidRPr="00023C90" w:rsidRDefault="00702B79" w:rsidP="00023C90">
      <w:pPr>
        <w:shd w:val="clear" w:color="auto" w:fill="D9D9D9" w:themeFill="background1" w:themeFillShade="D9"/>
        <w:spacing w:before="360"/>
      </w:pPr>
      <w:r w:rsidRPr="00023C90">
        <w:t>An evidence review by Sherrington, Lord, and Close (2008) reported that:</w:t>
      </w:r>
    </w:p>
    <w:p w:rsidR="00980F62" w:rsidRDefault="00702B79" w:rsidP="00023C90">
      <w:pPr>
        <w:shd w:val="clear" w:color="auto" w:fill="D9D9D9" w:themeFill="background1" w:themeFillShade="D9"/>
      </w:pPr>
      <w:r w:rsidRPr="003668EC">
        <w:rPr>
          <w:i/>
        </w:rPr>
        <w:t>“There is some evidence that exercise can be effective as part of a multifaceted approach to prevent falls in both community and residential aged care settings”</w:t>
      </w:r>
      <w:r>
        <w:t xml:space="preserve"> (p. 1), and that </w:t>
      </w:r>
      <w:r w:rsidRPr="003668EC">
        <w:rPr>
          <w:i/>
        </w:rPr>
        <w:t xml:space="preserve">“group exercise can be safely provided for residents…(and) suggest that group programs could also prevent falls in nursing homes if they are </w:t>
      </w:r>
      <w:r>
        <w:rPr>
          <w:i/>
        </w:rPr>
        <w:t>d</w:t>
      </w:r>
      <w:r w:rsidRPr="003668EC">
        <w:rPr>
          <w:i/>
        </w:rPr>
        <w:t>elivered with sufficient staff/participant ratios to ensure safety”</w:t>
      </w:r>
      <w:r>
        <w:t xml:space="preserve"> (p 17).</w:t>
      </w:r>
    </w:p>
    <w:p w:rsidR="00702B79" w:rsidRDefault="00702B79" w:rsidP="00702B79">
      <w:pPr>
        <w:shd w:val="clear" w:color="auto" w:fill="D9D9D9" w:themeFill="background1" w:themeFillShade="D9"/>
      </w:pPr>
      <w:r>
        <w:t>Updated best practice recommendations and meta-analysis findings for falls prevention in older adults by Sherrington, Tiedemann, Fairhall, Close, and Lord (2011) reported that:</w:t>
      </w:r>
    </w:p>
    <w:p w:rsidR="00702B79" w:rsidRDefault="00702B79" w:rsidP="00702B79">
      <w:pPr>
        <w:shd w:val="clear" w:color="auto" w:fill="D9D9D9" w:themeFill="background1" w:themeFillShade="D9"/>
      </w:pPr>
      <w:r w:rsidRPr="003668EC">
        <w:rPr>
          <w:i/>
        </w:rPr>
        <w:t>“…systematic reviews now provide clear evidence that falls in older people can be prevented with appropriately designed intervention programs”</w:t>
      </w:r>
      <w:r>
        <w:t xml:space="preserve"> (p. 78). The authors further suggest that exercise should be undertaken for at least 2 hours per week, on an ongoing basis, with a mixture of group-based and home-based (individual) exercise, with both options to be available; these recommendations are applicable to people in residential aged care (p. 81).</w:t>
      </w:r>
    </w:p>
    <w:p w:rsidR="00980F62" w:rsidRDefault="00256E3D" w:rsidP="008C2EF2">
      <w:pPr>
        <w:spacing w:before="240"/>
      </w:pPr>
      <w:r>
        <w:t>Physical therapies can be undertaken by AHPs such as physiotherapists, chiropractors, osteopaths, occupational therapists and exercise physiologists (Transport Accident Commission, n.d.).</w:t>
      </w:r>
    </w:p>
    <w:p w:rsidR="00973CDC" w:rsidRDefault="00256E3D" w:rsidP="008D61C7">
      <w:r>
        <w:t>Currently, Exercise Physiologists are not recognised in the list of Health Professionals in the ACFI User Guide (page 38). However, their practices fit strongly into the planned Therapy Program and their inclusion is recommended in the new R-ACFI Therapy Program model.</w:t>
      </w:r>
    </w:p>
    <w:p w:rsidR="00973CDC" w:rsidRDefault="00973CDC">
      <w:pPr>
        <w:spacing w:after="200"/>
        <w:jc w:val="left"/>
      </w:pPr>
      <w:r>
        <w:br w:type="page"/>
      </w:r>
    </w:p>
    <w:p w:rsidR="00973CDC" w:rsidRPr="00973CDC" w:rsidRDefault="00973CDC" w:rsidP="00973CDC">
      <w:pPr>
        <w:shd w:val="clear" w:color="auto" w:fill="D9D9D9" w:themeFill="background1" w:themeFillShade="D9"/>
        <w:rPr>
          <w:sz w:val="22"/>
        </w:rPr>
      </w:pPr>
      <w:r w:rsidRPr="00973CDC">
        <w:rPr>
          <w:sz w:val="22"/>
        </w:rPr>
        <w:lastRenderedPageBreak/>
        <w:t>Deloitte Access Economics (2015) identified that</w:t>
      </w:r>
      <w:r>
        <w:rPr>
          <w:sz w:val="22"/>
        </w:rPr>
        <w:t>:</w:t>
      </w:r>
    </w:p>
    <w:p w:rsidR="00973CDC" w:rsidRDefault="00973CDC" w:rsidP="00973CDC">
      <w:pPr>
        <w:shd w:val="clear" w:color="auto" w:fill="D9D9D9" w:themeFill="background1" w:themeFillShade="D9"/>
      </w:pPr>
      <w:r w:rsidRPr="00BB02E5">
        <w:rPr>
          <w:i/>
          <w:sz w:val="22"/>
        </w:rPr>
        <w:t>AEP</w:t>
      </w:r>
      <w:r>
        <w:rPr>
          <w:i/>
          <w:sz w:val="22"/>
        </w:rPr>
        <w:t xml:space="preserve"> (Accredited Exercise Physiologist] </w:t>
      </w:r>
      <w:r w:rsidRPr="00BB02E5">
        <w:rPr>
          <w:i/>
          <w:sz w:val="22"/>
        </w:rPr>
        <w:t>led interventions are efficacious and highly cost effective in the Australian health care setting, with cost benefit ratios calculated for pre-diabetes, type 2 diabetes, mental illness, cardiovascular disease, chronic back pain, osteoarthritis and rheumatic disease</w:t>
      </w:r>
      <w:r>
        <w:rPr>
          <w:i/>
          <w:sz w:val="22"/>
        </w:rPr>
        <w:t xml:space="preserve">, concluding that AEPs can provide substantial benefits across a range of conditions </w:t>
      </w:r>
      <w:r w:rsidRPr="003668EC">
        <w:rPr>
          <w:sz w:val="22"/>
        </w:rPr>
        <w:t>(p. 75)</w:t>
      </w:r>
      <w:r>
        <w:rPr>
          <w:i/>
          <w:sz w:val="22"/>
        </w:rPr>
        <w:t>.</w:t>
      </w:r>
    </w:p>
    <w:p w:rsidR="00973CDC" w:rsidRPr="00973CDC" w:rsidRDefault="00973CDC" w:rsidP="00973CDC">
      <w:pPr>
        <w:shd w:val="clear" w:color="auto" w:fill="D9D9D9" w:themeFill="background1" w:themeFillShade="D9"/>
        <w:spacing w:before="360"/>
        <w:rPr>
          <w:sz w:val="22"/>
        </w:rPr>
      </w:pPr>
      <w:r w:rsidRPr="00973CDC">
        <w:rPr>
          <w:sz w:val="22"/>
        </w:rPr>
        <w:t>Exercise &amp; Sports Science Australia (ESSA) (2016a) state that:</w:t>
      </w:r>
    </w:p>
    <w:p w:rsidR="00973CDC" w:rsidRDefault="00973CDC" w:rsidP="00973CDC">
      <w:pPr>
        <w:shd w:val="clear" w:color="auto" w:fill="D9D9D9" w:themeFill="background1" w:themeFillShade="D9"/>
        <w:rPr>
          <w:sz w:val="22"/>
        </w:rPr>
      </w:pPr>
      <w:r>
        <w:rPr>
          <w:i/>
          <w:sz w:val="22"/>
        </w:rPr>
        <w:t>“I</w:t>
      </w:r>
      <w:r w:rsidRPr="00BB02E5">
        <w:rPr>
          <w:i/>
          <w:sz w:val="22"/>
        </w:rPr>
        <w:t>ncreasing the exercise and physical activity levels of older people can prevent, or aid in the management of, a myriad of chronic health problems. It can also improve and maintain physical function, promote independence, reduce falls, improve quality of life and slow cognitive decline. Many chronic diseases can be prevented or delayed by healthy behaviours and, importantly, by the environments that support them. Health and social systems can work together to strengthen and maintain capacity and even reverse declines. However this requires a shift in focus from reactive care to preventative measures.</w:t>
      </w:r>
      <w:r>
        <w:rPr>
          <w:i/>
          <w:sz w:val="22"/>
        </w:rPr>
        <w:t>”</w:t>
      </w:r>
      <w:r w:rsidRPr="00BB02E5">
        <w:rPr>
          <w:i/>
          <w:sz w:val="22"/>
        </w:rPr>
        <w:t xml:space="preserve"> </w:t>
      </w:r>
      <w:r w:rsidRPr="003F5E47">
        <w:rPr>
          <w:sz w:val="22"/>
        </w:rPr>
        <w:t>(p. 1).</w:t>
      </w:r>
    </w:p>
    <w:p w:rsidR="00973CDC" w:rsidRPr="00973CDC" w:rsidRDefault="00973CDC" w:rsidP="00973CDC">
      <w:pPr>
        <w:shd w:val="clear" w:color="auto" w:fill="D9D9D9" w:themeFill="background1" w:themeFillShade="D9"/>
        <w:spacing w:before="360"/>
        <w:rPr>
          <w:sz w:val="22"/>
        </w:rPr>
      </w:pPr>
      <w:r w:rsidRPr="00973CDC">
        <w:rPr>
          <w:sz w:val="22"/>
        </w:rPr>
        <w:t>ESSA (2016b) further assert that:</w:t>
      </w:r>
    </w:p>
    <w:p w:rsidR="00973CDC" w:rsidRDefault="00973CDC" w:rsidP="00973CDC">
      <w:pPr>
        <w:shd w:val="clear" w:color="auto" w:fill="D9D9D9" w:themeFill="background1" w:themeFillShade="D9"/>
      </w:pPr>
      <w:r>
        <w:rPr>
          <w:i/>
          <w:sz w:val="22"/>
        </w:rPr>
        <w:t>“</w:t>
      </w:r>
      <w:r w:rsidRPr="00BB02E5">
        <w:rPr>
          <w:i/>
          <w:sz w:val="22"/>
        </w:rPr>
        <w:t>There is strong evidence that clinical exercise interventions, as delivered by accredited exercise physiologists, provide a range of physical, mental and psychosocial benefits to older people, independent of age, disability or disease. For example, exercise can improve cardiovascular fitness, muscular strength and balance, decrease symptoms of depression, anxiety</w:t>
      </w:r>
      <w:r>
        <w:rPr>
          <w:i/>
          <w:sz w:val="22"/>
        </w:rPr>
        <w:t xml:space="preserve"> </w:t>
      </w:r>
      <w:r w:rsidRPr="00BB02E5">
        <w:rPr>
          <w:i/>
          <w:sz w:val="22"/>
        </w:rPr>
        <w:t>and pain and, when completed in a group setting, foster social connections and feelings of belonging. Further, exercise is a very accessible intervention that can be undertaken in a range of settings, including residential aged care facilities and is proven to be highly cost effective, when delivered by accredited exercise physiologists</w:t>
      </w:r>
      <w:r w:rsidRPr="00BB02E5">
        <w:rPr>
          <w:sz w:val="22"/>
        </w:rPr>
        <w:t>…</w:t>
      </w:r>
      <w:r>
        <w:rPr>
          <w:sz w:val="22"/>
        </w:rPr>
        <w:t xml:space="preserve"> </w:t>
      </w:r>
      <w:r w:rsidRPr="003668EC">
        <w:rPr>
          <w:i/>
          <w:sz w:val="22"/>
        </w:rPr>
        <w:t>ESSA supports the adoption of contemporary policies and funding models within aged care that develop and maintain an individual’s functional abilities…including their ability to engage in evidenced-based physical activity programs.</w:t>
      </w:r>
      <w:r>
        <w:rPr>
          <w:i/>
          <w:sz w:val="22"/>
        </w:rPr>
        <w:t>”</w:t>
      </w:r>
      <w:r w:rsidRPr="003668EC">
        <w:rPr>
          <w:i/>
          <w:sz w:val="22"/>
        </w:rPr>
        <w:t xml:space="preserve"> </w:t>
      </w:r>
      <w:r w:rsidRPr="00F0083D">
        <w:rPr>
          <w:sz w:val="22"/>
        </w:rPr>
        <w:t>(p. 1-2).</w:t>
      </w:r>
    </w:p>
    <w:p w:rsidR="00980F62" w:rsidRDefault="00256E3D" w:rsidP="008C2EF2">
      <w:pPr>
        <w:spacing w:before="240"/>
        <w:rPr>
          <w:szCs w:val="24"/>
        </w:rPr>
      </w:pPr>
      <w:r w:rsidRPr="00684B27">
        <w:rPr>
          <w:szCs w:val="24"/>
        </w:rPr>
        <w:t xml:space="preserve">A wellness and reablement approach in home care has been actively supported by the Australian government (Nous Group, n.d.) </w:t>
      </w:r>
      <w:r w:rsidRPr="00684B27">
        <w:rPr>
          <w:szCs w:val="24"/>
          <w:lang w:eastAsia="en-AU"/>
        </w:rPr>
        <w:t xml:space="preserve">and is </w:t>
      </w:r>
      <w:r w:rsidRPr="00684B27">
        <w:rPr>
          <w:szCs w:val="24"/>
        </w:rPr>
        <w:t>described on the website as:</w:t>
      </w:r>
    </w:p>
    <w:p w:rsidR="00256E3D" w:rsidRPr="00E61984" w:rsidRDefault="00256E3D" w:rsidP="00557DB1">
      <w:pPr>
        <w:pStyle w:val="ListParagraph"/>
        <w:numPr>
          <w:ilvl w:val="0"/>
          <w:numId w:val="34"/>
        </w:numPr>
        <w:rPr>
          <w:szCs w:val="24"/>
          <w:lang w:eastAsia="en-AU"/>
        </w:rPr>
      </w:pPr>
      <w:r w:rsidRPr="00E61984">
        <w:rPr>
          <w:szCs w:val="24"/>
          <w:lang w:eastAsia="en-AU"/>
        </w:rPr>
        <w:t>Wellness is building on strengths and goals of individuals to promote ind</w:t>
      </w:r>
      <w:r>
        <w:rPr>
          <w:szCs w:val="24"/>
          <w:lang w:eastAsia="en-AU"/>
        </w:rPr>
        <w:t>ependence in daily living skills</w:t>
      </w:r>
      <w:r w:rsidR="00D9603B">
        <w:rPr>
          <w:szCs w:val="24"/>
          <w:lang w:eastAsia="en-AU"/>
        </w:rPr>
        <w:t>.</w:t>
      </w:r>
    </w:p>
    <w:p w:rsidR="00980F62" w:rsidRDefault="00256E3D" w:rsidP="00557DB1">
      <w:pPr>
        <w:pStyle w:val="ListParagraph"/>
        <w:numPr>
          <w:ilvl w:val="0"/>
          <w:numId w:val="34"/>
        </w:numPr>
        <w:rPr>
          <w:szCs w:val="24"/>
          <w:lang w:eastAsia="en-AU"/>
        </w:rPr>
      </w:pPr>
      <w:r w:rsidRPr="00E61984">
        <w:rPr>
          <w:szCs w:val="24"/>
          <w:lang w:eastAsia="en-AU"/>
        </w:rPr>
        <w:t>Reablement is short term interventions to adapt to functional loss or to regain confidence and capacity</w:t>
      </w:r>
      <w:r w:rsidR="00DB6CD5">
        <w:rPr>
          <w:szCs w:val="24"/>
          <w:lang w:eastAsia="en-AU"/>
        </w:rPr>
        <w:t>.</w:t>
      </w:r>
    </w:p>
    <w:bookmarkEnd w:id="473"/>
    <w:p w:rsidR="00256E3D" w:rsidRDefault="00256E3D" w:rsidP="008D61C7">
      <w:pPr>
        <w:rPr>
          <w:lang w:eastAsia="en-AU"/>
        </w:rPr>
      </w:pPr>
      <w:r>
        <w:rPr>
          <w:lang w:eastAsia="en-AU"/>
        </w:rPr>
        <w:t>Wellness fits into the new Physical Therapy program in the R-ACFI, as physical therapies have been associated with improving not only physical but also social and psychological wellness (Martin et al, 2013). A flexible Therapy Program approach could also support short term interventions, with the wellness approach being ongoing.</w:t>
      </w:r>
    </w:p>
    <w:p w:rsidR="008C2EF2" w:rsidRDefault="008C2EF2">
      <w:pPr>
        <w:spacing w:after="200"/>
        <w:jc w:val="left"/>
        <w:rPr>
          <w:lang w:eastAsia="en-AU"/>
        </w:rPr>
      </w:pPr>
      <w:r>
        <w:rPr>
          <w:lang w:eastAsia="en-AU"/>
        </w:rPr>
        <w:br w:type="page"/>
      </w:r>
    </w:p>
    <w:p w:rsidR="00980F62" w:rsidRDefault="00256E3D" w:rsidP="005E0BCA">
      <w:pPr>
        <w:pStyle w:val="Heading2-Chapter7"/>
      </w:pPr>
      <w:bookmarkStart w:id="474" w:name="_Toc486600053"/>
      <w:bookmarkStart w:id="475" w:name="_Toc491426052"/>
      <w:r w:rsidRPr="00FD3598">
        <w:lastRenderedPageBreak/>
        <w:t>Physical Therapy Program Principles</w:t>
      </w:r>
      <w:bookmarkEnd w:id="474"/>
      <w:bookmarkEnd w:id="475"/>
    </w:p>
    <w:p w:rsidR="00980F62" w:rsidRDefault="00256E3D" w:rsidP="008C2EF2">
      <w:pPr>
        <w:rPr>
          <w:lang w:eastAsia="en-AU"/>
        </w:rPr>
      </w:pPr>
      <w:r w:rsidRPr="00EA58E2">
        <w:rPr>
          <w:lang w:eastAsia="en-AU"/>
        </w:rPr>
        <w:t>Consultations with a broad range of stakeholders within</w:t>
      </w:r>
      <w:r>
        <w:rPr>
          <w:lang w:eastAsia="en-AU"/>
        </w:rPr>
        <w:t xml:space="preserve"> the</w:t>
      </w:r>
      <w:r w:rsidRPr="00EA58E2">
        <w:rPr>
          <w:lang w:eastAsia="en-AU"/>
        </w:rPr>
        <w:t xml:space="preserve"> Australia</w:t>
      </w:r>
      <w:r>
        <w:rPr>
          <w:lang w:eastAsia="en-AU"/>
        </w:rPr>
        <w:t>n aged care sector</w:t>
      </w:r>
      <w:r w:rsidRPr="00EA58E2">
        <w:rPr>
          <w:lang w:eastAsia="en-AU"/>
        </w:rPr>
        <w:t xml:space="preserve"> were undertaken </w:t>
      </w:r>
      <w:r>
        <w:rPr>
          <w:lang w:eastAsia="en-AU"/>
        </w:rPr>
        <w:t xml:space="preserve">regarding possible changes to the ACFI. Stakeholders included representatives from </w:t>
      </w:r>
      <w:r w:rsidRPr="00EA58E2">
        <w:rPr>
          <w:lang w:eastAsia="en-AU"/>
        </w:rPr>
        <w:t xml:space="preserve">peak bodies, leading industry groups, government </w:t>
      </w:r>
      <w:r w:rsidR="00DB6CD5">
        <w:rPr>
          <w:lang w:eastAsia="en-AU"/>
        </w:rPr>
        <w:t>ROs</w:t>
      </w:r>
      <w:r w:rsidRPr="00EA58E2">
        <w:rPr>
          <w:lang w:eastAsia="en-AU"/>
        </w:rPr>
        <w:t>,</w:t>
      </w:r>
      <w:r>
        <w:rPr>
          <w:lang w:eastAsia="en-AU"/>
        </w:rPr>
        <w:t xml:space="preserve"> and the ACFI Technical Reference Group</w:t>
      </w:r>
      <w:r w:rsidRPr="00EA58E2">
        <w:rPr>
          <w:lang w:eastAsia="en-AU"/>
        </w:rPr>
        <w:t xml:space="preserve">. </w:t>
      </w:r>
      <w:r>
        <w:rPr>
          <w:lang w:eastAsia="en-AU"/>
        </w:rPr>
        <w:t xml:space="preserve">There was widespread interest in the development of a new, broadly-based Therapy Program in the new R-ACFI. </w:t>
      </w:r>
      <w:r w:rsidRPr="00EA58E2">
        <w:rPr>
          <w:lang w:eastAsia="en-AU"/>
        </w:rPr>
        <w:t xml:space="preserve">Questions </w:t>
      </w:r>
      <w:r>
        <w:rPr>
          <w:lang w:eastAsia="en-AU"/>
        </w:rPr>
        <w:t>covered in the</w:t>
      </w:r>
      <w:r w:rsidRPr="00EA58E2">
        <w:rPr>
          <w:lang w:eastAsia="en-AU"/>
        </w:rPr>
        <w:t xml:space="preserve"> consultation</w:t>
      </w:r>
      <w:r>
        <w:rPr>
          <w:lang w:eastAsia="en-AU"/>
        </w:rPr>
        <w:t>s focusing on the content and funding approach for the new Therapy Program included:</w:t>
      </w:r>
    </w:p>
    <w:p w:rsidR="00980F62" w:rsidRDefault="00256E3D" w:rsidP="006126D6">
      <w:pPr>
        <w:pStyle w:val="ListParagraph"/>
        <w:numPr>
          <w:ilvl w:val="0"/>
          <w:numId w:val="35"/>
        </w:numPr>
        <w:spacing w:after="0"/>
        <w:ind w:left="357" w:hanging="357"/>
        <w:contextualSpacing w:val="0"/>
        <w:rPr>
          <w:color w:val="000000" w:themeColor="text1"/>
        </w:rPr>
      </w:pPr>
      <w:r>
        <w:rPr>
          <w:color w:val="000000" w:themeColor="text1"/>
        </w:rPr>
        <w:t>Does Specified Care and Services ensure the provision of a Therapy Program</w:t>
      </w:r>
      <w:r w:rsidRPr="00EA58E2">
        <w:rPr>
          <w:color w:val="000000" w:themeColor="text1"/>
        </w:rPr>
        <w:t>?</w:t>
      </w:r>
    </w:p>
    <w:p w:rsidR="00256E3D" w:rsidRPr="00D35E5B" w:rsidRDefault="00256E3D" w:rsidP="006126D6">
      <w:pPr>
        <w:pStyle w:val="ListParagraph"/>
        <w:numPr>
          <w:ilvl w:val="0"/>
          <w:numId w:val="35"/>
        </w:numPr>
        <w:spacing w:after="0"/>
        <w:ind w:left="357" w:hanging="357"/>
        <w:contextualSpacing w:val="0"/>
        <w:rPr>
          <w:color w:val="000000" w:themeColor="text1"/>
        </w:rPr>
      </w:pPr>
      <w:r w:rsidRPr="00EA58E2">
        <w:rPr>
          <w:color w:val="000000" w:themeColor="text1"/>
        </w:rPr>
        <w:t xml:space="preserve">Should we </w:t>
      </w:r>
      <w:r>
        <w:rPr>
          <w:color w:val="000000" w:themeColor="text1"/>
        </w:rPr>
        <w:t>include a Therapy Program in the R-ACFI as a “price signal”</w:t>
      </w:r>
      <w:r w:rsidRPr="00EA58E2">
        <w:rPr>
          <w:color w:val="000000" w:themeColor="text1"/>
        </w:rPr>
        <w:t>?</w:t>
      </w:r>
    </w:p>
    <w:p w:rsidR="00980F62" w:rsidRDefault="00256E3D" w:rsidP="006126D6">
      <w:pPr>
        <w:pStyle w:val="ListParagraph"/>
        <w:numPr>
          <w:ilvl w:val="0"/>
          <w:numId w:val="35"/>
        </w:numPr>
        <w:spacing w:after="0"/>
        <w:ind w:left="357" w:hanging="357"/>
        <w:contextualSpacing w:val="0"/>
        <w:rPr>
          <w:color w:val="000000" w:themeColor="text1"/>
        </w:rPr>
      </w:pPr>
      <w:r>
        <w:rPr>
          <w:color w:val="000000" w:themeColor="text1"/>
        </w:rPr>
        <w:t xml:space="preserve">How to structure such a program – ‘package up’ the pain interventions into a broader physical </w:t>
      </w:r>
      <w:r w:rsidR="00DB6CD5">
        <w:rPr>
          <w:color w:val="000000" w:themeColor="text1"/>
        </w:rPr>
        <w:t>Therapy Program</w:t>
      </w:r>
      <w:r w:rsidRPr="00EA58E2">
        <w:rPr>
          <w:color w:val="000000" w:themeColor="text1"/>
        </w:rPr>
        <w:t>?</w:t>
      </w:r>
    </w:p>
    <w:p w:rsidR="00256E3D" w:rsidRDefault="00256E3D" w:rsidP="006126D6">
      <w:pPr>
        <w:pStyle w:val="ListParagraph"/>
        <w:numPr>
          <w:ilvl w:val="0"/>
          <w:numId w:val="35"/>
        </w:numPr>
        <w:spacing w:after="0"/>
        <w:ind w:left="357" w:hanging="357"/>
        <w:contextualSpacing w:val="0"/>
        <w:rPr>
          <w:color w:val="000000" w:themeColor="text1"/>
        </w:rPr>
      </w:pPr>
      <w:r>
        <w:rPr>
          <w:color w:val="000000" w:themeColor="text1"/>
        </w:rPr>
        <w:t>Should it include a broader range of therapeutic inputs from a variety of AHPs, providing physical therapies, with flexibility around the program design and the AHPs who will deliver it</w:t>
      </w:r>
      <w:r w:rsidRPr="00EA58E2">
        <w:rPr>
          <w:color w:val="000000" w:themeColor="text1"/>
        </w:rPr>
        <w:t>?</w:t>
      </w:r>
    </w:p>
    <w:p w:rsidR="00256E3D" w:rsidRDefault="00256E3D" w:rsidP="006126D6">
      <w:pPr>
        <w:pStyle w:val="ListParagraph"/>
        <w:numPr>
          <w:ilvl w:val="0"/>
          <w:numId w:val="35"/>
        </w:numPr>
        <w:spacing w:after="0"/>
        <w:ind w:left="357" w:hanging="357"/>
        <w:contextualSpacing w:val="0"/>
        <w:rPr>
          <w:color w:val="000000" w:themeColor="text1"/>
        </w:rPr>
      </w:pPr>
      <w:r>
        <w:rPr>
          <w:color w:val="000000" w:themeColor="text1"/>
        </w:rPr>
        <w:t>Would a new single domain or question focused only on therapy be the best way to target the program and provide a basis for accountability?</w:t>
      </w:r>
    </w:p>
    <w:p w:rsidR="00256E3D" w:rsidRDefault="00256E3D" w:rsidP="006126D6">
      <w:pPr>
        <w:pStyle w:val="ListParagraph"/>
        <w:numPr>
          <w:ilvl w:val="0"/>
          <w:numId w:val="35"/>
        </w:numPr>
        <w:spacing w:after="0"/>
        <w:ind w:left="357" w:hanging="357"/>
        <w:contextualSpacing w:val="0"/>
        <w:rPr>
          <w:color w:val="000000" w:themeColor="text1"/>
        </w:rPr>
      </w:pPr>
      <w:r>
        <w:rPr>
          <w:color w:val="000000" w:themeColor="text1"/>
        </w:rPr>
        <w:t>Could the funding for the program be re-allocated from the pain management items into a Therapy Program?</w:t>
      </w:r>
    </w:p>
    <w:p w:rsidR="00256E3D" w:rsidRDefault="00256E3D" w:rsidP="006126D6">
      <w:pPr>
        <w:pStyle w:val="ListParagraph"/>
        <w:numPr>
          <w:ilvl w:val="0"/>
          <w:numId w:val="35"/>
        </w:numPr>
        <w:spacing w:after="0"/>
        <w:ind w:left="357" w:hanging="357"/>
        <w:contextualSpacing w:val="0"/>
        <w:rPr>
          <w:color w:val="000000" w:themeColor="text1"/>
        </w:rPr>
      </w:pPr>
      <w:r>
        <w:rPr>
          <w:color w:val="000000" w:themeColor="text1"/>
        </w:rPr>
        <w:t>Should the Therapy Program be based on a Consumer Directed Care approach, with individualised goals?</w:t>
      </w:r>
    </w:p>
    <w:p w:rsidR="00256E3D" w:rsidRDefault="00256E3D" w:rsidP="006126D6">
      <w:pPr>
        <w:pStyle w:val="ListParagraph"/>
        <w:numPr>
          <w:ilvl w:val="0"/>
          <w:numId w:val="35"/>
        </w:numPr>
        <w:spacing w:after="0"/>
        <w:ind w:left="357" w:hanging="357"/>
        <w:contextualSpacing w:val="0"/>
        <w:rPr>
          <w:color w:val="000000" w:themeColor="text1"/>
        </w:rPr>
      </w:pPr>
      <w:r>
        <w:rPr>
          <w:color w:val="000000" w:themeColor="text1"/>
        </w:rPr>
        <w:t>How could the Therapy Program be designed for accountability purposes? Should it be time based Therapy Program? What documentation requirements would be needed?</w:t>
      </w:r>
    </w:p>
    <w:p w:rsidR="00980F62" w:rsidRDefault="00256E3D" w:rsidP="006126D6">
      <w:pPr>
        <w:spacing w:before="120"/>
        <w:rPr>
          <w:lang w:eastAsia="en-AU"/>
        </w:rPr>
      </w:pPr>
      <w:bookmarkStart w:id="476" w:name="_Hlk481500439"/>
      <w:r>
        <w:rPr>
          <w:lang w:eastAsia="en-AU"/>
        </w:rPr>
        <w:t xml:space="preserve">Stakeholders were very supportive of developing a broadly-based </w:t>
      </w:r>
      <w:r>
        <w:rPr>
          <w:color w:val="000000" w:themeColor="text1"/>
        </w:rPr>
        <w:t>Therapy Program</w:t>
      </w:r>
      <w:r>
        <w:rPr>
          <w:lang w:eastAsia="en-AU"/>
        </w:rPr>
        <w:t xml:space="preserve"> that incorporated the pain items as well as using the ACFI funding from the pain claims in the new Therapy Program. As an outcome of the feedback and comments from the consultations and other input from subject matter experts, the following principles were </w:t>
      </w:r>
      <w:r w:rsidRPr="008D61C7">
        <w:rPr>
          <w:lang w:eastAsia="en-AU"/>
        </w:rPr>
        <w:t>developed to guide the design of the Therapy Program:</w:t>
      </w:r>
    </w:p>
    <w:p w:rsidR="00256E3D" w:rsidRPr="008D61C7" w:rsidRDefault="0062223B" w:rsidP="00F02312">
      <w:pPr>
        <w:pStyle w:val="ListParagraph"/>
        <w:numPr>
          <w:ilvl w:val="0"/>
          <w:numId w:val="147"/>
        </w:numPr>
        <w:ind w:left="357" w:hanging="357"/>
        <w:rPr>
          <w:lang w:eastAsia="en-AU"/>
        </w:rPr>
      </w:pPr>
      <w:r w:rsidRPr="008D61C7">
        <w:rPr>
          <w:lang w:eastAsia="en-AU"/>
        </w:rPr>
        <w:t>Therapy programs should encompass a</w:t>
      </w:r>
      <w:r w:rsidR="00DB6CD5" w:rsidRPr="008D61C7">
        <w:rPr>
          <w:lang w:eastAsia="en-AU"/>
        </w:rPr>
        <w:t xml:space="preserve"> broad range of </w:t>
      </w:r>
      <w:r w:rsidR="00256E3D" w:rsidRPr="008D61C7">
        <w:rPr>
          <w:lang w:eastAsia="en-AU"/>
        </w:rPr>
        <w:t xml:space="preserve">physical therapy interventions to </w:t>
      </w:r>
      <w:r w:rsidR="00DB6CD5" w:rsidRPr="008D61C7">
        <w:rPr>
          <w:lang w:eastAsia="en-AU"/>
        </w:rPr>
        <w:t xml:space="preserve">ensure </w:t>
      </w:r>
      <w:r w:rsidR="00F9606C" w:rsidRPr="008D61C7">
        <w:rPr>
          <w:lang w:eastAsia="en-AU"/>
        </w:rPr>
        <w:t xml:space="preserve">(where relevant) </w:t>
      </w:r>
      <w:r w:rsidR="00DB6CD5" w:rsidRPr="008D61C7">
        <w:rPr>
          <w:lang w:eastAsia="en-AU"/>
        </w:rPr>
        <w:t xml:space="preserve">inclusion of </w:t>
      </w:r>
      <w:r w:rsidR="00256E3D" w:rsidRPr="008D61C7">
        <w:rPr>
          <w:lang w:eastAsia="en-AU"/>
        </w:rPr>
        <w:t xml:space="preserve">a </w:t>
      </w:r>
      <w:r w:rsidR="00927F26" w:rsidRPr="008D61C7">
        <w:rPr>
          <w:lang w:eastAsia="en-AU"/>
        </w:rPr>
        <w:t xml:space="preserve">maintenance of </w:t>
      </w:r>
      <w:r w:rsidR="00256E3D" w:rsidRPr="008D61C7">
        <w:rPr>
          <w:lang w:eastAsia="en-AU"/>
        </w:rPr>
        <w:t>general wellness</w:t>
      </w:r>
      <w:r w:rsidR="00927F26" w:rsidRPr="008D61C7">
        <w:rPr>
          <w:lang w:eastAsia="en-AU"/>
        </w:rPr>
        <w:t xml:space="preserve"> and </w:t>
      </w:r>
      <w:r w:rsidRPr="008D61C7">
        <w:rPr>
          <w:lang w:eastAsia="en-AU"/>
        </w:rPr>
        <w:t xml:space="preserve">a </w:t>
      </w:r>
      <w:r w:rsidR="00256E3D" w:rsidRPr="008D61C7">
        <w:rPr>
          <w:lang w:eastAsia="en-AU"/>
        </w:rPr>
        <w:t>restorative approach</w:t>
      </w:r>
      <w:r w:rsidR="006513A2">
        <w:rPr>
          <w:lang w:eastAsia="en-AU"/>
        </w:rPr>
        <w:t>.</w:t>
      </w:r>
    </w:p>
    <w:p w:rsidR="0062223B" w:rsidRPr="008D61C7" w:rsidRDefault="0062223B" w:rsidP="00F02312">
      <w:pPr>
        <w:pStyle w:val="ListParagraph"/>
        <w:numPr>
          <w:ilvl w:val="0"/>
          <w:numId w:val="147"/>
        </w:numPr>
        <w:ind w:left="357" w:hanging="357"/>
        <w:rPr>
          <w:lang w:eastAsia="en-AU"/>
        </w:rPr>
      </w:pPr>
      <w:r w:rsidRPr="008D61C7">
        <w:rPr>
          <w:lang w:eastAsia="en-AU"/>
        </w:rPr>
        <w:t>Therapy Programs should have an evidence-based underpinning and approach</w:t>
      </w:r>
      <w:r w:rsidR="00D9603B">
        <w:rPr>
          <w:lang w:eastAsia="en-AU"/>
        </w:rPr>
        <w:t>.</w:t>
      </w:r>
    </w:p>
    <w:p w:rsidR="0062223B" w:rsidRPr="008D61C7" w:rsidRDefault="00F9606C" w:rsidP="00F02312">
      <w:pPr>
        <w:pStyle w:val="ListParagraph"/>
        <w:numPr>
          <w:ilvl w:val="0"/>
          <w:numId w:val="147"/>
        </w:numPr>
        <w:ind w:left="357" w:hanging="357"/>
        <w:rPr>
          <w:lang w:eastAsia="en-AU"/>
        </w:rPr>
      </w:pPr>
      <w:r w:rsidRPr="008D61C7">
        <w:rPr>
          <w:lang w:eastAsia="en-AU"/>
        </w:rPr>
        <w:t xml:space="preserve">The Programs should </w:t>
      </w:r>
      <w:r w:rsidR="009143FB">
        <w:rPr>
          <w:lang w:eastAsia="en-AU"/>
        </w:rPr>
        <w:t>i</w:t>
      </w:r>
      <w:r w:rsidR="0062223B" w:rsidRPr="008D61C7">
        <w:rPr>
          <w:lang w:eastAsia="en-AU"/>
        </w:rPr>
        <w:t>nclude a wide range of therapeutic inputs from a variety of health professionals</w:t>
      </w:r>
      <w:r w:rsidR="006513A2">
        <w:rPr>
          <w:lang w:eastAsia="en-AU"/>
        </w:rPr>
        <w:t>.</w:t>
      </w:r>
    </w:p>
    <w:p w:rsidR="00980F62" w:rsidRDefault="0062223B" w:rsidP="00F02312">
      <w:pPr>
        <w:pStyle w:val="ListParagraph"/>
        <w:numPr>
          <w:ilvl w:val="0"/>
          <w:numId w:val="147"/>
        </w:numPr>
        <w:ind w:left="357" w:hanging="357"/>
        <w:rPr>
          <w:rFonts w:cstheme="minorHAnsi"/>
          <w:bCs/>
          <w:szCs w:val="24"/>
        </w:rPr>
      </w:pPr>
      <w:r w:rsidRPr="008D61C7">
        <w:rPr>
          <w:rFonts w:cstheme="minorHAnsi"/>
          <w:bCs/>
          <w:szCs w:val="24"/>
        </w:rPr>
        <w:t>Therapy Program</w:t>
      </w:r>
      <w:r w:rsidR="00F9606C" w:rsidRPr="008D61C7">
        <w:rPr>
          <w:rFonts w:cstheme="minorHAnsi"/>
          <w:bCs/>
          <w:szCs w:val="24"/>
        </w:rPr>
        <w:t>s will be designed and delivered as 1:1 or group activities</w:t>
      </w:r>
      <w:r w:rsidR="00D9603B">
        <w:rPr>
          <w:rFonts w:cstheme="minorHAnsi"/>
          <w:bCs/>
          <w:szCs w:val="24"/>
        </w:rPr>
        <w:t>.</w:t>
      </w:r>
    </w:p>
    <w:p w:rsidR="0062223B" w:rsidRPr="008D61C7" w:rsidRDefault="0075456B" w:rsidP="00F02312">
      <w:pPr>
        <w:pStyle w:val="ListParagraph"/>
        <w:numPr>
          <w:ilvl w:val="0"/>
          <w:numId w:val="147"/>
        </w:numPr>
        <w:ind w:left="357" w:hanging="357"/>
        <w:rPr>
          <w:lang w:eastAsia="en-AU"/>
        </w:rPr>
      </w:pPr>
      <w:r w:rsidRPr="008D61C7">
        <w:rPr>
          <w:lang w:eastAsia="en-AU"/>
        </w:rPr>
        <w:t>Consumers</w:t>
      </w:r>
      <w:r w:rsidR="00F9606C" w:rsidRPr="008D61C7">
        <w:rPr>
          <w:lang w:eastAsia="en-AU"/>
        </w:rPr>
        <w:t xml:space="preserve"> should be p</w:t>
      </w:r>
      <w:r w:rsidR="0062223B" w:rsidRPr="008D61C7">
        <w:rPr>
          <w:lang w:eastAsia="en-AU"/>
        </w:rPr>
        <w:t>rovide</w:t>
      </w:r>
      <w:r w:rsidR="00F9606C" w:rsidRPr="008D61C7">
        <w:rPr>
          <w:lang w:eastAsia="en-AU"/>
        </w:rPr>
        <w:t xml:space="preserve">d with </w:t>
      </w:r>
      <w:r w:rsidR="0062223B" w:rsidRPr="008D61C7">
        <w:rPr>
          <w:lang w:eastAsia="en-AU"/>
        </w:rPr>
        <w:t>opportunit</w:t>
      </w:r>
      <w:r w:rsidR="00F9606C" w:rsidRPr="008D61C7">
        <w:rPr>
          <w:lang w:eastAsia="en-AU"/>
        </w:rPr>
        <w:t>ies</w:t>
      </w:r>
      <w:r w:rsidR="0062223B" w:rsidRPr="008D61C7">
        <w:rPr>
          <w:lang w:eastAsia="en-AU"/>
        </w:rPr>
        <w:t xml:space="preserve"> to directly </w:t>
      </w:r>
      <w:r w:rsidR="00F9606C" w:rsidRPr="008D61C7">
        <w:rPr>
          <w:lang w:eastAsia="en-AU"/>
        </w:rPr>
        <w:t>influence the type and features of any program designed for them</w:t>
      </w:r>
      <w:r w:rsidR="006513A2">
        <w:rPr>
          <w:lang w:eastAsia="en-AU"/>
        </w:rPr>
        <w:t>.</w:t>
      </w:r>
    </w:p>
    <w:p w:rsidR="0062223B" w:rsidRPr="008D61C7" w:rsidRDefault="00F9606C" w:rsidP="00F02312">
      <w:pPr>
        <w:pStyle w:val="ListParagraph"/>
        <w:numPr>
          <w:ilvl w:val="0"/>
          <w:numId w:val="147"/>
        </w:numPr>
        <w:ind w:left="357" w:hanging="357"/>
        <w:rPr>
          <w:lang w:eastAsia="en-AU"/>
        </w:rPr>
      </w:pPr>
      <w:r w:rsidRPr="008D61C7">
        <w:rPr>
          <w:lang w:eastAsia="en-AU"/>
        </w:rPr>
        <w:t xml:space="preserve">The </w:t>
      </w:r>
      <w:r w:rsidR="0062223B" w:rsidRPr="008D61C7">
        <w:rPr>
          <w:lang w:eastAsia="en-AU"/>
        </w:rPr>
        <w:t xml:space="preserve">Therapy Program </w:t>
      </w:r>
      <w:r w:rsidRPr="008D61C7">
        <w:rPr>
          <w:lang w:eastAsia="en-AU"/>
        </w:rPr>
        <w:t xml:space="preserve">will incorporate </w:t>
      </w:r>
      <w:r w:rsidR="0062223B" w:rsidRPr="008D61C7">
        <w:rPr>
          <w:lang w:eastAsia="en-AU"/>
        </w:rPr>
        <w:t>an Accountability Framework</w:t>
      </w:r>
      <w:r w:rsidR="006513A2">
        <w:rPr>
          <w:lang w:eastAsia="en-AU"/>
        </w:rPr>
        <w:t>.</w:t>
      </w:r>
    </w:p>
    <w:p w:rsidR="00760E00" w:rsidRPr="008D61C7" w:rsidRDefault="00760E00" w:rsidP="00F02312">
      <w:pPr>
        <w:pStyle w:val="ListParagraph"/>
        <w:numPr>
          <w:ilvl w:val="0"/>
          <w:numId w:val="147"/>
        </w:numPr>
        <w:ind w:left="357" w:hanging="357"/>
        <w:rPr>
          <w:lang w:eastAsia="en-AU"/>
        </w:rPr>
      </w:pPr>
      <w:r w:rsidRPr="008D61C7">
        <w:rPr>
          <w:lang w:eastAsia="en-AU"/>
        </w:rPr>
        <w:t>All residents of aged care facilities will be eligible for the Therapy Program</w:t>
      </w:r>
      <w:r w:rsidR="006513A2">
        <w:rPr>
          <w:lang w:eastAsia="en-AU"/>
        </w:rPr>
        <w:t>.</w:t>
      </w:r>
    </w:p>
    <w:p w:rsidR="00CE775C" w:rsidRPr="008D61C7" w:rsidRDefault="00CE775C" w:rsidP="00F02312">
      <w:pPr>
        <w:pStyle w:val="ListParagraph"/>
        <w:numPr>
          <w:ilvl w:val="0"/>
          <w:numId w:val="147"/>
        </w:numPr>
        <w:ind w:left="357" w:hanging="357"/>
        <w:rPr>
          <w:lang w:eastAsia="en-AU"/>
        </w:rPr>
      </w:pPr>
      <w:r w:rsidRPr="008D61C7">
        <w:rPr>
          <w:lang w:eastAsia="en-AU"/>
        </w:rPr>
        <w:t>Funding will be available to supp</w:t>
      </w:r>
      <w:r w:rsidR="006513A2">
        <w:rPr>
          <w:lang w:eastAsia="en-AU"/>
        </w:rPr>
        <w:t>ort all residents in a facility.</w:t>
      </w:r>
    </w:p>
    <w:p w:rsidR="0062223B" w:rsidRDefault="00F9606C" w:rsidP="008C2EF2">
      <w:r>
        <w:lastRenderedPageBreak/>
        <w:t>The principles will now be discussed in more detail.</w:t>
      </w:r>
    </w:p>
    <w:p w:rsidR="0062223B" w:rsidRPr="00CB254C" w:rsidRDefault="0062223B" w:rsidP="008F72CD">
      <w:pPr>
        <w:pStyle w:val="Heading3-Chapter73"/>
      </w:pPr>
      <w:r w:rsidRPr="00CB254C">
        <w:t xml:space="preserve">Therapy programs should encompass a broad range of physical therapy interventions to ensure </w:t>
      </w:r>
      <w:r w:rsidR="00F9606C" w:rsidRPr="00CB254C">
        <w:t xml:space="preserve">(where relevant) </w:t>
      </w:r>
      <w:r w:rsidRPr="00CB254C">
        <w:t>inclusion of a maintenance of gen</w:t>
      </w:r>
      <w:r w:rsidR="00CB254C" w:rsidRPr="00CB254C">
        <w:t>eral wellness and a restorative</w:t>
      </w:r>
    </w:p>
    <w:p w:rsidR="00256E3D" w:rsidRPr="00CB254C" w:rsidRDefault="00256E3D" w:rsidP="008D61C7">
      <w:pPr>
        <w:rPr>
          <w:rFonts w:eastAsia="Times New Roman"/>
          <w:iCs/>
          <w:color w:val="000000"/>
          <w:szCs w:val="24"/>
        </w:rPr>
      </w:pPr>
      <w:r w:rsidRPr="00CB254C">
        <w:rPr>
          <w:rFonts w:eastAsia="Times New Roman"/>
          <w:iCs/>
          <w:color w:val="000000"/>
          <w:szCs w:val="24"/>
        </w:rPr>
        <w:t xml:space="preserve">Participants indicated that it would be a better outcome for residents’ wellbeing if the item is not restricted solely to pain management, but should incorporate other </w:t>
      </w:r>
      <w:r w:rsidR="00DB6CD5" w:rsidRPr="00CB254C">
        <w:rPr>
          <w:rFonts w:eastAsia="Times New Roman"/>
          <w:iCs/>
          <w:color w:val="000000"/>
          <w:szCs w:val="24"/>
        </w:rPr>
        <w:t>Therapy Program</w:t>
      </w:r>
      <w:r w:rsidRPr="00CB254C">
        <w:rPr>
          <w:rFonts w:eastAsia="Times New Roman"/>
          <w:iCs/>
          <w:color w:val="000000"/>
          <w:szCs w:val="24"/>
        </w:rPr>
        <w:t>s e.g. individual exercise, strengthening, balance and falls prevention programs – as determined clinically by the registered health professionals in consultation with the resident and their family. This would give a focus on wellness, reablement and maintenance of physical functioning.</w:t>
      </w:r>
    </w:p>
    <w:p w:rsidR="00256E3D" w:rsidRPr="00CB254C" w:rsidRDefault="00256E3D" w:rsidP="008D61C7">
      <w:pPr>
        <w:rPr>
          <w:rFonts w:eastAsia="Times New Roman"/>
          <w:i/>
          <w:iCs/>
          <w:color w:val="000000"/>
          <w:szCs w:val="24"/>
        </w:rPr>
      </w:pPr>
      <w:r w:rsidRPr="00CB254C">
        <w:rPr>
          <w:rFonts w:eastAsia="Times New Roman"/>
          <w:iCs/>
          <w:color w:val="000000"/>
          <w:szCs w:val="24"/>
        </w:rPr>
        <w:t xml:space="preserve">Feedback from a consultation participant indicated </w:t>
      </w:r>
      <w:r w:rsidRPr="00CB254C">
        <w:rPr>
          <w:rFonts w:eastAsia="Times New Roman"/>
          <w:i/>
          <w:iCs/>
          <w:color w:val="000000"/>
          <w:szCs w:val="24"/>
        </w:rPr>
        <w:t>“We believe the industry would readily embrace an approach that provides a more expansive view of ‘therapy’ within the funding instrument and one that is not limited to incentivising therapy through Q12 items 12.3, 12.4a and 12.4b”.</w:t>
      </w:r>
    </w:p>
    <w:p w:rsidR="0062223B" w:rsidRPr="00CB254C" w:rsidRDefault="0062223B" w:rsidP="008F72CD">
      <w:pPr>
        <w:pStyle w:val="Heading3-Chapter73"/>
      </w:pPr>
      <w:r w:rsidRPr="00CB254C">
        <w:t>Therapy Programs should have an evidence-based underpinning and approach</w:t>
      </w:r>
    </w:p>
    <w:p w:rsidR="00256E3D" w:rsidRPr="00CB254C" w:rsidRDefault="00256E3D" w:rsidP="008D61C7">
      <w:pPr>
        <w:rPr>
          <w:lang w:eastAsia="en-AU"/>
        </w:rPr>
      </w:pPr>
      <w:r w:rsidRPr="00CB254C">
        <w:rPr>
          <w:szCs w:val="24"/>
        </w:rPr>
        <w:t>T</w:t>
      </w:r>
      <w:r w:rsidRPr="00CB254C">
        <w:rPr>
          <w:lang w:eastAsia="en-AU"/>
        </w:rPr>
        <w:t>he Therapy Program will need to:</w:t>
      </w:r>
    </w:p>
    <w:p w:rsidR="00F9606C" w:rsidRPr="00CB254C" w:rsidRDefault="00F9606C" w:rsidP="00F02312">
      <w:pPr>
        <w:pStyle w:val="ListParagraph"/>
        <w:numPr>
          <w:ilvl w:val="0"/>
          <w:numId w:val="71"/>
        </w:numPr>
        <w:ind w:left="567" w:hanging="567"/>
        <w:rPr>
          <w:lang w:eastAsia="en-AU"/>
        </w:rPr>
      </w:pPr>
      <w:r w:rsidRPr="00CB254C">
        <w:rPr>
          <w:lang w:eastAsia="en-AU"/>
        </w:rPr>
        <w:t>Incorporate the pain management interventions currently being implemented so as not to lose the benefits of current pain management programs</w:t>
      </w:r>
    </w:p>
    <w:p w:rsidR="00F9606C" w:rsidRPr="00CB254C" w:rsidRDefault="00F9606C" w:rsidP="00F02312">
      <w:pPr>
        <w:pStyle w:val="ListParagraph"/>
        <w:numPr>
          <w:ilvl w:val="0"/>
          <w:numId w:val="71"/>
        </w:numPr>
        <w:ind w:left="567" w:hanging="567"/>
        <w:rPr>
          <w:lang w:eastAsia="en-AU"/>
        </w:rPr>
      </w:pPr>
      <w:r w:rsidRPr="00CB254C">
        <w:rPr>
          <w:lang w:eastAsia="en-AU"/>
        </w:rPr>
        <w:t>Include new wellness, reablement and maintenance physical therapies</w:t>
      </w:r>
    </w:p>
    <w:p w:rsidR="00F9606C" w:rsidRPr="00CB254C" w:rsidRDefault="00F9606C" w:rsidP="00F02312">
      <w:pPr>
        <w:pStyle w:val="ListParagraph"/>
        <w:numPr>
          <w:ilvl w:val="0"/>
          <w:numId w:val="71"/>
        </w:numPr>
        <w:ind w:left="567" w:hanging="567"/>
        <w:rPr>
          <w:lang w:eastAsia="en-AU"/>
        </w:rPr>
      </w:pPr>
      <w:r w:rsidRPr="00CB254C">
        <w:rPr>
          <w:lang w:eastAsia="en-AU"/>
        </w:rPr>
        <w:t>Ensure that any new physical therap</w:t>
      </w:r>
      <w:r w:rsidR="009143FB" w:rsidRPr="00CB254C">
        <w:rPr>
          <w:lang w:eastAsia="en-AU"/>
        </w:rPr>
        <w:t xml:space="preserve">y programs </w:t>
      </w:r>
      <w:r w:rsidRPr="00CB254C">
        <w:rPr>
          <w:lang w:eastAsia="en-AU"/>
        </w:rPr>
        <w:t>have a</w:t>
      </w:r>
      <w:r w:rsidR="00C15768" w:rsidRPr="00CB254C">
        <w:rPr>
          <w:lang w:eastAsia="en-AU"/>
        </w:rPr>
        <w:t xml:space="preserve">n </w:t>
      </w:r>
      <w:r w:rsidRPr="00CB254C">
        <w:rPr>
          <w:lang w:eastAsia="en-AU"/>
        </w:rPr>
        <w:t>evidence base for their design and implementation approach</w:t>
      </w:r>
    </w:p>
    <w:p w:rsidR="00980F62" w:rsidRDefault="00F9606C" w:rsidP="00F02312">
      <w:pPr>
        <w:pStyle w:val="ListParagraph"/>
        <w:numPr>
          <w:ilvl w:val="0"/>
          <w:numId w:val="71"/>
        </w:numPr>
        <w:ind w:left="567" w:hanging="567"/>
        <w:rPr>
          <w:lang w:eastAsia="en-AU"/>
        </w:rPr>
      </w:pPr>
      <w:r w:rsidRPr="00CB254C">
        <w:rPr>
          <w:lang w:eastAsia="en-AU"/>
        </w:rPr>
        <w:t>Support evidence-based assessments that produce measurable, objective outcomes</w:t>
      </w:r>
      <w:r w:rsidR="00C15768" w:rsidRPr="00CB254C">
        <w:rPr>
          <w:lang w:eastAsia="en-AU"/>
        </w:rPr>
        <w:t xml:space="preserve"> that will form the basis of the program evaluation component</w:t>
      </w:r>
      <w:r w:rsidRPr="00CB254C">
        <w:rPr>
          <w:lang w:eastAsia="en-AU"/>
        </w:rPr>
        <w:t>.</w:t>
      </w:r>
    </w:p>
    <w:p w:rsidR="00980F62" w:rsidRDefault="00256E3D" w:rsidP="008D61C7">
      <w:r w:rsidRPr="00CB254C">
        <w:rPr>
          <w:lang w:eastAsia="en-AU"/>
        </w:rPr>
        <w:t xml:space="preserve">A new Therapy Program is a logical fit with the ACFI pain items, and the new program would be designed to fit with contemporary best pain practice and a broader range of physical interventions – for example, evidence-based pain treatments including therapeutic exercises as recommended by the PMG </w:t>
      </w:r>
      <w:r w:rsidRPr="00CB254C">
        <w:t xml:space="preserve">(Pain Management Guidelines) </w:t>
      </w:r>
      <w:r w:rsidRPr="00CB254C">
        <w:rPr>
          <w:lang w:eastAsia="en-AU"/>
        </w:rPr>
        <w:t xml:space="preserve">Kit for Aged Care. </w:t>
      </w:r>
      <w:r w:rsidRPr="00CB254C">
        <w:t>The PMG Kit for Aged Care accompanies The Australian Pain Society’s Pain in Residential Aged Care Facilities: Management Strategies (Goucke, Kristjanson, &amp; Toye, 2007).</w:t>
      </w:r>
    </w:p>
    <w:p w:rsidR="00F9606C" w:rsidRPr="00CB254C" w:rsidRDefault="00F9606C" w:rsidP="008D61C7">
      <w:pPr>
        <w:rPr>
          <w:lang w:eastAsia="en-AU"/>
        </w:rPr>
      </w:pPr>
      <w:r w:rsidRPr="00CB254C">
        <w:rPr>
          <w:lang w:eastAsia="en-AU"/>
        </w:rPr>
        <w:t>Appendix 7</w:t>
      </w:r>
      <w:r w:rsidR="00C15768" w:rsidRPr="00CB254C">
        <w:rPr>
          <w:lang w:eastAsia="en-AU"/>
        </w:rPr>
        <w:t>.1</w:t>
      </w:r>
      <w:r w:rsidRPr="00CB254C">
        <w:rPr>
          <w:lang w:eastAsia="en-AU"/>
        </w:rPr>
        <w:t xml:space="preserve"> Assessment Pack for the Therapy Program provides reviews of recommended functional and pain assessments.</w:t>
      </w:r>
    </w:p>
    <w:p w:rsidR="00980F62" w:rsidRDefault="00F9606C" w:rsidP="008F72CD">
      <w:pPr>
        <w:pStyle w:val="Heading3-Chapter73"/>
      </w:pPr>
      <w:r w:rsidRPr="00CB254C">
        <w:lastRenderedPageBreak/>
        <w:t xml:space="preserve">The Programs should </w:t>
      </w:r>
      <w:r w:rsidR="009143FB" w:rsidRPr="00CB254C">
        <w:t>i</w:t>
      </w:r>
      <w:r w:rsidRPr="00CB254C">
        <w:t>nclude a wide range of therapeutic inputs from a variety of health professionals</w:t>
      </w:r>
    </w:p>
    <w:p w:rsidR="00256E3D" w:rsidRPr="00CB254C" w:rsidRDefault="00F9606C" w:rsidP="008D61C7">
      <w:pPr>
        <w:rPr>
          <w:lang w:eastAsia="en-AU"/>
        </w:rPr>
      </w:pPr>
      <w:r w:rsidRPr="00CB254C">
        <w:rPr>
          <w:lang w:eastAsia="en-AU"/>
        </w:rPr>
        <w:t>Each Therapy Program should a</w:t>
      </w:r>
      <w:r w:rsidR="00256E3D" w:rsidRPr="00CB254C">
        <w:rPr>
          <w:lang w:eastAsia="en-AU"/>
        </w:rPr>
        <w:t>llow for a range of physical therapist and RN inputs to provide a multi-disciplinary range of specialist assessment and program delivery options.</w:t>
      </w:r>
    </w:p>
    <w:p w:rsidR="00256E3D" w:rsidRPr="00CB254C" w:rsidRDefault="00256E3D" w:rsidP="008D61C7">
      <w:pPr>
        <w:spacing w:after="200"/>
        <w:rPr>
          <w:lang w:eastAsia="en-AU"/>
        </w:rPr>
      </w:pPr>
      <w:r w:rsidRPr="00CB254C">
        <w:rPr>
          <w:lang w:eastAsia="en-AU"/>
        </w:rPr>
        <w:t>A subset of the Health Professionals</w:t>
      </w:r>
      <w:r w:rsidRPr="00CB254C">
        <w:rPr>
          <w:b/>
          <w:lang w:eastAsia="en-AU"/>
        </w:rPr>
        <w:t xml:space="preserve"> </w:t>
      </w:r>
      <w:r w:rsidRPr="00CB254C">
        <w:rPr>
          <w:lang w:eastAsia="en-AU"/>
        </w:rPr>
        <w:t>as identified in the current ACFI User Guide (page 38) have been suggested as suitable</w:t>
      </w:r>
      <w:r w:rsidRPr="00CB254C">
        <w:rPr>
          <w:b/>
          <w:lang w:eastAsia="en-AU"/>
        </w:rPr>
        <w:t xml:space="preserve"> </w:t>
      </w:r>
      <w:r w:rsidRPr="00CB254C">
        <w:rPr>
          <w:lang w:eastAsia="en-AU"/>
        </w:rPr>
        <w:t xml:space="preserve">to undertake assessments, develop the Therapy </w:t>
      </w:r>
      <w:r w:rsidR="00A5317E" w:rsidRPr="00CB254C">
        <w:rPr>
          <w:lang w:eastAsia="en-AU"/>
        </w:rPr>
        <w:t xml:space="preserve">Program </w:t>
      </w:r>
      <w:r w:rsidRPr="00CB254C">
        <w:rPr>
          <w:lang w:eastAsia="en-AU"/>
        </w:rPr>
        <w:t>Care Plan and deliver the interventions.</w:t>
      </w:r>
    </w:p>
    <w:p w:rsidR="00980F62" w:rsidRDefault="00A5317E" w:rsidP="008F72CD">
      <w:pPr>
        <w:pStyle w:val="Heading3-Chapter73"/>
      </w:pPr>
      <w:r w:rsidRPr="00CB254C">
        <w:t>Therapy Programs will be designed and delivered as 1:1 or group activities</w:t>
      </w:r>
    </w:p>
    <w:p w:rsidR="00256E3D" w:rsidRPr="00CB254C" w:rsidRDefault="00256E3D" w:rsidP="008D61C7">
      <w:pPr>
        <w:rPr>
          <w:rFonts w:cstheme="minorHAnsi"/>
          <w:szCs w:val="24"/>
        </w:rPr>
      </w:pPr>
      <w:r w:rsidRPr="00CB254C">
        <w:rPr>
          <w:rFonts w:cstheme="minorHAnsi"/>
          <w:szCs w:val="24"/>
        </w:rPr>
        <w:t xml:space="preserve">Consultation feedback, discussions with content matter experts (e.g. physiotherapists, exercise physiologists) and </w:t>
      </w:r>
      <w:r w:rsidR="00A5317E" w:rsidRPr="00CB254C">
        <w:rPr>
          <w:rFonts w:cstheme="minorHAnsi"/>
          <w:szCs w:val="24"/>
        </w:rPr>
        <w:t xml:space="preserve">review of relevant literature </w:t>
      </w:r>
      <w:r w:rsidRPr="00CB254C">
        <w:rPr>
          <w:rFonts w:cstheme="minorHAnsi"/>
          <w:szCs w:val="24"/>
        </w:rPr>
        <w:t xml:space="preserve">(refer to section 7.2) have informed on the following </w:t>
      </w:r>
      <w:r w:rsidR="00A5317E" w:rsidRPr="00CB254C">
        <w:rPr>
          <w:rFonts w:cstheme="minorHAnsi"/>
          <w:szCs w:val="24"/>
        </w:rPr>
        <w:t xml:space="preserve">aspects of </w:t>
      </w:r>
      <w:r w:rsidRPr="00CB254C">
        <w:rPr>
          <w:rFonts w:cstheme="minorHAnsi"/>
          <w:szCs w:val="24"/>
        </w:rPr>
        <w:t xml:space="preserve">Therapy Program </w:t>
      </w:r>
      <w:r w:rsidR="00A5317E" w:rsidRPr="00CB254C">
        <w:rPr>
          <w:rFonts w:cstheme="minorHAnsi"/>
          <w:szCs w:val="24"/>
        </w:rPr>
        <w:t>design and delivery.</w:t>
      </w:r>
    </w:p>
    <w:p w:rsidR="00A5317E" w:rsidRPr="00BA356F" w:rsidRDefault="00A5317E" w:rsidP="008C2EF2">
      <w:pPr>
        <w:spacing w:after="0"/>
        <w:rPr>
          <w:rStyle w:val="Strong"/>
        </w:rPr>
      </w:pPr>
      <w:r w:rsidRPr="00BA356F">
        <w:rPr>
          <w:rStyle w:val="Strong"/>
        </w:rPr>
        <w:t>Group size:</w:t>
      </w:r>
    </w:p>
    <w:p w:rsidR="00980F62" w:rsidRDefault="00256E3D" w:rsidP="008D61C7">
      <w:pPr>
        <w:rPr>
          <w:rFonts w:cstheme="minorHAnsi"/>
          <w:szCs w:val="24"/>
        </w:rPr>
      </w:pPr>
      <w:r w:rsidRPr="00CB254C">
        <w:rPr>
          <w:rFonts w:cstheme="minorHAnsi"/>
          <w:szCs w:val="24"/>
        </w:rPr>
        <w:t xml:space="preserve">Both individual and small groups </w:t>
      </w:r>
      <w:r w:rsidR="00A5317E" w:rsidRPr="00CB254C">
        <w:rPr>
          <w:rFonts w:cstheme="minorHAnsi"/>
          <w:szCs w:val="24"/>
        </w:rPr>
        <w:t xml:space="preserve">may </w:t>
      </w:r>
      <w:r w:rsidRPr="00CB254C">
        <w:rPr>
          <w:rFonts w:cstheme="minorHAnsi"/>
          <w:szCs w:val="24"/>
        </w:rPr>
        <w:t xml:space="preserve">be appropriate </w:t>
      </w:r>
      <w:r w:rsidR="00DB6CD5" w:rsidRPr="00CB254C">
        <w:rPr>
          <w:rFonts w:cstheme="minorHAnsi"/>
          <w:szCs w:val="24"/>
        </w:rPr>
        <w:t>Therapy Program</w:t>
      </w:r>
      <w:r w:rsidRPr="00CB254C">
        <w:rPr>
          <w:rFonts w:cstheme="minorHAnsi"/>
          <w:szCs w:val="24"/>
        </w:rPr>
        <w:t xml:space="preserve"> models, depending on the resident’s physical therapy needs and individual choice.</w:t>
      </w:r>
    </w:p>
    <w:p w:rsidR="00A5317E" w:rsidRPr="00BA356F" w:rsidRDefault="00256E3D" w:rsidP="008C2EF2">
      <w:pPr>
        <w:spacing w:after="0"/>
        <w:rPr>
          <w:rStyle w:val="Strong"/>
        </w:rPr>
      </w:pPr>
      <w:r w:rsidRPr="00BA356F">
        <w:rPr>
          <w:rStyle w:val="Strong"/>
        </w:rPr>
        <w:t>One-on-one therapy</w:t>
      </w:r>
      <w:r w:rsidR="00A5317E" w:rsidRPr="00BA356F">
        <w:rPr>
          <w:rStyle w:val="Strong"/>
        </w:rPr>
        <w:t>:</w:t>
      </w:r>
    </w:p>
    <w:p w:rsidR="00A5317E" w:rsidRPr="00CB254C" w:rsidRDefault="0075456B" w:rsidP="00557DB1">
      <w:pPr>
        <w:pStyle w:val="ListParagraph"/>
        <w:numPr>
          <w:ilvl w:val="0"/>
          <w:numId w:val="35"/>
        </w:numPr>
        <w:rPr>
          <w:color w:val="000000" w:themeColor="text1"/>
        </w:rPr>
      </w:pPr>
      <w:r w:rsidRPr="00CB254C">
        <w:rPr>
          <w:color w:val="000000" w:themeColor="text1"/>
        </w:rPr>
        <w:t>U</w:t>
      </w:r>
      <w:r w:rsidR="00256E3D" w:rsidRPr="00CB254C">
        <w:rPr>
          <w:color w:val="000000" w:themeColor="text1"/>
        </w:rPr>
        <w:t>sually requires a more intense input by the participant</w:t>
      </w:r>
    </w:p>
    <w:p w:rsidR="00A5317E" w:rsidRPr="00CB254C" w:rsidRDefault="0075456B" w:rsidP="00557DB1">
      <w:pPr>
        <w:pStyle w:val="ListParagraph"/>
        <w:numPr>
          <w:ilvl w:val="0"/>
          <w:numId w:val="35"/>
        </w:numPr>
        <w:rPr>
          <w:color w:val="000000" w:themeColor="text1"/>
        </w:rPr>
      </w:pPr>
      <w:r w:rsidRPr="00CB254C">
        <w:rPr>
          <w:color w:val="000000" w:themeColor="text1"/>
        </w:rPr>
        <w:t>B</w:t>
      </w:r>
      <w:r w:rsidR="00256E3D" w:rsidRPr="00CB254C">
        <w:rPr>
          <w:color w:val="000000" w:themeColor="text1"/>
        </w:rPr>
        <w:t>est delivered in a session time of around 20 to 30 minutes</w:t>
      </w:r>
      <w:r w:rsidRPr="00CB254C">
        <w:rPr>
          <w:color w:val="000000" w:themeColor="text1"/>
        </w:rPr>
        <w:t>.</w:t>
      </w:r>
    </w:p>
    <w:p w:rsidR="0075456B" w:rsidRPr="00BA356F" w:rsidRDefault="00A5317E" w:rsidP="008C2EF2">
      <w:pPr>
        <w:spacing w:after="0"/>
        <w:rPr>
          <w:rStyle w:val="Strong"/>
        </w:rPr>
      </w:pPr>
      <w:r w:rsidRPr="00BA356F">
        <w:rPr>
          <w:rStyle w:val="Strong"/>
        </w:rPr>
        <w:t>Group Therapy Sessions:</w:t>
      </w:r>
    </w:p>
    <w:p w:rsidR="0075456B" w:rsidRPr="00CB254C" w:rsidRDefault="0075456B" w:rsidP="00557DB1">
      <w:pPr>
        <w:pStyle w:val="ListParagraph"/>
        <w:numPr>
          <w:ilvl w:val="0"/>
          <w:numId w:val="35"/>
        </w:numPr>
        <w:rPr>
          <w:color w:val="000000" w:themeColor="text1"/>
        </w:rPr>
      </w:pPr>
      <w:r w:rsidRPr="00CB254C">
        <w:rPr>
          <w:color w:val="000000" w:themeColor="text1"/>
        </w:rPr>
        <w:t>P</w:t>
      </w:r>
      <w:r w:rsidR="00256E3D" w:rsidRPr="00CB254C">
        <w:rPr>
          <w:color w:val="000000" w:themeColor="text1"/>
        </w:rPr>
        <w:t>rovide both physical and psychosocial benefits for participants</w:t>
      </w:r>
      <w:r w:rsidR="005D5BFB" w:rsidRPr="00CB254C">
        <w:rPr>
          <w:color w:val="000000" w:themeColor="text1"/>
        </w:rPr>
        <w:t>.</w:t>
      </w:r>
    </w:p>
    <w:p w:rsidR="00256E3D" w:rsidRPr="00CB254C" w:rsidRDefault="0075456B" w:rsidP="00557DB1">
      <w:pPr>
        <w:pStyle w:val="ListParagraph"/>
        <w:numPr>
          <w:ilvl w:val="0"/>
          <w:numId w:val="35"/>
        </w:numPr>
        <w:rPr>
          <w:color w:val="000000" w:themeColor="text1"/>
        </w:rPr>
      </w:pPr>
      <w:r w:rsidRPr="00CB254C">
        <w:rPr>
          <w:color w:val="000000" w:themeColor="text1"/>
        </w:rPr>
        <w:t>F</w:t>
      </w:r>
      <w:r w:rsidR="00256E3D" w:rsidRPr="00CB254C">
        <w:rPr>
          <w:color w:val="000000" w:themeColor="text1"/>
        </w:rPr>
        <w:t>oster social connections and feelings of belonging (Martin et al., 2013). It was considered that group sessions could be delivered in a longer session.</w:t>
      </w:r>
    </w:p>
    <w:p w:rsidR="0075456B" w:rsidRPr="00CB254C" w:rsidRDefault="0075456B" w:rsidP="00557DB1">
      <w:pPr>
        <w:pStyle w:val="ListParagraph"/>
        <w:numPr>
          <w:ilvl w:val="0"/>
          <w:numId w:val="35"/>
        </w:numPr>
        <w:rPr>
          <w:color w:val="000000" w:themeColor="text1"/>
        </w:rPr>
      </w:pPr>
      <w:r w:rsidRPr="00CB254C">
        <w:rPr>
          <w:color w:val="000000" w:themeColor="text1"/>
        </w:rPr>
        <w:t xml:space="preserve">Should </w:t>
      </w:r>
      <w:r w:rsidR="00256E3D" w:rsidRPr="00CB254C">
        <w:rPr>
          <w:color w:val="000000" w:themeColor="text1"/>
        </w:rPr>
        <w:t>hav</w:t>
      </w:r>
      <w:r w:rsidRPr="00CB254C">
        <w:rPr>
          <w:color w:val="000000" w:themeColor="text1"/>
        </w:rPr>
        <w:t>e</w:t>
      </w:r>
      <w:r w:rsidR="00256E3D" w:rsidRPr="00CB254C">
        <w:rPr>
          <w:color w:val="000000" w:themeColor="text1"/>
        </w:rPr>
        <w:t xml:space="preserve"> a maximum of 5 people, following similar Medicare/ Private health Insurance rebate practices</w:t>
      </w:r>
      <w:r w:rsidR="005D5BFB" w:rsidRPr="00CB254C">
        <w:rPr>
          <w:color w:val="000000" w:themeColor="text1"/>
        </w:rPr>
        <w:t>.</w:t>
      </w:r>
    </w:p>
    <w:p w:rsidR="00980F62" w:rsidRDefault="0075456B" w:rsidP="00557DB1">
      <w:pPr>
        <w:pStyle w:val="ListParagraph"/>
        <w:numPr>
          <w:ilvl w:val="0"/>
          <w:numId w:val="35"/>
        </w:numPr>
        <w:rPr>
          <w:color w:val="000000" w:themeColor="text1"/>
        </w:rPr>
      </w:pPr>
      <w:r w:rsidRPr="00CB254C">
        <w:rPr>
          <w:color w:val="000000" w:themeColor="text1"/>
        </w:rPr>
        <w:t>Sma</w:t>
      </w:r>
      <w:r w:rsidR="00256E3D" w:rsidRPr="00CB254C">
        <w:rPr>
          <w:color w:val="000000" w:themeColor="text1"/>
        </w:rPr>
        <w:t>ll group sessions should be delivered in approximately 50 minute sessions.</w:t>
      </w:r>
    </w:p>
    <w:p w:rsidR="00256E3D" w:rsidRPr="00CB254C" w:rsidRDefault="00256E3D" w:rsidP="008D61C7">
      <w:pPr>
        <w:rPr>
          <w:rFonts w:cstheme="minorHAnsi"/>
          <w:szCs w:val="24"/>
        </w:rPr>
      </w:pPr>
      <w:r w:rsidRPr="00CB254C">
        <w:rPr>
          <w:rFonts w:cstheme="minorHAnsi"/>
          <w:szCs w:val="24"/>
        </w:rPr>
        <w:t>Feedback also indicated that the profile of aged care residents (e.g. frailty, older age, poor functional status) are most suited to a maximum of 3 to 4 sessions per week.</w:t>
      </w:r>
    </w:p>
    <w:p w:rsidR="00980F62" w:rsidRDefault="00256E3D" w:rsidP="008D61C7">
      <w:pPr>
        <w:rPr>
          <w:rFonts w:cstheme="minorHAnsi"/>
          <w:szCs w:val="24"/>
        </w:rPr>
      </w:pPr>
      <w:r w:rsidRPr="00CB254C">
        <w:rPr>
          <w:rFonts w:cstheme="minorHAnsi"/>
          <w:szCs w:val="24"/>
        </w:rPr>
        <w:t xml:space="preserve">The most complex ACFI pain item (ACFI 12.4b) currently requires 80 minutes of therapy per week. </w:t>
      </w:r>
      <w:r w:rsidR="00AF66BE" w:rsidRPr="00CB254C">
        <w:rPr>
          <w:rFonts w:cstheme="minorHAnsi"/>
          <w:szCs w:val="24"/>
        </w:rPr>
        <w:t xml:space="preserve">The R-ACFI </w:t>
      </w:r>
      <w:r w:rsidRPr="00CB254C">
        <w:rPr>
          <w:rFonts w:cstheme="minorHAnsi"/>
          <w:szCs w:val="24"/>
        </w:rPr>
        <w:t>Therapy Program would operate using a mix of individual and groups sessions that would both suit various resident profiles and choice, and be cost effective.</w:t>
      </w:r>
    </w:p>
    <w:p w:rsidR="00980F62" w:rsidRDefault="0075456B" w:rsidP="008F72CD">
      <w:pPr>
        <w:pStyle w:val="Heading3-Chapter73"/>
      </w:pPr>
      <w:r w:rsidRPr="00CB254C">
        <w:t>Consumers should be provided with opportunities to directly influence the type and features of any program designed for them</w:t>
      </w:r>
    </w:p>
    <w:p w:rsidR="00980F62" w:rsidRDefault="00256E3D" w:rsidP="008D61C7">
      <w:pPr>
        <w:rPr>
          <w:lang w:eastAsia="en-AU"/>
        </w:rPr>
      </w:pPr>
      <w:r w:rsidRPr="00CB254C">
        <w:rPr>
          <w:lang w:eastAsia="en-AU"/>
        </w:rPr>
        <w:t>To ensure the Therapy Program has a consumer focus from commencement, residents and their families should be meaningfully in</w:t>
      </w:r>
      <w:r w:rsidR="0075456B" w:rsidRPr="00CB254C">
        <w:rPr>
          <w:lang w:eastAsia="en-AU"/>
        </w:rPr>
        <w:t xml:space="preserve">volved </w:t>
      </w:r>
      <w:r w:rsidRPr="00CB254C">
        <w:rPr>
          <w:lang w:eastAsia="en-AU"/>
        </w:rPr>
        <w:t xml:space="preserve">in the design of the therapy </w:t>
      </w:r>
      <w:r w:rsidR="0075456B" w:rsidRPr="00CB254C">
        <w:rPr>
          <w:lang w:eastAsia="en-AU"/>
        </w:rPr>
        <w:t xml:space="preserve">program </w:t>
      </w:r>
      <w:r w:rsidRPr="00CB254C">
        <w:rPr>
          <w:lang w:eastAsia="en-AU"/>
        </w:rPr>
        <w:t>care plan, including goals and desired outcomes.</w:t>
      </w:r>
    </w:p>
    <w:p w:rsidR="00256E3D" w:rsidRPr="00CB254C" w:rsidRDefault="00256E3D" w:rsidP="008D61C7">
      <w:pPr>
        <w:rPr>
          <w:lang w:eastAsia="en-AU"/>
        </w:rPr>
      </w:pPr>
      <w:r w:rsidRPr="00CB254C">
        <w:rPr>
          <w:lang w:eastAsia="en-AU"/>
        </w:rPr>
        <w:t>The consumer should be involved in:</w:t>
      </w:r>
    </w:p>
    <w:p w:rsidR="00256E3D" w:rsidRPr="00CB254C" w:rsidRDefault="00256E3D" w:rsidP="00557DB1">
      <w:pPr>
        <w:pStyle w:val="ListParagraph"/>
        <w:numPr>
          <w:ilvl w:val="0"/>
          <w:numId w:val="35"/>
        </w:numPr>
        <w:rPr>
          <w:color w:val="000000" w:themeColor="text1"/>
        </w:rPr>
      </w:pPr>
      <w:r w:rsidRPr="00CB254C">
        <w:rPr>
          <w:color w:val="000000" w:themeColor="text1"/>
        </w:rPr>
        <w:t>Consenting to program participation</w:t>
      </w:r>
      <w:r w:rsidR="005D5BFB" w:rsidRPr="00CB254C">
        <w:rPr>
          <w:color w:val="000000" w:themeColor="text1"/>
        </w:rPr>
        <w:t>.</w:t>
      </w:r>
    </w:p>
    <w:p w:rsidR="00256E3D" w:rsidRPr="00CB254C" w:rsidRDefault="00256E3D" w:rsidP="00557DB1">
      <w:pPr>
        <w:pStyle w:val="ListParagraph"/>
        <w:numPr>
          <w:ilvl w:val="0"/>
          <w:numId w:val="35"/>
        </w:numPr>
        <w:rPr>
          <w:color w:val="000000" w:themeColor="text1"/>
        </w:rPr>
      </w:pPr>
      <w:r w:rsidRPr="00CB254C">
        <w:rPr>
          <w:color w:val="000000" w:themeColor="text1"/>
        </w:rPr>
        <w:t>The selection of program options</w:t>
      </w:r>
      <w:r w:rsidR="005D5BFB" w:rsidRPr="00CB254C">
        <w:rPr>
          <w:color w:val="000000" w:themeColor="text1"/>
        </w:rPr>
        <w:t>.</w:t>
      </w:r>
    </w:p>
    <w:p w:rsidR="00256E3D" w:rsidRPr="00CB254C" w:rsidRDefault="00256E3D" w:rsidP="00557DB1">
      <w:pPr>
        <w:pStyle w:val="ListParagraph"/>
        <w:numPr>
          <w:ilvl w:val="0"/>
          <w:numId w:val="35"/>
        </w:numPr>
        <w:rPr>
          <w:color w:val="000000" w:themeColor="text1"/>
        </w:rPr>
      </w:pPr>
      <w:r w:rsidRPr="00CB254C">
        <w:rPr>
          <w:color w:val="000000" w:themeColor="text1"/>
        </w:rPr>
        <w:t>The design of resident determined goals (e.g. by using SMART Goals – refer below)</w:t>
      </w:r>
      <w:r w:rsidR="005D5BFB" w:rsidRPr="00CB254C">
        <w:rPr>
          <w:color w:val="000000" w:themeColor="text1"/>
        </w:rPr>
        <w:t>.</w:t>
      </w:r>
    </w:p>
    <w:p w:rsidR="00980F62" w:rsidRDefault="00256E3D" w:rsidP="00557DB1">
      <w:pPr>
        <w:pStyle w:val="ListParagraph"/>
        <w:numPr>
          <w:ilvl w:val="0"/>
          <w:numId w:val="35"/>
        </w:numPr>
        <w:rPr>
          <w:color w:val="000000" w:themeColor="text1"/>
        </w:rPr>
      </w:pPr>
      <w:r w:rsidRPr="00CB254C">
        <w:rPr>
          <w:color w:val="000000" w:themeColor="text1"/>
        </w:rPr>
        <w:t>Signing off on the Therapy Care Plan</w:t>
      </w:r>
      <w:r w:rsidR="005D5BFB" w:rsidRPr="00CB254C">
        <w:rPr>
          <w:color w:val="000000" w:themeColor="text1"/>
        </w:rPr>
        <w:t>.</w:t>
      </w:r>
    </w:p>
    <w:p w:rsidR="00256E3D" w:rsidRPr="00CB254C" w:rsidRDefault="00256E3D" w:rsidP="00557DB1">
      <w:pPr>
        <w:pStyle w:val="ListParagraph"/>
        <w:numPr>
          <w:ilvl w:val="0"/>
          <w:numId w:val="35"/>
        </w:numPr>
        <w:rPr>
          <w:color w:val="000000" w:themeColor="text1"/>
        </w:rPr>
      </w:pPr>
      <w:r w:rsidRPr="00CB254C">
        <w:rPr>
          <w:color w:val="000000" w:themeColor="text1"/>
        </w:rPr>
        <w:t>Consumer fee</w:t>
      </w:r>
      <w:r w:rsidR="00C15768" w:rsidRPr="00CB254C">
        <w:rPr>
          <w:color w:val="000000" w:themeColor="text1"/>
        </w:rPr>
        <w:t>dback as part of the evaluation</w:t>
      </w:r>
      <w:r w:rsidR="0075456B" w:rsidRPr="00CB254C">
        <w:rPr>
          <w:color w:val="000000" w:themeColor="text1"/>
        </w:rPr>
        <w:t>.</w:t>
      </w:r>
    </w:p>
    <w:p w:rsidR="0075456B" w:rsidRPr="00CB254C" w:rsidRDefault="00256E3D" w:rsidP="008D61C7">
      <w:pPr>
        <w:rPr>
          <w:lang w:eastAsia="en-AU"/>
        </w:rPr>
      </w:pPr>
      <w:r w:rsidRPr="00CB254C">
        <w:rPr>
          <w:lang w:eastAsia="en-AU"/>
        </w:rPr>
        <w:t xml:space="preserve">SMART goals provide a guide for the health professional on how to develop (resident informed) goals and outcomes that will fit into a quality improvement approach, ensuring that the collected information is functional and fit for multiple purposes. SMART goals describe what the resident wants out of the </w:t>
      </w:r>
      <w:r w:rsidR="00DB6CD5" w:rsidRPr="00CB254C">
        <w:rPr>
          <w:lang w:eastAsia="en-AU"/>
        </w:rPr>
        <w:t>Therapy Program</w:t>
      </w:r>
      <w:r w:rsidRPr="00CB254C">
        <w:rPr>
          <w:lang w:eastAsia="en-AU"/>
        </w:rPr>
        <w:t>, and will also be capable of forming part of an objective outcome measure.</w:t>
      </w:r>
    </w:p>
    <w:p w:rsidR="00256E3D" w:rsidRPr="00CB254C" w:rsidRDefault="0075456B" w:rsidP="00CB254C">
      <w:pPr>
        <w:ind w:right="-188"/>
        <w:rPr>
          <w:lang w:eastAsia="en-AU"/>
        </w:rPr>
      </w:pPr>
      <w:r w:rsidRPr="00BA356F">
        <w:rPr>
          <w:rStyle w:val="Strong"/>
        </w:rPr>
        <w:t>Recommendation:</w:t>
      </w:r>
      <w:r w:rsidRPr="00CB254C">
        <w:rPr>
          <w:lang w:eastAsia="en-AU"/>
        </w:rPr>
        <w:t xml:space="preserve"> I</w:t>
      </w:r>
      <w:r w:rsidR="00256E3D" w:rsidRPr="00CB254C">
        <w:rPr>
          <w:lang w:eastAsia="en-AU"/>
        </w:rPr>
        <w:t xml:space="preserve">nformation on SMART goals be inserted into the </w:t>
      </w:r>
      <w:r w:rsidR="00C15768" w:rsidRPr="00CB254C">
        <w:rPr>
          <w:lang w:eastAsia="en-AU"/>
        </w:rPr>
        <w:t>R-</w:t>
      </w:r>
      <w:r w:rsidR="00256E3D" w:rsidRPr="00CB254C">
        <w:rPr>
          <w:lang w:eastAsia="en-AU"/>
        </w:rPr>
        <w:t>ACFI Assessment Pack.</w:t>
      </w:r>
    </w:p>
    <w:p w:rsidR="00980F62" w:rsidRDefault="00474A5F" w:rsidP="00474A5F">
      <w:pPr>
        <w:shd w:val="clear" w:color="auto" w:fill="D9D9D9" w:themeFill="background1" w:themeFillShade="D9"/>
        <w:rPr>
          <w:rFonts w:cstheme="minorHAnsi"/>
          <w:i/>
          <w:sz w:val="22"/>
        </w:rPr>
      </w:pPr>
      <w:r w:rsidRPr="00CB254C">
        <w:rPr>
          <w:rFonts w:cstheme="minorHAnsi"/>
          <w:b/>
          <w:i/>
          <w:sz w:val="22"/>
        </w:rPr>
        <w:t>SMART goals</w:t>
      </w:r>
      <w:r w:rsidRPr="00CB254C">
        <w:rPr>
          <w:rFonts w:cstheme="minorHAnsi"/>
          <w:i/>
          <w:sz w:val="22"/>
        </w:rPr>
        <w:t xml:space="preserve"> (Project Smart, 2017) are an example of a standardised approach to goal setting with measurable outcomes. The acronym SMART stands for:</w:t>
      </w:r>
    </w:p>
    <w:p w:rsidR="00980F62" w:rsidRDefault="00474A5F" w:rsidP="00474A5F">
      <w:pPr>
        <w:pStyle w:val="ListParagraph"/>
        <w:numPr>
          <w:ilvl w:val="0"/>
          <w:numId w:val="41"/>
        </w:numPr>
        <w:shd w:val="clear" w:color="auto" w:fill="D9D9D9" w:themeFill="background1" w:themeFillShade="D9"/>
        <w:ind w:left="357" w:hanging="357"/>
        <w:rPr>
          <w:rFonts w:eastAsia="Calibri" w:cstheme="minorHAnsi"/>
          <w:i/>
          <w:sz w:val="22"/>
        </w:rPr>
      </w:pPr>
      <w:r w:rsidRPr="00CB254C">
        <w:rPr>
          <w:rFonts w:cstheme="minorHAnsi"/>
          <w:b/>
          <w:bCs/>
          <w:i/>
          <w:sz w:val="22"/>
        </w:rPr>
        <w:t xml:space="preserve">Specific – </w:t>
      </w:r>
      <w:r w:rsidRPr="00CB254C">
        <w:rPr>
          <w:rFonts w:cstheme="minorHAnsi"/>
          <w:i/>
          <w:sz w:val="22"/>
        </w:rPr>
        <w:t xml:space="preserve">they provide clarity, focus and direction. </w:t>
      </w:r>
      <w:r w:rsidRPr="00CB254C">
        <w:rPr>
          <w:rFonts w:eastAsia="Calibri" w:cstheme="minorHAnsi"/>
          <w:i/>
          <w:sz w:val="22"/>
        </w:rPr>
        <w:t>A specific goal identifies exactly what is intended to be achieved, not just a general intention.</w:t>
      </w:r>
    </w:p>
    <w:p w:rsidR="00474A5F" w:rsidRPr="00CB254C" w:rsidRDefault="00474A5F" w:rsidP="00474A5F">
      <w:pPr>
        <w:pStyle w:val="ListParagraph"/>
        <w:numPr>
          <w:ilvl w:val="0"/>
          <w:numId w:val="41"/>
        </w:numPr>
        <w:shd w:val="clear" w:color="auto" w:fill="D9D9D9" w:themeFill="background1" w:themeFillShade="D9"/>
        <w:ind w:left="357" w:hanging="357"/>
        <w:rPr>
          <w:rFonts w:eastAsia="Calibri" w:cstheme="minorHAnsi"/>
          <w:i/>
          <w:sz w:val="22"/>
        </w:rPr>
      </w:pPr>
      <w:r w:rsidRPr="00CB254C">
        <w:rPr>
          <w:rFonts w:cstheme="minorHAnsi"/>
          <w:b/>
          <w:bCs/>
          <w:i/>
          <w:sz w:val="22"/>
        </w:rPr>
        <w:t xml:space="preserve">Measurable – </w:t>
      </w:r>
      <w:r w:rsidRPr="00CB254C">
        <w:rPr>
          <w:rFonts w:cstheme="minorHAnsi"/>
          <w:i/>
          <w:sz w:val="22"/>
        </w:rPr>
        <w:t xml:space="preserve">objective measures are used to demonstrate the effectiveness of the goal. </w:t>
      </w:r>
      <w:r w:rsidRPr="00CB254C">
        <w:rPr>
          <w:rFonts w:eastAsia="Calibri" w:cstheme="minorHAnsi"/>
          <w:i/>
          <w:sz w:val="22"/>
        </w:rPr>
        <w:t>These are things you can ‘measure’ as improvements rather than just having a hunch that things are improving.</w:t>
      </w:r>
    </w:p>
    <w:p w:rsidR="00474A5F" w:rsidRPr="00CB254C" w:rsidRDefault="00474A5F" w:rsidP="00474A5F">
      <w:pPr>
        <w:pStyle w:val="ListParagraph"/>
        <w:numPr>
          <w:ilvl w:val="0"/>
          <w:numId w:val="41"/>
        </w:numPr>
        <w:shd w:val="clear" w:color="auto" w:fill="D9D9D9" w:themeFill="background1" w:themeFillShade="D9"/>
        <w:spacing w:after="200"/>
        <w:ind w:left="357" w:hanging="357"/>
        <w:rPr>
          <w:rFonts w:cstheme="minorHAnsi"/>
          <w:i/>
          <w:sz w:val="22"/>
        </w:rPr>
      </w:pPr>
      <w:r w:rsidRPr="00CB254C">
        <w:rPr>
          <w:rFonts w:cstheme="minorHAnsi"/>
          <w:b/>
          <w:bCs/>
          <w:i/>
          <w:sz w:val="22"/>
        </w:rPr>
        <w:t xml:space="preserve">Action-oriented – </w:t>
      </w:r>
      <w:r w:rsidRPr="00CB254C">
        <w:rPr>
          <w:rFonts w:cstheme="minorHAnsi"/>
          <w:i/>
          <w:sz w:val="22"/>
        </w:rPr>
        <w:t>the actions provide a strategy to achieve the goals, and are part of the Care Plan.</w:t>
      </w:r>
    </w:p>
    <w:p w:rsidR="00474A5F" w:rsidRPr="00CB254C" w:rsidRDefault="00474A5F" w:rsidP="00474A5F">
      <w:pPr>
        <w:pStyle w:val="ListParagraph"/>
        <w:numPr>
          <w:ilvl w:val="0"/>
          <w:numId w:val="41"/>
        </w:numPr>
        <w:shd w:val="clear" w:color="auto" w:fill="D9D9D9" w:themeFill="background1" w:themeFillShade="D9"/>
        <w:ind w:left="357" w:hanging="357"/>
        <w:rPr>
          <w:rFonts w:eastAsia="Calibri" w:cstheme="minorHAnsi"/>
          <w:i/>
          <w:sz w:val="22"/>
        </w:rPr>
      </w:pPr>
      <w:r w:rsidRPr="00CB254C">
        <w:rPr>
          <w:rFonts w:cstheme="minorHAnsi"/>
          <w:b/>
          <w:bCs/>
          <w:i/>
          <w:sz w:val="22"/>
        </w:rPr>
        <w:t xml:space="preserve">Realistic – </w:t>
      </w:r>
      <w:r w:rsidRPr="00CB254C">
        <w:rPr>
          <w:rFonts w:cstheme="minorHAnsi"/>
          <w:i/>
          <w:sz w:val="22"/>
        </w:rPr>
        <w:t xml:space="preserve">they are to be achievable. Failure to achieve goals can impact on the resident’s motivation, interest and participation. </w:t>
      </w:r>
      <w:r w:rsidRPr="00CB254C">
        <w:rPr>
          <w:rFonts w:eastAsia="Calibri" w:cstheme="minorHAnsi"/>
          <w:i/>
          <w:sz w:val="22"/>
        </w:rPr>
        <w:t xml:space="preserve">The goal must match with the known situation. </w:t>
      </w:r>
      <w:r w:rsidRPr="00CB254C">
        <w:rPr>
          <w:rFonts w:eastAsia="Calibri" w:cstheme="minorHAnsi"/>
          <w:i/>
          <w:sz w:val="22"/>
        </w:rPr>
        <w:br/>
        <w:t>They should be realistic. Achievement of small goals can provide motivation and pleasure.</w:t>
      </w:r>
    </w:p>
    <w:p w:rsidR="00474A5F" w:rsidRPr="00CB254C" w:rsidRDefault="00474A5F" w:rsidP="00474A5F">
      <w:pPr>
        <w:pStyle w:val="ListParagraph"/>
        <w:numPr>
          <w:ilvl w:val="0"/>
          <w:numId w:val="41"/>
        </w:numPr>
        <w:shd w:val="clear" w:color="auto" w:fill="D9D9D9" w:themeFill="background1" w:themeFillShade="D9"/>
        <w:ind w:left="357" w:hanging="357"/>
        <w:rPr>
          <w:rFonts w:eastAsia="Calibri" w:cstheme="minorHAnsi"/>
          <w:i/>
          <w:sz w:val="22"/>
        </w:rPr>
      </w:pPr>
      <w:r w:rsidRPr="00CB254C">
        <w:rPr>
          <w:rFonts w:cstheme="minorHAnsi"/>
          <w:b/>
          <w:bCs/>
          <w:i/>
          <w:sz w:val="22"/>
        </w:rPr>
        <w:t>Time-based –</w:t>
      </w:r>
      <w:r w:rsidRPr="00CB254C">
        <w:rPr>
          <w:rFonts w:cstheme="minorHAnsi"/>
          <w:i/>
          <w:sz w:val="22"/>
        </w:rPr>
        <w:t xml:space="preserve"> they should be current for a specific period of time. These goals can be measured at intervals, and re-evaluated on an ongoing basis. </w:t>
      </w:r>
      <w:r w:rsidRPr="00CB254C">
        <w:rPr>
          <w:rFonts w:eastAsia="Calibri" w:cstheme="minorHAnsi"/>
          <w:i/>
          <w:sz w:val="22"/>
        </w:rPr>
        <w:t>Goals need to have a time frame to determine the timing of the evaluation.</w:t>
      </w:r>
    </w:p>
    <w:p w:rsidR="00256E3D" w:rsidRPr="00CB254C" w:rsidRDefault="00256E3D" w:rsidP="008F72CD">
      <w:pPr>
        <w:pStyle w:val="Heading3-Chapter73"/>
      </w:pPr>
      <w:r w:rsidRPr="00CB254C">
        <w:t>Therapy Program and an Accountability Framework</w:t>
      </w:r>
    </w:p>
    <w:p w:rsidR="00980F62" w:rsidRDefault="00256E3D" w:rsidP="008D61C7">
      <w:r w:rsidRPr="00CB254C">
        <w:t>Does a Therapy Program belong under the accreditation standards or should it be audited with ACFI validation? The quality of a Therapy Program could be audited by both the Quality Agency and, for funding accountability purposes, via the ACFI R</w:t>
      </w:r>
      <w:r w:rsidR="0075456B" w:rsidRPr="00CB254C">
        <w:t>O</w:t>
      </w:r>
      <w:r w:rsidRPr="00CB254C">
        <w:t xml:space="preserve"> validation activities.</w:t>
      </w:r>
    </w:p>
    <w:p w:rsidR="00256E3D" w:rsidRPr="00CB254C" w:rsidRDefault="00256E3D" w:rsidP="008D61C7">
      <w:r w:rsidRPr="00CB254C">
        <w:t>Audit criteria for the Therapy Program could include evidence of:</w:t>
      </w:r>
    </w:p>
    <w:p w:rsidR="00256E3D" w:rsidRPr="00CB254C" w:rsidRDefault="00256E3D" w:rsidP="00557DB1">
      <w:pPr>
        <w:pStyle w:val="ListParagraph"/>
        <w:numPr>
          <w:ilvl w:val="0"/>
          <w:numId w:val="40"/>
        </w:numPr>
      </w:pPr>
      <w:r w:rsidRPr="00CB254C">
        <w:t xml:space="preserve">Evidence-based </w:t>
      </w:r>
      <w:r w:rsidR="005D5BFB" w:rsidRPr="00CB254C">
        <w:t>assessments.</w:t>
      </w:r>
    </w:p>
    <w:p w:rsidR="00256E3D" w:rsidRPr="00CB254C" w:rsidRDefault="00256E3D" w:rsidP="00557DB1">
      <w:pPr>
        <w:pStyle w:val="ListParagraph"/>
        <w:numPr>
          <w:ilvl w:val="0"/>
          <w:numId w:val="40"/>
        </w:numPr>
      </w:pPr>
      <w:r w:rsidRPr="00CB254C">
        <w:t>Consumer involvement</w:t>
      </w:r>
      <w:r w:rsidR="005D5BFB" w:rsidRPr="00CB254C">
        <w:t>.</w:t>
      </w:r>
    </w:p>
    <w:p w:rsidR="00980F62" w:rsidRDefault="00256E3D" w:rsidP="00557DB1">
      <w:pPr>
        <w:pStyle w:val="ListParagraph"/>
        <w:numPr>
          <w:ilvl w:val="0"/>
          <w:numId w:val="40"/>
        </w:numPr>
      </w:pPr>
      <w:r w:rsidRPr="00CB254C">
        <w:t>Documented program delivery</w:t>
      </w:r>
      <w:r w:rsidR="005D5BFB" w:rsidRPr="00CB254C">
        <w:t>.</w:t>
      </w:r>
    </w:p>
    <w:p w:rsidR="00980F62" w:rsidRDefault="00256E3D" w:rsidP="00557DB1">
      <w:pPr>
        <w:pStyle w:val="ListParagraph"/>
        <w:numPr>
          <w:ilvl w:val="0"/>
          <w:numId w:val="40"/>
        </w:numPr>
      </w:pPr>
      <w:r w:rsidRPr="00CB254C">
        <w:t>Documented individualised Therapy Programs</w:t>
      </w:r>
      <w:r w:rsidR="005D5BFB" w:rsidRPr="00CB254C">
        <w:t>.</w:t>
      </w:r>
    </w:p>
    <w:p w:rsidR="00256E3D" w:rsidRPr="00CB254C" w:rsidRDefault="00256E3D" w:rsidP="00557DB1">
      <w:pPr>
        <w:pStyle w:val="ListParagraph"/>
        <w:numPr>
          <w:ilvl w:val="0"/>
          <w:numId w:val="40"/>
        </w:numPr>
      </w:pPr>
      <w:r w:rsidRPr="00CB254C">
        <w:t>Clearly defined and measurable goals</w:t>
      </w:r>
      <w:r w:rsidR="005D5BFB" w:rsidRPr="00CB254C">
        <w:t>.</w:t>
      </w:r>
    </w:p>
    <w:p w:rsidR="00980F62" w:rsidRDefault="00256E3D" w:rsidP="00557DB1">
      <w:pPr>
        <w:pStyle w:val="ListParagraph"/>
        <w:numPr>
          <w:ilvl w:val="0"/>
          <w:numId w:val="40"/>
        </w:numPr>
      </w:pPr>
      <w:r w:rsidRPr="00CB254C">
        <w:t>Documented regular evaluations of the program effectiveness</w:t>
      </w:r>
      <w:r w:rsidR="00760E00" w:rsidRPr="00CB254C">
        <w:t xml:space="preserve"> (including resident and family feedback).</w:t>
      </w:r>
    </w:p>
    <w:p w:rsidR="00256E3D" w:rsidRPr="00CB254C" w:rsidRDefault="00760E00" w:rsidP="008F72CD">
      <w:pPr>
        <w:pStyle w:val="Heading3-Chapter73"/>
      </w:pPr>
      <w:r w:rsidRPr="00CB254C">
        <w:t xml:space="preserve">All residents of aged care facilities will be eligible </w:t>
      </w:r>
      <w:r w:rsidR="00256E3D" w:rsidRPr="00CB254C">
        <w:t>for the Therapy Program</w:t>
      </w:r>
    </w:p>
    <w:p w:rsidR="00980F62" w:rsidRDefault="00256E3D" w:rsidP="008D61C7">
      <w:pPr>
        <w:spacing w:after="200"/>
        <w:rPr>
          <w:szCs w:val="24"/>
        </w:rPr>
      </w:pPr>
      <w:r w:rsidRPr="00CB254C">
        <w:rPr>
          <w:lang w:val="en-CA"/>
        </w:rPr>
        <w:t>The Therapy Program will be available for all residents at any level of care need</w:t>
      </w:r>
      <w:r w:rsidR="00760E00" w:rsidRPr="00CB254C">
        <w:rPr>
          <w:lang w:val="en-CA"/>
        </w:rPr>
        <w:t xml:space="preserve"> however, </w:t>
      </w:r>
      <w:bookmarkEnd w:id="476"/>
      <w:r w:rsidRPr="00CB254C">
        <w:rPr>
          <w:szCs w:val="24"/>
        </w:rPr>
        <w:t xml:space="preserve">to make claims for a Therapy Program </w:t>
      </w:r>
      <w:r w:rsidR="00760E00" w:rsidRPr="00CB254C">
        <w:rPr>
          <w:szCs w:val="24"/>
        </w:rPr>
        <w:t>an</w:t>
      </w:r>
      <w:r w:rsidRPr="00CB254C">
        <w:rPr>
          <w:szCs w:val="24"/>
        </w:rPr>
        <w:t xml:space="preserve"> appropriately qualified person must be available to design, manage and run the program. The only requirements will be that:</w:t>
      </w:r>
    </w:p>
    <w:p w:rsidR="00980F62" w:rsidRDefault="00256E3D" w:rsidP="00F02312">
      <w:pPr>
        <w:pStyle w:val="ListParagraph"/>
        <w:numPr>
          <w:ilvl w:val="0"/>
          <w:numId w:val="72"/>
        </w:numPr>
        <w:ind w:left="567" w:hanging="567"/>
        <w:rPr>
          <w:lang w:eastAsia="en-AU"/>
        </w:rPr>
      </w:pPr>
      <w:r w:rsidRPr="00CB254C">
        <w:rPr>
          <w:lang w:eastAsia="en-AU"/>
        </w:rPr>
        <w:t>The resident wants to participate in the program on an ongoing basis</w:t>
      </w:r>
      <w:r w:rsidR="00662A52" w:rsidRPr="00CB254C">
        <w:rPr>
          <w:lang w:eastAsia="en-AU"/>
        </w:rPr>
        <w:t>.</w:t>
      </w:r>
    </w:p>
    <w:p w:rsidR="00980F62" w:rsidRDefault="00256E3D" w:rsidP="00F02312">
      <w:pPr>
        <w:pStyle w:val="ListParagraph"/>
        <w:numPr>
          <w:ilvl w:val="0"/>
          <w:numId w:val="72"/>
        </w:numPr>
        <w:ind w:left="567" w:hanging="567"/>
        <w:rPr>
          <w:lang w:eastAsia="en-AU"/>
        </w:rPr>
      </w:pPr>
      <w:r w:rsidRPr="00CB254C">
        <w:rPr>
          <w:lang w:eastAsia="en-AU"/>
        </w:rPr>
        <w:t>It is likely to be beneficial for the resident</w:t>
      </w:r>
      <w:r w:rsidR="00662A52" w:rsidRPr="00CB254C">
        <w:rPr>
          <w:lang w:eastAsia="en-AU"/>
        </w:rPr>
        <w:t>.</w:t>
      </w:r>
    </w:p>
    <w:p w:rsidR="00980F62" w:rsidRDefault="00760E00" w:rsidP="00F02312">
      <w:pPr>
        <w:pStyle w:val="ListParagraph"/>
        <w:numPr>
          <w:ilvl w:val="0"/>
          <w:numId w:val="72"/>
        </w:numPr>
        <w:ind w:left="567" w:hanging="567"/>
        <w:rPr>
          <w:lang w:eastAsia="en-AU"/>
        </w:rPr>
      </w:pPr>
      <w:r w:rsidRPr="00CB254C">
        <w:rPr>
          <w:lang w:eastAsia="en-AU"/>
        </w:rPr>
        <w:t>T</w:t>
      </w:r>
      <w:r w:rsidR="00256E3D" w:rsidRPr="00CB254C">
        <w:rPr>
          <w:lang w:eastAsia="en-AU"/>
        </w:rPr>
        <w:t xml:space="preserve">he </w:t>
      </w:r>
      <w:r w:rsidRPr="00CB254C">
        <w:rPr>
          <w:lang w:eastAsia="en-AU"/>
        </w:rPr>
        <w:t xml:space="preserve">Program </w:t>
      </w:r>
      <w:r w:rsidR="00256E3D" w:rsidRPr="00CB254C">
        <w:rPr>
          <w:lang w:eastAsia="en-AU"/>
        </w:rPr>
        <w:t xml:space="preserve">benefits are evaluated </w:t>
      </w:r>
      <w:r w:rsidRPr="00CB254C">
        <w:rPr>
          <w:lang w:eastAsia="en-AU"/>
        </w:rPr>
        <w:t xml:space="preserve">for each resident </w:t>
      </w:r>
      <w:r w:rsidR="00256E3D" w:rsidRPr="00CB254C">
        <w:rPr>
          <w:lang w:eastAsia="en-AU"/>
        </w:rPr>
        <w:t>and reported in documentation every 3 month</w:t>
      </w:r>
      <w:r w:rsidRPr="00CB254C">
        <w:rPr>
          <w:lang w:eastAsia="en-AU"/>
        </w:rPr>
        <w:t>s</w:t>
      </w:r>
      <w:r w:rsidR="00662A52" w:rsidRPr="00CB254C">
        <w:rPr>
          <w:lang w:eastAsia="en-AU"/>
        </w:rPr>
        <w:t>.</w:t>
      </w:r>
    </w:p>
    <w:p w:rsidR="00980F62" w:rsidRDefault="00760E00" w:rsidP="00F02312">
      <w:pPr>
        <w:pStyle w:val="ListParagraph"/>
        <w:numPr>
          <w:ilvl w:val="0"/>
          <w:numId w:val="72"/>
        </w:numPr>
        <w:ind w:left="567" w:hanging="567"/>
        <w:rPr>
          <w:lang w:eastAsia="en-AU"/>
        </w:rPr>
      </w:pPr>
      <w:r w:rsidRPr="00CB254C">
        <w:rPr>
          <w:lang w:eastAsia="en-AU"/>
        </w:rPr>
        <w:t>Sufficient and appropriately qualified staff are available to design, implement, assess and evaluate the Program</w:t>
      </w:r>
      <w:r w:rsidR="00662A52" w:rsidRPr="00CB254C">
        <w:rPr>
          <w:lang w:eastAsia="en-AU"/>
        </w:rPr>
        <w:t>.</w:t>
      </w:r>
    </w:p>
    <w:p w:rsidR="00980F62" w:rsidRDefault="00256E3D" w:rsidP="00F02312">
      <w:pPr>
        <w:pStyle w:val="ListParagraph"/>
        <w:numPr>
          <w:ilvl w:val="0"/>
          <w:numId w:val="72"/>
        </w:numPr>
        <w:ind w:left="567" w:hanging="567"/>
        <w:rPr>
          <w:lang w:eastAsia="en-AU"/>
        </w:rPr>
      </w:pPr>
      <w:r w:rsidRPr="00CB254C">
        <w:rPr>
          <w:lang w:eastAsia="en-AU"/>
        </w:rPr>
        <w:t>There is evidence that there is regular multi-disciplinary input into the development and modification of the program.</w:t>
      </w:r>
    </w:p>
    <w:p w:rsidR="00256E3D" w:rsidRPr="00CB254C" w:rsidRDefault="00256E3D" w:rsidP="008F72CD">
      <w:pPr>
        <w:pStyle w:val="Heading3-Chapter73"/>
      </w:pPr>
      <w:r w:rsidRPr="00CB254C">
        <w:t xml:space="preserve">Funding </w:t>
      </w:r>
      <w:r w:rsidR="00CE775C" w:rsidRPr="00CB254C">
        <w:t>will be available to support all residents in a facility if required</w:t>
      </w:r>
    </w:p>
    <w:p w:rsidR="00980F62" w:rsidRDefault="00256E3D" w:rsidP="008D61C7">
      <w:pPr>
        <w:rPr>
          <w:lang w:eastAsia="en-AU"/>
        </w:rPr>
      </w:pPr>
      <w:r>
        <w:rPr>
          <w:lang w:val="en-CA"/>
        </w:rPr>
        <w:t xml:space="preserve">Funding that is currently allocated to the </w:t>
      </w:r>
      <w:r>
        <w:rPr>
          <w:lang w:eastAsia="en-AU"/>
        </w:rPr>
        <w:t>pain management items will be removed from the CHC domain and allocated into the new Therapy Program. The Therapy Program will be funded at one level only. It is expected that at any one time</w:t>
      </w:r>
      <w:r w:rsidR="00CE775C">
        <w:rPr>
          <w:lang w:eastAsia="en-AU"/>
        </w:rPr>
        <w:t>,</w:t>
      </w:r>
      <w:r>
        <w:rPr>
          <w:lang w:eastAsia="en-AU"/>
        </w:rPr>
        <w:t xml:space="preserve"> around 75</w:t>
      </w:r>
      <w:r w:rsidR="0065091B">
        <w:rPr>
          <w:lang w:eastAsia="en-AU"/>
        </w:rPr>
        <w:t xml:space="preserve"> per cent</w:t>
      </w:r>
      <w:r>
        <w:rPr>
          <w:lang w:eastAsia="en-AU"/>
        </w:rPr>
        <w:t xml:space="preserve"> of residents will be funded under the program, although all residents could be included if the program criteria are met – there is no limit on the number of residents that can be included in the program.</w:t>
      </w:r>
    </w:p>
    <w:p w:rsidR="00256E3D" w:rsidRDefault="00256E3D" w:rsidP="008D61C7">
      <w:pPr>
        <w:rPr>
          <w:b/>
          <w:lang w:val="en-CA"/>
        </w:rPr>
      </w:pPr>
      <w:r>
        <w:rPr>
          <w:lang w:eastAsia="en-AU"/>
        </w:rPr>
        <w:t>T</w:t>
      </w:r>
      <w:r w:rsidRPr="005253A5">
        <w:rPr>
          <w:lang w:eastAsia="en-AU"/>
        </w:rPr>
        <w:t xml:space="preserve">he Therapy Program will be funded through the R-ACFI system, </w:t>
      </w:r>
      <w:r>
        <w:rPr>
          <w:lang w:eastAsia="en-AU"/>
        </w:rPr>
        <w:t>and be subjected to the same rules for appraisals and re-appraisals.</w:t>
      </w:r>
    </w:p>
    <w:p w:rsidR="00256E3D" w:rsidRPr="00BA356F" w:rsidRDefault="00B110F3" w:rsidP="008C2EF2">
      <w:pPr>
        <w:keepNext/>
        <w:spacing w:after="0"/>
        <w:rPr>
          <w:rStyle w:val="Strong"/>
        </w:rPr>
      </w:pPr>
      <w:r w:rsidRPr="00BA356F">
        <w:rPr>
          <w:rStyle w:val="Strong"/>
        </w:rPr>
        <w:t xml:space="preserve">A note about - </w:t>
      </w:r>
      <w:r w:rsidR="00256E3D" w:rsidRPr="00BA356F">
        <w:rPr>
          <w:rStyle w:val="Strong"/>
        </w:rPr>
        <w:t>Specified Care and Services</w:t>
      </w:r>
    </w:p>
    <w:p w:rsidR="00256E3D" w:rsidRPr="00700C58" w:rsidRDefault="00256E3D" w:rsidP="008D61C7">
      <w:pPr>
        <w:rPr>
          <w:lang w:val="en-CA"/>
        </w:rPr>
      </w:pPr>
      <w:r>
        <w:rPr>
          <w:lang w:val="en-CA"/>
        </w:rPr>
        <w:t>As P</w:t>
      </w:r>
      <w:r w:rsidRPr="00834E2E">
        <w:rPr>
          <w:lang w:val="en-CA"/>
        </w:rPr>
        <w:t xml:space="preserve">ain management (12.3 + 12.4a + 12.4b) is considered a </w:t>
      </w:r>
      <w:r w:rsidR="00CE775C">
        <w:rPr>
          <w:lang w:val="en-CA"/>
        </w:rPr>
        <w:t>‘</w:t>
      </w:r>
      <w:r w:rsidRPr="00834E2E">
        <w:rPr>
          <w:lang w:val="en-CA"/>
        </w:rPr>
        <w:t>maintenance and reablement therapy</w:t>
      </w:r>
      <w:r w:rsidR="00CE775C">
        <w:rPr>
          <w:lang w:val="en-CA"/>
        </w:rPr>
        <w:t>’</w:t>
      </w:r>
      <w:r w:rsidRPr="00834E2E">
        <w:rPr>
          <w:lang w:val="en-CA"/>
        </w:rPr>
        <w:t xml:space="preserve"> in </w:t>
      </w:r>
      <w:r>
        <w:rPr>
          <w:lang w:val="en-CA"/>
        </w:rPr>
        <w:t>the R-</w:t>
      </w:r>
      <w:r w:rsidRPr="00834E2E">
        <w:rPr>
          <w:lang w:val="en-CA"/>
        </w:rPr>
        <w:t>ACFI, will the proposed structures conflict with providers</w:t>
      </w:r>
      <w:r>
        <w:rPr>
          <w:lang w:val="en-CA"/>
        </w:rPr>
        <w:t>’</w:t>
      </w:r>
      <w:r w:rsidRPr="00834E2E">
        <w:rPr>
          <w:lang w:val="en-CA"/>
        </w:rPr>
        <w:t xml:space="preserve"> </w:t>
      </w:r>
      <w:r w:rsidR="00CE775C">
        <w:rPr>
          <w:lang w:val="en-CA"/>
        </w:rPr>
        <w:t>‘</w:t>
      </w:r>
      <w:r w:rsidRPr="00834E2E">
        <w:rPr>
          <w:lang w:val="en-CA"/>
        </w:rPr>
        <w:t>additional services option</w:t>
      </w:r>
      <w:r w:rsidR="00CE775C">
        <w:rPr>
          <w:lang w:val="en-CA"/>
        </w:rPr>
        <w:t>’</w:t>
      </w:r>
      <w:r>
        <w:rPr>
          <w:lang w:val="en-CA"/>
        </w:rPr>
        <w:t>?</w:t>
      </w:r>
      <w:r w:rsidRPr="00834E2E">
        <w:rPr>
          <w:lang w:val="en-CA"/>
        </w:rPr>
        <w:t xml:space="preserve"> If</w:t>
      </w:r>
      <w:r>
        <w:rPr>
          <w:lang w:val="en-CA"/>
        </w:rPr>
        <w:t xml:space="preserve"> therapy is funded in R-</w:t>
      </w:r>
      <w:r w:rsidRPr="00834E2E">
        <w:rPr>
          <w:lang w:val="en-CA"/>
        </w:rPr>
        <w:t xml:space="preserve">ACFI can it </w:t>
      </w:r>
      <w:r>
        <w:rPr>
          <w:lang w:val="en-CA"/>
        </w:rPr>
        <w:t xml:space="preserve">still </w:t>
      </w:r>
      <w:r w:rsidRPr="00834E2E">
        <w:rPr>
          <w:lang w:val="en-CA"/>
        </w:rPr>
        <w:t xml:space="preserve">be offered as an additional </w:t>
      </w:r>
      <w:r>
        <w:rPr>
          <w:lang w:val="en-CA"/>
        </w:rPr>
        <w:t>service</w:t>
      </w:r>
      <w:r w:rsidRPr="00700C58">
        <w:rPr>
          <w:lang w:val="en-CA"/>
        </w:rPr>
        <w:t>?</w:t>
      </w:r>
    </w:p>
    <w:p w:rsidR="00980F62" w:rsidRDefault="00256E3D" w:rsidP="008D61C7">
      <w:pPr>
        <w:rPr>
          <w:bCs/>
        </w:rPr>
      </w:pPr>
      <w:r w:rsidRPr="00700C58">
        <w:t xml:space="preserve">Specified Care and Services sets out the care and services that Approved Providers </w:t>
      </w:r>
      <w:r>
        <w:t>are</w:t>
      </w:r>
      <w:r w:rsidRPr="00700C58">
        <w:t xml:space="preserve"> responsib</w:t>
      </w:r>
      <w:r>
        <w:t>le</w:t>
      </w:r>
      <w:r w:rsidRPr="00700C58">
        <w:t xml:space="preserve"> to provide for resident</w:t>
      </w:r>
      <w:r w:rsidR="00B110F3">
        <w:t xml:space="preserve">s of </w:t>
      </w:r>
      <w:r w:rsidRPr="00700C58">
        <w:t xml:space="preserve">aged care </w:t>
      </w:r>
      <w:r w:rsidR="00B110F3">
        <w:t>facilities</w:t>
      </w:r>
      <w:r w:rsidRPr="00700C58">
        <w:t xml:space="preserve">. Within those care and services specifications are </w:t>
      </w:r>
      <w:r w:rsidRPr="00700C58">
        <w:rPr>
          <w:bCs/>
        </w:rPr>
        <w:t xml:space="preserve">rehabilitation and therapy services. However, </w:t>
      </w:r>
      <w:r w:rsidRPr="00700C58">
        <w:t>Specified Care and Services</w:t>
      </w:r>
      <w:r w:rsidRPr="00700C58">
        <w:rPr>
          <w:bCs/>
        </w:rPr>
        <w:t xml:space="preserve"> are not systematically audited or monitored, and there are some differences in opinion about the full intent of the requirements (i.e. should residents expect every item to be provided</w:t>
      </w:r>
      <w:r>
        <w:rPr>
          <w:bCs/>
        </w:rPr>
        <w:t>?</w:t>
      </w:r>
      <w:r w:rsidRPr="00700C58">
        <w:rPr>
          <w:bCs/>
        </w:rPr>
        <w:t>).</w:t>
      </w:r>
    </w:p>
    <w:p w:rsidR="00980F62" w:rsidRDefault="00256E3D" w:rsidP="008D61C7">
      <w:pPr>
        <w:rPr>
          <w:lang w:eastAsia="en-AU"/>
        </w:rPr>
      </w:pPr>
      <w:r w:rsidRPr="00700C58">
        <w:rPr>
          <w:bCs/>
        </w:rPr>
        <w:t xml:space="preserve">Although </w:t>
      </w:r>
      <w:r w:rsidRPr="00700C58">
        <w:t>S</w:t>
      </w:r>
      <w:r>
        <w:t xml:space="preserve">pecified Care and Services </w:t>
      </w:r>
      <w:r w:rsidRPr="00700C58">
        <w:t>potentially cover some aspects of therapy</w:t>
      </w:r>
      <w:r>
        <w:t xml:space="preserve"> (</w:t>
      </w:r>
      <w:hyperlink w:anchor="Tab0701" w:history="1">
        <w:r w:rsidRPr="00D062E1">
          <w:rPr>
            <w:rStyle w:val="Hyperlink"/>
          </w:rPr>
          <w:t>Table 7.</w:t>
        </w:r>
        <w:r w:rsidR="00FD5521" w:rsidRPr="00D062E1">
          <w:rPr>
            <w:rStyle w:val="Hyperlink"/>
          </w:rPr>
          <w:t>1</w:t>
        </w:r>
      </w:hyperlink>
      <w:r>
        <w:t>)</w:t>
      </w:r>
      <w:r w:rsidRPr="00700C58">
        <w:t>, there is an opportunity f</w:t>
      </w:r>
      <w:r>
        <w:t>or the R-</w:t>
      </w:r>
      <w:r w:rsidRPr="00700C58">
        <w:t xml:space="preserve">ACFI to give a clear price signal to further support the importance of rehabilitation, therapy and wellness and the quality of life of aged care clients. </w:t>
      </w:r>
      <w:r>
        <w:rPr>
          <w:lang w:eastAsia="en-AU"/>
        </w:rPr>
        <w:t xml:space="preserve">The R-ACFI Therapy Program targets physical therapy to the longer-term care needs of </w:t>
      </w:r>
      <w:r>
        <w:rPr>
          <w:lang w:eastAsia="en-AU"/>
        </w:rPr>
        <w:lastRenderedPageBreak/>
        <w:t>residents.</w:t>
      </w:r>
      <w:r w:rsidR="007A576E">
        <w:rPr>
          <w:lang w:eastAsia="en-AU"/>
        </w:rPr>
        <w:t xml:space="preserve"> </w:t>
      </w:r>
      <w:r>
        <w:rPr>
          <w:lang w:eastAsia="en-AU"/>
        </w:rPr>
        <w:t>It constitutes delivery of an ongoing “program” evaluated and designed by a multi-</w:t>
      </w:r>
      <w:r w:rsidRPr="003668EC">
        <w:rPr>
          <w:lang w:eastAsia="en-AU"/>
        </w:rPr>
        <w:t>disciplinary team of therapists.</w:t>
      </w:r>
    </w:p>
    <w:p w:rsidR="00980F62" w:rsidRDefault="00256E3D" w:rsidP="008D61C7">
      <w:pPr>
        <w:spacing w:after="200"/>
        <w:rPr>
          <w:lang w:eastAsia="en-AU"/>
        </w:rPr>
      </w:pPr>
      <w:r w:rsidRPr="003668EC">
        <w:rPr>
          <w:lang w:eastAsia="en-AU"/>
        </w:rPr>
        <w:t>While further consideration is required of what qualifies as therapy services to be provided under the Specified Care and Services Schedule and whether providers can charge for additional services in the physical therapy area, providers will likely be prohibited from charging an additional fee for physical therapy services if the resident is receiving funding from the R-ACFI Therapy Program.</w:t>
      </w:r>
    </w:p>
    <w:p w:rsidR="006126D6" w:rsidRDefault="006126D6" w:rsidP="006126D6">
      <w:pPr>
        <w:pStyle w:val="Caption"/>
        <w:keepNext/>
      </w:pPr>
      <w:bookmarkStart w:id="477" w:name="_Toc495416350"/>
      <w:bookmarkStart w:id="478" w:name="Tab0701"/>
      <w:bookmarkStart w:id="479" w:name="_Hlk481161188"/>
      <w:r>
        <w:t>Table 7.</w:t>
      </w:r>
      <w:r w:rsidR="009A3F5A">
        <w:fldChar w:fldCharType="begin"/>
      </w:r>
      <w:r w:rsidR="009A3F5A">
        <w:instrText xml:space="preserve"> SEQ Table_7. \* ARABIC </w:instrText>
      </w:r>
      <w:r w:rsidR="009A3F5A">
        <w:fldChar w:fldCharType="separate"/>
      </w:r>
      <w:r w:rsidR="00856E49">
        <w:rPr>
          <w:noProof/>
        </w:rPr>
        <w:t>1</w:t>
      </w:r>
      <w:r w:rsidR="009A3F5A">
        <w:rPr>
          <w:noProof/>
        </w:rPr>
        <w:fldChar w:fldCharType="end"/>
      </w:r>
      <w:r>
        <w:t xml:space="preserve">: </w:t>
      </w:r>
      <w:r w:rsidRPr="006126D6">
        <w:t>Specified Care and Services Schedule 1, Parts 2 &amp; 3 related to Therapy</w:t>
      </w:r>
      <w:bookmarkEnd w:id="477"/>
    </w:p>
    <w:tbl>
      <w:tblPr>
        <w:tblStyle w:val="ListTable3-Accent514"/>
        <w:tblW w:w="9215" w:type="dxa"/>
        <w:tblInd w:w="108" w:type="dxa"/>
        <w:tblBorders>
          <w:insideH w:val="single" w:sz="4" w:space="0" w:color="5B9BD5" w:themeColor="accent5"/>
          <w:insideV w:val="single" w:sz="4" w:space="0" w:color="5B9BD5" w:themeColor="accent5"/>
        </w:tblBorders>
        <w:tblLook w:val="04A0" w:firstRow="1" w:lastRow="0" w:firstColumn="1" w:lastColumn="0" w:noHBand="0" w:noVBand="1"/>
        <w:tblDescription w:val="Table 7.1 is a list of details describing the specific care and services for items 2.6, 2.8 and 3.11 for the proposed therapy program under the revised aged care funding instrument (R-ACFI), as summarised in the text prior to this table. This table is to be read left to right, top to bottom."/>
      </w:tblPr>
      <w:tblGrid>
        <w:gridCol w:w="704"/>
        <w:gridCol w:w="1990"/>
        <w:gridCol w:w="6521"/>
      </w:tblGrid>
      <w:tr w:rsidR="00256E3D" w:rsidRPr="00700C58" w:rsidTr="009C62B6">
        <w:trPr>
          <w:cnfStyle w:val="100000000000" w:firstRow="1" w:lastRow="0" w:firstColumn="0" w:lastColumn="0" w:oddVBand="0" w:evenVBand="0" w:oddHBand="0" w:evenHBand="0" w:firstRowFirstColumn="0" w:firstRowLastColumn="0" w:lastRowFirstColumn="0" w:lastRowLastColumn="0"/>
          <w:trHeight w:val="217"/>
          <w:tblHeader/>
        </w:trPr>
        <w:tc>
          <w:tcPr>
            <w:cnfStyle w:val="001000000100" w:firstRow="0" w:lastRow="0" w:firstColumn="1" w:lastColumn="0" w:oddVBand="0" w:evenVBand="0" w:oddHBand="0" w:evenHBand="0" w:firstRowFirstColumn="1" w:firstRowLastColumn="0" w:lastRowFirstColumn="0" w:lastRowLastColumn="0"/>
            <w:tcW w:w="704" w:type="dxa"/>
            <w:tcBorders>
              <w:bottom w:val="none" w:sz="0" w:space="0" w:color="auto"/>
              <w:right w:val="none" w:sz="0" w:space="0" w:color="auto"/>
            </w:tcBorders>
          </w:tcPr>
          <w:bookmarkEnd w:id="478"/>
          <w:p w:rsidR="00256E3D" w:rsidRPr="00700C58" w:rsidRDefault="00256E3D" w:rsidP="00A51750">
            <w:pPr>
              <w:pStyle w:val="Tableheader4"/>
              <w:jc w:val="center"/>
              <w:rPr>
                <w:rFonts w:asciiTheme="minorHAnsi" w:hAnsiTheme="minorHAnsi" w:cstheme="minorHAnsi"/>
                <w:b/>
                <w:sz w:val="24"/>
                <w:szCs w:val="24"/>
              </w:rPr>
            </w:pPr>
            <w:r w:rsidRPr="00700C58">
              <w:rPr>
                <w:rFonts w:asciiTheme="minorHAnsi" w:hAnsiTheme="minorHAnsi" w:cstheme="minorHAnsi"/>
                <w:b/>
                <w:sz w:val="24"/>
                <w:szCs w:val="24"/>
              </w:rPr>
              <w:t>Item</w:t>
            </w:r>
          </w:p>
        </w:tc>
        <w:tc>
          <w:tcPr>
            <w:tcW w:w="1990" w:type="dxa"/>
          </w:tcPr>
          <w:p w:rsidR="00256E3D" w:rsidRPr="00700C58" w:rsidRDefault="00256E3D" w:rsidP="00A51750">
            <w:pPr>
              <w:pStyle w:val="Tableheader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700C58">
              <w:rPr>
                <w:rFonts w:asciiTheme="minorHAnsi" w:hAnsiTheme="minorHAnsi" w:cstheme="minorHAnsi"/>
                <w:b/>
                <w:sz w:val="24"/>
                <w:szCs w:val="24"/>
              </w:rPr>
              <w:t>Care or Service</w:t>
            </w:r>
          </w:p>
        </w:tc>
        <w:tc>
          <w:tcPr>
            <w:tcW w:w="6521" w:type="dxa"/>
          </w:tcPr>
          <w:p w:rsidR="00256E3D" w:rsidRPr="00700C58" w:rsidRDefault="00256E3D" w:rsidP="00A51750">
            <w:pPr>
              <w:pStyle w:val="Tableheader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700C58">
              <w:rPr>
                <w:rFonts w:asciiTheme="minorHAnsi" w:hAnsiTheme="minorHAnsi" w:cstheme="minorHAnsi"/>
                <w:b/>
                <w:sz w:val="24"/>
                <w:szCs w:val="24"/>
              </w:rPr>
              <w:t>Content</w:t>
            </w:r>
          </w:p>
        </w:tc>
      </w:tr>
      <w:tr w:rsidR="00256E3D" w:rsidRPr="00700C58" w:rsidTr="009C6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rsidR="00256E3D" w:rsidRPr="00700C58" w:rsidRDefault="00256E3D" w:rsidP="00A51750">
            <w:pPr>
              <w:pStyle w:val="Tabletext2"/>
              <w:rPr>
                <w:rFonts w:asciiTheme="minorHAnsi" w:hAnsiTheme="minorHAnsi" w:cstheme="minorHAnsi"/>
                <w:sz w:val="22"/>
                <w:szCs w:val="22"/>
              </w:rPr>
            </w:pPr>
            <w:r w:rsidRPr="00700C58">
              <w:rPr>
                <w:rFonts w:asciiTheme="minorHAnsi" w:hAnsiTheme="minorHAnsi" w:cstheme="minorHAnsi"/>
                <w:sz w:val="22"/>
                <w:szCs w:val="22"/>
              </w:rPr>
              <w:t>2.6</w:t>
            </w:r>
          </w:p>
        </w:tc>
        <w:tc>
          <w:tcPr>
            <w:tcW w:w="1990" w:type="dxa"/>
            <w:tcBorders>
              <w:top w:val="none" w:sz="0" w:space="0" w:color="auto"/>
              <w:bottom w:val="none" w:sz="0" w:space="0" w:color="auto"/>
            </w:tcBorders>
          </w:tcPr>
          <w:p w:rsidR="00256E3D" w:rsidRPr="00700C58" w:rsidRDefault="00256E3D" w:rsidP="00216EDC">
            <w:pPr>
              <w:pStyle w:val="Tabletext2"/>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00C58">
              <w:rPr>
                <w:rFonts w:asciiTheme="minorHAnsi" w:hAnsiTheme="minorHAnsi" w:cstheme="minorHAnsi"/>
                <w:sz w:val="22"/>
                <w:szCs w:val="22"/>
              </w:rPr>
              <w:t>Rehabilitation support</w:t>
            </w:r>
          </w:p>
        </w:tc>
        <w:tc>
          <w:tcPr>
            <w:tcW w:w="6521" w:type="dxa"/>
            <w:tcBorders>
              <w:top w:val="none" w:sz="0" w:space="0" w:color="auto"/>
              <w:bottom w:val="none" w:sz="0" w:space="0" w:color="auto"/>
            </w:tcBorders>
          </w:tcPr>
          <w:p w:rsidR="00256E3D" w:rsidRPr="00700C58" w:rsidRDefault="00256E3D" w:rsidP="00216EDC">
            <w:pPr>
              <w:pStyle w:val="Tabletext2"/>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00C58">
              <w:rPr>
                <w:rFonts w:asciiTheme="minorHAnsi" w:hAnsiTheme="minorHAnsi" w:cstheme="minorHAnsi"/>
                <w:sz w:val="22"/>
                <w:szCs w:val="22"/>
              </w:rPr>
              <w:t xml:space="preserve">Individual </w:t>
            </w:r>
            <w:r w:rsidR="00DB6CD5">
              <w:rPr>
                <w:rFonts w:asciiTheme="minorHAnsi" w:hAnsiTheme="minorHAnsi" w:cstheme="minorHAnsi"/>
                <w:sz w:val="22"/>
                <w:szCs w:val="22"/>
              </w:rPr>
              <w:t>Therapy Program</w:t>
            </w:r>
            <w:r w:rsidRPr="00700C58">
              <w:rPr>
                <w:rFonts w:asciiTheme="minorHAnsi" w:hAnsiTheme="minorHAnsi" w:cstheme="minorHAnsi"/>
                <w:sz w:val="22"/>
                <w:szCs w:val="22"/>
              </w:rPr>
              <w:t xml:space="preserve">s designed by health professionals that are aimed at maintaining or restoring a </w:t>
            </w:r>
            <w:r>
              <w:rPr>
                <w:rFonts w:asciiTheme="minorHAnsi" w:hAnsiTheme="minorHAnsi" w:cstheme="minorHAnsi"/>
                <w:sz w:val="22"/>
                <w:szCs w:val="22"/>
              </w:rPr>
              <w:t>resident’s</w:t>
            </w:r>
            <w:r w:rsidRPr="00700C58">
              <w:rPr>
                <w:rFonts w:asciiTheme="minorHAnsi" w:hAnsiTheme="minorHAnsi" w:cstheme="minorHAnsi"/>
                <w:sz w:val="22"/>
                <w:szCs w:val="22"/>
              </w:rPr>
              <w:t xml:space="preserve"> ability to perform daily tasks for himself or herself, or assisting </w:t>
            </w:r>
            <w:r>
              <w:rPr>
                <w:rFonts w:asciiTheme="minorHAnsi" w:hAnsiTheme="minorHAnsi" w:cstheme="minorHAnsi"/>
                <w:sz w:val="22"/>
                <w:szCs w:val="22"/>
              </w:rPr>
              <w:t>residents</w:t>
            </w:r>
            <w:r w:rsidRPr="00700C58">
              <w:rPr>
                <w:rFonts w:asciiTheme="minorHAnsi" w:hAnsiTheme="minorHAnsi" w:cstheme="minorHAnsi"/>
                <w:sz w:val="22"/>
                <w:szCs w:val="22"/>
              </w:rPr>
              <w:t xml:space="preserve"> to obtain access to such programs.</w:t>
            </w:r>
          </w:p>
        </w:tc>
      </w:tr>
      <w:tr w:rsidR="00256E3D" w:rsidRPr="00700C58" w:rsidTr="009C62B6">
        <w:trPr>
          <w:trHeight w:val="32"/>
        </w:trPr>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rsidR="00256E3D" w:rsidRPr="00700C58" w:rsidRDefault="00256E3D" w:rsidP="00A51750">
            <w:pPr>
              <w:pStyle w:val="Tabletext2"/>
              <w:rPr>
                <w:rFonts w:asciiTheme="minorHAnsi" w:hAnsiTheme="minorHAnsi" w:cstheme="minorHAnsi"/>
                <w:sz w:val="22"/>
                <w:szCs w:val="22"/>
              </w:rPr>
            </w:pPr>
            <w:r w:rsidRPr="00700C58">
              <w:rPr>
                <w:rFonts w:asciiTheme="minorHAnsi" w:hAnsiTheme="minorHAnsi" w:cstheme="minorHAnsi"/>
                <w:sz w:val="22"/>
                <w:szCs w:val="22"/>
              </w:rPr>
              <w:t>2.8</w:t>
            </w:r>
          </w:p>
        </w:tc>
        <w:tc>
          <w:tcPr>
            <w:tcW w:w="1990" w:type="dxa"/>
          </w:tcPr>
          <w:p w:rsidR="00256E3D" w:rsidRPr="00700C58" w:rsidRDefault="00256E3D" w:rsidP="00216EDC">
            <w:pPr>
              <w:pStyle w:val="Tabletext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00C58">
              <w:rPr>
                <w:rFonts w:asciiTheme="minorHAnsi" w:hAnsiTheme="minorHAnsi" w:cstheme="minorHAnsi"/>
                <w:sz w:val="22"/>
                <w:szCs w:val="22"/>
              </w:rPr>
              <w:t xml:space="preserve">Assistance in obtaining access to specialised therapy services </w:t>
            </w:r>
          </w:p>
        </w:tc>
        <w:tc>
          <w:tcPr>
            <w:tcW w:w="6521" w:type="dxa"/>
          </w:tcPr>
          <w:p w:rsidR="00256E3D" w:rsidRPr="00700C58" w:rsidRDefault="00256E3D" w:rsidP="00216EDC">
            <w:pPr>
              <w:pStyle w:val="Tabletext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00C58">
              <w:rPr>
                <w:rFonts w:asciiTheme="minorHAnsi" w:hAnsiTheme="minorHAnsi" w:cstheme="minorHAnsi"/>
                <w:sz w:val="22"/>
                <w:szCs w:val="22"/>
              </w:rPr>
              <w:t xml:space="preserve">Making arrangements for speech therapists, podiatrists, occupational or physiotherapy practitioners to visit </w:t>
            </w:r>
            <w:r>
              <w:rPr>
                <w:rFonts w:asciiTheme="minorHAnsi" w:hAnsiTheme="minorHAnsi" w:cstheme="minorHAnsi"/>
                <w:sz w:val="22"/>
                <w:szCs w:val="22"/>
              </w:rPr>
              <w:t>residents</w:t>
            </w:r>
            <w:r w:rsidRPr="00700C58">
              <w:rPr>
                <w:rFonts w:asciiTheme="minorHAnsi" w:hAnsiTheme="minorHAnsi" w:cstheme="minorHAnsi"/>
                <w:sz w:val="22"/>
                <w:szCs w:val="22"/>
              </w:rPr>
              <w:t xml:space="preserve">, whether the arrangements are made by </w:t>
            </w:r>
            <w:r>
              <w:rPr>
                <w:rFonts w:asciiTheme="minorHAnsi" w:hAnsiTheme="minorHAnsi" w:cstheme="minorHAnsi"/>
                <w:sz w:val="22"/>
                <w:szCs w:val="22"/>
              </w:rPr>
              <w:t>residents</w:t>
            </w:r>
            <w:r w:rsidRPr="00700C58">
              <w:rPr>
                <w:rFonts w:asciiTheme="minorHAnsi" w:hAnsiTheme="minorHAnsi" w:cstheme="minorHAnsi"/>
                <w:sz w:val="22"/>
                <w:szCs w:val="22"/>
              </w:rPr>
              <w:t xml:space="preserve">, relatives or other persons representing the interests of </w:t>
            </w:r>
            <w:r>
              <w:rPr>
                <w:rFonts w:asciiTheme="minorHAnsi" w:hAnsiTheme="minorHAnsi" w:cstheme="minorHAnsi"/>
                <w:sz w:val="22"/>
                <w:szCs w:val="22"/>
              </w:rPr>
              <w:t>residents</w:t>
            </w:r>
            <w:r w:rsidRPr="00700C58">
              <w:rPr>
                <w:rFonts w:asciiTheme="minorHAnsi" w:hAnsiTheme="minorHAnsi" w:cstheme="minorHAnsi"/>
                <w:sz w:val="22"/>
                <w:szCs w:val="22"/>
              </w:rPr>
              <w:t>.</w:t>
            </w:r>
          </w:p>
        </w:tc>
      </w:tr>
      <w:tr w:rsidR="00256E3D" w:rsidRPr="00700C58" w:rsidTr="009C6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rsidR="00256E3D" w:rsidRPr="00700C58" w:rsidRDefault="00256E3D" w:rsidP="00A51750">
            <w:pPr>
              <w:pStyle w:val="Tabletext2"/>
              <w:rPr>
                <w:rFonts w:asciiTheme="minorHAnsi" w:hAnsiTheme="minorHAnsi" w:cstheme="minorHAnsi"/>
                <w:sz w:val="22"/>
                <w:szCs w:val="22"/>
              </w:rPr>
            </w:pPr>
            <w:r w:rsidRPr="00700C58">
              <w:rPr>
                <w:rFonts w:asciiTheme="minorHAnsi" w:hAnsiTheme="minorHAnsi" w:cstheme="minorHAnsi"/>
                <w:sz w:val="22"/>
                <w:szCs w:val="22"/>
              </w:rPr>
              <w:t>3.11</w:t>
            </w:r>
          </w:p>
        </w:tc>
        <w:tc>
          <w:tcPr>
            <w:tcW w:w="1990" w:type="dxa"/>
            <w:tcBorders>
              <w:top w:val="none" w:sz="0" w:space="0" w:color="auto"/>
              <w:bottom w:val="none" w:sz="0" w:space="0" w:color="auto"/>
            </w:tcBorders>
          </w:tcPr>
          <w:p w:rsidR="00256E3D" w:rsidRPr="00700C58" w:rsidRDefault="00256E3D" w:rsidP="00216EDC">
            <w:pPr>
              <w:pStyle w:val="Tabletext2"/>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00C58">
              <w:rPr>
                <w:rFonts w:asciiTheme="minorHAnsi" w:hAnsiTheme="minorHAnsi" w:cstheme="minorHAnsi"/>
                <w:sz w:val="22"/>
                <w:szCs w:val="22"/>
              </w:rPr>
              <w:t>Therapy services, such as, recreational, speech therapy, podiatry, occupational, and physiotherapy services</w:t>
            </w:r>
          </w:p>
        </w:tc>
        <w:tc>
          <w:tcPr>
            <w:tcW w:w="6521" w:type="dxa"/>
            <w:tcBorders>
              <w:top w:val="none" w:sz="0" w:space="0" w:color="auto"/>
              <w:bottom w:val="none" w:sz="0" w:space="0" w:color="auto"/>
            </w:tcBorders>
          </w:tcPr>
          <w:p w:rsidR="00256E3D" w:rsidRPr="00700C58" w:rsidRDefault="00256E3D" w:rsidP="00216EDC">
            <w:pPr>
              <w:pStyle w:val="Tablea"/>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00C58">
              <w:rPr>
                <w:rFonts w:asciiTheme="minorHAnsi" w:hAnsiTheme="minorHAnsi" w:cstheme="minorHAnsi"/>
                <w:sz w:val="22"/>
                <w:szCs w:val="22"/>
              </w:rPr>
              <w:t xml:space="preserve">(a) Maintenance therapy delivered by health professionals, or care staff as directed by health professionals, designed to maintain </w:t>
            </w:r>
            <w:r>
              <w:rPr>
                <w:rFonts w:asciiTheme="minorHAnsi" w:hAnsiTheme="minorHAnsi" w:cstheme="minorHAnsi"/>
                <w:sz w:val="22"/>
                <w:szCs w:val="22"/>
              </w:rPr>
              <w:t>residents’</w:t>
            </w:r>
            <w:r w:rsidRPr="00700C58">
              <w:rPr>
                <w:rFonts w:asciiTheme="minorHAnsi" w:hAnsiTheme="minorHAnsi" w:cstheme="minorHAnsi"/>
                <w:sz w:val="22"/>
                <w:szCs w:val="22"/>
              </w:rPr>
              <w:t xml:space="preserve"> levels of independence in activities of daily living;</w:t>
            </w:r>
          </w:p>
          <w:p w:rsidR="00256E3D" w:rsidRPr="00700C58" w:rsidRDefault="00256E3D" w:rsidP="00216EDC">
            <w:pPr>
              <w:pStyle w:val="Tablea"/>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00C58">
              <w:rPr>
                <w:rFonts w:asciiTheme="minorHAnsi" w:hAnsiTheme="minorHAnsi" w:cstheme="minorHAnsi"/>
                <w:sz w:val="22"/>
                <w:szCs w:val="22"/>
              </w:rPr>
              <w:t xml:space="preserve">(b) More intensive therapy delivered by health professionals, or care staff as directed by health professionals, on a temporary basis that is designed to allow </w:t>
            </w:r>
            <w:r>
              <w:rPr>
                <w:rFonts w:asciiTheme="minorHAnsi" w:hAnsiTheme="minorHAnsi" w:cstheme="minorHAnsi"/>
                <w:sz w:val="22"/>
                <w:szCs w:val="22"/>
              </w:rPr>
              <w:t>residents</w:t>
            </w:r>
            <w:r w:rsidRPr="00700C58">
              <w:rPr>
                <w:rFonts w:asciiTheme="minorHAnsi" w:hAnsiTheme="minorHAnsi" w:cstheme="minorHAnsi"/>
                <w:sz w:val="22"/>
                <w:szCs w:val="22"/>
              </w:rPr>
              <w:t xml:space="preserve"> to reach a level of independence at which maintenance therapy will meet their needs.</w:t>
            </w:r>
          </w:p>
          <w:p w:rsidR="00256E3D" w:rsidRPr="00700C58" w:rsidRDefault="00256E3D" w:rsidP="00216EDC">
            <w:pPr>
              <w:pStyle w:val="Tabletext2"/>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00C58">
              <w:rPr>
                <w:rFonts w:asciiTheme="minorHAnsi" w:hAnsiTheme="minorHAnsi" w:cstheme="minorHAnsi"/>
                <w:sz w:val="22"/>
                <w:szCs w:val="22"/>
              </w:rPr>
              <w:t>Excludes intensive, long</w:t>
            </w:r>
            <w:r w:rsidRPr="00700C58">
              <w:rPr>
                <w:rFonts w:asciiTheme="minorHAnsi" w:hAnsiTheme="minorHAnsi" w:cstheme="minorHAnsi"/>
                <w:sz w:val="22"/>
                <w:szCs w:val="22"/>
              </w:rPr>
              <w:noBreakHyphen/>
              <w:t>term rehabilitation services required following, for example, serious illness or injury, surgery or trauma.</w:t>
            </w:r>
          </w:p>
        </w:tc>
      </w:tr>
    </w:tbl>
    <w:p w:rsidR="00B93BA8" w:rsidRDefault="00B93BA8" w:rsidP="005E0BCA">
      <w:pPr>
        <w:pStyle w:val="Heading2-Chapter7"/>
      </w:pPr>
      <w:bookmarkStart w:id="480" w:name="_Toc491426053"/>
      <w:bookmarkStart w:id="481" w:name="_Toc482092557"/>
      <w:bookmarkEnd w:id="479"/>
      <w:r w:rsidRPr="00D613D1">
        <w:t xml:space="preserve">Funding </w:t>
      </w:r>
      <w:r>
        <w:t xml:space="preserve">and Design of </w:t>
      </w:r>
      <w:r w:rsidRPr="00D613D1">
        <w:t>the Therapy Program</w:t>
      </w:r>
      <w:bookmarkEnd w:id="480"/>
    </w:p>
    <w:p w:rsidR="00B93BA8" w:rsidRPr="00990F62" w:rsidRDefault="00B93BA8" w:rsidP="00990F62">
      <w:pPr>
        <w:pStyle w:val="Heading3-Chapter74"/>
      </w:pPr>
      <w:bookmarkStart w:id="482" w:name="_Toc486600055"/>
      <w:r w:rsidRPr="00990F62">
        <w:t>Allocating Funding to the Therapy Program</w:t>
      </w:r>
      <w:bookmarkEnd w:id="482"/>
    </w:p>
    <w:p w:rsidR="00980F62" w:rsidRDefault="00B93BA8" w:rsidP="00B93BA8">
      <w:pPr>
        <w:rPr>
          <w:lang w:eastAsia="en-AU"/>
        </w:rPr>
      </w:pPr>
      <w:r>
        <w:rPr>
          <w:lang w:eastAsia="en-AU"/>
        </w:rPr>
        <w:t>Given that the recommendation is to broaden the pain management domain, this analysis looked at the funding attributable to the pain management questions in ACFI 12 and the amount of funding that may be available for allocation to a broadly-based Therapy Program.</w:t>
      </w:r>
    </w:p>
    <w:p w:rsidR="00980F62" w:rsidRDefault="00B93BA8" w:rsidP="00B93BA8">
      <w:pPr>
        <w:rPr>
          <w:lang w:eastAsia="en-AU"/>
        </w:rPr>
      </w:pPr>
      <w:r>
        <w:rPr>
          <w:lang w:eastAsia="en-AU"/>
        </w:rPr>
        <w:t xml:space="preserve">There are </w:t>
      </w:r>
      <w:r w:rsidRPr="00A3323E">
        <w:rPr>
          <w:lang w:eastAsia="en-AU"/>
        </w:rPr>
        <w:t>three pain items</w:t>
      </w:r>
      <w:r>
        <w:rPr>
          <w:lang w:eastAsia="en-AU"/>
        </w:rPr>
        <w:t xml:space="preserve"> covered in ACFI 12 (12.3, 12.4a, 12.4b) as described in </w:t>
      </w:r>
      <w:hyperlink w:anchor="Tab0702" w:history="1">
        <w:r w:rsidRPr="0062445B">
          <w:rPr>
            <w:rStyle w:val="Hyperlink"/>
            <w:lang w:eastAsia="en-AU"/>
          </w:rPr>
          <w:t>Table 7.</w:t>
        </w:r>
        <w:r w:rsidR="00CA6AEA" w:rsidRPr="0062445B">
          <w:rPr>
            <w:rStyle w:val="Hyperlink"/>
            <w:lang w:eastAsia="en-AU"/>
          </w:rPr>
          <w:t>2</w:t>
        </w:r>
      </w:hyperlink>
      <w:r>
        <w:rPr>
          <w:lang w:eastAsia="en-AU"/>
        </w:rPr>
        <w:t>. The analysis determined the amount of funding that was attributable to these items by removing them from Q12 scoring calculations. This analysis determined how important these items were in lifting the CHC domain claims from a lower level to a higher level (e.g. Low to Medium; Medium to High; Low to High) and the attributable funding.</w:t>
      </w:r>
    </w:p>
    <w:p w:rsidR="00B93BA8" w:rsidRDefault="00B93BA8" w:rsidP="00B93BA8">
      <w:pPr>
        <w:rPr>
          <w:lang w:eastAsia="en-AU"/>
        </w:rPr>
      </w:pPr>
      <w:r>
        <w:rPr>
          <w:lang w:eastAsia="en-AU"/>
        </w:rPr>
        <w:t xml:space="preserve">Results of the analysis are shown in </w:t>
      </w:r>
      <w:hyperlink w:anchor="Tab0702" w:history="1">
        <w:r w:rsidRPr="0062445B">
          <w:rPr>
            <w:rStyle w:val="Hyperlink"/>
            <w:lang w:eastAsia="en-AU"/>
          </w:rPr>
          <w:t>Table 7.</w:t>
        </w:r>
        <w:r w:rsidR="00CA6AEA" w:rsidRPr="0062445B">
          <w:rPr>
            <w:rStyle w:val="Hyperlink"/>
            <w:lang w:eastAsia="en-AU"/>
          </w:rPr>
          <w:t>2</w:t>
        </w:r>
      </w:hyperlink>
      <w:r>
        <w:rPr>
          <w:lang w:eastAsia="en-AU"/>
        </w:rPr>
        <w:t xml:space="preserve"> and </w:t>
      </w:r>
      <w:hyperlink w:anchor="Fig0701" w:history="1">
        <w:r w:rsidRPr="00EC19CA">
          <w:rPr>
            <w:rStyle w:val="Hyperlink"/>
            <w:lang w:eastAsia="en-AU"/>
          </w:rPr>
          <w:t>Figure 7.1</w:t>
        </w:r>
      </w:hyperlink>
      <w:r>
        <w:rPr>
          <w:lang w:eastAsia="en-AU"/>
        </w:rPr>
        <w:t xml:space="preserve">. The analysis gave an average of $52.91 funding for the CHC domain from the Commonwealth supplied ACFI data covering the period from 2008 to June 30, 2016. Omitting only the pain items gave a CHC estimate of </w:t>
      </w:r>
      <w:r>
        <w:rPr>
          <w:lang w:eastAsia="en-AU"/>
        </w:rPr>
        <w:lastRenderedPageBreak/>
        <w:t>$33.41 for 2015-16, a reduction per resident per day of $19.50. The annual difference as at June 30, 2016 from removing the pain items from CHC can be estimated as $19.50 x 365 days x 175360 residents, which is about $1248</w:t>
      </w:r>
      <w:r w:rsidR="00A83063">
        <w:rPr>
          <w:lang w:eastAsia="en-AU"/>
        </w:rPr>
        <w:t xml:space="preserve"> </w:t>
      </w:r>
      <w:r w:rsidR="00A83063" w:rsidRPr="00747CAF">
        <w:t>m</w:t>
      </w:r>
      <w:r w:rsidR="00A83063">
        <w:t>illion</w:t>
      </w:r>
      <w:r>
        <w:rPr>
          <w:lang w:eastAsia="en-AU"/>
        </w:rPr>
        <w:t>. As the average daily subsidy at June 30, 2016 was $172, and the daily reduction in funding attributable to the pain items was $19.50 in 2015-16, the proportion of overall ACFI funding determined by the pain management items is about 11.3</w:t>
      </w:r>
      <w:r w:rsidR="0065091B">
        <w:rPr>
          <w:lang w:eastAsia="en-AU"/>
        </w:rPr>
        <w:t xml:space="preserve"> per cent</w:t>
      </w:r>
      <w:r>
        <w:rPr>
          <w:lang w:eastAsia="en-AU"/>
        </w:rPr>
        <w:t>.</w:t>
      </w:r>
    </w:p>
    <w:p w:rsidR="00980F62" w:rsidRDefault="00B93BA8" w:rsidP="00B93BA8">
      <w:pPr>
        <w:rPr>
          <w:lang w:eastAsia="en-AU"/>
        </w:rPr>
      </w:pPr>
      <w:r>
        <w:rPr>
          <w:lang w:eastAsia="en-AU"/>
        </w:rPr>
        <w:t xml:space="preserve">Using the estimates from this analysis, it is recommended that an amount of the CHC funding attributable to the pain management items is moved to the proposed Therapy Program. Using the average of the last four years’ daily </w:t>
      </w:r>
      <w:r w:rsidR="007E4803">
        <w:rPr>
          <w:lang w:eastAsia="en-AU"/>
        </w:rPr>
        <w:t>subsidies for the pain management items gives</w:t>
      </w:r>
      <w:r>
        <w:rPr>
          <w:lang w:eastAsia="en-AU"/>
        </w:rPr>
        <w:t xml:space="preserve"> $15 per resident per day to allocate to the program. Using this approach, approximately $5 per day will remain to be distributed in the CHC domain. Please refer to </w:t>
      </w:r>
      <w:hyperlink w:anchor="Ch08" w:history="1">
        <w:r w:rsidRPr="00A91929">
          <w:rPr>
            <w:rStyle w:val="Hyperlink"/>
            <w:lang w:eastAsia="en-AU"/>
          </w:rPr>
          <w:t>Chapter 8</w:t>
        </w:r>
      </w:hyperlink>
      <w:r>
        <w:rPr>
          <w:lang w:eastAsia="en-AU"/>
        </w:rPr>
        <w:t xml:space="preserve"> for a description of the funding amounts allocated in the recommended R-ACFI classification model domains.</w:t>
      </w:r>
    </w:p>
    <w:p w:rsidR="006126D6" w:rsidRDefault="006126D6" w:rsidP="006126D6">
      <w:pPr>
        <w:pStyle w:val="Caption"/>
        <w:keepNext/>
        <w:spacing w:before="160"/>
      </w:pPr>
      <w:bookmarkStart w:id="483" w:name="_Toc495416351"/>
      <w:bookmarkStart w:id="484" w:name="Tab0702"/>
      <w:r>
        <w:t>Table 7.</w:t>
      </w:r>
      <w:r w:rsidR="009A3F5A">
        <w:fldChar w:fldCharType="begin"/>
      </w:r>
      <w:r w:rsidR="009A3F5A">
        <w:instrText xml:space="preserve"> SEQ Table_7. \* ARABIC </w:instrText>
      </w:r>
      <w:r w:rsidR="009A3F5A">
        <w:fldChar w:fldCharType="separate"/>
      </w:r>
      <w:r w:rsidR="00856E49">
        <w:rPr>
          <w:noProof/>
        </w:rPr>
        <w:t>2</w:t>
      </w:r>
      <w:r w:rsidR="009A3F5A">
        <w:rPr>
          <w:noProof/>
        </w:rPr>
        <w:fldChar w:fldCharType="end"/>
      </w:r>
      <w:r>
        <w:t xml:space="preserve">: </w:t>
      </w:r>
      <w:r w:rsidRPr="006126D6">
        <w:t>CHC Payments with and without the Pain Management claims</w:t>
      </w:r>
      <w:bookmarkEnd w:id="483"/>
    </w:p>
    <w:tbl>
      <w:tblPr>
        <w:tblW w:w="8815"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15" w:type="dxa"/>
          <w:bottom w:w="15" w:type="dxa"/>
        </w:tblCellMar>
        <w:tblLook w:val="04A0" w:firstRow="1" w:lastRow="0" w:firstColumn="1" w:lastColumn="0" w:noHBand="0" w:noVBand="1"/>
        <w:tblDescription w:val="Table 7.2 is a list of details showing the payments and payment reductions for complex health care (CHC) pain management claims from 2008-2009 to 2015-2016, as summarised in the text prior to this image. This table is to be read left to right, top to bottom."/>
      </w:tblPr>
      <w:tblGrid>
        <w:gridCol w:w="1165"/>
        <w:gridCol w:w="2520"/>
        <w:gridCol w:w="2520"/>
        <w:gridCol w:w="2610"/>
      </w:tblGrid>
      <w:tr w:rsidR="00B93BA8" w:rsidRPr="00090516" w:rsidTr="00686DFA">
        <w:tc>
          <w:tcPr>
            <w:tcW w:w="1165" w:type="dxa"/>
            <w:shd w:val="clear" w:color="auto" w:fill="5B9BD5" w:themeFill="accent5"/>
            <w:noWrap/>
            <w:vAlign w:val="center"/>
            <w:hideMark/>
          </w:tcPr>
          <w:bookmarkEnd w:id="484"/>
          <w:p w:rsidR="00B93BA8" w:rsidRPr="00090516" w:rsidRDefault="00B93BA8" w:rsidP="00686DFA">
            <w:pPr>
              <w:spacing w:after="0" w:line="240" w:lineRule="auto"/>
              <w:jc w:val="center"/>
              <w:rPr>
                <w:rFonts w:ascii="Calibri" w:eastAsia="Times New Roman" w:hAnsi="Calibri" w:cs="Calibri"/>
                <w:b/>
                <w:bCs/>
                <w:color w:val="FFFFFF" w:themeColor="background1"/>
                <w:sz w:val="22"/>
                <w:lang w:val="en-US"/>
              </w:rPr>
            </w:pPr>
            <w:r w:rsidRPr="00090516">
              <w:rPr>
                <w:rFonts w:ascii="Calibri" w:eastAsia="Times New Roman" w:hAnsi="Calibri" w:cs="Calibri"/>
                <w:b/>
                <w:bCs/>
                <w:color w:val="FFFFFF" w:themeColor="background1"/>
                <w:sz w:val="22"/>
                <w:lang w:val="en-US"/>
              </w:rPr>
              <w:t>Year</w:t>
            </w:r>
          </w:p>
        </w:tc>
        <w:tc>
          <w:tcPr>
            <w:tcW w:w="2520" w:type="dxa"/>
            <w:shd w:val="clear" w:color="auto" w:fill="5B9BD5" w:themeFill="accent5"/>
            <w:noWrap/>
            <w:vAlign w:val="center"/>
            <w:hideMark/>
          </w:tcPr>
          <w:p w:rsidR="00B93BA8" w:rsidRPr="00090516" w:rsidRDefault="00686DFA" w:rsidP="00686DFA">
            <w:pPr>
              <w:spacing w:after="0" w:line="240" w:lineRule="auto"/>
              <w:jc w:val="center"/>
              <w:rPr>
                <w:rFonts w:ascii="Calibri" w:eastAsia="Times New Roman" w:hAnsi="Calibri" w:cs="Calibri"/>
                <w:b/>
                <w:bCs/>
                <w:color w:val="FFFFFF" w:themeColor="background1"/>
                <w:sz w:val="22"/>
                <w:lang w:val="en-US"/>
              </w:rPr>
            </w:pPr>
            <w:r w:rsidRPr="00090516">
              <w:rPr>
                <w:rFonts w:ascii="Calibri" w:eastAsia="Times New Roman" w:hAnsi="Calibri" w:cs="Calibri"/>
                <w:b/>
                <w:bCs/>
                <w:color w:val="FFFFFF" w:themeColor="background1"/>
                <w:sz w:val="22"/>
                <w:lang w:val="en-US"/>
              </w:rPr>
              <w:t>CHC payments</w:t>
            </w:r>
            <w:r>
              <w:rPr>
                <w:rFonts w:ascii="Calibri" w:eastAsia="Times New Roman" w:hAnsi="Calibri" w:cs="Calibri"/>
                <w:b/>
                <w:bCs/>
                <w:color w:val="FFFFFF" w:themeColor="background1"/>
                <w:sz w:val="22"/>
                <w:lang w:val="en-US"/>
              </w:rPr>
              <w:br/>
              <w:t>w</w:t>
            </w:r>
            <w:r w:rsidR="00B93BA8" w:rsidRPr="00090516">
              <w:rPr>
                <w:rFonts w:ascii="Calibri" w:eastAsia="Times New Roman" w:hAnsi="Calibri" w:cs="Calibri"/>
                <w:b/>
                <w:bCs/>
                <w:color w:val="FFFFFF" w:themeColor="background1"/>
                <w:sz w:val="22"/>
                <w:lang w:val="en-US"/>
              </w:rPr>
              <w:t>ith pain items</w:t>
            </w:r>
            <w:r>
              <w:rPr>
                <w:rFonts w:ascii="Calibri" w:eastAsia="Times New Roman" w:hAnsi="Calibri" w:cs="Calibri"/>
                <w:b/>
                <w:bCs/>
                <w:color w:val="FFFFFF" w:themeColor="background1"/>
                <w:sz w:val="22"/>
                <w:lang w:val="en-US"/>
              </w:rPr>
              <w:br/>
            </w:r>
            <w:r w:rsidR="00B93BA8" w:rsidRPr="00090516">
              <w:rPr>
                <w:rFonts w:ascii="Calibri" w:eastAsia="Times New Roman" w:hAnsi="Calibri" w:cs="Calibri"/>
                <w:b/>
                <w:bCs/>
                <w:color w:val="FFFFFF" w:themeColor="background1"/>
                <w:sz w:val="22"/>
                <w:lang w:val="en-US"/>
              </w:rPr>
              <w:t>Q12.3 &amp; Q12.4a or 12.4b</w:t>
            </w:r>
          </w:p>
        </w:tc>
        <w:tc>
          <w:tcPr>
            <w:tcW w:w="2520" w:type="dxa"/>
            <w:shd w:val="clear" w:color="auto" w:fill="5B9BD5" w:themeFill="accent5"/>
            <w:noWrap/>
            <w:vAlign w:val="center"/>
            <w:hideMark/>
          </w:tcPr>
          <w:p w:rsidR="00B93BA8" w:rsidRPr="00090516" w:rsidRDefault="00686DFA" w:rsidP="00686DFA">
            <w:pPr>
              <w:spacing w:after="0" w:line="240" w:lineRule="auto"/>
              <w:jc w:val="center"/>
              <w:rPr>
                <w:rFonts w:ascii="Calibri" w:eastAsia="Times New Roman" w:hAnsi="Calibri" w:cs="Calibri"/>
                <w:b/>
                <w:bCs/>
                <w:color w:val="FFFFFF" w:themeColor="background1"/>
                <w:sz w:val="22"/>
                <w:lang w:val="en-US"/>
              </w:rPr>
            </w:pPr>
            <w:r w:rsidRPr="00090516">
              <w:rPr>
                <w:rFonts w:ascii="Calibri" w:eastAsia="Times New Roman" w:hAnsi="Calibri" w:cs="Calibri"/>
                <w:b/>
                <w:bCs/>
                <w:color w:val="FFFFFF" w:themeColor="background1"/>
                <w:sz w:val="22"/>
                <w:lang w:val="en-US"/>
              </w:rPr>
              <w:t>CHC payments</w:t>
            </w:r>
            <w:r>
              <w:rPr>
                <w:rFonts w:ascii="Calibri" w:eastAsia="Times New Roman" w:hAnsi="Calibri" w:cs="Calibri"/>
                <w:b/>
                <w:bCs/>
                <w:color w:val="FFFFFF" w:themeColor="background1"/>
                <w:sz w:val="22"/>
                <w:lang w:val="en-US"/>
              </w:rPr>
              <w:br/>
              <w:t>w</w:t>
            </w:r>
            <w:r w:rsidR="00B93BA8" w:rsidRPr="00090516">
              <w:rPr>
                <w:rFonts w:ascii="Calibri" w:eastAsia="Times New Roman" w:hAnsi="Calibri" w:cs="Calibri"/>
                <w:b/>
                <w:bCs/>
                <w:color w:val="FFFFFF" w:themeColor="background1"/>
                <w:sz w:val="22"/>
                <w:lang w:val="en-US"/>
              </w:rPr>
              <w:t>ithout pain</w:t>
            </w:r>
            <w:r w:rsidR="00484EE0">
              <w:rPr>
                <w:rFonts w:ascii="Calibri" w:eastAsia="Times New Roman" w:hAnsi="Calibri" w:cs="Calibri"/>
                <w:b/>
                <w:bCs/>
                <w:color w:val="FFFFFF" w:themeColor="background1"/>
                <w:sz w:val="22"/>
                <w:lang w:val="en-US"/>
              </w:rPr>
              <w:t xml:space="preserve"> items</w:t>
            </w:r>
            <w:r>
              <w:rPr>
                <w:rFonts w:ascii="Calibri" w:eastAsia="Times New Roman" w:hAnsi="Calibri" w:cs="Calibri"/>
                <w:b/>
                <w:bCs/>
                <w:color w:val="FFFFFF" w:themeColor="background1"/>
                <w:sz w:val="22"/>
                <w:lang w:val="en-US"/>
              </w:rPr>
              <w:br/>
            </w:r>
            <w:r w:rsidR="00B93BA8" w:rsidRPr="00090516">
              <w:rPr>
                <w:rFonts w:ascii="Calibri" w:eastAsia="Times New Roman" w:hAnsi="Calibri" w:cs="Calibri"/>
                <w:b/>
                <w:bCs/>
                <w:color w:val="FFFFFF" w:themeColor="background1"/>
                <w:sz w:val="22"/>
                <w:lang w:val="en-US"/>
              </w:rPr>
              <w:t>Q12.3 &amp; Q12.4a or 12.4b</w:t>
            </w:r>
          </w:p>
        </w:tc>
        <w:tc>
          <w:tcPr>
            <w:tcW w:w="2610" w:type="dxa"/>
            <w:shd w:val="clear" w:color="auto" w:fill="5B9BD5" w:themeFill="accent5"/>
            <w:noWrap/>
            <w:vAlign w:val="center"/>
            <w:hideMark/>
          </w:tcPr>
          <w:p w:rsidR="00B93BA8" w:rsidRPr="00090516" w:rsidRDefault="00686DFA" w:rsidP="00686DFA">
            <w:pPr>
              <w:spacing w:after="0" w:line="240" w:lineRule="auto"/>
              <w:jc w:val="center"/>
              <w:rPr>
                <w:rFonts w:ascii="Calibri" w:eastAsia="Times New Roman" w:hAnsi="Calibri" w:cs="Calibri"/>
                <w:b/>
                <w:bCs/>
                <w:color w:val="FFFFFF" w:themeColor="background1"/>
                <w:sz w:val="22"/>
                <w:lang w:val="en-US"/>
              </w:rPr>
            </w:pPr>
            <w:r w:rsidRPr="00090516">
              <w:rPr>
                <w:rFonts w:ascii="Calibri" w:eastAsia="Times New Roman" w:hAnsi="Calibri" w:cs="Calibri"/>
                <w:b/>
                <w:bCs/>
                <w:color w:val="FFFFFF" w:themeColor="background1"/>
                <w:sz w:val="22"/>
                <w:lang w:val="en-US"/>
              </w:rPr>
              <w:t>CHC payment</w:t>
            </w:r>
            <w:r>
              <w:rPr>
                <w:rFonts w:ascii="Calibri" w:eastAsia="Times New Roman" w:hAnsi="Calibri" w:cs="Calibri"/>
                <w:b/>
                <w:bCs/>
                <w:color w:val="FFFFFF" w:themeColor="background1"/>
                <w:sz w:val="22"/>
                <w:lang w:val="en-US"/>
              </w:rPr>
              <w:br/>
            </w:r>
            <w:r w:rsidR="00B93BA8" w:rsidRPr="00090516">
              <w:rPr>
                <w:rFonts w:ascii="Calibri" w:eastAsia="Times New Roman" w:hAnsi="Calibri" w:cs="Calibri"/>
                <w:b/>
                <w:bCs/>
                <w:color w:val="FFFFFF" w:themeColor="background1"/>
                <w:sz w:val="22"/>
                <w:lang w:val="en-US"/>
              </w:rPr>
              <w:t>Reduction</w:t>
            </w:r>
            <w:r w:rsidR="00734B3F">
              <w:rPr>
                <w:rFonts w:ascii="Calibri" w:eastAsia="Times New Roman" w:hAnsi="Calibri" w:cs="Calibri"/>
                <w:b/>
                <w:bCs/>
                <w:color w:val="FFFFFF" w:themeColor="background1"/>
                <w:sz w:val="22"/>
                <w:lang w:val="en-US"/>
              </w:rPr>
              <w:t>s</w:t>
            </w:r>
            <w:r>
              <w:rPr>
                <w:rFonts w:ascii="Calibri" w:eastAsia="Times New Roman" w:hAnsi="Calibri" w:cs="Calibri"/>
                <w:b/>
                <w:bCs/>
                <w:color w:val="FFFFFF" w:themeColor="background1"/>
                <w:sz w:val="22"/>
                <w:lang w:val="en-US"/>
              </w:rPr>
              <w:br/>
            </w:r>
            <w:r w:rsidR="00B93BA8" w:rsidRPr="00090516">
              <w:rPr>
                <w:rFonts w:ascii="Calibri" w:eastAsia="Times New Roman" w:hAnsi="Calibri" w:cs="Calibri"/>
                <w:b/>
                <w:bCs/>
                <w:color w:val="FFFFFF" w:themeColor="background1"/>
                <w:sz w:val="22"/>
                <w:lang w:val="en-US"/>
              </w:rPr>
              <w:t>Q12.3 &amp; Q12.4a or 12.4b</w:t>
            </w:r>
          </w:p>
        </w:tc>
      </w:tr>
      <w:tr w:rsidR="00B93BA8" w:rsidRPr="000A1B39" w:rsidTr="00686DFA">
        <w:tc>
          <w:tcPr>
            <w:tcW w:w="1165" w:type="dxa"/>
            <w:noWrap/>
            <w:vAlign w:val="bottom"/>
            <w:hideMark/>
          </w:tcPr>
          <w:p w:rsidR="00B93BA8" w:rsidRPr="000A1B39" w:rsidRDefault="00B93BA8" w:rsidP="004F0B19">
            <w:pPr>
              <w:spacing w:after="0" w:line="240" w:lineRule="auto"/>
              <w:rPr>
                <w:rFonts w:ascii="Calibri" w:eastAsia="Times New Roman" w:hAnsi="Calibri" w:cs="Calibri"/>
                <w:color w:val="000000"/>
                <w:sz w:val="22"/>
                <w:lang w:val="en-US"/>
              </w:rPr>
            </w:pPr>
            <w:r>
              <w:rPr>
                <w:rFonts w:ascii="Calibri" w:eastAsia="Times New Roman" w:hAnsi="Calibri" w:cs="Calibri"/>
                <w:color w:val="000000"/>
                <w:sz w:val="22"/>
                <w:lang w:val="en-US"/>
              </w:rPr>
              <w:t>20</w:t>
            </w:r>
            <w:r w:rsidRPr="000A1B39">
              <w:rPr>
                <w:rFonts w:ascii="Calibri" w:eastAsia="Times New Roman" w:hAnsi="Calibri" w:cs="Calibri"/>
                <w:color w:val="000000"/>
                <w:sz w:val="22"/>
                <w:lang w:val="en-US"/>
              </w:rPr>
              <w:t>08-09</w:t>
            </w:r>
          </w:p>
        </w:tc>
        <w:tc>
          <w:tcPr>
            <w:tcW w:w="252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25.68</w:t>
            </w:r>
          </w:p>
        </w:tc>
        <w:tc>
          <w:tcPr>
            <w:tcW w:w="252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22.72</w:t>
            </w:r>
          </w:p>
        </w:tc>
        <w:tc>
          <w:tcPr>
            <w:tcW w:w="261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2.96</w:t>
            </w:r>
          </w:p>
        </w:tc>
      </w:tr>
      <w:tr w:rsidR="00B93BA8" w:rsidRPr="000A1B39" w:rsidTr="00686DFA">
        <w:tc>
          <w:tcPr>
            <w:tcW w:w="1165" w:type="dxa"/>
            <w:noWrap/>
            <w:vAlign w:val="bottom"/>
            <w:hideMark/>
          </w:tcPr>
          <w:p w:rsidR="00B93BA8" w:rsidRPr="000A1B39" w:rsidRDefault="00B93BA8" w:rsidP="004F0B19">
            <w:pPr>
              <w:spacing w:after="0" w:line="240" w:lineRule="auto"/>
              <w:rPr>
                <w:rFonts w:ascii="Calibri" w:eastAsia="Times New Roman" w:hAnsi="Calibri" w:cs="Calibri"/>
                <w:color w:val="000000"/>
                <w:sz w:val="22"/>
                <w:lang w:val="en-US"/>
              </w:rPr>
            </w:pPr>
            <w:r>
              <w:rPr>
                <w:rFonts w:ascii="Calibri" w:eastAsia="Times New Roman" w:hAnsi="Calibri" w:cs="Calibri"/>
                <w:color w:val="000000"/>
                <w:sz w:val="22"/>
                <w:lang w:val="en-US"/>
              </w:rPr>
              <w:t>20</w:t>
            </w:r>
            <w:r w:rsidRPr="000A1B39">
              <w:rPr>
                <w:rFonts w:ascii="Calibri" w:eastAsia="Times New Roman" w:hAnsi="Calibri" w:cs="Calibri"/>
                <w:color w:val="000000"/>
                <w:sz w:val="22"/>
                <w:lang w:val="en-US"/>
              </w:rPr>
              <w:t>09-10</w:t>
            </w:r>
          </w:p>
        </w:tc>
        <w:tc>
          <w:tcPr>
            <w:tcW w:w="252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29.29</w:t>
            </w:r>
          </w:p>
        </w:tc>
        <w:tc>
          <w:tcPr>
            <w:tcW w:w="252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24.81</w:t>
            </w:r>
          </w:p>
        </w:tc>
        <w:tc>
          <w:tcPr>
            <w:tcW w:w="261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4.48</w:t>
            </w:r>
          </w:p>
        </w:tc>
      </w:tr>
      <w:tr w:rsidR="00B93BA8" w:rsidRPr="000A1B39" w:rsidTr="00686DFA">
        <w:tc>
          <w:tcPr>
            <w:tcW w:w="1165" w:type="dxa"/>
            <w:noWrap/>
            <w:vAlign w:val="bottom"/>
            <w:hideMark/>
          </w:tcPr>
          <w:p w:rsidR="00B93BA8" w:rsidRPr="000A1B39" w:rsidRDefault="00B93BA8" w:rsidP="004F0B19">
            <w:pPr>
              <w:spacing w:after="0" w:line="240" w:lineRule="auto"/>
              <w:rPr>
                <w:rFonts w:ascii="Calibri" w:eastAsia="Times New Roman" w:hAnsi="Calibri" w:cs="Calibri"/>
                <w:color w:val="000000"/>
                <w:sz w:val="22"/>
                <w:lang w:val="en-US"/>
              </w:rPr>
            </w:pPr>
            <w:r>
              <w:rPr>
                <w:rFonts w:ascii="Calibri" w:eastAsia="Times New Roman" w:hAnsi="Calibri" w:cs="Calibri"/>
                <w:color w:val="000000"/>
                <w:sz w:val="22"/>
                <w:lang w:val="en-US"/>
              </w:rPr>
              <w:t>20</w:t>
            </w:r>
            <w:r w:rsidRPr="000A1B39">
              <w:rPr>
                <w:rFonts w:ascii="Calibri" w:eastAsia="Times New Roman" w:hAnsi="Calibri" w:cs="Calibri"/>
                <w:color w:val="000000"/>
                <w:sz w:val="22"/>
                <w:lang w:val="en-US"/>
              </w:rPr>
              <w:t>10-11</w:t>
            </w:r>
          </w:p>
        </w:tc>
        <w:tc>
          <w:tcPr>
            <w:tcW w:w="252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33.29</w:t>
            </w:r>
          </w:p>
        </w:tc>
        <w:tc>
          <w:tcPr>
            <w:tcW w:w="252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26.91</w:t>
            </w:r>
          </w:p>
        </w:tc>
        <w:tc>
          <w:tcPr>
            <w:tcW w:w="261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6.39</w:t>
            </w:r>
          </w:p>
        </w:tc>
      </w:tr>
      <w:tr w:rsidR="00B93BA8" w:rsidRPr="000A1B39" w:rsidTr="00686DFA">
        <w:tc>
          <w:tcPr>
            <w:tcW w:w="1165" w:type="dxa"/>
            <w:noWrap/>
            <w:vAlign w:val="bottom"/>
            <w:hideMark/>
          </w:tcPr>
          <w:p w:rsidR="00B93BA8" w:rsidRPr="000A1B39" w:rsidRDefault="00B93BA8" w:rsidP="004F0B19">
            <w:pPr>
              <w:spacing w:after="0" w:line="240" w:lineRule="auto"/>
              <w:rPr>
                <w:rFonts w:ascii="Calibri" w:eastAsia="Times New Roman" w:hAnsi="Calibri" w:cs="Calibri"/>
                <w:color w:val="000000"/>
                <w:sz w:val="22"/>
                <w:lang w:val="en-US"/>
              </w:rPr>
            </w:pPr>
            <w:r>
              <w:rPr>
                <w:rFonts w:ascii="Calibri" w:eastAsia="Times New Roman" w:hAnsi="Calibri" w:cs="Calibri"/>
                <w:color w:val="000000"/>
                <w:sz w:val="22"/>
                <w:lang w:val="en-US"/>
              </w:rPr>
              <w:t>20</w:t>
            </w:r>
            <w:r w:rsidRPr="000A1B39">
              <w:rPr>
                <w:rFonts w:ascii="Calibri" w:eastAsia="Times New Roman" w:hAnsi="Calibri" w:cs="Calibri"/>
                <w:color w:val="000000"/>
                <w:sz w:val="22"/>
                <w:lang w:val="en-US"/>
              </w:rPr>
              <w:t>11-12</w:t>
            </w:r>
          </w:p>
        </w:tc>
        <w:tc>
          <w:tcPr>
            <w:tcW w:w="252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37.49</w:t>
            </w:r>
          </w:p>
        </w:tc>
        <w:tc>
          <w:tcPr>
            <w:tcW w:w="252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28.74</w:t>
            </w:r>
          </w:p>
        </w:tc>
        <w:tc>
          <w:tcPr>
            <w:tcW w:w="261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8.75</w:t>
            </w:r>
          </w:p>
        </w:tc>
      </w:tr>
      <w:tr w:rsidR="00B93BA8" w:rsidRPr="000A1B39" w:rsidTr="00686DFA">
        <w:tc>
          <w:tcPr>
            <w:tcW w:w="1165" w:type="dxa"/>
            <w:noWrap/>
            <w:vAlign w:val="bottom"/>
            <w:hideMark/>
          </w:tcPr>
          <w:p w:rsidR="00B93BA8" w:rsidRPr="000A1B39" w:rsidRDefault="00B93BA8" w:rsidP="004F0B19">
            <w:pPr>
              <w:spacing w:after="0" w:line="240" w:lineRule="auto"/>
              <w:rPr>
                <w:rFonts w:ascii="Calibri" w:eastAsia="Times New Roman" w:hAnsi="Calibri" w:cs="Calibri"/>
                <w:color w:val="000000"/>
                <w:sz w:val="22"/>
                <w:lang w:val="en-US"/>
              </w:rPr>
            </w:pPr>
            <w:r>
              <w:rPr>
                <w:rFonts w:ascii="Calibri" w:eastAsia="Times New Roman" w:hAnsi="Calibri" w:cs="Calibri"/>
                <w:color w:val="000000"/>
                <w:sz w:val="22"/>
                <w:lang w:val="en-US"/>
              </w:rPr>
              <w:t>20</w:t>
            </w:r>
            <w:r w:rsidRPr="000A1B39">
              <w:rPr>
                <w:rFonts w:ascii="Calibri" w:eastAsia="Times New Roman" w:hAnsi="Calibri" w:cs="Calibri"/>
                <w:color w:val="000000"/>
                <w:sz w:val="22"/>
                <w:lang w:val="en-US"/>
              </w:rPr>
              <w:t>12-13</w:t>
            </w:r>
          </w:p>
        </w:tc>
        <w:tc>
          <w:tcPr>
            <w:tcW w:w="252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40.59</w:t>
            </w:r>
          </w:p>
        </w:tc>
        <w:tc>
          <w:tcPr>
            <w:tcW w:w="252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29.69</w:t>
            </w:r>
          </w:p>
        </w:tc>
        <w:tc>
          <w:tcPr>
            <w:tcW w:w="261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10.90</w:t>
            </w:r>
          </w:p>
        </w:tc>
      </w:tr>
      <w:tr w:rsidR="00B93BA8" w:rsidRPr="000A1B39" w:rsidTr="00686DFA">
        <w:tc>
          <w:tcPr>
            <w:tcW w:w="1165" w:type="dxa"/>
            <w:noWrap/>
            <w:vAlign w:val="bottom"/>
            <w:hideMark/>
          </w:tcPr>
          <w:p w:rsidR="00B93BA8" w:rsidRPr="000A1B39" w:rsidRDefault="00B93BA8" w:rsidP="004F0B19">
            <w:pPr>
              <w:spacing w:after="0" w:line="240" w:lineRule="auto"/>
              <w:rPr>
                <w:rFonts w:ascii="Calibri" w:eastAsia="Times New Roman" w:hAnsi="Calibri" w:cs="Calibri"/>
                <w:color w:val="000000"/>
                <w:sz w:val="22"/>
                <w:lang w:val="en-US"/>
              </w:rPr>
            </w:pPr>
            <w:r>
              <w:rPr>
                <w:rFonts w:ascii="Calibri" w:eastAsia="Times New Roman" w:hAnsi="Calibri" w:cs="Calibri"/>
                <w:color w:val="000000"/>
                <w:sz w:val="22"/>
                <w:lang w:val="en-US"/>
              </w:rPr>
              <w:t>20</w:t>
            </w:r>
            <w:r w:rsidRPr="000A1B39">
              <w:rPr>
                <w:rFonts w:ascii="Calibri" w:eastAsia="Times New Roman" w:hAnsi="Calibri" w:cs="Calibri"/>
                <w:color w:val="000000"/>
                <w:sz w:val="22"/>
                <w:lang w:val="en-US"/>
              </w:rPr>
              <w:t>13-14</w:t>
            </w:r>
          </w:p>
        </w:tc>
        <w:tc>
          <w:tcPr>
            <w:tcW w:w="252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43.79</w:t>
            </w:r>
          </w:p>
        </w:tc>
        <w:tc>
          <w:tcPr>
            <w:tcW w:w="252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30.60</w:t>
            </w:r>
          </w:p>
        </w:tc>
        <w:tc>
          <w:tcPr>
            <w:tcW w:w="261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13.20</w:t>
            </w:r>
          </w:p>
        </w:tc>
      </w:tr>
      <w:tr w:rsidR="00B93BA8" w:rsidRPr="000A1B39" w:rsidTr="00686DFA">
        <w:tc>
          <w:tcPr>
            <w:tcW w:w="1165" w:type="dxa"/>
            <w:noWrap/>
            <w:vAlign w:val="bottom"/>
            <w:hideMark/>
          </w:tcPr>
          <w:p w:rsidR="00B93BA8" w:rsidRPr="000A1B39" w:rsidRDefault="00B93BA8" w:rsidP="004F0B19">
            <w:pPr>
              <w:spacing w:after="0" w:line="240" w:lineRule="auto"/>
              <w:rPr>
                <w:rFonts w:ascii="Calibri" w:eastAsia="Times New Roman" w:hAnsi="Calibri" w:cs="Calibri"/>
                <w:color w:val="000000"/>
                <w:sz w:val="22"/>
                <w:lang w:val="en-US"/>
              </w:rPr>
            </w:pPr>
            <w:r>
              <w:rPr>
                <w:rFonts w:ascii="Calibri" w:eastAsia="Times New Roman" w:hAnsi="Calibri" w:cs="Calibri"/>
                <w:color w:val="000000"/>
                <w:sz w:val="22"/>
                <w:lang w:val="en-US"/>
              </w:rPr>
              <w:t>20</w:t>
            </w:r>
            <w:r w:rsidRPr="000A1B39">
              <w:rPr>
                <w:rFonts w:ascii="Calibri" w:eastAsia="Times New Roman" w:hAnsi="Calibri" w:cs="Calibri"/>
                <w:color w:val="000000"/>
                <w:sz w:val="22"/>
                <w:lang w:val="en-US"/>
              </w:rPr>
              <w:t>14-15</w:t>
            </w:r>
          </w:p>
        </w:tc>
        <w:tc>
          <w:tcPr>
            <w:tcW w:w="252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48.80</w:t>
            </w:r>
          </w:p>
        </w:tc>
        <w:tc>
          <w:tcPr>
            <w:tcW w:w="252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32.24</w:t>
            </w:r>
          </w:p>
        </w:tc>
        <w:tc>
          <w:tcPr>
            <w:tcW w:w="261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16.56</w:t>
            </w:r>
          </w:p>
        </w:tc>
      </w:tr>
      <w:tr w:rsidR="00B93BA8" w:rsidRPr="000A1B39" w:rsidTr="00686DFA">
        <w:tc>
          <w:tcPr>
            <w:tcW w:w="1165" w:type="dxa"/>
            <w:noWrap/>
            <w:vAlign w:val="bottom"/>
            <w:hideMark/>
          </w:tcPr>
          <w:p w:rsidR="00B93BA8" w:rsidRPr="000A1B39" w:rsidRDefault="00B93BA8" w:rsidP="004F0B19">
            <w:pPr>
              <w:spacing w:after="0" w:line="240" w:lineRule="auto"/>
              <w:rPr>
                <w:rFonts w:ascii="Calibri" w:eastAsia="Times New Roman" w:hAnsi="Calibri" w:cs="Calibri"/>
                <w:color w:val="000000"/>
                <w:sz w:val="22"/>
                <w:lang w:val="en-US"/>
              </w:rPr>
            </w:pPr>
            <w:r>
              <w:rPr>
                <w:rFonts w:ascii="Calibri" w:eastAsia="Times New Roman" w:hAnsi="Calibri" w:cs="Calibri"/>
                <w:color w:val="000000"/>
                <w:sz w:val="22"/>
                <w:lang w:val="en-US"/>
              </w:rPr>
              <w:t>20</w:t>
            </w:r>
            <w:r w:rsidRPr="000A1B39">
              <w:rPr>
                <w:rFonts w:ascii="Calibri" w:eastAsia="Times New Roman" w:hAnsi="Calibri" w:cs="Calibri"/>
                <w:color w:val="000000"/>
                <w:sz w:val="22"/>
                <w:lang w:val="en-US"/>
              </w:rPr>
              <w:t>15-16</w:t>
            </w:r>
          </w:p>
        </w:tc>
        <w:tc>
          <w:tcPr>
            <w:tcW w:w="252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52.91</w:t>
            </w:r>
          </w:p>
        </w:tc>
        <w:tc>
          <w:tcPr>
            <w:tcW w:w="252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33.41</w:t>
            </w:r>
          </w:p>
        </w:tc>
        <w:tc>
          <w:tcPr>
            <w:tcW w:w="2610" w:type="dxa"/>
            <w:noWrap/>
            <w:vAlign w:val="bottom"/>
            <w:hideMark/>
          </w:tcPr>
          <w:p w:rsidR="00B93BA8" w:rsidRPr="000A1B39" w:rsidRDefault="00B93BA8" w:rsidP="004F0B19">
            <w:pPr>
              <w:spacing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0A1B39">
              <w:rPr>
                <w:rFonts w:ascii="Calibri" w:eastAsia="Times New Roman" w:hAnsi="Calibri" w:cs="Calibri"/>
                <w:color w:val="000000"/>
                <w:sz w:val="22"/>
                <w:lang w:val="en-US"/>
              </w:rPr>
              <w:t>19.50</w:t>
            </w:r>
          </w:p>
        </w:tc>
      </w:tr>
    </w:tbl>
    <w:p w:rsidR="006126D6" w:rsidRDefault="006126D6" w:rsidP="006126D6">
      <w:pPr>
        <w:pStyle w:val="Caption"/>
        <w:keepNext/>
        <w:spacing w:before="160"/>
      </w:pPr>
      <w:bookmarkStart w:id="485" w:name="_Toc495416536"/>
      <w:r>
        <w:t>Figure 7.</w:t>
      </w:r>
      <w:r w:rsidR="009A3F5A">
        <w:fldChar w:fldCharType="begin"/>
      </w:r>
      <w:r w:rsidR="009A3F5A">
        <w:instrText xml:space="preserve"> SEQ Figure_7. \* ARABIC </w:instrText>
      </w:r>
      <w:r w:rsidR="009A3F5A">
        <w:fldChar w:fldCharType="separate"/>
      </w:r>
      <w:r w:rsidR="00856E49">
        <w:rPr>
          <w:noProof/>
        </w:rPr>
        <w:t>1</w:t>
      </w:r>
      <w:r w:rsidR="009A3F5A">
        <w:rPr>
          <w:noProof/>
        </w:rPr>
        <w:fldChar w:fldCharType="end"/>
      </w:r>
      <w:r>
        <w:t xml:space="preserve">: </w:t>
      </w:r>
      <w:r w:rsidRPr="006126D6">
        <w:t>ACFI 12 Pain items growth</w:t>
      </w:r>
      <w:bookmarkEnd w:id="485"/>
    </w:p>
    <w:p w:rsidR="00181A96" w:rsidRDefault="004A181C" w:rsidP="00B93BA8">
      <w:pPr>
        <w:spacing w:after="200"/>
        <w:rPr>
          <w:lang w:eastAsia="en-AU"/>
        </w:rPr>
      </w:pPr>
      <w:r>
        <w:rPr>
          <w:noProof/>
          <w:lang w:eastAsia="en-AU"/>
        </w:rPr>
        <w:drawing>
          <wp:inline distT="0" distB="0" distL="0" distR="0" wp14:anchorId="69B95B75" wp14:editId="06F6747E">
            <wp:extent cx="5159829" cy="3240743"/>
            <wp:effectExtent l="0" t="0" r="3175" b="0"/>
            <wp:docPr id="145" name="Picture 145" descr="Figure 7.1 is a bar chart showing the increase of payment reductions for complex health care (CHC) pain management claims from 2008-2009 to 2015-2016, as per Table 7.2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64755" cy="3243837"/>
                    </a:xfrm>
                    <a:prstGeom prst="rect">
                      <a:avLst/>
                    </a:prstGeom>
                    <a:noFill/>
                  </pic:spPr>
                </pic:pic>
              </a:graphicData>
            </a:graphic>
          </wp:inline>
        </w:drawing>
      </w:r>
    </w:p>
    <w:p w:rsidR="004034A3" w:rsidRPr="00133C11" w:rsidRDefault="00CA6AEA" w:rsidP="00990F62">
      <w:pPr>
        <w:pStyle w:val="Heading3-Chapter74"/>
      </w:pPr>
      <w:bookmarkStart w:id="486" w:name="_Toc482092558"/>
      <w:bookmarkStart w:id="487" w:name="_Toc486600057"/>
      <w:bookmarkEnd w:id="481"/>
      <w:r>
        <w:lastRenderedPageBreak/>
        <w:t>Recommended Design of the Therapy Program</w:t>
      </w:r>
    </w:p>
    <w:p w:rsidR="00980F62" w:rsidRDefault="004034A3" w:rsidP="004034A3">
      <w:pPr>
        <w:rPr>
          <w:lang w:val="en-US" w:eastAsia="en-AU"/>
        </w:rPr>
      </w:pPr>
      <w:r>
        <w:rPr>
          <w:lang w:eastAsia="en-AU"/>
        </w:rPr>
        <w:t>To illustrate the feasibility of the Therapy Program, the three program options in a sixty-bed facility, with 75</w:t>
      </w:r>
      <w:r w:rsidR="0065091B">
        <w:rPr>
          <w:lang w:eastAsia="en-AU"/>
        </w:rPr>
        <w:t xml:space="preserve"> per cent</w:t>
      </w:r>
      <w:r>
        <w:rPr>
          <w:lang w:eastAsia="en-AU"/>
        </w:rPr>
        <w:t xml:space="preserve"> participation rate are described in </w:t>
      </w:r>
      <w:hyperlink w:anchor="Tab0703" w:history="1">
        <w:r w:rsidRPr="0062445B">
          <w:rPr>
            <w:rStyle w:val="Hyperlink"/>
            <w:lang w:eastAsia="en-AU"/>
          </w:rPr>
          <w:t>Table 7.</w:t>
        </w:r>
        <w:r w:rsidR="00CA6AEA" w:rsidRPr="0062445B">
          <w:rPr>
            <w:rStyle w:val="Hyperlink"/>
            <w:lang w:eastAsia="en-AU"/>
          </w:rPr>
          <w:t>3</w:t>
        </w:r>
      </w:hyperlink>
      <w:r>
        <w:rPr>
          <w:lang w:eastAsia="en-AU"/>
        </w:rPr>
        <w:t>. Each participant receives $105</w:t>
      </w:r>
      <w:r w:rsidR="00A83063">
        <w:rPr>
          <w:lang w:eastAsia="en-AU"/>
        </w:rPr>
        <w:t xml:space="preserve"> per </w:t>
      </w:r>
      <w:r>
        <w:rPr>
          <w:lang w:eastAsia="en-AU"/>
        </w:rPr>
        <w:t>week Therapy Program subsidy. The estimated AHP cost includes a 20</w:t>
      </w:r>
      <w:r w:rsidR="0065091B">
        <w:rPr>
          <w:lang w:eastAsia="en-AU"/>
        </w:rPr>
        <w:t xml:space="preserve"> per cent</w:t>
      </w:r>
      <w:r>
        <w:rPr>
          <w:lang w:eastAsia="en-AU"/>
        </w:rPr>
        <w:t xml:space="preserve"> preparation time above the session times but does not include broader costs incurred by Providers for equipment and facility expenses. It is assumed that the group sessions will also need additional staff to assist</w:t>
      </w:r>
      <w:r>
        <w:rPr>
          <w:lang w:val="en-US" w:eastAsia="en-AU"/>
        </w:rPr>
        <w:t xml:space="preserve"> the therapist which will add to the cost of program delivery.</w:t>
      </w:r>
    </w:p>
    <w:p w:rsidR="004034A3" w:rsidRDefault="004034A3" w:rsidP="004034A3">
      <w:pPr>
        <w:rPr>
          <w:lang w:eastAsia="en-AU"/>
        </w:rPr>
      </w:pPr>
      <w:r>
        <w:rPr>
          <w:lang w:eastAsia="en-AU"/>
        </w:rPr>
        <w:t>The three program options are as follows:</w:t>
      </w:r>
    </w:p>
    <w:p w:rsidR="00980F62" w:rsidRDefault="004034A3" w:rsidP="00557DB1">
      <w:pPr>
        <w:pStyle w:val="ListParagraph"/>
        <w:numPr>
          <w:ilvl w:val="0"/>
          <w:numId w:val="43"/>
        </w:numPr>
        <w:ind w:left="357" w:hanging="357"/>
        <w:contextualSpacing w:val="0"/>
        <w:rPr>
          <w:lang w:eastAsia="en-AU"/>
        </w:rPr>
      </w:pPr>
      <w:r>
        <w:rPr>
          <w:lang w:eastAsia="en-AU"/>
        </w:rPr>
        <w:t>Option A: One (1) individual physical therapy session and three (3) small group sessions with a total requirement of 180 minutes of therapy per week.</w:t>
      </w:r>
    </w:p>
    <w:p w:rsidR="004034A3" w:rsidRDefault="004034A3" w:rsidP="00557DB1">
      <w:pPr>
        <w:pStyle w:val="ListParagraph"/>
        <w:numPr>
          <w:ilvl w:val="0"/>
          <w:numId w:val="43"/>
        </w:numPr>
        <w:ind w:left="357" w:hanging="357"/>
        <w:contextualSpacing w:val="0"/>
        <w:rPr>
          <w:lang w:eastAsia="en-AU"/>
        </w:rPr>
      </w:pPr>
      <w:r>
        <w:rPr>
          <w:lang w:eastAsia="en-AU"/>
        </w:rPr>
        <w:t>Option B: Two (2) individual physical therapy sessions and two (2) small group sessions with a total requirement of 140 minutes of therapy per week.</w:t>
      </w:r>
    </w:p>
    <w:p w:rsidR="00980F62" w:rsidRDefault="004034A3" w:rsidP="00557DB1">
      <w:pPr>
        <w:pStyle w:val="ListParagraph"/>
        <w:numPr>
          <w:ilvl w:val="0"/>
          <w:numId w:val="43"/>
        </w:numPr>
        <w:ind w:left="357" w:hanging="357"/>
        <w:contextualSpacing w:val="0"/>
        <w:rPr>
          <w:lang w:eastAsia="en-AU"/>
        </w:rPr>
      </w:pPr>
      <w:r>
        <w:rPr>
          <w:lang w:eastAsia="en-AU"/>
        </w:rPr>
        <w:t>Option C: Three (3) individual physical therapy sessions with a total requirement of 60 minutes of therapy per week.</w:t>
      </w:r>
    </w:p>
    <w:p w:rsidR="006126D6" w:rsidRDefault="006126D6" w:rsidP="006126D6">
      <w:pPr>
        <w:pStyle w:val="Caption"/>
        <w:keepNext/>
      </w:pPr>
      <w:bookmarkStart w:id="488" w:name="_Toc495416352"/>
      <w:bookmarkStart w:id="489" w:name="Tab0703"/>
      <w:r>
        <w:t>Table 7.</w:t>
      </w:r>
      <w:r w:rsidR="009A3F5A">
        <w:fldChar w:fldCharType="begin"/>
      </w:r>
      <w:r w:rsidR="009A3F5A">
        <w:instrText xml:space="preserve"> SEQ Table_7. \* ARABIC </w:instrText>
      </w:r>
      <w:r w:rsidR="009A3F5A">
        <w:fldChar w:fldCharType="separate"/>
      </w:r>
      <w:r w:rsidR="00856E49">
        <w:rPr>
          <w:noProof/>
        </w:rPr>
        <w:t>3</w:t>
      </w:r>
      <w:r w:rsidR="009A3F5A">
        <w:rPr>
          <w:noProof/>
        </w:rPr>
        <w:fldChar w:fldCharType="end"/>
      </w:r>
      <w:r>
        <w:t xml:space="preserve">: </w:t>
      </w:r>
      <w:r w:rsidRPr="006126D6">
        <w:t>Therapy Program Design</w:t>
      </w:r>
      <w:bookmarkEnd w:id="488"/>
    </w:p>
    <w:tbl>
      <w:tblPr>
        <w:tblW w:w="8930"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CellMar>
          <w:top w:w="15" w:type="dxa"/>
          <w:bottom w:w="15" w:type="dxa"/>
        </w:tblCellMar>
        <w:tblLook w:val="04A0" w:firstRow="1" w:lastRow="0" w:firstColumn="1" w:lastColumn="0" w:noHBand="0" w:noVBand="1"/>
        <w:tblDescription w:val="Table 7.3 is a list of details illustrating how the therapy program subsidy might work under the revised aged care funding instrument (R-ACFI), as summarised in the text prior to this table. This table is to be read left to right, top to bottom."/>
      </w:tblPr>
      <w:tblGrid>
        <w:gridCol w:w="4536"/>
        <w:gridCol w:w="1559"/>
        <w:gridCol w:w="1418"/>
        <w:gridCol w:w="1417"/>
      </w:tblGrid>
      <w:tr w:rsidR="004034A3" w:rsidRPr="00090516" w:rsidTr="00181A96">
        <w:trPr>
          <w:trHeight w:val="300"/>
        </w:trPr>
        <w:tc>
          <w:tcPr>
            <w:tcW w:w="4536" w:type="dxa"/>
            <w:shd w:val="clear" w:color="auto" w:fill="5B9BD5" w:themeFill="accent5"/>
          </w:tcPr>
          <w:bookmarkEnd w:id="489"/>
          <w:p w:rsidR="004034A3" w:rsidRPr="00090516" w:rsidRDefault="00D53540" w:rsidP="004F0B19">
            <w:pPr>
              <w:spacing w:after="0" w:line="240" w:lineRule="auto"/>
              <w:rPr>
                <w:rFonts w:ascii="Calibri" w:eastAsia="Times New Roman" w:hAnsi="Calibri" w:cs="Calibri"/>
                <w:b/>
                <w:bCs/>
                <w:color w:val="FFFFFF" w:themeColor="background1"/>
                <w:sz w:val="22"/>
                <w:lang w:eastAsia="en-AU"/>
              </w:rPr>
            </w:pPr>
            <w:r>
              <w:rPr>
                <w:rFonts w:ascii="Calibri" w:eastAsia="Times New Roman" w:hAnsi="Calibri" w:cs="Calibri"/>
                <w:b/>
                <w:bCs/>
                <w:color w:val="FFFFFF" w:themeColor="background1"/>
                <w:sz w:val="22"/>
                <w:lang w:eastAsia="en-AU"/>
              </w:rPr>
              <w:t>Considerations (based on assumptions)</w:t>
            </w:r>
          </w:p>
        </w:tc>
        <w:tc>
          <w:tcPr>
            <w:tcW w:w="1559" w:type="dxa"/>
            <w:shd w:val="clear" w:color="auto" w:fill="5B9BD5" w:themeFill="accent5"/>
            <w:noWrap/>
            <w:vAlign w:val="bottom"/>
            <w:hideMark/>
          </w:tcPr>
          <w:p w:rsidR="004034A3" w:rsidRPr="00090516" w:rsidRDefault="004034A3" w:rsidP="00181A96">
            <w:pPr>
              <w:spacing w:after="0" w:line="240" w:lineRule="auto"/>
              <w:jc w:val="center"/>
              <w:rPr>
                <w:rFonts w:ascii="Calibri" w:eastAsia="Times New Roman" w:hAnsi="Calibri" w:cs="Calibri"/>
                <w:b/>
                <w:bCs/>
                <w:color w:val="FFFFFF" w:themeColor="background1"/>
                <w:sz w:val="22"/>
                <w:lang w:eastAsia="en-AU"/>
              </w:rPr>
            </w:pPr>
            <w:r w:rsidRPr="00090516">
              <w:rPr>
                <w:rFonts w:ascii="Calibri" w:eastAsia="Times New Roman" w:hAnsi="Calibri" w:cs="Calibri"/>
                <w:b/>
                <w:bCs/>
                <w:color w:val="FFFFFF" w:themeColor="background1"/>
                <w:sz w:val="22"/>
                <w:lang w:eastAsia="en-AU"/>
              </w:rPr>
              <w:t>Option A</w:t>
            </w:r>
          </w:p>
        </w:tc>
        <w:tc>
          <w:tcPr>
            <w:tcW w:w="1418" w:type="dxa"/>
            <w:shd w:val="clear" w:color="auto" w:fill="5B9BD5" w:themeFill="accent5"/>
            <w:noWrap/>
            <w:vAlign w:val="bottom"/>
            <w:hideMark/>
          </w:tcPr>
          <w:p w:rsidR="004034A3" w:rsidRPr="00090516" w:rsidRDefault="004034A3" w:rsidP="00181A96">
            <w:pPr>
              <w:spacing w:after="0" w:line="240" w:lineRule="auto"/>
              <w:jc w:val="center"/>
              <w:rPr>
                <w:rFonts w:ascii="Calibri" w:eastAsia="Times New Roman" w:hAnsi="Calibri" w:cs="Calibri"/>
                <w:b/>
                <w:bCs/>
                <w:color w:val="FFFFFF" w:themeColor="background1"/>
                <w:sz w:val="22"/>
                <w:lang w:eastAsia="en-AU"/>
              </w:rPr>
            </w:pPr>
            <w:r w:rsidRPr="00090516">
              <w:rPr>
                <w:rFonts w:ascii="Calibri" w:eastAsia="Times New Roman" w:hAnsi="Calibri" w:cs="Calibri"/>
                <w:b/>
                <w:bCs/>
                <w:color w:val="FFFFFF" w:themeColor="background1"/>
                <w:sz w:val="22"/>
                <w:lang w:eastAsia="en-AU"/>
              </w:rPr>
              <w:t>Option B</w:t>
            </w:r>
          </w:p>
        </w:tc>
        <w:tc>
          <w:tcPr>
            <w:tcW w:w="1417" w:type="dxa"/>
            <w:shd w:val="clear" w:color="auto" w:fill="5B9BD5" w:themeFill="accent5"/>
            <w:noWrap/>
            <w:vAlign w:val="bottom"/>
            <w:hideMark/>
          </w:tcPr>
          <w:p w:rsidR="004034A3" w:rsidRPr="00090516" w:rsidRDefault="004034A3" w:rsidP="00181A96">
            <w:pPr>
              <w:spacing w:after="0" w:line="240" w:lineRule="auto"/>
              <w:jc w:val="center"/>
              <w:rPr>
                <w:rFonts w:ascii="Calibri" w:eastAsia="Times New Roman" w:hAnsi="Calibri" w:cs="Calibri"/>
                <w:b/>
                <w:bCs/>
                <w:color w:val="FFFFFF" w:themeColor="background1"/>
                <w:sz w:val="22"/>
                <w:lang w:eastAsia="en-AU"/>
              </w:rPr>
            </w:pPr>
            <w:r w:rsidRPr="00090516">
              <w:rPr>
                <w:rFonts w:ascii="Calibri" w:eastAsia="Times New Roman" w:hAnsi="Calibri" w:cs="Calibri"/>
                <w:b/>
                <w:bCs/>
                <w:color w:val="FFFFFF" w:themeColor="background1"/>
                <w:sz w:val="22"/>
                <w:lang w:eastAsia="en-AU"/>
              </w:rPr>
              <w:t>Option C</w:t>
            </w:r>
          </w:p>
        </w:tc>
      </w:tr>
      <w:tr w:rsidR="004034A3" w:rsidRPr="00320682" w:rsidTr="00D53540">
        <w:trPr>
          <w:trHeight w:val="300"/>
        </w:trPr>
        <w:tc>
          <w:tcPr>
            <w:tcW w:w="4536" w:type="dxa"/>
            <w:shd w:val="clear" w:color="auto" w:fill="auto"/>
            <w:vAlign w:val="center"/>
          </w:tcPr>
          <w:p w:rsidR="004034A3" w:rsidRPr="00320682" w:rsidRDefault="003641F7" w:rsidP="00181A96">
            <w:pPr>
              <w:spacing w:after="0" w:line="240" w:lineRule="auto"/>
              <w:jc w:val="left"/>
              <w:rPr>
                <w:rFonts w:ascii="Calibri" w:eastAsia="Times New Roman" w:hAnsi="Calibri" w:cs="Calibri"/>
                <w:color w:val="000000"/>
                <w:sz w:val="22"/>
                <w:lang w:eastAsia="en-AU"/>
              </w:rPr>
            </w:pPr>
            <w:r>
              <w:rPr>
                <w:rFonts w:ascii="Calibri" w:eastAsia="Times New Roman" w:hAnsi="Calibri" w:cs="Calibri"/>
                <w:color w:val="000000"/>
                <w:sz w:val="22"/>
                <w:lang w:eastAsia="en-AU"/>
              </w:rPr>
              <w:t xml:space="preserve">Number of </w:t>
            </w:r>
            <w:r w:rsidR="004034A3" w:rsidRPr="00320682">
              <w:rPr>
                <w:rFonts w:ascii="Calibri" w:eastAsia="Times New Roman" w:hAnsi="Calibri" w:cs="Calibri"/>
                <w:color w:val="000000"/>
                <w:sz w:val="22"/>
                <w:lang w:eastAsia="en-AU"/>
              </w:rPr>
              <w:t>Residents</w:t>
            </w:r>
          </w:p>
        </w:tc>
        <w:tc>
          <w:tcPr>
            <w:tcW w:w="1559" w:type="dxa"/>
            <w:shd w:val="clear" w:color="auto" w:fill="auto"/>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60</w:t>
            </w:r>
          </w:p>
        </w:tc>
        <w:tc>
          <w:tcPr>
            <w:tcW w:w="1418" w:type="dxa"/>
            <w:shd w:val="clear" w:color="auto" w:fill="auto"/>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60</w:t>
            </w:r>
          </w:p>
        </w:tc>
        <w:tc>
          <w:tcPr>
            <w:tcW w:w="1417" w:type="dxa"/>
            <w:shd w:val="clear" w:color="auto" w:fill="auto"/>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60</w:t>
            </w:r>
          </w:p>
        </w:tc>
      </w:tr>
      <w:tr w:rsidR="004034A3" w:rsidRPr="00320682" w:rsidTr="00D53540">
        <w:trPr>
          <w:trHeight w:val="300"/>
        </w:trPr>
        <w:tc>
          <w:tcPr>
            <w:tcW w:w="4536" w:type="dxa"/>
            <w:shd w:val="clear" w:color="auto" w:fill="auto"/>
            <w:vAlign w:val="center"/>
          </w:tcPr>
          <w:p w:rsidR="004034A3" w:rsidRPr="00320682" w:rsidRDefault="003641F7" w:rsidP="003641F7">
            <w:pPr>
              <w:spacing w:after="0" w:line="240" w:lineRule="auto"/>
              <w:jc w:val="left"/>
              <w:rPr>
                <w:rFonts w:ascii="Calibri" w:eastAsia="Times New Roman" w:hAnsi="Calibri" w:cs="Calibri"/>
                <w:color w:val="000000"/>
                <w:sz w:val="22"/>
                <w:lang w:eastAsia="en-AU"/>
              </w:rPr>
            </w:pPr>
            <w:r>
              <w:rPr>
                <w:rFonts w:ascii="Calibri" w:eastAsia="Times New Roman" w:hAnsi="Calibri" w:cs="Calibri"/>
                <w:color w:val="000000"/>
                <w:sz w:val="22"/>
                <w:lang w:eastAsia="en-AU"/>
              </w:rPr>
              <w:t>How many are</w:t>
            </w:r>
            <w:r w:rsidR="004034A3">
              <w:rPr>
                <w:rFonts w:ascii="Calibri" w:eastAsia="Times New Roman" w:hAnsi="Calibri" w:cs="Calibri"/>
                <w:color w:val="000000"/>
                <w:sz w:val="22"/>
                <w:lang w:eastAsia="en-AU"/>
              </w:rPr>
              <w:t xml:space="preserve"> program p</w:t>
            </w:r>
            <w:r w:rsidR="004034A3" w:rsidRPr="00320682">
              <w:rPr>
                <w:rFonts w:ascii="Calibri" w:eastAsia="Times New Roman" w:hAnsi="Calibri" w:cs="Calibri"/>
                <w:color w:val="000000"/>
                <w:sz w:val="22"/>
                <w:lang w:eastAsia="en-AU"/>
              </w:rPr>
              <w:t>articipants</w:t>
            </w:r>
            <w:r>
              <w:rPr>
                <w:rFonts w:ascii="Calibri" w:eastAsia="Times New Roman" w:hAnsi="Calibri" w:cs="Calibri"/>
                <w:color w:val="000000"/>
                <w:sz w:val="22"/>
                <w:lang w:eastAsia="en-AU"/>
              </w:rPr>
              <w:t xml:space="preserve"> (in this case, 75 per cent)</w:t>
            </w:r>
          </w:p>
        </w:tc>
        <w:tc>
          <w:tcPr>
            <w:tcW w:w="1559" w:type="dxa"/>
            <w:shd w:val="clear" w:color="auto" w:fill="auto"/>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Pr>
                <w:rFonts w:ascii="Calibri" w:eastAsia="Times New Roman" w:hAnsi="Calibri" w:cs="Calibri"/>
                <w:color w:val="000000"/>
                <w:sz w:val="22"/>
                <w:lang w:eastAsia="en-AU"/>
              </w:rPr>
              <w:t>45</w:t>
            </w:r>
          </w:p>
        </w:tc>
        <w:tc>
          <w:tcPr>
            <w:tcW w:w="1418" w:type="dxa"/>
            <w:shd w:val="clear" w:color="auto" w:fill="auto"/>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Pr>
                <w:rFonts w:ascii="Calibri" w:eastAsia="Times New Roman" w:hAnsi="Calibri" w:cs="Calibri"/>
                <w:color w:val="000000"/>
                <w:sz w:val="22"/>
                <w:lang w:eastAsia="en-AU"/>
              </w:rPr>
              <w:t>45</w:t>
            </w:r>
          </w:p>
        </w:tc>
        <w:tc>
          <w:tcPr>
            <w:tcW w:w="1417" w:type="dxa"/>
            <w:shd w:val="clear" w:color="auto" w:fill="auto"/>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Pr>
                <w:rFonts w:ascii="Calibri" w:eastAsia="Times New Roman" w:hAnsi="Calibri" w:cs="Calibri"/>
                <w:color w:val="000000"/>
                <w:sz w:val="22"/>
                <w:lang w:eastAsia="en-AU"/>
              </w:rPr>
              <w:t>45</w:t>
            </w:r>
          </w:p>
        </w:tc>
      </w:tr>
      <w:tr w:rsidR="004034A3" w:rsidRPr="00320682" w:rsidTr="00181A96">
        <w:trPr>
          <w:trHeight w:val="300"/>
        </w:trPr>
        <w:tc>
          <w:tcPr>
            <w:tcW w:w="4536" w:type="dxa"/>
            <w:vAlign w:val="center"/>
          </w:tcPr>
          <w:p w:rsidR="004034A3" w:rsidRPr="00320682" w:rsidRDefault="004034A3" w:rsidP="00181A96">
            <w:pPr>
              <w:spacing w:after="0" w:line="240" w:lineRule="auto"/>
              <w:jc w:val="left"/>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Subsidy per day</w:t>
            </w:r>
          </w:p>
        </w:tc>
        <w:tc>
          <w:tcPr>
            <w:tcW w:w="1559"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$15</w:t>
            </w:r>
          </w:p>
        </w:tc>
        <w:tc>
          <w:tcPr>
            <w:tcW w:w="1418"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$15</w:t>
            </w:r>
          </w:p>
        </w:tc>
        <w:tc>
          <w:tcPr>
            <w:tcW w:w="1417"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$15</w:t>
            </w:r>
          </w:p>
        </w:tc>
      </w:tr>
      <w:tr w:rsidR="004034A3" w:rsidRPr="00320682" w:rsidTr="00181A96">
        <w:trPr>
          <w:trHeight w:val="300"/>
        </w:trPr>
        <w:tc>
          <w:tcPr>
            <w:tcW w:w="4536" w:type="dxa"/>
            <w:vAlign w:val="center"/>
          </w:tcPr>
          <w:p w:rsidR="004034A3" w:rsidRPr="00320682" w:rsidRDefault="004034A3" w:rsidP="00181A96">
            <w:pPr>
              <w:spacing w:after="0" w:line="240" w:lineRule="auto"/>
              <w:jc w:val="left"/>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AHP cost per hour</w:t>
            </w:r>
          </w:p>
        </w:tc>
        <w:tc>
          <w:tcPr>
            <w:tcW w:w="1559"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$80</w:t>
            </w:r>
          </w:p>
        </w:tc>
        <w:tc>
          <w:tcPr>
            <w:tcW w:w="1418"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$80</w:t>
            </w:r>
          </w:p>
        </w:tc>
        <w:tc>
          <w:tcPr>
            <w:tcW w:w="1417"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$80</w:t>
            </w:r>
          </w:p>
        </w:tc>
      </w:tr>
      <w:tr w:rsidR="004034A3" w:rsidRPr="00320682" w:rsidTr="00181A96">
        <w:trPr>
          <w:trHeight w:val="300"/>
        </w:trPr>
        <w:tc>
          <w:tcPr>
            <w:tcW w:w="4536" w:type="dxa"/>
            <w:vAlign w:val="center"/>
          </w:tcPr>
          <w:p w:rsidR="004034A3" w:rsidRPr="00320682" w:rsidRDefault="004034A3" w:rsidP="00181A96">
            <w:pPr>
              <w:spacing w:after="0" w:line="240" w:lineRule="auto"/>
              <w:jc w:val="left"/>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 xml:space="preserve">Preparation time </w:t>
            </w:r>
            <w:r w:rsidR="00181A96">
              <w:rPr>
                <w:rFonts w:ascii="Calibri" w:eastAsia="Times New Roman" w:hAnsi="Calibri" w:cs="Calibri"/>
                <w:color w:val="000000"/>
                <w:sz w:val="22"/>
                <w:lang w:eastAsia="en-AU"/>
              </w:rPr>
              <w:t>(</w:t>
            </w:r>
            <w:r w:rsidRPr="00320682">
              <w:rPr>
                <w:rFonts w:ascii="Calibri" w:eastAsia="Times New Roman" w:hAnsi="Calibri" w:cs="Calibri"/>
                <w:color w:val="000000"/>
                <w:sz w:val="22"/>
                <w:lang w:eastAsia="en-AU"/>
              </w:rPr>
              <w:t xml:space="preserve">as </w:t>
            </w:r>
            <w:r w:rsidR="00181A96">
              <w:rPr>
                <w:rFonts w:ascii="Calibri" w:eastAsia="Times New Roman" w:hAnsi="Calibri" w:cs="Calibri"/>
                <w:color w:val="000000"/>
                <w:sz w:val="22"/>
                <w:lang w:eastAsia="en-AU"/>
              </w:rPr>
              <w:t>per cent of</w:t>
            </w:r>
            <w:r w:rsidRPr="00320682">
              <w:rPr>
                <w:rFonts w:ascii="Calibri" w:eastAsia="Times New Roman" w:hAnsi="Calibri" w:cs="Calibri"/>
                <w:color w:val="000000"/>
                <w:sz w:val="22"/>
                <w:lang w:eastAsia="en-AU"/>
              </w:rPr>
              <w:t xml:space="preserve"> session time</w:t>
            </w:r>
            <w:r w:rsidR="00181A96">
              <w:rPr>
                <w:rFonts w:ascii="Calibri" w:eastAsia="Times New Roman" w:hAnsi="Calibri" w:cs="Calibri"/>
                <w:color w:val="000000"/>
                <w:sz w:val="22"/>
                <w:lang w:eastAsia="en-AU"/>
              </w:rPr>
              <w:t>)</w:t>
            </w:r>
          </w:p>
        </w:tc>
        <w:tc>
          <w:tcPr>
            <w:tcW w:w="1559"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20%</w:t>
            </w:r>
          </w:p>
        </w:tc>
        <w:tc>
          <w:tcPr>
            <w:tcW w:w="1418"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20%</w:t>
            </w:r>
          </w:p>
        </w:tc>
        <w:tc>
          <w:tcPr>
            <w:tcW w:w="1417"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20%</w:t>
            </w:r>
          </w:p>
        </w:tc>
      </w:tr>
      <w:tr w:rsidR="004034A3" w:rsidRPr="00320682" w:rsidTr="00181A96">
        <w:trPr>
          <w:trHeight w:val="300"/>
        </w:trPr>
        <w:tc>
          <w:tcPr>
            <w:tcW w:w="4536" w:type="dxa"/>
            <w:vAlign w:val="center"/>
          </w:tcPr>
          <w:p w:rsidR="004034A3" w:rsidRPr="00320682" w:rsidRDefault="004034A3" w:rsidP="00181A96">
            <w:pPr>
              <w:spacing w:after="0" w:line="240" w:lineRule="auto"/>
              <w:jc w:val="left"/>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Individual sessions per week</w:t>
            </w:r>
          </w:p>
        </w:tc>
        <w:tc>
          <w:tcPr>
            <w:tcW w:w="1559"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1</w:t>
            </w:r>
          </w:p>
        </w:tc>
        <w:tc>
          <w:tcPr>
            <w:tcW w:w="1418"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2</w:t>
            </w:r>
          </w:p>
        </w:tc>
        <w:tc>
          <w:tcPr>
            <w:tcW w:w="1417"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3</w:t>
            </w:r>
          </w:p>
        </w:tc>
      </w:tr>
      <w:tr w:rsidR="004034A3" w:rsidRPr="00320682" w:rsidTr="00181A96">
        <w:trPr>
          <w:trHeight w:val="300"/>
        </w:trPr>
        <w:tc>
          <w:tcPr>
            <w:tcW w:w="4536" w:type="dxa"/>
            <w:vAlign w:val="center"/>
          </w:tcPr>
          <w:p w:rsidR="004034A3" w:rsidRPr="00320682" w:rsidRDefault="004034A3" w:rsidP="00181A96">
            <w:pPr>
              <w:spacing w:after="0" w:line="240" w:lineRule="auto"/>
              <w:jc w:val="left"/>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Group sessions per week</w:t>
            </w:r>
          </w:p>
        </w:tc>
        <w:tc>
          <w:tcPr>
            <w:tcW w:w="1559"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Pr>
                <w:rFonts w:ascii="Calibri" w:eastAsia="Times New Roman" w:hAnsi="Calibri" w:cs="Calibri"/>
                <w:color w:val="000000"/>
                <w:sz w:val="22"/>
                <w:lang w:eastAsia="en-AU"/>
              </w:rPr>
              <w:t>3</w:t>
            </w:r>
          </w:p>
        </w:tc>
        <w:tc>
          <w:tcPr>
            <w:tcW w:w="1418"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Pr>
                <w:rFonts w:ascii="Calibri" w:eastAsia="Times New Roman" w:hAnsi="Calibri" w:cs="Calibri"/>
                <w:color w:val="000000"/>
                <w:sz w:val="22"/>
                <w:lang w:eastAsia="en-AU"/>
              </w:rPr>
              <w:t>2</w:t>
            </w:r>
          </w:p>
        </w:tc>
        <w:tc>
          <w:tcPr>
            <w:tcW w:w="1417"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0</w:t>
            </w:r>
          </w:p>
        </w:tc>
      </w:tr>
      <w:tr w:rsidR="004034A3" w:rsidRPr="00320682" w:rsidTr="00181A96">
        <w:trPr>
          <w:trHeight w:val="300"/>
        </w:trPr>
        <w:tc>
          <w:tcPr>
            <w:tcW w:w="4536" w:type="dxa"/>
            <w:vAlign w:val="center"/>
          </w:tcPr>
          <w:p w:rsidR="004034A3" w:rsidRPr="00320682" w:rsidRDefault="004034A3" w:rsidP="00181A96">
            <w:pPr>
              <w:spacing w:after="0" w:line="240" w:lineRule="auto"/>
              <w:jc w:val="left"/>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Maximum group size</w:t>
            </w:r>
          </w:p>
        </w:tc>
        <w:tc>
          <w:tcPr>
            <w:tcW w:w="1559"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Pr>
                <w:rFonts w:ascii="Calibri" w:eastAsia="Times New Roman" w:hAnsi="Calibri" w:cs="Calibri"/>
                <w:color w:val="000000"/>
                <w:sz w:val="22"/>
                <w:lang w:eastAsia="en-AU"/>
              </w:rPr>
              <w:t>5</w:t>
            </w:r>
          </w:p>
        </w:tc>
        <w:tc>
          <w:tcPr>
            <w:tcW w:w="1418"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Pr>
                <w:rFonts w:ascii="Calibri" w:eastAsia="Times New Roman" w:hAnsi="Calibri" w:cs="Calibri"/>
                <w:color w:val="000000"/>
                <w:sz w:val="22"/>
                <w:lang w:eastAsia="en-AU"/>
              </w:rPr>
              <w:t>5</w:t>
            </w:r>
          </w:p>
        </w:tc>
        <w:tc>
          <w:tcPr>
            <w:tcW w:w="1417"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Pr>
                <w:rFonts w:ascii="Calibri" w:eastAsia="Times New Roman" w:hAnsi="Calibri" w:cs="Calibri"/>
                <w:color w:val="000000"/>
                <w:sz w:val="22"/>
                <w:lang w:eastAsia="en-AU"/>
              </w:rPr>
              <w:t>5</w:t>
            </w:r>
          </w:p>
        </w:tc>
      </w:tr>
      <w:tr w:rsidR="004034A3" w:rsidRPr="00320682" w:rsidTr="00181A96">
        <w:trPr>
          <w:trHeight w:val="300"/>
        </w:trPr>
        <w:tc>
          <w:tcPr>
            <w:tcW w:w="4536" w:type="dxa"/>
            <w:vAlign w:val="center"/>
          </w:tcPr>
          <w:p w:rsidR="004034A3" w:rsidRPr="00320682" w:rsidRDefault="004034A3" w:rsidP="00181A96">
            <w:pPr>
              <w:spacing w:after="0" w:line="240" w:lineRule="auto"/>
              <w:jc w:val="left"/>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Individual session time (minutes)</w:t>
            </w:r>
          </w:p>
        </w:tc>
        <w:tc>
          <w:tcPr>
            <w:tcW w:w="1559"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Pr>
                <w:rFonts w:ascii="Calibri" w:eastAsia="Times New Roman" w:hAnsi="Calibri" w:cs="Calibri"/>
                <w:color w:val="000000"/>
                <w:sz w:val="22"/>
                <w:lang w:eastAsia="en-AU"/>
              </w:rPr>
              <w:t>30</w:t>
            </w:r>
          </w:p>
        </w:tc>
        <w:tc>
          <w:tcPr>
            <w:tcW w:w="1418"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20</w:t>
            </w:r>
          </w:p>
        </w:tc>
        <w:tc>
          <w:tcPr>
            <w:tcW w:w="1417"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20</w:t>
            </w:r>
          </w:p>
        </w:tc>
      </w:tr>
      <w:tr w:rsidR="004034A3" w:rsidRPr="00320682" w:rsidTr="00181A96">
        <w:trPr>
          <w:trHeight w:val="300"/>
        </w:trPr>
        <w:tc>
          <w:tcPr>
            <w:tcW w:w="4536" w:type="dxa"/>
            <w:vAlign w:val="center"/>
          </w:tcPr>
          <w:p w:rsidR="004034A3" w:rsidRPr="00320682" w:rsidRDefault="004034A3" w:rsidP="00181A96">
            <w:pPr>
              <w:spacing w:after="0" w:line="240" w:lineRule="auto"/>
              <w:jc w:val="left"/>
              <w:rPr>
                <w:rFonts w:ascii="Calibri" w:eastAsia="Times New Roman" w:hAnsi="Calibri" w:cs="Calibri"/>
                <w:color w:val="000000"/>
                <w:sz w:val="22"/>
                <w:lang w:eastAsia="en-AU"/>
              </w:rPr>
            </w:pPr>
            <w:r w:rsidRPr="00320682">
              <w:rPr>
                <w:rFonts w:ascii="Calibri" w:eastAsia="Times New Roman" w:hAnsi="Calibri" w:cs="Calibri"/>
                <w:color w:val="000000"/>
                <w:sz w:val="22"/>
                <w:lang w:eastAsia="en-AU"/>
              </w:rPr>
              <w:t>Group session time (minutes)</w:t>
            </w:r>
          </w:p>
        </w:tc>
        <w:tc>
          <w:tcPr>
            <w:tcW w:w="1559"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Pr>
                <w:rFonts w:ascii="Calibri" w:eastAsia="Times New Roman" w:hAnsi="Calibri" w:cs="Calibri"/>
                <w:color w:val="000000"/>
                <w:sz w:val="22"/>
                <w:lang w:eastAsia="en-AU"/>
              </w:rPr>
              <w:t>50</w:t>
            </w:r>
          </w:p>
        </w:tc>
        <w:tc>
          <w:tcPr>
            <w:tcW w:w="1418"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Pr>
                <w:rFonts w:ascii="Calibri" w:eastAsia="Times New Roman" w:hAnsi="Calibri" w:cs="Calibri"/>
                <w:color w:val="000000"/>
                <w:sz w:val="22"/>
                <w:lang w:eastAsia="en-AU"/>
              </w:rPr>
              <w:t>50</w:t>
            </w:r>
          </w:p>
        </w:tc>
        <w:tc>
          <w:tcPr>
            <w:tcW w:w="1417" w:type="dxa"/>
            <w:noWrap/>
            <w:vAlign w:val="center"/>
            <w:hideMark/>
          </w:tcPr>
          <w:p w:rsidR="004034A3" w:rsidRPr="00320682" w:rsidRDefault="004034A3" w:rsidP="00181A96">
            <w:pPr>
              <w:spacing w:after="0" w:line="240" w:lineRule="auto"/>
              <w:jc w:val="center"/>
              <w:rPr>
                <w:rFonts w:ascii="Calibri" w:eastAsia="Times New Roman" w:hAnsi="Calibri" w:cs="Calibri"/>
                <w:color w:val="000000"/>
                <w:sz w:val="22"/>
                <w:lang w:eastAsia="en-AU"/>
              </w:rPr>
            </w:pPr>
            <w:r>
              <w:rPr>
                <w:rFonts w:ascii="Calibri" w:eastAsia="Times New Roman" w:hAnsi="Calibri" w:cs="Calibri"/>
                <w:color w:val="000000"/>
                <w:sz w:val="22"/>
                <w:lang w:eastAsia="en-AU"/>
              </w:rPr>
              <w:t>50</w:t>
            </w:r>
          </w:p>
        </w:tc>
      </w:tr>
      <w:tr w:rsidR="004034A3" w:rsidRPr="00320682" w:rsidTr="00CF531F">
        <w:trPr>
          <w:trHeight w:val="300"/>
        </w:trPr>
        <w:tc>
          <w:tcPr>
            <w:tcW w:w="4536" w:type="dxa"/>
            <w:shd w:val="clear" w:color="auto" w:fill="auto"/>
            <w:vAlign w:val="center"/>
          </w:tcPr>
          <w:p w:rsidR="004034A3" w:rsidRPr="00181A96" w:rsidRDefault="004034A3" w:rsidP="00181A96">
            <w:pPr>
              <w:spacing w:after="0" w:line="240" w:lineRule="auto"/>
              <w:jc w:val="left"/>
              <w:rPr>
                <w:rFonts w:ascii="Calibri" w:eastAsia="Times New Roman" w:hAnsi="Calibri" w:cs="Calibri"/>
                <w:b/>
                <w:color w:val="000000"/>
                <w:sz w:val="22"/>
                <w:lang w:eastAsia="en-AU"/>
              </w:rPr>
            </w:pPr>
            <w:r w:rsidRPr="00181A96">
              <w:rPr>
                <w:rFonts w:ascii="Calibri" w:eastAsia="Times New Roman" w:hAnsi="Calibri" w:cs="Calibri"/>
                <w:b/>
                <w:color w:val="000000"/>
                <w:sz w:val="22"/>
                <w:lang w:eastAsia="en-AU"/>
              </w:rPr>
              <w:t>Total Therapy minutes per week</w:t>
            </w:r>
          </w:p>
        </w:tc>
        <w:tc>
          <w:tcPr>
            <w:tcW w:w="1559" w:type="dxa"/>
            <w:shd w:val="clear" w:color="auto" w:fill="auto"/>
            <w:noWrap/>
            <w:vAlign w:val="center"/>
            <w:hideMark/>
          </w:tcPr>
          <w:p w:rsidR="004034A3" w:rsidRPr="00181A96" w:rsidRDefault="004034A3" w:rsidP="00181A96">
            <w:pPr>
              <w:spacing w:after="0" w:line="240" w:lineRule="auto"/>
              <w:jc w:val="center"/>
              <w:rPr>
                <w:rFonts w:ascii="Calibri" w:eastAsia="Times New Roman" w:hAnsi="Calibri" w:cs="Calibri"/>
                <w:b/>
                <w:color w:val="000000"/>
                <w:sz w:val="22"/>
                <w:lang w:eastAsia="en-AU"/>
              </w:rPr>
            </w:pPr>
            <w:r w:rsidRPr="00181A96">
              <w:rPr>
                <w:rFonts w:ascii="Calibri" w:eastAsia="Times New Roman" w:hAnsi="Calibri" w:cs="Calibri"/>
                <w:b/>
                <w:color w:val="000000"/>
                <w:sz w:val="22"/>
                <w:lang w:eastAsia="en-AU"/>
              </w:rPr>
              <w:t>180 mins</w:t>
            </w:r>
          </w:p>
        </w:tc>
        <w:tc>
          <w:tcPr>
            <w:tcW w:w="1418" w:type="dxa"/>
            <w:shd w:val="clear" w:color="auto" w:fill="auto"/>
            <w:noWrap/>
            <w:vAlign w:val="center"/>
            <w:hideMark/>
          </w:tcPr>
          <w:p w:rsidR="004034A3" w:rsidRPr="00181A96" w:rsidRDefault="004034A3" w:rsidP="00181A96">
            <w:pPr>
              <w:spacing w:after="0" w:line="240" w:lineRule="auto"/>
              <w:jc w:val="center"/>
              <w:rPr>
                <w:rFonts w:ascii="Calibri" w:eastAsia="Times New Roman" w:hAnsi="Calibri" w:cs="Calibri"/>
                <w:b/>
                <w:color w:val="000000"/>
                <w:sz w:val="22"/>
                <w:lang w:eastAsia="en-AU"/>
              </w:rPr>
            </w:pPr>
            <w:r w:rsidRPr="00181A96">
              <w:rPr>
                <w:rFonts w:ascii="Calibri" w:eastAsia="Times New Roman" w:hAnsi="Calibri" w:cs="Calibri"/>
                <w:b/>
                <w:color w:val="000000"/>
                <w:sz w:val="22"/>
                <w:lang w:eastAsia="en-AU"/>
              </w:rPr>
              <w:t>140 mins</w:t>
            </w:r>
          </w:p>
        </w:tc>
        <w:tc>
          <w:tcPr>
            <w:tcW w:w="1417" w:type="dxa"/>
            <w:shd w:val="clear" w:color="auto" w:fill="auto"/>
            <w:noWrap/>
            <w:vAlign w:val="center"/>
            <w:hideMark/>
          </w:tcPr>
          <w:p w:rsidR="004034A3" w:rsidRPr="00181A96" w:rsidRDefault="004034A3" w:rsidP="00181A96">
            <w:pPr>
              <w:spacing w:after="0" w:line="240" w:lineRule="auto"/>
              <w:jc w:val="center"/>
              <w:rPr>
                <w:rFonts w:ascii="Calibri" w:eastAsia="Times New Roman" w:hAnsi="Calibri" w:cs="Calibri"/>
                <w:b/>
                <w:color w:val="000000"/>
                <w:sz w:val="22"/>
                <w:lang w:eastAsia="en-AU"/>
              </w:rPr>
            </w:pPr>
            <w:r w:rsidRPr="00181A96">
              <w:rPr>
                <w:rFonts w:ascii="Calibri" w:eastAsia="Times New Roman" w:hAnsi="Calibri" w:cs="Calibri"/>
                <w:b/>
                <w:color w:val="000000"/>
                <w:sz w:val="22"/>
                <w:lang w:eastAsia="en-AU"/>
              </w:rPr>
              <w:t>60 mins</w:t>
            </w:r>
          </w:p>
        </w:tc>
      </w:tr>
    </w:tbl>
    <w:p w:rsidR="00980F62" w:rsidRDefault="00256E3D" w:rsidP="005E0BCA">
      <w:pPr>
        <w:pStyle w:val="Heading2-Chapter7"/>
      </w:pPr>
      <w:bookmarkStart w:id="490" w:name="_Toc491426054"/>
      <w:r w:rsidRPr="004846F9">
        <w:t>Therapy Program Recommendations</w:t>
      </w:r>
      <w:bookmarkEnd w:id="490"/>
      <w:bookmarkEnd w:id="486"/>
      <w:bookmarkEnd w:id="487"/>
    </w:p>
    <w:p w:rsidR="00256E3D" w:rsidRPr="006126D6" w:rsidRDefault="00256E3D" w:rsidP="006126D6">
      <w:pPr>
        <w:pStyle w:val="Heading3-Chapter75"/>
      </w:pPr>
      <w:bookmarkStart w:id="491" w:name="_Toc482092559"/>
      <w:bookmarkStart w:id="492" w:name="_Toc486600058"/>
      <w:r w:rsidRPr="006126D6">
        <w:t>Design</w:t>
      </w:r>
      <w:bookmarkEnd w:id="491"/>
      <w:bookmarkEnd w:id="492"/>
    </w:p>
    <w:p w:rsidR="00256E3D" w:rsidRPr="003668EC" w:rsidRDefault="00256E3D" w:rsidP="008D61C7">
      <w:pPr>
        <w:rPr>
          <w:lang w:val="en-CA"/>
        </w:rPr>
      </w:pPr>
      <w:bookmarkStart w:id="493" w:name="_Toc482092560"/>
      <w:r w:rsidRPr="003668EC">
        <w:rPr>
          <w:lang w:eastAsia="en-AU"/>
        </w:rPr>
        <w:t>The Therapy Program will be funded at one level only. It is expected that at any one time</w:t>
      </w:r>
      <w:r w:rsidR="00B110F3">
        <w:rPr>
          <w:lang w:eastAsia="en-AU"/>
        </w:rPr>
        <w:t>,</w:t>
      </w:r>
      <w:r w:rsidRPr="003668EC">
        <w:rPr>
          <w:lang w:eastAsia="en-AU"/>
        </w:rPr>
        <w:t xml:space="preserve"> at least 75</w:t>
      </w:r>
      <w:r w:rsidR="0065091B">
        <w:rPr>
          <w:lang w:eastAsia="en-AU"/>
        </w:rPr>
        <w:t xml:space="preserve"> per cent</w:t>
      </w:r>
      <w:r w:rsidRPr="003668EC">
        <w:rPr>
          <w:lang w:eastAsia="en-AU"/>
        </w:rPr>
        <w:t xml:space="preserve"> of residents in a facility will be funded under the program. The Therapy Program will be funded through the R-ACFI system and follow the usual ACFI submission and re-appraisal rules. The Therapy Program will not expire but will need to be re-submitted if appropriate when the ACFI is updated. </w:t>
      </w:r>
      <w:r w:rsidRPr="003668EC">
        <w:t xml:space="preserve">The Therapy Program will not be prescriptive about the type of services that will be covered, but it will prescribe minimum time requirements and who can undertake assessment, </w:t>
      </w:r>
      <w:r w:rsidR="00B110F3">
        <w:t xml:space="preserve">an evidence base, </w:t>
      </w:r>
      <w:r w:rsidRPr="003668EC">
        <w:t>care planning and program delivery.</w:t>
      </w:r>
    </w:p>
    <w:p w:rsidR="00256E3D" w:rsidRPr="004846F9" w:rsidRDefault="00256E3D" w:rsidP="006126D6">
      <w:pPr>
        <w:pStyle w:val="Heading3-Chapter75"/>
      </w:pPr>
      <w:bookmarkStart w:id="494" w:name="_Toc486600059"/>
      <w:r w:rsidRPr="004846F9">
        <w:lastRenderedPageBreak/>
        <w:t>Accountability</w:t>
      </w:r>
      <w:bookmarkEnd w:id="493"/>
      <w:bookmarkEnd w:id="494"/>
    </w:p>
    <w:p w:rsidR="00980F62" w:rsidRDefault="00256E3D" w:rsidP="008D61C7">
      <w:r>
        <w:t xml:space="preserve">The program should be appropriate and effective, </w:t>
      </w:r>
      <w:r w:rsidR="00B110F3">
        <w:t xml:space="preserve">and </w:t>
      </w:r>
      <w:r>
        <w:t>provided within an affordable and transparent funding system for all stakeholders.</w:t>
      </w:r>
    </w:p>
    <w:p w:rsidR="00256E3D" w:rsidRDefault="00256E3D" w:rsidP="008D61C7">
      <w:r>
        <w:t>The program quality definition sets out what is to be achieved and how to measure and monitor those achievements.</w:t>
      </w:r>
    </w:p>
    <w:p w:rsidR="00256E3D" w:rsidRDefault="00256E3D" w:rsidP="008D61C7">
      <w:r>
        <w:t>The quality of a Therapy P</w:t>
      </w:r>
      <w:r w:rsidRPr="00586FA2">
        <w:t xml:space="preserve">rogram could be audited </w:t>
      </w:r>
      <w:r>
        <w:t xml:space="preserve">by either the Quality Agency and, for funding accountability </w:t>
      </w:r>
      <w:r w:rsidRPr="00586FA2">
        <w:t>purposes</w:t>
      </w:r>
      <w:r>
        <w:t>, via the ACFI R</w:t>
      </w:r>
      <w:r w:rsidR="00B110F3">
        <w:t>O</w:t>
      </w:r>
      <w:r>
        <w:t xml:space="preserve"> validation activities. Audit criteria for the Therapy Program </w:t>
      </w:r>
      <w:r w:rsidRPr="00586FA2">
        <w:t>could include</w:t>
      </w:r>
      <w:r>
        <w:t>:</w:t>
      </w:r>
    </w:p>
    <w:p w:rsidR="00980F62" w:rsidRDefault="00256E3D" w:rsidP="00557DB1">
      <w:pPr>
        <w:pStyle w:val="ListParagraph"/>
        <w:numPr>
          <w:ilvl w:val="0"/>
          <w:numId w:val="40"/>
        </w:numPr>
      </w:pPr>
      <w:r>
        <w:t>Evidence-based assessments</w:t>
      </w:r>
      <w:r w:rsidR="00A571F6">
        <w:t>.</w:t>
      </w:r>
    </w:p>
    <w:p w:rsidR="00256E3D" w:rsidRDefault="00256E3D" w:rsidP="00557DB1">
      <w:pPr>
        <w:pStyle w:val="ListParagraph"/>
        <w:numPr>
          <w:ilvl w:val="0"/>
          <w:numId w:val="40"/>
        </w:numPr>
      </w:pPr>
      <w:r>
        <w:rPr>
          <w:szCs w:val="24"/>
        </w:rPr>
        <w:t>I</w:t>
      </w:r>
      <w:r w:rsidRPr="002F2C10">
        <w:rPr>
          <w:szCs w:val="24"/>
        </w:rPr>
        <w:t xml:space="preserve">ndividualised Therapy Programs </w:t>
      </w:r>
      <w:r>
        <w:rPr>
          <w:szCs w:val="24"/>
        </w:rPr>
        <w:t>including detailed directives</w:t>
      </w:r>
      <w:r w:rsidR="00A571F6">
        <w:rPr>
          <w:szCs w:val="24"/>
        </w:rPr>
        <w:t>.</w:t>
      </w:r>
    </w:p>
    <w:p w:rsidR="00256E3D" w:rsidRDefault="00256E3D" w:rsidP="00557DB1">
      <w:pPr>
        <w:pStyle w:val="ListParagraph"/>
        <w:numPr>
          <w:ilvl w:val="0"/>
          <w:numId w:val="40"/>
        </w:numPr>
      </w:pPr>
      <w:r>
        <w:t>Clearly defined goals that include measurable therapy outcomes and personalised resident goals</w:t>
      </w:r>
      <w:r w:rsidR="00A571F6">
        <w:t>.</w:t>
      </w:r>
    </w:p>
    <w:p w:rsidR="00256E3D" w:rsidRDefault="00256E3D" w:rsidP="00557DB1">
      <w:pPr>
        <w:pStyle w:val="ListParagraph"/>
        <w:numPr>
          <w:ilvl w:val="0"/>
          <w:numId w:val="40"/>
        </w:numPr>
      </w:pPr>
      <w:r>
        <w:t>R</w:t>
      </w:r>
      <w:r w:rsidRPr="00C44A5B">
        <w:t>ecords of treatment to be</w:t>
      </w:r>
      <w:r w:rsidRPr="00586FA2">
        <w:t xml:space="preserve"> maintained to demons</w:t>
      </w:r>
      <w:r>
        <w:t>trate delivery</w:t>
      </w:r>
      <w:r w:rsidR="00A571F6">
        <w:t>.</w:t>
      </w:r>
    </w:p>
    <w:p w:rsidR="00980F62" w:rsidRDefault="00256E3D" w:rsidP="00557DB1">
      <w:pPr>
        <w:pStyle w:val="ListParagraph"/>
        <w:numPr>
          <w:ilvl w:val="0"/>
          <w:numId w:val="40"/>
        </w:numPr>
      </w:pPr>
      <w:r w:rsidRPr="003668EC">
        <w:t>On request by a R</w:t>
      </w:r>
      <w:r w:rsidR="00B110F3">
        <w:t>O</w:t>
      </w:r>
      <w:r w:rsidRPr="003668EC">
        <w:t xml:space="preserve">, the availability of regular </w:t>
      </w:r>
      <w:r w:rsidR="00E851F7">
        <w:t>three-monthly</w:t>
      </w:r>
      <w:r w:rsidRPr="003668EC">
        <w:t xml:space="preserve"> evaluations of the program effectiveness with documented measurement-based outcomes and </w:t>
      </w:r>
      <w:r w:rsidRPr="003668EC">
        <w:rPr>
          <w:rFonts w:cstheme="minorHAnsi"/>
          <w:szCs w:val="24"/>
        </w:rPr>
        <w:t>clinician observations, and feedback from residents and their families.</w:t>
      </w:r>
    </w:p>
    <w:p w:rsidR="00256E3D" w:rsidRPr="003668EC" w:rsidRDefault="00256E3D" w:rsidP="00557DB1">
      <w:pPr>
        <w:pStyle w:val="ListParagraph"/>
        <w:numPr>
          <w:ilvl w:val="0"/>
          <w:numId w:val="40"/>
        </w:numPr>
      </w:pPr>
      <w:r w:rsidRPr="003668EC">
        <w:t>Evidence of consumer involvement</w:t>
      </w:r>
      <w:r w:rsidR="00B110F3">
        <w:t>.</w:t>
      </w:r>
    </w:p>
    <w:p w:rsidR="00980F62" w:rsidRDefault="00B05F7A" w:rsidP="005E0BCA">
      <w:pPr>
        <w:pStyle w:val="Heading2-Chapter7"/>
      </w:pPr>
      <w:bookmarkStart w:id="495" w:name="_Toc491426055"/>
      <w:bookmarkStart w:id="496" w:name="_Toc482092563"/>
      <w:bookmarkStart w:id="497" w:name="_Toc486600061"/>
      <w:r w:rsidRPr="00F06AF0">
        <w:t xml:space="preserve">Recommended </w:t>
      </w:r>
      <w:r w:rsidR="000571D6">
        <w:t xml:space="preserve">R-ACFI </w:t>
      </w:r>
      <w:r>
        <w:t>Use</w:t>
      </w:r>
      <w:r w:rsidR="000571D6">
        <w:t>r</w:t>
      </w:r>
      <w:r>
        <w:t xml:space="preserve"> Guide</w:t>
      </w:r>
      <w:bookmarkEnd w:id="495"/>
      <w:bookmarkEnd w:id="496"/>
      <w:bookmarkEnd w:id="497"/>
    </w:p>
    <w:p w:rsidR="00256E3D" w:rsidRPr="00321BEC" w:rsidRDefault="00256E3D" w:rsidP="008F72CD">
      <w:pPr>
        <w:pStyle w:val="Heading3-Chapter76"/>
      </w:pPr>
      <w:r w:rsidRPr="00321BEC">
        <w:t xml:space="preserve">Physical Therapy </w:t>
      </w:r>
      <w:r>
        <w:t>Program</w:t>
      </w:r>
    </w:p>
    <w:p w:rsidR="00256E3D" w:rsidRPr="00321BEC" w:rsidRDefault="00256E3D" w:rsidP="006126D6">
      <w:pPr>
        <w:pStyle w:val="Heading4-Chapter761"/>
      </w:pPr>
      <w:r w:rsidRPr="00321BEC">
        <w:t>Description</w:t>
      </w:r>
    </w:p>
    <w:p w:rsidR="00980F62" w:rsidRDefault="00256E3D" w:rsidP="008D61C7">
      <w:pPr>
        <w:rPr>
          <w:szCs w:val="24"/>
        </w:rPr>
      </w:pPr>
      <w:r w:rsidRPr="000C0B5E">
        <w:rPr>
          <w:szCs w:val="24"/>
        </w:rPr>
        <w:t xml:space="preserve">This question relates to the assessed need for </w:t>
      </w:r>
      <w:r>
        <w:rPr>
          <w:szCs w:val="24"/>
        </w:rPr>
        <w:t>a physical Therapy Program</w:t>
      </w:r>
      <w:r w:rsidRPr="000C0B5E">
        <w:rPr>
          <w:szCs w:val="24"/>
        </w:rPr>
        <w:t>.</w:t>
      </w:r>
    </w:p>
    <w:p w:rsidR="00980F62" w:rsidRDefault="00256E3D" w:rsidP="008D61C7">
      <w:r>
        <w:t xml:space="preserve">The goal of the Program is to provide quality care and support underpinned by a Wellness approach. It is to be based on a systematic process, starting with an evidence-based assessment of care needs (with objective outcomes that can be used in the evaluation of the intervention), taking into account the resident’s choices and goals, to collaboratively determine and document a unique </w:t>
      </w:r>
      <w:r w:rsidR="00DB6CD5">
        <w:t>Therapy Program</w:t>
      </w:r>
      <w:r>
        <w:t xml:space="preserve"> with the resident (or their family representative).</w:t>
      </w:r>
    </w:p>
    <w:p w:rsidR="00980F62" w:rsidRDefault="00256E3D" w:rsidP="008D61C7">
      <w:r>
        <w:t>The therapy is to include one of the following:</w:t>
      </w:r>
    </w:p>
    <w:p w:rsidR="00980F62" w:rsidRDefault="00256E3D" w:rsidP="00557DB1">
      <w:pPr>
        <w:pStyle w:val="ListParagraph"/>
        <w:numPr>
          <w:ilvl w:val="0"/>
          <w:numId w:val="36"/>
        </w:numPr>
        <w:spacing w:after="0"/>
        <w:ind w:left="357" w:hanging="357"/>
      </w:pPr>
      <w:r>
        <w:t>A wellness aspect that aims to promote (maintain or improve) the independence of the resident in their activities of daily living.</w:t>
      </w:r>
    </w:p>
    <w:p w:rsidR="00980F62" w:rsidRDefault="00256E3D" w:rsidP="00557DB1">
      <w:pPr>
        <w:pStyle w:val="ListParagraph"/>
        <w:numPr>
          <w:ilvl w:val="0"/>
          <w:numId w:val="36"/>
        </w:numPr>
        <w:spacing w:after="0"/>
        <w:ind w:left="357" w:hanging="357"/>
      </w:pPr>
      <w:r>
        <w:t>A reablement aspect that focuses on short term interventions to address loss of capacity.</w:t>
      </w:r>
    </w:p>
    <w:p w:rsidR="00980F62" w:rsidRDefault="00256E3D" w:rsidP="00557DB1">
      <w:pPr>
        <w:pStyle w:val="ListParagraph"/>
        <w:numPr>
          <w:ilvl w:val="0"/>
          <w:numId w:val="36"/>
        </w:numPr>
        <w:spacing w:after="0"/>
        <w:ind w:left="357" w:hanging="357"/>
      </w:pPr>
      <w:r>
        <w:t>A rehabilitation aspect that has a longer-term focus to address the resident’s functional and mobility ability to improve or maintain their level of independence.</w:t>
      </w:r>
    </w:p>
    <w:p w:rsidR="00256E3D" w:rsidRDefault="00256E3D" w:rsidP="00557DB1">
      <w:pPr>
        <w:pStyle w:val="ListParagraph"/>
        <w:numPr>
          <w:ilvl w:val="0"/>
          <w:numId w:val="36"/>
        </w:numPr>
        <w:spacing w:after="0"/>
        <w:ind w:left="357" w:hanging="357"/>
      </w:pPr>
      <w:r>
        <w:t>A treatment of complex pain which can inhibit a resident’s ability to participate in everyday activities and impact on their enjoyment of life.</w:t>
      </w:r>
    </w:p>
    <w:p w:rsidR="00256E3D" w:rsidRPr="00321BEC" w:rsidRDefault="00256E3D" w:rsidP="008F72CD">
      <w:pPr>
        <w:pStyle w:val="Heading4-Chapter761"/>
      </w:pPr>
      <w:r w:rsidRPr="00321BEC">
        <w:lastRenderedPageBreak/>
        <w:t>Requirements</w:t>
      </w:r>
    </w:p>
    <w:p w:rsidR="00256E3D" w:rsidRPr="00BA7728" w:rsidRDefault="00256E3D" w:rsidP="008D61C7">
      <w:pPr>
        <w:rPr>
          <w:szCs w:val="24"/>
        </w:rPr>
      </w:pPr>
      <w:r w:rsidRPr="00BA7728">
        <w:rPr>
          <w:szCs w:val="24"/>
        </w:rPr>
        <w:t>A therapy satisfies the requirements if:</w:t>
      </w:r>
    </w:p>
    <w:p w:rsidR="00980F62" w:rsidRDefault="00256E3D" w:rsidP="00557DB1">
      <w:pPr>
        <w:pStyle w:val="ListParagraph"/>
        <w:numPr>
          <w:ilvl w:val="0"/>
          <w:numId w:val="36"/>
        </w:numPr>
        <w:spacing w:after="0"/>
        <w:ind w:left="357" w:hanging="357"/>
      </w:pPr>
      <w:r w:rsidRPr="00BA7728">
        <w:t>A Health Professional (list a or b</w:t>
      </w:r>
      <w:r>
        <w:t xml:space="preserve"> – refer below</w:t>
      </w:r>
      <w:r w:rsidRPr="00BA7728">
        <w:t>) acting in their scope of practice conducts an evidence-based Assessment of the resident’s Physical Therapy Needs; and</w:t>
      </w:r>
    </w:p>
    <w:p w:rsidR="00256E3D" w:rsidRPr="00BA7728" w:rsidRDefault="00256E3D" w:rsidP="00557DB1">
      <w:pPr>
        <w:pStyle w:val="ListParagraph"/>
        <w:numPr>
          <w:ilvl w:val="0"/>
          <w:numId w:val="36"/>
        </w:numPr>
        <w:spacing w:after="0"/>
        <w:ind w:left="357" w:hanging="357"/>
      </w:pPr>
      <w:r w:rsidRPr="00BA7728">
        <w:t xml:space="preserve">An Allied Health Professional (list a or b) identifies the </w:t>
      </w:r>
      <w:r>
        <w:t>resident’s</w:t>
      </w:r>
      <w:r w:rsidRPr="00BA7728">
        <w:t xml:space="preserve"> care needs in an individualised Therapy Care Plan which includes the resident consent and a Directive.</w:t>
      </w:r>
    </w:p>
    <w:p w:rsidR="00980F62" w:rsidRDefault="00256E3D" w:rsidP="00557DB1">
      <w:pPr>
        <w:pStyle w:val="ListParagraph"/>
        <w:numPr>
          <w:ilvl w:val="0"/>
          <w:numId w:val="36"/>
        </w:numPr>
        <w:spacing w:after="0"/>
        <w:ind w:left="357" w:hanging="357"/>
      </w:pPr>
      <w:r w:rsidRPr="00BA7728">
        <w:rPr>
          <w:rFonts w:cstheme="minorHAnsi"/>
          <w:szCs w:val="24"/>
        </w:rPr>
        <w:t xml:space="preserve">The </w:t>
      </w:r>
      <w:r w:rsidR="00DB6CD5">
        <w:rPr>
          <w:rFonts w:cstheme="minorHAnsi"/>
          <w:szCs w:val="24"/>
        </w:rPr>
        <w:t>Therapy Program</w:t>
      </w:r>
      <w:r w:rsidRPr="00BA7728">
        <w:rPr>
          <w:rFonts w:cstheme="minorHAnsi"/>
          <w:szCs w:val="24"/>
        </w:rPr>
        <w:t xml:space="preserve"> is to be delivered and evaluated by an AHP </w:t>
      </w:r>
      <w:r w:rsidRPr="00BA7728">
        <w:t>(list a or b), the AHP may be assisted by other care staff during therapy sessions.</w:t>
      </w:r>
    </w:p>
    <w:p w:rsidR="00980F62" w:rsidRDefault="00256E3D" w:rsidP="00557DB1">
      <w:pPr>
        <w:pStyle w:val="ListParagraph"/>
        <w:numPr>
          <w:ilvl w:val="0"/>
          <w:numId w:val="36"/>
        </w:numPr>
        <w:spacing w:after="0"/>
        <w:ind w:left="357" w:hanging="357"/>
        <w:rPr>
          <w:rFonts w:cstheme="minorHAnsi"/>
          <w:szCs w:val="24"/>
        </w:rPr>
      </w:pPr>
      <w:r w:rsidRPr="00BA7728">
        <w:rPr>
          <w:rFonts w:cstheme="minorHAnsi"/>
          <w:szCs w:val="24"/>
        </w:rPr>
        <w:t xml:space="preserve">The </w:t>
      </w:r>
      <w:r w:rsidR="00DB6CD5">
        <w:rPr>
          <w:rFonts w:cstheme="minorHAnsi"/>
          <w:szCs w:val="24"/>
        </w:rPr>
        <w:t>Therapy Program</w:t>
      </w:r>
      <w:r w:rsidRPr="00BA7728">
        <w:rPr>
          <w:rFonts w:cstheme="minorHAnsi"/>
          <w:szCs w:val="24"/>
        </w:rPr>
        <w:t xml:space="preserve"> is to be delivered in three (3) </w:t>
      </w:r>
      <w:r>
        <w:rPr>
          <w:rFonts w:cstheme="minorHAnsi"/>
          <w:szCs w:val="24"/>
        </w:rPr>
        <w:t xml:space="preserve">to four (4) </w:t>
      </w:r>
      <w:r w:rsidRPr="00BA7728">
        <w:rPr>
          <w:rFonts w:cstheme="minorHAnsi"/>
          <w:szCs w:val="24"/>
        </w:rPr>
        <w:t xml:space="preserve">sessions on three </w:t>
      </w:r>
      <w:r>
        <w:rPr>
          <w:rFonts w:cstheme="minorHAnsi"/>
          <w:szCs w:val="24"/>
        </w:rPr>
        <w:t xml:space="preserve">to four </w:t>
      </w:r>
      <w:r w:rsidRPr="00BA7728">
        <w:rPr>
          <w:rFonts w:cstheme="minorHAnsi"/>
          <w:szCs w:val="24"/>
        </w:rPr>
        <w:t>separate days of the week.</w:t>
      </w:r>
    </w:p>
    <w:p w:rsidR="00256E3D" w:rsidRPr="00BA7728" w:rsidRDefault="00256E3D" w:rsidP="00557DB1">
      <w:pPr>
        <w:pStyle w:val="ListParagraph"/>
        <w:numPr>
          <w:ilvl w:val="0"/>
          <w:numId w:val="36"/>
        </w:numPr>
        <w:spacing w:after="0"/>
        <w:ind w:left="357" w:hanging="357"/>
      </w:pPr>
      <w:r w:rsidRPr="00BA7728">
        <w:rPr>
          <w:rFonts w:cstheme="minorHAnsi"/>
          <w:szCs w:val="24"/>
        </w:rPr>
        <w:t xml:space="preserve">Individual therapy sessions will be of </w:t>
      </w:r>
      <w:r>
        <w:rPr>
          <w:rFonts w:cstheme="minorHAnsi"/>
          <w:szCs w:val="24"/>
        </w:rPr>
        <w:t xml:space="preserve">30 minutes duration (Option A) or </w:t>
      </w:r>
      <w:r w:rsidRPr="00BA7728">
        <w:rPr>
          <w:rFonts w:cstheme="minorHAnsi"/>
          <w:szCs w:val="24"/>
        </w:rPr>
        <w:t>20 minutes duration</w:t>
      </w:r>
      <w:r>
        <w:rPr>
          <w:rFonts w:cstheme="minorHAnsi"/>
          <w:szCs w:val="24"/>
        </w:rPr>
        <w:t xml:space="preserve"> (Option B and Option C)</w:t>
      </w:r>
      <w:r w:rsidRPr="00BA7728">
        <w:rPr>
          <w:rFonts w:cstheme="minorHAnsi"/>
          <w:szCs w:val="24"/>
        </w:rPr>
        <w:t>. A resident must have at least one individual therapy session per week.</w:t>
      </w:r>
    </w:p>
    <w:p w:rsidR="00256E3D" w:rsidRPr="00BA7728" w:rsidRDefault="00256E3D" w:rsidP="00557DB1">
      <w:pPr>
        <w:pStyle w:val="ListParagraph"/>
        <w:numPr>
          <w:ilvl w:val="0"/>
          <w:numId w:val="36"/>
        </w:numPr>
        <w:spacing w:after="0"/>
        <w:ind w:left="357" w:hanging="357"/>
      </w:pPr>
      <w:r w:rsidRPr="00BA7728">
        <w:rPr>
          <w:rFonts w:cstheme="minorHAnsi"/>
          <w:szCs w:val="24"/>
        </w:rPr>
        <w:t xml:space="preserve">Small group (maximum of </w:t>
      </w:r>
      <w:r>
        <w:rPr>
          <w:rFonts w:cstheme="minorHAnsi"/>
          <w:szCs w:val="24"/>
        </w:rPr>
        <w:t>five</w:t>
      </w:r>
      <w:r w:rsidRPr="00BA7728">
        <w:rPr>
          <w:rFonts w:cstheme="minorHAnsi"/>
          <w:szCs w:val="24"/>
        </w:rPr>
        <w:t xml:space="preserve"> residents) sessions will be of </w:t>
      </w:r>
      <w:r>
        <w:rPr>
          <w:rFonts w:cstheme="minorHAnsi"/>
          <w:szCs w:val="24"/>
        </w:rPr>
        <w:t>50</w:t>
      </w:r>
      <w:r w:rsidRPr="00BA7728">
        <w:rPr>
          <w:rFonts w:cstheme="minorHAnsi"/>
          <w:szCs w:val="24"/>
        </w:rPr>
        <w:t xml:space="preserve"> minutes duration. The total group activity time (</w:t>
      </w:r>
      <w:r>
        <w:rPr>
          <w:rFonts w:cstheme="minorHAnsi"/>
          <w:szCs w:val="24"/>
        </w:rPr>
        <w:t>50</w:t>
      </w:r>
      <w:r w:rsidRPr="00BA7728">
        <w:rPr>
          <w:rFonts w:cstheme="minorHAnsi"/>
          <w:szCs w:val="24"/>
        </w:rPr>
        <w:t xml:space="preserve"> minutes) counts to the individual’s total weekly minutes.</w:t>
      </w:r>
    </w:p>
    <w:p w:rsidR="00256E3D" w:rsidRPr="00BA7728" w:rsidRDefault="00256E3D" w:rsidP="00557DB1">
      <w:pPr>
        <w:pStyle w:val="ListParagraph"/>
        <w:numPr>
          <w:ilvl w:val="0"/>
          <w:numId w:val="36"/>
        </w:numPr>
        <w:spacing w:after="0"/>
        <w:ind w:left="357" w:hanging="357"/>
      </w:pPr>
      <w:r w:rsidRPr="00BA7728">
        <w:t>Records of treatment must be maintained, and regular (</w:t>
      </w:r>
      <w:r w:rsidR="00E851F7">
        <w:t>three-monthly</w:t>
      </w:r>
      <w:r w:rsidRPr="00BA7728">
        <w:t xml:space="preserve">) evaluations </w:t>
      </w:r>
      <w:r w:rsidRPr="00BA7728">
        <w:rPr>
          <w:rFonts w:cstheme="minorHAnsi"/>
          <w:szCs w:val="24"/>
        </w:rPr>
        <w:t>of the program effectiveness with documented measurement</w:t>
      </w:r>
      <w:r>
        <w:rPr>
          <w:rFonts w:cstheme="minorHAnsi"/>
          <w:szCs w:val="24"/>
        </w:rPr>
        <w:t>-</w:t>
      </w:r>
      <w:r w:rsidRPr="00BA7728">
        <w:rPr>
          <w:rFonts w:cstheme="minorHAnsi"/>
          <w:szCs w:val="24"/>
        </w:rPr>
        <w:t xml:space="preserve">based outcomes, </w:t>
      </w:r>
      <w:bookmarkStart w:id="498" w:name="_Hlk485235701"/>
      <w:r w:rsidRPr="00BA7728">
        <w:rPr>
          <w:rFonts w:cstheme="minorHAnsi"/>
          <w:szCs w:val="24"/>
        </w:rPr>
        <w:t>clinician observations, and feedback from residents and their families</w:t>
      </w:r>
      <w:bookmarkEnd w:id="498"/>
      <w:r w:rsidRPr="00BA7728">
        <w:t>.</w:t>
      </w:r>
    </w:p>
    <w:p w:rsidR="00256E3D" w:rsidRPr="00321BEC" w:rsidRDefault="00256E3D" w:rsidP="008F72CD">
      <w:pPr>
        <w:pStyle w:val="Heading4-Chapter761"/>
      </w:pPr>
      <w:r w:rsidRPr="00321BEC">
        <w:t>Directives</w:t>
      </w:r>
    </w:p>
    <w:p w:rsidR="00256E3D" w:rsidRPr="000C0B5E" w:rsidRDefault="00256E3D" w:rsidP="008D61C7">
      <w:pPr>
        <w:rPr>
          <w:rFonts w:cstheme="minorHAnsi"/>
          <w:szCs w:val="24"/>
        </w:rPr>
      </w:pPr>
      <w:r w:rsidRPr="000C0B5E">
        <w:rPr>
          <w:rFonts w:cstheme="minorHAnsi"/>
          <w:szCs w:val="24"/>
        </w:rPr>
        <w:t xml:space="preserve">A </w:t>
      </w:r>
      <w:r w:rsidRPr="00007D4E">
        <w:rPr>
          <w:rStyle w:val="Strong"/>
        </w:rPr>
        <w:t>Directive</w:t>
      </w:r>
      <w:r w:rsidRPr="000C0B5E">
        <w:rPr>
          <w:rFonts w:cstheme="minorHAnsi"/>
          <w:szCs w:val="24"/>
        </w:rPr>
        <w:t xml:space="preserve"> must:</w:t>
      </w:r>
    </w:p>
    <w:p w:rsidR="00256E3D" w:rsidRPr="000C0B5E" w:rsidRDefault="00256E3D" w:rsidP="005969C7">
      <w:pPr>
        <w:pStyle w:val="ListParagraph"/>
        <w:numPr>
          <w:ilvl w:val="0"/>
          <w:numId w:val="37"/>
        </w:numPr>
        <w:ind w:left="357" w:hanging="357"/>
        <w:rPr>
          <w:rFonts w:cstheme="minorHAnsi"/>
          <w:szCs w:val="24"/>
        </w:rPr>
      </w:pPr>
      <w:r>
        <w:rPr>
          <w:rFonts w:cstheme="minorHAnsi"/>
          <w:szCs w:val="24"/>
        </w:rPr>
        <w:t>B</w:t>
      </w:r>
      <w:r w:rsidRPr="009D6173">
        <w:rPr>
          <w:rFonts w:cstheme="minorHAnsi"/>
          <w:szCs w:val="24"/>
        </w:rPr>
        <w:t xml:space="preserve">e </w:t>
      </w:r>
      <w:r>
        <w:rPr>
          <w:rFonts w:cstheme="minorHAnsi"/>
          <w:szCs w:val="24"/>
        </w:rPr>
        <w:t>documented</w:t>
      </w:r>
      <w:r w:rsidRPr="009D6173">
        <w:rPr>
          <w:rFonts w:cstheme="minorHAnsi"/>
          <w:szCs w:val="24"/>
        </w:rPr>
        <w:t xml:space="preserve"> by a suitable </w:t>
      </w:r>
      <w:r>
        <w:rPr>
          <w:rFonts w:cstheme="minorHAnsi"/>
          <w:szCs w:val="24"/>
        </w:rPr>
        <w:t>A</w:t>
      </w:r>
      <w:r w:rsidR="00241120">
        <w:rPr>
          <w:rFonts w:cstheme="minorHAnsi"/>
          <w:szCs w:val="24"/>
        </w:rPr>
        <w:t>HP</w:t>
      </w:r>
      <w:r w:rsidRPr="009D6173">
        <w:rPr>
          <w:rFonts w:cstheme="minorHAnsi"/>
          <w:szCs w:val="24"/>
        </w:rPr>
        <w:t xml:space="preserve"> (see subset of Allied Health Professions) </w:t>
      </w:r>
      <w:r w:rsidRPr="000C0B5E">
        <w:rPr>
          <w:rFonts w:cstheme="minorHAnsi"/>
          <w:szCs w:val="24"/>
        </w:rPr>
        <w:t xml:space="preserve">acting in their scope of practice; </w:t>
      </w:r>
      <w:r w:rsidR="00A571F6">
        <w:rPr>
          <w:rFonts w:cstheme="minorHAnsi"/>
          <w:szCs w:val="24"/>
        </w:rPr>
        <w:t>and</w:t>
      </w:r>
    </w:p>
    <w:p w:rsidR="00980F62" w:rsidRDefault="00256E3D" w:rsidP="005969C7">
      <w:pPr>
        <w:pStyle w:val="ListParagraph"/>
        <w:numPr>
          <w:ilvl w:val="0"/>
          <w:numId w:val="37"/>
        </w:numPr>
        <w:ind w:left="357" w:hanging="357"/>
        <w:rPr>
          <w:rFonts w:cstheme="minorHAnsi"/>
          <w:szCs w:val="24"/>
        </w:rPr>
      </w:pPr>
      <w:r>
        <w:rPr>
          <w:rFonts w:cstheme="minorHAnsi"/>
          <w:szCs w:val="24"/>
        </w:rPr>
        <w:t>D</w:t>
      </w:r>
      <w:r w:rsidRPr="000C0B5E">
        <w:rPr>
          <w:rFonts w:cstheme="minorHAnsi"/>
          <w:szCs w:val="24"/>
        </w:rPr>
        <w:t xml:space="preserve">irect the manner in which the care is to be provided, the qualifications of any person involved in providing the </w:t>
      </w:r>
      <w:r>
        <w:rPr>
          <w:rFonts w:cstheme="minorHAnsi"/>
          <w:szCs w:val="24"/>
        </w:rPr>
        <w:t>delivery of the program</w:t>
      </w:r>
      <w:r w:rsidRPr="000C0B5E">
        <w:rPr>
          <w:rFonts w:cstheme="minorHAnsi"/>
          <w:szCs w:val="24"/>
        </w:rPr>
        <w:t xml:space="preserve">, </w:t>
      </w:r>
      <w:r w:rsidRPr="00724FEF">
        <w:rPr>
          <w:rFonts w:cstheme="minorHAnsi"/>
          <w:szCs w:val="24"/>
        </w:rPr>
        <w:t>activities to achieve the goals, what is to be delivered, resources needed, who delivers it</w:t>
      </w:r>
      <w:r>
        <w:rPr>
          <w:rFonts w:cstheme="minorHAnsi"/>
          <w:szCs w:val="24"/>
        </w:rPr>
        <w:t>, evaluation</w:t>
      </w:r>
      <w:r w:rsidRPr="00724FEF">
        <w:rPr>
          <w:rFonts w:cstheme="minorHAnsi"/>
          <w:szCs w:val="24"/>
        </w:rPr>
        <w:t xml:space="preserve"> timeline</w:t>
      </w:r>
      <w:r w:rsidRPr="000C0B5E">
        <w:rPr>
          <w:rFonts w:cstheme="minorHAnsi"/>
          <w:szCs w:val="24"/>
        </w:rPr>
        <w:t xml:space="preserve"> and the frequency of the </w:t>
      </w:r>
      <w:r>
        <w:rPr>
          <w:rFonts w:cstheme="minorHAnsi"/>
          <w:szCs w:val="24"/>
        </w:rPr>
        <w:t>intervention</w:t>
      </w:r>
      <w:r w:rsidR="00A571F6">
        <w:rPr>
          <w:rFonts w:cstheme="minorHAnsi"/>
          <w:szCs w:val="24"/>
        </w:rPr>
        <w:t>.</w:t>
      </w:r>
    </w:p>
    <w:p w:rsidR="00980F62" w:rsidRDefault="00256E3D" w:rsidP="008F72CD">
      <w:pPr>
        <w:pStyle w:val="Heading4-Chapter761"/>
      </w:pPr>
      <w:r w:rsidRPr="00321BEC">
        <w:t>Record of Treatment</w:t>
      </w:r>
    </w:p>
    <w:p w:rsidR="00256E3D" w:rsidRPr="000C0B5E" w:rsidRDefault="00256E3D" w:rsidP="008D61C7">
      <w:pPr>
        <w:rPr>
          <w:rFonts w:cstheme="minorHAnsi"/>
          <w:szCs w:val="24"/>
        </w:rPr>
      </w:pPr>
      <w:r w:rsidRPr="000C0B5E">
        <w:rPr>
          <w:rFonts w:cstheme="minorHAnsi"/>
          <w:szCs w:val="24"/>
        </w:rPr>
        <w:t xml:space="preserve">The Record of Treatment must be kept in accordance with the directive as long as the </w:t>
      </w:r>
      <w:r>
        <w:rPr>
          <w:rFonts w:cstheme="minorHAnsi"/>
          <w:szCs w:val="24"/>
        </w:rPr>
        <w:t>therapy</w:t>
      </w:r>
      <w:r w:rsidRPr="000C0B5E">
        <w:rPr>
          <w:rFonts w:cstheme="minorHAnsi"/>
          <w:szCs w:val="24"/>
        </w:rPr>
        <w:t xml:space="preserve"> is being provided. The </w:t>
      </w:r>
      <w:r>
        <w:rPr>
          <w:rFonts w:cstheme="minorHAnsi"/>
          <w:szCs w:val="24"/>
        </w:rPr>
        <w:t>R-</w:t>
      </w:r>
      <w:r w:rsidRPr="000C0B5E">
        <w:rPr>
          <w:rFonts w:cstheme="minorHAnsi"/>
          <w:szCs w:val="24"/>
        </w:rPr>
        <w:t>ACFI Answer Appraisal Pack must include copies of treatment records post the submission date, for a reasonable period, to support the claim.</w:t>
      </w:r>
      <w:r w:rsidR="007A576E">
        <w:rPr>
          <w:rFonts w:cstheme="minorHAnsi"/>
          <w:szCs w:val="24"/>
        </w:rPr>
        <w:t xml:space="preserve"> </w:t>
      </w:r>
      <w:r w:rsidRPr="000C0B5E">
        <w:rPr>
          <w:rFonts w:cstheme="minorHAnsi"/>
          <w:szCs w:val="24"/>
        </w:rPr>
        <w:t xml:space="preserve">Refer </w:t>
      </w:r>
      <w:r>
        <w:rPr>
          <w:rFonts w:cstheme="minorHAnsi"/>
          <w:szCs w:val="24"/>
        </w:rPr>
        <w:t xml:space="preserve">to </w:t>
      </w:r>
      <w:r w:rsidR="00253DFB">
        <w:rPr>
          <w:rFonts w:cstheme="minorHAnsi"/>
          <w:szCs w:val="24"/>
        </w:rPr>
        <w:t xml:space="preserve">ACFI Userguide </w:t>
      </w:r>
      <w:r w:rsidRPr="000C0B5E">
        <w:rPr>
          <w:rFonts w:cstheme="minorHAnsi"/>
          <w:szCs w:val="24"/>
        </w:rPr>
        <w:t>page 8, Record Keeping</w:t>
      </w:r>
      <w:r>
        <w:rPr>
          <w:rFonts w:cstheme="minorHAnsi"/>
          <w:szCs w:val="24"/>
        </w:rPr>
        <w:t>:</w:t>
      </w:r>
      <w:r w:rsidRPr="000C0B5E">
        <w:rPr>
          <w:rFonts w:cstheme="minorHAnsi"/>
          <w:szCs w:val="24"/>
        </w:rPr>
        <w:t xml:space="preserve"> </w:t>
      </w:r>
      <w:r w:rsidRPr="000C0B5E">
        <w:rPr>
          <w:rFonts w:cstheme="minorHAnsi"/>
          <w:i/>
          <w:iCs/>
          <w:szCs w:val="24"/>
        </w:rPr>
        <w:t>‘ACFI appraisal pack must include all information needed by the department to verify a provider’s ACFI claim’</w:t>
      </w:r>
      <w:r w:rsidRPr="000C0B5E">
        <w:rPr>
          <w:rFonts w:cstheme="minorHAnsi"/>
          <w:szCs w:val="24"/>
        </w:rPr>
        <w:t>.</w:t>
      </w:r>
      <w:r w:rsidR="007A576E">
        <w:rPr>
          <w:rFonts w:cstheme="minorHAnsi"/>
          <w:szCs w:val="24"/>
        </w:rPr>
        <w:t xml:space="preserve"> </w:t>
      </w:r>
      <w:r w:rsidRPr="000C0B5E">
        <w:rPr>
          <w:rFonts w:cstheme="minorHAnsi"/>
          <w:szCs w:val="24"/>
        </w:rPr>
        <w:t>An Australian Government Authorised Officer may request to see a record of treatment.</w:t>
      </w:r>
    </w:p>
    <w:p w:rsidR="00256E3D" w:rsidRPr="00AA4DA9" w:rsidRDefault="00256E3D" w:rsidP="008F72CD">
      <w:pPr>
        <w:pStyle w:val="Heading4-Chapter761"/>
      </w:pPr>
      <w:bookmarkStart w:id="499" w:name="_Toc482092564"/>
      <w:r w:rsidRPr="00AA4DA9">
        <w:t>Assessments</w:t>
      </w:r>
      <w:bookmarkEnd w:id="499"/>
    </w:p>
    <w:p w:rsidR="00256E3D" w:rsidRPr="00797DA0" w:rsidRDefault="00256E3D" w:rsidP="008D61C7">
      <w:pPr>
        <w:rPr>
          <w:rFonts w:cstheme="minorHAnsi"/>
          <w:szCs w:val="24"/>
        </w:rPr>
      </w:pPr>
      <w:r>
        <w:t>Evidence-based objective assessments must be used, however there is no mandated set of assessment tools.</w:t>
      </w:r>
      <w:r w:rsidRPr="00797DA0" w:rsidDel="00C651AD">
        <w:rPr>
          <w:rFonts w:cstheme="minorHAnsi"/>
          <w:szCs w:val="24"/>
        </w:rPr>
        <w:t xml:space="preserve"> </w:t>
      </w:r>
      <w:r w:rsidRPr="00797DA0">
        <w:rPr>
          <w:rFonts w:cstheme="minorHAnsi"/>
          <w:szCs w:val="24"/>
        </w:rPr>
        <w:t>Recommendations have been made for assessing physical functioning</w:t>
      </w:r>
      <w:r>
        <w:rPr>
          <w:rFonts w:cstheme="minorHAnsi"/>
          <w:szCs w:val="24"/>
        </w:rPr>
        <w:t>, which include:</w:t>
      </w:r>
    </w:p>
    <w:p w:rsidR="00256E3D" w:rsidRPr="00797DA0" w:rsidRDefault="00256E3D" w:rsidP="005969C7">
      <w:pPr>
        <w:pStyle w:val="ListParagraph"/>
        <w:numPr>
          <w:ilvl w:val="0"/>
          <w:numId w:val="27"/>
        </w:numPr>
        <w:ind w:left="357" w:hanging="357"/>
        <w:rPr>
          <w:rFonts w:cstheme="minorHAnsi"/>
          <w:szCs w:val="24"/>
        </w:rPr>
      </w:pPr>
      <w:r>
        <w:rPr>
          <w:rFonts w:cstheme="minorHAnsi"/>
          <w:szCs w:val="24"/>
        </w:rPr>
        <w:t>Physical Mobility Scale</w:t>
      </w:r>
      <w:r w:rsidRPr="00797DA0">
        <w:rPr>
          <w:rFonts w:cstheme="minorHAnsi"/>
          <w:szCs w:val="24"/>
        </w:rPr>
        <w:t xml:space="preserve"> (</w:t>
      </w:r>
      <w:r>
        <w:rPr>
          <w:rFonts w:cstheme="minorHAnsi"/>
          <w:szCs w:val="24"/>
        </w:rPr>
        <w:t>PMS</w:t>
      </w:r>
      <w:r w:rsidRPr="00797DA0">
        <w:rPr>
          <w:rFonts w:cstheme="minorHAnsi"/>
          <w:szCs w:val="24"/>
        </w:rPr>
        <w:t>)</w:t>
      </w:r>
      <w:r w:rsidR="00A571F6">
        <w:rPr>
          <w:rFonts w:cstheme="minorHAnsi"/>
          <w:szCs w:val="24"/>
        </w:rPr>
        <w:t>.</w:t>
      </w:r>
    </w:p>
    <w:p w:rsidR="00980F62" w:rsidRDefault="00256E3D" w:rsidP="005969C7">
      <w:pPr>
        <w:pStyle w:val="ListParagraph"/>
        <w:numPr>
          <w:ilvl w:val="0"/>
          <w:numId w:val="27"/>
        </w:numPr>
        <w:ind w:left="357" w:hanging="357"/>
      </w:pPr>
      <w:r>
        <w:lastRenderedPageBreak/>
        <w:t>Manual Muscle Test (MMT)</w:t>
      </w:r>
      <w:r w:rsidR="00A571F6">
        <w:t>.</w:t>
      </w:r>
    </w:p>
    <w:p w:rsidR="00256E3D" w:rsidRPr="005226E3" w:rsidRDefault="00256E3D" w:rsidP="005969C7">
      <w:pPr>
        <w:pStyle w:val="ListParagraph"/>
        <w:numPr>
          <w:ilvl w:val="0"/>
          <w:numId w:val="27"/>
        </w:numPr>
        <w:ind w:left="357" w:hanging="357"/>
        <w:rPr>
          <w:rFonts w:cstheme="minorHAnsi"/>
          <w:szCs w:val="24"/>
        </w:rPr>
      </w:pPr>
      <w:r>
        <w:t>Berg Balance Scale (BBS)</w:t>
      </w:r>
      <w:r w:rsidR="00A571F6">
        <w:t>.</w:t>
      </w:r>
    </w:p>
    <w:p w:rsidR="00256E3D" w:rsidRDefault="00256E3D" w:rsidP="005969C7">
      <w:pPr>
        <w:pStyle w:val="ListParagraph"/>
        <w:numPr>
          <w:ilvl w:val="0"/>
          <w:numId w:val="27"/>
        </w:numPr>
        <w:ind w:left="357" w:hanging="357"/>
        <w:rPr>
          <w:rFonts w:cstheme="minorHAnsi"/>
          <w:szCs w:val="24"/>
        </w:rPr>
      </w:pPr>
      <w:r>
        <w:t>Balance Outcome Measure for Elder Rehabilitation (BOOMER</w:t>
      </w:r>
      <w:r w:rsidRPr="00797DA0">
        <w:rPr>
          <w:rFonts w:cstheme="minorHAnsi"/>
          <w:szCs w:val="24"/>
        </w:rPr>
        <w:t>)</w:t>
      </w:r>
      <w:r w:rsidR="00A571F6">
        <w:rPr>
          <w:rFonts w:cstheme="minorHAnsi"/>
          <w:szCs w:val="24"/>
        </w:rPr>
        <w:t>.</w:t>
      </w:r>
    </w:p>
    <w:p w:rsidR="00980F62" w:rsidRDefault="00256E3D" w:rsidP="005969C7">
      <w:pPr>
        <w:pStyle w:val="ListParagraph"/>
        <w:numPr>
          <w:ilvl w:val="0"/>
          <w:numId w:val="27"/>
        </w:numPr>
        <w:ind w:left="357" w:hanging="357"/>
      </w:pPr>
      <w:r>
        <w:t>Short Physical Performance Battery.</w:t>
      </w:r>
    </w:p>
    <w:p w:rsidR="00256E3D" w:rsidRDefault="00256E3D" w:rsidP="008D61C7">
      <w:r w:rsidRPr="00684B27">
        <w:t xml:space="preserve">The recommended pain assessment tools are those found in the PMG </w:t>
      </w:r>
      <w:r w:rsidR="004D1074" w:rsidRPr="00684B27">
        <w:t>K</w:t>
      </w:r>
      <w:r w:rsidRPr="00684B27">
        <w:t>it for Aged Care</w:t>
      </w:r>
      <w:r w:rsidR="00E706F2" w:rsidRPr="00684B27">
        <w:t xml:space="preserve"> (An implementation kit to accompany The Australian Pain Society’s Pain in Residential Aged Care Facilities: Management Strategies</w:t>
      </w:r>
      <w:r w:rsidRPr="00684B27">
        <w:t xml:space="preserve">) </w:t>
      </w:r>
      <w:r w:rsidR="00E706F2" w:rsidRPr="00684B27">
        <w:t>prepared by Edith Cowan University (2007)</w:t>
      </w:r>
      <w:r w:rsidRPr="00684B27">
        <w:t>:</w:t>
      </w:r>
    </w:p>
    <w:p w:rsidR="00256E3D" w:rsidRDefault="00256E3D" w:rsidP="005969C7">
      <w:pPr>
        <w:pStyle w:val="ListParagraph"/>
        <w:numPr>
          <w:ilvl w:val="0"/>
          <w:numId w:val="38"/>
        </w:numPr>
        <w:ind w:left="357" w:hanging="357"/>
      </w:pPr>
      <w:r>
        <w:t>Modified Resident’s Verbal Brief Pain Inventory (M-RVBPI) is suitable for residents who can be interviewed.</w:t>
      </w:r>
    </w:p>
    <w:p w:rsidR="00256E3D" w:rsidRPr="00FD1FFE" w:rsidRDefault="00256E3D" w:rsidP="005969C7">
      <w:pPr>
        <w:pStyle w:val="ListParagraph"/>
        <w:numPr>
          <w:ilvl w:val="0"/>
          <w:numId w:val="38"/>
        </w:numPr>
        <w:ind w:left="357" w:hanging="357"/>
        <w:rPr>
          <w:rFonts w:cstheme="minorHAnsi"/>
        </w:rPr>
      </w:pPr>
      <w:r w:rsidRPr="00FD1FFE">
        <w:rPr>
          <w:rFonts w:cstheme="minorHAnsi"/>
        </w:rPr>
        <w:t xml:space="preserve">Pain Assessment in Advanced Dementia (PAINAD) or Abbey Pain Scale </w:t>
      </w:r>
      <w:r>
        <w:t xml:space="preserve">is suitable </w:t>
      </w:r>
      <w:r w:rsidRPr="00FD1FFE">
        <w:rPr>
          <w:rFonts w:cstheme="minorHAnsi"/>
        </w:rPr>
        <w:t>for observatio</w:t>
      </w:r>
      <w:r>
        <w:rPr>
          <w:rFonts w:cstheme="minorHAnsi"/>
        </w:rPr>
        <w:t>nal assessment</w:t>
      </w:r>
      <w:r w:rsidRPr="00FD1FFE">
        <w:rPr>
          <w:rFonts w:cstheme="minorHAnsi"/>
        </w:rPr>
        <w:t>.</w:t>
      </w:r>
    </w:p>
    <w:p w:rsidR="00256E3D" w:rsidRPr="00525728" w:rsidRDefault="00256E3D" w:rsidP="005969C7">
      <w:pPr>
        <w:pStyle w:val="ListParagraph"/>
        <w:numPr>
          <w:ilvl w:val="0"/>
          <w:numId w:val="38"/>
        </w:numPr>
        <w:ind w:left="357" w:hanging="357"/>
        <w:rPr>
          <w:rFonts w:cstheme="minorHAnsi"/>
          <w:szCs w:val="24"/>
        </w:rPr>
      </w:pPr>
      <w:r>
        <w:t>Unidimensional tools (</w:t>
      </w:r>
      <w:r w:rsidRPr="006D64DC">
        <w:t>Numeric Pain Rating Scale (NRS) and Verbal Rating Scale (VRS)</w:t>
      </w:r>
      <w:r>
        <w:t xml:space="preserve">] </w:t>
      </w:r>
      <w:r w:rsidRPr="00525728">
        <w:rPr>
          <w:rFonts w:cstheme="minorHAnsi"/>
        </w:rPr>
        <w:t>for the ongoing evaluation of pain intensity and response to treatment. Not suitable for residents with severe cognitive impairments.</w:t>
      </w:r>
    </w:p>
    <w:p w:rsidR="00256E3D" w:rsidRPr="00797DA0" w:rsidRDefault="00256E3D" w:rsidP="004D1074">
      <w:pPr>
        <w:spacing w:before="60" w:after="0"/>
        <w:rPr>
          <w:rFonts w:cstheme="minorHAnsi"/>
          <w:szCs w:val="24"/>
        </w:rPr>
      </w:pPr>
      <w:bookmarkStart w:id="500" w:name="_Hlk481530808"/>
      <w:r w:rsidRPr="00797DA0">
        <w:rPr>
          <w:rFonts w:cstheme="minorHAnsi"/>
          <w:szCs w:val="24"/>
        </w:rPr>
        <w:t xml:space="preserve">The assessments are found in the </w:t>
      </w:r>
      <w:r>
        <w:rPr>
          <w:rFonts w:cstheme="minorHAnsi"/>
          <w:szCs w:val="24"/>
        </w:rPr>
        <w:t>R-</w:t>
      </w:r>
      <w:r w:rsidRPr="00797DA0">
        <w:rPr>
          <w:rFonts w:cstheme="minorHAnsi"/>
          <w:szCs w:val="24"/>
        </w:rPr>
        <w:t>ACFI Assessment Pack</w:t>
      </w:r>
      <w:r>
        <w:rPr>
          <w:rFonts w:cstheme="minorHAnsi"/>
          <w:szCs w:val="24"/>
        </w:rPr>
        <w:t xml:space="preserve"> </w:t>
      </w:r>
      <w:bookmarkStart w:id="501" w:name="_Hlk481531049"/>
      <w:r>
        <w:rPr>
          <w:rFonts w:cstheme="minorHAnsi"/>
          <w:szCs w:val="24"/>
        </w:rPr>
        <w:t>(Appendix 7</w:t>
      </w:r>
      <w:r w:rsidR="000571D6">
        <w:rPr>
          <w:rFonts w:cstheme="minorHAnsi"/>
          <w:szCs w:val="24"/>
        </w:rPr>
        <w:t>.1</w:t>
      </w:r>
      <w:r>
        <w:rPr>
          <w:rFonts w:cstheme="minorHAnsi"/>
          <w:szCs w:val="24"/>
        </w:rPr>
        <w:t xml:space="preserve">) and are suggested tools. The inclusion of these tools also provides the industry with examples of assessment tools that are </w:t>
      </w:r>
      <w:r>
        <w:t xml:space="preserve">selected for their objectivity, inter-rater reliability, accessibility and ease of use and </w:t>
      </w:r>
      <w:r>
        <w:rPr>
          <w:rFonts w:cstheme="minorHAnsi"/>
          <w:szCs w:val="24"/>
        </w:rPr>
        <w:t>supports evidence-based processes and professional care practice.</w:t>
      </w:r>
    </w:p>
    <w:bookmarkEnd w:id="500"/>
    <w:bookmarkEnd w:id="501"/>
    <w:p w:rsidR="00256E3D" w:rsidRPr="00B91A9C" w:rsidRDefault="00256E3D" w:rsidP="004D1074">
      <w:pPr>
        <w:spacing w:before="60" w:after="0"/>
        <w:rPr>
          <w:rFonts w:cstheme="minorHAnsi"/>
          <w:szCs w:val="24"/>
        </w:rPr>
      </w:pPr>
      <w:r w:rsidRPr="00FD292B">
        <w:rPr>
          <w:rFonts w:cstheme="minorHAnsi"/>
          <w:szCs w:val="24"/>
        </w:rPr>
        <w:t xml:space="preserve">The required assessment must have been completed within the last 3 months and it must continue to reflect the </w:t>
      </w:r>
      <w:r>
        <w:rPr>
          <w:rFonts w:cstheme="minorHAnsi"/>
          <w:szCs w:val="24"/>
        </w:rPr>
        <w:t>resident’s</w:t>
      </w:r>
      <w:r w:rsidRPr="00FD292B">
        <w:rPr>
          <w:rFonts w:cstheme="minorHAnsi"/>
          <w:szCs w:val="24"/>
        </w:rPr>
        <w:t xml:space="preserve"> </w:t>
      </w:r>
      <w:r>
        <w:rPr>
          <w:rFonts w:cstheme="minorHAnsi"/>
          <w:szCs w:val="24"/>
        </w:rPr>
        <w:t>physical therapy</w:t>
      </w:r>
      <w:r w:rsidRPr="00FD292B">
        <w:rPr>
          <w:rFonts w:cstheme="minorHAnsi"/>
          <w:szCs w:val="24"/>
        </w:rPr>
        <w:t xml:space="preserve"> needs at the time of the appraisal. </w:t>
      </w:r>
      <w:r w:rsidRPr="00797DA0">
        <w:rPr>
          <w:szCs w:val="24"/>
          <w:lang w:eastAsia="en-AU"/>
        </w:rPr>
        <w:t xml:space="preserve">This would </w:t>
      </w:r>
      <w:r>
        <w:rPr>
          <w:szCs w:val="24"/>
          <w:lang w:eastAsia="en-AU"/>
        </w:rPr>
        <w:t xml:space="preserve">involve </w:t>
      </w:r>
      <w:r w:rsidRPr="00797DA0">
        <w:rPr>
          <w:szCs w:val="24"/>
          <w:lang w:eastAsia="en-AU"/>
        </w:rPr>
        <w:t xml:space="preserve">the resident’s </w:t>
      </w:r>
      <w:r>
        <w:rPr>
          <w:szCs w:val="24"/>
          <w:lang w:eastAsia="en-AU"/>
        </w:rPr>
        <w:t xml:space="preserve">physical </w:t>
      </w:r>
      <w:r w:rsidRPr="00797DA0">
        <w:rPr>
          <w:szCs w:val="24"/>
          <w:lang w:eastAsia="en-AU"/>
        </w:rPr>
        <w:t>therapy needs to be reviewed for any recent changes and the assessment/directive to be signed off (indicating there are no changes) during the appraisal period.</w:t>
      </w:r>
    </w:p>
    <w:p w:rsidR="00256E3D" w:rsidRPr="00E63766" w:rsidRDefault="00256E3D" w:rsidP="00872E39">
      <w:pPr>
        <w:pStyle w:val="Heading4-Chapter761"/>
      </w:pPr>
      <w:r w:rsidRPr="00E63766">
        <w:t>Health Professionals</w:t>
      </w:r>
    </w:p>
    <w:p w:rsidR="00256E3D" w:rsidRPr="00C879BD" w:rsidRDefault="00256E3D" w:rsidP="008D61C7">
      <w:pPr>
        <w:rPr>
          <w:rFonts w:cstheme="minorHAnsi"/>
          <w:szCs w:val="24"/>
          <w:lang w:eastAsia="ja-JP"/>
        </w:rPr>
      </w:pPr>
      <w:r w:rsidRPr="00007D4E">
        <w:rPr>
          <w:rStyle w:val="Strong"/>
        </w:rPr>
        <w:t>‘Health Professional’</w:t>
      </w:r>
      <w:r w:rsidRPr="00C879BD">
        <w:rPr>
          <w:rFonts w:cstheme="minorHAnsi"/>
          <w:szCs w:val="24"/>
          <w:lang w:eastAsia="ja-JP"/>
        </w:rPr>
        <w:t xml:space="preserve"> means a practitioner listed in (a) or (b) below:</w:t>
      </w:r>
    </w:p>
    <w:p w:rsidR="00256E3D" w:rsidRPr="00E63766" w:rsidRDefault="00256E3D" w:rsidP="008D61C7">
      <w:pPr>
        <w:spacing w:after="0"/>
        <w:rPr>
          <w:rStyle w:val="Strong"/>
        </w:rPr>
      </w:pPr>
      <w:r w:rsidRPr="00E63766">
        <w:rPr>
          <w:rStyle w:val="Strong"/>
        </w:rPr>
        <w:t>List (a)</w:t>
      </w:r>
    </w:p>
    <w:p w:rsidR="00256E3D" w:rsidRPr="004846F9" w:rsidRDefault="00256E3D" w:rsidP="005969C7">
      <w:pPr>
        <w:pStyle w:val="ListParagraph"/>
        <w:numPr>
          <w:ilvl w:val="0"/>
          <w:numId w:val="39"/>
        </w:numPr>
        <w:ind w:left="357" w:hanging="357"/>
        <w:rPr>
          <w:rFonts w:cstheme="minorHAnsi"/>
          <w:bCs/>
          <w:szCs w:val="24"/>
        </w:rPr>
      </w:pPr>
      <w:r w:rsidRPr="004846F9">
        <w:rPr>
          <w:rFonts w:cstheme="minorHAnsi"/>
          <w:bCs/>
          <w:szCs w:val="24"/>
        </w:rPr>
        <w:t>Nurse practitioner</w:t>
      </w:r>
      <w:r w:rsidRPr="004846F9">
        <w:rPr>
          <w:rFonts w:cstheme="minorHAnsi"/>
          <w:bCs/>
          <w:szCs w:val="24"/>
          <w:lang w:eastAsia="ja-JP"/>
        </w:rPr>
        <w:t>;</w:t>
      </w:r>
    </w:p>
    <w:p w:rsidR="00256E3D" w:rsidRPr="004846F9" w:rsidRDefault="00256E3D" w:rsidP="005969C7">
      <w:pPr>
        <w:pStyle w:val="ListParagraph"/>
        <w:numPr>
          <w:ilvl w:val="0"/>
          <w:numId w:val="39"/>
        </w:numPr>
        <w:ind w:left="357" w:hanging="357"/>
        <w:rPr>
          <w:rFonts w:cstheme="minorHAnsi"/>
          <w:bCs/>
          <w:szCs w:val="24"/>
        </w:rPr>
      </w:pPr>
      <w:r w:rsidRPr="004846F9">
        <w:rPr>
          <w:rFonts w:cstheme="minorHAnsi"/>
          <w:bCs/>
          <w:szCs w:val="24"/>
        </w:rPr>
        <w:t>Registered nurse</w:t>
      </w:r>
      <w:r w:rsidRPr="004846F9">
        <w:rPr>
          <w:rFonts w:cstheme="minorHAnsi"/>
          <w:bCs/>
          <w:szCs w:val="24"/>
          <w:lang w:eastAsia="ja-JP"/>
        </w:rPr>
        <w:t>;</w:t>
      </w:r>
    </w:p>
    <w:p w:rsidR="00256E3D" w:rsidRDefault="00256E3D" w:rsidP="005969C7">
      <w:pPr>
        <w:pStyle w:val="ListParagraph"/>
        <w:numPr>
          <w:ilvl w:val="0"/>
          <w:numId w:val="39"/>
        </w:numPr>
        <w:ind w:left="357" w:hanging="357"/>
        <w:rPr>
          <w:rFonts w:cstheme="minorHAnsi"/>
          <w:szCs w:val="24"/>
        </w:rPr>
      </w:pPr>
      <w:r w:rsidRPr="004846F9">
        <w:rPr>
          <w:rFonts w:cstheme="minorHAnsi"/>
          <w:bCs/>
          <w:szCs w:val="24"/>
        </w:rPr>
        <w:t>Medical practitioner</w:t>
      </w:r>
      <w:r w:rsidRPr="004846F9">
        <w:rPr>
          <w:rFonts w:cstheme="minorHAnsi"/>
          <w:szCs w:val="24"/>
          <w:lang w:eastAsia="ja-JP"/>
        </w:rPr>
        <w:t>;</w:t>
      </w:r>
      <w:r w:rsidR="00C86365">
        <w:rPr>
          <w:rFonts w:cstheme="minorHAnsi"/>
          <w:szCs w:val="24"/>
          <w:lang w:eastAsia="ja-JP"/>
        </w:rPr>
        <w:t xml:space="preserve"> or</w:t>
      </w:r>
    </w:p>
    <w:p w:rsidR="00237A38" w:rsidRDefault="00256E3D" w:rsidP="005969C7">
      <w:pPr>
        <w:pStyle w:val="ListParagraph"/>
        <w:numPr>
          <w:ilvl w:val="0"/>
          <w:numId w:val="39"/>
        </w:numPr>
        <w:ind w:left="357" w:hanging="357"/>
        <w:rPr>
          <w:rFonts w:cstheme="minorHAnsi"/>
          <w:szCs w:val="24"/>
          <w:lang w:eastAsia="ja-JP"/>
        </w:rPr>
      </w:pPr>
      <w:r w:rsidRPr="004846F9">
        <w:rPr>
          <w:rFonts w:cstheme="minorHAnsi"/>
          <w:bCs/>
          <w:szCs w:val="24"/>
          <w:lang w:eastAsia="ja-JP"/>
        </w:rPr>
        <w:t>An a</w:t>
      </w:r>
      <w:r w:rsidRPr="004846F9">
        <w:rPr>
          <w:rFonts w:cstheme="minorHAnsi"/>
          <w:bCs/>
          <w:szCs w:val="24"/>
        </w:rPr>
        <w:t>llied health professional</w:t>
      </w:r>
      <w:r w:rsidRPr="004846F9">
        <w:rPr>
          <w:rFonts w:cstheme="minorHAnsi"/>
          <w:bCs/>
          <w:szCs w:val="24"/>
          <w:lang w:eastAsia="ja-JP"/>
        </w:rPr>
        <w:t xml:space="preserve"> who is an</w:t>
      </w:r>
      <w:r w:rsidRPr="004846F9">
        <w:rPr>
          <w:rFonts w:cstheme="minorHAnsi"/>
          <w:szCs w:val="24"/>
        </w:rPr>
        <w:t>: Occupational therapist</w:t>
      </w:r>
      <w:r w:rsidRPr="004846F9">
        <w:rPr>
          <w:rFonts w:cstheme="minorHAnsi"/>
          <w:szCs w:val="24"/>
          <w:lang w:eastAsia="ja-JP"/>
        </w:rPr>
        <w:t>; P</w:t>
      </w:r>
      <w:r w:rsidRPr="004846F9">
        <w:rPr>
          <w:rFonts w:cstheme="minorHAnsi"/>
          <w:szCs w:val="24"/>
        </w:rPr>
        <w:t>hysiotherapist</w:t>
      </w:r>
      <w:r w:rsidRPr="004846F9">
        <w:rPr>
          <w:rFonts w:cstheme="minorHAnsi"/>
          <w:szCs w:val="24"/>
          <w:lang w:eastAsia="ja-JP"/>
        </w:rPr>
        <w:t xml:space="preserve">; and has </w:t>
      </w:r>
      <w:r w:rsidRPr="004846F9">
        <w:rPr>
          <w:rFonts w:cstheme="minorHAnsi"/>
          <w:szCs w:val="24"/>
        </w:rPr>
        <w:t xml:space="preserve">a current certificate of registration </w:t>
      </w:r>
      <w:r w:rsidRPr="004846F9">
        <w:rPr>
          <w:rFonts w:cstheme="minorHAnsi"/>
          <w:szCs w:val="24"/>
          <w:lang w:eastAsia="ja-JP"/>
        </w:rPr>
        <w:t xml:space="preserve">issued </w:t>
      </w:r>
      <w:r w:rsidRPr="004846F9">
        <w:rPr>
          <w:rFonts w:cstheme="minorHAnsi"/>
          <w:szCs w:val="24"/>
        </w:rPr>
        <w:t>by the National Board</w:t>
      </w:r>
      <w:r w:rsidRPr="004846F9">
        <w:rPr>
          <w:rFonts w:cstheme="minorHAnsi"/>
          <w:szCs w:val="24"/>
          <w:lang w:eastAsia="ja-JP"/>
        </w:rPr>
        <w:t xml:space="preserve"> for that person’s profession (see the </w:t>
      </w:r>
      <w:r w:rsidRPr="004846F9">
        <w:rPr>
          <w:rFonts w:cstheme="minorHAnsi"/>
          <w:i/>
          <w:iCs/>
          <w:szCs w:val="24"/>
        </w:rPr>
        <w:t>Health Practitioner National Regulation Law 2009</w:t>
      </w:r>
      <w:r w:rsidRPr="004846F9">
        <w:rPr>
          <w:rFonts w:cstheme="minorHAnsi"/>
          <w:szCs w:val="24"/>
        </w:rPr>
        <w:t xml:space="preserve"> (</w:t>
      </w:r>
      <w:r w:rsidRPr="004846F9">
        <w:rPr>
          <w:rFonts w:cstheme="minorHAnsi"/>
          <w:szCs w:val="24"/>
          <w:lang w:eastAsia="ja-JP"/>
        </w:rPr>
        <w:t xml:space="preserve">the </w:t>
      </w:r>
      <w:r w:rsidRPr="004846F9">
        <w:rPr>
          <w:rFonts w:cstheme="minorHAnsi"/>
          <w:szCs w:val="24"/>
        </w:rPr>
        <w:t>National Law)</w:t>
      </w:r>
      <w:r w:rsidR="00C86365">
        <w:rPr>
          <w:rFonts w:cstheme="minorHAnsi"/>
          <w:szCs w:val="24"/>
          <w:lang w:eastAsia="ja-JP"/>
        </w:rPr>
        <w:t>.</w:t>
      </w:r>
    </w:p>
    <w:p w:rsidR="00237A38" w:rsidRDefault="00237A38">
      <w:pPr>
        <w:spacing w:after="200"/>
        <w:jc w:val="left"/>
        <w:rPr>
          <w:rFonts w:cstheme="minorHAnsi"/>
          <w:szCs w:val="24"/>
          <w:lang w:eastAsia="ja-JP"/>
        </w:rPr>
      </w:pPr>
      <w:r>
        <w:rPr>
          <w:rFonts w:cstheme="minorHAnsi"/>
          <w:szCs w:val="24"/>
          <w:lang w:eastAsia="ja-JP"/>
        </w:rPr>
        <w:br w:type="page"/>
      </w:r>
    </w:p>
    <w:p w:rsidR="00980F62" w:rsidRDefault="00256E3D" w:rsidP="008D61C7">
      <w:pPr>
        <w:spacing w:after="0"/>
        <w:rPr>
          <w:rStyle w:val="Strong"/>
        </w:rPr>
      </w:pPr>
      <w:r w:rsidRPr="00E63766">
        <w:rPr>
          <w:rStyle w:val="Strong"/>
        </w:rPr>
        <w:lastRenderedPageBreak/>
        <w:t>List (b)</w:t>
      </w:r>
    </w:p>
    <w:p w:rsidR="00933A37" w:rsidRDefault="00256E3D" w:rsidP="008D61C7">
      <w:pPr>
        <w:rPr>
          <w:lang w:eastAsia="ja-JP"/>
        </w:rPr>
      </w:pPr>
      <w:r>
        <w:rPr>
          <w:lang w:eastAsia="ja-JP"/>
        </w:rPr>
        <w:t xml:space="preserve">An </w:t>
      </w:r>
      <w:r w:rsidRPr="004846F9">
        <w:rPr>
          <w:lang w:eastAsia="ja-JP"/>
        </w:rPr>
        <w:t>allied health professional</w:t>
      </w:r>
      <w:r>
        <w:rPr>
          <w:lang w:eastAsia="ja-JP"/>
        </w:rPr>
        <w:t xml:space="preserve"> who is a Dietitian, Speech Pathologist or Exercise Physiologist and has current accreditation with the relevant self-regulated professional body.</w:t>
      </w:r>
    </w:p>
    <w:p w:rsidR="00980F62" w:rsidRDefault="00256E3D" w:rsidP="004262AE">
      <w:pPr>
        <w:spacing w:after="0"/>
        <w:rPr>
          <w:rStyle w:val="Strong"/>
        </w:rPr>
      </w:pPr>
      <w:r w:rsidRPr="00E63766">
        <w:rPr>
          <w:rStyle w:val="Strong"/>
        </w:rPr>
        <w:t>Physical Therapy Program</w:t>
      </w:r>
    </w:p>
    <w:p w:rsidR="00256E3D" w:rsidRPr="007A6275" w:rsidRDefault="00256E3D" w:rsidP="00042D34">
      <w:pPr>
        <w:spacing w:after="0" w:line="240" w:lineRule="auto"/>
        <w:rPr>
          <w:b/>
          <w:color w:val="4472C4" w:themeColor="accent1"/>
          <w:szCs w:val="24"/>
        </w:rPr>
      </w:pPr>
      <w:r w:rsidRPr="007A6275">
        <w:rPr>
          <w:b/>
          <w:color w:val="4472C4" w:themeColor="accent1"/>
          <w:szCs w:val="24"/>
        </w:rPr>
        <w:t>Indicate if a Physical Therapy Program is in place:</w:t>
      </w:r>
    </w:p>
    <w:tbl>
      <w:tblPr>
        <w:tblStyle w:val="TableGrid"/>
        <w:tblW w:w="8640" w:type="dxa"/>
        <w:tblInd w:w="85" w:type="dxa"/>
        <w:tblCellMar>
          <w:top w:w="85" w:type="dxa"/>
          <w:left w:w="85" w:type="dxa"/>
          <w:right w:w="85" w:type="dxa"/>
        </w:tblCellMar>
        <w:tblLook w:val="04A0" w:firstRow="1" w:lastRow="0" w:firstColumn="1" w:lastColumn="0" w:noHBand="0" w:noVBand="1"/>
        <w:tblDescription w:val="The Physical Therapy Program Table is an example of the checklist for evidence requirements under the revised aged care funding instrument (R-ACFI). This table is to be read left to right, top to bottom, noting that tick boxes are not functional."/>
      </w:tblPr>
      <w:tblGrid>
        <w:gridCol w:w="3171"/>
        <w:gridCol w:w="4199"/>
        <w:gridCol w:w="1270"/>
      </w:tblGrid>
      <w:tr w:rsidR="00256E3D" w:rsidTr="00042D34">
        <w:trPr>
          <w:trHeight w:val="217"/>
          <w:tblHeader/>
        </w:trPr>
        <w:tc>
          <w:tcPr>
            <w:tcW w:w="3171" w:type="dxa"/>
            <w:shd w:val="clear" w:color="auto" w:fill="D9D9D9" w:themeFill="background1" w:themeFillShade="D9"/>
          </w:tcPr>
          <w:p w:rsidR="00256E3D" w:rsidRPr="004846F9" w:rsidRDefault="00256E3D" w:rsidP="00374C2B">
            <w:pPr>
              <w:pStyle w:val="Tableheader4"/>
              <w:spacing w:before="60" w:after="60"/>
              <w:rPr>
                <w:rFonts w:asciiTheme="minorHAnsi" w:hAnsiTheme="minorHAnsi" w:cstheme="minorHAnsi"/>
                <w:sz w:val="24"/>
                <w:szCs w:val="24"/>
              </w:rPr>
            </w:pPr>
            <w:r w:rsidRPr="004846F9">
              <w:rPr>
                <w:rFonts w:asciiTheme="minorHAnsi" w:hAnsiTheme="minorHAnsi" w:cstheme="minorHAnsi"/>
                <w:sz w:val="24"/>
                <w:szCs w:val="24"/>
              </w:rPr>
              <w:t>Physical Therapy Program</w:t>
            </w:r>
          </w:p>
        </w:tc>
        <w:tc>
          <w:tcPr>
            <w:tcW w:w="4199" w:type="dxa"/>
            <w:shd w:val="clear" w:color="auto" w:fill="D9D9D9" w:themeFill="background1" w:themeFillShade="D9"/>
          </w:tcPr>
          <w:p w:rsidR="00256E3D" w:rsidRPr="004846F9" w:rsidRDefault="00256E3D" w:rsidP="00374C2B">
            <w:pPr>
              <w:pStyle w:val="Tableheader4"/>
              <w:spacing w:before="60" w:after="60"/>
              <w:jc w:val="center"/>
              <w:rPr>
                <w:rFonts w:asciiTheme="minorHAnsi" w:hAnsiTheme="minorHAnsi" w:cstheme="minorHAnsi"/>
                <w:sz w:val="24"/>
                <w:szCs w:val="24"/>
              </w:rPr>
            </w:pPr>
            <w:r w:rsidRPr="004846F9">
              <w:rPr>
                <w:rFonts w:asciiTheme="minorHAnsi" w:hAnsiTheme="minorHAnsi" w:cstheme="minorHAnsi"/>
                <w:sz w:val="24"/>
                <w:szCs w:val="24"/>
              </w:rPr>
              <w:t>Evidence Requirements</w:t>
            </w:r>
            <w:r w:rsidR="00042D34">
              <w:rPr>
                <w:rFonts w:asciiTheme="minorHAnsi" w:hAnsiTheme="minorHAnsi" w:cstheme="minorHAnsi"/>
                <w:sz w:val="24"/>
                <w:szCs w:val="24"/>
              </w:rPr>
              <w:t xml:space="preserve"> </w:t>
            </w:r>
            <w:r>
              <w:rPr>
                <w:rFonts w:asciiTheme="minorHAnsi" w:hAnsiTheme="minorHAnsi" w:cstheme="minorHAnsi"/>
                <w:sz w:val="24"/>
                <w:szCs w:val="24"/>
              </w:rPr>
              <w:t>(Tick evidence)</w:t>
            </w:r>
          </w:p>
        </w:tc>
        <w:tc>
          <w:tcPr>
            <w:tcW w:w="1270" w:type="dxa"/>
            <w:shd w:val="clear" w:color="auto" w:fill="D9D9D9" w:themeFill="background1" w:themeFillShade="D9"/>
          </w:tcPr>
          <w:p w:rsidR="00256E3D" w:rsidRPr="004846F9" w:rsidRDefault="00256E3D" w:rsidP="00374C2B">
            <w:pPr>
              <w:pStyle w:val="Tableheader4"/>
              <w:spacing w:before="60" w:after="60"/>
              <w:jc w:val="center"/>
              <w:rPr>
                <w:rFonts w:asciiTheme="minorHAnsi" w:hAnsiTheme="minorHAnsi" w:cstheme="minorHAnsi"/>
                <w:sz w:val="24"/>
                <w:szCs w:val="24"/>
              </w:rPr>
            </w:pPr>
            <w:r w:rsidRPr="004846F9">
              <w:rPr>
                <w:rFonts w:asciiTheme="minorHAnsi" w:hAnsiTheme="minorHAnsi" w:cstheme="minorHAnsi"/>
                <w:sz w:val="24"/>
                <w:szCs w:val="24"/>
              </w:rPr>
              <w:t>Tick if yes</w:t>
            </w:r>
          </w:p>
        </w:tc>
      </w:tr>
      <w:tr w:rsidR="00256E3D" w:rsidRPr="00AF6CC9" w:rsidTr="00042D34">
        <w:tc>
          <w:tcPr>
            <w:tcW w:w="3171" w:type="dxa"/>
          </w:tcPr>
          <w:p w:rsidR="00256E3D" w:rsidRPr="004846F9" w:rsidRDefault="00256E3D" w:rsidP="00A51750">
            <w:pPr>
              <w:pStyle w:val="Tabletype4"/>
              <w:spacing w:after="60"/>
              <w:rPr>
                <w:rFonts w:asciiTheme="minorHAnsi" w:hAnsiTheme="minorHAnsi" w:cstheme="minorHAnsi"/>
                <w:sz w:val="24"/>
                <w:szCs w:val="24"/>
              </w:rPr>
            </w:pPr>
            <w:r>
              <w:rPr>
                <w:rFonts w:asciiTheme="minorHAnsi" w:hAnsiTheme="minorHAnsi" w:cstheme="minorHAnsi"/>
                <w:sz w:val="24"/>
                <w:szCs w:val="24"/>
              </w:rPr>
              <w:t>No Physical Therapy Program</w:t>
            </w:r>
          </w:p>
        </w:tc>
        <w:tc>
          <w:tcPr>
            <w:tcW w:w="4199" w:type="dxa"/>
          </w:tcPr>
          <w:p w:rsidR="00256E3D" w:rsidRPr="004846F9" w:rsidRDefault="00256E3D" w:rsidP="00A51750">
            <w:pPr>
              <w:pStyle w:val="Tabletype4"/>
              <w:spacing w:after="60"/>
              <w:rPr>
                <w:rFonts w:asciiTheme="minorHAnsi" w:hAnsiTheme="minorHAnsi" w:cstheme="minorHAnsi"/>
                <w:sz w:val="24"/>
                <w:szCs w:val="24"/>
              </w:rPr>
            </w:pPr>
            <w:r>
              <w:rPr>
                <w:rFonts w:asciiTheme="minorHAnsi" w:hAnsiTheme="minorHAnsi" w:cstheme="minorHAnsi"/>
                <w:sz w:val="24"/>
                <w:szCs w:val="24"/>
              </w:rPr>
              <w:t>NA</w:t>
            </w:r>
          </w:p>
        </w:tc>
        <w:tc>
          <w:tcPr>
            <w:tcW w:w="1270" w:type="dxa"/>
          </w:tcPr>
          <w:p w:rsidR="00256E3D" w:rsidRPr="004846F9" w:rsidRDefault="00256E3D" w:rsidP="00A51750">
            <w:pPr>
              <w:pStyle w:val="Tabletype4"/>
              <w:jc w:val="center"/>
              <w:rPr>
                <w:rFonts w:asciiTheme="minorHAnsi" w:hAnsiTheme="minorHAnsi" w:cstheme="minorHAnsi"/>
                <w:sz w:val="24"/>
                <w:szCs w:val="24"/>
              </w:rPr>
            </w:pPr>
            <w:r w:rsidRPr="004846F9">
              <w:rPr>
                <w:rFonts w:asciiTheme="minorHAnsi" w:hAnsiTheme="minorHAnsi" w:cstheme="minorHAnsi"/>
                <w:sz w:val="24"/>
                <w:szCs w:val="24"/>
              </w:rPr>
              <w:sym w:font="Wingdings" w:char="F06F"/>
            </w:r>
            <w:r w:rsidRPr="004846F9">
              <w:rPr>
                <w:rFonts w:asciiTheme="minorHAnsi" w:hAnsiTheme="minorHAnsi" w:cstheme="minorHAnsi"/>
                <w:sz w:val="24"/>
                <w:szCs w:val="24"/>
              </w:rPr>
              <w:t xml:space="preserve"> 1</w:t>
            </w:r>
          </w:p>
        </w:tc>
      </w:tr>
      <w:tr w:rsidR="00256E3D" w:rsidRPr="00AF6CC9" w:rsidTr="00042D34">
        <w:trPr>
          <w:trHeight w:val="32"/>
        </w:trPr>
        <w:tc>
          <w:tcPr>
            <w:tcW w:w="3171" w:type="dxa"/>
          </w:tcPr>
          <w:p w:rsidR="00256E3D" w:rsidRPr="004846F9" w:rsidRDefault="00256E3D" w:rsidP="00A51750">
            <w:pPr>
              <w:pStyle w:val="Tabletype4"/>
              <w:spacing w:after="60"/>
              <w:rPr>
                <w:rFonts w:asciiTheme="minorHAnsi" w:hAnsiTheme="minorHAnsi" w:cstheme="minorHAnsi"/>
                <w:sz w:val="24"/>
                <w:szCs w:val="24"/>
              </w:rPr>
            </w:pPr>
            <w:r w:rsidRPr="004846F9">
              <w:rPr>
                <w:rFonts w:asciiTheme="minorHAnsi" w:hAnsiTheme="minorHAnsi" w:cstheme="minorHAnsi"/>
                <w:sz w:val="24"/>
                <w:szCs w:val="24"/>
              </w:rPr>
              <w:t>Physical Therapy Program</w:t>
            </w:r>
          </w:p>
        </w:tc>
        <w:tc>
          <w:tcPr>
            <w:tcW w:w="4199" w:type="dxa"/>
          </w:tcPr>
          <w:p w:rsidR="00256E3D" w:rsidRPr="004846F9" w:rsidRDefault="00256E3D" w:rsidP="00A51750">
            <w:pPr>
              <w:pStyle w:val="Tabletype4"/>
              <w:spacing w:after="60"/>
              <w:ind w:left="284" w:hanging="284"/>
              <w:rPr>
                <w:rFonts w:asciiTheme="minorHAnsi" w:hAnsiTheme="minorHAnsi" w:cstheme="minorHAnsi"/>
                <w:sz w:val="24"/>
                <w:szCs w:val="24"/>
              </w:rPr>
            </w:pPr>
            <w:r w:rsidRPr="004846F9">
              <w:rPr>
                <w:rFonts w:cstheme="minorHAnsi"/>
                <w:szCs w:val="24"/>
              </w:rPr>
              <w:sym w:font="Wingdings" w:char="F06F"/>
            </w:r>
            <w:r>
              <w:rPr>
                <w:rFonts w:cstheme="minorHAnsi"/>
                <w:szCs w:val="24"/>
              </w:rPr>
              <w:t xml:space="preserve"> </w:t>
            </w:r>
            <w:r>
              <w:rPr>
                <w:rFonts w:asciiTheme="minorHAnsi" w:hAnsiTheme="minorHAnsi" w:cstheme="minorHAnsi"/>
                <w:sz w:val="24"/>
                <w:szCs w:val="24"/>
              </w:rPr>
              <w:t>Consent</w:t>
            </w:r>
          </w:p>
          <w:p w:rsidR="00256E3D" w:rsidRPr="004846F9" w:rsidRDefault="00256E3D" w:rsidP="00A51750">
            <w:pPr>
              <w:pStyle w:val="Tabletype4"/>
              <w:spacing w:after="60"/>
              <w:ind w:left="284" w:hanging="284"/>
              <w:rPr>
                <w:rFonts w:asciiTheme="minorHAnsi" w:hAnsiTheme="minorHAnsi" w:cstheme="minorHAnsi"/>
                <w:sz w:val="24"/>
                <w:szCs w:val="24"/>
              </w:rPr>
            </w:pPr>
            <w:r w:rsidRPr="004846F9">
              <w:rPr>
                <w:rFonts w:cstheme="minorHAnsi"/>
                <w:szCs w:val="24"/>
              </w:rPr>
              <w:sym w:font="Wingdings" w:char="F06F"/>
            </w:r>
            <w:r>
              <w:rPr>
                <w:rFonts w:cstheme="minorHAnsi"/>
                <w:szCs w:val="24"/>
              </w:rPr>
              <w:t xml:space="preserve"> </w:t>
            </w:r>
            <w:r w:rsidRPr="004846F9">
              <w:rPr>
                <w:rFonts w:asciiTheme="minorHAnsi" w:hAnsiTheme="minorHAnsi" w:cstheme="minorHAnsi"/>
                <w:sz w:val="24"/>
                <w:szCs w:val="24"/>
              </w:rPr>
              <w:t xml:space="preserve">Physical Therapy </w:t>
            </w:r>
            <w:r>
              <w:rPr>
                <w:rFonts w:asciiTheme="minorHAnsi" w:hAnsiTheme="minorHAnsi" w:cstheme="minorHAnsi"/>
                <w:sz w:val="24"/>
                <w:szCs w:val="24"/>
              </w:rPr>
              <w:t xml:space="preserve">Care </w:t>
            </w:r>
            <w:r w:rsidRPr="004846F9">
              <w:rPr>
                <w:rFonts w:asciiTheme="minorHAnsi" w:hAnsiTheme="minorHAnsi" w:cstheme="minorHAnsi"/>
                <w:sz w:val="24"/>
                <w:szCs w:val="24"/>
              </w:rPr>
              <w:t>Plan</w:t>
            </w:r>
          </w:p>
          <w:p w:rsidR="00980F62" w:rsidRDefault="00256E3D" w:rsidP="00A51750">
            <w:pPr>
              <w:pStyle w:val="Tabletype4"/>
              <w:spacing w:after="60"/>
              <w:ind w:left="284" w:hanging="284"/>
              <w:rPr>
                <w:rFonts w:asciiTheme="minorHAnsi" w:hAnsiTheme="minorHAnsi" w:cstheme="minorHAnsi"/>
                <w:sz w:val="24"/>
                <w:szCs w:val="24"/>
              </w:rPr>
            </w:pPr>
            <w:r w:rsidRPr="004846F9">
              <w:rPr>
                <w:rFonts w:cstheme="minorHAnsi"/>
                <w:szCs w:val="24"/>
              </w:rPr>
              <w:sym w:font="Wingdings" w:char="F06F"/>
            </w:r>
            <w:r>
              <w:rPr>
                <w:rFonts w:cstheme="minorHAnsi"/>
                <w:szCs w:val="24"/>
              </w:rPr>
              <w:t xml:space="preserve"> </w:t>
            </w:r>
            <w:r w:rsidRPr="004846F9">
              <w:rPr>
                <w:rFonts w:asciiTheme="minorHAnsi" w:hAnsiTheme="minorHAnsi" w:cstheme="minorHAnsi"/>
                <w:sz w:val="24"/>
                <w:szCs w:val="24"/>
              </w:rPr>
              <w:t>Physical Functional Assessment</w:t>
            </w:r>
          </w:p>
          <w:p w:rsidR="00256E3D" w:rsidRDefault="00256E3D" w:rsidP="00A51750">
            <w:pPr>
              <w:pStyle w:val="Tabletype4"/>
              <w:spacing w:after="60"/>
              <w:ind w:left="284" w:hanging="284"/>
              <w:rPr>
                <w:rFonts w:asciiTheme="minorHAnsi" w:hAnsiTheme="minorHAnsi" w:cstheme="minorHAnsi"/>
                <w:sz w:val="24"/>
                <w:szCs w:val="24"/>
              </w:rPr>
            </w:pPr>
            <w:r w:rsidRPr="004846F9">
              <w:rPr>
                <w:rFonts w:cstheme="minorHAnsi"/>
                <w:szCs w:val="24"/>
              </w:rPr>
              <w:sym w:font="Wingdings" w:char="F06F"/>
            </w:r>
            <w:r>
              <w:rPr>
                <w:rFonts w:cstheme="minorHAnsi"/>
                <w:szCs w:val="24"/>
              </w:rPr>
              <w:t xml:space="preserve"> </w:t>
            </w:r>
            <w:r w:rsidRPr="004846F9">
              <w:rPr>
                <w:rFonts w:asciiTheme="minorHAnsi" w:hAnsiTheme="minorHAnsi" w:cstheme="minorHAnsi"/>
                <w:sz w:val="24"/>
                <w:szCs w:val="24"/>
              </w:rPr>
              <w:t>Pain Assessment</w:t>
            </w:r>
          </w:p>
          <w:p w:rsidR="00256E3D" w:rsidRPr="004846F9" w:rsidRDefault="00256E3D" w:rsidP="00A51750">
            <w:pPr>
              <w:pStyle w:val="Tabletype4"/>
              <w:spacing w:after="60"/>
              <w:ind w:left="284" w:hanging="284"/>
              <w:rPr>
                <w:rFonts w:asciiTheme="minorHAnsi" w:hAnsiTheme="minorHAnsi" w:cstheme="minorHAnsi"/>
                <w:sz w:val="24"/>
                <w:szCs w:val="24"/>
              </w:rPr>
            </w:pPr>
            <w:r w:rsidRPr="004846F9">
              <w:rPr>
                <w:rFonts w:cstheme="minorHAnsi"/>
                <w:szCs w:val="24"/>
              </w:rPr>
              <w:sym w:font="Wingdings" w:char="F06F"/>
            </w:r>
            <w:r>
              <w:rPr>
                <w:rFonts w:cstheme="minorHAnsi"/>
                <w:szCs w:val="24"/>
              </w:rPr>
              <w:t xml:space="preserve"> </w:t>
            </w:r>
            <w:r>
              <w:rPr>
                <w:rFonts w:asciiTheme="minorHAnsi" w:hAnsiTheme="minorHAnsi" w:cstheme="minorHAnsi"/>
                <w:sz w:val="24"/>
                <w:szCs w:val="24"/>
              </w:rPr>
              <w:t>Other</w:t>
            </w:r>
            <w:r w:rsidRPr="004846F9">
              <w:rPr>
                <w:rFonts w:asciiTheme="minorHAnsi" w:hAnsiTheme="minorHAnsi" w:cstheme="minorHAnsi"/>
                <w:sz w:val="24"/>
                <w:szCs w:val="24"/>
              </w:rPr>
              <w:t xml:space="preserve"> Assessment</w:t>
            </w:r>
          </w:p>
          <w:p w:rsidR="00256E3D" w:rsidRPr="004846F9" w:rsidRDefault="00256E3D" w:rsidP="00A51750">
            <w:pPr>
              <w:pStyle w:val="Tabletype4"/>
              <w:spacing w:after="60"/>
              <w:ind w:left="284" w:hanging="284"/>
              <w:rPr>
                <w:rFonts w:asciiTheme="minorHAnsi" w:hAnsiTheme="minorHAnsi" w:cstheme="minorHAnsi"/>
                <w:sz w:val="24"/>
                <w:szCs w:val="24"/>
              </w:rPr>
            </w:pPr>
            <w:r w:rsidRPr="004846F9">
              <w:rPr>
                <w:rFonts w:cstheme="minorHAnsi"/>
                <w:szCs w:val="24"/>
              </w:rPr>
              <w:sym w:font="Wingdings" w:char="F06F"/>
            </w:r>
            <w:r>
              <w:rPr>
                <w:rFonts w:cstheme="minorHAnsi"/>
                <w:szCs w:val="24"/>
              </w:rPr>
              <w:t xml:space="preserve"> </w:t>
            </w:r>
            <w:r w:rsidRPr="004846F9">
              <w:rPr>
                <w:rFonts w:asciiTheme="minorHAnsi" w:hAnsiTheme="minorHAnsi" w:cstheme="minorHAnsi"/>
                <w:sz w:val="24"/>
                <w:szCs w:val="24"/>
              </w:rPr>
              <w:t>Directive</w:t>
            </w:r>
          </w:p>
          <w:p w:rsidR="00256E3D" w:rsidRDefault="00256E3D" w:rsidP="00A51750">
            <w:pPr>
              <w:pStyle w:val="Tabletype4"/>
              <w:spacing w:after="60"/>
              <w:ind w:left="284" w:hanging="284"/>
              <w:rPr>
                <w:rFonts w:asciiTheme="minorHAnsi" w:hAnsiTheme="minorHAnsi" w:cstheme="minorHAnsi"/>
                <w:sz w:val="24"/>
                <w:szCs w:val="24"/>
              </w:rPr>
            </w:pPr>
            <w:r w:rsidRPr="004846F9">
              <w:rPr>
                <w:rFonts w:cstheme="minorHAnsi"/>
                <w:szCs w:val="24"/>
              </w:rPr>
              <w:sym w:font="Wingdings" w:char="F06F"/>
            </w:r>
            <w:r>
              <w:rPr>
                <w:rFonts w:cstheme="minorHAnsi"/>
                <w:szCs w:val="24"/>
              </w:rPr>
              <w:t xml:space="preserve"> </w:t>
            </w:r>
            <w:r w:rsidRPr="004846F9">
              <w:rPr>
                <w:rFonts w:asciiTheme="minorHAnsi" w:hAnsiTheme="minorHAnsi" w:cstheme="minorHAnsi"/>
                <w:sz w:val="24"/>
                <w:szCs w:val="24"/>
              </w:rPr>
              <w:t>Records of Treatment</w:t>
            </w:r>
          </w:p>
          <w:p w:rsidR="00256E3D" w:rsidRPr="004846F9" w:rsidRDefault="00256E3D" w:rsidP="00A51750">
            <w:pPr>
              <w:pStyle w:val="Tabletype4"/>
              <w:spacing w:after="60"/>
              <w:ind w:left="284" w:hanging="284"/>
              <w:rPr>
                <w:rFonts w:asciiTheme="minorHAnsi" w:hAnsiTheme="minorHAnsi" w:cstheme="minorHAnsi"/>
                <w:sz w:val="24"/>
                <w:szCs w:val="24"/>
              </w:rPr>
            </w:pPr>
            <w:r w:rsidRPr="00BA7728">
              <w:rPr>
                <w:rFonts w:cstheme="minorHAnsi"/>
                <w:szCs w:val="24"/>
              </w:rPr>
              <w:sym w:font="Wingdings" w:char="F06F"/>
            </w:r>
            <w:r w:rsidRPr="00BA7728">
              <w:rPr>
                <w:rFonts w:cstheme="minorHAnsi"/>
                <w:szCs w:val="24"/>
              </w:rPr>
              <w:t xml:space="preserve"> </w:t>
            </w:r>
            <w:r w:rsidRPr="00BA7728">
              <w:rPr>
                <w:rFonts w:asciiTheme="minorHAnsi" w:hAnsiTheme="minorHAnsi" w:cstheme="minorHAnsi"/>
                <w:sz w:val="24"/>
                <w:szCs w:val="24"/>
              </w:rPr>
              <w:t>Regular Evaluations</w:t>
            </w:r>
          </w:p>
        </w:tc>
        <w:tc>
          <w:tcPr>
            <w:tcW w:w="1270" w:type="dxa"/>
          </w:tcPr>
          <w:p w:rsidR="00256E3D" w:rsidRPr="004846F9" w:rsidRDefault="00256E3D" w:rsidP="00A51750">
            <w:pPr>
              <w:jc w:val="center"/>
              <w:rPr>
                <w:rFonts w:cstheme="minorHAnsi"/>
                <w:szCs w:val="24"/>
              </w:rPr>
            </w:pPr>
            <w:r w:rsidRPr="004846F9">
              <w:rPr>
                <w:rFonts w:cstheme="minorHAnsi"/>
                <w:szCs w:val="24"/>
              </w:rPr>
              <w:sym w:font="Wingdings" w:char="F06F"/>
            </w:r>
            <w:r w:rsidRPr="004846F9">
              <w:rPr>
                <w:rFonts w:cstheme="minorHAnsi"/>
                <w:szCs w:val="24"/>
              </w:rPr>
              <w:t xml:space="preserve"> 2</w:t>
            </w:r>
          </w:p>
        </w:tc>
      </w:tr>
    </w:tbl>
    <w:p w:rsidR="00D27730" w:rsidRDefault="00D27730" w:rsidP="005E0BCA">
      <w:pPr>
        <w:pStyle w:val="Heading2-Chapter7"/>
      </w:pPr>
      <w:bookmarkStart w:id="502" w:name="_Toc491426056"/>
      <w:r w:rsidRPr="004F0B19">
        <w:t xml:space="preserve">The R-ACFI Therapy Program </w:t>
      </w:r>
      <w:r w:rsidR="0082453C" w:rsidRPr="004F0B19">
        <w:t>–</w:t>
      </w:r>
      <w:r w:rsidRPr="004F0B19">
        <w:t xml:space="preserve"> </w:t>
      </w:r>
      <w:r w:rsidR="003815E5">
        <w:t>Snapshot</w:t>
      </w:r>
      <w:bookmarkEnd w:id="502"/>
    </w:p>
    <w:p w:rsidR="00980F62" w:rsidRDefault="003815E5" w:rsidP="00386655">
      <w:r w:rsidRPr="000E1A10">
        <w:t xml:space="preserve">The </w:t>
      </w:r>
      <w:r w:rsidR="004D62A0" w:rsidRPr="000E1A10">
        <w:t>recommended Therapy P</w:t>
      </w:r>
      <w:r w:rsidRPr="000E1A10">
        <w:t xml:space="preserve">rogram </w:t>
      </w:r>
      <w:r w:rsidR="004D62A0" w:rsidRPr="000E1A10">
        <w:t>is</w:t>
      </w:r>
      <w:r w:rsidRPr="000E1A10">
        <w:t xml:space="preserve"> summarised </w:t>
      </w:r>
      <w:r w:rsidR="004D62A0" w:rsidRPr="000E1A10">
        <w:t xml:space="preserve">in </w:t>
      </w:r>
      <w:r w:rsidRPr="000E1A10">
        <w:t>“A</w:t>
      </w:r>
      <w:r w:rsidR="004D62A0" w:rsidRPr="000E1A10">
        <w:t>t a G</w:t>
      </w:r>
      <w:r w:rsidRPr="000E1A10">
        <w:t>lance” format below.</w:t>
      </w:r>
    </w:p>
    <w:p w:rsidR="006126D6" w:rsidRDefault="006126D6" w:rsidP="006126D6">
      <w:pPr>
        <w:pStyle w:val="Caption"/>
        <w:keepNext/>
        <w:spacing w:before="120"/>
      </w:pPr>
      <w:bookmarkStart w:id="503" w:name="_Toc495416353"/>
      <w:r>
        <w:t>Table 7.</w:t>
      </w:r>
      <w:r w:rsidR="009A3F5A">
        <w:fldChar w:fldCharType="begin"/>
      </w:r>
      <w:r w:rsidR="009A3F5A">
        <w:instrText xml:space="preserve"> SEQ Table_7. \* ARABIC </w:instrText>
      </w:r>
      <w:r w:rsidR="009A3F5A">
        <w:fldChar w:fldCharType="separate"/>
      </w:r>
      <w:r w:rsidR="00856E49">
        <w:rPr>
          <w:noProof/>
        </w:rPr>
        <w:t>4</w:t>
      </w:r>
      <w:r w:rsidR="009A3F5A">
        <w:rPr>
          <w:noProof/>
        </w:rPr>
        <w:fldChar w:fldCharType="end"/>
      </w:r>
      <w:r>
        <w:t xml:space="preserve">: The </w:t>
      </w:r>
      <w:r w:rsidRPr="006126D6">
        <w:t>Therapy Program “At a Glance”</w:t>
      </w:r>
      <w:bookmarkEnd w:id="503"/>
    </w:p>
    <w:tbl>
      <w:tblPr>
        <w:tblStyle w:val="TableGrid"/>
        <w:tblW w:w="9356"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able 7.4 is a list of details summarising the elements for the proposed therapy program under the revised aged care funding instrument (R-ACFI). This table is to be read left to right, top to bottom."/>
      </w:tblPr>
      <w:tblGrid>
        <w:gridCol w:w="2410"/>
        <w:gridCol w:w="6946"/>
      </w:tblGrid>
      <w:tr w:rsidR="00386655" w:rsidRPr="00CF531F" w:rsidTr="00CF531F">
        <w:trPr>
          <w:cantSplit/>
          <w:tblHeader/>
        </w:trPr>
        <w:tc>
          <w:tcPr>
            <w:tcW w:w="2410" w:type="dxa"/>
            <w:shd w:val="clear" w:color="auto" w:fill="5B9BD5" w:themeFill="accent5"/>
          </w:tcPr>
          <w:p w:rsidR="00386655" w:rsidRPr="00CF531F" w:rsidRDefault="00386655" w:rsidP="00CF531F">
            <w:pPr>
              <w:spacing w:before="60" w:after="60"/>
              <w:rPr>
                <w:rFonts w:cstheme="minorHAnsi"/>
                <w:b/>
                <w:color w:val="FFFFFF" w:themeColor="background1"/>
                <w:szCs w:val="24"/>
              </w:rPr>
            </w:pPr>
            <w:r w:rsidRPr="00CF531F">
              <w:rPr>
                <w:rFonts w:cstheme="minorHAnsi"/>
                <w:b/>
                <w:color w:val="FFFFFF" w:themeColor="background1"/>
                <w:szCs w:val="24"/>
              </w:rPr>
              <w:t>Program Element</w:t>
            </w:r>
          </w:p>
        </w:tc>
        <w:tc>
          <w:tcPr>
            <w:tcW w:w="6946" w:type="dxa"/>
            <w:shd w:val="clear" w:color="auto" w:fill="5B9BD5" w:themeFill="accent5"/>
          </w:tcPr>
          <w:p w:rsidR="00386655" w:rsidRPr="00CF531F" w:rsidRDefault="00386655" w:rsidP="00CF531F">
            <w:pPr>
              <w:spacing w:before="60" w:after="60"/>
              <w:rPr>
                <w:rFonts w:cstheme="minorHAnsi"/>
                <w:b/>
                <w:color w:val="FFFFFF" w:themeColor="background1"/>
                <w:szCs w:val="24"/>
              </w:rPr>
            </w:pPr>
            <w:r w:rsidRPr="00CF531F">
              <w:rPr>
                <w:rFonts w:cstheme="minorHAnsi"/>
                <w:b/>
                <w:color w:val="FFFFFF" w:themeColor="background1"/>
                <w:szCs w:val="24"/>
              </w:rPr>
              <w:t>Details</w:t>
            </w:r>
          </w:p>
        </w:tc>
      </w:tr>
      <w:tr w:rsidR="00386655" w:rsidRPr="00933A37" w:rsidTr="00CF531F">
        <w:trPr>
          <w:cantSplit/>
        </w:trPr>
        <w:tc>
          <w:tcPr>
            <w:tcW w:w="2410" w:type="dxa"/>
          </w:tcPr>
          <w:p w:rsidR="00386655" w:rsidRPr="00933A37" w:rsidRDefault="00386655" w:rsidP="005969C7">
            <w:pPr>
              <w:jc w:val="left"/>
              <w:rPr>
                <w:rFonts w:cstheme="minorHAnsi"/>
                <w:b/>
                <w:szCs w:val="24"/>
              </w:rPr>
            </w:pPr>
            <w:r w:rsidRPr="00933A37">
              <w:rPr>
                <w:rFonts w:cstheme="minorHAnsi"/>
                <w:b/>
                <w:szCs w:val="24"/>
              </w:rPr>
              <w:t>Process</w:t>
            </w:r>
          </w:p>
        </w:tc>
        <w:tc>
          <w:tcPr>
            <w:tcW w:w="6946" w:type="dxa"/>
          </w:tcPr>
          <w:p w:rsidR="00386655" w:rsidRPr="00933A37" w:rsidRDefault="00386655" w:rsidP="00F02312">
            <w:pPr>
              <w:pStyle w:val="ListParagraph"/>
              <w:numPr>
                <w:ilvl w:val="2"/>
                <w:numId w:val="169"/>
              </w:numPr>
              <w:ind w:left="357" w:hanging="357"/>
              <w:jc w:val="left"/>
              <w:rPr>
                <w:rFonts w:cstheme="minorHAnsi"/>
                <w:szCs w:val="24"/>
              </w:rPr>
            </w:pPr>
            <w:r w:rsidRPr="00933A37">
              <w:rPr>
                <w:rFonts w:cstheme="minorHAnsi"/>
                <w:szCs w:val="24"/>
              </w:rPr>
              <w:t>Resident/family/advocate collaboration</w:t>
            </w:r>
          </w:p>
          <w:p w:rsidR="00980F62" w:rsidRDefault="00386655" w:rsidP="00F02312">
            <w:pPr>
              <w:pStyle w:val="ListParagraph"/>
              <w:numPr>
                <w:ilvl w:val="2"/>
                <w:numId w:val="169"/>
              </w:numPr>
              <w:ind w:left="357" w:hanging="357"/>
              <w:jc w:val="left"/>
              <w:rPr>
                <w:rFonts w:cstheme="minorHAnsi"/>
                <w:szCs w:val="24"/>
              </w:rPr>
            </w:pPr>
            <w:r w:rsidRPr="00933A37">
              <w:rPr>
                <w:rFonts w:cstheme="minorHAnsi"/>
                <w:szCs w:val="24"/>
              </w:rPr>
              <w:t>Assessment of need</w:t>
            </w:r>
          </w:p>
          <w:p w:rsidR="00980F62" w:rsidRDefault="00386655" w:rsidP="00F02312">
            <w:pPr>
              <w:pStyle w:val="ListParagraph"/>
              <w:numPr>
                <w:ilvl w:val="2"/>
                <w:numId w:val="169"/>
              </w:numPr>
              <w:ind w:left="357" w:hanging="357"/>
              <w:jc w:val="left"/>
              <w:rPr>
                <w:rFonts w:cstheme="minorHAnsi"/>
                <w:szCs w:val="24"/>
              </w:rPr>
            </w:pPr>
            <w:r w:rsidRPr="00933A37">
              <w:rPr>
                <w:rFonts w:cstheme="minorHAnsi"/>
                <w:szCs w:val="24"/>
              </w:rPr>
              <w:t>Therapy Care Plan development</w:t>
            </w:r>
          </w:p>
          <w:p w:rsidR="00386655" w:rsidRPr="00933A37" w:rsidRDefault="00386655" w:rsidP="00F02312">
            <w:pPr>
              <w:pStyle w:val="ListParagraph"/>
              <w:numPr>
                <w:ilvl w:val="2"/>
                <w:numId w:val="169"/>
              </w:numPr>
              <w:ind w:left="357" w:hanging="357"/>
              <w:jc w:val="left"/>
              <w:rPr>
                <w:rFonts w:cstheme="minorHAnsi"/>
                <w:szCs w:val="24"/>
              </w:rPr>
            </w:pPr>
            <w:r w:rsidRPr="00933A37">
              <w:rPr>
                <w:rFonts w:cstheme="minorHAnsi"/>
                <w:szCs w:val="24"/>
              </w:rPr>
              <w:t>Therapy Program implementation</w:t>
            </w:r>
          </w:p>
          <w:p w:rsidR="005969C7" w:rsidRPr="00933A37" w:rsidRDefault="00386655" w:rsidP="00F02312">
            <w:pPr>
              <w:pStyle w:val="ListParagraph"/>
              <w:numPr>
                <w:ilvl w:val="2"/>
                <w:numId w:val="169"/>
              </w:numPr>
              <w:ind w:left="357" w:hanging="357"/>
              <w:jc w:val="left"/>
              <w:rPr>
                <w:rFonts w:cstheme="minorHAnsi"/>
                <w:szCs w:val="24"/>
              </w:rPr>
            </w:pPr>
            <w:r w:rsidRPr="00933A37">
              <w:rPr>
                <w:rFonts w:cstheme="minorHAnsi"/>
                <w:szCs w:val="24"/>
              </w:rPr>
              <w:t>Three monthly evaluation</w:t>
            </w:r>
          </w:p>
          <w:p w:rsidR="00386655" w:rsidRPr="00933A37" w:rsidRDefault="003815E5" w:rsidP="0064509F">
            <w:pPr>
              <w:pStyle w:val="ListParagraph"/>
              <w:numPr>
                <w:ilvl w:val="2"/>
                <w:numId w:val="169"/>
              </w:numPr>
              <w:spacing w:after="60"/>
              <w:ind w:left="357" w:hanging="357"/>
              <w:jc w:val="left"/>
              <w:rPr>
                <w:rFonts w:cstheme="minorHAnsi"/>
                <w:szCs w:val="24"/>
              </w:rPr>
            </w:pPr>
            <w:r w:rsidRPr="00933A37">
              <w:rPr>
                <w:szCs w:val="24"/>
              </w:rPr>
              <w:t>Application for f</w:t>
            </w:r>
            <w:r w:rsidRPr="00933A37">
              <w:rPr>
                <w:rFonts w:cstheme="minorHAnsi"/>
                <w:szCs w:val="24"/>
              </w:rPr>
              <w:t>unding follows usual R-ACFI appraisal rules &amp; timeframes</w:t>
            </w:r>
          </w:p>
        </w:tc>
      </w:tr>
      <w:tr w:rsidR="00386655" w:rsidRPr="00933A37" w:rsidTr="00CF531F">
        <w:trPr>
          <w:cantSplit/>
        </w:trPr>
        <w:tc>
          <w:tcPr>
            <w:tcW w:w="2410" w:type="dxa"/>
          </w:tcPr>
          <w:p w:rsidR="00386655" w:rsidRPr="00933A37" w:rsidRDefault="00386655" w:rsidP="005969C7">
            <w:pPr>
              <w:jc w:val="left"/>
              <w:rPr>
                <w:rFonts w:cstheme="minorHAnsi"/>
                <w:szCs w:val="24"/>
              </w:rPr>
            </w:pPr>
            <w:r w:rsidRPr="00933A37">
              <w:rPr>
                <w:rFonts w:cstheme="minorHAnsi"/>
                <w:b/>
                <w:bCs/>
                <w:szCs w:val="24"/>
              </w:rPr>
              <w:t>Assessments for the physical therapy program</w:t>
            </w:r>
          </w:p>
        </w:tc>
        <w:tc>
          <w:tcPr>
            <w:tcW w:w="6946" w:type="dxa"/>
          </w:tcPr>
          <w:p w:rsidR="00386655" w:rsidRPr="00933A37" w:rsidRDefault="00386655" w:rsidP="004A181C">
            <w:pPr>
              <w:jc w:val="left"/>
              <w:rPr>
                <w:rFonts w:cstheme="minorHAnsi"/>
                <w:szCs w:val="24"/>
              </w:rPr>
            </w:pPr>
            <w:r w:rsidRPr="00933A37">
              <w:rPr>
                <w:rFonts w:cstheme="minorHAnsi"/>
                <w:szCs w:val="24"/>
              </w:rPr>
              <w:t>Evidence-based assessments must be used that produce measurable objective outcomes.</w:t>
            </w:r>
          </w:p>
          <w:p w:rsidR="00980F62" w:rsidRDefault="00386655" w:rsidP="004A181C">
            <w:pPr>
              <w:jc w:val="left"/>
              <w:rPr>
                <w:rFonts w:cstheme="minorHAnsi"/>
                <w:szCs w:val="24"/>
              </w:rPr>
            </w:pPr>
            <w:r w:rsidRPr="00933A37">
              <w:rPr>
                <w:rFonts w:cstheme="minorHAnsi"/>
                <w:szCs w:val="24"/>
              </w:rPr>
              <w:t>Recommendation</w:t>
            </w:r>
            <w:r w:rsidR="00EA68B2" w:rsidRPr="00933A37">
              <w:rPr>
                <w:rFonts w:cstheme="minorHAnsi"/>
                <w:szCs w:val="24"/>
              </w:rPr>
              <w:t xml:space="preserve">s have been made </w:t>
            </w:r>
            <w:r w:rsidRPr="00933A37">
              <w:rPr>
                <w:rFonts w:cstheme="minorHAnsi"/>
                <w:szCs w:val="24"/>
              </w:rPr>
              <w:t>for</w:t>
            </w:r>
          </w:p>
          <w:p w:rsidR="00386655" w:rsidRPr="00933A37" w:rsidRDefault="00386655" w:rsidP="00F02312">
            <w:pPr>
              <w:pStyle w:val="ListParagraph"/>
              <w:numPr>
                <w:ilvl w:val="0"/>
                <w:numId w:val="130"/>
              </w:numPr>
              <w:ind w:left="431" w:hanging="425"/>
              <w:jc w:val="left"/>
              <w:rPr>
                <w:rFonts w:cstheme="minorHAnsi"/>
                <w:szCs w:val="24"/>
              </w:rPr>
            </w:pPr>
            <w:r w:rsidRPr="00933A37">
              <w:rPr>
                <w:rFonts w:cstheme="minorHAnsi"/>
                <w:szCs w:val="24"/>
              </w:rPr>
              <w:t>functional assessment</w:t>
            </w:r>
            <w:r w:rsidR="007C62E4" w:rsidRPr="00933A37">
              <w:rPr>
                <w:rFonts w:cstheme="minorHAnsi"/>
                <w:szCs w:val="24"/>
              </w:rPr>
              <w:t>s</w:t>
            </w:r>
            <w:r w:rsidRPr="00933A37">
              <w:rPr>
                <w:rFonts w:cstheme="minorHAnsi"/>
                <w:szCs w:val="24"/>
              </w:rPr>
              <w:t xml:space="preserve"> </w:t>
            </w:r>
            <w:r w:rsidR="007C62E4" w:rsidRPr="00933A37">
              <w:rPr>
                <w:rFonts w:cstheme="minorHAnsi"/>
                <w:szCs w:val="24"/>
              </w:rPr>
              <w:t xml:space="preserve">(PMS, MMT, BBS, Boomer and </w:t>
            </w:r>
            <w:r w:rsidRPr="00933A37">
              <w:rPr>
                <w:rFonts w:cstheme="minorHAnsi"/>
                <w:szCs w:val="24"/>
              </w:rPr>
              <w:t>Short Physical Performance Battery</w:t>
            </w:r>
            <w:r w:rsidR="007C62E4" w:rsidRPr="00933A37">
              <w:rPr>
                <w:rFonts w:cstheme="minorHAnsi"/>
                <w:szCs w:val="24"/>
              </w:rPr>
              <w:t>)</w:t>
            </w:r>
            <w:r w:rsidR="0017409A" w:rsidRPr="00933A37">
              <w:rPr>
                <w:rFonts w:cstheme="minorHAnsi"/>
                <w:szCs w:val="24"/>
              </w:rPr>
              <w:t>;</w:t>
            </w:r>
            <w:r w:rsidRPr="00933A37">
              <w:rPr>
                <w:rFonts w:cstheme="minorHAnsi"/>
                <w:szCs w:val="24"/>
              </w:rPr>
              <w:t xml:space="preserve"> </w:t>
            </w:r>
            <w:r w:rsidR="007C62E4" w:rsidRPr="00933A37">
              <w:rPr>
                <w:rFonts w:cstheme="minorHAnsi"/>
                <w:szCs w:val="24"/>
              </w:rPr>
              <w:t>and</w:t>
            </w:r>
          </w:p>
          <w:p w:rsidR="007C62E4" w:rsidRPr="00933A37" w:rsidRDefault="007C62E4" w:rsidP="0064509F">
            <w:pPr>
              <w:pStyle w:val="ListParagraph"/>
              <w:numPr>
                <w:ilvl w:val="0"/>
                <w:numId w:val="130"/>
              </w:numPr>
              <w:spacing w:after="60"/>
              <w:ind w:left="431" w:hanging="425"/>
              <w:jc w:val="left"/>
              <w:rPr>
                <w:rFonts w:cstheme="minorHAnsi"/>
                <w:szCs w:val="24"/>
              </w:rPr>
            </w:pPr>
            <w:r w:rsidRPr="00933A37">
              <w:rPr>
                <w:rFonts w:cstheme="minorHAnsi"/>
                <w:szCs w:val="24"/>
              </w:rPr>
              <w:t>pain assessments (M-RVBIP, PAINAD, ABBEY Pain scale, uni-dimensional pain intensity tools)</w:t>
            </w:r>
          </w:p>
        </w:tc>
      </w:tr>
      <w:tr w:rsidR="00386655" w:rsidRPr="00933A37" w:rsidTr="00CF531F">
        <w:trPr>
          <w:cantSplit/>
        </w:trPr>
        <w:tc>
          <w:tcPr>
            <w:tcW w:w="2410" w:type="dxa"/>
          </w:tcPr>
          <w:p w:rsidR="00386655" w:rsidRPr="00933A37" w:rsidRDefault="00386655" w:rsidP="005969C7">
            <w:pPr>
              <w:jc w:val="left"/>
              <w:rPr>
                <w:rFonts w:cstheme="minorHAnsi"/>
                <w:szCs w:val="24"/>
              </w:rPr>
            </w:pPr>
            <w:r w:rsidRPr="00933A37">
              <w:rPr>
                <w:rFonts w:cstheme="minorHAnsi"/>
                <w:b/>
                <w:bCs/>
                <w:szCs w:val="24"/>
              </w:rPr>
              <w:t>Who can do assessments for the physical therapy program?</w:t>
            </w:r>
          </w:p>
        </w:tc>
        <w:tc>
          <w:tcPr>
            <w:tcW w:w="6946" w:type="dxa"/>
          </w:tcPr>
          <w:p w:rsidR="00980F62" w:rsidRDefault="003815E5" w:rsidP="004A181C">
            <w:pPr>
              <w:jc w:val="left"/>
              <w:rPr>
                <w:rFonts w:cstheme="minorHAnsi"/>
                <w:szCs w:val="24"/>
              </w:rPr>
            </w:pPr>
            <w:r w:rsidRPr="00933A37">
              <w:rPr>
                <w:rFonts w:cstheme="minorHAnsi"/>
                <w:szCs w:val="24"/>
              </w:rPr>
              <w:t>R-</w:t>
            </w:r>
            <w:r w:rsidR="00386655" w:rsidRPr="00933A37">
              <w:rPr>
                <w:rFonts w:cstheme="minorHAnsi"/>
                <w:szCs w:val="24"/>
              </w:rPr>
              <w:t>ACFI User Guide</w:t>
            </w:r>
          </w:p>
          <w:p w:rsidR="00386655" w:rsidRPr="00933A37" w:rsidRDefault="00386655" w:rsidP="00F02312">
            <w:pPr>
              <w:pStyle w:val="ListParagraph"/>
              <w:numPr>
                <w:ilvl w:val="0"/>
                <w:numId w:val="121"/>
              </w:numPr>
              <w:ind w:left="357" w:hanging="357"/>
              <w:jc w:val="left"/>
              <w:rPr>
                <w:rFonts w:cstheme="minorHAnsi"/>
                <w:szCs w:val="24"/>
              </w:rPr>
            </w:pPr>
            <w:r w:rsidRPr="00933A37">
              <w:rPr>
                <w:rFonts w:cstheme="minorHAnsi"/>
                <w:szCs w:val="24"/>
              </w:rPr>
              <w:t>Health Professionals under AHPRA - will include RN, MP, AHP (OT, Physio)</w:t>
            </w:r>
            <w:r w:rsidR="0017409A" w:rsidRPr="00933A37">
              <w:rPr>
                <w:rFonts w:cstheme="minorHAnsi"/>
                <w:szCs w:val="24"/>
              </w:rPr>
              <w:t>.</w:t>
            </w:r>
          </w:p>
          <w:p w:rsidR="00386655" w:rsidRPr="00933A37" w:rsidRDefault="00386655" w:rsidP="0064509F">
            <w:pPr>
              <w:pStyle w:val="ListParagraph"/>
              <w:numPr>
                <w:ilvl w:val="0"/>
                <w:numId w:val="121"/>
              </w:numPr>
              <w:spacing w:after="60"/>
              <w:ind w:left="357" w:hanging="357"/>
              <w:jc w:val="left"/>
              <w:rPr>
                <w:rFonts w:cstheme="minorHAnsi"/>
                <w:szCs w:val="24"/>
              </w:rPr>
            </w:pPr>
            <w:r w:rsidRPr="00933A37">
              <w:rPr>
                <w:rFonts w:cstheme="minorHAnsi"/>
                <w:szCs w:val="24"/>
              </w:rPr>
              <w:t>AHP self-regulated professional body - Dietitian, SP, Exercise Physiologist</w:t>
            </w:r>
            <w:r w:rsidR="0017409A" w:rsidRPr="00933A37">
              <w:rPr>
                <w:rFonts w:cstheme="minorHAnsi"/>
                <w:szCs w:val="24"/>
              </w:rPr>
              <w:t>.</w:t>
            </w:r>
          </w:p>
        </w:tc>
      </w:tr>
      <w:tr w:rsidR="00386655" w:rsidRPr="00933A37" w:rsidTr="00CF531F">
        <w:trPr>
          <w:cantSplit/>
        </w:trPr>
        <w:tc>
          <w:tcPr>
            <w:tcW w:w="2410" w:type="dxa"/>
          </w:tcPr>
          <w:p w:rsidR="00386655" w:rsidRPr="00933A37" w:rsidRDefault="00386655" w:rsidP="005969C7">
            <w:pPr>
              <w:jc w:val="left"/>
              <w:rPr>
                <w:rFonts w:cstheme="minorHAnsi"/>
                <w:b/>
                <w:bCs/>
                <w:szCs w:val="24"/>
              </w:rPr>
            </w:pPr>
            <w:r w:rsidRPr="00933A37">
              <w:rPr>
                <w:rFonts w:cstheme="minorHAnsi"/>
                <w:b/>
                <w:szCs w:val="24"/>
              </w:rPr>
              <w:lastRenderedPageBreak/>
              <w:t>Who will qualify for the Therapy Program?</w:t>
            </w:r>
          </w:p>
        </w:tc>
        <w:tc>
          <w:tcPr>
            <w:tcW w:w="6946" w:type="dxa"/>
          </w:tcPr>
          <w:p w:rsidR="00980F62" w:rsidRDefault="00386655" w:rsidP="004A181C">
            <w:pPr>
              <w:jc w:val="left"/>
              <w:rPr>
                <w:rFonts w:cstheme="minorHAnsi"/>
                <w:szCs w:val="24"/>
              </w:rPr>
            </w:pPr>
            <w:r w:rsidRPr="00933A37">
              <w:rPr>
                <w:rFonts w:cstheme="minorHAnsi"/>
                <w:szCs w:val="24"/>
                <w:lang w:val="en-CA"/>
              </w:rPr>
              <w:t>The Therapy Program will be available for all residents at any level of care need.</w:t>
            </w:r>
            <w:r w:rsidRPr="00933A37">
              <w:rPr>
                <w:rFonts w:cstheme="minorHAnsi"/>
                <w:szCs w:val="24"/>
              </w:rPr>
              <w:t xml:space="preserve"> The only requirements will be that:</w:t>
            </w:r>
          </w:p>
          <w:p w:rsidR="00980F62" w:rsidRDefault="00386655" w:rsidP="00F02312">
            <w:pPr>
              <w:pStyle w:val="ListParagraph"/>
              <w:numPr>
                <w:ilvl w:val="0"/>
                <w:numId w:val="181"/>
              </w:numPr>
              <w:ind w:left="357" w:hanging="357"/>
              <w:jc w:val="left"/>
              <w:rPr>
                <w:rFonts w:cstheme="minorHAnsi"/>
                <w:szCs w:val="24"/>
              </w:rPr>
            </w:pPr>
            <w:r w:rsidRPr="00933A37">
              <w:rPr>
                <w:rFonts w:cstheme="minorHAnsi"/>
                <w:szCs w:val="24"/>
              </w:rPr>
              <w:t>the resident wants to participate in the program on an ongoing basi</w:t>
            </w:r>
            <w:r w:rsidR="004A181C" w:rsidRPr="00933A37">
              <w:rPr>
                <w:rFonts w:cstheme="minorHAnsi"/>
                <w:szCs w:val="24"/>
              </w:rPr>
              <w:t>s and it can be delivered;</w:t>
            </w:r>
          </w:p>
          <w:p w:rsidR="00980F62" w:rsidRDefault="00386655" w:rsidP="00F02312">
            <w:pPr>
              <w:pStyle w:val="ListParagraph"/>
              <w:numPr>
                <w:ilvl w:val="0"/>
                <w:numId w:val="181"/>
              </w:numPr>
              <w:ind w:left="357" w:hanging="357"/>
              <w:jc w:val="left"/>
              <w:rPr>
                <w:rFonts w:cstheme="minorHAnsi"/>
                <w:szCs w:val="24"/>
              </w:rPr>
            </w:pPr>
            <w:r w:rsidRPr="00933A37">
              <w:rPr>
                <w:rFonts w:cstheme="minorHAnsi"/>
                <w:szCs w:val="24"/>
              </w:rPr>
              <w:t>it is likely to be beneficial for the resident and the benefits are evaluated and r</w:t>
            </w:r>
            <w:r w:rsidR="003815E5" w:rsidRPr="00933A37">
              <w:rPr>
                <w:rFonts w:cstheme="minorHAnsi"/>
                <w:szCs w:val="24"/>
              </w:rPr>
              <w:t>eported in documentation on a 3-</w:t>
            </w:r>
            <w:r w:rsidR="004A181C" w:rsidRPr="00933A37">
              <w:rPr>
                <w:rFonts w:cstheme="minorHAnsi"/>
                <w:szCs w:val="24"/>
              </w:rPr>
              <w:t>monthly basis; and</w:t>
            </w:r>
          </w:p>
          <w:p w:rsidR="00386655" w:rsidRPr="00933A37" w:rsidRDefault="00386655" w:rsidP="0064509F">
            <w:pPr>
              <w:pStyle w:val="ListParagraph"/>
              <w:numPr>
                <w:ilvl w:val="0"/>
                <w:numId w:val="181"/>
              </w:numPr>
              <w:spacing w:after="60"/>
              <w:ind w:left="357" w:hanging="357"/>
              <w:jc w:val="left"/>
              <w:rPr>
                <w:rFonts w:cstheme="minorHAnsi"/>
                <w:szCs w:val="24"/>
              </w:rPr>
            </w:pPr>
            <w:r w:rsidRPr="00933A37">
              <w:rPr>
                <w:rFonts w:cstheme="minorHAnsi"/>
                <w:szCs w:val="24"/>
              </w:rPr>
              <w:t xml:space="preserve">there is evidence that there is regular multi-disciplinary input into the development and modification of the program. </w:t>
            </w:r>
          </w:p>
        </w:tc>
      </w:tr>
      <w:tr w:rsidR="00386655" w:rsidRPr="00933A37" w:rsidTr="00CF531F">
        <w:trPr>
          <w:cantSplit/>
        </w:trPr>
        <w:tc>
          <w:tcPr>
            <w:tcW w:w="2410" w:type="dxa"/>
          </w:tcPr>
          <w:p w:rsidR="00386655" w:rsidRPr="00933A37" w:rsidRDefault="00386655" w:rsidP="005969C7">
            <w:pPr>
              <w:jc w:val="left"/>
              <w:rPr>
                <w:rFonts w:cstheme="minorHAnsi"/>
                <w:szCs w:val="24"/>
              </w:rPr>
            </w:pPr>
            <w:r w:rsidRPr="00933A37">
              <w:rPr>
                <w:rFonts w:cstheme="minorHAnsi"/>
                <w:b/>
                <w:bCs/>
                <w:szCs w:val="24"/>
              </w:rPr>
              <w:t>How are residents and families included?</w:t>
            </w:r>
          </w:p>
        </w:tc>
        <w:tc>
          <w:tcPr>
            <w:tcW w:w="6946" w:type="dxa"/>
          </w:tcPr>
          <w:p w:rsidR="00386655" w:rsidRPr="00933A37" w:rsidRDefault="00386655" w:rsidP="004A181C">
            <w:pPr>
              <w:jc w:val="left"/>
              <w:rPr>
                <w:rFonts w:cstheme="minorHAnsi"/>
                <w:szCs w:val="24"/>
              </w:rPr>
            </w:pPr>
            <w:r w:rsidRPr="00933A37">
              <w:rPr>
                <w:rFonts w:cstheme="minorHAnsi"/>
                <w:szCs w:val="24"/>
              </w:rPr>
              <w:t>The Therapy Program has a consumer focus included in the design of the therapy care plan, including goals and desired outcomes.</w:t>
            </w:r>
          </w:p>
          <w:p w:rsidR="00386655" w:rsidRPr="00933A37" w:rsidRDefault="00386655" w:rsidP="00F02312">
            <w:pPr>
              <w:pStyle w:val="NoSpacing"/>
              <w:numPr>
                <w:ilvl w:val="0"/>
                <w:numId w:val="112"/>
              </w:numPr>
              <w:tabs>
                <w:tab w:val="left" w:pos="5060"/>
              </w:tabs>
              <w:spacing w:after="120"/>
              <w:ind w:left="357" w:hanging="357"/>
              <w:contextualSpacing/>
              <w:rPr>
                <w:rFonts w:cstheme="minorHAnsi"/>
                <w:szCs w:val="24"/>
              </w:rPr>
            </w:pPr>
            <w:bookmarkStart w:id="504" w:name="_Hlk485234292"/>
            <w:r w:rsidRPr="00933A37">
              <w:rPr>
                <w:rFonts w:cstheme="minorHAnsi"/>
                <w:szCs w:val="24"/>
              </w:rPr>
              <w:t>Consent for program participation from resident/family or advocate</w:t>
            </w:r>
            <w:r w:rsidR="0017409A" w:rsidRPr="00933A37">
              <w:rPr>
                <w:rFonts w:cstheme="minorHAnsi"/>
                <w:szCs w:val="24"/>
              </w:rPr>
              <w:t>.</w:t>
            </w:r>
          </w:p>
          <w:p w:rsidR="00386655" w:rsidRPr="00933A37" w:rsidRDefault="00386655" w:rsidP="00F02312">
            <w:pPr>
              <w:pStyle w:val="NoSpacing"/>
              <w:numPr>
                <w:ilvl w:val="0"/>
                <w:numId w:val="112"/>
              </w:numPr>
              <w:tabs>
                <w:tab w:val="left" w:pos="5060"/>
              </w:tabs>
              <w:spacing w:after="120"/>
              <w:ind w:left="357" w:hanging="357"/>
              <w:contextualSpacing/>
              <w:rPr>
                <w:rFonts w:cstheme="minorHAnsi"/>
                <w:szCs w:val="24"/>
              </w:rPr>
            </w:pPr>
            <w:r w:rsidRPr="00933A37">
              <w:rPr>
                <w:rFonts w:cstheme="minorHAnsi"/>
                <w:szCs w:val="24"/>
              </w:rPr>
              <w:t>Selection of program options</w:t>
            </w:r>
            <w:r w:rsidR="0017409A" w:rsidRPr="00933A37">
              <w:rPr>
                <w:rFonts w:cstheme="minorHAnsi"/>
                <w:szCs w:val="24"/>
              </w:rPr>
              <w:t>.</w:t>
            </w:r>
          </w:p>
          <w:p w:rsidR="00980F62" w:rsidRDefault="00386655" w:rsidP="00F02312">
            <w:pPr>
              <w:pStyle w:val="NoSpacing"/>
              <w:numPr>
                <w:ilvl w:val="0"/>
                <w:numId w:val="112"/>
              </w:numPr>
              <w:tabs>
                <w:tab w:val="left" w:pos="5060"/>
              </w:tabs>
              <w:spacing w:after="120"/>
              <w:ind w:left="357" w:hanging="357"/>
              <w:contextualSpacing/>
              <w:rPr>
                <w:rFonts w:cstheme="minorHAnsi"/>
                <w:szCs w:val="24"/>
              </w:rPr>
            </w:pPr>
            <w:r w:rsidRPr="00933A37">
              <w:rPr>
                <w:rFonts w:cstheme="minorHAnsi"/>
                <w:szCs w:val="24"/>
              </w:rPr>
              <w:t>Design of resident focussed goals</w:t>
            </w:r>
            <w:r w:rsidR="0017409A" w:rsidRPr="00933A37">
              <w:rPr>
                <w:rFonts w:cstheme="minorHAnsi"/>
                <w:szCs w:val="24"/>
              </w:rPr>
              <w:t>.</w:t>
            </w:r>
            <w:bookmarkEnd w:id="504"/>
          </w:p>
          <w:p w:rsidR="00386655" w:rsidRPr="00933A37" w:rsidRDefault="00386655" w:rsidP="00F02312">
            <w:pPr>
              <w:pStyle w:val="NoSpacing"/>
              <w:numPr>
                <w:ilvl w:val="0"/>
                <w:numId w:val="112"/>
              </w:numPr>
              <w:tabs>
                <w:tab w:val="left" w:pos="5060"/>
              </w:tabs>
              <w:spacing w:after="120"/>
              <w:ind w:left="357" w:hanging="357"/>
              <w:contextualSpacing/>
              <w:rPr>
                <w:rFonts w:cstheme="minorHAnsi"/>
                <w:szCs w:val="24"/>
              </w:rPr>
            </w:pPr>
            <w:r w:rsidRPr="00933A37">
              <w:rPr>
                <w:rFonts w:cstheme="minorHAnsi"/>
                <w:szCs w:val="24"/>
              </w:rPr>
              <w:t>Sign off on Therapy Care Plan</w:t>
            </w:r>
            <w:r w:rsidR="0017409A" w:rsidRPr="00933A37">
              <w:rPr>
                <w:rFonts w:cstheme="minorHAnsi"/>
                <w:szCs w:val="24"/>
              </w:rPr>
              <w:t>.</w:t>
            </w:r>
          </w:p>
          <w:p w:rsidR="00386655" w:rsidRPr="00933A37" w:rsidRDefault="00386655" w:rsidP="00F02312">
            <w:pPr>
              <w:pStyle w:val="NoSpacing"/>
              <w:numPr>
                <w:ilvl w:val="0"/>
                <w:numId w:val="112"/>
              </w:numPr>
              <w:tabs>
                <w:tab w:val="left" w:pos="5060"/>
              </w:tabs>
              <w:spacing w:after="120"/>
              <w:ind w:left="357" w:hanging="357"/>
              <w:contextualSpacing/>
              <w:rPr>
                <w:rFonts w:cstheme="minorHAnsi"/>
                <w:szCs w:val="24"/>
              </w:rPr>
            </w:pPr>
            <w:r w:rsidRPr="00933A37">
              <w:rPr>
                <w:rFonts w:cstheme="minorHAnsi"/>
                <w:szCs w:val="24"/>
              </w:rPr>
              <w:t>Providing feedback for the 3-monthly evaluations.</w:t>
            </w:r>
          </w:p>
          <w:p w:rsidR="00980F62" w:rsidRDefault="00386655" w:rsidP="004A181C">
            <w:pPr>
              <w:jc w:val="left"/>
              <w:rPr>
                <w:rFonts w:cstheme="minorHAnsi"/>
                <w:szCs w:val="24"/>
              </w:rPr>
            </w:pPr>
            <w:r w:rsidRPr="00933A37">
              <w:rPr>
                <w:rFonts w:cstheme="minorHAnsi"/>
                <w:szCs w:val="24"/>
              </w:rPr>
              <w:t>Consideration should be given to the communication method between the therapist and the person consenting i.e. personalised flyers, inviting family to observe a group in action and to talk to the therapist.</w:t>
            </w:r>
          </w:p>
          <w:p w:rsidR="00386655" w:rsidRPr="00933A37" w:rsidRDefault="00386655" w:rsidP="0064509F">
            <w:pPr>
              <w:spacing w:after="60"/>
              <w:jc w:val="left"/>
              <w:rPr>
                <w:rFonts w:cstheme="minorHAnsi"/>
                <w:szCs w:val="24"/>
              </w:rPr>
            </w:pPr>
            <w:r w:rsidRPr="00933A37">
              <w:rPr>
                <w:rFonts w:cstheme="minorHAnsi"/>
                <w:szCs w:val="24"/>
              </w:rPr>
              <w:t>Information to be provided about SMART goals that will assist the therapist to develop consumer identified goals that can be measured and evaluated.</w:t>
            </w:r>
          </w:p>
        </w:tc>
      </w:tr>
      <w:tr w:rsidR="00386655" w:rsidRPr="00933A37" w:rsidTr="00CF531F">
        <w:trPr>
          <w:cantSplit/>
        </w:trPr>
        <w:tc>
          <w:tcPr>
            <w:tcW w:w="2410" w:type="dxa"/>
          </w:tcPr>
          <w:p w:rsidR="00386655" w:rsidRPr="00933A37" w:rsidRDefault="00386655" w:rsidP="005969C7">
            <w:pPr>
              <w:jc w:val="left"/>
              <w:rPr>
                <w:rFonts w:cstheme="minorHAnsi"/>
                <w:szCs w:val="24"/>
              </w:rPr>
            </w:pPr>
            <w:r w:rsidRPr="00933A37">
              <w:rPr>
                <w:rFonts w:cstheme="minorHAnsi"/>
                <w:b/>
                <w:bCs/>
                <w:szCs w:val="24"/>
              </w:rPr>
              <w:t>Who can develop the Therapy care plan?</w:t>
            </w:r>
          </w:p>
        </w:tc>
        <w:tc>
          <w:tcPr>
            <w:tcW w:w="6946" w:type="dxa"/>
          </w:tcPr>
          <w:p w:rsidR="00386655" w:rsidRPr="00933A37" w:rsidRDefault="00386655" w:rsidP="005969C7">
            <w:pPr>
              <w:jc w:val="left"/>
              <w:rPr>
                <w:rFonts w:cstheme="minorHAnsi"/>
                <w:szCs w:val="24"/>
              </w:rPr>
            </w:pPr>
            <w:bookmarkStart w:id="505" w:name="_Hlk485238301"/>
            <w:r w:rsidRPr="00933A37">
              <w:rPr>
                <w:rFonts w:cstheme="minorHAnsi"/>
                <w:szCs w:val="24"/>
              </w:rPr>
              <w:t>The individualised Therapy Care Plan must be developed and documented by the most appropriate AHP from lists in the ACFI User Guide page 38</w:t>
            </w:r>
            <w:r w:rsidR="0017409A" w:rsidRPr="00933A37">
              <w:rPr>
                <w:rFonts w:cstheme="minorHAnsi"/>
                <w:szCs w:val="24"/>
              </w:rPr>
              <w:t>.</w:t>
            </w:r>
          </w:p>
          <w:p w:rsidR="00386655" w:rsidRPr="00933A37" w:rsidRDefault="00386655" w:rsidP="00F02312">
            <w:pPr>
              <w:pStyle w:val="ListParagraph"/>
              <w:numPr>
                <w:ilvl w:val="0"/>
                <w:numId w:val="148"/>
              </w:numPr>
              <w:spacing w:after="200"/>
              <w:ind w:left="357" w:hanging="357"/>
              <w:jc w:val="left"/>
              <w:rPr>
                <w:rFonts w:cstheme="minorHAnsi"/>
                <w:szCs w:val="24"/>
              </w:rPr>
            </w:pPr>
            <w:r w:rsidRPr="00933A37">
              <w:rPr>
                <w:rFonts w:cstheme="minorHAnsi"/>
                <w:szCs w:val="24"/>
              </w:rPr>
              <w:t>Health Professionals under AHPRA - will include AHP (OT, Physio)</w:t>
            </w:r>
            <w:r w:rsidR="0017409A" w:rsidRPr="00933A37">
              <w:rPr>
                <w:rFonts w:cstheme="minorHAnsi"/>
                <w:szCs w:val="24"/>
              </w:rPr>
              <w:t>.</w:t>
            </w:r>
          </w:p>
          <w:p w:rsidR="00386655" w:rsidRPr="00933A37" w:rsidRDefault="00386655" w:rsidP="0064509F">
            <w:pPr>
              <w:pStyle w:val="ListParagraph"/>
              <w:numPr>
                <w:ilvl w:val="0"/>
                <w:numId w:val="148"/>
              </w:numPr>
              <w:spacing w:after="60"/>
              <w:ind w:left="357" w:hanging="357"/>
              <w:jc w:val="left"/>
              <w:rPr>
                <w:rFonts w:cstheme="minorHAnsi"/>
                <w:szCs w:val="24"/>
              </w:rPr>
            </w:pPr>
            <w:r w:rsidRPr="00933A37">
              <w:rPr>
                <w:rFonts w:cstheme="minorHAnsi"/>
                <w:szCs w:val="24"/>
              </w:rPr>
              <w:t>AHP self-regulated professional body - Dietitian, SP, Exercise Physiologist</w:t>
            </w:r>
            <w:r w:rsidR="0017409A" w:rsidRPr="00933A37">
              <w:rPr>
                <w:rFonts w:cstheme="minorHAnsi"/>
                <w:szCs w:val="24"/>
              </w:rPr>
              <w:t>.</w:t>
            </w:r>
            <w:r w:rsidRPr="00933A37">
              <w:rPr>
                <w:rFonts w:cstheme="minorHAnsi"/>
                <w:szCs w:val="24"/>
              </w:rPr>
              <w:t xml:space="preserve"> </w:t>
            </w:r>
            <w:bookmarkEnd w:id="505"/>
          </w:p>
        </w:tc>
      </w:tr>
      <w:tr w:rsidR="00386655" w:rsidRPr="00933A37" w:rsidTr="00CF531F">
        <w:trPr>
          <w:cantSplit/>
        </w:trPr>
        <w:tc>
          <w:tcPr>
            <w:tcW w:w="2410" w:type="dxa"/>
          </w:tcPr>
          <w:p w:rsidR="00386655" w:rsidRPr="00933A37" w:rsidRDefault="00386655" w:rsidP="005969C7">
            <w:pPr>
              <w:jc w:val="left"/>
              <w:rPr>
                <w:rFonts w:cstheme="minorHAnsi"/>
                <w:szCs w:val="24"/>
              </w:rPr>
            </w:pPr>
            <w:r w:rsidRPr="00933A37">
              <w:rPr>
                <w:rFonts w:cstheme="minorHAnsi"/>
                <w:b/>
                <w:szCs w:val="24"/>
              </w:rPr>
              <w:t>Therapy Program Principles</w:t>
            </w:r>
          </w:p>
        </w:tc>
        <w:tc>
          <w:tcPr>
            <w:tcW w:w="6946" w:type="dxa"/>
          </w:tcPr>
          <w:p w:rsidR="00386655" w:rsidRPr="00933A37" w:rsidRDefault="00386655" w:rsidP="00F02312">
            <w:pPr>
              <w:pStyle w:val="NoSpacing"/>
              <w:numPr>
                <w:ilvl w:val="0"/>
                <w:numId w:val="112"/>
              </w:numPr>
              <w:tabs>
                <w:tab w:val="left" w:pos="5060"/>
              </w:tabs>
              <w:spacing w:after="200"/>
              <w:ind w:left="357" w:hanging="357"/>
              <w:contextualSpacing/>
              <w:rPr>
                <w:rFonts w:cstheme="minorHAnsi"/>
                <w:szCs w:val="24"/>
              </w:rPr>
            </w:pPr>
            <w:r w:rsidRPr="00933A37">
              <w:rPr>
                <w:rFonts w:cstheme="minorHAnsi"/>
                <w:szCs w:val="24"/>
              </w:rPr>
              <w:t>Broadening the type of physical therapy interventions to include a general wellness, restorative approach.</w:t>
            </w:r>
          </w:p>
          <w:p w:rsidR="00386655" w:rsidRPr="00933A37" w:rsidRDefault="00386655" w:rsidP="00F02312">
            <w:pPr>
              <w:pStyle w:val="NoSpacing"/>
              <w:numPr>
                <w:ilvl w:val="0"/>
                <w:numId w:val="112"/>
              </w:numPr>
              <w:tabs>
                <w:tab w:val="left" w:pos="5060"/>
              </w:tabs>
              <w:spacing w:after="200"/>
              <w:ind w:left="357" w:hanging="357"/>
              <w:contextualSpacing/>
              <w:rPr>
                <w:rFonts w:cstheme="minorHAnsi"/>
                <w:szCs w:val="24"/>
              </w:rPr>
            </w:pPr>
            <w:r w:rsidRPr="00933A37">
              <w:rPr>
                <w:rFonts w:cstheme="minorHAnsi"/>
                <w:szCs w:val="24"/>
              </w:rPr>
              <w:t>Evidence-based approach.</w:t>
            </w:r>
          </w:p>
          <w:p w:rsidR="00386655" w:rsidRPr="00933A37" w:rsidRDefault="00386655" w:rsidP="00F02312">
            <w:pPr>
              <w:pStyle w:val="NoSpacing"/>
              <w:numPr>
                <w:ilvl w:val="0"/>
                <w:numId w:val="112"/>
              </w:numPr>
              <w:tabs>
                <w:tab w:val="left" w:pos="5060"/>
              </w:tabs>
              <w:spacing w:after="200"/>
              <w:ind w:left="357" w:hanging="357"/>
              <w:contextualSpacing/>
              <w:rPr>
                <w:rFonts w:cstheme="minorHAnsi"/>
                <w:szCs w:val="24"/>
              </w:rPr>
            </w:pPr>
            <w:r w:rsidRPr="00933A37">
              <w:rPr>
                <w:rFonts w:cstheme="minorHAnsi"/>
                <w:szCs w:val="24"/>
              </w:rPr>
              <w:t>Include a wider range of therapeutic inputs from a variety of health professionals.</w:t>
            </w:r>
          </w:p>
          <w:p w:rsidR="00386655" w:rsidRPr="00933A37" w:rsidRDefault="00386655" w:rsidP="00F02312">
            <w:pPr>
              <w:pStyle w:val="NoSpacing"/>
              <w:numPr>
                <w:ilvl w:val="0"/>
                <w:numId w:val="112"/>
              </w:numPr>
              <w:tabs>
                <w:tab w:val="left" w:pos="5060"/>
              </w:tabs>
              <w:spacing w:after="200"/>
              <w:ind w:left="357" w:hanging="357"/>
              <w:contextualSpacing/>
              <w:rPr>
                <w:rFonts w:cstheme="minorHAnsi"/>
                <w:szCs w:val="24"/>
              </w:rPr>
            </w:pPr>
            <w:r w:rsidRPr="00933A37">
              <w:rPr>
                <w:rFonts w:cstheme="minorHAnsi"/>
                <w:szCs w:val="24"/>
              </w:rPr>
              <w:t>Provide an opportunity to directly include the consumer in the choice of options.</w:t>
            </w:r>
          </w:p>
          <w:p w:rsidR="00386655" w:rsidRPr="00933A37" w:rsidRDefault="00386655" w:rsidP="00F02312">
            <w:pPr>
              <w:pStyle w:val="NoSpacing"/>
              <w:numPr>
                <w:ilvl w:val="0"/>
                <w:numId w:val="112"/>
              </w:numPr>
              <w:tabs>
                <w:tab w:val="left" w:pos="5060"/>
              </w:tabs>
              <w:spacing w:after="200"/>
              <w:ind w:left="357" w:hanging="357"/>
              <w:contextualSpacing/>
              <w:rPr>
                <w:rFonts w:cstheme="minorHAnsi"/>
                <w:szCs w:val="24"/>
              </w:rPr>
            </w:pPr>
            <w:r w:rsidRPr="00933A37">
              <w:rPr>
                <w:rFonts w:cstheme="minorHAnsi"/>
                <w:szCs w:val="24"/>
              </w:rPr>
              <w:t>Therapy Program and an Accountability Framework.</w:t>
            </w:r>
          </w:p>
          <w:p w:rsidR="00386655" w:rsidRPr="00933A37" w:rsidRDefault="00386655" w:rsidP="00F02312">
            <w:pPr>
              <w:pStyle w:val="NoSpacing"/>
              <w:numPr>
                <w:ilvl w:val="0"/>
                <w:numId w:val="112"/>
              </w:numPr>
              <w:tabs>
                <w:tab w:val="left" w:pos="5060"/>
              </w:tabs>
              <w:spacing w:after="200"/>
              <w:ind w:left="357" w:hanging="357"/>
              <w:contextualSpacing/>
              <w:rPr>
                <w:rFonts w:cstheme="minorHAnsi"/>
                <w:szCs w:val="24"/>
              </w:rPr>
            </w:pPr>
            <w:r w:rsidRPr="00933A37">
              <w:rPr>
                <w:rFonts w:cstheme="minorHAnsi"/>
                <w:szCs w:val="24"/>
              </w:rPr>
              <w:t>Defining who will qualify for a Therapy Program.</w:t>
            </w:r>
          </w:p>
          <w:p w:rsidR="00386655" w:rsidRPr="00933A37" w:rsidRDefault="00386655" w:rsidP="00F02312">
            <w:pPr>
              <w:pStyle w:val="NoSpacing"/>
              <w:numPr>
                <w:ilvl w:val="0"/>
                <w:numId w:val="112"/>
              </w:numPr>
              <w:tabs>
                <w:tab w:val="left" w:pos="5060"/>
              </w:tabs>
              <w:spacing w:after="200"/>
              <w:ind w:left="357" w:hanging="357"/>
              <w:contextualSpacing/>
              <w:rPr>
                <w:rFonts w:cstheme="minorHAnsi"/>
                <w:szCs w:val="24"/>
              </w:rPr>
            </w:pPr>
            <w:r w:rsidRPr="00933A37">
              <w:rPr>
                <w:rFonts w:cstheme="minorHAnsi"/>
                <w:szCs w:val="24"/>
              </w:rPr>
              <w:t>Funding Options.</w:t>
            </w:r>
          </w:p>
          <w:p w:rsidR="00386655" w:rsidRPr="00933A37" w:rsidRDefault="00386655" w:rsidP="0064509F">
            <w:pPr>
              <w:pStyle w:val="NoSpacing"/>
              <w:numPr>
                <w:ilvl w:val="0"/>
                <w:numId w:val="112"/>
              </w:numPr>
              <w:tabs>
                <w:tab w:val="left" w:pos="5060"/>
              </w:tabs>
              <w:spacing w:after="60"/>
              <w:ind w:left="357" w:hanging="357"/>
              <w:rPr>
                <w:rFonts w:cstheme="minorHAnsi"/>
                <w:szCs w:val="24"/>
              </w:rPr>
            </w:pPr>
            <w:r w:rsidRPr="00933A37">
              <w:rPr>
                <w:rFonts w:cstheme="minorHAnsi"/>
                <w:szCs w:val="24"/>
              </w:rPr>
              <w:t>Specified Care and Services.</w:t>
            </w:r>
          </w:p>
        </w:tc>
      </w:tr>
      <w:tr w:rsidR="00386655" w:rsidRPr="00933A37" w:rsidTr="00CF531F">
        <w:trPr>
          <w:cantSplit/>
        </w:trPr>
        <w:tc>
          <w:tcPr>
            <w:tcW w:w="2410" w:type="dxa"/>
          </w:tcPr>
          <w:p w:rsidR="00386655" w:rsidRPr="00933A37" w:rsidRDefault="00386655" w:rsidP="005969C7">
            <w:pPr>
              <w:jc w:val="left"/>
              <w:rPr>
                <w:rFonts w:cstheme="minorHAnsi"/>
                <w:b/>
                <w:szCs w:val="24"/>
              </w:rPr>
            </w:pPr>
            <w:r w:rsidRPr="00933A37">
              <w:rPr>
                <w:rFonts w:cstheme="minorHAnsi"/>
                <w:b/>
                <w:bCs/>
                <w:szCs w:val="24"/>
              </w:rPr>
              <w:lastRenderedPageBreak/>
              <w:t>How are the sessions to be structured?</w:t>
            </w:r>
          </w:p>
        </w:tc>
        <w:tc>
          <w:tcPr>
            <w:tcW w:w="6946" w:type="dxa"/>
          </w:tcPr>
          <w:p w:rsidR="00386655" w:rsidRPr="00933A37" w:rsidRDefault="00386655" w:rsidP="0064509F">
            <w:pPr>
              <w:spacing w:after="60"/>
              <w:jc w:val="left"/>
              <w:rPr>
                <w:rFonts w:cstheme="minorHAnsi"/>
                <w:szCs w:val="24"/>
              </w:rPr>
            </w:pPr>
            <w:r w:rsidRPr="00933A37">
              <w:rPr>
                <w:rFonts w:cstheme="minorHAnsi"/>
                <w:szCs w:val="24"/>
              </w:rPr>
              <w:t>Feedback supports that it is appropriate to deliver some of the therapies on a one-to-one basis and also in groups (e.g. increased socialisation opportunities, can be safely delivered).</w:t>
            </w:r>
          </w:p>
        </w:tc>
      </w:tr>
      <w:tr w:rsidR="00386655" w:rsidRPr="00933A37" w:rsidTr="00CF531F">
        <w:trPr>
          <w:cantSplit/>
        </w:trPr>
        <w:tc>
          <w:tcPr>
            <w:tcW w:w="2410" w:type="dxa"/>
          </w:tcPr>
          <w:p w:rsidR="00386655" w:rsidRPr="00933A37" w:rsidRDefault="00386655" w:rsidP="005969C7">
            <w:pPr>
              <w:jc w:val="left"/>
              <w:rPr>
                <w:rFonts w:cstheme="minorHAnsi"/>
                <w:szCs w:val="24"/>
              </w:rPr>
            </w:pPr>
            <w:r w:rsidRPr="00933A37">
              <w:rPr>
                <w:rFonts w:cstheme="minorHAnsi"/>
                <w:b/>
                <w:szCs w:val="24"/>
              </w:rPr>
              <w:t>Therapy Program Action Plan</w:t>
            </w:r>
          </w:p>
        </w:tc>
        <w:tc>
          <w:tcPr>
            <w:tcW w:w="6946" w:type="dxa"/>
          </w:tcPr>
          <w:p w:rsidR="00386655" w:rsidRPr="00933A37" w:rsidRDefault="00386655" w:rsidP="0064509F">
            <w:pPr>
              <w:spacing w:after="60"/>
              <w:jc w:val="left"/>
              <w:rPr>
                <w:rFonts w:cstheme="minorHAnsi"/>
                <w:szCs w:val="24"/>
              </w:rPr>
            </w:pPr>
            <w:r w:rsidRPr="00933A37">
              <w:rPr>
                <w:rFonts w:cstheme="minorHAnsi"/>
                <w:szCs w:val="24"/>
              </w:rPr>
              <w:t xml:space="preserve">Lists the </w:t>
            </w:r>
            <w:bookmarkStart w:id="506" w:name="_Hlk485249659"/>
            <w:r w:rsidRPr="00933A37">
              <w:rPr>
                <w:rFonts w:cstheme="minorHAnsi"/>
                <w:szCs w:val="24"/>
              </w:rPr>
              <w:t>activities to achieve the goals, what is to be delivered, resources needed, who delivers it and the timeline</w:t>
            </w:r>
            <w:bookmarkEnd w:id="506"/>
            <w:r w:rsidRPr="00933A37">
              <w:rPr>
                <w:rFonts w:cstheme="minorHAnsi"/>
                <w:szCs w:val="24"/>
              </w:rPr>
              <w:t>.</w:t>
            </w:r>
          </w:p>
        </w:tc>
      </w:tr>
      <w:tr w:rsidR="00386655" w:rsidRPr="00933A37" w:rsidTr="00CF531F">
        <w:trPr>
          <w:cantSplit/>
        </w:trPr>
        <w:tc>
          <w:tcPr>
            <w:tcW w:w="2410" w:type="dxa"/>
          </w:tcPr>
          <w:p w:rsidR="00386655" w:rsidRPr="00933A37" w:rsidRDefault="00386655" w:rsidP="005969C7">
            <w:pPr>
              <w:jc w:val="left"/>
              <w:rPr>
                <w:rFonts w:cstheme="minorHAnsi"/>
                <w:szCs w:val="24"/>
              </w:rPr>
            </w:pPr>
            <w:bookmarkStart w:id="507" w:name="_Hlk485243550"/>
            <w:r w:rsidRPr="00933A37">
              <w:rPr>
                <w:rFonts w:cstheme="minorHAnsi"/>
                <w:b/>
                <w:bCs/>
                <w:szCs w:val="24"/>
              </w:rPr>
              <w:t>Therapy Program parameters</w:t>
            </w:r>
            <w:bookmarkEnd w:id="507"/>
          </w:p>
        </w:tc>
        <w:tc>
          <w:tcPr>
            <w:tcW w:w="6946" w:type="dxa"/>
          </w:tcPr>
          <w:p w:rsidR="00980F62" w:rsidRDefault="00386655" w:rsidP="005969C7">
            <w:pPr>
              <w:jc w:val="left"/>
              <w:rPr>
                <w:rFonts w:cstheme="minorHAnsi"/>
                <w:szCs w:val="24"/>
              </w:rPr>
            </w:pPr>
            <w:bookmarkStart w:id="508" w:name="_Hlk485243567"/>
            <w:r w:rsidRPr="00933A37">
              <w:rPr>
                <w:rFonts w:cstheme="minorHAnsi"/>
                <w:szCs w:val="24"/>
              </w:rPr>
              <w:t>Consultation feedback and the literature supported that both individual and small groups can be appropriate therapy program models. Group sessions can provide both physical and psychosocial benefits for participants; group settings can foster social connections and feelings of belonging.</w:t>
            </w:r>
          </w:p>
          <w:p w:rsidR="00386655" w:rsidRPr="00933A37" w:rsidRDefault="00386655" w:rsidP="005969C7">
            <w:pPr>
              <w:jc w:val="left"/>
              <w:rPr>
                <w:rFonts w:cstheme="minorHAnsi"/>
                <w:szCs w:val="24"/>
              </w:rPr>
            </w:pPr>
            <w:r w:rsidRPr="00933A37">
              <w:rPr>
                <w:rFonts w:cstheme="minorHAnsi"/>
                <w:szCs w:val="24"/>
              </w:rPr>
              <w:t>The overall therapy program has the flexibility to be preventative, reactive as required or maintaining the resident’s enjoyment of life.</w:t>
            </w:r>
          </w:p>
          <w:p w:rsidR="00980F62" w:rsidRDefault="00386655" w:rsidP="005969C7">
            <w:pPr>
              <w:pStyle w:val="ListParagraph"/>
              <w:numPr>
                <w:ilvl w:val="0"/>
                <w:numId w:val="42"/>
              </w:numPr>
              <w:spacing w:after="240"/>
              <w:ind w:left="357" w:hanging="357"/>
              <w:jc w:val="left"/>
              <w:rPr>
                <w:rFonts w:cstheme="minorHAnsi"/>
                <w:szCs w:val="24"/>
              </w:rPr>
            </w:pPr>
            <w:r w:rsidRPr="00933A37">
              <w:rPr>
                <w:rFonts w:cstheme="minorHAnsi"/>
                <w:szCs w:val="24"/>
              </w:rPr>
              <w:t>The program will be an individualised physical therapy program</w:t>
            </w:r>
            <w:r w:rsidR="007C065E" w:rsidRPr="00933A37">
              <w:rPr>
                <w:rFonts w:cstheme="minorHAnsi"/>
                <w:szCs w:val="24"/>
              </w:rPr>
              <w:t>.</w:t>
            </w:r>
          </w:p>
          <w:p w:rsidR="00386655" w:rsidRPr="00933A37" w:rsidRDefault="00386655" w:rsidP="005969C7">
            <w:pPr>
              <w:pStyle w:val="ListParagraph"/>
              <w:numPr>
                <w:ilvl w:val="0"/>
                <w:numId w:val="42"/>
              </w:numPr>
              <w:spacing w:after="320"/>
              <w:ind w:left="357" w:hanging="357"/>
              <w:jc w:val="left"/>
              <w:rPr>
                <w:rFonts w:cstheme="minorHAnsi"/>
                <w:szCs w:val="24"/>
              </w:rPr>
            </w:pPr>
            <w:r w:rsidRPr="00933A37">
              <w:rPr>
                <w:rFonts w:cstheme="minorHAnsi"/>
                <w:szCs w:val="24"/>
              </w:rPr>
              <w:t>Provided over three (3) to four (4) sessions on three (3) to four (4) days of the week, via one-to-one therapy or in a small group (small groups are defined as being for a maximum of five (5) residents)</w:t>
            </w:r>
            <w:r w:rsidR="007C065E" w:rsidRPr="00933A37">
              <w:rPr>
                <w:rFonts w:cstheme="minorHAnsi"/>
                <w:szCs w:val="24"/>
              </w:rPr>
              <w:t>.</w:t>
            </w:r>
          </w:p>
          <w:p w:rsidR="00386655" w:rsidRPr="00933A37" w:rsidRDefault="00386655" w:rsidP="005969C7">
            <w:pPr>
              <w:pStyle w:val="ListParagraph"/>
              <w:numPr>
                <w:ilvl w:val="0"/>
                <w:numId w:val="42"/>
              </w:numPr>
              <w:spacing w:after="320"/>
              <w:ind w:left="357" w:hanging="357"/>
              <w:jc w:val="left"/>
              <w:rPr>
                <w:rFonts w:cstheme="minorHAnsi"/>
                <w:szCs w:val="24"/>
              </w:rPr>
            </w:pPr>
            <w:r w:rsidRPr="00933A37">
              <w:rPr>
                <w:rFonts w:cstheme="minorHAnsi"/>
                <w:szCs w:val="24"/>
              </w:rPr>
              <w:t>Individual sessions will be for 30 minutes (Option A) or 20 minutes (Option B and Option C), and small group sessions will be 50 minutes duration</w:t>
            </w:r>
            <w:r w:rsidR="007C065E" w:rsidRPr="00933A37">
              <w:rPr>
                <w:rFonts w:cstheme="minorHAnsi"/>
                <w:szCs w:val="24"/>
              </w:rPr>
              <w:t>.</w:t>
            </w:r>
          </w:p>
          <w:p w:rsidR="00386655" w:rsidRPr="00933A37" w:rsidRDefault="00386655" w:rsidP="005969C7">
            <w:pPr>
              <w:pStyle w:val="ListParagraph"/>
              <w:numPr>
                <w:ilvl w:val="0"/>
                <w:numId w:val="42"/>
              </w:numPr>
              <w:spacing w:after="320"/>
              <w:ind w:left="357" w:hanging="357"/>
              <w:jc w:val="left"/>
              <w:rPr>
                <w:rFonts w:cstheme="minorHAnsi"/>
                <w:szCs w:val="24"/>
              </w:rPr>
            </w:pPr>
            <w:r w:rsidRPr="00933A37">
              <w:rPr>
                <w:rFonts w:cstheme="minorHAnsi"/>
                <w:szCs w:val="24"/>
              </w:rPr>
              <w:t>A total of 180 minutes weekly if the resident has one individual session and three small group sessions (Option A); 140 minutes weekly if the resident has two individual sessions and two small group sessions (Option B); 60 minutes weekly if the resident has three individual sessions (Option C)</w:t>
            </w:r>
            <w:r w:rsidR="007C065E" w:rsidRPr="00933A37">
              <w:rPr>
                <w:rFonts w:cstheme="minorHAnsi"/>
                <w:szCs w:val="24"/>
              </w:rPr>
              <w:t>.</w:t>
            </w:r>
          </w:p>
          <w:p w:rsidR="00386655" w:rsidRPr="00933A37" w:rsidRDefault="00386655" w:rsidP="0064509F">
            <w:pPr>
              <w:pStyle w:val="ListParagraph"/>
              <w:numPr>
                <w:ilvl w:val="0"/>
                <w:numId w:val="42"/>
              </w:numPr>
              <w:spacing w:after="60"/>
              <w:ind w:left="357" w:hanging="357"/>
              <w:jc w:val="left"/>
              <w:rPr>
                <w:rFonts w:cstheme="minorHAnsi"/>
                <w:szCs w:val="24"/>
              </w:rPr>
            </w:pPr>
            <w:r w:rsidRPr="00933A37">
              <w:rPr>
                <w:rFonts w:cstheme="minorHAnsi"/>
                <w:szCs w:val="24"/>
              </w:rPr>
              <w:t>The time that the resident is in a group activity counts to their total minutes e.g. five residents participate in a 50-minute group session, each resident includes 50 minutes to their total weekly therapy time</w:t>
            </w:r>
            <w:bookmarkEnd w:id="508"/>
            <w:r w:rsidR="007C065E" w:rsidRPr="00933A37">
              <w:rPr>
                <w:rFonts w:cstheme="minorHAnsi"/>
                <w:szCs w:val="24"/>
              </w:rPr>
              <w:t>.</w:t>
            </w:r>
          </w:p>
        </w:tc>
      </w:tr>
      <w:tr w:rsidR="00386655" w:rsidRPr="00933A37" w:rsidTr="00CF531F">
        <w:trPr>
          <w:cantSplit/>
        </w:trPr>
        <w:tc>
          <w:tcPr>
            <w:tcW w:w="2410" w:type="dxa"/>
          </w:tcPr>
          <w:p w:rsidR="00386655" w:rsidRPr="00933A37" w:rsidRDefault="00386655" w:rsidP="005969C7">
            <w:pPr>
              <w:jc w:val="left"/>
              <w:rPr>
                <w:rFonts w:cstheme="minorHAnsi"/>
                <w:b/>
                <w:bCs/>
                <w:szCs w:val="24"/>
              </w:rPr>
            </w:pPr>
            <w:r w:rsidRPr="00933A37">
              <w:rPr>
                <w:rFonts w:cstheme="minorHAnsi"/>
                <w:b/>
                <w:bCs/>
                <w:szCs w:val="24"/>
              </w:rPr>
              <w:t>Who can deliver the therapy</w:t>
            </w:r>
          </w:p>
        </w:tc>
        <w:tc>
          <w:tcPr>
            <w:tcW w:w="6946" w:type="dxa"/>
          </w:tcPr>
          <w:p w:rsidR="00386655" w:rsidRPr="00933A37" w:rsidRDefault="00386655" w:rsidP="004A181C">
            <w:pPr>
              <w:spacing w:after="100"/>
              <w:jc w:val="left"/>
              <w:rPr>
                <w:rFonts w:cstheme="minorHAnsi"/>
                <w:szCs w:val="24"/>
              </w:rPr>
            </w:pPr>
            <w:r w:rsidRPr="00933A37">
              <w:rPr>
                <w:rFonts w:cstheme="minorHAnsi"/>
                <w:szCs w:val="24"/>
              </w:rPr>
              <w:t>Individual sessions must be one-on-one with the selected AHPs.</w:t>
            </w:r>
          </w:p>
          <w:p w:rsidR="00980F62" w:rsidRDefault="00386655" w:rsidP="004A181C">
            <w:pPr>
              <w:spacing w:after="100"/>
              <w:jc w:val="left"/>
              <w:rPr>
                <w:rFonts w:cstheme="minorHAnsi"/>
                <w:szCs w:val="24"/>
              </w:rPr>
            </w:pPr>
            <w:r w:rsidRPr="00933A37">
              <w:rPr>
                <w:rFonts w:cstheme="minorHAnsi"/>
                <w:szCs w:val="24"/>
              </w:rPr>
              <w:t xml:space="preserve">The group sessions must be directly supervised by the selected AHP from lists in the </w:t>
            </w:r>
            <w:r w:rsidR="007C62E4" w:rsidRPr="00933A37">
              <w:rPr>
                <w:rFonts w:cstheme="minorHAnsi"/>
                <w:szCs w:val="24"/>
              </w:rPr>
              <w:t>R-</w:t>
            </w:r>
            <w:r w:rsidRPr="00933A37">
              <w:rPr>
                <w:rFonts w:cstheme="minorHAnsi"/>
                <w:szCs w:val="24"/>
              </w:rPr>
              <w:t>ACFI User Guide</w:t>
            </w:r>
            <w:r w:rsidR="007C065E" w:rsidRPr="00933A37">
              <w:rPr>
                <w:rFonts w:cstheme="minorHAnsi"/>
                <w:szCs w:val="24"/>
              </w:rPr>
              <w:t>.</w:t>
            </w:r>
          </w:p>
          <w:p w:rsidR="00386655" w:rsidRPr="00933A37" w:rsidRDefault="00386655" w:rsidP="00F02312">
            <w:pPr>
              <w:pStyle w:val="ListParagraph"/>
              <w:numPr>
                <w:ilvl w:val="0"/>
                <w:numId w:val="149"/>
              </w:numPr>
              <w:spacing w:after="100"/>
              <w:ind w:left="357" w:hanging="357"/>
              <w:jc w:val="left"/>
              <w:rPr>
                <w:rFonts w:cstheme="minorHAnsi"/>
                <w:szCs w:val="24"/>
              </w:rPr>
            </w:pPr>
            <w:r w:rsidRPr="00933A37">
              <w:rPr>
                <w:rFonts w:cstheme="minorHAnsi"/>
                <w:szCs w:val="24"/>
              </w:rPr>
              <w:t>Health Professionals under AHPRA - will include AHP (OT, Physio)</w:t>
            </w:r>
            <w:r w:rsidR="007C065E" w:rsidRPr="00933A37">
              <w:rPr>
                <w:rFonts w:cstheme="minorHAnsi"/>
                <w:szCs w:val="24"/>
              </w:rPr>
              <w:t>.</w:t>
            </w:r>
          </w:p>
          <w:p w:rsidR="00386655" w:rsidRPr="00933A37" w:rsidRDefault="00386655" w:rsidP="00F02312">
            <w:pPr>
              <w:pStyle w:val="ListParagraph"/>
              <w:numPr>
                <w:ilvl w:val="0"/>
                <w:numId w:val="149"/>
              </w:numPr>
              <w:spacing w:after="100"/>
              <w:ind w:left="357" w:hanging="357"/>
              <w:jc w:val="left"/>
              <w:rPr>
                <w:rFonts w:cstheme="minorHAnsi"/>
                <w:szCs w:val="24"/>
              </w:rPr>
            </w:pPr>
            <w:r w:rsidRPr="00933A37">
              <w:rPr>
                <w:rFonts w:cstheme="minorHAnsi"/>
                <w:szCs w:val="24"/>
              </w:rPr>
              <w:t>AHP self-regulated professional body - Dietitian, SP, Exercise Physiologist</w:t>
            </w:r>
            <w:r w:rsidR="007C065E" w:rsidRPr="00933A37">
              <w:rPr>
                <w:rFonts w:cstheme="minorHAnsi"/>
                <w:szCs w:val="24"/>
              </w:rPr>
              <w:t>.</w:t>
            </w:r>
          </w:p>
          <w:p w:rsidR="00386655" w:rsidRPr="00933A37" w:rsidRDefault="00386655" w:rsidP="0064509F">
            <w:pPr>
              <w:spacing w:after="60"/>
              <w:jc w:val="left"/>
              <w:rPr>
                <w:rFonts w:cstheme="minorHAnsi"/>
                <w:szCs w:val="24"/>
              </w:rPr>
            </w:pPr>
            <w:r w:rsidRPr="00933A37">
              <w:rPr>
                <w:rFonts w:cstheme="minorHAnsi"/>
                <w:szCs w:val="24"/>
              </w:rPr>
              <w:t>The AHP must manage and run the sessions i.e. be present and face-to-face. Other care staff can assist in supporting the running of the program.</w:t>
            </w:r>
          </w:p>
        </w:tc>
      </w:tr>
      <w:tr w:rsidR="00386655" w:rsidRPr="00933A37" w:rsidTr="00CF531F">
        <w:trPr>
          <w:cantSplit/>
        </w:trPr>
        <w:tc>
          <w:tcPr>
            <w:tcW w:w="2410" w:type="dxa"/>
          </w:tcPr>
          <w:p w:rsidR="00386655" w:rsidRPr="00933A37" w:rsidRDefault="00386655" w:rsidP="005969C7">
            <w:pPr>
              <w:jc w:val="left"/>
              <w:rPr>
                <w:rFonts w:cstheme="minorHAnsi"/>
                <w:b/>
                <w:bCs/>
                <w:szCs w:val="24"/>
              </w:rPr>
            </w:pPr>
            <w:r w:rsidRPr="00933A37">
              <w:rPr>
                <w:rFonts w:cstheme="minorHAnsi"/>
                <w:b/>
                <w:szCs w:val="24"/>
              </w:rPr>
              <w:lastRenderedPageBreak/>
              <w:t>Three monthly evaluation</w:t>
            </w:r>
          </w:p>
        </w:tc>
        <w:tc>
          <w:tcPr>
            <w:tcW w:w="6946" w:type="dxa"/>
          </w:tcPr>
          <w:p w:rsidR="00386655" w:rsidRPr="00933A37" w:rsidRDefault="00386655" w:rsidP="005969C7">
            <w:pPr>
              <w:spacing w:after="60"/>
              <w:jc w:val="left"/>
              <w:rPr>
                <w:rFonts w:cstheme="minorHAnsi"/>
                <w:szCs w:val="24"/>
              </w:rPr>
            </w:pPr>
            <w:r w:rsidRPr="00933A37">
              <w:rPr>
                <w:rFonts w:cstheme="minorHAnsi"/>
                <w:szCs w:val="24"/>
              </w:rPr>
              <w:t>Audit criteria for the Therapy Program could include:</w:t>
            </w:r>
          </w:p>
          <w:p w:rsidR="00386655" w:rsidRPr="00933A37" w:rsidRDefault="00386655" w:rsidP="004A181C">
            <w:pPr>
              <w:pStyle w:val="ListParagraph"/>
              <w:numPr>
                <w:ilvl w:val="0"/>
                <w:numId w:val="40"/>
              </w:numPr>
              <w:spacing w:after="100"/>
              <w:ind w:left="357" w:hanging="357"/>
              <w:jc w:val="left"/>
              <w:rPr>
                <w:rFonts w:cstheme="minorHAnsi"/>
                <w:szCs w:val="24"/>
              </w:rPr>
            </w:pPr>
            <w:r w:rsidRPr="00933A37">
              <w:rPr>
                <w:rFonts w:cstheme="minorHAnsi"/>
                <w:szCs w:val="24"/>
              </w:rPr>
              <w:t>The length of time that the program must be delivered with records of treatment to be maintained to demonstrate delivery</w:t>
            </w:r>
          </w:p>
          <w:p w:rsidR="00980F62" w:rsidRDefault="00386655" w:rsidP="004A181C">
            <w:pPr>
              <w:pStyle w:val="ListParagraph"/>
              <w:numPr>
                <w:ilvl w:val="0"/>
                <w:numId w:val="40"/>
              </w:numPr>
              <w:spacing w:after="100"/>
              <w:ind w:left="357" w:hanging="357"/>
              <w:jc w:val="left"/>
              <w:rPr>
                <w:rFonts w:cstheme="minorHAnsi"/>
                <w:szCs w:val="24"/>
              </w:rPr>
            </w:pPr>
            <w:r w:rsidRPr="00933A37">
              <w:rPr>
                <w:rFonts w:cstheme="minorHAnsi"/>
                <w:szCs w:val="24"/>
              </w:rPr>
              <w:t>Individualised Therapy Programs to be documented in Care Plans</w:t>
            </w:r>
          </w:p>
          <w:p w:rsidR="00980F62" w:rsidRDefault="005C5833" w:rsidP="004A181C">
            <w:pPr>
              <w:pStyle w:val="ListParagraph"/>
              <w:numPr>
                <w:ilvl w:val="0"/>
                <w:numId w:val="40"/>
              </w:numPr>
              <w:spacing w:after="100"/>
              <w:ind w:left="357" w:hanging="357"/>
              <w:jc w:val="left"/>
              <w:rPr>
                <w:rFonts w:cstheme="minorHAnsi"/>
                <w:szCs w:val="24"/>
              </w:rPr>
            </w:pPr>
            <w:r w:rsidRPr="00933A37">
              <w:rPr>
                <w:rFonts w:cstheme="minorHAnsi"/>
                <w:szCs w:val="24"/>
              </w:rPr>
              <w:t>Containing personalised goals</w:t>
            </w:r>
          </w:p>
          <w:p w:rsidR="00386655" w:rsidRPr="00933A37" w:rsidRDefault="00386655" w:rsidP="0064509F">
            <w:pPr>
              <w:pStyle w:val="ListParagraph"/>
              <w:numPr>
                <w:ilvl w:val="0"/>
                <w:numId w:val="40"/>
              </w:numPr>
              <w:spacing w:after="60"/>
              <w:ind w:left="357" w:hanging="357"/>
              <w:jc w:val="left"/>
              <w:rPr>
                <w:rFonts w:cstheme="minorHAnsi"/>
                <w:szCs w:val="24"/>
              </w:rPr>
            </w:pPr>
            <w:r w:rsidRPr="00933A37">
              <w:rPr>
                <w:rFonts w:cstheme="minorHAnsi"/>
                <w:szCs w:val="24"/>
              </w:rPr>
              <w:t xml:space="preserve">Regular </w:t>
            </w:r>
            <w:r w:rsidR="005C5833" w:rsidRPr="00933A37">
              <w:rPr>
                <w:rFonts w:cstheme="minorHAnsi"/>
                <w:szCs w:val="24"/>
              </w:rPr>
              <w:t xml:space="preserve">3-monthly </w:t>
            </w:r>
            <w:r w:rsidRPr="00933A37">
              <w:rPr>
                <w:rFonts w:cstheme="minorHAnsi"/>
                <w:szCs w:val="24"/>
              </w:rPr>
              <w:t xml:space="preserve">evaluations </w:t>
            </w:r>
            <w:bookmarkStart w:id="509" w:name="_Hlk485250200"/>
            <w:r w:rsidRPr="00933A37">
              <w:rPr>
                <w:rFonts w:cstheme="minorHAnsi"/>
                <w:szCs w:val="24"/>
              </w:rPr>
              <w:t xml:space="preserve">of program effectiveness </w:t>
            </w:r>
            <w:r w:rsidR="005C5833" w:rsidRPr="00933A37">
              <w:rPr>
                <w:rFonts w:cstheme="minorHAnsi"/>
                <w:szCs w:val="24"/>
              </w:rPr>
              <w:t>using</w:t>
            </w:r>
            <w:r w:rsidRPr="00933A37">
              <w:rPr>
                <w:rFonts w:cstheme="minorHAnsi"/>
                <w:szCs w:val="24"/>
              </w:rPr>
              <w:t xml:space="preserve"> documented measurement-based outcomes, clinician observations,</w:t>
            </w:r>
            <w:r w:rsidR="005C5833" w:rsidRPr="00933A37">
              <w:rPr>
                <w:rFonts w:cstheme="minorHAnsi"/>
                <w:szCs w:val="24"/>
              </w:rPr>
              <w:t xml:space="preserve"> meeting of personalised goals</w:t>
            </w:r>
            <w:r w:rsidRPr="00933A37">
              <w:rPr>
                <w:rFonts w:cstheme="minorHAnsi"/>
                <w:szCs w:val="24"/>
              </w:rPr>
              <w:t xml:space="preserve"> and feedback from residents and their families </w:t>
            </w:r>
            <w:bookmarkEnd w:id="509"/>
          </w:p>
        </w:tc>
      </w:tr>
      <w:tr w:rsidR="00386655" w:rsidRPr="00933A37" w:rsidTr="00CF531F">
        <w:trPr>
          <w:cantSplit/>
        </w:trPr>
        <w:tc>
          <w:tcPr>
            <w:tcW w:w="2410" w:type="dxa"/>
          </w:tcPr>
          <w:p w:rsidR="00386655" w:rsidRPr="00933A37" w:rsidRDefault="00386655" w:rsidP="005969C7">
            <w:pPr>
              <w:jc w:val="left"/>
              <w:rPr>
                <w:rFonts w:cstheme="minorHAnsi"/>
                <w:b/>
                <w:szCs w:val="24"/>
              </w:rPr>
            </w:pPr>
            <w:r w:rsidRPr="00933A37">
              <w:rPr>
                <w:rFonts w:cstheme="minorHAnsi"/>
                <w:b/>
                <w:szCs w:val="24"/>
              </w:rPr>
              <w:t>SMART Goals</w:t>
            </w:r>
          </w:p>
          <w:p w:rsidR="00386655" w:rsidRPr="00933A37" w:rsidRDefault="00386655" w:rsidP="005969C7">
            <w:pPr>
              <w:jc w:val="left"/>
              <w:rPr>
                <w:rFonts w:cstheme="minorHAnsi"/>
                <w:b/>
                <w:szCs w:val="24"/>
              </w:rPr>
            </w:pPr>
            <w:r w:rsidRPr="00933A37">
              <w:rPr>
                <w:rFonts w:cstheme="minorHAnsi"/>
                <w:b/>
                <w:szCs w:val="24"/>
              </w:rPr>
              <w:t>(Project Smart, 2017)</w:t>
            </w:r>
          </w:p>
        </w:tc>
        <w:tc>
          <w:tcPr>
            <w:tcW w:w="6946" w:type="dxa"/>
          </w:tcPr>
          <w:p w:rsidR="00386655" w:rsidRPr="00933A37" w:rsidRDefault="00386655" w:rsidP="004A181C">
            <w:pPr>
              <w:spacing w:after="100"/>
              <w:jc w:val="left"/>
              <w:rPr>
                <w:rFonts w:cstheme="minorHAnsi"/>
                <w:szCs w:val="24"/>
              </w:rPr>
            </w:pPr>
            <w:bookmarkStart w:id="510" w:name="_Hlk485234627"/>
            <w:r w:rsidRPr="00933A37">
              <w:rPr>
                <w:rFonts w:cstheme="minorHAnsi"/>
                <w:szCs w:val="24"/>
              </w:rPr>
              <w:t>SMART Goals will be recommended for determining resident informed goals. That is, goals that have a meaning to the resident, not necessarily therapist goals.</w:t>
            </w:r>
          </w:p>
          <w:p w:rsidR="00980F62" w:rsidRDefault="00386655" w:rsidP="004A181C">
            <w:pPr>
              <w:spacing w:after="100"/>
              <w:jc w:val="left"/>
              <w:rPr>
                <w:rFonts w:cstheme="minorHAnsi"/>
                <w:szCs w:val="24"/>
              </w:rPr>
            </w:pPr>
            <w:r w:rsidRPr="00933A37">
              <w:rPr>
                <w:rFonts w:cstheme="minorHAnsi"/>
                <w:b/>
                <w:szCs w:val="24"/>
              </w:rPr>
              <w:t>SMART goals</w:t>
            </w:r>
            <w:r w:rsidRPr="00933A37">
              <w:rPr>
                <w:rFonts w:cstheme="minorHAnsi"/>
                <w:szCs w:val="24"/>
              </w:rPr>
              <w:t xml:space="preserve"> are an example of a standardised approach to goal setting with measurable outcomes:</w:t>
            </w:r>
          </w:p>
          <w:p w:rsidR="00980F62" w:rsidRDefault="00386655" w:rsidP="004A181C">
            <w:pPr>
              <w:spacing w:after="100"/>
              <w:jc w:val="left"/>
              <w:rPr>
                <w:rFonts w:eastAsia="Calibri" w:cstheme="minorHAnsi"/>
                <w:szCs w:val="24"/>
              </w:rPr>
            </w:pPr>
            <w:r w:rsidRPr="00933A37">
              <w:rPr>
                <w:rFonts w:cstheme="minorHAnsi"/>
                <w:b/>
                <w:bCs/>
                <w:szCs w:val="24"/>
              </w:rPr>
              <w:t xml:space="preserve">Specific – </w:t>
            </w:r>
            <w:r w:rsidRPr="00933A37">
              <w:rPr>
                <w:rFonts w:cstheme="minorHAnsi"/>
                <w:szCs w:val="24"/>
              </w:rPr>
              <w:t xml:space="preserve">they provide clarity, focus and direction. </w:t>
            </w:r>
            <w:r w:rsidRPr="00933A37">
              <w:rPr>
                <w:rFonts w:eastAsia="Calibri" w:cstheme="minorHAnsi"/>
                <w:szCs w:val="24"/>
              </w:rPr>
              <w:t>A specific goal identifies exactly what is intended to be achieved, not just a general intention.</w:t>
            </w:r>
          </w:p>
          <w:p w:rsidR="00386655" w:rsidRPr="00933A37" w:rsidRDefault="00386655" w:rsidP="004A181C">
            <w:pPr>
              <w:spacing w:after="100"/>
              <w:jc w:val="left"/>
              <w:rPr>
                <w:rFonts w:eastAsia="Calibri" w:cstheme="minorHAnsi"/>
                <w:szCs w:val="24"/>
              </w:rPr>
            </w:pPr>
            <w:bookmarkStart w:id="511" w:name="_Hlk485234667"/>
            <w:bookmarkEnd w:id="510"/>
            <w:r w:rsidRPr="00933A37">
              <w:rPr>
                <w:rFonts w:cstheme="minorHAnsi"/>
                <w:b/>
                <w:bCs/>
                <w:szCs w:val="24"/>
              </w:rPr>
              <w:t xml:space="preserve">Measurable – </w:t>
            </w:r>
            <w:r w:rsidRPr="00933A37">
              <w:rPr>
                <w:rFonts w:cstheme="minorHAnsi"/>
                <w:szCs w:val="24"/>
              </w:rPr>
              <w:t xml:space="preserve">objective measures are used to demonstrate the effectiveness of the goal. </w:t>
            </w:r>
            <w:r w:rsidRPr="00933A37">
              <w:rPr>
                <w:rFonts w:eastAsia="Calibri" w:cstheme="minorHAnsi"/>
                <w:szCs w:val="24"/>
              </w:rPr>
              <w:t>These are things you can ‘measure’ as improvements rather than just having a hunch that things are improving.</w:t>
            </w:r>
          </w:p>
          <w:p w:rsidR="00386655" w:rsidRPr="00933A37" w:rsidRDefault="00386655" w:rsidP="004A181C">
            <w:pPr>
              <w:spacing w:after="100"/>
              <w:jc w:val="left"/>
              <w:rPr>
                <w:rFonts w:cstheme="minorHAnsi"/>
                <w:szCs w:val="24"/>
              </w:rPr>
            </w:pPr>
            <w:r w:rsidRPr="00933A37">
              <w:rPr>
                <w:rFonts w:cstheme="minorHAnsi"/>
                <w:b/>
                <w:bCs/>
                <w:szCs w:val="24"/>
              </w:rPr>
              <w:t xml:space="preserve">Action-oriented – </w:t>
            </w:r>
            <w:r w:rsidRPr="00933A37">
              <w:rPr>
                <w:rFonts w:cstheme="minorHAnsi"/>
                <w:szCs w:val="24"/>
              </w:rPr>
              <w:t>the actions</w:t>
            </w:r>
            <w:r w:rsidRPr="00933A37">
              <w:rPr>
                <w:rFonts w:cstheme="minorHAnsi"/>
                <w:b/>
                <w:bCs/>
                <w:szCs w:val="24"/>
              </w:rPr>
              <w:t xml:space="preserve"> </w:t>
            </w:r>
            <w:r w:rsidRPr="00933A37">
              <w:rPr>
                <w:rFonts w:cstheme="minorHAnsi"/>
                <w:szCs w:val="24"/>
              </w:rPr>
              <w:t>provide a strategy to achieve the goals and are part of the Care Plan.</w:t>
            </w:r>
          </w:p>
          <w:p w:rsidR="00386655" w:rsidRPr="00933A37" w:rsidRDefault="00386655" w:rsidP="004A181C">
            <w:pPr>
              <w:spacing w:after="100"/>
              <w:jc w:val="left"/>
              <w:rPr>
                <w:rFonts w:eastAsia="Calibri" w:cstheme="minorHAnsi"/>
                <w:szCs w:val="24"/>
              </w:rPr>
            </w:pPr>
            <w:r w:rsidRPr="00933A37">
              <w:rPr>
                <w:rFonts w:cstheme="minorHAnsi"/>
                <w:b/>
                <w:bCs/>
                <w:szCs w:val="24"/>
              </w:rPr>
              <w:t xml:space="preserve">Realistic – </w:t>
            </w:r>
            <w:r w:rsidRPr="00933A37">
              <w:rPr>
                <w:rFonts w:cstheme="minorHAnsi"/>
                <w:szCs w:val="24"/>
              </w:rPr>
              <w:t xml:space="preserve">they are to be achievable. Failure to achieve goals can impact on the resident’s motivation, interest and participation. </w:t>
            </w:r>
            <w:r w:rsidRPr="00933A37">
              <w:rPr>
                <w:rFonts w:eastAsia="Calibri" w:cstheme="minorHAnsi"/>
                <w:szCs w:val="24"/>
              </w:rPr>
              <w:t>The goal must match with the known situation. They should be realistic. Achievement of small goals can provide motivation and pleasure.</w:t>
            </w:r>
          </w:p>
          <w:p w:rsidR="00386655" w:rsidRPr="00933A37" w:rsidRDefault="00386655" w:rsidP="0064509F">
            <w:pPr>
              <w:spacing w:after="60"/>
              <w:jc w:val="left"/>
              <w:rPr>
                <w:rFonts w:eastAsia="Calibri" w:cstheme="minorHAnsi"/>
                <w:szCs w:val="24"/>
              </w:rPr>
            </w:pPr>
            <w:r w:rsidRPr="00933A37">
              <w:rPr>
                <w:rFonts w:cstheme="minorHAnsi"/>
                <w:b/>
                <w:bCs/>
                <w:szCs w:val="24"/>
              </w:rPr>
              <w:t>Time-based –</w:t>
            </w:r>
            <w:r w:rsidRPr="00933A37">
              <w:rPr>
                <w:rFonts w:cstheme="minorHAnsi"/>
                <w:szCs w:val="24"/>
              </w:rPr>
              <w:t xml:space="preserve"> they should be current for a specific period of time. These goals can be measured at intervals, and re-evaluated on an ongoing basis. </w:t>
            </w:r>
            <w:r w:rsidRPr="00933A37">
              <w:rPr>
                <w:rFonts w:eastAsia="Calibri" w:cstheme="minorHAnsi"/>
                <w:szCs w:val="24"/>
              </w:rPr>
              <w:t xml:space="preserve">Goals need to have a time frame to determine the timing of the evaluation. </w:t>
            </w:r>
            <w:bookmarkEnd w:id="511"/>
          </w:p>
        </w:tc>
      </w:tr>
      <w:tr w:rsidR="00386655" w:rsidRPr="00933A37" w:rsidTr="00CF531F">
        <w:trPr>
          <w:cantSplit/>
        </w:trPr>
        <w:tc>
          <w:tcPr>
            <w:tcW w:w="2410" w:type="dxa"/>
          </w:tcPr>
          <w:p w:rsidR="00386655" w:rsidRPr="00933A37" w:rsidRDefault="00386655" w:rsidP="005969C7">
            <w:pPr>
              <w:jc w:val="left"/>
              <w:rPr>
                <w:rFonts w:cstheme="minorHAnsi"/>
                <w:b/>
                <w:bCs/>
                <w:szCs w:val="24"/>
              </w:rPr>
            </w:pPr>
            <w:r w:rsidRPr="00933A37">
              <w:rPr>
                <w:rFonts w:cstheme="minorHAnsi"/>
                <w:b/>
                <w:szCs w:val="24"/>
              </w:rPr>
              <w:t>Therapy Program and an Accountability Framework</w:t>
            </w:r>
          </w:p>
        </w:tc>
        <w:tc>
          <w:tcPr>
            <w:tcW w:w="6946" w:type="dxa"/>
          </w:tcPr>
          <w:p w:rsidR="00386655" w:rsidRPr="00933A37" w:rsidRDefault="00386655" w:rsidP="0064509F">
            <w:pPr>
              <w:spacing w:after="60"/>
              <w:jc w:val="left"/>
              <w:rPr>
                <w:rFonts w:cstheme="minorHAnsi"/>
                <w:szCs w:val="24"/>
              </w:rPr>
            </w:pPr>
            <w:r w:rsidRPr="00933A37">
              <w:rPr>
                <w:rFonts w:cstheme="minorHAnsi"/>
                <w:szCs w:val="24"/>
              </w:rPr>
              <w:t>The quality of a therapy program could be audited by both the Quality Agency and, for funding accountability purposes, via the ACFI R</w:t>
            </w:r>
            <w:r w:rsidR="007C62E4" w:rsidRPr="00933A37">
              <w:rPr>
                <w:rFonts w:cstheme="minorHAnsi"/>
                <w:szCs w:val="24"/>
              </w:rPr>
              <w:t xml:space="preserve">eview </w:t>
            </w:r>
            <w:r w:rsidRPr="00933A37">
              <w:rPr>
                <w:rFonts w:cstheme="minorHAnsi"/>
                <w:szCs w:val="24"/>
              </w:rPr>
              <w:t>O</w:t>
            </w:r>
            <w:r w:rsidR="007C62E4" w:rsidRPr="00933A37">
              <w:rPr>
                <w:rFonts w:cstheme="minorHAnsi"/>
                <w:szCs w:val="24"/>
              </w:rPr>
              <w:t>fficer</w:t>
            </w:r>
            <w:r w:rsidRPr="00933A37">
              <w:rPr>
                <w:rFonts w:cstheme="minorHAnsi"/>
                <w:szCs w:val="24"/>
              </w:rPr>
              <w:t xml:space="preserve"> validation activities.</w:t>
            </w:r>
            <w:r w:rsidR="007A576E" w:rsidRPr="00933A37">
              <w:rPr>
                <w:rFonts w:cstheme="minorHAnsi"/>
                <w:szCs w:val="24"/>
              </w:rPr>
              <w:t xml:space="preserve"> </w:t>
            </w:r>
          </w:p>
        </w:tc>
      </w:tr>
      <w:tr w:rsidR="00386655" w:rsidRPr="00933A37" w:rsidTr="00CF531F">
        <w:trPr>
          <w:cantSplit/>
        </w:trPr>
        <w:tc>
          <w:tcPr>
            <w:tcW w:w="2410" w:type="dxa"/>
          </w:tcPr>
          <w:p w:rsidR="00386655" w:rsidRPr="00933A37" w:rsidRDefault="00386655" w:rsidP="005969C7">
            <w:pPr>
              <w:jc w:val="left"/>
              <w:rPr>
                <w:rFonts w:cstheme="minorHAnsi"/>
                <w:b/>
                <w:bCs/>
                <w:szCs w:val="24"/>
              </w:rPr>
            </w:pPr>
            <w:r w:rsidRPr="00933A37">
              <w:rPr>
                <w:rFonts w:cstheme="minorHAnsi"/>
                <w:b/>
                <w:bCs/>
                <w:szCs w:val="24"/>
              </w:rPr>
              <w:t>Expiry of Therapy Program</w:t>
            </w:r>
          </w:p>
        </w:tc>
        <w:tc>
          <w:tcPr>
            <w:tcW w:w="6946" w:type="dxa"/>
          </w:tcPr>
          <w:p w:rsidR="00386655" w:rsidRPr="00933A37" w:rsidRDefault="00386655" w:rsidP="005809A5">
            <w:pPr>
              <w:spacing w:after="60"/>
              <w:jc w:val="left"/>
              <w:rPr>
                <w:rFonts w:cstheme="minorHAnsi"/>
                <w:szCs w:val="24"/>
              </w:rPr>
            </w:pPr>
            <w:r w:rsidRPr="00933A37">
              <w:rPr>
                <w:rFonts w:cstheme="minorHAnsi"/>
                <w:szCs w:val="24"/>
              </w:rPr>
              <w:t>The therapy program application will be submitted with an R-ACFI appraisal and be subject to the same business rules.</w:t>
            </w:r>
          </w:p>
        </w:tc>
      </w:tr>
    </w:tbl>
    <w:p w:rsidR="0064509F" w:rsidRDefault="0064509F">
      <w:pPr>
        <w:spacing w:after="200"/>
        <w:jc w:val="left"/>
        <w:rPr>
          <w:rFonts w:ascii="Calibri" w:hAnsi="Calibri" w:cs="Times New Roman"/>
          <w:iCs/>
          <w:szCs w:val="18"/>
        </w:rPr>
      </w:pPr>
      <w:r>
        <w:rPr>
          <w:rFonts w:ascii="Calibri" w:hAnsi="Calibri" w:cs="Times New Roman"/>
          <w:iCs/>
          <w:szCs w:val="18"/>
        </w:rPr>
        <w:br w:type="page"/>
      </w:r>
    </w:p>
    <w:p w:rsidR="00237F90" w:rsidRDefault="00473246" w:rsidP="00933A37">
      <w:pPr>
        <w:spacing w:before="360"/>
      </w:pPr>
      <w:hyperlink w:anchor="Tab0704" w:history="1">
        <w:r w:rsidR="00D27730" w:rsidRPr="0062445B">
          <w:rPr>
            <w:rStyle w:val="Hyperlink"/>
            <w:rFonts w:ascii="Calibri" w:hAnsi="Calibri" w:cs="Times New Roman"/>
            <w:iCs/>
            <w:szCs w:val="18"/>
          </w:rPr>
          <w:t>T</w:t>
        </w:r>
        <w:r w:rsidR="00613187" w:rsidRPr="0062445B">
          <w:rPr>
            <w:rStyle w:val="Hyperlink"/>
            <w:rFonts w:ascii="Calibri" w:hAnsi="Calibri" w:cs="Times New Roman"/>
            <w:iCs/>
            <w:szCs w:val="18"/>
          </w:rPr>
          <w:t>able 7.</w:t>
        </w:r>
      </w:hyperlink>
      <w:r w:rsidR="006126D6">
        <w:rPr>
          <w:rStyle w:val="Hyperlink"/>
          <w:rFonts w:ascii="Calibri" w:hAnsi="Calibri" w:cs="Times New Roman"/>
          <w:iCs/>
          <w:szCs w:val="18"/>
        </w:rPr>
        <w:t>5</w:t>
      </w:r>
      <w:r w:rsidR="00D27730" w:rsidRPr="008861BC">
        <w:rPr>
          <w:rFonts w:ascii="Calibri" w:hAnsi="Calibri" w:cs="Times New Roman"/>
          <w:iCs/>
          <w:szCs w:val="18"/>
        </w:rPr>
        <w:t xml:space="preserve"> provides a summary of the assessments relevant to the R-ACFI </w:t>
      </w:r>
      <w:r w:rsidR="00613187">
        <w:rPr>
          <w:rFonts w:ascii="Calibri" w:hAnsi="Calibri" w:cs="Times New Roman"/>
          <w:iCs/>
          <w:szCs w:val="18"/>
        </w:rPr>
        <w:t>Therapy program</w:t>
      </w:r>
      <w:r w:rsidR="00D27730" w:rsidRPr="008861BC">
        <w:rPr>
          <w:rFonts w:ascii="Calibri" w:hAnsi="Calibri" w:cs="Times New Roman"/>
          <w:iCs/>
          <w:szCs w:val="18"/>
        </w:rPr>
        <w:t>.</w:t>
      </w:r>
      <w:bookmarkStart w:id="512" w:name="_Toc486403805"/>
      <w:bookmarkStart w:id="513" w:name="_Toc486596364"/>
      <w:bookmarkStart w:id="514" w:name="_Toc486600062"/>
    </w:p>
    <w:p w:rsidR="006126D6" w:rsidRDefault="006126D6" w:rsidP="006126D6">
      <w:pPr>
        <w:pStyle w:val="Caption"/>
        <w:keepNext/>
      </w:pPr>
      <w:bookmarkStart w:id="515" w:name="_Toc495416354"/>
      <w:bookmarkStart w:id="516" w:name="Tab0704"/>
      <w:bookmarkEnd w:id="512"/>
      <w:r>
        <w:t>Table 7.</w:t>
      </w:r>
      <w:r w:rsidR="009A3F5A">
        <w:fldChar w:fldCharType="begin"/>
      </w:r>
      <w:r w:rsidR="009A3F5A">
        <w:instrText xml:space="preserve"> SEQ Table_7. \* ARABIC </w:instrText>
      </w:r>
      <w:r w:rsidR="009A3F5A">
        <w:fldChar w:fldCharType="separate"/>
      </w:r>
      <w:r w:rsidR="00856E49">
        <w:rPr>
          <w:noProof/>
        </w:rPr>
        <w:t>5</w:t>
      </w:r>
      <w:r w:rsidR="009A3F5A">
        <w:rPr>
          <w:noProof/>
        </w:rPr>
        <w:fldChar w:fldCharType="end"/>
      </w:r>
      <w:r>
        <w:t xml:space="preserve">: </w:t>
      </w:r>
      <w:r w:rsidRPr="006126D6">
        <w:t>R-ACFI Therapy Program Assessment Tools Recommendations</w:t>
      </w:r>
      <w:bookmarkEnd w:id="515"/>
    </w:p>
    <w:tbl>
      <w:tblPr>
        <w:tblStyle w:val="GridTable1Light-Accent11"/>
        <w:tblW w:w="9016"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20" w:firstRow="1" w:lastRow="0" w:firstColumn="0" w:lastColumn="0" w:noHBand="0" w:noVBand="1"/>
        <w:tblDescription w:val="Table 7.5 is a list of the mandatory and recommended assessment tools for the therapy program under the revised aged care funding instrument (R-ACFI). This table is to be read left to right, top to bottom."/>
      </w:tblPr>
      <w:tblGrid>
        <w:gridCol w:w="2410"/>
        <w:gridCol w:w="4253"/>
        <w:gridCol w:w="2353"/>
      </w:tblGrid>
      <w:tr w:rsidR="00404806" w:rsidRPr="00404806" w:rsidTr="00040FBB">
        <w:trPr>
          <w:cnfStyle w:val="100000000000" w:firstRow="1" w:lastRow="0" w:firstColumn="0" w:lastColumn="0" w:oddVBand="0" w:evenVBand="0" w:oddHBand="0" w:evenHBand="0" w:firstRowFirstColumn="0" w:firstRowLastColumn="0" w:lastRowFirstColumn="0" w:lastRowLastColumn="0"/>
          <w:tblHeader/>
        </w:trPr>
        <w:tc>
          <w:tcPr>
            <w:tcW w:w="9016" w:type="dxa"/>
            <w:gridSpan w:val="3"/>
            <w:shd w:val="clear" w:color="auto" w:fill="5B9BD5" w:themeFill="accent5"/>
          </w:tcPr>
          <w:bookmarkEnd w:id="516"/>
          <w:p w:rsidR="00404806" w:rsidRPr="00404806" w:rsidRDefault="00404806" w:rsidP="00404806">
            <w:pPr>
              <w:spacing w:before="60" w:after="60"/>
              <w:jc w:val="left"/>
              <w:rPr>
                <w:b w:val="0"/>
                <w:color w:val="FFFFFF" w:themeColor="background1"/>
              </w:rPr>
            </w:pPr>
            <w:r w:rsidRPr="00404806">
              <w:rPr>
                <w:color w:val="FFFFFF" w:themeColor="background1"/>
                <w:lang w:val="en-US"/>
              </w:rPr>
              <w:t>Therapy Program</w:t>
            </w:r>
            <w:r w:rsidRPr="00404806">
              <w:rPr>
                <w:b w:val="0"/>
                <w:color w:val="FFFFFF" w:themeColor="background1"/>
                <w:lang w:val="en-US"/>
              </w:rPr>
              <w:t>:</w:t>
            </w:r>
            <w:r w:rsidRPr="00404806">
              <w:rPr>
                <w:color w:val="FFFFFF" w:themeColor="background1"/>
                <w:lang w:val="en-US"/>
              </w:rPr>
              <w:t xml:space="preserve"> Physical Functional Performance</w:t>
            </w:r>
          </w:p>
        </w:tc>
      </w:tr>
      <w:tr w:rsidR="00404806" w:rsidRPr="00404806" w:rsidTr="00CF531F">
        <w:tc>
          <w:tcPr>
            <w:tcW w:w="2410" w:type="dxa"/>
            <w:shd w:val="clear" w:color="auto" w:fill="DEEAF6" w:themeFill="accent5" w:themeFillTint="33"/>
            <w:hideMark/>
          </w:tcPr>
          <w:p w:rsidR="008642D6" w:rsidRPr="00404806" w:rsidRDefault="008642D6" w:rsidP="00404806">
            <w:pPr>
              <w:spacing w:after="0"/>
              <w:jc w:val="left"/>
              <w:rPr>
                <w:b/>
                <w:sz w:val="22"/>
                <w:szCs w:val="24"/>
                <w:lang w:val="en-US"/>
              </w:rPr>
            </w:pPr>
            <w:r w:rsidRPr="00404806">
              <w:rPr>
                <w:rFonts w:cstheme="minorHAnsi"/>
                <w:b/>
                <w:sz w:val="22"/>
                <w:szCs w:val="24"/>
                <w:lang w:val="en-US"/>
              </w:rPr>
              <w:t>Mandatory</w:t>
            </w:r>
          </w:p>
        </w:tc>
        <w:tc>
          <w:tcPr>
            <w:tcW w:w="4253" w:type="dxa"/>
            <w:shd w:val="clear" w:color="auto" w:fill="DEEAF6" w:themeFill="accent5" w:themeFillTint="33"/>
            <w:hideMark/>
          </w:tcPr>
          <w:p w:rsidR="008642D6" w:rsidRPr="00404806" w:rsidRDefault="008642D6" w:rsidP="00404806">
            <w:pPr>
              <w:spacing w:after="0"/>
              <w:jc w:val="center"/>
              <w:rPr>
                <w:b/>
                <w:sz w:val="22"/>
                <w:szCs w:val="24"/>
                <w:lang w:val="en-US"/>
              </w:rPr>
            </w:pPr>
            <w:r w:rsidRPr="00404806">
              <w:rPr>
                <w:rFonts w:cstheme="minorHAnsi"/>
                <w:b/>
                <w:sz w:val="22"/>
                <w:szCs w:val="24"/>
                <w:lang w:val="en-US"/>
              </w:rPr>
              <w:t>Recommended</w:t>
            </w:r>
          </w:p>
        </w:tc>
        <w:tc>
          <w:tcPr>
            <w:tcW w:w="2353" w:type="dxa"/>
            <w:shd w:val="clear" w:color="auto" w:fill="DEEAF6" w:themeFill="accent5" w:themeFillTint="33"/>
            <w:hideMark/>
          </w:tcPr>
          <w:p w:rsidR="008642D6" w:rsidRPr="00404806" w:rsidRDefault="008642D6" w:rsidP="00404806">
            <w:pPr>
              <w:spacing w:after="0"/>
              <w:jc w:val="center"/>
              <w:rPr>
                <w:sz w:val="22"/>
                <w:szCs w:val="24"/>
                <w:lang w:val="en-US"/>
              </w:rPr>
            </w:pPr>
            <w:r w:rsidRPr="00404806">
              <w:rPr>
                <w:rFonts w:cstheme="minorHAnsi"/>
                <w:b/>
                <w:sz w:val="22"/>
                <w:szCs w:val="24"/>
                <w:lang w:val="en-US"/>
              </w:rPr>
              <w:t>Source</w:t>
            </w:r>
          </w:p>
        </w:tc>
      </w:tr>
      <w:tr w:rsidR="008642D6" w:rsidRPr="00DC044B" w:rsidTr="00404806">
        <w:tc>
          <w:tcPr>
            <w:tcW w:w="2410" w:type="dxa"/>
          </w:tcPr>
          <w:p w:rsidR="008642D6" w:rsidRPr="00772AC0" w:rsidRDefault="008642D6" w:rsidP="00FB44ED">
            <w:pPr>
              <w:spacing w:after="60"/>
              <w:jc w:val="left"/>
              <w:rPr>
                <w:rFonts w:cstheme="minorHAnsi"/>
                <w:sz w:val="22"/>
              </w:rPr>
            </w:pPr>
            <w:r>
              <w:rPr>
                <w:rFonts w:cstheme="minorHAnsi"/>
                <w:sz w:val="22"/>
              </w:rPr>
              <w:t xml:space="preserve">Functional assessment tool must be completed </w:t>
            </w:r>
          </w:p>
        </w:tc>
        <w:tc>
          <w:tcPr>
            <w:tcW w:w="4253" w:type="dxa"/>
          </w:tcPr>
          <w:p w:rsidR="008642D6" w:rsidRPr="00F97131" w:rsidRDefault="008642D6" w:rsidP="00F97131">
            <w:pPr>
              <w:pStyle w:val="ListParagraph"/>
              <w:numPr>
                <w:ilvl w:val="0"/>
                <w:numId w:val="234"/>
              </w:numPr>
              <w:spacing w:after="60"/>
              <w:ind w:left="227" w:hanging="227"/>
              <w:jc w:val="left"/>
              <w:rPr>
                <w:sz w:val="22"/>
              </w:rPr>
            </w:pPr>
            <w:r w:rsidRPr="00F97131">
              <w:rPr>
                <w:sz w:val="22"/>
              </w:rPr>
              <w:t>Physical Mobility Scale (PMS) (note this is mandatory in the ADL domain)</w:t>
            </w:r>
            <w:r w:rsidR="00F97131">
              <w:rPr>
                <w:sz w:val="22"/>
              </w:rPr>
              <w:t>.</w:t>
            </w:r>
          </w:p>
          <w:p w:rsidR="008642D6" w:rsidRPr="00F97131" w:rsidRDefault="00F97131" w:rsidP="00F97131">
            <w:pPr>
              <w:pStyle w:val="ListParagraph"/>
              <w:numPr>
                <w:ilvl w:val="0"/>
                <w:numId w:val="234"/>
              </w:numPr>
              <w:spacing w:after="60"/>
              <w:ind w:left="227" w:hanging="227"/>
              <w:jc w:val="left"/>
              <w:rPr>
                <w:sz w:val="22"/>
              </w:rPr>
            </w:pPr>
            <w:r>
              <w:rPr>
                <w:sz w:val="22"/>
              </w:rPr>
              <w:t>Manual Muscle Test.</w:t>
            </w:r>
          </w:p>
          <w:p w:rsidR="008642D6" w:rsidRPr="00F97131" w:rsidRDefault="008642D6" w:rsidP="00F97131">
            <w:pPr>
              <w:pStyle w:val="ListParagraph"/>
              <w:numPr>
                <w:ilvl w:val="0"/>
                <w:numId w:val="234"/>
              </w:numPr>
              <w:spacing w:after="60"/>
              <w:ind w:left="227" w:hanging="227"/>
              <w:jc w:val="left"/>
              <w:rPr>
                <w:sz w:val="22"/>
              </w:rPr>
            </w:pPr>
            <w:r w:rsidRPr="00F97131">
              <w:rPr>
                <w:sz w:val="22"/>
              </w:rPr>
              <w:t>Berg Balance Scale</w:t>
            </w:r>
            <w:r w:rsidR="00F97131">
              <w:rPr>
                <w:sz w:val="22"/>
              </w:rPr>
              <w:t>.</w:t>
            </w:r>
          </w:p>
          <w:p w:rsidR="008642D6" w:rsidRPr="00F97131" w:rsidRDefault="008642D6" w:rsidP="00F97131">
            <w:pPr>
              <w:pStyle w:val="ListParagraph"/>
              <w:numPr>
                <w:ilvl w:val="0"/>
                <w:numId w:val="234"/>
              </w:numPr>
              <w:spacing w:after="60"/>
              <w:ind w:left="227" w:hanging="227"/>
              <w:jc w:val="left"/>
              <w:rPr>
                <w:sz w:val="22"/>
              </w:rPr>
            </w:pPr>
            <w:r w:rsidRPr="00F97131">
              <w:rPr>
                <w:sz w:val="22"/>
              </w:rPr>
              <w:t>Balance Outcome Measure for Elder Rehabilitation</w:t>
            </w:r>
            <w:r w:rsidR="00F97131">
              <w:rPr>
                <w:sz w:val="22"/>
              </w:rPr>
              <w:t>.</w:t>
            </w:r>
          </w:p>
          <w:p w:rsidR="008642D6" w:rsidRPr="00F97131" w:rsidRDefault="008642D6" w:rsidP="00F97131">
            <w:pPr>
              <w:pStyle w:val="ListParagraph"/>
              <w:numPr>
                <w:ilvl w:val="0"/>
                <w:numId w:val="234"/>
              </w:numPr>
              <w:spacing w:after="60"/>
              <w:ind w:left="227" w:hanging="227"/>
              <w:jc w:val="left"/>
              <w:rPr>
                <w:sz w:val="22"/>
              </w:rPr>
            </w:pPr>
            <w:r w:rsidRPr="00F97131">
              <w:rPr>
                <w:rFonts w:cstheme="minorHAnsi"/>
                <w:sz w:val="22"/>
              </w:rPr>
              <w:t>Short Physical Performance Battery</w:t>
            </w:r>
            <w:r w:rsidR="00F97131">
              <w:rPr>
                <w:rFonts w:cstheme="minorHAnsi"/>
                <w:sz w:val="22"/>
              </w:rPr>
              <w:t>.</w:t>
            </w:r>
          </w:p>
        </w:tc>
        <w:tc>
          <w:tcPr>
            <w:tcW w:w="2353" w:type="dxa"/>
          </w:tcPr>
          <w:p w:rsidR="008642D6" w:rsidRPr="00772AC0" w:rsidRDefault="008642D6" w:rsidP="00FB44ED">
            <w:pPr>
              <w:spacing w:after="60"/>
              <w:jc w:val="left"/>
              <w:rPr>
                <w:sz w:val="22"/>
                <w:lang w:val="en-US"/>
              </w:rPr>
            </w:pPr>
            <w:r>
              <w:rPr>
                <w:sz w:val="22"/>
                <w:lang w:val="en-US"/>
              </w:rPr>
              <w:t>R-</w:t>
            </w:r>
            <w:r w:rsidRPr="00772AC0">
              <w:rPr>
                <w:sz w:val="22"/>
                <w:lang w:val="en-US"/>
              </w:rPr>
              <w:t>ACFI Assessment Pack</w:t>
            </w:r>
            <w:r w:rsidRPr="00772AC0">
              <w:rPr>
                <w:rFonts w:cstheme="minorHAnsi"/>
                <w:sz w:val="22"/>
              </w:rPr>
              <w:t xml:space="preserve"> </w:t>
            </w:r>
          </w:p>
        </w:tc>
      </w:tr>
      <w:tr w:rsidR="008642D6" w:rsidRPr="00404806" w:rsidTr="00404806">
        <w:tc>
          <w:tcPr>
            <w:tcW w:w="9016" w:type="dxa"/>
            <w:gridSpan w:val="3"/>
            <w:shd w:val="clear" w:color="auto" w:fill="5B9BD5" w:themeFill="accent5"/>
          </w:tcPr>
          <w:p w:rsidR="008642D6" w:rsidRPr="00404806" w:rsidRDefault="00404806" w:rsidP="00404806">
            <w:pPr>
              <w:spacing w:before="60" w:after="60"/>
              <w:jc w:val="left"/>
              <w:rPr>
                <w:b/>
                <w:color w:val="FFFFFF" w:themeColor="background1"/>
                <w:lang w:val="en-US"/>
              </w:rPr>
            </w:pPr>
            <w:r w:rsidRPr="00404806">
              <w:rPr>
                <w:b/>
                <w:color w:val="FFFFFF" w:themeColor="background1"/>
                <w:lang w:val="en-US"/>
              </w:rPr>
              <w:t xml:space="preserve">Therapy Program: </w:t>
            </w:r>
            <w:r w:rsidR="008642D6" w:rsidRPr="00404806">
              <w:rPr>
                <w:b/>
                <w:color w:val="FFFFFF" w:themeColor="background1"/>
                <w:lang w:val="en-US"/>
              </w:rPr>
              <w:t>Pain Assessment</w:t>
            </w:r>
          </w:p>
        </w:tc>
      </w:tr>
      <w:tr w:rsidR="00404806" w:rsidRPr="00404806" w:rsidTr="00CF531F">
        <w:tc>
          <w:tcPr>
            <w:tcW w:w="2410" w:type="dxa"/>
            <w:shd w:val="clear" w:color="auto" w:fill="DEEAF6" w:themeFill="accent5" w:themeFillTint="33"/>
            <w:hideMark/>
          </w:tcPr>
          <w:p w:rsidR="00404806" w:rsidRPr="00404806" w:rsidRDefault="00404806" w:rsidP="00404806">
            <w:pPr>
              <w:spacing w:after="0"/>
              <w:jc w:val="left"/>
              <w:rPr>
                <w:b/>
                <w:sz w:val="22"/>
                <w:szCs w:val="24"/>
                <w:lang w:val="en-US"/>
              </w:rPr>
            </w:pPr>
            <w:r w:rsidRPr="00404806">
              <w:rPr>
                <w:rFonts w:cstheme="minorHAnsi"/>
                <w:b/>
                <w:sz w:val="22"/>
                <w:szCs w:val="24"/>
                <w:lang w:val="en-US"/>
              </w:rPr>
              <w:t>Mandatory</w:t>
            </w:r>
          </w:p>
        </w:tc>
        <w:tc>
          <w:tcPr>
            <w:tcW w:w="4253" w:type="dxa"/>
            <w:shd w:val="clear" w:color="auto" w:fill="DEEAF6" w:themeFill="accent5" w:themeFillTint="33"/>
            <w:hideMark/>
          </w:tcPr>
          <w:p w:rsidR="00404806" w:rsidRPr="00404806" w:rsidRDefault="00404806" w:rsidP="00404806">
            <w:pPr>
              <w:spacing w:after="0"/>
              <w:jc w:val="center"/>
              <w:rPr>
                <w:b/>
                <w:sz w:val="22"/>
                <w:szCs w:val="24"/>
                <w:lang w:val="en-US"/>
              </w:rPr>
            </w:pPr>
            <w:r w:rsidRPr="00404806">
              <w:rPr>
                <w:rFonts w:cstheme="minorHAnsi"/>
                <w:b/>
                <w:sz w:val="22"/>
                <w:szCs w:val="24"/>
                <w:lang w:val="en-US"/>
              </w:rPr>
              <w:t>Recommended</w:t>
            </w:r>
          </w:p>
        </w:tc>
        <w:tc>
          <w:tcPr>
            <w:tcW w:w="2353" w:type="dxa"/>
            <w:shd w:val="clear" w:color="auto" w:fill="DEEAF6" w:themeFill="accent5" w:themeFillTint="33"/>
            <w:hideMark/>
          </w:tcPr>
          <w:p w:rsidR="00404806" w:rsidRPr="00404806" w:rsidRDefault="00404806" w:rsidP="00404806">
            <w:pPr>
              <w:spacing w:after="0"/>
              <w:jc w:val="center"/>
              <w:rPr>
                <w:sz w:val="22"/>
                <w:szCs w:val="24"/>
                <w:lang w:val="en-US"/>
              </w:rPr>
            </w:pPr>
            <w:r w:rsidRPr="00404806">
              <w:rPr>
                <w:rFonts w:cstheme="minorHAnsi"/>
                <w:b/>
                <w:sz w:val="22"/>
                <w:szCs w:val="24"/>
                <w:lang w:val="en-US"/>
              </w:rPr>
              <w:t>Source</w:t>
            </w:r>
          </w:p>
        </w:tc>
      </w:tr>
      <w:tr w:rsidR="008642D6" w:rsidRPr="00DC044B" w:rsidTr="00404806">
        <w:tc>
          <w:tcPr>
            <w:tcW w:w="2410" w:type="dxa"/>
            <w:vMerge w:val="restart"/>
          </w:tcPr>
          <w:p w:rsidR="008642D6" w:rsidRPr="00772AC0" w:rsidRDefault="008642D6" w:rsidP="00FB44ED">
            <w:pPr>
              <w:spacing w:after="60"/>
              <w:jc w:val="left"/>
              <w:rPr>
                <w:sz w:val="22"/>
                <w:lang w:val="en-US"/>
              </w:rPr>
            </w:pPr>
            <w:r>
              <w:rPr>
                <w:sz w:val="22"/>
                <w:lang w:val="en-US"/>
              </w:rPr>
              <w:t>Pain assessment must be completed</w:t>
            </w:r>
          </w:p>
        </w:tc>
        <w:tc>
          <w:tcPr>
            <w:tcW w:w="4253" w:type="dxa"/>
          </w:tcPr>
          <w:p w:rsidR="008642D6" w:rsidRPr="00F97131" w:rsidRDefault="008642D6" w:rsidP="00F97131">
            <w:pPr>
              <w:pStyle w:val="ListParagraph"/>
              <w:numPr>
                <w:ilvl w:val="0"/>
                <w:numId w:val="234"/>
              </w:numPr>
              <w:spacing w:after="60"/>
              <w:ind w:left="227" w:hanging="227"/>
              <w:jc w:val="left"/>
              <w:rPr>
                <w:sz w:val="22"/>
              </w:rPr>
            </w:pPr>
            <w:r w:rsidRPr="00772AC0">
              <w:rPr>
                <w:sz w:val="22"/>
              </w:rPr>
              <w:t>Modified Resident’s Verbal Brief Pain Inventory (M-RVBPI) is suitable for residents who can be interviewed.</w:t>
            </w:r>
          </w:p>
        </w:tc>
        <w:tc>
          <w:tcPr>
            <w:tcW w:w="2353" w:type="dxa"/>
          </w:tcPr>
          <w:p w:rsidR="008642D6" w:rsidRPr="00772AC0" w:rsidRDefault="008642D6" w:rsidP="00FB44ED">
            <w:pPr>
              <w:spacing w:after="60"/>
              <w:jc w:val="left"/>
              <w:rPr>
                <w:sz w:val="22"/>
                <w:lang w:val="en-US"/>
              </w:rPr>
            </w:pPr>
            <w:r>
              <w:rPr>
                <w:sz w:val="22"/>
              </w:rPr>
              <w:t xml:space="preserve">PMG Kit </w:t>
            </w:r>
          </w:p>
        </w:tc>
      </w:tr>
      <w:tr w:rsidR="008642D6" w:rsidRPr="00DC044B" w:rsidTr="00404806">
        <w:tc>
          <w:tcPr>
            <w:tcW w:w="2410" w:type="dxa"/>
            <w:vMerge/>
          </w:tcPr>
          <w:p w:rsidR="008642D6" w:rsidRPr="00772AC0" w:rsidRDefault="008642D6" w:rsidP="00FB44ED">
            <w:pPr>
              <w:spacing w:after="60"/>
              <w:jc w:val="left"/>
              <w:rPr>
                <w:sz w:val="22"/>
                <w:lang w:val="en-US"/>
              </w:rPr>
            </w:pPr>
          </w:p>
        </w:tc>
        <w:tc>
          <w:tcPr>
            <w:tcW w:w="4253" w:type="dxa"/>
          </w:tcPr>
          <w:p w:rsidR="00F97131" w:rsidRDefault="008642D6" w:rsidP="00F97131">
            <w:pPr>
              <w:pStyle w:val="ListParagraph"/>
              <w:numPr>
                <w:ilvl w:val="0"/>
                <w:numId w:val="234"/>
              </w:numPr>
              <w:spacing w:after="60"/>
              <w:ind w:left="227" w:hanging="227"/>
              <w:jc w:val="left"/>
              <w:rPr>
                <w:sz w:val="22"/>
              </w:rPr>
            </w:pPr>
            <w:r w:rsidRPr="00F97131">
              <w:rPr>
                <w:sz w:val="22"/>
              </w:rPr>
              <w:t>Pain Assessment in Advanced Dementia (PAINAD)</w:t>
            </w:r>
            <w:r w:rsidR="00F97131">
              <w:rPr>
                <w:sz w:val="22"/>
              </w:rPr>
              <w:t>.</w:t>
            </w:r>
          </w:p>
          <w:p w:rsidR="00F97131" w:rsidRPr="00F97131" w:rsidRDefault="00F97131" w:rsidP="00F97131">
            <w:pPr>
              <w:spacing w:after="60"/>
              <w:jc w:val="left"/>
              <w:rPr>
                <w:sz w:val="22"/>
              </w:rPr>
            </w:pPr>
            <w:r>
              <w:rPr>
                <w:sz w:val="22"/>
              </w:rPr>
              <w:t>OR</w:t>
            </w:r>
          </w:p>
          <w:p w:rsidR="008642D6" w:rsidRPr="00F97131" w:rsidRDefault="008642D6" w:rsidP="00F97131">
            <w:pPr>
              <w:pStyle w:val="ListParagraph"/>
              <w:numPr>
                <w:ilvl w:val="0"/>
                <w:numId w:val="234"/>
              </w:numPr>
              <w:spacing w:after="60"/>
              <w:ind w:left="227" w:hanging="227"/>
              <w:jc w:val="left"/>
              <w:rPr>
                <w:sz w:val="22"/>
              </w:rPr>
            </w:pPr>
            <w:r w:rsidRPr="00F97131">
              <w:rPr>
                <w:sz w:val="22"/>
              </w:rPr>
              <w:t xml:space="preserve">Abbey Pain Scale </w:t>
            </w:r>
            <w:r w:rsidRPr="00772AC0">
              <w:rPr>
                <w:sz w:val="22"/>
              </w:rPr>
              <w:t xml:space="preserve">is suitable </w:t>
            </w:r>
            <w:r w:rsidRPr="00F97131">
              <w:rPr>
                <w:sz w:val="22"/>
              </w:rPr>
              <w:t>for observational assessment.</w:t>
            </w:r>
          </w:p>
        </w:tc>
        <w:tc>
          <w:tcPr>
            <w:tcW w:w="2353" w:type="dxa"/>
          </w:tcPr>
          <w:p w:rsidR="008642D6" w:rsidRPr="00772AC0" w:rsidRDefault="008642D6" w:rsidP="00FB44ED">
            <w:pPr>
              <w:spacing w:after="60"/>
              <w:jc w:val="left"/>
              <w:rPr>
                <w:sz w:val="22"/>
                <w:lang w:val="en-US"/>
              </w:rPr>
            </w:pPr>
            <w:r>
              <w:rPr>
                <w:sz w:val="22"/>
              </w:rPr>
              <w:t>PMG Kit</w:t>
            </w:r>
          </w:p>
        </w:tc>
      </w:tr>
      <w:tr w:rsidR="008642D6" w:rsidRPr="00DC044B" w:rsidTr="00404806">
        <w:tc>
          <w:tcPr>
            <w:tcW w:w="2410" w:type="dxa"/>
            <w:vMerge/>
          </w:tcPr>
          <w:p w:rsidR="008642D6" w:rsidRPr="00772AC0" w:rsidRDefault="008642D6" w:rsidP="00FB44ED">
            <w:pPr>
              <w:spacing w:after="60"/>
              <w:jc w:val="left"/>
              <w:rPr>
                <w:sz w:val="22"/>
                <w:lang w:val="en-US"/>
              </w:rPr>
            </w:pPr>
          </w:p>
        </w:tc>
        <w:tc>
          <w:tcPr>
            <w:tcW w:w="4253" w:type="dxa"/>
          </w:tcPr>
          <w:p w:rsidR="00F97131" w:rsidRDefault="008642D6" w:rsidP="00F97131">
            <w:pPr>
              <w:pStyle w:val="ListParagraph"/>
              <w:numPr>
                <w:ilvl w:val="0"/>
                <w:numId w:val="234"/>
              </w:numPr>
              <w:spacing w:after="60"/>
              <w:ind w:left="227" w:hanging="227"/>
              <w:jc w:val="left"/>
              <w:rPr>
                <w:sz w:val="22"/>
              </w:rPr>
            </w:pPr>
            <w:r w:rsidRPr="00772AC0">
              <w:rPr>
                <w:sz w:val="22"/>
              </w:rPr>
              <w:t>Unidimensional tools (Numeric Pain Rating Scale (NRS)</w:t>
            </w:r>
            <w:r w:rsidR="00F97131">
              <w:rPr>
                <w:sz w:val="22"/>
              </w:rPr>
              <w:t>.</w:t>
            </w:r>
          </w:p>
          <w:p w:rsidR="00F97131" w:rsidRPr="00F97131" w:rsidRDefault="00F97131" w:rsidP="00F97131">
            <w:pPr>
              <w:spacing w:after="60"/>
              <w:jc w:val="left"/>
              <w:rPr>
                <w:sz w:val="22"/>
              </w:rPr>
            </w:pPr>
            <w:r>
              <w:rPr>
                <w:sz w:val="22"/>
              </w:rPr>
              <w:t>AND</w:t>
            </w:r>
          </w:p>
          <w:p w:rsidR="00F97131" w:rsidRDefault="008642D6" w:rsidP="00F97131">
            <w:pPr>
              <w:pStyle w:val="ListParagraph"/>
              <w:numPr>
                <w:ilvl w:val="0"/>
                <w:numId w:val="234"/>
              </w:numPr>
              <w:spacing w:after="60"/>
              <w:ind w:left="227" w:hanging="227"/>
              <w:jc w:val="left"/>
              <w:rPr>
                <w:sz w:val="22"/>
              </w:rPr>
            </w:pPr>
            <w:r w:rsidRPr="00772AC0">
              <w:rPr>
                <w:sz w:val="22"/>
              </w:rPr>
              <w:t xml:space="preserve">Verbal Rating Scale (VRS)] </w:t>
            </w:r>
            <w:r w:rsidRPr="00F97131">
              <w:rPr>
                <w:sz w:val="22"/>
              </w:rPr>
              <w:t>for the ongoing evaluation of pain inten</w:t>
            </w:r>
            <w:r w:rsidR="00F97131">
              <w:rPr>
                <w:sz w:val="22"/>
              </w:rPr>
              <w:t>sity and response to treatment.</w:t>
            </w:r>
          </w:p>
          <w:p w:rsidR="008642D6" w:rsidRPr="00F97131" w:rsidRDefault="008642D6" w:rsidP="00F97131">
            <w:pPr>
              <w:spacing w:after="60"/>
              <w:jc w:val="left"/>
              <w:rPr>
                <w:sz w:val="22"/>
              </w:rPr>
            </w:pPr>
            <w:r w:rsidRPr="00F97131">
              <w:rPr>
                <w:sz w:val="22"/>
              </w:rPr>
              <w:t>Not suitable for residents with severe cognitive impairments.</w:t>
            </w:r>
          </w:p>
        </w:tc>
        <w:tc>
          <w:tcPr>
            <w:tcW w:w="2353" w:type="dxa"/>
          </w:tcPr>
          <w:p w:rsidR="008642D6" w:rsidRPr="00772AC0" w:rsidRDefault="008642D6" w:rsidP="00FB44ED">
            <w:pPr>
              <w:spacing w:after="60"/>
              <w:jc w:val="left"/>
              <w:rPr>
                <w:sz w:val="22"/>
                <w:lang w:val="en-US"/>
              </w:rPr>
            </w:pPr>
            <w:r>
              <w:rPr>
                <w:sz w:val="22"/>
              </w:rPr>
              <w:t>PMG Kit</w:t>
            </w:r>
          </w:p>
        </w:tc>
      </w:tr>
    </w:tbl>
    <w:p w:rsidR="008642D6" w:rsidRDefault="008642D6" w:rsidP="005969C7">
      <w:r>
        <w:br w:type="page"/>
      </w:r>
    </w:p>
    <w:p w:rsidR="00256E3D" w:rsidRDefault="00256E3D" w:rsidP="00DE0576">
      <w:pPr>
        <w:pStyle w:val="Heading1-Chapters"/>
        <w:ind w:right="-188"/>
      </w:pPr>
      <w:bookmarkStart w:id="517" w:name="_Toc491426057"/>
      <w:r w:rsidRPr="00B41FD5">
        <w:lastRenderedPageBreak/>
        <w:t xml:space="preserve">R-ACFI </w:t>
      </w:r>
      <w:r>
        <w:t>Classification and Funding Outcomes</w:t>
      </w:r>
      <w:bookmarkEnd w:id="513"/>
      <w:bookmarkEnd w:id="514"/>
      <w:bookmarkEnd w:id="517"/>
    </w:p>
    <w:p w:rsidR="00D65C73" w:rsidRPr="00FB04FA" w:rsidRDefault="00D65C73" w:rsidP="00D65C73">
      <w:pPr>
        <w:shd w:val="clear" w:color="auto" w:fill="DEEAF6" w:themeFill="accent5" w:themeFillTint="33"/>
      </w:pPr>
      <w:r w:rsidRPr="00FB04FA">
        <w:t>This Chapter covers:</w:t>
      </w:r>
    </w:p>
    <w:p w:rsidR="00D65C73" w:rsidRPr="00FB04FA" w:rsidRDefault="00D65C73" w:rsidP="00F02312">
      <w:pPr>
        <w:pStyle w:val="ListParagraph"/>
        <w:numPr>
          <w:ilvl w:val="0"/>
          <w:numId w:val="184"/>
        </w:numPr>
        <w:shd w:val="clear" w:color="auto" w:fill="DEEAF6" w:themeFill="accent5" w:themeFillTint="33"/>
        <w:ind w:left="357" w:hanging="357"/>
      </w:pPr>
      <w:r w:rsidRPr="00FB04FA">
        <w:t>An introduction to the ACFI funding approach</w:t>
      </w:r>
      <w:r w:rsidR="00374C2B">
        <w:t>.</w:t>
      </w:r>
    </w:p>
    <w:p w:rsidR="00D65C73" w:rsidRDefault="00D65C73" w:rsidP="00F02312">
      <w:pPr>
        <w:pStyle w:val="ListParagraph"/>
        <w:numPr>
          <w:ilvl w:val="0"/>
          <w:numId w:val="184"/>
        </w:numPr>
        <w:shd w:val="clear" w:color="auto" w:fill="DEEAF6" w:themeFill="accent5" w:themeFillTint="33"/>
        <w:ind w:left="357" w:hanging="357"/>
      </w:pPr>
      <w:r w:rsidRPr="00FB04FA">
        <w:t>The proposed R-ACFI classification and payment model</w:t>
      </w:r>
      <w:r w:rsidR="00374C2B">
        <w:t>.</w:t>
      </w:r>
    </w:p>
    <w:p w:rsidR="00D65C73" w:rsidRDefault="00D65C73" w:rsidP="00F02312">
      <w:pPr>
        <w:pStyle w:val="ListParagraph"/>
        <w:numPr>
          <w:ilvl w:val="0"/>
          <w:numId w:val="184"/>
        </w:numPr>
        <w:shd w:val="clear" w:color="auto" w:fill="DEEAF6" w:themeFill="accent5" w:themeFillTint="33"/>
        <w:ind w:left="357" w:hanging="357"/>
      </w:pPr>
      <w:r w:rsidRPr="00FB04FA">
        <w:t>Analysis of the R-ACFI funding impacts by care domain &amp; Therapy Program</w:t>
      </w:r>
      <w:r w:rsidR="00374C2B">
        <w:t>.</w:t>
      </w:r>
    </w:p>
    <w:p w:rsidR="00980F62" w:rsidRDefault="00473246" w:rsidP="00EF2E7C">
      <w:pPr>
        <w:shd w:val="clear" w:color="auto" w:fill="DEEAF6" w:themeFill="accent5" w:themeFillTint="33"/>
        <w:spacing w:before="240"/>
      </w:pPr>
      <w:hyperlink w:anchor="Ch02" w:history="1">
        <w:r w:rsidR="00AA618F" w:rsidRPr="00CF7AFA">
          <w:rPr>
            <w:rStyle w:val="Hyperlink"/>
          </w:rPr>
          <w:t>Chapter 2</w:t>
        </w:r>
      </w:hyperlink>
      <w:r w:rsidR="00AA618F" w:rsidRPr="00273113">
        <w:t xml:space="preserve"> and Appendix 8 </w:t>
      </w:r>
      <w:r w:rsidR="00AA618F">
        <w:t xml:space="preserve">of this report </w:t>
      </w:r>
      <w:r w:rsidR="00AA618F" w:rsidRPr="00273113">
        <w:t>provide a description of the IRT methods used to re-analyse the ADL domain</w:t>
      </w:r>
      <w:r w:rsidR="00AA618F">
        <w:t xml:space="preserve">. </w:t>
      </w:r>
      <w:r w:rsidR="00AA618F" w:rsidRPr="00273113">
        <w:t xml:space="preserve">A detailed discussion of the R-ACFI statistical underpinnings and model is </w:t>
      </w:r>
      <w:r w:rsidR="00AA618F">
        <w:t>provided</w:t>
      </w:r>
      <w:r w:rsidR="00AA618F" w:rsidRPr="00273113">
        <w:t xml:space="preserve"> in </w:t>
      </w:r>
      <w:hyperlink w:anchor="Ch03" w:history="1">
        <w:r w:rsidR="00AA618F" w:rsidRPr="00CF7AFA">
          <w:rPr>
            <w:rStyle w:val="Hyperlink"/>
          </w:rPr>
          <w:t>Chapter 3</w:t>
        </w:r>
      </w:hyperlink>
      <w:r w:rsidR="00AA618F" w:rsidRPr="00273113">
        <w:t>.</w:t>
      </w:r>
    </w:p>
    <w:p w:rsidR="00256E3D" w:rsidRDefault="00256E3D" w:rsidP="005E0BCA">
      <w:pPr>
        <w:pStyle w:val="Heading2-Chapter8"/>
      </w:pPr>
      <w:bookmarkStart w:id="518" w:name="_Toc486596365"/>
      <w:bookmarkStart w:id="519" w:name="_Toc486600063"/>
      <w:bookmarkStart w:id="520" w:name="_Toc491426058"/>
      <w:r>
        <w:t>Introduction</w:t>
      </w:r>
      <w:bookmarkEnd w:id="518"/>
      <w:bookmarkEnd w:id="519"/>
      <w:bookmarkEnd w:id="520"/>
    </w:p>
    <w:p w:rsidR="00980F62" w:rsidRDefault="00256E3D" w:rsidP="002E1C04">
      <w:r>
        <w:t>The ACFI system provides the funding (issues about adequacy aside)</w:t>
      </w:r>
      <w:r w:rsidR="00AA618F">
        <w:t>,</w:t>
      </w:r>
      <w:r>
        <w:t xml:space="preserve"> to cover all care related areas and requirements as described in the Specified Care and Services (there are exclusions where fees can be charged) and the Quality of Care Principles legislation. The ACFI questions should be considered selective </w:t>
      </w:r>
      <w:r w:rsidR="00AA618F">
        <w:t>‘</w:t>
      </w:r>
      <w:r>
        <w:t>indicators</w:t>
      </w:r>
      <w:r w:rsidR="00AA618F">
        <w:t>’</w:t>
      </w:r>
      <w:r>
        <w:t xml:space="preserve"> that provide the necessary resources to allow all of the required care related services to be delivered. It is not correct to interpret the ACFI funding as only covering areas targeted in the question set or only funding some care activities. It does not restrict, in any way, what can be done to assist residents. The ACFI funding is provided to cover the entire gamut of care areas covered in the legislation. Providers are not restricted in what care can be provided with the ACFI funding and restrictions, if they do exist, are necessarily imposed by the provider model of care, not the ACFI funding model.</w:t>
      </w:r>
    </w:p>
    <w:p w:rsidR="00256E3D" w:rsidRPr="002E7888" w:rsidRDefault="00256E3D" w:rsidP="002E7888">
      <w:pPr>
        <w:pStyle w:val="Heading3-Chapter81"/>
      </w:pPr>
      <w:r w:rsidRPr="002E7888">
        <w:t>The ACFI Funding Model</w:t>
      </w:r>
    </w:p>
    <w:p w:rsidR="00980F62" w:rsidRDefault="00256E3D" w:rsidP="002E1C04">
      <w:r>
        <w:t>This chapter provides modelling of the financial outcomes of the R-ACFI recommended changes. The results are necessarily indicative as a number of changes to the ACFI were not able to be accurately modelled, and the available data only covered the period to June 2016. More recent data with the latest ACFI changes would improve the accuracy of the modelling and allow further adjustment to the various cut points and funding determinations in the three care domains. Nevertheless, the modelling provides a useful indication of the likely outcomes if the R-ACFI changes are implemented.</w:t>
      </w:r>
    </w:p>
    <w:p w:rsidR="00256E3D" w:rsidRDefault="00256E3D" w:rsidP="002E1C04">
      <w:r w:rsidRPr="003C455A">
        <w:t xml:space="preserve">It should </w:t>
      </w:r>
      <w:r>
        <w:t xml:space="preserve">also </w:t>
      </w:r>
      <w:r w:rsidRPr="003C455A">
        <w:t>be noted that the project guidelines stipulate</w:t>
      </w:r>
      <w:r>
        <w:t>d</w:t>
      </w:r>
      <w:r w:rsidRPr="003C455A">
        <w:t xml:space="preserve"> that any changes to the ACFI had to be cost neutral in total. The R-ACFI funding levels have been determined in reference to rates that would apply from 1 July 2018 although firm rates can only be determined once 2017 ACFI data has been analysed</w:t>
      </w:r>
      <w:r>
        <w:t>,</w:t>
      </w:r>
      <w:r w:rsidRPr="003C455A">
        <w:t xml:space="preserve"> and the results of a proposed pilot have been analysed. The rates and financial outcomes discussed in the report should therefore be considered as </w:t>
      </w:r>
      <w:r w:rsidR="00B742A5">
        <w:t>‘</w:t>
      </w:r>
      <w:r w:rsidRPr="003C455A">
        <w:t>indicative</w:t>
      </w:r>
      <w:r w:rsidR="00B742A5">
        <w:t>’</w:t>
      </w:r>
      <w:r w:rsidRPr="003C455A">
        <w:t>.</w:t>
      </w:r>
      <w:bookmarkStart w:id="521" w:name="_Hlk484337469"/>
      <w:bookmarkEnd w:id="521"/>
    </w:p>
    <w:p w:rsidR="00256E3D" w:rsidRPr="005454D4" w:rsidRDefault="00256E3D" w:rsidP="002E1C04">
      <w:pPr>
        <w:spacing w:after="160" w:line="259" w:lineRule="auto"/>
        <w:rPr>
          <w:color w:val="222222"/>
          <w:szCs w:val="24"/>
        </w:rPr>
      </w:pPr>
      <w:bookmarkStart w:id="522" w:name="_Toc482092554"/>
      <w:r w:rsidRPr="0034402C">
        <w:rPr>
          <w:rFonts w:cs="Tahoma"/>
        </w:rPr>
        <w:t xml:space="preserve">The R-ACFI scales have been developed as separate ‘independent’ measures of care need, and the coefficients are only relevant within the scale in question, as the amount of funding </w:t>
      </w:r>
      <w:r w:rsidRPr="0034402C">
        <w:rPr>
          <w:rFonts w:cs="Tahoma"/>
        </w:rPr>
        <w:lastRenderedPageBreak/>
        <w:t>associated with each care domain (ADL</w:t>
      </w:r>
      <w:r>
        <w:rPr>
          <w:rFonts w:cs="Tahoma"/>
        </w:rPr>
        <w:t>, B</w:t>
      </w:r>
      <w:r w:rsidR="00B742A5">
        <w:rPr>
          <w:rFonts w:cs="Tahoma"/>
        </w:rPr>
        <w:t>EH</w:t>
      </w:r>
      <w:r w:rsidR="00E00E7A">
        <w:rPr>
          <w:rFonts w:cs="Tahoma"/>
        </w:rPr>
        <w:t>, CHC</w:t>
      </w:r>
      <w:r>
        <w:rPr>
          <w:rFonts w:cs="Tahoma"/>
        </w:rPr>
        <w:t>) was calibrated separately (refer Appendix 3.2; Appendix 8).</w:t>
      </w:r>
    </w:p>
    <w:p w:rsidR="00256E3D" w:rsidRPr="00EF2E7C" w:rsidRDefault="00256E3D" w:rsidP="002E7888">
      <w:pPr>
        <w:pStyle w:val="Heading3-Chapter81"/>
      </w:pPr>
      <w:r w:rsidRPr="00EF2E7C">
        <w:t>R-ACFI Domain Model</w:t>
      </w:r>
    </w:p>
    <w:p w:rsidR="00980F62" w:rsidRDefault="00256E3D" w:rsidP="002E1C04">
      <w:pPr>
        <w:spacing w:after="0" w:line="259" w:lineRule="auto"/>
        <w:rPr>
          <w:rFonts w:cs="Tahoma"/>
        </w:rPr>
      </w:pPr>
      <w:r>
        <w:rPr>
          <w:rFonts w:cs="Tahoma"/>
        </w:rPr>
        <w:t>The AFCI domain model has not changed although it could be easily re-structured around a branching design, as the measurement basis is sound and improved in the R-ACFI.</w:t>
      </w:r>
    </w:p>
    <w:p w:rsidR="00980F62" w:rsidRDefault="00256E3D" w:rsidP="002E1C04">
      <w:pPr>
        <w:rPr>
          <w:lang w:eastAsia="en-AU"/>
        </w:rPr>
      </w:pPr>
      <w:r w:rsidRPr="00417D14">
        <w:t xml:space="preserve">The </w:t>
      </w:r>
      <w:r>
        <w:t xml:space="preserve">ACFI and </w:t>
      </w:r>
      <w:r w:rsidRPr="00417D14">
        <w:t>R-ACFI methodology of partitioning the care needs into three main areas means that the R-ACFI funding models are flexible for future developments a</w:t>
      </w:r>
      <w:r>
        <w:t xml:space="preserve">s the various components (ADL, </w:t>
      </w:r>
      <w:r w:rsidR="00B742A5">
        <w:t>BEH</w:t>
      </w:r>
      <w:r>
        <w:t>, C</w:t>
      </w:r>
      <w:r w:rsidR="00B742A5">
        <w:t>HC</w:t>
      </w:r>
      <w:r w:rsidRPr="00417D14">
        <w:t xml:space="preserve">) can be adjusted with additional or modified questions, funding amounts can be differentially applied to the scale domains (e.g. a future cost calibration study may indicate a change in the funding relativities between or within the scales) and particular resident ‘types’ can be further targeted with the </w:t>
      </w:r>
      <w:r>
        <w:t>R-</w:t>
      </w:r>
      <w:r w:rsidRPr="00417D14">
        <w:t xml:space="preserve">ACFI models at a more resident specific level. </w:t>
      </w:r>
      <w:r>
        <w:rPr>
          <w:lang w:eastAsia="en-AU"/>
        </w:rPr>
        <w:t>The ACFI domain structure was also designed to allow for relative resource adjustments across domains in a way that had face validity for services and consumers. The R-ACFI is a significant change to the ACFI and it better identifies the relative resource needs of residents, key resource and cost drivers in long term care as well as providing a readily accessible care profile for each resident. More detail on the R-ACFI measurement basis and comparison to other design methodologies can be found in Chapter 3.</w:t>
      </w:r>
    </w:p>
    <w:p w:rsidR="00F95C00" w:rsidRDefault="00F95C00" w:rsidP="002E1C04">
      <w:pPr>
        <w:sectPr w:rsidR="00F95C00" w:rsidSect="008D61C7">
          <w:headerReference w:type="default" r:id="rId85"/>
          <w:footerReference w:type="default" r:id="rId86"/>
          <w:pgSz w:w="11906" w:h="16838"/>
          <w:pgMar w:top="1440" w:right="1440" w:bottom="1440" w:left="1440" w:header="708" w:footer="708" w:gutter="0"/>
          <w:cols w:space="708"/>
          <w:docGrid w:linePitch="360"/>
        </w:sectPr>
      </w:pPr>
      <w:bookmarkStart w:id="523" w:name="_Toc486596366"/>
      <w:bookmarkStart w:id="524" w:name="_Toc486600064"/>
    </w:p>
    <w:p w:rsidR="00980F62" w:rsidRDefault="00256E3D" w:rsidP="005E0BCA">
      <w:pPr>
        <w:pStyle w:val="Heading2-Chapter8"/>
      </w:pPr>
      <w:bookmarkStart w:id="525" w:name="_Toc491426059"/>
      <w:r>
        <w:t>T</w:t>
      </w:r>
      <w:r w:rsidRPr="006964C0">
        <w:t xml:space="preserve">he R-ACFI </w:t>
      </w:r>
      <w:r>
        <w:t>Classification and Payment Model</w:t>
      </w:r>
      <w:bookmarkEnd w:id="523"/>
      <w:bookmarkEnd w:id="524"/>
      <w:bookmarkEnd w:id="525"/>
    </w:p>
    <w:p w:rsidR="00980F62" w:rsidRDefault="00256E3D" w:rsidP="002E1C04">
      <w:pPr>
        <w:pStyle w:val="BodyText"/>
        <w:spacing w:before="0" w:line="276" w:lineRule="auto"/>
        <w:rPr>
          <w:rFonts w:asciiTheme="minorHAnsi" w:hAnsiTheme="minorHAnsi" w:cs="Tahoma"/>
        </w:rPr>
      </w:pPr>
      <w:r>
        <w:rPr>
          <w:rFonts w:asciiTheme="minorHAnsi" w:hAnsiTheme="minorHAnsi" w:cs="Tahoma"/>
        </w:rPr>
        <w:t xml:space="preserve">There are nine funded </w:t>
      </w:r>
      <w:r w:rsidR="00B742A5">
        <w:rPr>
          <w:rFonts w:asciiTheme="minorHAnsi" w:hAnsiTheme="minorHAnsi" w:cs="Tahoma"/>
        </w:rPr>
        <w:t>c</w:t>
      </w:r>
      <w:r w:rsidR="00B742A5" w:rsidRPr="003C455A">
        <w:rPr>
          <w:rFonts w:asciiTheme="minorHAnsi" w:hAnsiTheme="minorHAnsi" w:cs="Tahoma"/>
        </w:rPr>
        <w:t>ategories</w:t>
      </w:r>
      <w:r w:rsidR="00B742A5">
        <w:rPr>
          <w:rFonts w:asciiTheme="minorHAnsi" w:hAnsiTheme="minorHAnsi" w:cs="Tahoma"/>
        </w:rPr>
        <w:t xml:space="preserve">, </w:t>
      </w:r>
      <w:r w:rsidR="00B742A5" w:rsidRPr="003C455A">
        <w:rPr>
          <w:rFonts w:asciiTheme="minorHAnsi" w:hAnsiTheme="minorHAnsi" w:cs="Tahoma"/>
        </w:rPr>
        <w:t>which</w:t>
      </w:r>
      <w:r w:rsidRPr="003C455A">
        <w:rPr>
          <w:rFonts w:asciiTheme="minorHAnsi" w:hAnsiTheme="minorHAnsi" w:cs="Tahoma"/>
        </w:rPr>
        <w:t xml:space="preserve"> generate 48 payment classes</w:t>
      </w:r>
      <w:r>
        <w:rPr>
          <w:rFonts w:asciiTheme="minorHAnsi" w:hAnsiTheme="minorHAnsi" w:cs="Tahoma"/>
        </w:rPr>
        <w:t>, excluding the Therapy Program payment (Figures 8.1, 8.2)</w:t>
      </w:r>
      <w:r w:rsidRPr="003C455A">
        <w:rPr>
          <w:rFonts w:asciiTheme="minorHAnsi" w:hAnsiTheme="minorHAnsi" w:cs="Tahoma"/>
        </w:rPr>
        <w:t>.</w:t>
      </w:r>
      <w:r>
        <w:rPr>
          <w:rFonts w:asciiTheme="minorHAnsi" w:hAnsiTheme="minorHAnsi" w:cs="Tahoma"/>
        </w:rPr>
        <w:t xml:space="preserve"> </w:t>
      </w:r>
      <w:r w:rsidRPr="00CC48C5">
        <w:rPr>
          <w:rFonts w:asciiTheme="minorHAnsi" w:hAnsiTheme="minorHAnsi" w:cs="Tahoma"/>
        </w:rPr>
        <w:t>Funding is determined in a similar way to the ACFI although there are no</w:t>
      </w:r>
      <w:r>
        <w:rPr>
          <w:rFonts w:asciiTheme="minorHAnsi" w:hAnsiTheme="minorHAnsi" w:cs="Tahoma"/>
        </w:rPr>
        <w:t>w no</w:t>
      </w:r>
      <w:r w:rsidRPr="00CC48C5">
        <w:rPr>
          <w:rFonts w:asciiTheme="minorHAnsi" w:hAnsiTheme="minorHAnsi" w:cs="Tahoma"/>
        </w:rPr>
        <w:t xml:space="preserve"> A, B, C and D ratings in the ADL domain as the score is calculated directly from the checklist item weightings. </w:t>
      </w:r>
      <w:r>
        <w:rPr>
          <w:rFonts w:asciiTheme="minorHAnsi" w:hAnsiTheme="minorHAnsi" w:cs="Tahoma"/>
        </w:rPr>
        <w:t>The residents</w:t>
      </w:r>
      <w:r w:rsidRPr="00CC48C5">
        <w:rPr>
          <w:rFonts w:asciiTheme="minorHAnsi" w:hAnsiTheme="minorHAnsi" w:cs="Tahoma"/>
        </w:rPr>
        <w:t xml:space="preserve"> </w:t>
      </w:r>
      <w:r>
        <w:rPr>
          <w:rFonts w:asciiTheme="minorHAnsi" w:hAnsiTheme="minorHAnsi" w:cs="Tahoma"/>
        </w:rPr>
        <w:t>R-</w:t>
      </w:r>
      <w:r w:rsidRPr="00CC48C5">
        <w:rPr>
          <w:rFonts w:asciiTheme="minorHAnsi" w:hAnsiTheme="minorHAnsi" w:cs="Tahoma"/>
        </w:rPr>
        <w:t xml:space="preserve">ACFI ADL score would equal the sum of the coefficients in the ADL scale table shown in the next section. The ADL domain now has four funded classification levels with all residents receiving the lowest ADL funding. </w:t>
      </w:r>
      <w:r>
        <w:rPr>
          <w:rFonts w:asciiTheme="minorHAnsi" w:hAnsiTheme="minorHAnsi" w:cs="Tahoma"/>
        </w:rPr>
        <w:t xml:space="preserve">The </w:t>
      </w:r>
      <w:r w:rsidR="003B5228">
        <w:rPr>
          <w:rFonts w:asciiTheme="minorHAnsi" w:hAnsiTheme="minorHAnsi" w:cs="Tahoma"/>
        </w:rPr>
        <w:t xml:space="preserve">BEH </w:t>
      </w:r>
      <w:r>
        <w:rPr>
          <w:rFonts w:asciiTheme="minorHAnsi" w:hAnsiTheme="minorHAnsi" w:cs="Tahoma"/>
        </w:rPr>
        <w:t xml:space="preserve">domain determination has changed as </w:t>
      </w:r>
      <w:r w:rsidRPr="00CC48C5">
        <w:rPr>
          <w:rFonts w:asciiTheme="minorHAnsi" w:hAnsiTheme="minorHAnsi" w:cs="Tahoma"/>
        </w:rPr>
        <w:t>there is a new matrix which links behaviour frequency and disruptiveness</w:t>
      </w:r>
      <w:r>
        <w:rPr>
          <w:rFonts w:asciiTheme="minorHAnsi" w:hAnsiTheme="minorHAnsi" w:cs="Tahoma"/>
        </w:rPr>
        <w:t xml:space="preserve"> to achieve the outcome of only two funded levels. </w:t>
      </w:r>
      <w:r w:rsidRPr="00483AA8">
        <w:rPr>
          <w:rFonts w:asciiTheme="minorHAnsi" w:hAnsiTheme="minorHAnsi" w:cs="Tahoma"/>
        </w:rPr>
        <w:t xml:space="preserve">The CHC domain is simplified with the removal of the medication matrix. With the movement of the depression item into the </w:t>
      </w:r>
      <w:r>
        <w:rPr>
          <w:rFonts w:asciiTheme="minorHAnsi" w:hAnsiTheme="minorHAnsi" w:cs="Tahoma"/>
        </w:rPr>
        <w:t xml:space="preserve">CHC </w:t>
      </w:r>
      <w:r w:rsidRPr="00483AA8">
        <w:rPr>
          <w:rFonts w:asciiTheme="minorHAnsi" w:hAnsiTheme="minorHAnsi" w:cs="Tahoma"/>
        </w:rPr>
        <w:t xml:space="preserve">domain, the removal of the pain management and other items, new cut points have been established. The domain still </w:t>
      </w:r>
      <w:r>
        <w:rPr>
          <w:rFonts w:asciiTheme="minorHAnsi" w:hAnsiTheme="minorHAnsi" w:cs="Tahoma"/>
        </w:rPr>
        <w:t>has</w:t>
      </w:r>
      <w:r w:rsidRPr="00483AA8">
        <w:rPr>
          <w:rFonts w:asciiTheme="minorHAnsi" w:hAnsiTheme="minorHAnsi" w:cs="Tahoma"/>
        </w:rPr>
        <w:t xml:space="preserve"> four </w:t>
      </w:r>
      <w:r>
        <w:rPr>
          <w:rFonts w:asciiTheme="minorHAnsi" w:hAnsiTheme="minorHAnsi" w:cs="Tahoma"/>
        </w:rPr>
        <w:t xml:space="preserve">classification </w:t>
      </w:r>
      <w:r w:rsidRPr="00483AA8">
        <w:rPr>
          <w:rFonts w:asciiTheme="minorHAnsi" w:hAnsiTheme="minorHAnsi" w:cs="Tahoma"/>
        </w:rPr>
        <w:t>levels with three funded</w:t>
      </w:r>
      <w:r>
        <w:rPr>
          <w:rFonts w:asciiTheme="minorHAnsi" w:hAnsiTheme="minorHAnsi" w:cs="Tahoma"/>
        </w:rPr>
        <w:t>,</w:t>
      </w:r>
      <w:r w:rsidRPr="00483AA8">
        <w:rPr>
          <w:rFonts w:asciiTheme="minorHAnsi" w:hAnsiTheme="minorHAnsi" w:cs="Tahoma"/>
        </w:rPr>
        <w:t xml:space="preserve"> as is currently the case.</w:t>
      </w:r>
    </w:p>
    <w:p w:rsidR="00980F62" w:rsidRDefault="006133EB" w:rsidP="00632841">
      <w:pPr>
        <w:pStyle w:val="BodyText"/>
        <w:spacing w:before="0" w:line="276" w:lineRule="auto"/>
        <w:rPr>
          <w:rStyle w:val="Strong"/>
        </w:rPr>
      </w:pPr>
      <w:r w:rsidRPr="00007D4E">
        <w:rPr>
          <w:rStyle w:val="Strong"/>
        </w:rPr>
        <w:t>Note: for the following tables and charts, the ACFI subsidies are determined as at July</w:t>
      </w:r>
      <w:r w:rsidR="001F19FD">
        <w:rPr>
          <w:rStyle w:val="Strong"/>
        </w:rPr>
        <w:t> </w:t>
      </w:r>
      <w:r w:rsidRPr="00007D4E">
        <w:rPr>
          <w:rStyle w:val="Strong"/>
        </w:rPr>
        <w:t>1</w:t>
      </w:r>
      <w:r w:rsidR="001F19FD">
        <w:rPr>
          <w:rStyle w:val="Strong"/>
        </w:rPr>
        <w:t>,</w:t>
      </w:r>
      <w:r w:rsidRPr="00007D4E">
        <w:rPr>
          <w:rStyle w:val="Strong"/>
        </w:rPr>
        <w:t xml:space="preserve"> 2016, while R-ACFI rates are proposed from July 1, 2018.</w:t>
      </w:r>
    </w:p>
    <w:p w:rsidR="00632841" w:rsidRDefault="00632841">
      <w:pPr>
        <w:spacing w:after="200"/>
        <w:rPr>
          <w:rStyle w:val="CaptionChar2"/>
        </w:rPr>
      </w:pPr>
      <w:bookmarkStart w:id="526" w:name="_Toc486596643"/>
      <w:bookmarkStart w:id="527" w:name="_Toc486600178"/>
      <w:bookmarkStart w:id="528" w:name="_Toc486605018"/>
      <w:bookmarkStart w:id="529" w:name="_Toc489442983"/>
      <w:bookmarkStart w:id="530" w:name="_Toc489811544"/>
      <w:bookmarkStart w:id="531" w:name="_Toc489812813"/>
      <w:r>
        <w:rPr>
          <w:rStyle w:val="CaptionChar2"/>
          <w:b w:val="0"/>
          <w:iCs w:val="0"/>
        </w:rPr>
        <w:br w:type="page"/>
      </w:r>
    </w:p>
    <w:p w:rsidR="00E3084A" w:rsidRDefault="009F643E" w:rsidP="00E3084A">
      <w:pPr>
        <w:pStyle w:val="Caption"/>
        <w:keepNext/>
      </w:pPr>
      <w:bookmarkStart w:id="532" w:name="_Toc495416548"/>
      <w:bookmarkEnd w:id="526"/>
      <w:bookmarkEnd w:id="527"/>
      <w:bookmarkEnd w:id="528"/>
      <w:bookmarkEnd w:id="529"/>
      <w:bookmarkEnd w:id="530"/>
      <w:bookmarkEnd w:id="531"/>
      <w:r>
        <w:lastRenderedPageBreak/>
        <w:t>Figure 8.</w:t>
      </w:r>
      <w:r w:rsidR="009A3F5A">
        <w:fldChar w:fldCharType="begin"/>
      </w:r>
      <w:r w:rsidR="009A3F5A">
        <w:instrText xml:space="preserve"> SEQ Figure_8. \* ARABIC </w:instrText>
      </w:r>
      <w:r w:rsidR="009A3F5A">
        <w:fldChar w:fldCharType="separate"/>
      </w:r>
      <w:r w:rsidR="00856E49">
        <w:rPr>
          <w:noProof/>
        </w:rPr>
        <w:t>1</w:t>
      </w:r>
      <w:r w:rsidR="009A3F5A">
        <w:rPr>
          <w:noProof/>
        </w:rPr>
        <w:fldChar w:fldCharType="end"/>
      </w:r>
      <w:r>
        <w:t xml:space="preserve">: </w:t>
      </w:r>
      <w:r w:rsidRPr="009F643E">
        <w:t>A Visual Guide to the R-ACFI Classifications</w:t>
      </w:r>
      <w:bookmarkEnd w:id="532"/>
    </w:p>
    <w:p w:rsidR="00256E3D" w:rsidRDefault="006F4A56" w:rsidP="00256E3D">
      <w:pPr>
        <w:spacing w:after="200"/>
        <w:rPr>
          <w:rFonts w:ascii="Calibri" w:hAnsi="Calibri" w:cs="Times New Roman"/>
          <w:b/>
          <w:iCs/>
          <w:szCs w:val="18"/>
        </w:rPr>
      </w:pPr>
      <w:r>
        <w:rPr>
          <w:noProof/>
          <w:lang w:eastAsia="en-AU"/>
        </w:rPr>
        <w:drawing>
          <wp:inline distT="0" distB="0" distL="0" distR="0" wp14:anchorId="37DFC936" wp14:editId="1F36E261">
            <wp:extent cx="5797673" cy="7837714"/>
            <wp:effectExtent l="19050" t="19050" r="12700" b="11430"/>
            <wp:docPr id="28" name="Picture 28" descr="Figure 8.1 is a diagram illustrating how the revised-Aged Care Funding Instrument (R-ACFI) categories fit in the classification model, as summarised in the text prior to this image. The four categories are:&#10;1. Activities of daily living (ADL) (ratings are low, medium, high or very high)&#10;2. Behaviour (ratings are moderate or high behaviour)&#10;3. Complex health care (CHC) (ratings are low, medium or high)&#10;4. The therap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 1 A Visual Guide to the R-ACFI Classifications.jpg"/>
                    <pic:cNvPicPr/>
                  </pic:nvPicPr>
                  <pic:blipFill>
                    <a:blip r:embed="rId87">
                      <a:extLst>
                        <a:ext uri="{28A0092B-C50C-407E-A947-70E740481C1C}">
                          <a14:useLocalDpi xmlns:a14="http://schemas.microsoft.com/office/drawing/2010/main" val="0"/>
                        </a:ext>
                      </a:extLst>
                    </a:blip>
                    <a:stretch>
                      <a:fillRect/>
                    </a:stretch>
                  </pic:blipFill>
                  <pic:spPr>
                    <a:xfrm>
                      <a:off x="0" y="0"/>
                      <a:ext cx="5797856" cy="7837962"/>
                    </a:xfrm>
                    <a:prstGeom prst="rect">
                      <a:avLst/>
                    </a:prstGeom>
                    <a:ln>
                      <a:solidFill>
                        <a:schemeClr val="accent5"/>
                      </a:solidFill>
                    </a:ln>
                  </pic:spPr>
                </pic:pic>
              </a:graphicData>
            </a:graphic>
          </wp:inline>
        </w:drawing>
      </w:r>
      <w:r w:rsidR="00256E3D">
        <w:br w:type="page"/>
      </w:r>
    </w:p>
    <w:p w:rsidR="00980F62" w:rsidRDefault="009F643E" w:rsidP="00E3084A">
      <w:pPr>
        <w:pStyle w:val="Caption"/>
        <w:keepNext/>
      </w:pPr>
      <w:bookmarkStart w:id="533" w:name="_Toc495416549"/>
      <w:r>
        <w:lastRenderedPageBreak/>
        <w:t>Figure 8.</w:t>
      </w:r>
      <w:r w:rsidR="009A3F5A">
        <w:fldChar w:fldCharType="begin"/>
      </w:r>
      <w:r w:rsidR="009A3F5A">
        <w:instrText xml:space="preserve"> SEQ Figure_8. \* ARABIC </w:instrText>
      </w:r>
      <w:r w:rsidR="009A3F5A">
        <w:fldChar w:fldCharType="separate"/>
      </w:r>
      <w:r w:rsidR="00856E49">
        <w:rPr>
          <w:noProof/>
        </w:rPr>
        <w:t>2</w:t>
      </w:r>
      <w:r w:rsidR="009A3F5A">
        <w:rPr>
          <w:noProof/>
        </w:rPr>
        <w:fldChar w:fldCharType="end"/>
      </w:r>
      <w:r>
        <w:t xml:space="preserve">: </w:t>
      </w:r>
      <w:r w:rsidRPr="009F643E">
        <w:t>R-ACFI Model Design and Funding</w:t>
      </w:r>
      <w:bookmarkEnd w:id="533"/>
    </w:p>
    <w:p w:rsidR="00234848" w:rsidRDefault="006324B5" w:rsidP="00234848">
      <w:r>
        <w:rPr>
          <w:noProof/>
          <w:lang w:eastAsia="en-AU"/>
        </w:rPr>
        <w:drawing>
          <wp:inline distT="0" distB="0" distL="0" distR="0" wp14:anchorId="17975AD6" wp14:editId="2484950B">
            <wp:extent cx="5801208" cy="6253842"/>
            <wp:effectExtent l="19050" t="19050" r="28575" b="13970"/>
            <wp:docPr id="480" name="Picture 480" descr="Figure 8.2 is a diagram illustrating the calculation of a resident’s total funding under the revised aged care funding instrument (R-ACFI) model. The calculation is split into the four domains:&#10;1. Activities of daily living (ADL), where funding is required for all four care categories (low, medium, high and very high)&#10;2. Behaviour, where funding is required for the moderate or high categories (funding is not required for the base category)&#10;3. Complex health care (CHC), where funding is required for the low, medium or high categories (funding is not required for the base category)&#10;4. Therapy program, where funding is required if the resident is in the program (funding is not required for the bas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2 R-ACFI Model Design and Funding.png"/>
                    <pic:cNvPicPr/>
                  </pic:nvPicPr>
                  <pic:blipFill>
                    <a:blip r:embed="rId88">
                      <a:extLst>
                        <a:ext uri="{28A0092B-C50C-407E-A947-70E740481C1C}">
                          <a14:useLocalDpi xmlns:a14="http://schemas.microsoft.com/office/drawing/2010/main" val="0"/>
                        </a:ext>
                      </a:extLst>
                    </a:blip>
                    <a:stretch>
                      <a:fillRect/>
                    </a:stretch>
                  </pic:blipFill>
                  <pic:spPr>
                    <a:xfrm>
                      <a:off x="0" y="0"/>
                      <a:ext cx="5801566" cy="6254228"/>
                    </a:xfrm>
                    <a:prstGeom prst="rect">
                      <a:avLst/>
                    </a:prstGeom>
                    <a:ln>
                      <a:solidFill>
                        <a:schemeClr val="accent5"/>
                      </a:solidFill>
                    </a:ln>
                  </pic:spPr>
                </pic:pic>
              </a:graphicData>
            </a:graphic>
          </wp:inline>
        </w:drawing>
      </w:r>
    </w:p>
    <w:p w:rsidR="00980F62" w:rsidRDefault="00256E3D" w:rsidP="00256E3D">
      <w:pPr>
        <w:pStyle w:val="BodyText"/>
        <w:rPr>
          <w:rFonts w:asciiTheme="minorHAnsi" w:hAnsiTheme="minorHAnsi" w:cs="Tahoma"/>
          <w:sz w:val="18"/>
          <w:szCs w:val="18"/>
        </w:rPr>
      </w:pPr>
      <w:r w:rsidRPr="006F22F3">
        <w:rPr>
          <w:rFonts w:cs="Tahoma"/>
          <w:b/>
          <w:sz w:val="18"/>
          <w:szCs w:val="18"/>
          <w:vertAlign w:val="superscript"/>
        </w:rPr>
        <w:t>1</w:t>
      </w:r>
      <w:r w:rsidRPr="006F22F3">
        <w:rPr>
          <w:rFonts w:asciiTheme="minorHAnsi" w:hAnsiTheme="minorHAnsi" w:cs="Tahoma"/>
          <w:sz w:val="18"/>
          <w:szCs w:val="18"/>
        </w:rPr>
        <w:t>Base = all assessed care needs must be provided as per Specialised Care &amp; Services &amp; Quality of Care Principles</w:t>
      </w:r>
    </w:p>
    <w:p w:rsidR="00BB6207" w:rsidRDefault="00BB6207">
      <w:pPr>
        <w:spacing w:after="200"/>
        <w:jc w:val="left"/>
        <w:rPr>
          <w:rFonts w:eastAsia="Times New Roman" w:cs="Tahoma"/>
          <w:sz w:val="18"/>
          <w:szCs w:val="18"/>
          <w:lang w:eastAsia="en-AU"/>
        </w:rPr>
      </w:pPr>
      <w:r>
        <w:rPr>
          <w:rFonts w:cs="Tahoma"/>
          <w:sz w:val="18"/>
          <w:szCs w:val="18"/>
        </w:rPr>
        <w:br w:type="page"/>
      </w:r>
    </w:p>
    <w:p w:rsidR="00256E3D" w:rsidRPr="003F06D0" w:rsidRDefault="00256E3D" w:rsidP="003F06D0">
      <w:pPr>
        <w:pStyle w:val="Heading3-Chapter82"/>
      </w:pPr>
      <w:bookmarkStart w:id="534" w:name="_Toc486596367"/>
      <w:bookmarkStart w:id="535" w:name="_Toc486600065"/>
      <w:r w:rsidRPr="003F06D0">
        <w:lastRenderedPageBreak/>
        <w:t>R-ACFI Funding Distribution Analysis</w:t>
      </w:r>
      <w:bookmarkEnd w:id="534"/>
      <w:bookmarkEnd w:id="535"/>
    </w:p>
    <w:p w:rsidR="00980F62" w:rsidRDefault="003B5228" w:rsidP="000228D3">
      <w:pPr>
        <w:spacing w:after="100"/>
      </w:pPr>
      <w:r>
        <w:t>A summary of the overall</w:t>
      </w:r>
      <w:r w:rsidR="00256E3D">
        <w:t xml:space="preserve"> distribution of R-ACFI funding outcomes is shown in </w:t>
      </w:r>
      <w:hyperlink w:anchor="Tab0801" w:history="1">
        <w:r w:rsidR="00256E3D" w:rsidRPr="0062445B">
          <w:rPr>
            <w:rStyle w:val="Hyperlink"/>
          </w:rPr>
          <w:t>Table 8.1</w:t>
        </w:r>
      </w:hyperlink>
      <w:r>
        <w:t xml:space="preserve">, </w:t>
      </w:r>
      <w:hyperlink w:anchor="Tab0802" w:history="1">
        <w:r w:rsidR="00256E3D" w:rsidRPr="0062445B">
          <w:rPr>
            <w:rStyle w:val="Hyperlink"/>
          </w:rPr>
          <w:t>Table 8.2</w:t>
        </w:r>
      </w:hyperlink>
      <w:r w:rsidR="00256E3D">
        <w:t xml:space="preserve"> </w:t>
      </w:r>
      <w:r>
        <w:t xml:space="preserve">provides more detail </w:t>
      </w:r>
      <w:r w:rsidR="00256E3D">
        <w:t xml:space="preserve">by the 48 funding R-ACFI combinations. </w:t>
      </w:r>
      <w:hyperlink w:anchor="Fig0803" w:history="1">
        <w:r w:rsidR="00256E3D" w:rsidRPr="00BA046B">
          <w:rPr>
            <w:rStyle w:val="Hyperlink"/>
          </w:rPr>
          <w:t>Figure 8.3</w:t>
        </w:r>
      </w:hyperlink>
      <w:r w:rsidR="00256E3D">
        <w:t xml:space="preserve"> plots the 48 R-ACFI payment categories against the current 64 ACFI payment categories. The average overall funding is the same at $172.02 for both the ACFI and R-ACFI.</w:t>
      </w:r>
    </w:p>
    <w:p w:rsidR="00980F62" w:rsidRDefault="00256E3D" w:rsidP="000228D3">
      <w:pPr>
        <w:spacing w:after="100"/>
      </w:pPr>
      <w:r>
        <w:t xml:space="preserve">The funding outcomes are a result of the way the distribution of scores in each domain are weighted and then divided into classification groups. The more classifications, the better the funding emulates a more </w:t>
      </w:r>
      <w:r w:rsidR="003B5228">
        <w:t>‘</w:t>
      </w:r>
      <w:r>
        <w:t>continuous</w:t>
      </w:r>
      <w:r w:rsidR="003B5228">
        <w:t xml:space="preserve">’ </w:t>
      </w:r>
      <w:r>
        <w:t xml:space="preserve">model. Fewer categories means the classification groups will be more varied with a larger range of costs captured in the classifications. </w:t>
      </w:r>
      <w:hyperlink w:anchor="Fig0803" w:history="1">
        <w:r w:rsidRPr="00BA046B">
          <w:rPr>
            <w:rStyle w:val="Hyperlink"/>
          </w:rPr>
          <w:t>Figure</w:t>
        </w:r>
        <w:r w:rsidR="00F230E1" w:rsidRPr="00BA046B">
          <w:rPr>
            <w:rStyle w:val="Hyperlink"/>
          </w:rPr>
          <w:t> </w:t>
        </w:r>
        <w:r w:rsidRPr="00BA046B">
          <w:rPr>
            <w:rStyle w:val="Hyperlink"/>
          </w:rPr>
          <w:t>8.3</w:t>
        </w:r>
      </w:hyperlink>
      <w:r>
        <w:t xml:space="preserve"> shows that the R-ACFI funding, in total, maps closely to the current ACFI although individual resident findings will show differences.</w:t>
      </w:r>
    </w:p>
    <w:p w:rsidR="00980F62" w:rsidRDefault="00473246" w:rsidP="000228D3">
      <w:pPr>
        <w:spacing w:after="100"/>
      </w:pPr>
      <w:hyperlink w:anchor="Tab0801" w:history="1">
        <w:r w:rsidR="00256E3D" w:rsidRPr="0062445B">
          <w:rPr>
            <w:rStyle w:val="Hyperlink"/>
          </w:rPr>
          <w:t>Table 8.1</w:t>
        </w:r>
      </w:hyperlink>
      <w:r w:rsidR="00256E3D">
        <w:t xml:space="preserve"> shows that the R-ACFI ADL domain is better distributed than the current ACFI while providing a </w:t>
      </w:r>
      <w:r w:rsidR="003B5228">
        <w:t>‘</w:t>
      </w:r>
      <w:r w:rsidR="00256E3D">
        <w:t>base</w:t>
      </w:r>
      <w:r w:rsidR="003B5228">
        <w:t xml:space="preserve">’ </w:t>
      </w:r>
      <w:r w:rsidR="00256E3D">
        <w:t xml:space="preserve">funding layer and also a very high funding category for residents with extremely high resource demands. The </w:t>
      </w:r>
      <w:r w:rsidR="003B5228">
        <w:t xml:space="preserve">BEH </w:t>
      </w:r>
      <w:r w:rsidR="00256E3D">
        <w:t xml:space="preserve">domain has been simplified with two funded categories. The outcome will be similar to the current ACFI except that the removal of the Depression item and associated funding ($3.65 </w:t>
      </w:r>
      <w:r w:rsidR="00735127">
        <w:t>per day</w:t>
      </w:r>
      <w:r w:rsidR="00256E3D">
        <w:t xml:space="preserve">) lowers the funding attached to each level. This funding has been moved to the CHC domain. The CHC classification allows funding for any resident with a minimal score on the health procedures scale and provides a more graduated funding outcome compared to the current ACFI. With the pain items and associated funding ($15 </w:t>
      </w:r>
      <w:r w:rsidR="00735127">
        <w:t>per day</w:t>
      </w:r>
      <w:r w:rsidR="00256E3D">
        <w:t>) being moved to a Therapy Program, the funded levels are lower. The actual health procedure items now determine all of the funding in this domain which has retained some of the funding attrib</w:t>
      </w:r>
      <w:r w:rsidR="003B5228">
        <w:t>uted</w:t>
      </w:r>
      <w:r w:rsidR="00256E3D">
        <w:t xml:space="preserve"> to the pain management items. This effectively provides an increase in funding to residents with a number of complex health procedures compared to the ACFI.</w:t>
      </w:r>
    </w:p>
    <w:p w:rsidR="00043DB4" w:rsidRDefault="009F643E" w:rsidP="0047707B">
      <w:pPr>
        <w:pStyle w:val="Caption"/>
        <w:keepNext/>
      </w:pPr>
      <w:bookmarkStart w:id="536" w:name="_Toc495416368"/>
      <w:bookmarkStart w:id="537" w:name="Tab0801"/>
      <w:r>
        <w:t>Table 8.</w:t>
      </w:r>
      <w:r w:rsidR="009A3F5A">
        <w:fldChar w:fldCharType="begin"/>
      </w:r>
      <w:r w:rsidR="009A3F5A">
        <w:instrText xml:space="preserve"> SEQ Table_8. \* ARABIC </w:instrText>
      </w:r>
      <w:r w:rsidR="009A3F5A">
        <w:fldChar w:fldCharType="separate"/>
      </w:r>
      <w:r w:rsidR="00856E49">
        <w:rPr>
          <w:noProof/>
        </w:rPr>
        <w:t>1</w:t>
      </w:r>
      <w:r w:rsidR="009A3F5A">
        <w:rPr>
          <w:noProof/>
        </w:rPr>
        <w:fldChar w:fldCharType="end"/>
      </w:r>
      <w:r>
        <w:t xml:space="preserve">: </w:t>
      </w:r>
      <w:r w:rsidRPr="009F643E">
        <w:t>R-ACFI Funding Distribution by Categories</w:t>
      </w:r>
      <w:bookmarkEnd w:id="536"/>
    </w:p>
    <w:tbl>
      <w:tblPr>
        <w:tblStyle w:val="ListTable3-Accent515"/>
        <w:tblW w:w="0" w:type="auto"/>
        <w:tblInd w:w="108" w:type="dxa"/>
        <w:tblBorders>
          <w:insideH w:val="single" w:sz="4" w:space="0" w:color="5B9BD5" w:themeColor="accent5"/>
          <w:insideV w:val="single" w:sz="4" w:space="0" w:color="5B9BD5" w:themeColor="accent5"/>
        </w:tblBorders>
        <w:tblLayout w:type="fixed"/>
        <w:tblLook w:val="01E0" w:firstRow="1" w:lastRow="1" w:firstColumn="1" w:lastColumn="1" w:noHBand="0" w:noVBand="0"/>
        <w:tblDescription w:val="Table 8.1 is a list of the frequency and proposed funding for the categories of the four domains (activities of daily living, behaviour, complex health care and the therapy program) under the revised aged care funding instrument (R-ACFI). This table is to be read left to right, top to bottom, noting part of the funding distribution has been outlined in the text prior to this table."/>
      </w:tblPr>
      <w:tblGrid>
        <w:gridCol w:w="4077"/>
        <w:gridCol w:w="1560"/>
        <w:gridCol w:w="2868"/>
      </w:tblGrid>
      <w:tr w:rsidR="00256E3D" w:rsidRPr="0047707B" w:rsidTr="0047707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77" w:type="dxa"/>
            <w:tcBorders>
              <w:bottom w:val="none" w:sz="0" w:space="0" w:color="auto"/>
              <w:right w:val="none" w:sz="0" w:space="0" w:color="auto"/>
            </w:tcBorders>
            <w:vAlign w:val="center"/>
          </w:tcPr>
          <w:bookmarkEnd w:id="537"/>
          <w:p w:rsidR="00256E3D" w:rsidRPr="0047707B" w:rsidRDefault="00256E3D" w:rsidP="00F86A99">
            <w:pPr>
              <w:spacing w:after="0"/>
              <w:jc w:val="left"/>
              <w:rPr>
                <w:rFonts w:ascii="Calibri" w:eastAsia="Times New Roman" w:hAnsi="Calibri" w:cs="Times New Roman"/>
                <w:sz w:val="20"/>
                <w:szCs w:val="20"/>
                <w:lang w:val="en-US"/>
              </w:rPr>
            </w:pPr>
            <w:r w:rsidRPr="0047707B">
              <w:rPr>
                <w:rFonts w:ascii="Calibri" w:eastAsia="Times New Roman" w:hAnsi="Calibri" w:cs="Times New Roman"/>
                <w:sz w:val="20"/>
                <w:szCs w:val="20"/>
                <w:lang w:val="en-US"/>
              </w:rPr>
              <w:t>ADL</w:t>
            </w:r>
          </w:p>
        </w:tc>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tcPr>
          <w:p w:rsidR="00256E3D" w:rsidRPr="0047707B" w:rsidRDefault="00BB6207" w:rsidP="00BB6207">
            <w:pPr>
              <w:spacing w:after="0"/>
              <w:jc w:val="center"/>
              <w:rPr>
                <w:rFonts w:ascii="Calibri" w:eastAsia="Times New Roman" w:hAnsi="Calibri" w:cs="Times New Roman"/>
                <w:sz w:val="20"/>
                <w:szCs w:val="20"/>
                <w:lang w:val="en-US"/>
              </w:rPr>
            </w:pPr>
            <w:r w:rsidRPr="0047707B">
              <w:rPr>
                <w:rFonts w:ascii="Calibri" w:eastAsia="Times New Roman" w:hAnsi="Calibri" w:cs="Times New Roman"/>
                <w:sz w:val="20"/>
                <w:szCs w:val="20"/>
                <w:lang w:val="en-US"/>
              </w:rPr>
              <w:t>Frequency (Percentage)</w:t>
            </w:r>
          </w:p>
        </w:tc>
        <w:tc>
          <w:tcPr>
            <w:cnfStyle w:val="000100001000" w:firstRow="0" w:lastRow="0" w:firstColumn="0" w:lastColumn="1" w:oddVBand="0" w:evenVBand="0" w:oddHBand="0" w:evenHBand="0" w:firstRowFirstColumn="0" w:firstRowLastColumn="1" w:lastRowFirstColumn="0" w:lastRowLastColumn="0"/>
            <w:tcW w:w="2868" w:type="dxa"/>
            <w:tcBorders>
              <w:left w:val="none" w:sz="0" w:space="0" w:color="auto"/>
              <w:bottom w:val="none" w:sz="0" w:space="0" w:color="auto"/>
            </w:tcBorders>
          </w:tcPr>
          <w:p w:rsidR="00256E3D" w:rsidRPr="0047707B" w:rsidRDefault="00BB6207" w:rsidP="00BB6207">
            <w:pPr>
              <w:spacing w:after="0"/>
              <w:jc w:val="center"/>
              <w:rPr>
                <w:rFonts w:ascii="Calibri" w:eastAsia="Times New Roman" w:hAnsi="Calibri" w:cs="Times New Roman"/>
                <w:sz w:val="20"/>
                <w:szCs w:val="20"/>
                <w:lang w:val="en-US"/>
              </w:rPr>
            </w:pPr>
            <w:r w:rsidRPr="0047707B">
              <w:rPr>
                <w:rFonts w:ascii="Calibri" w:eastAsia="Times New Roman" w:hAnsi="Calibri" w:cs="Times New Roman"/>
                <w:sz w:val="20"/>
                <w:szCs w:val="20"/>
                <w:lang w:val="en-US"/>
              </w:rPr>
              <w:t>Proposed Funding</w:t>
            </w:r>
            <w:r w:rsidRPr="0047707B">
              <w:rPr>
                <w:rFonts w:ascii="Calibri" w:eastAsia="Times New Roman" w:hAnsi="Calibri" w:cs="Times New Roman"/>
                <w:sz w:val="20"/>
                <w:szCs w:val="20"/>
                <w:lang w:val="en-US"/>
              </w:rPr>
              <w:br/>
              <w:t>(Amount p</w:t>
            </w:r>
            <w:r w:rsidR="00256E3D" w:rsidRPr="0047707B">
              <w:rPr>
                <w:rFonts w:ascii="Calibri" w:eastAsia="Times New Roman" w:hAnsi="Calibri" w:cs="Times New Roman"/>
                <w:sz w:val="20"/>
                <w:szCs w:val="20"/>
                <w:lang w:val="en-US"/>
              </w:rPr>
              <w:t>er Day</w:t>
            </w:r>
            <w:r w:rsidRPr="0047707B">
              <w:rPr>
                <w:rFonts w:ascii="Calibri" w:eastAsia="Times New Roman" w:hAnsi="Calibri" w:cs="Times New Roman"/>
                <w:sz w:val="20"/>
                <w:szCs w:val="20"/>
                <w:lang w:val="en-US"/>
              </w:rPr>
              <w:t>)</w:t>
            </w:r>
          </w:p>
        </w:tc>
      </w:tr>
      <w:tr w:rsidR="00BB6207" w:rsidRPr="0047707B" w:rsidTr="00477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A160FC" w:rsidRPr="0047707B" w:rsidRDefault="00A160FC" w:rsidP="00BB6207">
            <w:pPr>
              <w:spacing w:after="0"/>
              <w:rPr>
                <w:rFonts w:ascii="Calibri" w:eastAsia="Times New Roman" w:hAnsi="Calibri" w:cs="Times New Roman"/>
                <w:b w:val="0"/>
                <w:sz w:val="20"/>
                <w:szCs w:val="20"/>
                <w:lang w:val="en-US"/>
              </w:rPr>
            </w:pPr>
            <w:r w:rsidRPr="0047707B">
              <w:rPr>
                <w:rFonts w:ascii="Calibri" w:eastAsia="Times New Roman" w:hAnsi="Calibri" w:cs="Times New Roman"/>
                <w:b w:val="0"/>
                <w:sz w:val="20"/>
                <w:szCs w:val="20"/>
                <w:lang w:val="en-US"/>
              </w:rPr>
              <w:t>1 Low</w:t>
            </w:r>
          </w:p>
        </w:tc>
        <w:tc>
          <w:tcPr>
            <w:cnfStyle w:val="000010000000" w:firstRow="0" w:lastRow="0" w:firstColumn="0" w:lastColumn="0" w:oddVBand="1" w:evenVBand="0" w:oddHBand="0" w:evenHBand="0" w:firstRowFirstColumn="0" w:firstRowLastColumn="0" w:lastRowFirstColumn="0" w:lastRowLastColumn="0"/>
            <w:tcW w:w="1560" w:type="dxa"/>
            <w:vAlign w:val="bottom"/>
          </w:tcPr>
          <w:p w:rsidR="00A160FC" w:rsidRPr="0047707B" w:rsidRDefault="00A160FC" w:rsidP="00BB6207">
            <w:pPr>
              <w:spacing w:after="0"/>
              <w:jc w:val="center"/>
              <w:rPr>
                <w:rFonts w:ascii="Calibri" w:hAnsi="Calibri"/>
                <w:sz w:val="20"/>
                <w:szCs w:val="20"/>
              </w:rPr>
            </w:pPr>
            <w:r w:rsidRPr="0047707B">
              <w:rPr>
                <w:rFonts w:ascii="Calibri" w:eastAsia="Times New Roman" w:hAnsi="Calibri" w:cs="Times New Roman"/>
                <w:sz w:val="20"/>
                <w:szCs w:val="20"/>
                <w:lang w:val="en-US"/>
              </w:rPr>
              <w:t>10.0%</w:t>
            </w:r>
          </w:p>
        </w:tc>
        <w:tc>
          <w:tcPr>
            <w:cnfStyle w:val="000100000000" w:firstRow="0" w:lastRow="0" w:firstColumn="0" w:lastColumn="1" w:oddVBand="0" w:evenVBand="0" w:oddHBand="0" w:evenHBand="0" w:firstRowFirstColumn="0" w:firstRowLastColumn="0" w:lastRowFirstColumn="0" w:lastRowLastColumn="0"/>
            <w:tcW w:w="2868" w:type="dxa"/>
            <w:vAlign w:val="bottom"/>
          </w:tcPr>
          <w:p w:rsidR="00A160FC" w:rsidRPr="0047707B" w:rsidRDefault="00A160FC" w:rsidP="00BB6207">
            <w:pPr>
              <w:spacing w:after="0"/>
              <w:jc w:val="center"/>
              <w:rPr>
                <w:rFonts w:ascii="Calibri" w:eastAsia="Times New Roman" w:hAnsi="Calibri" w:cs="Times New Roman"/>
                <w:bCs w:val="0"/>
                <w:sz w:val="20"/>
                <w:szCs w:val="20"/>
                <w:lang w:val="en-US"/>
              </w:rPr>
            </w:pPr>
            <w:r w:rsidRPr="0047707B">
              <w:rPr>
                <w:rFonts w:ascii="Calibri" w:eastAsia="Times New Roman" w:hAnsi="Calibri" w:cs="Times New Roman"/>
                <w:bCs w:val="0"/>
                <w:sz w:val="20"/>
                <w:szCs w:val="20"/>
                <w:lang w:val="en-US"/>
              </w:rPr>
              <w:t>$44.54</w:t>
            </w:r>
          </w:p>
        </w:tc>
      </w:tr>
      <w:tr w:rsidR="00BB6207" w:rsidRPr="0047707B" w:rsidTr="0047707B">
        <w:tc>
          <w:tcPr>
            <w:cnfStyle w:val="001000000000" w:firstRow="0" w:lastRow="0" w:firstColumn="1" w:lastColumn="0" w:oddVBand="0" w:evenVBand="0" w:oddHBand="0" w:evenHBand="0" w:firstRowFirstColumn="0" w:firstRowLastColumn="0" w:lastRowFirstColumn="0" w:lastRowLastColumn="0"/>
            <w:tcW w:w="4077" w:type="dxa"/>
          </w:tcPr>
          <w:p w:rsidR="00A160FC" w:rsidRPr="0047707B" w:rsidRDefault="00A160FC" w:rsidP="00BB6207">
            <w:pPr>
              <w:spacing w:after="0"/>
              <w:rPr>
                <w:rFonts w:ascii="Calibri" w:eastAsia="Times New Roman" w:hAnsi="Calibri" w:cs="Times New Roman"/>
                <w:b w:val="0"/>
                <w:sz w:val="20"/>
                <w:szCs w:val="20"/>
                <w:lang w:val="en-US"/>
              </w:rPr>
            </w:pPr>
            <w:r w:rsidRPr="0047707B">
              <w:rPr>
                <w:rFonts w:ascii="Calibri" w:eastAsia="Times New Roman" w:hAnsi="Calibri" w:cs="Times New Roman"/>
                <w:b w:val="0"/>
                <w:sz w:val="20"/>
                <w:szCs w:val="20"/>
                <w:lang w:val="en-US"/>
              </w:rPr>
              <w:t>2 Medium</w:t>
            </w:r>
          </w:p>
        </w:tc>
        <w:tc>
          <w:tcPr>
            <w:cnfStyle w:val="000010000000" w:firstRow="0" w:lastRow="0" w:firstColumn="0" w:lastColumn="0" w:oddVBand="1" w:evenVBand="0" w:oddHBand="0" w:evenHBand="0" w:firstRowFirstColumn="0" w:firstRowLastColumn="0" w:lastRowFirstColumn="0" w:lastRowLastColumn="0"/>
            <w:tcW w:w="1560" w:type="dxa"/>
            <w:vAlign w:val="bottom"/>
          </w:tcPr>
          <w:p w:rsidR="00A160FC" w:rsidRPr="0047707B" w:rsidRDefault="00A160FC" w:rsidP="00BB6207">
            <w:pPr>
              <w:spacing w:after="0"/>
              <w:jc w:val="center"/>
              <w:rPr>
                <w:rFonts w:ascii="Calibri" w:hAnsi="Calibri"/>
                <w:sz w:val="20"/>
                <w:szCs w:val="20"/>
              </w:rPr>
            </w:pPr>
            <w:r w:rsidRPr="0047707B">
              <w:rPr>
                <w:rFonts w:ascii="Calibri" w:eastAsia="Times New Roman" w:hAnsi="Calibri" w:cs="Times New Roman"/>
                <w:sz w:val="20"/>
                <w:szCs w:val="20"/>
                <w:lang w:val="en-US"/>
              </w:rPr>
              <w:t>29.8%</w:t>
            </w:r>
          </w:p>
        </w:tc>
        <w:tc>
          <w:tcPr>
            <w:cnfStyle w:val="000100000000" w:firstRow="0" w:lastRow="0" w:firstColumn="0" w:lastColumn="1" w:oddVBand="0" w:evenVBand="0" w:oddHBand="0" w:evenHBand="0" w:firstRowFirstColumn="0" w:firstRowLastColumn="0" w:lastRowFirstColumn="0" w:lastRowLastColumn="0"/>
            <w:tcW w:w="2868" w:type="dxa"/>
            <w:vAlign w:val="bottom"/>
          </w:tcPr>
          <w:p w:rsidR="00A160FC" w:rsidRPr="0047707B" w:rsidRDefault="00A160FC" w:rsidP="00BB6207">
            <w:pPr>
              <w:spacing w:after="0"/>
              <w:jc w:val="center"/>
              <w:rPr>
                <w:rFonts w:ascii="Calibri" w:eastAsia="Times New Roman" w:hAnsi="Calibri" w:cs="Times New Roman"/>
                <w:bCs w:val="0"/>
                <w:sz w:val="20"/>
                <w:szCs w:val="20"/>
                <w:lang w:val="en-US"/>
              </w:rPr>
            </w:pPr>
            <w:r w:rsidRPr="0047707B">
              <w:rPr>
                <w:rFonts w:ascii="Calibri" w:eastAsia="Times New Roman" w:hAnsi="Calibri" w:cs="Times New Roman"/>
                <w:bCs w:val="0"/>
                <w:sz w:val="20"/>
                <w:szCs w:val="20"/>
                <w:lang w:val="en-US"/>
              </w:rPr>
              <w:t>$71.27</w:t>
            </w:r>
          </w:p>
        </w:tc>
      </w:tr>
      <w:tr w:rsidR="00BB6207" w:rsidRPr="0047707B" w:rsidTr="00477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A160FC" w:rsidRPr="0047707B" w:rsidRDefault="00A160FC" w:rsidP="00BB6207">
            <w:pPr>
              <w:spacing w:after="0"/>
              <w:rPr>
                <w:rFonts w:ascii="Calibri" w:eastAsia="Times New Roman" w:hAnsi="Calibri" w:cs="Times New Roman"/>
                <w:b w:val="0"/>
                <w:sz w:val="20"/>
                <w:szCs w:val="20"/>
                <w:lang w:val="en-US"/>
              </w:rPr>
            </w:pPr>
            <w:r w:rsidRPr="0047707B">
              <w:rPr>
                <w:rFonts w:ascii="Calibri" w:eastAsia="Times New Roman" w:hAnsi="Calibri" w:cs="Times New Roman"/>
                <w:b w:val="0"/>
                <w:sz w:val="20"/>
                <w:szCs w:val="20"/>
                <w:lang w:val="en-US"/>
              </w:rPr>
              <w:t>3 High</w:t>
            </w:r>
          </w:p>
        </w:tc>
        <w:tc>
          <w:tcPr>
            <w:cnfStyle w:val="000010000000" w:firstRow="0" w:lastRow="0" w:firstColumn="0" w:lastColumn="0" w:oddVBand="1" w:evenVBand="0" w:oddHBand="0" w:evenHBand="0" w:firstRowFirstColumn="0" w:firstRowLastColumn="0" w:lastRowFirstColumn="0" w:lastRowLastColumn="0"/>
            <w:tcW w:w="1560" w:type="dxa"/>
            <w:vAlign w:val="bottom"/>
          </w:tcPr>
          <w:p w:rsidR="00A160FC" w:rsidRPr="0047707B" w:rsidRDefault="00A160FC" w:rsidP="00BB6207">
            <w:pPr>
              <w:spacing w:after="0"/>
              <w:jc w:val="center"/>
              <w:rPr>
                <w:rFonts w:ascii="Calibri" w:hAnsi="Calibri"/>
                <w:sz w:val="20"/>
                <w:szCs w:val="20"/>
              </w:rPr>
            </w:pPr>
            <w:r w:rsidRPr="0047707B">
              <w:rPr>
                <w:rFonts w:ascii="Calibri" w:eastAsia="Times New Roman" w:hAnsi="Calibri" w:cs="Times New Roman"/>
                <w:sz w:val="20"/>
                <w:szCs w:val="20"/>
                <w:lang w:val="en-US"/>
              </w:rPr>
              <w:t>38.0%</w:t>
            </w:r>
          </w:p>
        </w:tc>
        <w:tc>
          <w:tcPr>
            <w:cnfStyle w:val="000100000000" w:firstRow="0" w:lastRow="0" w:firstColumn="0" w:lastColumn="1" w:oddVBand="0" w:evenVBand="0" w:oddHBand="0" w:evenHBand="0" w:firstRowFirstColumn="0" w:firstRowLastColumn="0" w:lastRowFirstColumn="0" w:lastRowLastColumn="0"/>
            <w:tcW w:w="2868" w:type="dxa"/>
            <w:vAlign w:val="bottom"/>
          </w:tcPr>
          <w:p w:rsidR="00A160FC" w:rsidRPr="0047707B" w:rsidRDefault="00A160FC" w:rsidP="00BB6207">
            <w:pPr>
              <w:spacing w:after="0"/>
              <w:jc w:val="center"/>
              <w:rPr>
                <w:rFonts w:ascii="Calibri" w:eastAsia="Times New Roman" w:hAnsi="Calibri" w:cs="Times New Roman"/>
                <w:bCs w:val="0"/>
                <w:sz w:val="20"/>
                <w:szCs w:val="20"/>
                <w:lang w:val="en-US"/>
              </w:rPr>
            </w:pPr>
            <w:r w:rsidRPr="0047707B">
              <w:rPr>
                <w:rFonts w:ascii="Calibri" w:eastAsia="Times New Roman" w:hAnsi="Calibri" w:cs="Times New Roman"/>
                <w:bCs w:val="0"/>
                <w:sz w:val="20"/>
                <w:szCs w:val="20"/>
                <w:lang w:val="en-US"/>
              </w:rPr>
              <w:t>$98.00</w:t>
            </w:r>
          </w:p>
        </w:tc>
      </w:tr>
      <w:tr w:rsidR="00BB6207" w:rsidRPr="0047707B" w:rsidTr="0047707B">
        <w:tc>
          <w:tcPr>
            <w:cnfStyle w:val="001000000000" w:firstRow="0" w:lastRow="0" w:firstColumn="1" w:lastColumn="0" w:oddVBand="0" w:evenVBand="0" w:oddHBand="0" w:evenHBand="0" w:firstRowFirstColumn="0" w:firstRowLastColumn="0" w:lastRowFirstColumn="0" w:lastRowLastColumn="0"/>
            <w:tcW w:w="4077" w:type="dxa"/>
          </w:tcPr>
          <w:p w:rsidR="00A160FC" w:rsidRPr="0047707B" w:rsidRDefault="00A160FC" w:rsidP="00BB6207">
            <w:pPr>
              <w:spacing w:after="0"/>
              <w:rPr>
                <w:rFonts w:ascii="Calibri" w:eastAsia="Times New Roman" w:hAnsi="Calibri" w:cs="Times New Roman"/>
                <w:b w:val="0"/>
                <w:sz w:val="20"/>
                <w:szCs w:val="20"/>
                <w:lang w:val="en-US"/>
              </w:rPr>
            </w:pPr>
            <w:r w:rsidRPr="0047707B">
              <w:rPr>
                <w:rFonts w:ascii="Calibri" w:eastAsia="Times New Roman" w:hAnsi="Calibri" w:cs="Times New Roman"/>
                <w:b w:val="0"/>
                <w:sz w:val="20"/>
                <w:szCs w:val="20"/>
                <w:lang w:val="en-US"/>
              </w:rPr>
              <w:t>4 Very High</w:t>
            </w:r>
          </w:p>
        </w:tc>
        <w:tc>
          <w:tcPr>
            <w:cnfStyle w:val="000010000000" w:firstRow="0" w:lastRow="0" w:firstColumn="0" w:lastColumn="0" w:oddVBand="1" w:evenVBand="0" w:oddHBand="0" w:evenHBand="0" w:firstRowFirstColumn="0" w:firstRowLastColumn="0" w:lastRowFirstColumn="0" w:lastRowLastColumn="0"/>
            <w:tcW w:w="1560" w:type="dxa"/>
            <w:vAlign w:val="bottom"/>
          </w:tcPr>
          <w:p w:rsidR="00A160FC" w:rsidRPr="0047707B" w:rsidRDefault="00A160FC" w:rsidP="00BB6207">
            <w:pPr>
              <w:spacing w:after="0"/>
              <w:jc w:val="center"/>
              <w:rPr>
                <w:rFonts w:ascii="Calibri" w:hAnsi="Calibri"/>
                <w:sz w:val="20"/>
                <w:szCs w:val="20"/>
              </w:rPr>
            </w:pPr>
            <w:r w:rsidRPr="0047707B">
              <w:rPr>
                <w:rFonts w:ascii="Calibri" w:eastAsia="Times New Roman" w:hAnsi="Calibri" w:cs="Times New Roman"/>
                <w:sz w:val="20"/>
                <w:szCs w:val="20"/>
                <w:lang w:val="en-US"/>
              </w:rPr>
              <w:t>22.2%</w:t>
            </w:r>
          </w:p>
        </w:tc>
        <w:tc>
          <w:tcPr>
            <w:cnfStyle w:val="000100000000" w:firstRow="0" w:lastRow="0" w:firstColumn="0" w:lastColumn="1" w:oddVBand="0" w:evenVBand="0" w:oddHBand="0" w:evenHBand="0" w:firstRowFirstColumn="0" w:firstRowLastColumn="0" w:lastRowFirstColumn="0" w:lastRowLastColumn="0"/>
            <w:tcW w:w="2868" w:type="dxa"/>
            <w:vAlign w:val="bottom"/>
          </w:tcPr>
          <w:p w:rsidR="00A160FC" w:rsidRPr="0047707B" w:rsidRDefault="00A160FC" w:rsidP="00BB6207">
            <w:pPr>
              <w:spacing w:after="0"/>
              <w:jc w:val="center"/>
              <w:rPr>
                <w:rFonts w:ascii="Calibri" w:eastAsia="Times New Roman" w:hAnsi="Calibri" w:cs="Times New Roman"/>
                <w:bCs w:val="0"/>
                <w:sz w:val="20"/>
                <w:szCs w:val="20"/>
                <w:lang w:val="en-US"/>
              </w:rPr>
            </w:pPr>
            <w:r w:rsidRPr="0047707B">
              <w:rPr>
                <w:rFonts w:ascii="Calibri" w:eastAsia="Times New Roman" w:hAnsi="Calibri" w:cs="Times New Roman"/>
                <w:bCs w:val="0"/>
                <w:sz w:val="20"/>
                <w:szCs w:val="20"/>
                <w:lang w:val="en-US"/>
              </w:rPr>
              <w:t>$124.73</w:t>
            </w:r>
          </w:p>
        </w:tc>
      </w:tr>
      <w:tr w:rsidR="00BB6207" w:rsidRPr="0047707B" w:rsidTr="00477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shd w:val="clear" w:color="auto" w:fill="5B9BD5" w:themeFill="accent5"/>
          </w:tcPr>
          <w:p w:rsidR="00BB6207" w:rsidRPr="0047707B" w:rsidRDefault="00BB6207" w:rsidP="00BB6207">
            <w:pPr>
              <w:spacing w:after="0"/>
              <w:jc w:val="left"/>
              <w:rPr>
                <w:rFonts w:ascii="Calibri" w:eastAsia="Times New Roman" w:hAnsi="Calibri" w:cs="Times New Roman"/>
                <w:color w:val="FFFFFF" w:themeColor="background1"/>
                <w:sz w:val="20"/>
                <w:szCs w:val="20"/>
                <w:lang w:val="en-US"/>
              </w:rPr>
            </w:pPr>
            <w:r w:rsidRPr="0047707B">
              <w:rPr>
                <w:rFonts w:ascii="Calibri" w:eastAsia="Times New Roman" w:hAnsi="Calibri" w:cs="Times New Roman"/>
                <w:color w:val="FFFFFF" w:themeColor="background1"/>
                <w:sz w:val="20"/>
                <w:szCs w:val="20"/>
              </w:rPr>
              <w:t>Behaviour</w:t>
            </w:r>
          </w:p>
        </w:tc>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shd w:val="clear" w:color="auto" w:fill="5B9BD5" w:themeFill="accent5"/>
          </w:tcPr>
          <w:p w:rsidR="00BB6207" w:rsidRPr="0047707B" w:rsidRDefault="00BB6207" w:rsidP="00992EE3">
            <w:pPr>
              <w:spacing w:after="0"/>
              <w:jc w:val="center"/>
              <w:rPr>
                <w:rFonts w:ascii="Calibri" w:eastAsia="Times New Roman" w:hAnsi="Calibri" w:cs="Times New Roman"/>
                <w:b/>
                <w:color w:val="FFFFFF" w:themeColor="background1"/>
                <w:sz w:val="20"/>
                <w:szCs w:val="20"/>
                <w:lang w:val="en-US"/>
              </w:rPr>
            </w:pPr>
            <w:r w:rsidRPr="0047707B">
              <w:rPr>
                <w:rFonts w:ascii="Calibri" w:eastAsia="Times New Roman" w:hAnsi="Calibri" w:cs="Times New Roman"/>
                <w:b/>
                <w:color w:val="FFFFFF" w:themeColor="background1"/>
                <w:sz w:val="20"/>
                <w:szCs w:val="20"/>
                <w:lang w:val="en-US"/>
              </w:rPr>
              <w:t>Frequency</w:t>
            </w:r>
          </w:p>
        </w:tc>
        <w:tc>
          <w:tcPr>
            <w:cnfStyle w:val="000100000000" w:firstRow="0" w:lastRow="0" w:firstColumn="0" w:lastColumn="1" w:oddVBand="0" w:evenVBand="0" w:oddHBand="0" w:evenHBand="0" w:firstRowFirstColumn="0" w:firstRowLastColumn="0" w:lastRowFirstColumn="0" w:lastRowLastColumn="0"/>
            <w:tcW w:w="2868" w:type="dxa"/>
            <w:tcBorders>
              <w:left w:val="none" w:sz="0" w:space="0" w:color="auto"/>
            </w:tcBorders>
            <w:shd w:val="clear" w:color="auto" w:fill="5B9BD5" w:themeFill="accent5"/>
          </w:tcPr>
          <w:p w:rsidR="00BB6207" w:rsidRPr="0047707B" w:rsidRDefault="00BB6207" w:rsidP="00BB6207">
            <w:pPr>
              <w:spacing w:after="0"/>
              <w:jc w:val="center"/>
              <w:rPr>
                <w:rFonts w:ascii="Calibri" w:eastAsia="Times New Roman" w:hAnsi="Calibri" w:cs="Times New Roman"/>
                <w:color w:val="FFFFFF" w:themeColor="background1"/>
                <w:sz w:val="20"/>
                <w:szCs w:val="20"/>
                <w:lang w:val="en-US"/>
              </w:rPr>
            </w:pPr>
            <w:r w:rsidRPr="0047707B">
              <w:rPr>
                <w:rFonts w:ascii="Calibri" w:eastAsia="Times New Roman" w:hAnsi="Calibri" w:cs="Times New Roman"/>
                <w:color w:val="FFFFFF" w:themeColor="background1"/>
                <w:sz w:val="20"/>
                <w:szCs w:val="20"/>
                <w:lang w:val="en-US"/>
              </w:rPr>
              <w:t>Proposed Funding (per Day)</w:t>
            </w:r>
          </w:p>
        </w:tc>
      </w:tr>
      <w:tr w:rsidR="00BB6207" w:rsidRPr="0047707B" w:rsidTr="0047707B">
        <w:tc>
          <w:tcPr>
            <w:cnfStyle w:val="001000000000" w:firstRow="0" w:lastRow="0" w:firstColumn="1" w:lastColumn="0" w:oddVBand="0" w:evenVBand="0" w:oddHBand="0" w:evenHBand="0" w:firstRowFirstColumn="0" w:firstRowLastColumn="0" w:lastRowFirstColumn="0" w:lastRowLastColumn="0"/>
            <w:tcW w:w="4077" w:type="dxa"/>
          </w:tcPr>
          <w:p w:rsidR="00BB6207" w:rsidRPr="0047707B" w:rsidRDefault="00BB6207" w:rsidP="00BB6207">
            <w:pPr>
              <w:spacing w:after="0"/>
              <w:rPr>
                <w:rFonts w:ascii="Calibri" w:eastAsia="Times New Roman" w:hAnsi="Calibri" w:cs="Times New Roman"/>
                <w:b w:val="0"/>
                <w:sz w:val="20"/>
                <w:szCs w:val="20"/>
                <w:lang w:val="en-US"/>
              </w:rPr>
            </w:pPr>
            <w:r w:rsidRPr="0047707B">
              <w:rPr>
                <w:rFonts w:ascii="Calibri" w:eastAsia="Times New Roman" w:hAnsi="Calibri" w:cs="Times New Roman"/>
                <w:b w:val="0"/>
                <w:sz w:val="20"/>
                <w:szCs w:val="20"/>
                <w:lang w:val="en-US"/>
              </w:rPr>
              <w:t>0 Base</w:t>
            </w:r>
            <w:r w:rsidRPr="0047707B">
              <w:rPr>
                <w:rFonts w:cs="Tahoma"/>
                <w:b w:val="0"/>
                <w:sz w:val="20"/>
                <w:szCs w:val="20"/>
                <w:vertAlign w:val="superscript"/>
              </w:rPr>
              <w:t>1</w:t>
            </w:r>
          </w:p>
        </w:tc>
        <w:tc>
          <w:tcPr>
            <w:cnfStyle w:val="000010000000" w:firstRow="0" w:lastRow="0" w:firstColumn="0" w:lastColumn="0" w:oddVBand="1" w:evenVBand="0" w:oddHBand="0" w:evenHBand="0" w:firstRowFirstColumn="0" w:firstRowLastColumn="0" w:lastRowFirstColumn="0" w:lastRowLastColumn="0"/>
            <w:tcW w:w="1560" w:type="dxa"/>
            <w:vAlign w:val="bottom"/>
          </w:tcPr>
          <w:p w:rsidR="00BB6207" w:rsidRPr="0047707B" w:rsidRDefault="00BB6207" w:rsidP="00BB6207">
            <w:pPr>
              <w:spacing w:after="0"/>
              <w:jc w:val="center"/>
              <w:rPr>
                <w:rFonts w:ascii="Calibri" w:hAnsi="Calibri"/>
                <w:sz w:val="20"/>
                <w:szCs w:val="20"/>
              </w:rPr>
            </w:pPr>
            <w:r w:rsidRPr="0047707B">
              <w:rPr>
                <w:rFonts w:ascii="Calibri" w:eastAsia="Times New Roman" w:hAnsi="Calibri" w:cs="Times New Roman"/>
                <w:sz w:val="20"/>
                <w:szCs w:val="20"/>
                <w:lang w:val="en-US"/>
              </w:rPr>
              <w:t>9.9%</w:t>
            </w:r>
          </w:p>
        </w:tc>
        <w:tc>
          <w:tcPr>
            <w:cnfStyle w:val="000100000000" w:firstRow="0" w:lastRow="0" w:firstColumn="0" w:lastColumn="1" w:oddVBand="0" w:evenVBand="0" w:oddHBand="0" w:evenHBand="0" w:firstRowFirstColumn="0" w:firstRowLastColumn="0" w:lastRowFirstColumn="0" w:lastRowLastColumn="0"/>
            <w:tcW w:w="2868" w:type="dxa"/>
            <w:vAlign w:val="bottom"/>
          </w:tcPr>
          <w:p w:rsidR="00BB6207" w:rsidRPr="0047707B" w:rsidRDefault="00BB6207" w:rsidP="00BB6207">
            <w:pPr>
              <w:spacing w:after="0"/>
              <w:jc w:val="center"/>
              <w:rPr>
                <w:rFonts w:ascii="Calibri" w:eastAsia="Times New Roman" w:hAnsi="Calibri" w:cs="Times New Roman"/>
                <w:sz w:val="20"/>
                <w:szCs w:val="20"/>
                <w:lang w:val="en-US"/>
              </w:rPr>
            </w:pPr>
            <w:r w:rsidRPr="0047707B">
              <w:rPr>
                <w:rFonts w:ascii="Calibri" w:eastAsia="Times New Roman" w:hAnsi="Calibri" w:cs="Times New Roman"/>
                <w:bCs w:val="0"/>
                <w:sz w:val="20"/>
                <w:szCs w:val="20"/>
                <w:lang w:val="en-US"/>
              </w:rPr>
              <w:t>$0.00</w:t>
            </w:r>
          </w:p>
        </w:tc>
      </w:tr>
      <w:tr w:rsidR="00BB6207" w:rsidRPr="0047707B" w:rsidTr="00477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BB6207" w:rsidRPr="0047707B" w:rsidRDefault="00BB6207" w:rsidP="00BB6207">
            <w:pPr>
              <w:spacing w:after="0"/>
              <w:rPr>
                <w:rFonts w:ascii="Calibri" w:eastAsia="Times New Roman" w:hAnsi="Calibri" w:cs="Times New Roman"/>
                <w:b w:val="0"/>
                <w:sz w:val="20"/>
                <w:szCs w:val="20"/>
                <w:lang w:val="en-US"/>
              </w:rPr>
            </w:pPr>
            <w:r w:rsidRPr="0047707B">
              <w:rPr>
                <w:rFonts w:ascii="Calibri" w:eastAsia="Times New Roman" w:hAnsi="Calibri" w:cs="Times New Roman"/>
                <w:b w:val="0"/>
                <w:sz w:val="20"/>
                <w:szCs w:val="20"/>
                <w:lang w:val="en-US"/>
              </w:rPr>
              <w:t>1 Moderate</w:t>
            </w:r>
          </w:p>
        </w:tc>
        <w:tc>
          <w:tcPr>
            <w:cnfStyle w:val="000010000000" w:firstRow="0" w:lastRow="0" w:firstColumn="0" w:lastColumn="0" w:oddVBand="1" w:evenVBand="0" w:oddHBand="0" w:evenHBand="0" w:firstRowFirstColumn="0" w:firstRowLastColumn="0" w:lastRowFirstColumn="0" w:lastRowLastColumn="0"/>
            <w:tcW w:w="1560" w:type="dxa"/>
            <w:vAlign w:val="bottom"/>
          </w:tcPr>
          <w:p w:rsidR="00BB6207" w:rsidRPr="0047707B" w:rsidRDefault="00BB6207" w:rsidP="00BB6207">
            <w:pPr>
              <w:spacing w:after="0"/>
              <w:jc w:val="center"/>
              <w:rPr>
                <w:rFonts w:ascii="Calibri" w:hAnsi="Calibri"/>
                <w:sz w:val="20"/>
                <w:szCs w:val="20"/>
              </w:rPr>
            </w:pPr>
            <w:r w:rsidRPr="0047707B">
              <w:rPr>
                <w:rFonts w:ascii="Calibri" w:eastAsia="Times New Roman" w:hAnsi="Calibri" w:cs="Times New Roman"/>
                <w:sz w:val="20"/>
                <w:szCs w:val="20"/>
                <w:lang w:val="en-US"/>
              </w:rPr>
              <w:t>29.2%</w:t>
            </w:r>
          </w:p>
        </w:tc>
        <w:tc>
          <w:tcPr>
            <w:cnfStyle w:val="000100000000" w:firstRow="0" w:lastRow="0" w:firstColumn="0" w:lastColumn="1" w:oddVBand="0" w:evenVBand="0" w:oddHBand="0" w:evenHBand="0" w:firstRowFirstColumn="0" w:firstRowLastColumn="0" w:lastRowFirstColumn="0" w:lastRowLastColumn="0"/>
            <w:tcW w:w="2868" w:type="dxa"/>
            <w:vAlign w:val="bottom"/>
          </w:tcPr>
          <w:p w:rsidR="00BB6207" w:rsidRPr="0047707B" w:rsidRDefault="00BB6207" w:rsidP="00BB6207">
            <w:pPr>
              <w:spacing w:after="0"/>
              <w:jc w:val="center"/>
              <w:rPr>
                <w:rFonts w:ascii="Calibri" w:eastAsia="Times New Roman" w:hAnsi="Calibri" w:cs="Times New Roman"/>
                <w:sz w:val="20"/>
                <w:szCs w:val="20"/>
                <w:lang w:val="en-US"/>
              </w:rPr>
            </w:pPr>
            <w:r w:rsidRPr="0047707B">
              <w:rPr>
                <w:rFonts w:ascii="Calibri" w:eastAsia="Times New Roman" w:hAnsi="Calibri" w:cs="Times New Roman"/>
                <w:bCs w:val="0"/>
                <w:sz w:val="20"/>
                <w:szCs w:val="20"/>
                <w:lang w:val="en-US"/>
              </w:rPr>
              <w:t>$17.51</w:t>
            </w:r>
          </w:p>
        </w:tc>
      </w:tr>
      <w:tr w:rsidR="00BB6207" w:rsidRPr="0047707B" w:rsidTr="0047707B">
        <w:tc>
          <w:tcPr>
            <w:cnfStyle w:val="001000000000" w:firstRow="0" w:lastRow="0" w:firstColumn="1" w:lastColumn="0" w:oddVBand="0" w:evenVBand="0" w:oddHBand="0" w:evenHBand="0" w:firstRowFirstColumn="0" w:firstRowLastColumn="0" w:lastRowFirstColumn="0" w:lastRowLastColumn="0"/>
            <w:tcW w:w="4077" w:type="dxa"/>
          </w:tcPr>
          <w:p w:rsidR="00BB6207" w:rsidRPr="0047707B" w:rsidRDefault="00BB6207" w:rsidP="00BB6207">
            <w:pPr>
              <w:spacing w:after="0"/>
              <w:rPr>
                <w:rFonts w:ascii="Calibri" w:eastAsia="Times New Roman" w:hAnsi="Calibri" w:cs="Times New Roman"/>
                <w:b w:val="0"/>
                <w:sz w:val="20"/>
                <w:szCs w:val="20"/>
                <w:lang w:val="en-US"/>
              </w:rPr>
            </w:pPr>
            <w:r w:rsidRPr="0047707B">
              <w:rPr>
                <w:rFonts w:ascii="Calibri" w:eastAsia="Times New Roman" w:hAnsi="Calibri" w:cs="Times New Roman"/>
                <w:b w:val="0"/>
                <w:sz w:val="20"/>
                <w:szCs w:val="20"/>
                <w:lang w:val="en-US"/>
              </w:rPr>
              <w:t>2 High</w:t>
            </w:r>
          </w:p>
        </w:tc>
        <w:tc>
          <w:tcPr>
            <w:cnfStyle w:val="000010000000" w:firstRow="0" w:lastRow="0" w:firstColumn="0" w:lastColumn="0" w:oddVBand="1" w:evenVBand="0" w:oddHBand="0" w:evenHBand="0" w:firstRowFirstColumn="0" w:firstRowLastColumn="0" w:lastRowFirstColumn="0" w:lastRowLastColumn="0"/>
            <w:tcW w:w="1560" w:type="dxa"/>
            <w:vAlign w:val="bottom"/>
          </w:tcPr>
          <w:p w:rsidR="00BB6207" w:rsidRPr="0047707B" w:rsidRDefault="00BB6207" w:rsidP="00BB6207">
            <w:pPr>
              <w:spacing w:after="0"/>
              <w:jc w:val="center"/>
              <w:rPr>
                <w:rFonts w:ascii="Calibri" w:hAnsi="Calibri"/>
                <w:sz w:val="20"/>
                <w:szCs w:val="20"/>
              </w:rPr>
            </w:pPr>
            <w:r w:rsidRPr="0047707B">
              <w:rPr>
                <w:rFonts w:ascii="Calibri" w:eastAsia="Times New Roman" w:hAnsi="Calibri" w:cs="Times New Roman"/>
                <w:sz w:val="20"/>
                <w:szCs w:val="20"/>
                <w:lang w:val="en-US"/>
              </w:rPr>
              <w:t>60.9%</w:t>
            </w:r>
          </w:p>
        </w:tc>
        <w:tc>
          <w:tcPr>
            <w:cnfStyle w:val="000100000000" w:firstRow="0" w:lastRow="0" w:firstColumn="0" w:lastColumn="1" w:oddVBand="0" w:evenVBand="0" w:oddHBand="0" w:evenHBand="0" w:firstRowFirstColumn="0" w:firstRowLastColumn="0" w:lastRowFirstColumn="0" w:lastRowLastColumn="0"/>
            <w:tcW w:w="2868" w:type="dxa"/>
            <w:vAlign w:val="bottom"/>
          </w:tcPr>
          <w:p w:rsidR="00BB6207" w:rsidRPr="0047707B" w:rsidRDefault="00BB6207" w:rsidP="00BB6207">
            <w:pPr>
              <w:spacing w:after="0"/>
              <w:jc w:val="center"/>
              <w:rPr>
                <w:rFonts w:ascii="Calibri" w:eastAsia="Times New Roman" w:hAnsi="Calibri" w:cs="Times New Roman"/>
                <w:sz w:val="20"/>
                <w:szCs w:val="20"/>
                <w:lang w:val="en-US"/>
              </w:rPr>
            </w:pPr>
            <w:r w:rsidRPr="0047707B">
              <w:rPr>
                <w:rFonts w:ascii="Calibri" w:eastAsia="Times New Roman" w:hAnsi="Calibri" w:cs="Times New Roman"/>
                <w:bCs w:val="0"/>
                <w:sz w:val="20"/>
                <w:szCs w:val="20"/>
                <w:lang w:val="en-US"/>
              </w:rPr>
              <w:t>$30.65</w:t>
            </w:r>
          </w:p>
        </w:tc>
      </w:tr>
      <w:tr w:rsidR="00BB6207" w:rsidRPr="0047707B" w:rsidTr="00477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shd w:val="clear" w:color="auto" w:fill="5B9BD5" w:themeFill="accent5"/>
          </w:tcPr>
          <w:p w:rsidR="00BB6207" w:rsidRPr="0047707B" w:rsidRDefault="00BB6207" w:rsidP="00BB6207">
            <w:pPr>
              <w:spacing w:after="0"/>
              <w:jc w:val="left"/>
              <w:rPr>
                <w:rFonts w:ascii="Calibri" w:eastAsia="Times New Roman" w:hAnsi="Calibri" w:cs="Times New Roman"/>
                <w:color w:val="FFFFFF" w:themeColor="background1"/>
                <w:sz w:val="20"/>
                <w:szCs w:val="20"/>
                <w:lang w:val="en-US"/>
              </w:rPr>
            </w:pPr>
            <w:r w:rsidRPr="0047707B">
              <w:rPr>
                <w:rFonts w:ascii="Calibri" w:eastAsia="Times New Roman" w:hAnsi="Calibri" w:cs="Times New Roman"/>
                <w:color w:val="FFFFFF" w:themeColor="background1"/>
                <w:sz w:val="20"/>
                <w:szCs w:val="20"/>
                <w:lang w:val="en-US"/>
              </w:rPr>
              <w:t>Complex Health Care</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5B9BD5" w:themeFill="accent5"/>
          </w:tcPr>
          <w:p w:rsidR="00BB6207" w:rsidRPr="0047707B" w:rsidRDefault="00BB6207" w:rsidP="00992EE3">
            <w:pPr>
              <w:spacing w:after="0"/>
              <w:jc w:val="center"/>
              <w:rPr>
                <w:rFonts w:ascii="Calibri" w:eastAsia="Times New Roman" w:hAnsi="Calibri" w:cs="Times New Roman"/>
                <w:b/>
                <w:color w:val="FFFFFF" w:themeColor="background1"/>
                <w:sz w:val="20"/>
                <w:szCs w:val="20"/>
                <w:lang w:val="en-US"/>
              </w:rPr>
            </w:pPr>
            <w:r w:rsidRPr="0047707B">
              <w:rPr>
                <w:rFonts w:ascii="Calibri" w:eastAsia="Times New Roman" w:hAnsi="Calibri" w:cs="Times New Roman"/>
                <w:b/>
                <w:color w:val="FFFFFF" w:themeColor="background1"/>
                <w:sz w:val="20"/>
                <w:szCs w:val="20"/>
                <w:lang w:val="en-US"/>
              </w:rPr>
              <w:t>Frequency</w:t>
            </w:r>
          </w:p>
        </w:tc>
        <w:tc>
          <w:tcPr>
            <w:cnfStyle w:val="000100000000" w:firstRow="0" w:lastRow="0" w:firstColumn="0" w:lastColumn="1" w:oddVBand="0" w:evenVBand="0" w:oddHBand="0" w:evenHBand="0" w:firstRowFirstColumn="0" w:firstRowLastColumn="0" w:lastRowFirstColumn="0" w:lastRowLastColumn="0"/>
            <w:tcW w:w="2868" w:type="dxa"/>
            <w:shd w:val="clear" w:color="auto" w:fill="5B9BD5" w:themeFill="accent5"/>
          </w:tcPr>
          <w:p w:rsidR="00BB6207" w:rsidRPr="0047707B" w:rsidRDefault="00BB6207" w:rsidP="00BB6207">
            <w:pPr>
              <w:spacing w:after="0"/>
              <w:jc w:val="center"/>
              <w:rPr>
                <w:rFonts w:ascii="Calibri" w:eastAsia="Times New Roman" w:hAnsi="Calibri" w:cs="Times New Roman"/>
                <w:color w:val="FFFFFF" w:themeColor="background1"/>
                <w:sz w:val="20"/>
                <w:szCs w:val="20"/>
                <w:lang w:val="en-US"/>
              </w:rPr>
            </w:pPr>
            <w:r w:rsidRPr="0047707B">
              <w:rPr>
                <w:rFonts w:ascii="Calibri" w:eastAsia="Times New Roman" w:hAnsi="Calibri" w:cs="Times New Roman"/>
                <w:color w:val="FFFFFF" w:themeColor="background1"/>
                <w:sz w:val="20"/>
                <w:szCs w:val="20"/>
                <w:lang w:val="en-US"/>
              </w:rPr>
              <w:t>Proposed Funding (per Day)</w:t>
            </w:r>
          </w:p>
        </w:tc>
      </w:tr>
      <w:tr w:rsidR="00BB6207" w:rsidRPr="0047707B" w:rsidTr="0047707B">
        <w:tc>
          <w:tcPr>
            <w:cnfStyle w:val="001000000000" w:firstRow="0" w:lastRow="0" w:firstColumn="1" w:lastColumn="0" w:oddVBand="0" w:evenVBand="0" w:oddHBand="0" w:evenHBand="0" w:firstRowFirstColumn="0" w:firstRowLastColumn="0" w:lastRowFirstColumn="0" w:lastRowLastColumn="0"/>
            <w:tcW w:w="4077" w:type="dxa"/>
          </w:tcPr>
          <w:p w:rsidR="00BB6207" w:rsidRPr="0047707B" w:rsidRDefault="00BB6207" w:rsidP="00BB6207">
            <w:pPr>
              <w:spacing w:after="0"/>
              <w:rPr>
                <w:rFonts w:ascii="Calibri" w:eastAsia="Times New Roman" w:hAnsi="Calibri" w:cs="Times New Roman"/>
                <w:b w:val="0"/>
                <w:sz w:val="20"/>
                <w:szCs w:val="20"/>
                <w:lang w:val="en-US"/>
              </w:rPr>
            </w:pPr>
            <w:r w:rsidRPr="0047707B">
              <w:rPr>
                <w:rFonts w:ascii="Calibri" w:eastAsia="Times New Roman" w:hAnsi="Calibri" w:cs="Times New Roman"/>
                <w:b w:val="0"/>
                <w:sz w:val="20"/>
                <w:szCs w:val="20"/>
                <w:lang w:val="en-US"/>
              </w:rPr>
              <w:t>0 Base</w:t>
            </w:r>
            <w:r w:rsidRPr="0047707B">
              <w:rPr>
                <w:rFonts w:cs="Tahoma"/>
                <w:b w:val="0"/>
                <w:sz w:val="20"/>
                <w:szCs w:val="20"/>
                <w:vertAlign w:val="superscript"/>
              </w:rPr>
              <w:t>1</w:t>
            </w:r>
            <w:r w:rsidRPr="0047707B">
              <w:rPr>
                <w:rFonts w:ascii="Calibri" w:eastAsia="Times New Roman" w:hAnsi="Calibri" w:cs="Times New Roman"/>
                <w:b w:val="0"/>
                <w:sz w:val="20"/>
                <w:szCs w:val="20"/>
                <w:lang w:val="en-US"/>
              </w:rPr>
              <w:t xml:space="preserve"> </w:t>
            </w:r>
          </w:p>
        </w:tc>
        <w:tc>
          <w:tcPr>
            <w:cnfStyle w:val="000010000000" w:firstRow="0" w:lastRow="0" w:firstColumn="0" w:lastColumn="0" w:oddVBand="1" w:evenVBand="0" w:oddHBand="0" w:evenHBand="0" w:firstRowFirstColumn="0" w:firstRowLastColumn="0" w:lastRowFirstColumn="0" w:lastRowLastColumn="0"/>
            <w:tcW w:w="1560" w:type="dxa"/>
            <w:vAlign w:val="bottom"/>
          </w:tcPr>
          <w:p w:rsidR="00BB6207" w:rsidRPr="0047707B" w:rsidRDefault="00BB6207" w:rsidP="00BB6207">
            <w:pPr>
              <w:spacing w:after="0"/>
              <w:jc w:val="center"/>
              <w:rPr>
                <w:rFonts w:ascii="Calibri" w:hAnsi="Calibri"/>
                <w:sz w:val="20"/>
                <w:szCs w:val="20"/>
              </w:rPr>
            </w:pPr>
            <w:r w:rsidRPr="0047707B">
              <w:rPr>
                <w:rFonts w:ascii="Calibri" w:eastAsia="Times New Roman" w:hAnsi="Calibri" w:cs="Times New Roman"/>
                <w:sz w:val="20"/>
                <w:szCs w:val="20"/>
                <w:lang w:val="en-US"/>
              </w:rPr>
              <w:t>1.0%</w:t>
            </w:r>
          </w:p>
        </w:tc>
        <w:tc>
          <w:tcPr>
            <w:cnfStyle w:val="000100000000" w:firstRow="0" w:lastRow="0" w:firstColumn="0" w:lastColumn="1" w:oddVBand="0" w:evenVBand="0" w:oddHBand="0" w:evenHBand="0" w:firstRowFirstColumn="0" w:firstRowLastColumn="0" w:lastRowFirstColumn="0" w:lastRowLastColumn="0"/>
            <w:tcW w:w="2868" w:type="dxa"/>
            <w:vAlign w:val="bottom"/>
          </w:tcPr>
          <w:p w:rsidR="00BB6207" w:rsidRPr="0047707B" w:rsidRDefault="00BB6207" w:rsidP="00BB6207">
            <w:pPr>
              <w:spacing w:after="0"/>
              <w:jc w:val="center"/>
              <w:rPr>
                <w:rFonts w:ascii="Calibri" w:eastAsia="Times New Roman" w:hAnsi="Calibri" w:cs="Times New Roman"/>
                <w:sz w:val="20"/>
                <w:szCs w:val="20"/>
                <w:lang w:val="en-US"/>
              </w:rPr>
            </w:pPr>
            <w:r w:rsidRPr="0047707B">
              <w:rPr>
                <w:rFonts w:ascii="Calibri" w:eastAsia="Times New Roman" w:hAnsi="Calibri" w:cs="Times New Roman"/>
                <w:bCs w:val="0"/>
                <w:sz w:val="20"/>
                <w:szCs w:val="20"/>
                <w:lang w:val="en-US"/>
              </w:rPr>
              <w:t>$0.00</w:t>
            </w:r>
          </w:p>
        </w:tc>
      </w:tr>
      <w:tr w:rsidR="00BB6207" w:rsidRPr="0047707B" w:rsidTr="00477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BB6207" w:rsidRPr="0047707B" w:rsidRDefault="00BB6207" w:rsidP="00BB6207">
            <w:pPr>
              <w:spacing w:after="0"/>
              <w:rPr>
                <w:rFonts w:ascii="Calibri" w:eastAsia="Times New Roman" w:hAnsi="Calibri" w:cs="Times New Roman"/>
                <w:b w:val="0"/>
                <w:sz w:val="20"/>
                <w:szCs w:val="20"/>
                <w:lang w:val="en-US"/>
              </w:rPr>
            </w:pPr>
            <w:r w:rsidRPr="0047707B">
              <w:rPr>
                <w:rFonts w:ascii="Calibri" w:eastAsia="Times New Roman" w:hAnsi="Calibri" w:cs="Times New Roman"/>
                <w:b w:val="0"/>
                <w:sz w:val="20"/>
                <w:szCs w:val="20"/>
                <w:lang w:val="en-US"/>
              </w:rPr>
              <w:t>1 Low</w:t>
            </w:r>
          </w:p>
        </w:tc>
        <w:tc>
          <w:tcPr>
            <w:cnfStyle w:val="000010000000" w:firstRow="0" w:lastRow="0" w:firstColumn="0" w:lastColumn="0" w:oddVBand="1" w:evenVBand="0" w:oddHBand="0" w:evenHBand="0" w:firstRowFirstColumn="0" w:firstRowLastColumn="0" w:lastRowFirstColumn="0" w:lastRowLastColumn="0"/>
            <w:tcW w:w="1560" w:type="dxa"/>
            <w:vAlign w:val="bottom"/>
          </w:tcPr>
          <w:p w:rsidR="00BB6207" w:rsidRPr="0047707B" w:rsidRDefault="00BB6207" w:rsidP="00BB6207">
            <w:pPr>
              <w:spacing w:after="0"/>
              <w:jc w:val="center"/>
              <w:rPr>
                <w:rFonts w:ascii="Calibri" w:hAnsi="Calibri"/>
                <w:sz w:val="20"/>
                <w:szCs w:val="20"/>
              </w:rPr>
            </w:pPr>
            <w:r w:rsidRPr="0047707B">
              <w:rPr>
                <w:rFonts w:ascii="Calibri" w:eastAsia="Times New Roman" w:hAnsi="Calibri" w:cs="Times New Roman"/>
                <w:sz w:val="20"/>
                <w:szCs w:val="20"/>
                <w:lang w:val="en-US"/>
              </w:rPr>
              <w:t>24.0%</w:t>
            </w:r>
          </w:p>
        </w:tc>
        <w:tc>
          <w:tcPr>
            <w:cnfStyle w:val="000100000000" w:firstRow="0" w:lastRow="0" w:firstColumn="0" w:lastColumn="1" w:oddVBand="0" w:evenVBand="0" w:oddHBand="0" w:evenHBand="0" w:firstRowFirstColumn="0" w:firstRowLastColumn="0" w:lastRowFirstColumn="0" w:lastRowLastColumn="0"/>
            <w:tcW w:w="2868" w:type="dxa"/>
            <w:vAlign w:val="bottom"/>
          </w:tcPr>
          <w:p w:rsidR="00BB6207" w:rsidRPr="0047707B" w:rsidRDefault="00BB6207" w:rsidP="00BB6207">
            <w:pPr>
              <w:spacing w:after="0"/>
              <w:jc w:val="center"/>
              <w:rPr>
                <w:rFonts w:ascii="Calibri" w:eastAsia="Times New Roman" w:hAnsi="Calibri" w:cs="Times New Roman"/>
                <w:sz w:val="20"/>
                <w:szCs w:val="20"/>
                <w:lang w:val="en-US"/>
              </w:rPr>
            </w:pPr>
            <w:r w:rsidRPr="0047707B">
              <w:rPr>
                <w:rFonts w:ascii="Calibri" w:eastAsia="Times New Roman" w:hAnsi="Calibri" w:cs="Times New Roman"/>
                <w:bCs w:val="0"/>
                <w:sz w:val="20"/>
                <w:szCs w:val="20"/>
                <w:lang w:val="en-US"/>
              </w:rPr>
              <w:t>$33.11</w:t>
            </w:r>
          </w:p>
        </w:tc>
      </w:tr>
      <w:tr w:rsidR="00BB6207" w:rsidRPr="0047707B" w:rsidTr="0047707B">
        <w:tc>
          <w:tcPr>
            <w:cnfStyle w:val="001000000000" w:firstRow="0" w:lastRow="0" w:firstColumn="1" w:lastColumn="0" w:oddVBand="0" w:evenVBand="0" w:oddHBand="0" w:evenHBand="0" w:firstRowFirstColumn="0" w:firstRowLastColumn="0" w:lastRowFirstColumn="0" w:lastRowLastColumn="0"/>
            <w:tcW w:w="4077" w:type="dxa"/>
          </w:tcPr>
          <w:p w:rsidR="00BB6207" w:rsidRPr="0047707B" w:rsidRDefault="00BB6207" w:rsidP="00BB6207">
            <w:pPr>
              <w:spacing w:after="0"/>
              <w:rPr>
                <w:rFonts w:ascii="Calibri" w:eastAsia="Times New Roman" w:hAnsi="Calibri" w:cs="Times New Roman"/>
                <w:b w:val="0"/>
                <w:sz w:val="20"/>
                <w:szCs w:val="20"/>
                <w:lang w:val="en-US"/>
              </w:rPr>
            </w:pPr>
            <w:r w:rsidRPr="0047707B">
              <w:rPr>
                <w:rFonts w:ascii="Calibri" w:eastAsia="Times New Roman" w:hAnsi="Calibri" w:cs="Times New Roman"/>
                <w:b w:val="0"/>
                <w:sz w:val="20"/>
                <w:szCs w:val="20"/>
                <w:lang w:val="en-US"/>
              </w:rPr>
              <w:t>2 Medium</w:t>
            </w:r>
          </w:p>
        </w:tc>
        <w:tc>
          <w:tcPr>
            <w:cnfStyle w:val="000010000000" w:firstRow="0" w:lastRow="0" w:firstColumn="0" w:lastColumn="0" w:oddVBand="1" w:evenVBand="0" w:oddHBand="0" w:evenHBand="0" w:firstRowFirstColumn="0" w:firstRowLastColumn="0" w:lastRowFirstColumn="0" w:lastRowLastColumn="0"/>
            <w:tcW w:w="1560" w:type="dxa"/>
            <w:vAlign w:val="bottom"/>
          </w:tcPr>
          <w:p w:rsidR="00BB6207" w:rsidRPr="0047707B" w:rsidRDefault="00BB6207" w:rsidP="00BB6207">
            <w:pPr>
              <w:spacing w:after="0"/>
              <w:jc w:val="center"/>
              <w:rPr>
                <w:rFonts w:ascii="Calibri" w:hAnsi="Calibri"/>
                <w:sz w:val="20"/>
                <w:szCs w:val="20"/>
              </w:rPr>
            </w:pPr>
            <w:r w:rsidRPr="0047707B">
              <w:rPr>
                <w:rFonts w:ascii="Calibri" w:eastAsia="Times New Roman" w:hAnsi="Calibri" w:cs="Times New Roman"/>
                <w:sz w:val="20"/>
                <w:szCs w:val="20"/>
                <w:lang w:val="en-US"/>
              </w:rPr>
              <w:t>60.9%</w:t>
            </w:r>
          </w:p>
        </w:tc>
        <w:tc>
          <w:tcPr>
            <w:cnfStyle w:val="000100000000" w:firstRow="0" w:lastRow="0" w:firstColumn="0" w:lastColumn="1" w:oddVBand="0" w:evenVBand="0" w:oddHBand="0" w:evenHBand="0" w:firstRowFirstColumn="0" w:firstRowLastColumn="0" w:lastRowFirstColumn="0" w:lastRowLastColumn="0"/>
            <w:tcW w:w="2868" w:type="dxa"/>
            <w:vAlign w:val="bottom"/>
          </w:tcPr>
          <w:p w:rsidR="00BB6207" w:rsidRPr="0047707B" w:rsidRDefault="00BB6207" w:rsidP="00BB6207">
            <w:pPr>
              <w:spacing w:after="0"/>
              <w:jc w:val="center"/>
              <w:rPr>
                <w:rFonts w:ascii="Calibri" w:eastAsia="Times New Roman" w:hAnsi="Calibri" w:cs="Times New Roman"/>
                <w:sz w:val="20"/>
                <w:szCs w:val="20"/>
                <w:lang w:val="en-US"/>
              </w:rPr>
            </w:pPr>
            <w:r w:rsidRPr="0047707B">
              <w:rPr>
                <w:rFonts w:ascii="Calibri" w:eastAsia="Times New Roman" w:hAnsi="Calibri" w:cs="Times New Roman"/>
                <w:bCs w:val="0"/>
                <w:sz w:val="20"/>
                <w:szCs w:val="20"/>
                <w:lang w:val="en-US"/>
              </w:rPr>
              <w:t>$44.15</w:t>
            </w:r>
          </w:p>
        </w:tc>
      </w:tr>
      <w:tr w:rsidR="00BB6207" w:rsidRPr="0047707B" w:rsidTr="00477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BB6207" w:rsidRPr="0047707B" w:rsidRDefault="00BB6207" w:rsidP="00BB6207">
            <w:pPr>
              <w:spacing w:after="0"/>
              <w:rPr>
                <w:rFonts w:ascii="Calibri" w:eastAsia="Times New Roman" w:hAnsi="Calibri" w:cs="Times New Roman"/>
                <w:b w:val="0"/>
                <w:sz w:val="20"/>
                <w:szCs w:val="20"/>
                <w:lang w:val="en-US"/>
              </w:rPr>
            </w:pPr>
            <w:r w:rsidRPr="0047707B">
              <w:rPr>
                <w:rFonts w:ascii="Calibri" w:eastAsia="Times New Roman" w:hAnsi="Calibri" w:cs="Times New Roman"/>
                <w:b w:val="0"/>
                <w:sz w:val="20"/>
                <w:szCs w:val="20"/>
                <w:lang w:val="en-US"/>
              </w:rPr>
              <w:t>3 High</w:t>
            </w:r>
          </w:p>
        </w:tc>
        <w:tc>
          <w:tcPr>
            <w:cnfStyle w:val="000010000000" w:firstRow="0" w:lastRow="0" w:firstColumn="0" w:lastColumn="0" w:oddVBand="1" w:evenVBand="0" w:oddHBand="0" w:evenHBand="0" w:firstRowFirstColumn="0" w:firstRowLastColumn="0" w:lastRowFirstColumn="0" w:lastRowLastColumn="0"/>
            <w:tcW w:w="1560" w:type="dxa"/>
            <w:vAlign w:val="bottom"/>
          </w:tcPr>
          <w:p w:rsidR="00BB6207" w:rsidRPr="0047707B" w:rsidRDefault="00BB6207" w:rsidP="00BB6207">
            <w:pPr>
              <w:spacing w:after="0"/>
              <w:jc w:val="center"/>
              <w:rPr>
                <w:rFonts w:ascii="Calibri" w:hAnsi="Calibri"/>
                <w:sz w:val="20"/>
                <w:szCs w:val="20"/>
              </w:rPr>
            </w:pPr>
            <w:r w:rsidRPr="0047707B">
              <w:rPr>
                <w:rFonts w:ascii="Calibri" w:eastAsia="Times New Roman" w:hAnsi="Calibri" w:cs="Times New Roman"/>
                <w:sz w:val="20"/>
                <w:szCs w:val="20"/>
                <w:lang w:val="en-US"/>
              </w:rPr>
              <w:t>14.1%</w:t>
            </w:r>
          </w:p>
        </w:tc>
        <w:tc>
          <w:tcPr>
            <w:cnfStyle w:val="000100000000" w:firstRow="0" w:lastRow="0" w:firstColumn="0" w:lastColumn="1" w:oddVBand="0" w:evenVBand="0" w:oddHBand="0" w:evenHBand="0" w:firstRowFirstColumn="0" w:firstRowLastColumn="0" w:lastRowFirstColumn="0" w:lastRowLastColumn="0"/>
            <w:tcW w:w="2868" w:type="dxa"/>
            <w:vAlign w:val="bottom"/>
          </w:tcPr>
          <w:p w:rsidR="00BB6207" w:rsidRPr="0047707B" w:rsidRDefault="00BB6207" w:rsidP="00BB6207">
            <w:pPr>
              <w:spacing w:after="0"/>
              <w:jc w:val="center"/>
              <w:rPr>
                <w:rFonts w:ascii="Calibri" w:eastAsia="Times New Roman" w:hAnsi="Calibri" w:cs="Times New Roman"/>
                <w:sz w:val="20"/>
                <w:szCs w:val="20"/>
                <w:lang w:val="en-US"/>
              </w:rPr>
            </w:pPr>
            <w:r w:rsidRPr="0047707B">
              <w:rPr>
                <w:rFonts w:ascii="Calibri" w:eastAsia="Times New Roman" w:hAnsi="Calibri" w:cs="Times New Roman"/>
                <w:bCs w:val="0"/>
                <w:sz w:val="20"/>
                <w:szCs w:val="20"/>
                <w:lang w:val="en-US"/>
              </w:rPr>
              <w:t>$55.19</w:t>
            </w:r>
          </w:p>
        </w:tc>
      </w:tr>
      <w:tr w:rsidR="00992EE3" w:rsidRPr="0047707B" w:rsidTr="0047707B">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shd w:val="clear" w:color="auto" w:fill="5B9BD5" w:themeFill="accent5"/>
          </w:tcPr>
          <w:p w:rsidR="00992EE3" w:rsidRPr="0047707B" w:rsidRDefault="00992EE3" w:rsidP="00BB6207">
            <w:pPr>
              <w:spacing w:after="0"/>
              <w:jc w:val="left"/>
              <w:rPr>
                <w:rFonts w:ascii="Calibri" w:eastAsia="Times New Roman" w:hAnsi="Calibri" w:cs="Times New Roman"/>
                <w:color w:val="FFFFFF" w:themeColor="background1"/>
                <w:sz w:val="20"/>
                <w:szCs w:val="20"/>
                <w:lang w:val="en-US"/>
              </w:rPr>
            </w:pPr>
            <w:r w:rsidRPr="0047707B">
              <w:rPr>
                <w:rFonts w:ascii="Calibri" w:eastAsia="Times New Roman" w:hAnsi="Calibri" w:cs="Times New Roman"/>
                <w:color w:val="FFFFFF" w:themeColor="background1"/>
                <w:sz w:val="20"/>
                <w:szCs w:val="20"/>
                <w:lang w:val="en-US"/>
              </w:rPr>
              <w:t>Therapy Program</w:t>
            </w:r>
          </w:p>
        </w:tc>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shd w:val="clear" w:color="auto" w:fill="5B9BD5" w:themeFill="accent5"/>
          </w:tcPr>
          <w:p w:rsidR="00992EE3" w:rsidRPr="0047707B" w:rsidRDefault="00992EE3" w:rsidP="00992EE3">
            <w:pPr>
              <w:spacing w:after="0"/>
              <w:jc w:val="center"/>
              <w:rPr>
                <w:rFonts w:ascii="Calibri" w:eastAsia="Times New Roman" w:hAnsi="Calibri" w:cs="Times New Roman"/>
                <w:b/>
                <w:color w:val="FFFFFF" w:themeColor="background1"/>
                <w:sz w:val="20"/>
                <w:szCs w:val="20"/>
                <w:lang w:val="en-US"/>
              </w:rPr>
            </w:pPr>
            <w:r w:rsidRPr="0047707B">
              <w:rPr>
                <w:rFonts w:ascii="Calibri" w:eastAsia="Times New Roman" w:hAnsi="Calibri" w:cs="Times New Roman"/>
                <w:b/>
                <w:color w:val="FFFFFF" w:themeColor="background1"/>
                <w:sz w:val="20"/>
                <w:szCs w:val="20"/>
                <w:lang w:val="en-US"/>
              </w:rPr>
              <w:t>Frequency</w:t>
            </w:r>
          </w:p>
        </w:tc>
        <w:tc>
          <w:tcPr>
            <w:cnfStyle w:val="000100000000" w:firstRow="0" w:lastRow="0" w:firstColumn="0" w:lastColumn="1" w:oddVBand="0" w:evenVBand="0" w:oddHBand="0" w:evenHBand="0" w:firstRowFirstColumn="0" w:firstRowLastColumn="0" w:lastRowFirstColumn="0" w:lastRowLastColumn="0"/>
            <w:tcW w:w="2868" w:type="dxa"/>
            <w:tcBorders>
              <w:left w:val="none" w:sz="0" w:space="0" w:color="auto"/>
            </w:tcBorders>
            <w:shd w:val="clear" w:color="auto" w:fill="5B9BD5" w:themeFill="accent5"/>
          </w:tcPr>
          <w:p w:rsidR="00992EE3" w:rsidRPr="0047707B" w:rsidRDefault="00992EE3" w:rsidP="00BB6207">
            <w:pPr>
              <w:spacing w:after="0"/>
              <w:jc w:val="center"/>
              <w:rPr>
                <w:rFonts w:ascii="Calibri" w:eastAsia="Times New Roman" w:hAnsi="Calibri" w:cs="Times New Roman"/>
                <w:color w:val="FFFFFF" w:themeColor="background1"/>
                <w:sz w:val="20"/>
                <w:szCs w:val="20"/>
                <w:lang w:val="en-US"/>
              </w:rPr>
            </w:pPr>
            <w:r w:rsidRPr="0047707B">
              <w:rPr>
                <w:rFonts w:ascii="Calibri" w:eastAsia="Times New Roman" w:hAnsi="Calibri" w:cs="Times New Roman"/>
                <w:color w:val="FFFFFF" w:themeColor="background1"/>
                <w:sz w:val="20"/>
                <w:szCs w:val="20"/>
                <w:lang w:val="en-US"/>
              </w:rPr>
              <w:t>Proposed Funding (per Day)</w:t>
            </w:r>
          </w:p>
        </w:tc>
      </w:tr>
      <w:tr w:rsidR="00982E77" w:rsidRPr="0047707B" w:rsidTr="00477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982E77" w:rsidRPr="0047707B" w:rsidRDefault="00982E77" w:rsidP="00BB6207">
            <w:pPr>
              <w:spacing w:after="0"/>
              <w:rPr>
                <w:rFonts w:ascii="Calibri" w:eastAsia="Times New Roman" w:hAnsi="Calibri" w:cs="Times New Roman"/>
                <w:sz w:val="20"/>
                <w:szCs w:val="20"/>
                <w:lang w:val="en-US"/>
              </w:rPr>
            </w:pPr>
            <w:r w:rsidRPr="0047707B">
              <w:rPr>
                <w:rFonts w:ascii="Calibri" w:eastAsia="Times New Roman" w:hAnsi="Calibri" w:cs="Times New Roman"/>
                <w:sz w:val="20"/>
                <w:szCs w:val="20"/>
                <w:lang w:val="en-US"/>
              </w:rPr>
              <w:t>Lowest Funding Possible (July 2018)</w:t>
            </w:r>
          </w:p>
        </w:tc>
        <w:tc>
          <w:tcPr>
            <w:cnfStyle w:val="000010000000" w:firstRow="0" w:lastRow="0" w:firstColumn="0" w:lastColumn="0" w:oddVBand="1" w:evenVBand="0" w:oddHBand="0" w:evenHBand="0" w:firstRowFirstColumn="0" w:firstRowLastColumn="0" w:lastRowFirstColumn="0" w:lastRowLastColumn="0"/>
            <w:tcW w:w="1560" w:type="dxa"/>
            <w:vMerge w:val="restart"/>
            <w:vAlign w:val="center"/>
          </w:tcPr>
          <w:p w:rsidR="00982E77" w:rsidRPr="0047707B" w:rsidRDefault="00982E77" w:rsidP="00982E77">
            <w:pPr>
              <w:spacing w:after="0"/>
              <w:jc w:val="center"/>
              <w:rPr>
                <w:rFonts w:ascii="Calibri" w:eastAsia="Times New Roman" w:hAnsi="Calibri" w:cs="Times New Roman"/>
                <w:sz w:val="20"/>
                <w:szCs w:val="20"/>
                <w:lang w:val="en-US"/>
              </w:rPr>
            </w:pPr>
            <w:r w:rsidRPr="0047707B">
              <w:rPr>
                <w:rFonts w:ascii="Calibri" w:eastAsia="Times New Roman" w:hAnsi="Calibri" w:cs="Times New Roman"/>
                <w:sz w:val="20"/>
                <w:szCs w:val="20"/>
                <w:lang w:val="en-US"/>
              </w:rPr>
              <w:t>75-100%</w:t>
            </w:r>
          </w:p>
        </w:tc>
        <w:tc>
          <w:tcPr>
            <w:cnfStyle w:val="000100000000" w:firstRow="0" w:lastRow="0" w:firstColumn="0" w:lastColumn="1" w:oddVBand="0" w:evenVBand="0" w:oddHBand="0" w:evenHBand="0" w:firstRowFirstColumn="0" w:firstRowLastColumn="0" w:lastRowFirstColumn="0" w:lastRowLastColumn="0"/>
            <w:tcW w:w="2868" w:type="dxa"/>
          </w:tcPr>
          <w:p w:rsidR="00982E77" w:rsidRPr="0047707B" w:rsidRDefault="00982E77" w:rsidP="00BB6207">
            <w:pPr>
              <w:spacing w:after="0"/>
              <w:jc w:val="center"/>
              <w:rPr>
                <w:rFonts w:ascii="Calibri" w:eastAsia="Times New Roman" w:hAnsi="Calibri" w:cs="Times New Roman"/>
                <w:bCs w:val="0"/>
                <w:sz w:val="20"/>
                <w:szCs w:val="20"/>
                <w:lang w:val="en-US"/>
              </w:rPr>
            </w:pPr>
            <w:r w:rsidRPr="0047707B">
              <w:rPr>
                <w:rFonts w:ascii="Calibri" w:eastAsia="Times New Roman" w:hAnsi="Calibri" w:cs="Times New Roman"/>
                <w:bCs w:val="0"/>
                <w:sz w:val="20"/>
                <w:szCs w:val="20"/>
                <w:lang w:val="en-US"/>
              </w:rPr>
              <w:t>$15.00</w:t>
            </w:r>
          </w:p>
        </w:tc>
      </w:tr>
      <w:tr w:rsidR="00982E77" w:rsidRPr="0047707B" w:rsidTr="0047707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077" w:type="dxa"/>
            <w:tcBorders>
              <w:top w:val="single" w:sz="4" w:space="0" w:color="5B9BD5" w:themeColor="accent5"/>
            </w:tcBorders>
          </w:tcPr>
          <w:p w:rsidR="00982E77" w:rsidRPr="0047707B" w:rsidRDefault="00982E77" w:rsidP="00BB6207">
            <w:pPr>
              <w:spacing w:after="0"/>
              <w:rPr>
                <w:rFonts w:ascii="Calibri" w:eastAsia="Times New Roman" w:hAnsi="Calibri" w:cs="Times New Roman"/>
                <w:sz w:val="20"/>
                <w:szCs w:val="20"/>
                <w:lang w:val="en-US"/>
              </w:rPr>
            </w:pPr>
            <w:r w:rsidRPr="0047707B">
              <w:rPr>
                <w:rFonts w:ascii="Calibri" w:eastAsia="Times New Roman" w:hAnsi="Calibri" w:cs="Times New Roman"/>
                <w:sz w:val="20"/>
                <w:szCs w:val="20"/>
                <w:lang w:val="en-US"/>
              </w:rPr>
              <w:t>Highest Funding Possible (July 2018)</w:t>
            </w:r>
          </w:p>
        </w:tc>
        <w:tc>
          <w:tcPr>
            <w:cnfStyle w:val="000010000000" w:firstRow="0" w:lastRow="0" w:firstColumn="0" w:lastColumn="0" w:oddVBand="1" w:evenVBand="0" w:oddHBand="0" w:evenHBand="0" w:firstRowFirstColumn="0" w:firstRowLastColumn="0" w:lastRowFirstColumn="0" w:lastRowLastColumn="0"/>
            <w:tcW w:w="1560" w:type="dxa"/>
            <w:vMerge/>
          </w:tcPr>
          <w:p w:rsidR="00982E77" w:rsidRPr="0047707B" w:rsidRDefault="00982E77" w:rsidP="00BB6207">
            <w:pPr>
              <w:spacing w:after="0"/>
              <w:jc w:val="center"/>
              <w:rPr>
                <w:rFonts w:ascii="Calibri" w:eastAsia="Times New Roman" w:hAnsi="Calibri" w:cs="Times New Roman"/>
                <w:sz w:val="20"/>
                <w:szCs w:val="20"/>
                <w:lang w:val="en-US"/>
              </w:rPr>
            </w:pPr>
          </w:p>
        </w:tc>
        <w:tc>
          <w:tcPr>
            <w:cnfStyle w:val="000100000010" w:firstRow="0" w:lastRow="0" w:firstColumn="0" w:lastColumn="1" w:oddVBand="0" w:evenVBand="0" w:oddHBand="0" w:evenHBand="0" w:firstRowFirstColumn="0" w:firstRowLastColumn="0" w:lastRowFirstColumn="0" w:lastRowLastColumn="1"/>
            <w:tcW w:w="2868" w:type="dxa"/>
            <w:tcBorders>
              <w:top w:val="single" w:sz="4" w:space="0" w:color="5B9BD5" w:themeColor="accent5"/>
            </w:tcBorders>
          </w:tcPr>
          <w:p w:rsidR="00982E77" w:rsidRPr="0047707B" w:rsidRDefault="00982E77" w:rsidP="00BB6207">
            <w:pPr>
              <w:spacing w:after="0"/>
              <w:jc w:val="center"/>
              <w:rPr>
                <w:rFonts w:ascii="Calibri" w:eastAsia="Times New Roman" w:hAnsi="Calibri" w:cs="Times New Roman"/>
                <w:sz w:val="20"/>
                <w:szCs w:val="20"/>
                <w:lang w:val="en-US"/>
              </w:rPr>
            </w:pPr>
            <w:r w:rsidRPr="0047707B">
              <w:rPr>
                <w:rFonts w:ascii="Calibri" w:eastAsia="Times New Roman" w:hAnsi="Calibri" w:cs="Times New Roman"/>
                <w:bCs w:val="0"/>
                <w:sz w:val="20"/>
                <w:szCs w:val="20"/>
                <w:lang w:val="en-US"/>
              </w:rPr>
              <w:t>$225.56</w:t>
            </w:r>
          </w:p>
        </w:tc>
      </w:tr>
    </w:tbl>
    <w:p w:rsidR="00980F62" w:rsidRDefault="00256E3D" w:rsidP="00256E3D">
      <w:pPr>
        <w:pStyle w:val="BodyText"/>
        <w:rPr>
          <w:rFonts w:asciiTheme="minorHAnsi" w:hAnsiTheme="minorHAnsi" w:cs="Tahoma"/>
          <w:sz w:val="18"/>
          <w:szCs w:val="18"/>
        </w:rPr>
      </w:pPr>
      <w:r w:rsidRPr="006F22F3">
        <w:rPr>
          <w:rFonts w:cs="Tahoma"/>
          <w:b/>
          <w:sz w:val="18"/>
          <w:szCs w:val="18"/>
          <w:vertAlign w:val="superscript"/>
        </w:rPr>
        <w:t>1</w:t>
      </w:r>
      <w:r w:rsidRPr="006F22F3">
        <w:rPr>
          <w:rFonts w:asciiTheme="minorHAnsi" w:hAnsiTheme="minorHAnsi" w:cs="Tahoma"/>
          <w:sz w:val="18"/>
          <w:szCs w:val="18"/>
        </w:rPr>
        <w:t>Base = all assessed care needs must be provided as per Specialised Care &amp; Services &amp; Quality of Care Principles</w:t>
      </w:r>
    </w:p>
    <w:p w:rsidR="00043DB4" w:rsidRDefault="009F643E" w:rsidP="00043DB4">
      <w:pPr>
        <w:pStyle w:val="Caption"/>
        <w:keepNext/>
      </w:pPr>
      <w:bookmarkStart w:id="538" w:name="_Toc495416369"/>
      <w:bookmarkStart w:id="539" w:name="Tab0802"/>
      <w:r>
        <w:t>Table 8.</w:t>
      </w:r>
      <w:r w:rsidR="009A3F5A">
        <w:fldChar w:fldCharType="begin"/>
      </w:r>
      <w:r w:rsidR="009A3F5A">
        <w:instrText xml:space="preserve"> SEQ Table_8. \* ARABIC </w:instrText>
      </w:r>
      <w:r w:rsidR="009A3F5A">
        <w:fldChar w:fldCharType="separate"/>
      </w:r>
      <w:r w:rsidR="00856E49">
        <w:rPr>
          <w:noProof/>
        </w:rPr>
        <w:t>2</w:t>
      </w:r>
      <w:r w:rsidR="009A3F5A">
        <w:rPr>
          <w:noProof/>
        </w:rPr>
        <w:fldChar w:fldCharType="end"/>
      </w:r>
      <w:r>
        <w:t xml:space="preserve">: </w:t>
      </w:r>
      <w:r w:rsidRPr="009F643E">
        <w:t>R-ACFI Payment Groups Compared with the Current ACFI</w:t>
      </w:r>
      <w:bookmarkEnd w:id="538"/>
    </w:p>
    <w:tbl>
      <w:tblPr>
        <w:tblStyle w:val="ListTable3-Accent515"/>
        <w:tblW w:w="6946"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8.2 is a list of payment groups for the current aged care funding instrument (ACFI) and the revised instrument (R-ACFI) under the proposed 48 subsidy groups. This table is to be read left to right, top to bottom, noting part of the funding distribution has been outlined in the text prior to this table."/>
      </w:tblPr>
      <w:tblGrid>
        <w:gridCol w:w="2977"/>
        <w:gridCol w:w="1800"/>
        <w:gridCol w:w="2169"/>
      </w:tblGrid>
      <w:tr w:rsidR="00256E3D" w:rsidRPr="00734C6B" w:rsidTr="00D429B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2977" w:type="dxa"/>
            <w:tcBorders>
              <w:bottom w:val="none" w:sz="0" w:space="0" w:color="auto"/>
              <w:right w:val="none" w:sz="0" w:space="0" w:color="auto"/>
            </w:tcBorders>
            <w:noWrap/>
            <w:hideMark/>
          </w:tcPr>
          <w:bookmarkEnd w:id="539"/>
          <w:p w:rsidR="00256E3D" w:rsidRPr="00734C6B" w:rsidRDefault="00256E3D" w:rsidP="00734C6B">
            <w:pPr>
              <w:spacing w:after="0"/>
              <w:jc w:val="left"/>
              <w:rPr>
                <w:rFonts w:ascii="Calibri" w:eastAsia="Times New Roman" w:hAnsi="Calibri" w:cs="Times New Roman"/>
                <w:sz w:val="20"/>
                <w:szCs w:val="18"/>
                <w:lang w:val="en-US"/>
              </w:rPr>
            </w:pPr>
            <w:r w:rsidRPr="00734C6B">
              <w:rPr>
                <w:rFonts w:ascii="Calibri" w:eastAsia="Times New Roman" w:hAnsi="Calibri" w:cs="Times New Roman"/>
                <w:sz w:val="20"/>
                <w:szCs w:val="18"/>
                <w:lang w:val="en-US"/>
              </w:rPr>
              <w:t>R-ACFI Payment Groups (48)</w:t>
            </w:r>
            <w:r w:rsidR="00124B94" w:rsidRPr="00734C6B">
              <w:rPr>
                <w:rFonts w:ascii="Calibri" w:eastAsia="Times New Roman" w:hAnsi="Calibri" w:cs="Times New Roman"/>
                <w:sz w:val="20"/>
                <w:szCs w:val="18"/>
                <w:lang w:val="en-US"/>
              </w:rPr>
              <w:t>*</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right w:val="none" w:sz="0" w:space="0" w:color="auto"/>
            </w:tcBorders>
            <w:noWrap/>
            <w:hideMark/>
          </w:tcPr>
          <w:p w:rsidR="00256E3D" w:rsidRPr="00734C6B" w:rsidRDefault="00256E3D" w:rsidP="00734C6B">
            <w:pPr>
              <w:spacing w:after="0"/>
              <w:jc w:val="center"/>
              <w:rPr>
                <w:rFonts w:ascii="Calibri" w:eastAsia="Times New Roman" w:hAnsi="Calibri" w:cs="Times New Roman"/>
                <w:sz w:val="20"/>
                <w:szCs w:val="18"/>
                <w:lang w:val="en-US"/>
              </w:rPr>
            </w:pPr>
            <w:r w:rsidRPr="00734C6B">
              <w:rPr>
                <w:rFonts w:ascii="Calibri" w:eastAsia="Times New Roman" w:hAnsi="Calibri" w:cs="Times New Roman"/>
                <w:sz w:val="20"/>
                <w:szCs w:val="18"/>
                <w:lang w:val="en-US"/>
              </w:rPr>
              <w:t>Current ACFI</w:t>
            </w:r>
          </w:p>
        </w:tc>
        <w:tc>
          <w:tcPr>
            <w:tcW w:w="2169" w:type="dxa"/>
            <w:noWrap/>
            <w:hideMark/>
          </w:tcPr>
          <w:p w:rsidR="00256E3D" w:rsidRPr="00734C6B" w:rsidRDefault="00256E3D" w:rsidP="00734C6B">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734C6B">
              <w:rPr>
                <w:rFonts w:ascii="Calibri" w:eastAsia="Times New Roman" w:hAnsi="Calibri" w:cs="Times New Roman"/>
                <w:sz w:val="20"/>
                <w:szCs w:val="18"/>
                <w:lang w:val="en-US"/>
              </w:rPr>
              <w:t>Proposed R-ACFI</w:t>
            </w:r>
            <w:r w:rsidR="00124B94" w:rsidRPr="00734C6B">
              <w:rPr>
                <w:rFonts w:ascii="Calibri" w:eastAsia="Times New Roman" w:hAnsi="Calibri" w:cs="Times New Roman"/>
                <w:sz w:val="20"/>
                <w:szCs w:val="18"/>
                <w:lang w:val="en-US"/>
              </w:rPr>
              <w:t>**</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1</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$49.38</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$59.54</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2</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$63.12</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$77.06</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3</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$94.05</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$86.27</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4</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$78.54</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$90.19</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5</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$62.66</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$92.66</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6</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$83.25</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$103.70</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7</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$107.32</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$103.78</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8</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$76.53</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$110.18</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9</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$138.24</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$113.00</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10</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$101.00</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$114.74</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11</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$123.78</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$116.92</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12</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$104.89</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$119.39</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13</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$96.98</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$121.21</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14</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$96.41</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$123.31</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15</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$124.97</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$130.43</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16</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$139.46</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$130.51</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17</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$118.01</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$132.25</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18</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$114.38</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$134.35</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19</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$124.23</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$136.90</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20</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$79.80</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$139.73</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21</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$139.65</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$141.47</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22</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$161.88</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$143.65</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23</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$132.52</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$145.39</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24</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$146.84</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$146.12</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25</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$146.81</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$147.94</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26</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$149.73</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$150.04</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27</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$167.20</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$157.16</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28</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$129.63</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$157.24</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29</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$158.74</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$158.98</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30</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$165.80</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$161.08</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31</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$165.00</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$163.63</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32</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$176.37</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$168.20</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33</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$153.68</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$170.37</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34</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$176.31</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$172.11</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35</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$147.80</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$172.84</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36</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$186.62</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$174.67</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37</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$190.84</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$176.76</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38</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$170.23</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$183.88</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39</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$197.36</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$185.71</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40</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$205.01</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$187.80</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41</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$168.52</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$190.36</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42</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$178.14</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$194.92</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43</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$210.45</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$198.84</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44</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$188.91</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$201.40</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45</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$194.63</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$203.49</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46</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$197.34</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$212.43</w:t>
            </w:r>
          </w:p>
        </w:tc>
      </w:tr>
      <w:tr w:rsidR="00D429B9" w:rsidRPr="00D429B9" w:rsidTr="00D429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47</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$207.01</w:t>
            </w:r>
          </w:p>
        </w:tc>
        <w:tc>
          <w:tcPr>
            <w:tcW w:w="2169" w:type="dxa"/>
            <w:noWrap/>
            <w:vAlign w:val="bottom"/>
            <w:hideMark/>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$214.53</w:t>
            </w:r>
          </w:p>
        </w:tc>
      </w:tr>
      <w:tr w:rsidR="00D429B9" w:rsidRPr="00D429B9" w:rsidTr="00D429B9">
        <w:trPr>
          <w:trHeight w:val="20"/>
        </w:trPr>
        <w:tc>
          <w:tcPr>
            <w:cnfStyle w:val="001000000000" w:firstRow="0" w:lastRow="0" w:firstColumn="1" w:lastColumn="0" w:oddVBand="0" w:evenVBand="0" w:oddHBand="0" w:evenHBand="0" w:firstRowFirstColumn="0" w:firstRowLastColumn="0" w:lastRowFirstColumn="0" w:lastRowLastColumn="0"/>
            <w:tcW w:w="2977" w:type="dxa"/>
            <w:noWrap/>
            <w:hideMark/>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48</w:t>
            </w:r>
          </w:p>
        </w:tc>
        <w:tc>
          <w:tcPr>
            <w:cnfStyle w:val="000010000000" w:firstRow="0" w:lastRow="0" w:firstColumn="0" w:lastColumn="0" w:oddVBand="1" w:evenVBand="0" w:oddHBand="0" w:evenHBand="0" w:firstRowFirstColumn="0" w:firstRowLastColumn="0" w:lastRowFirstColumn="0" w:lastRowLastColumn="0"/>
            <w:tcW w:w="1800" w:type="dxa"/>
            <w:noWrap/>
            <w:vAlign w:val="bottom"/>
            <w:hideMark/>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sz w:val="20"/>
                <w:szCs w:val="18"/>
              </w:rPr>
              <w:t>$210.83</w:t>
            </w:r>
          </w:p>
        </w:tc>
        <w:tc>
          <w:tcPr>
            <w:tcW w:w="2169" w:type="dxa"/>
            <w:noWrap/>
            <w:vAlign w:val="bottom"/>
            <w:hideMark/>
          </w:tcPr>
          <w:p w:rsidR="00696C4F" w:rsidRPr="00D429B9" w:rsidRDefault="00696C4F" w:rsidP="00734C6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sz w:val="20"/>
                <w:szCs w:val="18"/>
              </w:rPr>
              <w:t>$225.57</w:t>
            </w:r>
          </w:p>
        </w:tc>
      </w:tr>
      <w:tr w:rsidR="00D429B9" w:rsidRPr="00D429B9" w:rsidTr="004770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tcPr>
          <w:p w:rsidR="00696C4F" w:rsidRPr="00D429B9" w:rsidRDefault="00696C4F" w:rsidP="00734C6B">
            <w:pPr>
              <w:spacing w:after="0"/>
              <w:jc w:val="left"/>
              <w:rPr>
                <w:rFonts w:ascii="Calibri" w:eastAsia="Times New Roman" w:hAnsi="Calibri" w:cs="Times New Roman"/>
                <w:sz w:val="20"/>
                <w:szCs w:val="18"/>
                <w:lang w:val="en-US"/>
              </w:rPr>
            </w:pPr>
            <w:r w:rsidRPr="00D429B9">
              <w:rPr>
                <w:rFonts w:ascii="Calibri" w:eastAsia="Times New Roman" w:hAnsi="Calibri" w:cs="Times New Roman"/>
                <w:sz w:val="20"/>
                <w:szCs w:val="18"/>
                <w:lang w:val="en-US"/>
              </w:rPr>
              <w:t>Average</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auto"/>
            <w:noWrap/>
            <w:vAlign w:val="bottom"/>
          </w:tcPr>
          <w:p w:rsidR="00696C4F" w:rsidRPr="00D429B9" w:rsidRDefault="00696C4F" w:rsidP="00734C6B">
            <w:pPr>
              <w:spacing w:after="0"/>
              <w:jc w:val="center"/>
              <w:rPr>
                <w:rFonts w:ascii="Calibri" w:eastAsia="Times New Roman" w:hAnsi="Calibri" w:cs="Times New Roman"/>
                <w:sz w:val="20"/>
                <w:szCs w:val="18"/>
                <w:lang w:val="en-US"/>
              </w:rPr>
            </w:pPr>
            <w:r w:rsidRPr="00D429B9">
              <w:rPr>
                <w:rFonts w:ascii="Calibri" w:hAnsi="Calibri"/>
                <w:b/>
                <w:bCs/>
                <w:sz w:val="20"/>
                <w:szCs w:val="18"/>
              </w:rPr>
              <w:t>$172.02</w:t>
            </w:r>
          </w:p>
        </w:tc>
        <w:tc>
          <w:tcPr>
            <w:tcW w:w="2169" w:type="dxa"/>
            <w:shd w:val="clear" w:color="auto" w:fill="auto"/>
            <w:noWrap/>
            <w:vAlign w:val="bottom"/>
          </w:tcPr>
          <w:p w:rsidR="00696C4F" w:rsidRPr="00D429B9" w:rsidRDefault="00696C4F" w:rsidP="00734C6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18"/>
                <w:lang w:val="en-US"/>
              </w:rPr>
            </w:pPr>
            <w:r w:rsidRPr="00D429B9">
              <w:rPr>
                <w:rFonts w:ascii="Calibri" w:hAnsi="Calibri"/>
                <w:b/>
                <w:bCs/>
                <w:sz w:val="20"/>
                <w:szCs w:val="18"/>
              </w:rPr>
              <w:t>$172.02</w:t>
            </w:r>
          </w:p>
        </w:tc>
      </w:tr>
    </w:tbl>
    <w:p w:rsidR="00424D60" w:rsidRPr="000F3B46" w:rsidRDefault="00124B94" w:rsidP="00CF5314">
      <w:pPr>
        <w:spacing w:after="0" w:line="240" w:lineRule="auto"/>
        <w:ind w:left="357" w:hanging="357"/>
        <w:rPr>
          <w:rFonts w:ascii="Calibri" w:hAnsi="Calibri"/>
          <w:bCs/>
          <w:sz w:val="20"/>
          <w:szCs w:val="20"/>
        </w:rPr>
      </w:pPr>
      <w:r w:rsidRPr="000F3B46">
        <w:rPr>
          <w:rFonts w:eastAsiaTheme="majorEastAsia"/>
          <w:sz w:val="20"/>
          <w:szCs w:val="20"/>
          <w:lang w:eastAsia="en-AU"/>
        </w:rPr>
        <w:t>*</w:t>
      </w:r>
      <w:r w:rsidR="00734C6B">
        <w:rPr>
          <w:rFonts w:eastAsiaTheme="majorEastAsia"/>
          <w:sz w:val="20"/>
          <w:szCs w:val="20"/>
          <w:lang w:eastAsia="en-AU"/>
        </w:rPr>
        <w:tab/>
      </w:r>
      <w:r w:rsidRPr="000F3B46">
        <w:rPr>
          <w:rFonts w:ascii="Calibri" w:hAnsi="Calibri"/>
          <w:bCs/>
          <w:sz w:val="20"/>
          <w:szCs w:val="20"/>
        </w:rPr>
        <w:t>Total subsidies, including $15 for Therapy Program</w:t>
      </w:r>
    </w:p>
    <w:p w:rsidR="00124B94" w:rsidRDefault="00124B94" w:rsidP="00CF5314">
      <w:pPr>
        <w:spacing w:after="0" w:line="240" w:lineRule="auto"/>
        <w:ind w:left="357" w:hanging="357"/>
        <w:rPr>
          <w:rFonts w:ascii="Calibri" w:hAnsi="Calibri" w:cs="Times New Roman"/>
          <w:b/>
          <w:iCs/>
          <w:szCs w:val="18"/>
        </w:rPr>
      </w:pPr>
      <w:r w:rsidRPr="000F3B46">
        <w:rPr>
          <w:rFonts w:ascii="Calibri" w:hAnsi="Calibri"/>
          <w:bCs/>
          <w:sz w:val="20"/>
          <w:szCs w:val="20"/>
        </w:rPr>
        <w:t>**</w:t>
      </w:r>
      <w:r w:rsidR="00734C6B">
        <w:rPr>
          <w:rFonts w:ascii="Calibri" w:hAnsi="Calibri"/>
          <w:bCs/>
          <w:sz w:val="20"/>
          <w:szCs w:val="20"/>
        </w:rPr>
        <w:tab/>
      </w:r>
      <w:r w:rsidRPr="000F3B46">
        <w:rPr>
          <w:rFonts w:ascii="Calibri" w:hAnsi="Calibri"/>
          <w:bCs/>
          <w:sz w:val="20"/>
          <w:szCs w:val="20"/>
        </w:rPr>
        <w:t>Payment Groups sorted by old and new total subsidies into the 48 R-ACFI groupings</w:t>
      </w:r>
      <w:r w:rsidR="000F3B46" w:rsidRPr="000F3B46">
        <w:rPr>
          <w:rFonts w:ascii="Calibri" w:hAnsi="Calibri"/>
          <w:bCs/>
          <w:sz w:val="20"/>
          <w:szCs w:val="20"/>
        </w:rPr>
        <w:t xml:space="preserve">. </w:t>
      </w:r>
      <w:r w:rsidR="000F3B46" w:rsidRPr="000F3B46">
        <w:rPr>
          <w:sz w:val="18"/>
          <w:szCs w:val="18"/>
        </w:rPr>
        <w:t>The average R-ACFI and ACFI funding within these bands was then calculated</w:t>
      </w:r>
      <w:r w:rsidR="000F3B46" w:rsidRPr="000F3B46">
        <w:rPr>
          <w:sz w:val="18"/>
          <w:szCs w:val="18"/>
          <w:lang w:eastAsia="en-AU"/>
        </w:rPr>
        <w:t>.</w:t>
      </w:r>
      <w:r w:rsidR="00424D60">
        <w:t xml:space="preserve"> </w:t>
      </w:r>
      <w:bookmarkStart w:id="540" w:name="_Toc486596647"/>
      <w:bookmarkStart w:id="541" w:name="_Toc486600182"/>
      <w:bookmarkStart w:id="542" w:name="_Toc486605022"/>
      <w:r>
        <w:br w:type="page"/>
      </w:r>
    </w:p>
    <w:p w:rsidR="00E3084A" w:rsidRDefault="009F643E" w:rsidP="00E3084A">
      <w:pPr>
        <w:pStyle w:val="Caption"/>
        <w:keepNext/>
      </w:pPr>
      <w:bookmarkStart w:id="543" w:name="_Toc495416550"/>
      <w:bookmarkEnd w:id="540"/>
      <w:bookmarkEnd w:id="541"/>
      <w:bookmarkEnd w:id="542"/>
      <w:r>
        <w:lastRenderedPageBreak/>
        <w:t>Figure 8.</w:t>
      </w:r>
      <w:r w:rsidR="009A3F5A">
        <w:fldChar w:fldCharType="begin"/>
      </w:r>
      <w:r w:rsidR="009A3F5A">
        <w:instrText xml:space="preserve"> SEQ Figure_8. \* ARABIC </w:instrText>
      </w:r>
      <w:r w:rsidR="009A3F5A">
        <w:fldChar w:fldCharType="separate"/>
      </w:r>
      <w:r w:rsidR="00856E49">
        <w:rPr>
          <w:noProof/>
        </w:rPr>
        <w:t>3</w:t>
      </w:r>
      <w:r w:rsidR="009A3F5A">
        <w:rPr>
          <w:noProof/>
        </w:rPr>
        <w:fldChar w:fldCharType="end"/>
      </w:r>
      <w:r>
        <w:t xml:space="preserve">: </w:t>
      </w:r>
      <w:r w:rsidRPr="009F643E">
        <w:t>ACFI and R-ACFI Funding Distributions by R-ACFI Categories (48)</w:t>
      </w:r>
      <w:bookmarkEnd w:id="543"/>
    </w:p>
    <w:p w:rsidR="004A181C" w:rsidRDefault="004A181C" w:rsidP="00256E3D">
      <w:pPr>
        <w:spacing w:after="200"/>
        <w:rPr>
          <w:rFonts w:cstheme="minorHAnsi"/>
          <w:b/>
        </w:rPr>
      </w:pPr>
      <w:r>
        <w:rPr>
          <w:rFonts w:cstheme="minorHAnsi"/>
          <w:b/>
          <w:noProof/>
          <w:lang w:eastAsia="en-AU"/>
        </w:rPr>
        <w:drawing>
          <wp:inline distT="0" distB="0" distL="0" distR="0" wp14:anchorId="0D567D8C" wp14:editId="4A1B2054">
            <wp:extent cx="5639435" cy="4005580"/>
            <wp:effectExtent l="0" t="0" r="0" b="0"/>
            <wp:docPr id="147" name="Picture 147" descr="Figure 8.3 is a line diagram illustrating the comparison of funding distribution for the current aged care funding instrument (ACFI) and revised aged care funding instrument (R-ACFI) under the 48 subsidy groups. Part of the funding distribution has been outlin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39435" cy="4005580"/>
                    </a:xfrm>
                    <a:prstGeom prst="rect">
                      <a:avLst/>
                    </a:prstGeom>
                    <a:noFill/>
                  </pic:spPr>
                </pic:pic>
              </a:graphicData>
            </a:graphic>
          </wp:inline>
        </w:drawing>
      </w:r>
    </w:p>
    <w:p w:rsidR="00256E3D" w:rsidRDefault="00256E3D" w:rsidP="003F06D0">
      <w:pPr>
        <w:pStyle w:val="Heading3-Chapter82"/>
      </w:pPr>
      <w:bookmarkStart w:id="544" w:name="_Toc486596368"/>
      <w:bookmarkStart w:id="545" w:name="_Toc486600066"/>
      <w:r>
        <w:t>R-ACFI Funding Impacts by State and Organisation</w:t>
      </w:r>
      <w:bookmarkEnd w:id="544"/>
      <w:bookmarkEnd w:id="545"/>
    </w:p>
    <w:p w:rsidR="00980F62" w:rsidRDefault="00256E3D" w:rsidP="00D27CE6">
      <w:pPr>
        <w:rPr>
          <w:lang w:eastAsia="en-AU"/>
        </w:rPr>
      </w:pPr>
      <w:r>
        <w:rPr>
          <w:lang w:eastAsia="en-AU"/>
        </w:rPr>
        <w:t xml:space="preserve">A breakdown of the differential impact of the R-ACFI model compared to the ACFI </w:t>
      </w:r>
      <w:r w:rsidR="003B5228">
        <w:rPr>
          <w:lang w:eastAsia="en-AU"/>
        </w:rPr>
        <w:t xml:space="preserve">by State </w:t>
      </w:r>
      <w:r>
        <w:rPr>
          <w:lang w:eastAsia="en-AU"/>
        </w:rPr>
        <w:t xml:space="preserve">is shown in </w:t>
      </w:r>
      <w:hyperlink w:anchor="Tab0803" w:history="1">
        <w:r w:rsidRPr="00E205EB">
          <w:rPr>
            <w:rStyle w:val="Hyperlink"/>
            <w:lang w:eastAsia="en-AU"/>
          </w:rPr>
          <w:t>Table 8.3</w:t>
        </w:r>
      </w:hyperlink>
      <w:r w:rsidR="003B5228">
        <w:rPr>
          <w:lang w:eastAsia="en-AU"/>
        </w:rPr>
        <w:t xml:space="preserve">, by organisation type in </w:t>
      </w:r>
      <w:hyperlink w:anchor="Tab0804" w:history="1">
        <w:r w:rsidRPr="00E205EB">
          <w:rPr>
            <w:rStyle w:val="Hyperlink"/>
            <w:lang w:eastAsia="en-AU"/>
          </w:rPr>
          <w:t>Table 8.4</w:t>
        </w:r>
      </w:hyperlink>
      <w:r w:rsidR="003B5228">
        <w:rPr>
          <w:lang w:eastAsia="en-AU"/>
        </w:rPr>
        <w:t xml:space="preserve">, and for organisation by R-ACFI domain in </w:t>
      </w:r>
      <w:hyperlink w:anchor="Tab0805" w:history="1">
        <w:r w:rsidRPr="00E205EB">
          <w:rPr>
            <w:rStyle w:val="Hyperlink"/>
            <w:lang w:eastAsia="en-AU"/>
          </w:rPr>
          <w:t>Table 8.5</w:t>
        </w:r>
      </w:hyperlink>
      <w:r>
        <w:rPr>
          <w:lang w:eastAsia="en-AU"/>
        </w:rPr>
        <w:t>.</w:t>
      </w:r>
    </w:p>
    <w:p w:rsidR="00980F62" w:rsidRDefault="00492CE4" w:rsidP="00D27CE6">
      <w:pPr>
        <w:rPr>
          <w:lang w:eastAsia="en-AU"/>
        </w:rPr>
      </w:pPr>
      <w:r>
        <w:rPr>
          <w:lang w:eastAsia="en-AU"/>
        </w:rPr>
        <w:t>It should be noted that these tables represent outcomes based on the data available as at 30 June 2016.</w:t>
      </w:r>
      <w:r w:rsidR="007A576E">
        <w:rPr>
          <w:lang w:eastAsia="en-AU"/>
        </w:rPr>
        <w:t xml:space="preserve"> </w:t>
      </w:r>
      <w:r>
        <w:rPr>
          <w:lang w:eastAsia="en-AU"/>
        </w:rPr>
        <w:t xml:space="preserve">Changes in claiming patterns since that date </w:t>
      </w:r>
      <w:r w:rsidR="00083BAA">
        <w:rPr>
          <w:lang w:eastAsia="en-AU"/>
        </w:rPr>
        <w:t xml:space="preserve">may have an </w:t>
      </w:r>
      <w:r>
        <w:rPr>
          <w:lang w:eastAsia="en-AU"/>
        </w:rPr>
        <w:t xml:space="preserve">impact </w:t>
      </w:r>
      <w:r w:rsidR="00083BAA">
        <w:rPr>
          <w:lang w:eastAsia="en-AU"/>
        </w:rPr>
        <w:t xml:space="preserve">on </w:t>
      </w:r>
      <w:r>
        <w:rPr>
          <w:lang w:eastAsia="en-AU"/>
        </w:rPr>
        <w:t>the modelled results</w:t>
      </w:r>
      <w:r w:rsidR="00083BAA">
        <w:rPr>
          <w:lang w:eastAsia="en-AU"/>
        </w:rPr>
        <w:t>.</w:t>
      </w:r>
      <w:r w:rsidR="007A576E">
        <w:rPr>
          <w:lang w:eastAsia="en-AU"/>
        </w:rPr>
        <w:t xml:space="preserve"> </w:t>
      </w:r>
      <w:r w:rsidR="00083BAA">
        <w:rPr>
          <w:lang w:eastAsia="en-AU"/>
        </w:rPr>
        <w:t>Additionally, providers may not have been making claims in areas that will receive increased focus in the proposed R-ACFI.</w:t>
      </w:r>
    </w:p>
    <w:p w:rsidR="00256E3D" w:rsidRDefault="00256E3D" w:rsidP="00D27CE6">
      <w:pPr>
        <w:rPr>
          <w:lang w:eastAsia="en-AU"/>
        </w:rPr>
      </w:pPr>
      <w:r>
        <w:rPr>
          <w:lang w:eastAsia="en-AU"/>
        </w:rPr>
        <w:t xml:space="preserve">Changes in the distribution of the R-ACFI funding </w:t>
      </w:r>
      <w:r w:rsidR="00083BAA">
        <w:rPr>
          <w:lang w:eastAsia="en-AU"/>
        </w:rPr>
        <w:t xml:space="preserve">as modelled </w:t>
      </w:r>
      <w:r w:rsidR="00CD6B48">
        <w:rPr>
          <w:lang w:eastAsia="en-AU"/>
        </w:rPr>
        <w:t>are</w:t>
      </w:r>
      <w:r>
        <w:rPr>
          <w:lang w:eastAsia="en-AU"/>
        </w:rPr>
        <w:t xml:space="preserve"> </w:t>
      </w:r>
      <w:r w:rsidR="00492CE4">
        <w:rPr>
          <w:lang w:eastAsia="en-AU"/>
        </w:rPr>
        <w:t>influenced</w:t>
      </w:r>
      <w:r>
        <w:rPr>
          <w:lang w:eastAsia="en-AU"/>
        </w:rPr>
        <w:t xml:space="preserve"> by the following factors:</w:t>
      </w:r>
    </w:p>
    <w:p w:rsidR="00256E3D" w:rsidRDefault="00256E3D" w:rsidP="00F02312">
      <w:pPr>
        <w:pStyle w:val="ListParagraph"/>
        <w:numPr>
          <w:ilvl w:val="6"/>
          <w:numId w:val="145"/>
        </w:numPr>
        <w:ind w:left="284" w:hanging="284"/>
        <w:rPr>
          <w:lang w:eastAsia="en-AU"/>
        </w:rPr>
      </w:pPr>
      <w:r>
        <w:rPr>
          <w:lang w:eastAsia="en-AU"/>
        </w:rPr>
        <w:t>The proportion of higher level claims attributable to the pain management items in ACFI Q12.3, Q12.4a and Q12.4b. Organisations whose CHC domain claims were more dependent on scoring on these items receive a lower proportion of the redistributed funds with the R-ACFI. These funds have been re-allocated to the Therapy Program</w:t>
      </w:r>
      <w:r w:rsidR="00492CE4">
        <w:rPr>
          <w:lang w:eastAsia="en-AU"/>
        </w:rPr>
        <w:t xml:space="preserve"> which will be available to all residents</w:t>
      </w:r>
      <w:r>
        <w:rPr>
          <w:lang w:eastAsia="en-AU"/>
        </w:rPr>
        <w:t>.</w:t>
      </w:r>
    </w:p>
    <w:p w:rsidR="00980F62" w:rsidRDefault="00256E3D" w:rsidP="00F02312">
      <w:pPr>
        <w:pStyle w:val="ListParagraph"/>
        <w:numPr>
          <w:ilvl w:val="6"/>
          <w:numId w:val="145"/>
        </w:numPr>
        <w:ind w:left="284" w:hanging="284"/>
        <w:rPr>
          <w:lang w:eastAsia="en-AU"/>
        </w:rPr>
      </w:pPr>
      <w:r>
        <w:rPr>
          <w:lang w:eastAsia="en-AU"/>
        </w:rPr>
        <w:t>Organisations with a higher proportion of residents needing full physical assistance with mobility covering transfers (lifting machines) and locomotion also receive a higher proportion of the R-ACFI ADL funding compared to the current ACFI.</w:t>
      </w:r>
    </w:p>
    <w:p w:rsidR="00BE1619" w:rsidRDefault="00BE1619">
      <w:pPr>
        <w:spacing w:after="200"/>
        <w:rPr>
          <w:rFonts w:ascii="Calibri" w:eastAsiaTheme="majorEastAsia" w:hAnsi="Calibri" w:cs="Times New Roman"/>
          <w:b/>
          <w:iCs/>
          <w:szCs w:val="24"/>
          <w:lang w:eastAsia="en-AU"/>
        </w:rPr>
      </w:pPr>
      <w:bookmarkStart w:id="546" w:name="_Toc486596648"/>
      <w:bookmarkStart w:id="547" w:name="_Toc486600183"/>
      <w:bookmarkStart w:id="548" w:name="_Toc486605185"/>
      <w:r>
        <w:rPr>
          <w:rFonts w:eastAsiaTheme="majorEastAsia"/>
          <w:szCs w:val="24"/>
          <w:lang w:eastAsia="en-AU"/>
        </w:rPr>
        <w:br w:type="page"/>
      </w:r>
    </w:p>
    <w:p w:rsidR="00043DB4" w:rsidRDefault="009F643E" w:rsidP="00043DB4">
      <w:pPr>
        <w:pStyle w:val="Caption"/>
        <w:keepNext/>
      </w:pPr>
      <w:bookmarkStart w:id="549" w:name="_Toc495416370"/>
      <w:bookmarkStart w:id="550" w:name="Tab0803"/>
      <w:bookmarkEnd w:id="546"/>
      <w:bookmarkEnd w:id="547"/>
      <w:bookmarkEnd w:id="548"/>
      <w:r>
        <w:lastRenderedPageBreak/>
        <w:t>Table 8.</w:t>
      </w:r>
      <w:r w:rsidR="009A3F5A">
        <w:fldChar w:fldCharType="begin"/>
      </w:r>
      <w:r w:rsidR="009A3F5A">
        <w:instrText xml:space="preserve"> SEQ Table_8. \* ARABIC </w:instrText>
      </w:r>
      <w:r w:rsidR="009A3F5A">
        <w:fldChar w:fldCharType="separate"/>
      </w:r>
      <w:r w:rsidR="00856E49">
        <w:rPr>
          <w:noProof/>
        </w:rPr>
        <w:t>3</w:t>
      </w:r>
      <w:r w:rsidR="009A3F5A">
        <w:rPr>
          <w:noProof/>
        </w:rPr>
        <w:fldChar w:fldCharType="end"/>
      </w:r>
      <w:r>
        <w:t xml:space="preserve">: </w:t>
      </w:r>
      <w:r w:rsidRPr="009F643E">
        <w:t>Current &amp; Proposed Average Subsidies by State (30 June 2016 data)</w:t>
      </w:r>
      <w:bookmarkEnd w:id="549"/>
    </w:p>
    <w:tbl>
      <w:tblPr>
        <w:tblStyle w:val="ListTable3-Accent515"/>
        <w:tblW w:w="7938"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8.3 is a list of the average subsidies for the current aged care funding instrument (ACFI) and the revised aged care funding instrument (R-ACFI). This table is to be read left to right, top to bottom, noting that the funding has been broken down by state:&#10;1. Australian Capital Territory (ACT)&#10;2. New South Wales (NSW)&#10;3. Northern Territory (NT)&#10;4. Queensland (QLD)&#10;5. South Australia (SA)&#10;6. Tasmania (TAS)&#10;7. Victoria (VIC)&#10;8. Western Australia (WA)&#10;9. Total average."/>
      </w:tblPr>
      <w:tblGrid>
        <w:gridCol w:w="985"/>
        <w:gridCol w:w="1350"/>
        <w:gridCol w:w="1890"/>
        <w:gridCol w:w="1980"/>
        <w:gridCol w:w="1733"/>
      </w:tblGrid>
      <w:tr w:rsidR="00256E3D" w:rsidRPr="00012D98" w:rsidTr="00BA375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85" w:type="dxa"/>
            <w:tcBorders>
              <w:bottom w:val="none" w:sz="0" w:space="0" w:color="auto"/>
              <w:right w:val="none" w:sz="0" w:space="0" w:color="auto"/>
            </w:tcBorders>
            <w:noWrap/>
            <w:hideMark/>
          </w:tcPr>
          <w:bookmarkEnd w:id="550"/>
          <w:p w:rsidR="00256E3D" w:rsidRPr="00CF0A97" w:rsidRDefault="00256E3D" w:rsidP="00A51750">
            <w:pPr>
              <w:spacing w:after="0"/>
              <w:rPr>
                <w:rFonts w:ascii="Calibri" w:eastAsia="Times New Roman" w:hAnsi="Calibri" w:cs="Calibri"/>
                <w:bCs w:val="0"/>
                <w:sz w:val="22"/>
                <w:lang w:val="en-US"/>
              </w:rPr>
            </w:pPr>
            <w:r w:rsidRPr="00CF0A97">
              <w:rPr>
                <w:rFonts w:ascii="Calibri" w:eastAsia="Times New Roman" w:hAnsi="Calibri" w:cs="Calibri"/>
                <w:bCs w:val="0"/>
                <w:sz w:val="22"/>
                <w:lang w:val="en-US"/>
              </w:rPr>
              <w:t>State</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right w:val="none" w:sz="0" w:space="0" w:color="auto"/>
            </w:tcBorders>
            <w:noWrap/>
            <w:hideMark/>
          </w:tcPr>
          <w:p w:rsidR="00256E3D" w:rsidRPr="00CF0A97" w:rsidRDefault="00256E3D" w:rsidP="00CD6B48">
            <w:pPr>
              <w:spacing w:after="0"/>
              <w:jc w:val="center"/>
              <w:rPr>
                <w:rFonts w:ascii="Calibri" w:eastAsia="Times New Roman" w:hAnsi="Calibri" w:cs="Calibri"/>
                <w:bCs w:val="0"/>
                <w:sz w:val="22"/>
                <w:lang w:val="en-US"/>
              </w:rPr>
            </w:pPr>
            <w:r w:rsidRPr="00CF0A97">
              <w:rPr>
                <w:rFonts w:ascii="Calibri" w:eastAsia="Times New Roman" w:hAnsi="Calibri" w:cs="Calibri"/>
                <w:bCs w:val="0"/>
                <w:sz w:val="22"/>
                <w:lang w:val="en-US"/>
              </w:rPr>
              <w:t>Residents</w:t>
            </w:r>
          </w:p>
        </w:tc>
        <w:tc>
          <w:tcPr>
            <w:tcW w:w="1890" w:type="dxa"/>
            <w:noWrap/>
            <w:hideMark/>
          </w:tcPr>
          <w:p w:rsidR="00256E3D" w:rsidRPr="00CF0A97" w:rsidRDefault="00256E3D" w:rsidP="00CD6B4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2"/>
                <w:lang w:val="en-US"/>
              </w:rPr>
            </w:pPr>
            <w:r w:rsidRPr="00CF0A97">
              <w:rPr>
                <w:rFonts w:ascii="Calibri" w:eastAsia="Times New Roman" w:hAnsi="Calibri" w:cs="Calibri"/>
                <w:bCs w:val="0"/>
                <w:sz w:val="22"/>
                <w:lang w:val="en-US"/>
              </w:rPr>
              <w:t xml:space="preserve">Current </w:t>
            </w:r>
            <w:r>
              <w:rPr>
                <w:rFonts w:ascii="Calibri" w:eastAsia="Times New Roman" w:hAnsi="Calibri" w:cs="Calibri"/>
                <w:bCs w:val="0"/>
                <w:sz w:val="22"/>
                <w:lang w:val="en-US"/>
              </w:rPr>
              <w:t>Ave</w:t>
            </w:r>
            <w:r w:rsidR="00CD6B48">
              <w:rPr>
                <w:rFonts w:ascii="Calibri" w:eastAsia="Times New Roman" w:hAnsi="Calibri" w:cs="Calibri"/>
                <w:bCs w:val="0"/>
                <w:sz w:val="22"/>
                <w:lang w:val="en-US"/>
              </w:rPr>
              <w:t xml:space="preserve">rage </w:t>
            </w:r>
            <w:r w:rsidRPr="00CF0A97">
              <w:rPr>
                <w:rFonts w:ascii="Calibri" w:eastAsia="Times New Roman" w:hAnsi="Calibri" w:cs="Calibri"/>
                <w:bCs w:val="0"/>
                <w:sz w:val="22"/>
                <w:lang w:val="en-US"/>
              </w:rPr>
              <w:t xml:space="preserve">ACFI </w:t>
            </w:r>
            <w:r w:rsidR="00CD6B48">
              <w:rPr>
                <w:rFonts w:ascii="Calibri" w:eastAsia="Times New Roman" w:hAnsi="Calibri" w:cs="Calibri"/>
                <w:bCs w:val="0"/>
                <w:sz w:val="22"/>
                <w:lang w:val="en-US"/>
              </w:rPr>
              <w:t>Funding</w:t>
            </w:r>
          </w:p>
        </w:tc>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none" w:sz="0" w:space="0" w:color="auto"/>
            </w:tcBorders>
            <w:noWrap/>
            <w:hideMark/>
          </w:tcPr>
          <w:p w:rsidR="00256E3D" w:rsidRPr="00CF0A97" w:rsidRDefault="00256E3D" w:rsidP="00CD6B48">
            <w:pPr>
              <w:spacing w:after="0"/>
              <w:jc w:val="center"/>
              <w:rPr>
                <w:rFonts w:ascii="Calibri" w:eastAsia="Times New Roman" w:hAnsi="Calibri" w:cs="Calibri"/>
                <w:bCs w:val="0"/>
                <w:sz w:val="22"/>
                <w:lang w:val="en-US"/>
              </w:rPr>
            </w:pPr>
            <w:r w:rsidRPr="00215FB8">
              <w:rPr>
                <w:rFonts w:ascii="Calibri" w:eastAsia="Times New Roman" w:hAnsi="Calibri" w:cs="Calibri"/>
                <w:bCs w:val="0"/>
                <w:sz w:val="22"/>
                <w:vertAlign w:val="superscript"/>
                <w:lang w:val="en-US"/>
              </w:rPr>
              <w:t>1</w:t>
            </w:r>
            <w:r w:rsidRPr="00CF0A97">
              <w:rPr>
                <w:rFonts w:ascii="Calibri" w:eastAsia="Times New Roman" w:hAnsi="Calibri" w:cs="Calibri"/>
                <w:bCs w:val="0"/>
                <w:sz w:val="22"/>
                <w:lang w:val="en-US"/>
              </w:rPr>
              <w:t>Proposed Ave</w:t>
            </w:r>
            <w:r w:rsidR="00CD6B48">
              <w:rPr>
                <w:rFonts w:ascii="Calibri" w:eastAsia="Times New Roman" w:hAnsi="Calibri" w:cs="Calibri"/>
                <w:bCs w:val="0"/>
                <w:sz w:val="22"/>
                <w:lang w:val="en-US"/>
              </w:rPr>
              <w:t xml:space="preserve">rage </w:t>
            </w:r>
            <w:r w:rsidRPr="00CF0A97">
              <w:rPr>
                <w:rFonts w:ascii="Calibri" w:eastAsia="Times New Roman" w:hAnsi="Calibri" w:cs="Calibri"/>
                <w:bCs w:val="0"/>
                <w:sz w:val="22"/>
                <w:lang w:val="en-US"/>
              </w:rPr>
              <w:t xml:space="preserve">R-ACFI </w:t>
            </w:r>
            <w:r w:rsidR="00CD6B48">
              <w:rPr>
                <w:rFonts w:ascii="Calibri" w:eastAsia="Times New Roman" w:hAnsi="Calibri" w:cs="Calibri"/>
                <w:bCs w:val="0"/>
                <w:sz w:val="22"/>
                <w:lang w:val="en-US"/>
              </w:rPr>
              <w:t>Funding</w:t>
            </w:r>
          </w:p>
        </w:tc>
        <w:tc>
          <w:tcPr>
            <w:tcW w:w="1733" w:type="dxa"/>
            <w:noWrap/>
            <w:hideMark/>
          </w:tcPr>
          <w:p w:rsidR="00256E3D" w:rsidRPr="00CF0A97" w:rsidRDefault="00256E3D" w:rsidP="00CD6B4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2"/>
                <w:lang w:val="en-US"/>
              </w:rPr>
            </w:pPr>
            <w:r w:rsidRPr="00CF0A97">
              <w:rPr>
                <w:rFonts w:ascii="Calibri" w:eastAsia="Times New Roman" w:hAnsi="Calibri" w:cs="Calibri"/>
                <w:bCs w:val="0"/>
                <w:sz w:val="22"/>
                <w:lang w:val="en-US"/>
              </w:rPr>
              <w:t>Proposed to Current Ratio</w:t>
            </w:r>
          </w:p>
        </w:tc>
      </w:tr>
      <w:tr w:rsidR="00CD6B48" w:rsidRPr="00CD6B48" w:rsidTr="00BA3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noWrap/>
            <w:hideMark/>
          </w:tcPr>
          <w:p w:rsidR="00D83444" w:rsidRPr="00CD6B48" w:rsidRDefault="00D83444" w:rsidP="00D83444">
            <w:pPr>
              <w:spacing w:after="0"/>
              <w:rPr>
                <w:rFonts w:ascii="Calibri" w:eastAsia="Times New Roman" w:hAnsi="Calibri" w:cs="Calibri"/>
                <w:sz w:val="22"/>
                <w:lang w:val="en-US"/>
              </w:rPr>
            </w:pPr>
            <w:r w:rsidRPr="00CD6B48">
              <w:rPr>
                <w:rFonts w:ascii="Calibri" w:eastAsia="Times New Roman" w:hAnsi="Calibri" w:cs="Calibri"/>
                <w:sz w:val="22"/>
                <w:lang w:val="en-US"/>
              </w:rPr>
              <w:t>ACT</w:t>
            </w:r>
          </w:p>
        </w:tc>
        <w:tc>
          <w:tcPr>
            <w:cnfStyle w:val="000010000000" w:firstRow="0" w:lastRow="0" w:firstColumn="0" w:lastColumn="0" w:oddVBand="1" w:evenVBand="0" w:oddHBand="0" w:evenHBand="0" w:firstRowFirstColumn="0" w:firstRowLastColumn="0" w:lastRowFirstColumn="0" w:lastRowLastColumn="0"/>
            <w:tcW w:w="1350" w:type="dxa"/>
            <w:noWrap/>
            <w:vAlign w:val="center"/>
            <w:hideMark/>
          </w:tcPr>
          <w:p w:rsidR="00D83444" w:rsidRPr="00CD6B48" w:rsidRDefault="00D83444" w:rsidP="00CD6B48">
            <w:pPr>
              <w:spacing w:after="0"/>
              <w:jc w:val="center"/>
              <w:rPr>
                <w:rFonts w:ascii="Calibri" w:eastAsia="Times New Roman" w:hAnsi="Calibri" w:cs="Calibri"/>
                <w:sz w:val="22"/>
                <w:lang w:val="en-US"/>
              </w:rPr>
            </w:pPr>
            <w:r w:rsidRPr="00CD6B48">
              <w:rPr>
                <w:rFonts w:ascii="Calibri" w:eastAsia="Times New Roman" w:hAnsi="Calibri" w:cs="Times New Roman"/>
                <w:sz w:val="22"/>
                <w:lang w:val="en-US"/>
              </w:rPr>
              <w:t>2174</w:t>
            </w:r>
          </w:p>
        </w:tc>
        <w:tc>
          <w:tcPr>
            <w:tcW w:w="1890" w:type="dxa"/>
            <w:noWrap/>
            <w:vAlign w:val="center"/>
            <w:hideMark/>
          </w:tcPr>
          <w:p w:rsidR="00D83444" w:rsidRPr="00CD6B48" w:rsidRDefault="00D83444" w:rsidP="00CD6B4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CD6B48">
              <w:rPr>
                <w:rFonts w:ascii="Calibri" w:eastAsia="Times New Roman" w:hAnsi="Calibri" w:cs="Times New Roman"/>
                <w:sz w:val="22"/>
                <w:lang w:val="en-US"/>
              </w:rPr>
              <w:t>$166.95</w:t>
            </w:r>
          </w:p>
        </w:tc>
        <w:tc>
          <w:tcPr>
            <w:cnfStyle w:val="000010000000" w:firstRow="0" w:lastRow="0" w:firstColumn="0" w:lastColumn="0" w:oddVBand="1" w:evenVBand="0" w:oddHBand="0" w:evenHBand="0" w:firstRowFirstColumn="0" w:firstRowLastColumn="0" w:lastRowFirstColumn="0" w:lastRowLastColumn="0"/>
            <w:tcW w:w="1980" w:type="dxa"/>
            <w:noWrap/>
            <w:vAlign w:val="center"/>
            <w:hideMark/>
          </w:tcPr>
          <w:p w:rsidR="00D83444" w:rsidRPr="00CD6B48" w:rsidRDefault="00D83444" w:rsidP="00CD6B48">
            <w:pPr>
              <w:spacing w:after="0"/>
              <w:jc w:val="center"/>
              <w:rPr>
                <w:rFonts w:ascii="Calibri" w:eastAsia="Times New Roman" w:hAnsi="Calibri" w:cs="Calibri"/>
                <w:sz w:val="22"/>
                <w:lang w:val="en-US"/>
              </w:rPr>
            </w:pPr>
            <w:r w:rsidRPr="00CD6B48">
              <w:rPr>
                <w:rFonts w:ascii="Calibri" w:eastAsia="Times New Roman" w:hAnsi="Calibri" w:cs="Times New Roman"/>
                <w:sz w:val="22"/>
                <w:lang w:val="en-US"/>
              </w:rPr>
              <w:t>$168.17</w:t>
            </w:r>
          </w:p>
        </w:tc>
        <w:tc>
          <w:tcPr>
            <w:tcW w:w="1733" w:type="dxa"/>
            <w:noWrap/>
            <w:vAlign w:val="center"/>
            <w:hideMark/>
          </w:tcPr>
          <w:p w:rsidR="00D83444" w:rsidRPr="00CD6B48" w:rsidRDefault="00D83444" w:rsidP="00CD6B4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CD6B48">
              <w:rPr>
                <w:rFonts w:ascii="Calibri" w:eastAsia="Times New Roman" w:hAnsi="Calibri" w:cs="Times New Roman"/>
                <w:sz w:val="22"/>
                <w:lang w:val="en-US"/>
              </w:rPr>
              <w:t>1.007</w:t>
            </w:r>
          </w:p>
        </w:tc>
      </w:tr>
      <w:tr w:rsidR="00CD6B48" w:rsidRPr="00CD6B48" w:rsidTr="00BA375E">
        <w:tc>
          <w:tcPr>
            <w:cnfStyle w:val="001000000000" w:firstRow="0" w:lastRow="0" w:firstColumn="1" w:lastColumn="0" w:oddVBand="0" w:evenVBand="0" w:oddHBand="0" w:evenHBand="0" w:firstRowFirstColumn="0" w:firstRowLastColumn="0" w:lastRowFirstColumn="0" w:lastRowLastColumn="0"/>
            <w:tcW w:w="985" w:type="dxa"/>
            <w:noWrap/>
            <w:hideMark/>
          </w:tcPr>
          <w:p w:rsidR="00D83444" w:rsidRPr="00CD6B48" w:rsidRDefault="00D83444" w:rsidP="00D83444">
            <w:pPr>
              <w:spacing w:after="0"/>
              <w:rPr>
                <w:rFonts w:ascii="Calibri" w:eastAsia="Times New Roman" w:hAnsi="Calibri" w:cs="Calibri"/>
                <w:sz w:val="22"/>
                <w:lang w:val="en-US"/>
              </w:rPr>
            </w:pPr>
            <w:r w:rsidRPr="00CD6B48">
              <w:rPr>
                <w:rFonts w:ascii="Calibri" w:eastAsia="Times New Roman" w:hAnsi="Calibri" w:cs="Calibri"/>
                <w:sz w:val="22"/>
                <w:lang w:val="en-US"/>
              </w:rPr>
              <w:t>NSW</w:t>
            </w:r>
          </w:p>
        </w:tc>
        <w:tc>
          <w:tcPr>
            <w:cnfStyle w:val="000010000000" w:firstRow="0" w:lastRow="0" w:firstColumn="0" w:lastColumn="0" w:oddVBand="1" w:evenVBand="0" w:oddHBand="0" w:evenHBand="0" w:firstRowFirstColumn="0" w:firstRowLastColumn="0" w:lastRowFirstColumn="0" w:lastRowLastColumn="0"/>
            <w:tcW w:w="1350" w:type="dxa"/>
            <w:noWrap/>
            <w:vAlign w:val="center"/>
            <w:hideMark/>
          </w:tcPr>
          <w:p w:rsidR="00D83444" w:rsidRPr="00CD6B48" w:rsidRDefault="00D83444" w:rsidP="00CD6B48">
            <w:pPr>
              <w:spacing w:after="0"/>
              <w:jc w:val="center"/>
              <w:rPr>
                <w:rFonts w:ascii="Calibri" w:eastAsia="Times New Roman" w:hAnsi="Calibri" w:cs="Calibri"/>
                <w:sz w:val="22"/>
                <w:lang w:val="en-US"/>
              </w:rPr>
            </w:pPr>
            <w:r w:rsidRPr="00CD6B48">
              <w:rPr>
                <w:rFonts w:ascii="Calibri" w:eastAsia="Times New Roman" w:hAnsi="Calibri" w:cs="Times New Roman"/>
                <w:sz w:val="22"/>
                <w:lang w:val="en-US"/>
              </w:rPr>
              <w:t>59576</w:t>
            </w:r>
          </w:p>
        </w:tc>
        <w:tc>
          <w:tcPr>
            <w:tcW w:w="1890" w:type="dxa"/>
            <w:noWrap/>
            <w:vAlign w:val="center"/>
            <w:hideMark/>
          </w:tcPr>
          <w:p w:rsidR="00D83444" w:rsidRPr="00CD6B48" w:rsidRDefault="00D83444" w:rsidP="00CD6B4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CD6B48">
              <w:rPr>
                <w:rFonts w:ascii="Calibri" w:eastAsia="Times New Roman" w:hAnsi="Calibri" w:cs="Times New Roman"/>
                <w:sz w:val="22"/>
                <w:lang w:val="en-US"/>
              </w:rPr>
              <w:t>$169.20</w:t>
            </w:r>
          </w:p>
        </w:tc>
        <w:tc>
          <w:tcPr>
            <w:cnfStyle w:val="000010000000" w:firstRow="0" w:lastRow="0" w:firstColumn="0" w:lastColumn="0" w:oddVBand="1" w:evenVBand="0" w:oddHBand="0" w:evenHBand="0" w:firstRowFirstColumn="0" w:firstRowLastColumn="0" w:lastRowFirstColumn="0" w:lastRowLastColumn="0"/>
            <w:tcW w:w="1980" w:type="dxa"/>
            <w:noWrap/>
            <w:vAlign w:val="center"/>
            <w:hideMark/>
          </w:tcPr>
          <w:p w:rsidR="00D83444" w:rsidRPr="00CD6B48" w:rsidRDefault="00D83444" w:rsidP="00CD6B48">
            <w:pPr>
              <w:spacing w:after="0"/>
              <w:jc w:val="center"/>
              <w:rPr>
                <w:rFonts w:ascii="Calibri" w:eastAsia="Times New Roman" w:hAnsi="Calibri" w:cs="Calibri"/>
                <w:sz w:val="22"/>
                <w:lang w:val="en-US"/>
              </w:rPr>
            </w:pPr>
            <w:r w:rsidRPr="00CD6B48">
              <w:rPr>
                <w:rFonts w:ascii="Calibri" w:eastAsia="Times New Roman" w:hAnsi="Calibri" w:cs="Times New Roman"/>
                <w:sz w:val="22"/>
                <w:lang w:val="en-US"/>
              </w:rPr>
              <w:t>$170.93</w:t>
            </w:r>
          </w:p>
        </w:tc>
        <w:tc>
          <w:tcPr>
            <w:tcW w:w="1733" w:type="dxa"/>
            <w:noWrap/>
            <w:vAlign w:val="center"/>
            <w:hideMark/>
          </w:tcPr>
          <w:p w:rsidR="00D83444" w:rsidRPr="00CD6B48" w:rsidRDefault="00D83444" w:rsidP="00CD6B4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CD6B48">
              <w:rPr>
                <w:rFonts w:ascii="Calibri" w:eastAsia="Times New Roman" w:hAnsi="Calibri" w:cs="Times New Roman"/>
                <w:sz w:val="22"/>
                <w:lang w:val="en-US"/>
              </w:rPr>
              <w:t>1.010</w:t>
            </w:r>
          </w:p>
        </w:tc>
      </w:tr>
      <w:tr w:rsidR="00CD6B48" w:rsidRPr="00CD6B48" w:rsidTr="00BA3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noWrap/>
            <w:hideMark/>
          </w:tcPr>
          <w:p w:rsidR="00D83444" w:rsidRPr="00CD6B48" w:rsidRDefault="00D83444" w:rsidP="00D83444">
            <w:pPr>
              <w:spacing w:after="0"/>
              <w:rPr>
                <w:rFonts w:ascii="Calibri" w:eastAsia="Times New Roman" w:hAnsi="Calibri" w:cs="Calibri"/>
                <w:sz w:val="22"/>
                <w:lang w:val="en-US"/>
              </w:rPr>
            </w:pPr>
            <w:r w:rsidRPr="00CD6B48">
              <w:rPr>
                <w:rFonts w:ascii="Calibri" w:eastAsia="Times New Roman" w:hAnsi="Calibri" w:cs="Calibri"/>
                <w:sz w:val="22"/>
                <w:lang w:val="en-US"/>
              </w:rPr>
              <w:t>NT</w:t>
            </w:r>
          </w:p>
        </w:tc>
        <w:tc>
          <w:tcPr>
            <w:cnfStyle w:val="000010000000" w:firstRow="0" w:lastRow="0" w:firstColumn="0" w:lastColumn="0" w:oddVBand="1" w:evenVBand="0" w:oddHBand="0" w:evenHBand="0" w:firstRowFirstColumn="0" w:firstRowLastColumn="0" w:lastRowFirstColumn="0" w:lastRowLastColumn="0"/>
            <w:tcW w:w="1350" w:type="dxa"/>
            <w:noWrap/>
            <w:vAlign w:val="center"/>
            <w:hideMark/>
          </w:tcPr>
          <w:p w:rsidR="00D83444" w:rsidRPr="00CD6B48" w:rsidRDefault="00D83444" w:rsidP="00CD6B48">
            <w:pPr>
              <w:spacing w:after="0"/>
              <w:jc w:val="center"/>
              <w:rPr>
                <w:rFonts w:ascii="Calibri" w:eastAsia="Times New Roman" w:hAnsi="Calibri" w:cs="Calibri"/>
                <w:sz w:val="22"/>
                <w:lang w:val="en-US"/>
              </w:rPr>
            </w:pPr>
            <w:r w:rsidRPr="00CD6B48">
              <w:rPr>
                <w:rFonts w:ascii="Calibri" w:eastAsia="Times New Roman" w:hAnsi="Calibri" w:cs="Times New Roman"/>
                <w:sz w:val="22"/>
                <w:lang w:val="en-US"/>
              </w:rPr>
              <w:t>444</w:t>
            </w:r>
          </w:p>
        </w:tc>
        <w:tc>
          <w:tcPr>
            <w:tcW w:w="1890" w:type="dxa"/>
            <w:noWrap/>
            <w:vAlign w:val="center"/>
            <w:hideMark/>
          </w:tcPr>
          <w:p w:rsidR="00D83444" w:rsidRPr="00CD6B48" w:rsidRDefault="00D83444" w:rsidP="00CD6B4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CD6B48">
              <w:rPr>
                <w:rFonts w:ascii="Calibri" w:eastAsia="Times New Roman" w:hAnsi="Calibri" w:cs="Times New Roman"/>
                <w:sz w:val="22"/>
                <w:lang w:val="en-US"/>
              </w:rPr>
              <w:t>$170.55</w:t>
            </w:r>
          </w:p>
        </w:tc>
        <w:tc>
          <w:tcPr>
            <w:cnfStyle w:val="000010000000" w:firstRow="0" w:lastRow="0" w:firstColumn="0" w:lastColumn="0" w:oddVBand="1" w:evenVBand="0" w:oddHBand="0" w:evenHBand="0" w:firstRowFirstColumn="0" w:firstRowLastColumn="0" w:lastRowFirstColumn="0" w:lastRowLastColumn="0"/>
            <w:tcW w:w="1980" w:type="dxa"/>
            <w:noWrap/>
            <w:vAlign w:val="center"/>
            <w:hideMark/>
          </w:tcPr>
          <w:p w:rsidR="00D83444" w:rsidRPr="00CD6B48" w:rsidRDefault="00D83444" w:rsidP="00CD6B48">
            <w:pPr>
              <w:spacing w:after="0"/>
              <w:jc w:val="center"/>
              <w:rPr>
                <w:rFonts w:ascii="Calibri" w:eastAsia="Times New Roman" w:hAnsi="Calibri" w:cs="Calibri"/>
                <w:sz w:val="22"/>
                <w:lang w:val="en-US"/>
              </w:rPr>
            </w:pPr>
            <w:r w:rsidRPr="00CD6B48">
              <w:rPr>
                <w:rFonts w:ascii="Calibri" w:eastAsia="Times New Roman" w:hAnsi="Calibri" w:cs="Times New Roman"/>
                <w:sz w:val="22"/>
                <w:lang w:val="en-US"/>
              </w:rPr>
              <w:t>$174.91</w:t>
            </w:r>
          </w:p>
        </w:tc>
        <w:tc>
          <w:tcPr>
            <w:tcW w:w="1733" w:type="dxa"/>
            <w:noWrap/>
            <w:vAlign w:val="center"/>
            <w:hideMark/>
          </w:tcPr>
          <w:p w:rsidR="00D83444" w:rsidRPr="00CD6B48" w:rsidRDefault="00D83444" w:rsidP="00CD6B4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CD6B48">
              <w:rPr>
                <w:rFonts w:ascii="Calibri" w:eastAsia="Times New Roman" w:hAnsi="Calibri" w:cs="Times New Roman"/>
                <w:sz w:val="22"/>
                <w:lang w:val="en-US"/>
              </w:rPr>
              <w:t>1.026</w:t>
            </w:r>
          </w:p>
        </w:tc>
      </w:tr>
      <w:tr w:rsidR="00CD6B48" w:rsidRPr="00CD6B48" w:rsidTr="00BA375E">
        <w:tc>
          <w:tcPr>
            <w:cnfStyle w:val="001000000000" w:firstRow="0" w:lastRow="0" w:firstColumn="1" w:lastColumn="0" w:oddVBand="0" w:evenVBand="0" w:oddHBand="0" w:evenHBand="0" w:firstRowFirstColumn="0" w:firstRowLastColumn="0" w:lastRowFirstColumn="0" w:lastRowLastColumn="0"/>
            <w:tcW w:w="985" w:type="dxa"/>
            <w:noWrap/>
            <w:hideMark/>
          </w:tcPr>
          <w:p w:rsidR="00D83444" w:rsidRPr="00CD6B48" w:rsidRDefault="00D83444" w:rsidP="00D83444">
            <w:pPr>
              <w:spacing w:after="0"/>
              <w:rPr>
                <w:rFonts w:ascii="Calibri" w:eastAsia="Times New Roman" w:hAnsi="Calibri" w:cs="Calibri"/>
                <w:sz w:val="22"/>
                <w:lang w:val="en-US"/>
              </w:rPr>
            </w:pPr>
            <w:r w:rsidRPr="00CD6B48">
              <w:rPr>
                <w:rFonts w:ascii="Calibri" w:eastAsia="Times New Roman" w:hAnsi="Calibri" w:cs="Calibri"/>
                <w:sz w:val="22"/>
                <w:lang w:val="en-US"/>
              </w:rPr>
              <w:t>QLD</w:t>
            </w:r>
          </w:p>
        </w:tc>
        <w:tc>
          <w:tcPr>
            <w:cnfStyle w:val="000010000000" w:firstRow="0" w:lastRow="0" w:firstColumn="0" w:lastColumn="0" w:oddVBand="1" w:evenVBand="0" w:oddHBand="0" w:evenHBand="0" w:firstRowFirstColumn="0" w:firstRowLastColumn="0" w:lastRowFirstColumn="0" w:lastRowLastColumn="0"/>
            <w:tcW w:w="1350" w:type="dxa"/>
            <w:noWrap/>
            <w:vAlign w:val="center"/>
            <w:hideMark/>
          </w:tcPr>
          <w:p w:rsidR="00D83444" w:rsidRPr="00CD6B48" w:rsidRDefault="00D83444" w:rsidP="00CD6B48">
            <w:pPr>
              <w:spacing w:after="0"/>
              <w:jc w:val="center"/>
              <w:rPr>
                <w:rFonts w:ascii="Calibri" w:eastAsia="Times New Roman" w:hAnsi="Calibri" w:cs="Calibri"/>
                <w:sz w:val="22"/>
                <w:lang w:val="en-US"/>
              </w:rPr>
            </w:pPr>
            <w:r w:rsidRPr="00CD6B48">
              <w:rPr>
                <w:rFonts w:ascii="Calibri" w:eastAsia="Times New Roman" w:hAnsi="Calibri" w:cs="Times New Roman"/>
                <w:sz w:val="22"/>
                <w:lang w:val="en-US"/>
              </w:rPr>
              <w:t>31897</w:t>
            </w:r>
          </w:p>
        </w:tc>
        <w:tc>
          <w:tcPr>
            <w:tcW w:w="1890" w:type="dxa"/>
            <w:noWrap/>
            <w:vAlign w:val="center"/>
            <w:hideMark/>
          </w:tcPr>
          <w:p w:rsidR="00D83444" w:rsidRPr="00CD6B48" w:rsidRDefault="00D83444" w:rsidP="00CD6B4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CD6B48">
              <w:rPr>
                <w:rFonts w:ascii="Calibri" w:eastAsia="Times New Roman" w:hAnsi="Calibri" w:cs="Times New Roman"/>
                <w:sz w:val="22"/>
                <w:lang w:val="en-US"/>
              </w:rPr>
              <w:t>$169.43</w:t>
            </w:r>
          </w:p>
        </w:tc>
        <w:tc>
          <w:tcPr>
            <w:cnfStyle w:val="000010000000" w:firstRow="0" w:lastRow="0" w:firstColumn="0" w:lastColumn="0" w:oddVBand="1" w:evenVBand="0" w:oddHBand="0" w:evenHBand="0" w:firstRowFirstColumn="0" w:firstRowLastColumn="0" w:lastRowFirstColumn="0" w:lastRowLastColumn="0"/>
            <w:tcW w:w="1980" w:type="dxa"/>
            <w:noWrap/>
            <w:vAlign w:val="center"/>
            <w:hideMark/>
          </w:tcPr>
          <w:p w:rsidR="00D83444" w:rsidRPr="00CD6B48" w:rsidRDefault="00D83444" w:rsidP="00CD6B48">
            <w:pPr>
              <w:spacing w:after="0"/>
              <w:jc w:val="center"/>
              <w:rPr>
                <w:rFonts w:ascii="Calibri" w:eastAsia="Times New Roman" w:hAnsi="Calibri" w:cs="Calibri"/>
                <w:sz w:val="22"/>
                <w:lang w:val="en-US"/>
              </w:rPr>
            </w:pPr>
            <w:r w:rsidRPr="00CD6B48">
              <w:rPr>
                <w:rFonts w:ascii="Calibri" w:eastAsia="Times New Roman" w:hAnsi="Calibri" w:cs="Times New Roman"/>
                <w:sz w:val="22"/>
                <w:lang w:val="en-US"/>
              </w:rPr>
              <w:t>$171.68</w:t>
            </w:r>
          </w:p>
        </w:tc>
        <w:tc>
          <w:tcPr>
            <w:tcW w:w="1733" w:type="dxa"/>
            <w:noWrap/>
            <w:vAlign w:val="center"/>
            <w:hideMark/>
          </w:tcPr>
          <w:p w:rsidR="00D83444" w:rsidRPr="00CD6B48" w:rsidRDefault="00D83444" w:rsidP="00CD6B4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CD6B48">
              <w:rPr>
                <w:rFonts w:ascii="Calibri" w:eastAsia="Times New Roman" w:hAnsi="Calibri" w:cs="Times New Roman"/>
                <w:sz w:val="22"/>
                <w:lang w:val="en-US"/>
              </w:rPr>
              <w:t>1.013</w:t>
            </w:r>
          </w:p>
        </w:tc>
      </w:tr>
      <w:tr w:rsidR="00CD6B48" w:rsidRPr="00CD6B48" w:rsidTr="00BA3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noWrap/>
            <w:hideMark/>
          </w:tcPr>
          <w:p w:rsidR="00D83444" w:rsidRPr="00CD6B48" w:rsidRDefault="00D83444" w:rsidP="00D83444">
            <w:pPr>
              <w:spacing w:after="0"/>
              <w:rPr>
                <w:rFonts w:ascii="Calibri" w:eastAsia="Times New Roman" w:hAnsi="Calibri" w:cs="Calibri"/>
                <w:sz w:val="22"/>
                <w:lang w:val="en-US"/>
              </w:rPr>
            </w:pPr>
            <w:r w:rsidRPr="00CD6B48">
              <w:rPr>
                <w:rFonts w:ascii="Calibri" w:eastAsia="Times New Roman" w:hAnsi="Calibri" w:cs="Calibri"/>
                <w:sz w:val="22"/>
                <w:lang w:val="en-US"/>
              </w:rPr>
              <w:t>SA</w:t>
            </w:r>
          </w:p>
        </w:tc>
        <w:tc>
          <w:tcPr>
            <w:cnfStyle w:val="000010000000" w:firstRow="0" w:lastRow="0" w:firstColumn="0" w:lastColumn="0" w:oddVBand="1" w:evenVBand="0" w:oddHBand="0" w:evenHBand="0" w:firstRowFirstColumn="0" w:firstRowLastColumn="0" w:lastRowFirstColumn="0" w:lastRowLastColumn="0"/>
            <w:tcW w:w="1350" w:type="dxa"/>
            <w:noWrap/>
            <w:vAlign w:val="center"/>
            <w:hideMark/>
          </w:tcPr>
          <w:p w:rsidR="00D83444" w:rsidRPr="00CD6B48" w:rsidRDefault="00D83444" w:rsidP="00CD6B48">
            <w:pPr>
              <w:spacing w:after="0"/>
              <w:jc w:val="center"/>
              <w:rPr>
                <w:rFonts w:ascii="Calibri" w:eastAsia="Times New Roman" w:hAnsi="Calibri" w:cs="Calibri"/>
                <w:sz w:val="22"/>
                <w:lang w:val="en-US"/>
              </w:rPr>
            </w:pPr>
            <w:r w:rsidRPr="00CD6B48">
              <w:rPr>
                <w:rFonts w:ascii="Calibri" w:eastAsia="Times New Roman" w:hAnsi="Calibri" w:cs="Times New Roman"/>
                <w:sz w:val="22"/>
                <w:lang w:val="en-US"/>
              </w:rPr>
              <w:t>16169</w:t>
            </w:r>
          </w:p>
        </w:tc>
        <w:tc>
          <w:tcPr>
            <w:tcW w:w="1890" w:type="dxa"/>
            <w:noWrap/>
            <w:vAlign w:val="center"/>
            <w:hideMark/>
          </w:tcPr>
          <w:p w:rsidR="00D83444" w:rsidRPr="00CD6B48" w:rsidRDefault="00D83444" w:rsidP="00CD6B4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CD6B48">
              <w:rPr>
                <w:rFonts w:ascii="Calibri" w:eastAsia="Times New Roman" w:hAnsi="Calibri" w:cs="Times New Roman"/>
                <w:sz w:val="22"/>
                <w:lang w:val="en-US"/>
              </w:rPr>
              <w:t>$172.28</w:t>
            </w:r>
          </w:p>
        </w:tc>
        <w:tc>
          <w:tcPr>
            <w:cnfStyle w:val="000010000000" w:firstRow="0" w:lastRow="0" w:firstColumn="0" w:lastColumn="0" w:oddVBand="1" w:evenVBand="0" w:oddHBand="0" w:evenHBand="0" w:firstRowFirstColumn="0" w:firstRowLastColumn="0" w:lastRowFirstColumn="0" w:lastRowLastColumn="0"/>
            <w:tcW w:w="1980" w:type="dxa"/>
            <w:noWrap/>
            <w:vAlign w:val="center"/>
            <w:hideMark/>
          </w:tcPr>
          <w:p w:rsidR="00D83444" w:rsidRPr="00CD6B48" w:rsidRDefault="00D83444" w:rsidP="00CD6B48">
            <w:pPr>
              <w:spacing w:after="0"/>
              <w:jc w:val="center"/>
              <w:rPr>
                <w:rFonts w:ascii="Calibri" w:eastAsia="Times New Roman" w:hAnsi="Calibri" w:cs="Calibri"/>
                <w:sz w:val="22"/>
                <w:lang w:val="en-US"/>
              </w:rPr>
            </w:pPr>
            <w:r w:rsidRPr="00CD6B48">
              <w:rPr>
                <w:rFonts w:ascii="Calibri" w:eastAsia="Times New Roman" w:hAnsi="Calibri" w:cs="Times New Roman"/>
                <w:sz w:val="22"/>
                <w:lang w:val="en-US"/>
              </w:rPr>
              <w:t>$171.09</w:t>
            </w:r>
          </w:p>
        </w:tc>
        <w:tc>
          <w:tcPr>
            <w:tcW w:w="1733" w:type="dxa"/>
            <w:noWrap/>
            <w:vAlign w:val="center"/>
            <w:hideMark/>
          </w:tcPr>
          <w:p w:rsidR="00D83444" w:rsidRPr="00CD6B48" w:rsidRDefault="00D83444" w:rsidP="00CD6B4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CD6B48">
              <w:rPr>
                <w:rFonts w:ascii="Calibri" w:eastAsia="Times New Roman" w:hAnsi="Calibri" w:cs="Times New Roman"/>
                <w:sz w:val="22"/>
                <w:lang w:val="en-US"/>
              </w:rPr>
              <w:t>0.993</w:t>
            </w:r>
          </w:p>
        </w:tc>
      </w:tr>
      <w:tr w:rsidR="00CD6B48" w:rsidRPr="00CD6B48" w:rsidTr="00BA375E">
        <w:tc>
          <w:tcPr>
            <w:cnfStyle w:val="001000000000" w:firstRow="0" w:lastRow="0" w:firstColumn="1" w:lastColumn="0" w:oddVBand="0" w:evenVBand="0" w:oddHBand="0" w:evenHBand="0" w:firstRowFirstColumn="0" w:firstRowLastColumn="0" w:lastRowFirstColumn="0" w:lastRowLastColumn="0"/>
            <w:tcW w:w="985" w:type="dxa"/>
            <w:noWrap/>
            <w:hideMark/>
          </w:tcPr>
          <w:p w:rsidR="00D83444" w:rsidRPr="00CD6B48" w:rsidRDefault="00D83444" w:rsidP="00D83444">
            <w:pPr>
              <w:spacing w:after="0"/>
              <w:rPr>
                <w:rFonts w:ascii="Calibri" w:eastAsia="Times New Roman" w:hAnsi="Calibri" w:cs="Calibri"/>
                <w:sz w:val="22"/>
                <w:lang w:val="en-US"/>
              </w:rPr>
            </w:pPr>
            <w:r w:rsidRPr="00CD6B48">
              <w:rPr>
                <w:rFonts w:ascii="Calibri" w:eastAsia="Times New Roman" w:hAnsi="Calibri" w:cs="Calibri"/>
                <w:sz w:val="22"/>
                <w:lang w:val="en-US"/>
              </w:rPr>
              <w:t>TAS</w:t>
            </w:r>
          </w:p>
        </w:tc>
        <w:tc>
          <w:tcPr>
            <w:cnfStyle w:val="000010000000" w:firstRow="0" w:lastRow="0" w:firstColumn="0" w:lastColumn="0" w:oddVBand="1" w:evenVBand="0" w:oddHBand="0" w:evenHBand="0" w:firstRowFirstColumn="0" w:firstRowLastColumn="0" w:lastRowFirstColumn="0" w:lastRowLastColumn="0"/>
            <w:tcW w:w="1350" w:type="dxa"/>
            <w:noWrap/>
            <w:vAlign w:val="center"/>
            <w:hideMark/>
          </w:tcPr>
          <w:p w:rsidR="00D83444" w:rsidRPr="00CD6B48" w:rsidRDefault="00D83444" w:rsidP="00CD6B48">
            <w:pPr>
              <w:spacing w:after="0"/>
              <w:jc w:val="center"/>
              <w:rPr>
                <w:rFonts w:ascii="Calibri" w:eastAsia="Times New Roman" w:hAnsi="Calibri" w:cs="Calibri"/>
                <w:sz w:val="22"/>
                <w:lang w:val="en-US"/>
              </w:rPr>
            </w:pPr>
            <w:r w:rsidRPr="00CD6B48">
              <w:rPr>
                <w:rFonts w:ascii="Calibri" w:eastAsia="Times New Roman" w:hAnsi="Calibri" w:cs="Times New Roman"/>
                <w:sz w:val="22"/>
                <w:lang w:val="en-US"/>
              </w:rPr>
              <w:t>4364</w:t>
            </w:r>
          </w:p>
        </w:tc>
        <w:tc>
          <w:tcPr>
            <w:tcW w:w="1890" w:type="dxa"/>
            <w:noWrap/>
            <w:vAlign w:val="center"/>
            <w:hideMark/>
          </w:tcPr>
          <w:p w:rsidR="00D83444" w:rsidRPr="00CD6B48" w:rsidRDefault="00D83444" w:rsidP="00CD6B4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CD6B48">
              <w:rPr>
                <w:rFonts w:ascii="Calibri" w:eastAsia="Times New Roman" w:hAnsi="Calibri" w:cs="Times New Roman"/>
                <w:sz w:val="22"/>
                <w:lang w:val="en-US"/>
              </w:rPr>
              <w:t>$166.96</w:t>
            </w:r>
          </w:p>
        </w:tc>
        <w:tc>
          <w:tcPr>
            <w:cnfStyle w:val="000010000000" w:firstRow="0" w:lastRow="0" w:firstColumn="0" w:lastColumn="0" w:oddVBand="1" w:evenVBand="0" w:oddHBand="0" w:evenHBand="0" w:firstRowFirstColumn="0" w:firstRowLastColumn="0" w:lastRowFirstColumn="0" w:lastRowLastColumn="0"/>
            <w:tcW w:w="1980" w:type="dxa"/>
            <w:noWrap/>
            <w:vAlign w:val="center"/>
            <w:hideMark/>
          </w:tcPr>
          <w:p w:rsidR="00D83444" w:rsidRPr="00CD6B48" w:rsidRDefault="00D83444" w:rsidP="00CD6B48">
            <w:pPr>
              <w:spacing w:after="0"/>
              <w:jc w:val="center"/>
              <w:rPr>
                <w:rFonts w:ascii="Calibri" w:eastAsia="Times New Roman" w:hAnsi="Calibri" w:cs="Calibri"/>
                <w:sz w:val="22"/>
                <w:lang w:val="en-US"/>
              </w:rPr>
            </w:pPr>
            <w:r w:rsidRPr="00CD6B48">
              <w:rPr>
                <w:rFonts w:ascii="Calibri" w:eastAsia="Times New Roman" w:hAnsi="Calibri" w:cs="Times New Roman"/>
                <w:sz w:val="22"/>
                <w:lang w:val="en-US"/>
              </w:rPr>
              <w:t>$166.51</w:t>
            </w:r>
          </w:p>
        </w:tc>
        <w:tc>
          <w:tcPr>
            <w:tcW w:w="1733" w:type="dxa"/>
            <w:noWrap/>
            <w:vAlign w:val="center"/>
            <w:hideMark/>
          </w:tcPr>
          <w:p w:rsidR="00D83444" w:rsidRPr="00CD6B48" w:rsidRDefault="00D83444" w:rsidP="00CD6B4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CD6B48">
              <w:rPr>
                <w:rFonts w:ascii="Calibri" w:eastAsia="Times New Roman" w:hAnsi="Calibri" w:cs="Times New Roman"/>
                <w:sz w:val="22"/>
                <w:lang w:val="en-US"/>
              </w:rPr>
              <w:t>0.997</w:t>
            </w:r>
          </w:p>
        </w:tc>
      </w:tr>
      <w:tr w:rsidR="00CD6B48" w:rsidRPr="00CD6B48" w:rsidTr="00BA3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noWrap/>
            <w:hideMark/>
          </w:tcPr>
          <w:p w:rsidR="00D83444" w:rsidRPr="00CD6B48" w:rsidRDefault="00D83444" w:rsidP="00D83444">
            <w:pPr>
              <w:spacing w:after="0"/>
              <w:rPr>
                <w:rFonts w:ascii="Calibri" w:eastAsia="Times New Roman" w:hAnsi="Calibri" w:cs="Calibri"/>
                <w:sz w:val="22"/>
                <w:lang w:val="en-US"/>
              </w:rPr>
            </w:pPr>
            <w:r w:rsidRPr="00CD6B48">
              <w:rPr>
                <w:rFonts w:ascii="Calibri" w:eastAsia="Times New Roman" w:hAnsi="Calibri" w:cs="Calibri"/>
                <w:sz w:val="22"/>
                <w:lang w:val="en-US"/>
              </w:rPr>
              <w:t>VIC</w:t>
            </w:r>
          </w:p>
        </w:tc>
        <w:tc>
          <w:tcPr>
            <w:cnfStyle w:val="000010000000" w:firstRow="0" w:lastRow="0" w:firstColumn="0" w:lastColumn="0" w:oddVBand="1" w:evenVBand="0" w:oddHBand="0" w:evenHBand="0" w:firstRowFirstColumn="0" w:firstRowLastColumn="0" w:lastRowFirstColumn="0" w:lastRowLastColumn="0"/>
            <w:tcW w:w="1350" w:type="dxa"/>
            <w:noWrap/>
            <w:vAlign w:val="center"/>
            <w:hideMark/>
          </w:tcPr>
          <w:p w:rsidR="00D83444" w:rsidRPr="00CD6B48" w:rsidRDefault="00D83444" w:rsidP="00CD6B48">
            <w:pPr>
              <w:spacing w:after="0"/>
              <w:jc w:val="center"/>
              <w:rPr>
                <w:rFonts w:ascii="Calibri" w:eastAsia="Times New Roman" w:hAnsi="Calibri" w:cs="Calibri"/>
                <w:sz w:val="22"/>
                <w:lang w:val="en-US"/>
              </w:rPr>
            </w:pPr>
            <w:r w:rsidRPr="00CD6B48">
              <w:rPr>
                <w:rFonts w:ascii="Calibri" w:eastAsia="Times New Roman" w:hAnsi="Calibri" w:cs="Times New Roman"/>
                <w:sz w:val="22"/>
                <w:lang w:val="en-US"/>
              </w:rPr>
              <w:t>46114</w:t>
            </w:r>
          </w:p>
        </w:tc>
        <w:tc>
          <w:tcPr>
            <w:tcW w:w="1890" w:type="dxa"/>
            <w:noWrap/>
            <w:vAlign w:val="center"/>
            <w:hideMark/>
          </w:tcPr>
          <w:p w:rsidR="00D83444" w:rsidRPr="00CD6B48" w:rsidRDefault="00D83444" w:rsidP="00CD6B4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CD6B48">
              <w:rPr>
                <w:rFonts w:ascii="Calibri" w:eastAsia="Times New Roman" w:hAnsi="Calibri" w:cs="Times New Roman"/>
                <w:sz w:val="22"/>
                <w:lang w:val="en-US"/>
              </w:rPr>
              <w:t>$176.43</w:t>
            </w:r>
          </w:p>
        </w:tc>
        <w:tc>
          <w:tcPr>
            <w:cnfStyle w:val="000010000000" w:firstRow="0" w:lastRow="0" w:firstColumn="0" w:lastColumn="0" w:oddVBand="1" w:evenVBand="0" w:oddHBand="0" w:evenHBand="0" w:firstRowFirstColumn="0" w:firstRowLastColumn="0" w:lastRowFirstColumn="0" w:lastRowLastColumn="0"/>
            <w:tcW w:w="1980" w:type="dxa"/>
            <w:noWrap/>
            <w:vAlign w:val="center"/>
            <w:hideMark/>
          </w:tcPr>
          <w:p w:rsidR="00D83444" w:rsidRPr="00CD6B48" w:rsidRDefault="00D83444" w:rsidP="00CD6B48">
            <w:pPr>
              <w:spacing w:after="0"/>
              <w:jc w:val="center"/>
              <w:rPr>
                <w:rFonts w:ascii="Calibri" w:eastAsia="Times New Roman" w:hAnsi="Calibri" w:cs="Calibri"/>
                <w:sz w:val="22"/>
                <w:lang w:val="en-US"/>
              </w:rPr>
            </w:pPr>
            <w:r w:rsidRPr="00CD6B48">
              <w:rPr>
                <w:rFonts w:ascii="Calibri" w:eastAsia="Times New Roman" w:hAnsi="Calibri" w:cs="Times New Roman"/>
                <w:sz w:val="22"/>
                <w:lang w:val="en-US"/>
              </w:rPr>
              <w:t>$173.69</w:t>
            </w:r>
          </w:p>
        </w:tc>
        <w:tc>
          <w:tcPr>
            <w:tcW w:w="1733" w:type="dxa"/>
            <w:noWrap/>
            <w:vAlign w:val="center"/>
            <w:hideMark/>
          </w:tcPr>
          <w:p w:rsidR="00D83444" w:rsidRPr="00CD6B48" w:rsidRDefault="00D83444" w:rsidP="00CD6B4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CD6B48">
              <w:rPr>
                <w:rFonts w:ascii="Calibri" w:eastAsia="Times New Roman" w:hAnsi="Calibri" w:cs="Times New Roman"/>
                <w:sz w:val="22"/>
                <w:lang w:val="en-US"/>
              </w:rPr>
              <w:t>0.984</w:t>
            </w:r>
          </w:p>
        </w:tc>
      </w:tr>
      <w:tr w:rsidR="00CD6B48" w:rsidRPr="00CD6B48" w:rsidTr="00BA375E">
        <w:tc>
          <w:tcPr>
            <w:cnfStyle w:val="001000000000" w:firstRow="0" w:lastRow="0" w:firstColumn="1" w:lastColumn="0" w:oddVBand="0" w:evenVBand="0" w:oddHBand="0" w:evenHBand="0" w:firstRowFirstColumn="0" w:firstRowLastColumn="0" w:lastRowFirstColumn="0" w:lastRowLastColumn="0"/>
            <w:tcW w:w="985" w:type="dxa"/>
            <w:noWrap/>
            <w:hideMark/>
          </w:tcPr>
          <w:p w:rsidR="00D83444" w:rsidRPr="00CD6B48" w:rsidRDefault="00D83444" w:rsidP="00D83444">
            <w:pPr>
              <w:spacing w:after="0"/>
              <w:rPr>
                <w:rFonts w:ascii="Calibri" w:eastAsia="Times New Roman" w:hAnsi="Calibri" w:cs="Calibri"/>
                <w:sz w:val="22"/>
                <w:lang w:val="en-US"/>
              </w:rPr>
            </w:pPr>
            <w:r w:rsidRPr="00CD6B48">
              <w:rPr>
                <w:rFonts w:ascii="Calibri" w:eastAsia="Times New Roman" w:hAnsi="Calibri" w:cs="Calibri"/>
                <w:sz w:val="22"/>
                <w:lang w:val="en-US"/>
              </w:rPr>
              <w:t>WA</w:t>
            </w:r>
          </w:p>
        </w:tc>
        <w:tc>
          <w:tcPr>
            <w:cnfStyle w:val="000010000000" w:firstRow="0" w:lastRow="0" w:firstColumn="0" w:lastColumn="0" w:oddVBand="1" w:evenVBand="0" w:oddHBand="0" w:evenHBand="0" w:firstRowFirstColumn="0" w:firstRowLastColumn="0" w:lastRowFirstColumn="0" w:lastRowLastColumn="0"/>
            <w:tcW w:w="1350" w:type="dxa"/>
            <w:noWrap/>
            <w:vAlign w:val="center"/>
            <w:hideMark/>
          </w:tcPr>
          <w:p w:rsidR="00D83444" w:rsidRPr="00CD6B48" w:rsidRDefault="00D83444" w:rsidP="00CD6B48">
            <w:pPr>
              <w:spacing w:after="0"/>
              <w:jc w:val="center"/>
              <w:rPr>
                <w:rFonts w:ascii="Calibri" w:eastAsia="Times New Roman" w:hAnsi="Calibri" w:cs="Calibri"/>
                <w:sz w:val="22"/>
                <w:lang w:val="en-US"/>
              </w:rPr>
            </w:pPr>
            <w:r w:rsidRPr="00CD6B48">
              <w:rPr>
                <w:rFonts w:ascii="Calibri" w:eastAsia="Times New Roman" w:hAnsi="Calibri" w:cs="Times New Roman"/>
                <w:sz w:val="22"/>
                <w:lang w:val="en-US"/>
              </w:rPr>
              <w:t>14622</w:t>
            </w:r>
          </w:p>
        </w:tc>
        <w:tc>
          <w:tcPr>
            <w:tcW w:w="1890" w:type="dxa"/>
            <w:noWrap/>
            <w:vAlign w:val="center"/>
            <w:hideMark/>
          </w:tcPr>
          <w:p w:rsidR="00D83444" w:rsidRPr="00CD6B48" w:rsidRDefault="00D83444" w:rsidP="00CD6B4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CD6B48">
              <w:rPr>
                <w:rFonts w:ascii="Calibri" w:eastAsia="Times New Roman" w:hAnsi="Calibri" w:cs="Times New Roman"/>
                <w:sz w:val="22"/>
                <w:lang w:val="en-US"/>
              </w:rPr>
              <w:t>$177.21</w:t>
            </w:r>
          </w:p>
        </w:tc>
        <w:tc>
          <w:tcPr>
            <w:cnfStyle w:val="000010000000" w:firstRow="0" w:lastRow="0" w:firstColumn="0" w:lastColumn="0" w:oddVBand="1" w:evenVBand="0" w:oddHBand="0" w:evenHBand="0" w:firstRowFirstColumn="0" w:firstRowLastColumn="0" w:lastRowFirstColumn="0" w:lastRowLastColumn="0"/>
            <w:tcW w:w="1980" w:type="dxa"/>
            <w:noWrap/>
            <w:vAlign w:val="center"/>
            <w:hideMark/>
          </w:tcPr>
          <w:p w:rsidR="00D83444" w:rsidRPr="00CD6B48" w:rsidRDefault="00D83444" w:rsidP="00CD6B48">
            <w:pPr>
              <w:spacing w:after="0"/>
              <w:jc w:val="center"/>
              <w:rPr>
                <w:rFonts w:ascii="Calibri" w:eastAsia="Times New Roman" w:hAnsi="Calibri" w:cs="Calibri"/>
                <w:sz w:val="22"/>
                <w:lang w:val="en-US"/>
              </w:rPr>
            </w:pPr>
            <w:r w:rsidRPr="00CD6B48">
              <w:rPr>
                <w:rFonts w:ascii="Calibri" w:eastAsia="Times New Roman" w:hAnsi="Calibri" w:cs="Times New Roman"/>
                <w:sz w:val="22"/>
                <w:lang w:val="en-US"/>
              </w:rPr>
              <w:t>$174.98</w:t>
            </w:r>
          </w:p>
        </w:tc>
        <w:tc>
          <w:tcPr>
            <w:tcW w:w="1733" w:type="dxa"/>
            <w:noWrap/>
            <w:vAlign w:val="center"/>
            <w:hideMark/>
          </w:tcPr>
          <w:p w:rsidR="00D83444" w:rsidRPr="00CD6B48" w:rsidRDefault="00D83444" w:rsidP="00CD6B4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CD6B48">
              <w:rPr>
                <w:rFonts w:ascii="Calibri" w:eastAsia="Times New Roman" w:hAnsi="Calibri" w:cs="Times New Roman"/>
                <w:sz w:val="22"/>
                <w:lang w:val="en-US"/>
              </w:rPr>
              <w:t>0.987</w:t>
            </w:r>
          </w:p>
        </w:tc>
      </w:tr>
      <w:tr w:rsidR="00CD6B48" w:rsidRPr="00CD6B48" w:rsidTr="00477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D83444" w:rsidRPr="00CD6B48" w:rsidRDefault="00D83444" w:rsidP="00D83444">
            <w:pPr>
              <w:spacing w:after="0"/>
              <w:rPr>
                <w:rFonts w:ascii="Calibri" w:eastAsia="Times New Roman" w:hAnsi="Calibri" w:cs="Calibri"/>
                <w:bCs w:val="0"/>
                <w:sz w:val="22"/>
                <w:lang w:val="en-US"/>
              </w:rPr>
            </w:pPr>
            <w:r w:rsidRPr="00CD6B48">
              <w:rPr>
                <w:rFonts w:ascii="Calibri" w:eastAsia="Times New Roman" w:hAnsi="Calibri" w:cs="Calibri"/>
                <w:bCs w:val="0"/>
                <w:sz w:val="22"/>
                <w:lang w:val="en-US"/>
              </w:rPr>
              <w:t>Total</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auto"/>
            <w:noWrap/>
            <w:vAlign w:val="center"/>
            <w:hideMark/>
          </w:tcPr>
          <w:p w:rsidR="00D83444" w:rsidRPr="00CD6B48" w:rsidRDefault="00D83444" w:rsidP="00CD6B48">
            <w:pPr>
              <w:spacing w:after="0"/>
              <w:jc w:val="center"/>
              <w:rPr>
                <w:rFonts w:ascii="Calibri" w:eastAsia="Times New Roman" w:hAnsi="Calibri" w:cs="Calibri"/>
                <w:b/>
                <w:bCs/>
                <w:sz w:val="22"/>
                <w:lang w:val="en-US"/>
              </w:rPr>
            </w:pPr>
            <w:r w:rsidRPr="00CD6B48">
              <w:rPr>
                <w:rFonts w:ascii="Calibri" w:eastAsia="Times New Roman" w:hAnsi="Calibri" w:cs="Times New Roman"/>
                <w:b/>
                <w:bCs/>
                <w:sz w:val="22"/>
                <w:lang w:val="en-US"/>
              </w:rPr>
              <w:t>175,360</w:t>
            </w:r>
          </w:p>
        </w:tc>
        <w:tc>
          <w:tcPr>
            <w:tcW w:w="1890" w:type="dxa"/>
            <w:shd w:val="clear" w:color="auto" w:fill="auto"/>
            <w:noWrap/>
            <w:vAlign w:val="center"/>
            <w:hideMark/>
          </w:tcPr>
          <w:p w:rsidR="00D83444" w:rsidRPr="00CD6B48" w:rsidRDefault="00D83444" w:rsidP="00CD6B4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2"/>
                <w:lang w:val="en-US"/>
              </w:rPr>
            </w:pPr>
            <w:r w:rsidRPr="00CD6B48">
              <w:rPr>
                <w:rFonts w:ascii="Calibri" w:eastAsia="Times New Roman" w:hAnsi="Calibri" w:cs="Times New Roman"/>
                <w:b/>
                <w:bCs/>
                <w:sz w:val="22"/>
                <w:lang w:val="en-US"/>
              </w:rPr>
              <w:t>$172.02</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noWrap/>
            <w:vAlign w:val="center"/>
            <w:hideMark/>
          </w:tcPr>
          <w:p w:rsidR="00D83444" w:rsidRPr="00CD6B48" w:rsidRDefault="00D83444" w:rsidP="00CD6B48">
            <w:pPr>
              <w:spacing w:after="0"/>
              <w:jc w:val="center"/>
              <w:rPr>
                <w:rFonts w:ascii="Calibri" w:eastAsia="Times New Roman" w:hAnsi="Calibri" w:cs="Calibri"/>
                <w:b/>
                <w:bCs/>
                <w:sz w:val="22"/>
                <w:lang w:val="en-US"/>
              </w:rPr>
            </w:pPr>
            <w:r w:rsidRPr="00CD6B48">
              <w:rPr>
                <w:rFonts w:ascii="Calibri" w:eastAsia="Times New Roman" w:hAnsi="Calibri" w:cs="Times New Roman"/>
                <w:b/>
                <w:bCs/>
                <w:sz w:val="22"/>
                <w:lang w:val="en-US"/>
              </w:rPr>
              <w:t>$172.01</w:t>
            </w:r>
          </w:p>
        </w:tc>
        <w:tc>
          <w:tcPr>
            <w:tcW w:w="1733" w:type="dxa"/>
            <w:shd w:val="clear" w:color="auto" w:fill="auto"/>
            <w:noWrap/>
            <w:vAlign w:val="center"/>
            <w:hideMark/>
          </w:tcPr>
          <w:p w:rsidR="00D83444" w:rsidRPr="00CD6B48" w:rsidRDefault="00D83444" w:rsidP="00CD6B4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2"/>
                <w:lang w:val="en-US"/>
              </w:rPr>
            </w:pPr>
            <w:r w:rsidRPr="00CD6B48">
              <w:rPr>
                <w:rFonts w:ascii="Calibri" w:eastAsia="Times New Roman" w:hAnsi="Calibri" w:cs="Times New Roman"/>
                <w:b/>
                <w:bCs/>
                <w:sz w:val="22"/>
                <w:lang w:val="en-US"/>
              </w:rPr>
              <w:t>1.000</w:t>
            </w:r>
          </w:p>
        </w:tc>
      </w:tr>
    </w:tbl>
    <w:p w:rsidR="00256E3D" w:rsidRPr="00215FB8" w:rsidRDefault="00256E3D" w:rsidP="00256E3D">
      <w:pPr>
        <w:spacing w:after="200"/>
        <w:rPr>
          <w:rFonts w:cstheme="minorHAnsi"/>
          <w:sz w:val="18"/>
          <w:szCs w:val="18"/>
          <w:lang w:eastAsia="en-AU"/>
        </w:rPr>
      </w:pPr>
      <w:r w:rsidRPr="00215FB8">
        <w:rPr>
          <w:rFonts w:cstheme="minorHAnsi"/>
          <w:sz w:val="18"/>
          <w:szCs w:val="18"/>
          <w:vertAlign w:val="superscript"/>
          <w:lang w:eastAsia="en-AU"/>
        </w:rPr>
        <w:t>1</w:t>
      </w:r>
      <w:r w:rsidRPr="00215FB8">
        <w:rPr>
          <w:rFonts w:cstheme="minorHAnsi"/>
          <w:sz w:val="18"/>
          <w:szCs w:val="18"/>
          <w:lang w:eastAsia="en-AU"/>
        </w:rPr>
        <w:t xml:space="preserve"> Includes $15 per day for Therapy Program</w:t>
      </w:r>
    </w:p>
    <w:p w:rsidR="00043DB4" w:rsidRDefault="009F643E" w:rsidP="009F643E">
      <w:pPr>
        <w:pStyle w:val="Caption"/>
        <w:keepNext/>
        <w:ind w:right="-188"/>
      </w:pPr>
      <w:bookmarkStart w:id="551" w:name="_Toc495416371"/>
      <w:bookmarkStart w:id="552" w:name="Tab0804"/>
      <w:r>
        <w:t>Table 8.</w:t>
      </w:r>
      <w:r w:rsidR="009A3F5A">
        <w:fldChar w:fldCharType="begin"/>
      </w:r>
      <w:r w:rsidR="009A3F5A">
        <w:instrText xml:space="preserve"> SEQ Table_8. \* ARABIC </w:instrText>
      </w:r>
      <w:r w:rsidR="009A3F5A">
        <w:fldChar w:fldCharType="separate"/>
      </w:r>
      <w:r w:rsidR="00856E49">
        <w:rPr>
          <w:noProof/>
        </w:rPr>
        <w:t>4</w:t>
      </w:r>
      <w:r w:rsidR="009A3F5A">
        <w:rPr>
          <w:noProof/>
        </w:rPr>
        <w:fldChar w:fldCharType="end"/>
      </w:r>
      <w:r>
        <w:t xml:space="preserve">: </w:t>
      </w:r>
      <w:r w:rsidRPr="009F643E">
        <w:t>Current &amp; Proposed Average Subsidies by Organisation Type (30 June 2016 data)</w:t>
      </w:r>
      <w:bookmarkEnd w:id="551"/>
    </w:p>
    <w:tbl>
      <w:tblPr>
        <w:tblStyle w:val="ListTable3-Accent515"/>
        <w:tblW w:w="8789"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8.4 is a list of the average subsidies for the current aged care funding instrument (ACFI) and the revised aged care funding instrument (R-ACFI), broken down by organisation type (government, not-for-profit and private), including a total average. This table is to be read left to right, top to bottom."/>
      </w:tblPr>
      <w:tblGrid>
        <w:gridCol w:w="1701"/>
        <w:gridCol w:w="1279"/>
        <w:gridCol w:w="1907"/>
        <w:gridCol w:w="2126"/>
        <w:gridCol w:w="1776"/>
      </w:tblGrid>
      <w:tr w:rsidR="00BA375E" w:rsidRPr="00012D98" w:rsidTr="001F695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01" w:type="dxa"/>
            <w:tcBorders>
              <w:bottom w:val="none" w:sz="0" w:space="0" w:color="auto"/>
              <w:right w:val="none" w:sz="0" w:space="0" w:color="auto"/>
            </w:tcBorders>
            <w:noWrap/>
            <w:hideMark/>
          </w:tcPr>
          <w:bookmarkEnd w:id="552"/>
          <w:p w:rsidR="00BA375E" w:rsidRPr="00CF0A97" w:rsidRDefault="00BA375E" w:rsidP="00A51750">
            <w:pPr>
              <w:spacing w:after="0"/>
              <w:rPr>
                <w:rFonts w:ascii="Calibri" w:eastAsia="Times New Roman" w:hAnsi="Calibri" w:cs="Calibri"/>
                <w:bCs w:val="0"/>
                <w:sz w:val="22"/>
                <w:lang w:val="en-US"/>
              </w:rPr>
            </w:pPr>
            <w:r>
              <w:rPr>
                <w:rFonts w:ascii="Calibri" w:eastAsia="Times New Roman" w:hAnsi="Calibri" w:cs="Calibri"/>
                <w:bCs w:val="0"/>
                <w:sz w:val="22"/>
                <w:lang w:val="en-US"/>
              </w:rPr>
              <w:t xml:space="preserve">Type </w:t>
            </w:r>
          </w:p>
        </w:tc>
        <w:tc>
          <w:tcPr>
            <w:cnfStyle w:val="000010000000" w:firstRow="0" w:lastRow="0" w:firstColumn="0" w:lastColumn="0" w:oddVBand="1" w:evenVBand="0" w:oddHBand="0" w:evenHBand="0" w:firstRowFirstColumn="0" w:firstRowLastColumn="0" w:lastRowFirstColumn="0" w:lastRowLastColumn="0"/>
            <w:tcW w:w="1279" w:type="dxa"/>
            <w:tcBorders>
              <w:left w:val="none" w:sz="0" w:space="0" w:color="auto"/>
              <w:right w:val="none" w:sz="0" w:space="0" w:color="auto"/>
            </w:tcBorders>
            <w:noWrap/>
            <w:hideMark/>
          </w:tcPr>
          <w:p w:rsidR="00BA375E" w:rsidRPr="00CF0A97" w:rsidRDefault="00BA375E" w:rsidP="00BA375E">
            <w:pPr>
              <w:spacing w:after="0"/>
              <w:jc w:val="center"/>
              <w:rPr>
                <w:rFonts w:ascii="Calibri" w:eastAsia="Times New Roman" w:hAnsi="Calibri" w:cs="Calibri"/>
                <w:bCs w:val="0"/>
                <w:sz w:val="22"/>
                <w:lang w:val="en-US"/>
              </w:rPr>
            </w:pPr>
            <w:r w:rsidRPr="00CF0A97">
              <w:rPr>
                <w:rFonts w:ascii="Calibri" w:eastAsia="Times New Roman" w:hAnsi="Calibri" w:cs="Calibri"/>
                <w:bCs w:val="0"/>
                <w:sz w:val="22"/>
                <w:lang w:val="en-US"/>
              </w:rPr>
              <w:t>Residents</w:t>
            </w:r>
          </w:p>
        </w:tc>
        <w:tc>
          <w:tcPr>
            <w:tcW w:w="1907" w:type="dxa"/>
            <w:noWrap/>
            <w:hideMark/>
          </w:tcPr>
          <w:p w:rsidR="00BA375E" w:rsidRPr="00CF0A97" w:rsidRDefault="00BA375E" w:rsidP="00BA375E">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2"/>
                <w:lang w:val="en-US"/>
              </w:rPr>
            </w:pPr>
            <w:r w:rsidRPr="00CF0A97">
              <w:rPr>
                <w:rFonts w:ascii="Calibri" w:eastAsia="Times New Roman" w:hAnsi="Calibri" w:cs="Calibri"/>
                <w:bCs w:val="0"/>
                <w:sz w:val="22"/>
                <w:lang w:val="en-US"/>
              </w:rPr>
              <w:t xml:space="preserve">Current </w:t>
            </w:r>
            <w:r>
              <w:rPr>
                <w:rFonts w:ascii="Calibri" w:eastAsia="Times New Roman" w:hAnsi="Calibri" w:cs="Calibri"/>
                <w:bCs w:val="0"/>
                <w:sz w:val="22"/>
                <w:lang w:val="en-US"/>
              </w:rPr>
              <w:t xml:space="preserve">Average </w:t>
            </w:r>
            <w:r w:rsidRPr="00CF0A97">
              <w:rPr>
                <w:rFonts w:ascii="Calibri" w:eastAsia="Times New Roman" w:hAnsi="Calibri" w:cs="Calibri"/>
                <w:bCs w:val="0"/>
                <w:sz w:val="22"/>
                <w:lang w:val="en-US"/>
              </w:rPr>
              <w:t xml:space="preserve">ACFI </w:t>
            </w:r>
            <w:r>
              <w:rPr>
                <w:rFonts w:ascii="Calibri" w:eastAsia="Times New Roman" w:hAnsi="Calibri" w:cs="Calibri"/>
                <w:bCs w:val="0"/>
                <w:sz w:val="22"/>
                <w:lang w:val="en-US"/>
              </w:rPr>
              <w:t>Funding</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noWrap/>
            <w:hideMark/>
          </w:tcPr>
          <w:p w:rsidR="00BA375E" w:rsidRPr="00CF0A97" w:rsidRDefault="00BA375E" w:rsidP="00BA375E">
            <w:pPr>
              <w:spacing w:after="0"/>
              <w:jc w:val="center"/>
              <w:rPr>
                <w:rFonts w:ascii="Calibri" w:eastAsia="Times New Roman" w:hAnsi="Calibri" w:cs="Calibri"/>
                <w:bCs w:val="0"/>
                <w:sz w:val="22"/>
                <w:lang w:val="en-US"/>
              </w:rPr>
            </w:pPr>
            <w:r w:rsidRPr="00215FB8">
              <w:rPr>
                <w:rFonts w:ascii="Calibri" w:eastAsia="Times New Roman" w:hAnsi="Calibri" w:cs="Calibri"/>
                <w:bCs w:val="0"/>
                <w:sz w:val="22"/>
                <w:vertAlign w:val="superscript"/>
                <w:lang w:val="en-US"/>
              </w:rPr>
              <w:t>1</w:t>
            </w:r>
            <w:r w:rsidRPr="00CF0A97">
              <w:rPr>
                <w:rFonts w:ascii="Calibri" w:eastAsia="Times New Roman" w:hAnsi="Calibri" w:cs="Calibri"/>
                <w:bCs w:val="0"/>
                <w:sz w:val="22"/>
                <w:lang w:val="en-US"/>
              </w:rPr>
              <w:t>Proposed Ave</w:t>
            </w:r>
            <w:r>
              <w:rPr>
                <w:rFonts w:ascii="Calibri" w:eastAsia="Times New Roman" w:hAnsi="Calibri" w:cs="Calibri"/>
                <w:bCs w:val="0"/>
                <w:sz w:val="22"/>
                <w:lang w:val="en-US"/>
              </w:rPr>
              <w:t xml:space="preserve">rage </w:t>
            </w:r>
            <w:r w:rsidRPr="00CF0A97">
              <w:rPr>
                <w:rFonts w:ascii="Calibri" w:eastAsia="Times New Roman" w:hAnsi="Calibri" w:cs="Calibri"/>
                <w:bCs w:val="0"/>
                <w:sz w:val="22"/>
                <w:lang w:val="en-US"/>
              </w:rPr>
              <w:t xml:space="preserve">R-ACFI </w:t>
            </w:r>
            <w:r>
              <w:rPr>
                <w:rFonts w:ascii="Calibri" w:eastAsia="Times New Roman" w:hAnsi="Calibri" w:cs="Calibri"/>
                <w:bCs w:val="0"/>
                <w:sz w:val="22"/>
                <w:lang w:val="en-US"/>
              </w:rPr>
              <w:t>Funding</w:t>
            </w:r>
          </w:p>
        </w:tc>
        <w:tc>
          <w:tcPr>
            <w:tcW w:w="1776" w:type="dxa"/>
            <w:noWrap/>
            <w:hideMark/>
          </w:tcPr>
          <w:p w:rsidR="00BA375E" w:rsidRPr="00CF0A97" w:rsidRDefault="00BA375E" w:rsidP="00BA375E">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2"/>
                <w:lang w:val="en-US"/>
              </w:rPr>
            </w:pPr>
            <w:r w:rsidRPr="00CF0A97">
              <w:rPr>
                <w:rFonts w:ascii="Calibri" w:eastAsia="Times New Roman" w:hAnsi="Calibri" w:cs="Calibri"/>
                <w:bCs w:val="0"/>
                <w:sz w:val="22"/>
                <w:lang w:val="en-US"/>
              </w:rPr>
              <w:t>Proposed to Current Ratio</w:t>
            </w:r>
          </w:p>
        </w:tc>
      </w:tr>
      <w:tr w:rsidR="00BA375E" w:rsidRPr="00BA375E" w:rsidTr="001F6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noWrap/>
          </w:tcPr>
          <w:p w:rsidR="00D83444" w:rsidRPr="00BA375E" w:rsidRDefault="00D83444" w:rsidP="00D83444">
            <w:pPr>
              <w:spacing w:after="0"/>
              <w:rPr>
                <w:rFonts w:ascii="Calibri" w:eastAsia="Times New Roman" w:hAnsi="Calibri" w:cs="Calibri"/>
                <w:sz w:val="22"/>
                <w:lang w:val="en-US"/>
              </w:rPr>
            </w:pPr>
            <w:r w:rsidRPr="00BA375E">
              <w:rPr>
                <w:rFonts w:ascii="Calibri" w:eastAsia="Times New Roman" w:hAnsi="Calibri" w:cs="Calibri"/>
                <w:sz w:val="22"/>
                <w:lang w:val="en-US"/>
              </w:rPr>
              <w:t>Government</w:t>
            </w:r>
          </w:p>
        </w:tc>
        <w:tc>
          <w:tcPr>
            <w:cnfStyle w:val="000010000000" w:firstRow="0" w:lastRow="0" w:firstColumn="0" w:lastColumn="0" w:oddVBand="1" w:evenVBand="0" w:oddHBand="0" w:evenHBand="0" w:firstRowFirstColumn="0" w:firstRowLastColumn="0" w:lastRowFirstColumn="0" w:lastRowLastColumn="0"/>
            <w:tcW w:w="1279" w:type="dxa"/>
            <w:noWrap/>
            <w:vAlign w:val="center"/>
          </w:tcPr>
          <w:p w:rsidR="00D83444" w:rsidRPr="00BA375E" w:rsidRDefault="00D83444" w:rsidP="00BA375E">
            <w:pPr>
              <w:spacing w:after="0"/>
              <w:jc w:val="center"/>
              <w:rPr>
                <w:rFonts w:ascii="Calibri" w:eastAsia="Times New Roman" w:hAnsi="Calibri" w:cs="Calibri"/>
                <w:sz w:val="22"/>
                <w:lang w:val="en-US"/>
              </w:rPr>
            </w:pPr>
            <w:r w:rsidRPr="00BA375E">
              <w:rPr>
                <w:rFonts w:ascii="Calibri" w:eastAsia="Times New Roman" w:hAnsi="Calibri" w:cs="Times New Roman"/>
                <w:sz w:val="22"/>
                <w:lang w:val="en-US"/>
              </w:rPr>
              <w:t>7881</w:t>
            </w:r>
          </w:p>
        </w:tc>
        <w:tc>
          <w:tcPr>
            <w:tcW w:w="1907" w:type="dxa"/>
            <w:noWrap/>
            <w:vAlign w:val="center"/>
          </w:tcPr>
          <w:p w:rsidR="00D83444" w:rsidRPr="00BA375E" w:rsidRDefault="00D83444" w:rsidP="00BA375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BA375E">
              <w:rPr>
                <w:rFonts w:ascii="Calibri" w:eastAsia="Times New Roman" w:hAnsi="Calibri" w:cs="Times New Roman"/>
                <w:sz w:val="22"/>
                <w:lang w:val="en-US"/>
              </w:rPr>
              <w:t>$151.74</w:t>
            </w:r>
          </w:p>
        </w:tc>
        <w:tc>
          <w:tcPr>
            <w:cnfStyle w:val="000010000000" w:firstRow="0" w:lastRow="0" w:firstColumn="0" w:lastColumn="0" w:oddVBand="1" w:evenVBand="0" w:oddHBand="0" w:evenHBand="0" w:firstRowFirstColumn="0" w:firstRowLastColumn="0" w:lastRowFirstColumn="0" w:lastRowLastColumn="0"/>
            <w:tcW w:w="2126" w:type="dxa"/>
            <w:noWrap/>
            <w:vAlign w:val="center"/>
          </w:tcPr>
          <w:p w:rsidR="00D83444" w:rsidRPr="00BA375E" w:rsidRDefault="00D83444" w:rsidP="00BA375E">
            <w:pPr>
              <w:spacing w:after="0"/>
              <w:jc w:val="center"/>
              <w:rPr>
                <w:rFonts w:ascii="Calibri" w:eastAsia="Times New Roman" w:hAnsi="Calibri" w:cs="Calibri"/>
                <w:sz w:val="22"/>
                <w:lang w:val="en-US"/>
              </w:rPr>
            </w:pPr>
            <w:r w:rsidRPr="00BA375E">
              <w:rPr>
                <w:rFonts w:ascii="Calibri" w:eastAsia="Times New Roman" w:hAnsi="Calibri" w:cs="Times New Roman"/>
                <w:sz w:val="22"/>
                <w:lang w:val="en-US"/>
              </w:rPr>
              <w:t>$166.67</w:t>
            </w:r>
          </w:p>
        </w:tc>
        <w:tc>
          <w:tcPr>
            <w:tcW w:w="1776" w:type="dxa"/>
            <w:noWrap/>
            <w:vAlign w:val="center"/>
          </w:tcPr>
          <w:p w:rsidR="00D83444" w:rsidRPr="00BA375E" w:rsidRDefault="00D83444" w:rsidP="00BA375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BA375E">
              <w:rPr>
                <w:rFonts w:ascii="Calibri" w:eastAsia="Times New Roman" w:hAnsi="Calibri" w:cs="Times New Roman"/>
                <w:sz w:val="22"/>
                <w:lang w:val="en-US"/>
              </w:rPr>
              <w:t>1.098</w:t>
            </w:r>
          </w:p>
        </w:tc>
      </w:tr>
      <w:tr w:rsidR="00BA375E" w:rsidRPr="00BA375E" w:rsidTr="001F695D">
        <w:tc>
          <w:tcPr>
            <w:cnfStyle w:val="001000000000" w:firstRow="0" w:lastRow="0" w:firstColumn="1" w:lastColumn="0" w:oddVBand="0" w:evenVBand="0" w:oddHBand="0" w:evenHBand="0" w:firstRowFirstColumn="0" w:firstRowLastColumn="0" w:lastRowFirstColumn="0" w:lastRowLastColumn="0"/>
            <w:tcW w:w="1701" w:type="dxa"/>
            <w:noWrap/>
          </w:tcPr>
          <w:p w:rsidR="00D83444" w:rsidRPr="00BA375E" w:rsidRDefault="00D83444" w:rsidP="00D83444">
            <w:pPr>
              <w:spacing w:after="0"/>
              <w:rPr>
                <w:rFonts w:ascii="Calibri" w:eastAsia="Times New Roman" w:hAnsi="Calibri" w:cs="Calibri"/>
                <w:sz w:val="22"/>
                <w:lang w:val="en-US"/>
              </w:rPr>
            </w:pPr>
            <w:r w:rsidRPr="00BA375E">
              <w:rPr>
                <w:rFonts w:ascii="Calibri" w:eastAsia="Times New Roman" w:hAnsi="Calibri" w:cs="Calibri"/>
                <w:sz w:val="22"/>
                <w:lang w:val="en-US"/>
              </w:rPr>
              <w:t>Not-For-Profit</w:t>
            </w:r>
          </w:p>
        </w:tc>
        <w:tc>
          <w:tcPr>
            <w:cnfStyle w:val="000010000000" w:firstRow="0" w:lastRow="0" w:firstColumn="0" w:lastColumn="0" w:oddVBand="1" w:evenVBand="0" w:oddHBand="0" w:evenHBand="0" w:firstRowFirstColumn="0" w:firstRowLastColumn="0" w:lastRowFirstColumn="0" w:lastRowLastColumn="0"/>
            <w:tcW w:w="1279" w:type="dxa"/>
            <w:noWrap/>
            <w:vAlign w:val="center"/>
          </w:tcPr>
          <w:p w:rsidR="00D83444" w:rsidRPr="00BA375E" w:rsidRDefault="00D83444" w:rsidP="00BA375E">
            <w:pPr>
              <w:spacing w:after="0"/>
              <w:jc w:val="center"/>
              <w:rPr>
                <w:rFonts w:ascii="Calibri" w:eastAsia="Times New Roman" w:hAnsi="Calibri" w:cs="Calibri"/>
                <w:sz w:val="22"/>
                <w:lang w:val="en-US"/>
              </w:rPr>
            </w:pPr>
            <w:r w:rsidRPr="00BA375E">
              <w:rPr>
                <w:rFonts w:ascii="Calibri" w:eastAsia="Times New Roman" w:hAnsi="Calibri" w:cs="Times New Roman"/>
                <w:sz w:val="22"/>
                <w:lang w:val="en-US"/>
              </w:rPr>
              <w:t>100346</w:t>
            </w:r>
          </w:p>
        </w:tc>
        <w:tc>
          <w:tcPr>
            <w:tcW w:w="1907" w:type="dxa"/>
            <w:noWrap/>
            <w:vAlign w:val="center"/>
          </w:tcPr>
          <w:p w:rsidR="00D83444" w:rsidRPr="00BA375E" w:rsidRDefault="00D83444" w:rsidP="00BA37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BA375E">
              <w:rPr>
                <w:rFonts w:ascii="Calibri" w:eastAsia="Times New Roman" w:hAnsi="Calibri" w:cs="Times New Roman"/>
                <w:sz w:val="22"/>
                <w:lang w:val="en-US"/>
              </w:rPr>
              <w:t>$165.22</w:t>
            </w:r>
          </w:p>
        </w:tc>
        <w:tc>
          <w:tcPr>
            <w:cnfStyle w:val="000010000000" w:firstRow="0" w:lastRow="0" w:firstColumn="0" w:lastColumn="0" w:oddVBand="1" w:evenVBand="0" w:oddHBand="0" w:evenHBand="0" w:firstRowFirstColumn="0" w:firstRowLastColumn="0" w:lastRowFirstColumn="0" w:lastRowLastColumn="0"/>
            <w:tcW w:w="2126" w:type="dxa"/>
            <w:noWrap/>
            <w:vAlign w:val="center"/>
          </w:tcPr>
          <w:p w:rsidR="00D83444" w:rsidRPr="00BA375E" w:rsidRDefault="00D83444" w:rsidP="00BA375E">
            <w:pPr>
              <w:spacing w:after="0"/>
              <w:jc w:val="center"/>
              <w:rPr>
                <w:rFonts w:ascii="Calibri" w:eastAsia="Times New Roman" w:hAnsi="Calibri" w:cs="Calibri"/>
                <w:sz w:val="22"/>
                <w:lang w:val="en-US"/>
              </w:rPr>
            </w:pPr>
            <w:r w:rsidRPr="00BA375E">
              <w:rPr>
                <w:rFonts w:ascii="Calibri" w:eastAsia="Times New Roman" w:hAnsi="Calibri" w:cs="Times New Roman"/>
                <w:sz w:val="22"/>
                <w:lang w:val="en-US"/>
              </w:rPr>
              <w:t>$168.20</w:t>
            </w:r>
          </w:p>
        </w:tc>
        <w:tc>
          <w:tcPr>
            <w:tcW w:w="1776" w:type="dxa"/>
            <w:noWrap/>
            <w:vAlign w:val="center"/>
          </w:tcPr>
          <w:p w:rsidR="00D83444" w:rsidRPr="00BA375E" w:rsidRDefault="00D83444" w:rsidP="00BA37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BA375E">
              <w:rPr>
                <w:rFonts w:ascii="Calibri" w:eastAsia="Times New Roman" w:hAnsi="Calibri" w:cs="Times New Roman"/>
                <w:sz w:val="22"/>
                <w:lang w:val="en-US"/>
              </w:rPr>
              <w:t>1.018</w:t>
            </w:r>
          </w:p>
        </w:tc>
      </w:tr>
      <w:tr w:rsidR="00BA375E" w:rsidRPr="00BA375E" w:rsidTr="001F6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noWrap/>
          </w:tcPr>
          <w:p w:rsidR="00D83444" w:rsidRPr="00BA375E" w:rsidRDefault="00D83444" w:rsidP="00D83444">
            <w:pPr>
              <w:spacing w:after="0"/>
              <w:rPr>
                <w:rFonts w:ascii="Calibri" w:eastAsia="Times New Roman" w:hAnsi="Calibri" w:cs="Calibri"/>
                <w:sz w:val="22"/>
                <w:lang w:val="en-US"/>
              </w:rPr>
            </w:pPr>
            <w:r w:rsidRPr="00BA375E">
              <w:rPr>
                <w:rFonts w:ascii="Calibri" w:eastAsia="Times New Roman" w:hAnsi="Calibri" w:cs="Calibri"/>
                <w:sz w:val="22"/>
                <w:lang w:val="en-US"/>
              </w:rPr>
              <w:t>Private</w:t>
            </w:r>
          </w:p>
        </w:tc>
        <w:tc>
          <w:tcPr>
            <w:cnfStyle w:val="000010000000" w:firstRow="0" w:lastRow="0" w:firstColumn="0" w:lastColumn="0" w:oddVBand="1" w:evenVBand="0" w:oddHBand="0" w:evenHBand="0" w:firstRowFirstColumn="0" w:firstRowLastColumn="0" w:lastRowFirstColumn="0" w:lastRowLastColumn="0"/>
            <w:tcW w:w="1279" w:type="dxa"/>
            <w:noWrap/>
            <w:vAlign w:val="center"/>
          </w:tcPr>
          <w:p w:rsidR="00D83444" w:rsidRPr="00BA375E" w:rsidRDefault="00D83444" w:rsidP="00BA375E">
            <w:pPr>
              <w:spacing w:after="0"/>
              <w:jc w:val="center"/>
              <w:rPr>
                <w:rFonts w:ascii="Calibri" w:eastAsia="Times New Roman" w:hAnsi="Calibri" w:cs="Calibri"/>
                <w:sz w:val="22"/>
                <w:lang w:val="en-US"/>
              </w:rPr>
            </w:pPr>
            <w:r w:rsidRPr="00BA375E">
              <w:rPr>
                <w:rFonts w:ascii="Calibri" w:eastAsia="Times New Roman" w:hAnsi="Calibri" w:cs="Times New Roman"/>
                <w:sz w:val="22"/>
                <w:lang w:val="en-US"/>
              </w:rPr>
              <w:t>67133</w:t>
            </w:r>
          </w:p>
        </w:tc>
        <w:tc>
          <w:tcPr>
            <w:tcW w:w="1907" w:type="dxa"/>
            <w:noWrap/>
            <w:vAlign w:val="center"/>
          </w:tcPr>
          <w:p w:rsidR="00D83444" w:rsidRPr="00BA375E" w:rsidRDefault="00D83444" w:rsidP="00BA375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BA375E">
              <w:rPr>
                <w:rFonts w:ascii="Calibri" w:eastAsia="Times New Roman" w:hAnsi="Calibri" w:cs="Times New Roman"/>
                <w:sz w:val="22"/>
                <w:lang w:val="en-US"/>
              </w:rPr>
              <w:t>$184.56</w:t>
            </w:r>
          </w:p>
        </w:tc>
        <w:tc>
          <w:tcPr>
            <w:cnfStyle w:val="000010000000" w:firstRow="0" w:lastRow="0" w:firstColumn="0" w:lastColumn="0" w:oddVBand="1" w:evenVBand="0" w:oddHBand="0" w:evenHBand="0" w:firstRowFirstColumn="0" w:firstRowLastColumn="0" w:lastRowFirstColumn="0" w:lastRowLastColumn="0"/>
            <w:tcW w:w="2126" w:type="dxa"/>
            <w:noWrap/>
            <w:vAlign w:val="center"/>
          </w:tcPr>
          <w:p w:rsidR="00D83444" w:rsidRPr="00BA375E" w:rsidRDefault="00D83444" w:rsidP="00BA375E">
            <w:pPr>
              <w:spacing w:after="0"/>
              <w:jc w:val="center"/>
              <w:rPr>
                <w:rFonts w:ascii="Calibri" w:eastAsia="Times New Roman" w:hAnsi="Calibri" w:cs="Calibri"/>
                <w:sz w:val="22"/>
                <w:lang w:val="en-US"/>
              </w:rPr>
            </w:pPr>
            <w:r w:rsidRPr="00BA375E">
              <w:rPr>
                <w:rFonts w:ascii="Calibri" w:eastAsia="Times New Roman" w:hAnsi="Calibri" w:cs="Times New Roman"/>
                <w:sz w:val="22"/>
                <w:lang w:val="en-US"/>
              </w:rPr>
              <w:t>$178.33</w:t>
            </w:r>
          </w:p>
        </w:tc>
        <w:tc>
          <w:tcPr>
            <w:tcW w:w="1776" w:type="dxa"/>
            <w:noWrap/>
            <w:vAlign w:val="center"/>
          </w:tcPr>
          <w:p w:rsidR="00D83444" w:rsidRPr="00BA375E" w:rsidRDefault="00D83444" w:rsidP="00BA375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BA375E">
              <w:rPr>
                <w:rFonts w:ascii="Calibri" w:eastAsia="Times New Roman" w:hAnsi="Calibri" w:cs="Times New Roman"/>
                <w:sz w:val="22"/>
                <w:lang w:val="en-US"/>
              </w:rPr>
              <w:t>0.966</w:t>
            </w:r>
          </w:p>
        </w:tc>
      </w:tr>
      <w:tr w:rsidR="00BA375E" w:rsidRPr="00BA375E" w:rsidTr="0047707B">
        <w:tc>
          <w:tcPr>
            <w:cnfStyle w:val="001000000000" w:firstRow="0" w:lastRow="0" w:firstColumn="1" w:lastColumn="0" w:oddVBand="0" w:evenVBand="0" w:oddHBand="0" w:evenHBand="0" w:firstRowFirstColumn="0" w:firstRowLastColumn="0" w:lastRowFirstColumn="0" w:lastRowLastColumn="0"/>
            <w:tcW w:w="1701" w:type="dxa"/>
            <w:shd w:val="clear" w:color="auto" w:fill="auto"/>
            <w:noWrap/>
          </w:tcPr>
          <w:p w:rsidR="00D83444" w:rsidRPr="00BA375E" w:rsidRDefault="00D83444" w:rsidP="00D83444">
            <w:pPr>
              <w:spacing w:after="0"/>
              <w:rPr>
                <w:rFonts w:ascii="Calibri" w:eastAsia="Times New Roman" w:hAnsi="Calibri" w:cs="Calibri"/>
                <w:sz w:val="22"/>
                <w:lang w:val="en-US"/>
              </w:rPr>
            </w:pPr>
            <w:r w:rsidRPr="00BA375E">
              <w:rPr>
                <w:rFonts w:ascii="Calibri" w:eastAsia="Times New Roman" w:hAnsi="Calibri" w:cs="Calibri"/>
                <w:sz w:val="22"/>
                <w:lang w:val="en-US"/>
              </w:rPr>
              <w:t>Total</w:t>
            </w:r>
          </w:p>
        </w:tc>
        <w:tc>
          <w:tcPr>
            <w:cnfStyle w:val="000010000000" w:firstRow="0" w:lastRow="0" w:firstColumn="0" w:lastColumn="0" w:oddVBand="1" w:evenVBand="0" w:oddHBand="0" w:evenHBand="0" w:firstRowFirstColumn="0" w:firstRowLastColumn="0" w:lastRowFirstColumn="0" w:lastRowLastColumn="0"/>
            <w:tcW w:w="1279" w:type="dxa"/>
            <w:shd w:val="clear" w:color="auto" w:fill="auto"/>
            <w:noWrap/>
            <w:vAlign w:val="center"/>
          </w:tcPr>
          <w:p w:rsidR="00D83444" w:rsidRPr="00BA375E" w:rsidRDefault="00D83444" w:rsidP="00BA375E">
            <w:pPr>
              <w:spacing w:after="0"/>
              <w:jc w:val="center"/>
              <w:rPr>
                <w:rFonts w:ascii="Calibri" w:eastAsia="Times New Roman" w:hAnsi="Calibri" w:cs="Calibri"/>
                <w:sz w:val="22"/>
                <w:lang w:val="en-US"/>
              </w:rPr>
            </w:pPr>
            <w:r w:rsidRPr="00BA375E">
              <w:rPr>
                <w:rFonts w:ascii="Calibri" w:eastAsia="Times New Roman" w:hAnsi="Calibri" w:cs="Times New Roman"/>
                <w:b/>
                <w:bCs/>
                <w:sz w:val="22"/>
                <w:lang w:val="en-US"/>
              </w:rPr>
              <w:t>175360</w:t>
            </w:r>
          </w:p>
        </w:tc>
        <w:tc>
          <w:tcPr>
            <w:tcW w:w="1907" w:type="dxa"/>
            <w:shd w:val="clear" w:color="auto" w:fill="auto"/>
            <w:noWrap/>
            <w:vAlign w:val="center"/>
          </w:tcPr>
          <w:p w:rsidR="00D83444" w:rsidRPr="00BA375E" w:rsidRDefault="00D83444" w:rsidP="00BA37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BA375E">
              <w:rPr>
                <w:rFonts w:ascii="Calibri" w:eastAsia="Times New Roman" w:hAnsi="Calibri" w:cs="Times New Roman"/>
                <w:b/>
                <w:bCs/>
                <w:sz w:val="22"/>
                <w:lang w:val="en-US"/>
              </w:rPr>
              <w:t>$172.02</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auto"/>
            <w:noWrap/>
            <w:vAlign w:val="center"/>
          </w:tcPr>
          <w:p w:rsidR="00D83444" w:rsidRPr="00BA375E" w:rsidRDefault="00D83444" w:rsidP="00BA375E">
            <w:pPr>
              <w:spacing w:after="0"/>
              <w:jc w:val="center"/>
              <w:rPr>
                <w:rFonts w:ascii="Calibri" w:eastAsia="Times New Roman" w:hAnsi="Calibri" w:cs="Calibri"/>
                <w:sz w:val="22"/>
                <w:lang w:val="en-US"/>
              </w:rPr>
            </w:pPr>
            <w:r w:rsidRPr="00BA375E">
              <w:rPr>
                <w:rFonts w:ascii="Calibri" w:eastAsia="Times New Roman" w:hAnsi="Calibri" w:cs="Times New Roman"/>
                <w:b/>
                <w:bCs/>
                <w:sz w:val="22"/>
                <w:lang w:val="en-US"/>
              </w:rPr>
              <w:t>$172.01</w:t>
            </w:r>
          </w:p>
        </w:tc>
        <w:tc>
          <w:tcPr>
            <w:tcW w:w="1776" w:type="dxa"/>
            <w:shd w:val="clear" w:color="auto" w:fill="auto"/>
            <w:noWrap/>
            <w:vAlign w:val="center"/>
          </w:tcPr>
          <w:p w:rsidR="00D83444" w:rsidRPr="00BA375E" w:rsidRDefault="00D83444" w:rsidP="00BA37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BA375E">
              <w:rPr>
                <w:rFonts w:ascii="Calibri" w:eastAsia="Times New Roman" w:hAnsi="Calibri" w:cs="Times New Roman"/>
                <w:b/>
                <w:bCs/>
                <w:sz w:val="22"/>
                <w:lang w:val="en-US"/>
              </w:rPr>
              <w:t>1.000</w:t>
            </w:r>
          </w:p>
        </w:tc>
      </w:tr>
    </w:tbl>
    <w:p w:rsidR="00256E3D" w:rsidRPr="00215FB8" w:rsidRDefault="00256E3D" w:rsidP="00256E3D">
      <w:pPr>
        <w:spacing w:after="200"/>
        <w:rPr>
          <w:rFonts w:cstheme="minorHAnsi"/>
          <w:sz w:val="18"/>
          <w:szCs w:val="18"/>
          <w:lang w:eastAsia="en-AU"/>
        </w:rPr>
      </w:pPr>
      <w:r w:rsidRPr="00215FB8">
        <w:rPr>
          <w:rFonts w:cstheme="minorHAnsi"/>
          <w:sz w:val="18"/>
          <w:szCs w:val="18"/>
          <w:vertAlign w:val="superscript"/>
          <w:lang w:eastAsia="en-AU"/>
        </w:rPr>
        <w:t>1</w:t>
      </w:r>
      <w:r w:rsidRPr="00215FB8">
        <w:rPr>
          <w:rFonts w:cstheme="minorHAnsi"/>
          <w:sz w:val="18"/>
          <w:szCs w:val="18"/>
          <w:lang w:eastAsia="en-AU"/>
        </w:rPr>
        <w:t xml:space="preserve"> Includes $15 per day for Therapy Program</w:t>
      </w:r>
    </w:p>
    <w:p w:rsidR="00043DB4" w:rsidRDefault="009F643E" w:rsidP="00043DB4">
      <w:pPr>
        <w:pStyle w:val="Caption"/>
        <w:keepNext/>
      </w:pPr>
      <w:bookmarkStart w:id="553" w:name="_Toc495416372"/>
      <w:bookmarkStart w:id="554" w:name="Tab0805"/>
      <w:r>
        <w:t>Table 8.</w:t>
      </w:r>
      <w:r w:rsidR="009A3F5A">
        <w:fldChar w:fldCharType="begin"/>
      </w:r>
      <w:r w:rsidR="009A3F5A">
        <w:instrText xml:space="preserve"> SEQ Table_8. \* ARABIC </w:instrText>
      </w:r>
      <w:r w:rsidR="009A3F5A">
        <w:fldChar w:fldCharType="separate"/>
      </w:r>
      <w:r w:rsidR="00856E49">
        <w:rPr>
          <w:noProof/>
        </w:rPr>
        <w:t>5</w:t>
      </w:r>
      <w:r w:rsidR="009A3F5A">
        <w:rPr>
          <w:noProof/>
        </w:rPr>
        <w:fldChar w:fldCharType="end"/>
      </w:r>
      <w:r>
        <w:t xml:space="preserve">: </w:t>
      </w:r>
      <w:r w:rsidRPr="009F643E">
        <w:t>Current &amp; Proposed Average Subsidies by Organisation Type and R-ACFI Domain (30 June 2016 data)</w:t>
      </w:r>
      <w:bookmarkEnd w:id="553"/>
    </w:p>
    <w:tbl>
      <w:tblPr>
        <w:tblStyle w:val="ListTable3-Accent515"/>
        <w:tblW w:w="6804"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8.5 is a list of the average subsidies for the current aged care funding instrument (ACFI) and the revised aged care funding instrument (R-ACFI), broken down by organisation type (government, not-for-profit and private), including a total average.&#10;This table is to be read left to right, top to bottom, noting that the table is split into the four domains:&#10;1. Activities of daily living&#10;2. Behaviour&#10;3. Complex health care&#10;4. The therapy program."/>
      </w:tblPr>
      <w:tblGrid>
        <w:gridCol w:w="2977"/>
        <w:gridCol w:w="1701"/>
        <w:gridCol w:w="54"/>
        <w:gridCol w:w="2072"/>
      </w:tblGrid>
      <w:tr w:rsidR="00BA375E" w:rsidRPr="00012D98" w:rsidTr="00BA375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04" w:type="dxa"/>
            <w:gridSpan w:val="4"/>
            <w:noWrap/>
            <w:hideMark/>
          </w:tcPr>
          <w:bookmarkEnd w:id="554"/>
          <w:p w:rsidR="00BA375E" w:rsidRPr="00CF0A97" w:rsidRDefault="003175A1" w:rsidP="00BA375E">
            <w:pPr>
              <w:spacing w:after="0"/>
              <w:jc w:val="left"/>
              <w:rPr>
                <w:rFonts w:ascii="Calibri" w:eastAsia="Times New Roman" w:hAnsi="Calibri" w:cs="Calibri"/>
                <w:bCs w:val="0"/>
                <w:sz w:val="22"/>
                <w:lang w:val="en-US"/>
              </w:rPr>
            </w:pPr>
            <w:r>
              <w:rPr>
                <w:rFonts w:ascii="Calibri" w:eastAsia="Times New Roman" w:hAnsi="Calibri" w:cs="Calibri"/>
                <w:bCs w:val="0"/>
                <w:sz w:val="22"/>
                <w:lang w:val="en-US"/>
              </w:rPr>
              <w:t>Activities of daily living</w:t>
            </w:r>
            <w:r w:rsidR="00BA375E">
              <w:rPr>
                <w:rFonts w:ascii="Calibri" w:eastAsia="Times New Roman" w:hAnsi="Calibri" w:cs="Calibri"/>
                <w:bCs w:val="0"/>
                <w:sz w:val="22"/>
                <w:lang w:val="en-US"/>
              </w:rPr>
              <w:t xml:space="preserve"> (ADL)</w:t>
            </w:r>
          </w:p>
        </w:tc>
      </w:tr>
      <w:tr w:rsidR="00BA375E" w:rsidRPr="00012D98" w:rsidTr="00477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EEAF6" w:themeFill="accent5" w:themeFillTint="33"/>
            <w:noWrap/>
          </w:tcPr>
          <w:p w:rsidR="00BA375E" w:rsidRPr="00BA375E" w:rsidRDefault="00BA375E" w:rsidP="00BA375E">
            <w:pPr>
              <w:spacing w:after="0"/>
              <w:jc w:val="left"/>
              <w:rPr>
                <w:rFonts w:ascii="Calibri" w:eastAsia="Times New Roman" w:hAnsi="Calibri" w:cs="Calibri"/>
                <w:bCs w:val="0"/>
                <w:sz w:val="22"/>
                <w:lang w:val="en-US"/>
              </w:rPr>
            </w:pPr>
            <w:r w:rsidRPr="00BA375E">
              <w:rPr>
                <w:rFonts w:ascii="Calibri" w:eastAsia="Times New Roman" w:hAnsi="Calibri" w:cs="Calibri"/>
                <w:bCs w:val="0"/>
                <w:sz w:val="22"/>
                <w:lang w:val="en-US"/>
              </w:rPr>
              <w:t>Organisation</w:t>
            </w:r>
          </w:p>
        </w:tc>
        <w:tc>
          <w:tcPr>
            <w:cnfStyle w:val="000010000000" w:firstRow="0" w:lastRow="0" w:firstColumn="0" w:lastColumn="0" w:oddVBand="1" w:evenVBand="0" w:oddHBand="0" w:evenHBand="0" w:firstRowFirstColumn="0" w:firstRowLastColumn="0" w:lastRowFirstColumn="0" w:lastRowLastColumn="0"/>
            <w:tcW w:w="1755" w:type="dxa"/>
            <w:gridSpan w:val="2"/>
            <w:shd w:val="clear" w:color="auto" w:fill="DEEAF6" w:themeFill="accent5" w:themeFillTint="33"/>
            <w:noWrap/>
          </w:tcPr>
          <w:p w:rsidR="00BA375E" w:rsidRPr="00BA375E" w:rsidRDefault="00BA375E" w:rsidP="00BA375E">
            <w:pPr>
              <w:spacing w:after="0"/>
              <w:jc w:val="center"/>
              <w:rPr>
                <w:rFonts w:ascii="Calibri" w:eastAsia="Times New Roman" w:hAnsi="Calibri" w:cs="Calibri"/>
                <w:b/>
                <w:bCs/>
                <w:sz w:val="22"/>
                <w:lang w:val="en-US"/>
              </w:rPr>
            </w:pPr>
            <w:r w:rsidRPr="00BA375E">
              <w:rPr>
                <w:rFonts w:ascii="Calibri" w:eastAsia="Times New Roman" w:hAnsi="Calibri" w:cs="Calibri"/>
                <w:b/>
                <w:bCs/>
                <w:sz w:val="22"/>
                <w:lang w:val="en-US"/>
              </w:rPr>
              <w:t>Current ACFI</w:t>
            </w:r>
          </w:p>
        </w:tc>
        <w:tc>
          <w:tcPr>
            <w:tcW w:w="2072" w:type="dxa"/>
            <w:shd w:val="clear" w:color="auto" w:fill="DEEAF6" w:themeFill="accent5" w:themeFillTint="33"/>
            <w:noWrap/>
          </w:tcPr>
          <w:p w:rsidR="00BA375E" w:rsidRPr="00BA375E" w:rsidRDefault="00BA375E" w:rsidP="00BA375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2"/>
                <w:lang w:val="en-US"/>
              </w:rPr>
            </w:pPr>
            <w:r w:rsidRPr="00BA375E">
              <w:rPr>
                <w:rFonts w:ascii="Calibri" w:eastAsia="Times New Roman" w:hAnsi="Calibri" w:cs="Calibri"/>
                <w:b/>
                <w:bCs/>
                <w:sz w:val="22"/>
                <w:lang w:val="en-US"/>
              </w:rPr>
              <w:t>Proposed R-ACFI</w:t>
            </w:r>
          </w:p>
        </w:tc>
      </w:tr>
      <w:tr w:rsidR="00BA375E" w:rsidRPr="00BA375E" w:rsidTr="00BA375E">
        <w:tc>
          <w:tcPr>
            <w:cnfStyle w:val="001000000000" w:firstRow="0" w:lastRow="0" w:firstColumn="1" w:lastColumn="0" w:oddVBand="0" w:evenVBand="0" w:oddHBand="0" w:evenHBand="0" w:firstRowFirstColumn="0" w:firstRowLastColumn="0" w:lastRowFirstColumn="0" w:lastRowLastColumn="0"/>
            <w:tcW w:w="2977" w:type="dxa"/>
            <w:noWrap/>
          </w:tcPr>
          <w:p w:rsidR="00BA375E" w:rsidRPr="00BA375E" w:rsidRDefault="00BA375E" w:rsidP="00BA375E">
            <w:pPr>
              <w:spacing w:after="0"/>
              <w:jc w:val="left"/>
              <w:rPr>
                <w:rFonts w:ascii="Calibri" w:eastAsia="Times New Roman" w:hAnsi="Calibri" w:cs="Calibri"/>
                <w:sz w:val="22"/>
                <w:lang w:val="en-US"/>
              </w:rPr>
            </w:pPr>
            <w:r w:rsidRPr="00BA375E">
              <w:rPr>
                <w:rFonts w:ascii="Calibri" w:eastAsia="Times New Roman" w:hAnsi="Calibri" w:cs="Calibri"/>
                <w:sz w:val="22"/>
                <w:lang w:val="en-US"/>
              </w:rPr>
              <w:t>Government</w:t>
            </w:r>
          </w:p>
        </w:tc>
        <w:tc>
          <w:tcPr>
            <w:cnfStyle w:val="000010000000" w:firstRow="0" w:lastRow="0" w:firstColumn="0" w:lastColumn="0" w:oddVBand="1" w:evenVBand="0" w:oddHBand="0" w:evenHBand="0" w:firstRowFirstColumn="0" w:firstRowLastColumn="0" w:lastRowFirstColumn="0" w:lastRowLastColumn="0"/>
            <w:tcW w:w="1755" w:type="dxa"/>
            <w:gridSpan w:val="2"/>
            <w:noWrap/>
            <w:vAlign w:val="bottom"/>
          </w:tcPr>
          <w:p w:rsidR="00BA375E" w:rsidRPr="00BA375E" w:rsidRDefault="00BA375E" w:rsidP="00BA375E">
            <w:pPr>
              <w:spacing w:after="0"/>
              <w:jc w:val="center"/>
              <w:rPr>
                <w:rFonts w:ascii="Calibri" w:eastAsia="Times New Roman" w:hAnsi="Calibri" w:cs="Calibri"/>
                <w:sz w:val="22"/>
                <w:lang w:val="en-US"/>
              </w:rPr>
            </w:pPr>
            <w:r w:rsidRPr="00BA375E">
              <w:rPr>
                <w:rFonts w:ascii="Calibri" w:hAnsi="Calibri"/>
                <w:sz w:val="22"/>
              </w:rPr>
              <w:t>$82.75</w:t>
            </w:r>
          </w:p>
        </w:tc>
        <w:tc>
          <w:tcPr>
            <w:tcW w:w="2072" w:type="dxa"/>
            <w:noWrap/>
            <w:vAlign w:val="bottom"/>
          </w:tcPr>
          <w:p w:rsidR="00BA375E" w:rsidRPr="00BA375E" w:rsidRDefault="00BA375E" w:rsidP="00BA37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BA375E">
              <w:rPr>
                <w:rFonts w:ascii="Calibri" w:hAnsi="Calibri"/>
                <w:sz w:val="22"/>
              </w:rPr>
              <w:t>$87.33</w:t>
            </w:r>
          </w:p>
        </w:tc>
      </w:tr>
      <w:tr w:rsidR="00BA375E" w:rsidRPr="00BA375E" w:rsidTr="00BA3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noWrap/>
          </w:tcPr>
          <w:p w:rsidR="00BA375E" w:rsidRPr="00BA375E" w:rsidRDefault="00BA375E" w:rsidP="00BA375E">
            <w:pPr>
              <w:spacing w:after="0"/>
              <w:jc w:val="left"/>
              <w:rPr>
                <w:rFonts w:ascii="Calibri" w:eastAsia="Times New Roman" w:hAnsi="Calibri" w:cs="Calibri"/>
                <w:sz w:val="22"/>
                <w:lang w:val="en-US"/>
              </w:rPr>
            </w:pPr>
            <w:r w:rsidRPr="00BA375E">
              <w:rPr>
                <w:rFonts w:ascii="Calibri" w:eastAsia="Times New Roman" w:hAnsi="Calibri" w:cs="Calibri"/>
                <w:sz w:val="22"/>
                <w:lang w:val="en-US"/>
              </w:rPr>
              <w:t>Not-For-Profit</w:t>
            </w:r>
          </w:p>
        </w:tc>
        <w:tc>
          <w:tcPr>
            <w:cnfStyle w:val="000010000000" w:firstRow="0" w:lastRow="0" w:firstColumn="0" w:lastColumn="0" w:oddVBand="1" w:evenVBand="0" w:oddHBand="0" w:evenHBand="0" w:firstRowFirstColumn="0" w:firstRowLastColumn="0" w:lastRowFirstColumn="0" w:lastRowLastColumn="0"/>
            <w:tcW w:w="1755" w:type="dxa"/>
            <w:gridSpan w:val="2"/>
            <w:noWrap/>
            <w:vAlign w:val="bottom"/>
          </w:tcPr>
          <w:p w:rsidR="00BA375E" w:rsidRPr="00BA375E" w:rsidRDefault="00BA375E" w:rsidP="00BA375E">
            <w:pPr>
              <w:spacing w:after="0"/>
              <w:jc w:val="center"/>
              <w:rPr>
                <w:rFonts w:ascii="Calibri" w:eastAsia="Times New Roman" w:hAnsi="Calibri" w:cs="Calibri"/>
                <w:sz w:val="22"/>
                <w:lang w:val="en-US"/>
              </w:rPr>
            </w:pPr>
            <w:r w:rsidRPr="00BA375E">
              <w:rPr>
                <w:rFonts w:ascii="Calibri" w:hAnsi="Calibri"/>
                <w:sz w:val="22"/>
              </w:rPr>
              <w:t>$87.48</w:t>
            </w:r>
          </w:p>
        </w:tc>
        <w:tc>
          <w:tcPr>
            <w:tcW w:w="2072" w:type="dxa"/>
            <w:noWrap/>
            <w:vAlign w:val="bottom"/>
          </w:tcPr>
          <w:p w:rsidR="00BA375E" w:rsidRPr="00BA375E" w:rsidRDefault="00BA375E" w:rsidP="00BA375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BA375E">
              <w:rPr>
                <w:rFonts w:ascii="Calibri" w:hAnsi="Calibri"/>
                <w:sz w:val="22"/>
              </w:rPr>
              <w:t>$88.14</w:t>
            </w:r>
          </w:p>
        </w:tc>
      </w:tr>
      <w:tr w:rsidR="00BA375E" w:rsidRPr="00BA375E" w:rsidTr="00BA375E">
        <w:tc>
          <w:tcPr>
            <w:cnfStyle w:val="001000000000" w:firstRow="0" w:lastRow="0" w:firstColumn="1" w:lastColumn="0" w:oddVBand="0" w:evenVBand="0" w:oddHBand="0" w:evenHBand="0" w:firstRowFirstColumn="0" w:firstRowLastColumn="0" w:lastRowFirstColumn="0" w:lastRowLastColumn="0"/>
            <w:tcW w:w="2977" w:type="dxa"/>
            <w:noWrap/>
          </w:tcPr>
          <w:p w:rsidR="00BA375E" w:rsidRPr="00BA375E" w:rsidRDefault="00BA375E" w:rsidP="00BA375E">
            <w:pPr>
              <w:spacing w:after="0"/>
              <w:jc w:val="left"/>
              <w:rPr>
                <w:rFonts w:ascii="Calibri" w:eastAsia="Times New Roman" w:hAnsi="Calibri" w:cs="Calibri"/>
                <w:sz w:val="22"/>
                <w:lang w:val="en-US"/>
              </w:rPr>
            </w:pPr>
            <w:r w:rsidRPr="00BA375E">
              <w:rPr>
                <w:rFonts w:ascii="Calibri" w:eastAsia="Times New Roman" w:hAnsi="Calibri" w:cs="Calibri"/>
                <w:sz w:val="22"/>
                <w:lang w:val="en-US"/>
              </w:rPr>
              <w:t>Private</w:t>
            </w:r>
          </w:p>
        </w:tc>
        <w:tc>
          <w:tcPr>
            <w:cnfStyle w:val="000010000000" w:firstRow="0" w:lastRow="0" w:firstColumn="0" w:lastColumn="0" w:oddVBand="1" w:evenVBand="0" w:oddHBand="0" w:evenHBand="0" w:firstRowFirstColumn="0" w:firstRowLastColumn="0" w:lastRowFirstColumn="0" w:lastRowLastColumn="0"/>
            <w:tcW w:w="1755" w:type="dxa"/>
            <w:gridSpan w:val="2"/>
            <w:noWrap/>
            <w:vAlign w:val="bottom"/>
          </w:tcPr>
          <w:p w:rsidR="00BA375E" w:rsidRPr="00BA375E" w:rsidRDefault="00BA375E" w:rsidP="00BA375E">
            <w:pPr>
              <w:spacing w:after="0"/>
              <w:jc w:val="center"/>
              <w:rPr>
                <w:rFonts w:ascii="Calibri" w:eastAsia="Times New Roman" w:hAnsi="Calibri" w:cs="Calibri"/>
                <w:sz w:val="22"/>
                <w:lang w:val="en-US"/>
              </w:rPr>
            </w:pPr>
            <w:r w:rsidRPr="00BA375E">
              <w:rPr>
                <w:rFonts w:ascii="Calibri" w:hAnsi="Calibri"/>
                <w:sz w:val="22"/>
              </w:rPr>
              <w:t>$96.23</w:t>
            </w:r>
          </w:p>
        </w:tc>
        <w:tc>
          <w:tcPr>
            <w:tcW w:w="2072" w:type="dxa"/>
            <w:noWrap/>
            <w:vAlign w:val="bottom"/>
          </w:tcPr>
          <w:p w:rsidR="00BA375E" w:rsidRPr="00BA375E" w:rsidRDefault="00BA375E" w:rsidP="00BA37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BA375E">
              <w:rPr>
                <w:rFonts w:ascii="Calibri" w:hAnsi="Calibri"/>
                <w:sz w:val="22"/>
              </w:rPr>
              <w:t>$94.71</w:t>
            </w:r>
          </w:p>
        </w:tc>
      </w:tr>
      <w:tr w:rsidR="00BA375E" w:rsidRPr="00BA375E" w:rsidTr="00477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tcPr>
          <w:p w:rsidR="00BA375E" w:rsidRPr="00BA375E" w:rsidRDefault="00BA375E" w:rsidP="00BA375E">
            <w:pPr>
              <w:spacing w:after="0"/>
              <w:jc w:val="left"/>
              <w:rPr>
                <w:rFonts w:ascii="Calibri" w:eastAsia="Times New Roman" w:hAnsi="Calibri" w:cs="Calibri"/>
                <w:sz w:val="22"/>
                <w:lang w:val="en-US"/>
              </w:rPr>
            </w:pPr>
            <w:r w:rsidRPr="00BA375E">
              <w:rPr>
                <w:rFonts w:ascii="Calibri" w:eastAsia="Times New Roman" w:hAnsi="Calibri" w:cs="Calibri"/>
                <w:sz w:val="22"/>
                <w:lang w:val="en-US"/>
              </w:rPr>
              <w:t>Total</w:t>
            </w:r>
            <w:r>
              <w:rPr>
                <w:rFonts w:ascii="Calibri" w:eastAsia="Times New Roman" w:hAnsi="Calibri" w:cs="Calibri"/>
                <w:sz w:val="22"/>
                <w:lang w:val="en-US"/>
              </w:rPr>
              <w:t xml:space="preserve"> for ADL)</w:t>
            </w:r>
          </w:p>
        </w:tc>
        <w:tc>
          <w:tcPr>
            <w:cnfStyle w:val="000010000000" w:firstRow="0" w:lastRow="0" w:firstColumn="0" w:lastColumn="0" w:oddVBand="1" w:evenVBand="0" w:oddHBand="0" w:evenHBand="0" w:firstRowFirstColumn="0" w:firstRowLastColumn="0" w:lastRowFirstColumn="0" w:lastRowLastColumn="0"/>
            <w:tcW w:w="1755" w:type="dxa"/>
            <w:gridSpan w:val="2"/>
            <w:shd w:val="clear" w:color="auto" w:fill="auto"/>
            <w:noWrap/>
            <w:vAlign w:val="bottom"/>
          </w:tcPr>
          <w:p w:rsidR="00BA375E" w:rsidRPr="00BA375E" w:rsidRDefault="00BA375E" w:rsidP="00BA375E">
            <w:pPr>
              <w:spacing w:after="0"/>
              <w:jc w:val="center"/>
              <w:rPr>
                <w:rFonts w:ascii="Calibri" w:eastAsia="Times New Roman" w:hAnsi="Calibri" w:cs="Calibri"/>
                <w:sz w:val="22"/>
                <w:lang w:val="en-US"/>
              </w:rPr>
            </w:pPr>
            <w:r w:rsidRPr="00BA375E">
              <w:rPr>
                <w:rFonts w:ascii="Calibri" w:hAnsi="Calibri"/>
                <w:b/>
                <w:bCs/>
                <w:sz w:val="22"/>
              </w:rPr>
              <w:t>$90.62</w:t>
            </w:r>
          </w:p>
        </w:tc>
        <w:tc>
          <w:tcPr>
            <w:tcW w:w="2072" w:type="dxa"/>
            <w:shd w:val="clear" w:color="auto" w:fill="auto"/>
            <w:noWrap/>
            <w:vAlign w:val="bottom"/>
          </w:tcPr>
          <w:p w:rsidR="00BA375E" w:rsidRPr="00BA375E" w:rsidRDefault="00BA375E" w:rsidP="00BA375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BA375E">
              <w:rPr>
                <w:rFonts w:ascii="Calibri" w:hAnsi="Calibri"/>
                <w:b/>
                <w:bCs/>
                <w:sz w:val="22"/>
              </w:rPr>
              <w:t>$90.62</w:t>
            </w:r>
          </w:p>
        </w:tc>
      </w:tr>
      <w:tr w:rsidR="00BA375E" w:rsidRPr="00BA375E" w:rsidTr="00BA375E">
        <w:trPr>
          <w:tblHeader/>
        </w:trPr>
        <w:tc>
          <w:tcPr>
            <w:cnfStyle w:val="001000000000" w:firstRow="0" w:lastRow="0" w:firstColumn="1" w:lastColumn="0" w:oddVBand="0" w:evenVBand="0" w:oddHBand="0" w:evenHBand="0" w:firstRowFirstColumn="0" w:firstRowLastColumn="0" w:lastRowFirstColumn="0" w:lastRowLastColumn="0"/>
            <w:tcW w:w="6804" w:type="dxa"/>
            <w:gridSpan w:val="4"/>
            <w:shd w:val="clear" w:color="auto" w:fill="5B9BD5" w:themeFill="accent5"/>
            <w:noWrap/>
            <w:hideMark/>
          </w:tcPr>
          <w:p w:rsidR="00BA375E" w:rsidRPr="00BA375E" w:rsidRDefault="00BA375E" w:rsidP="00BA375E">
            <w:pPr>
              <w:spacing w:after="0"/>
              <w:jc w:val="left"/>
              <w:rPr>
                <w:rFonts w:ascii="Calibri" w:eastAsia="Times New Roman" w:hAnsi="Calibri" w:cs="Calibri"/>
                <w:bCs w:val="0"/>
                <w:color w:val="FFFFFF" w:themeColor="background1"/>
                <w:sz w:val="22"/>
                <w:lang w:val="en-US"/>
              </w:rPr>
            </w:pPr>
            <w:bookmarkStart w:id="555" w:name="_Toc486596369"/>
            <w:bookmarkStart w:id="556" w:name="_Toc486600067"/>
            <w:r w:rsidRPr="00BA375E">
              <w:rPr>
                <w:rFonts w:ascii="Calibri" w:eastAsia="Times New Roman" w:hAnsi="Calibri" w:cs="Calibri"/>
                <w:bCs w:val="0"/>
                <w:color w:val="FFFFFF" w:themeColor="background1"/>
                <w:sz w:val="22"/>
                <w:lang w:val="en-US"/>
              </w:rPr>
              <w:t>Behaviour</w:t>
            </w:r>
            <w:r>
              <w:rPr>
                <w:rFonts w:ascii="Calibri" w:eastAsia="Times New Roman" w:hAnsi="Calibri" w:cs="Calibri"/>
                <w:bCs w:val="0"/>
                <w:color w:val="FFFFFF" w:themeColor="background1"/>
                <w:sz w:val="22"/>
                <w:lang w:val="en-US"/>
              </w:rPr>
              <w:t xml:space="preserve"> (BEH)</w:t>
            </w:r>
          </w:p>
        </w:tc>
      </w:tr>
      <w:tr w:rsidR="00BA375E" w:rsidRPr="00BA375E" w:rsidTr="00477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EEAF6" w:themeFill="accent5" w:themeFillTint="33"/>
            <w:noWrap/>
          </w:tcPr>
          <w:p w:rsidR="00BA375E" w:rsidRPr="00BA375E" w:rsidRDefault="00BA375E" w:rsidP="00BA375E">
            <w:pPr>
              <w:spacing w:after="0"/>
              <w:jc w:val="left"/>
              <w:rPr>
                <w:rFonts w:ascii="Calibri" w:eastAsia="Times New Roman" w:hAnsi="Calibri" w:cs="Calibri"/>
                <w:bCs w:val="0"/>
                <w:sz w:val="22"/>
                <w:lang w:val="en-US"/>
              </w:rPr>
            </w:pPr>
            <w:r w:rsidRPr="00BA375E">
              <w:rPr>
                <w:rFonts w:ascii="Calibri" w:eastAsia="Times New Roman" w:hAnsi="Calibri" w:cs="Calibri"/>
                <w:bCs w:val="0"/>
                <w:sz w:val="22"/>
                <w:lang w:val="en-US"/>
              </w:rPr>
              <w:t>Organisation</w:t>
            </w:r>
          </w:p>
        </w:tc>
        <w:tc>
          <w:tcPr>
            <w:cnfStyle w:val="000010000000" w:firstRow="0" w:lastRow="0" w:firstColumn="0" w:lastColumn="0" w:oddVBand="1" w:evenVBand="0" w:oddHBand="0" w:evenHBand="0" w:firstRowFirstColumn="0" w:firstRowLastColumn="0" w:lastRowFirstColumn="0" w:lastRowLastColumn="0"/>
            <w:tcW w:w="1755" w:type="dxa"/>
            <w:gridSpan w:val="2"/>
            <w:shd w:val="clear" w:color="auto" w:fill="DEEAF6" w:themeFill="accent5" w:themeFillTint="33"/>
            <w:noWrap/>
          </w:tcPr>
          <w:p w:rsidR="00BA375E" w:rsidRPr="00BA375E" w:rsidRDefault="00BA375E" w:rsidP="00BA375E">
            <w:pPr>
              <w:spacing w:after="0"/>
              <w:jc w:val="center"/>
              <w:rPr>
                <w:rFonts w:ascii="Calibri" w:eastAsia="Times New Roman" w:hAnsi="Calibri" w:cs="Calibri"/>
                <w:b/>
                <w:bCs/>
                <w:sz w:val="22"/>
                <w:lang w:val="en-US"/>
              </w:rPr>
            </w:pPr>
            <w:r w:rsidRPr="00BA375E">
              <w:rPr>
                <w:rFonts w:ascii="Calibri" w:eastAsia="Times New Roman" w:hAnsi="Calibri" w:cs="Calibri"/>
                <w:b/>
                <w:bCs/>
                <w:sz w:val="22"/>
                <w:lang w:val="en-US"/>
              </w:rPr>
              <w:t>Current ACFI</w:t>
            </w:r>
          </w:p>
        </w:tc>
        <w:tc>
          <w:tcPr>
            <w:tcW w:w="2072" w:type="dxa"/>
            <w:shd w:val="clear" w:color="auto" w:fill="DEEAF6" w:themeFill="accent5" w:themeFillTint="33"/>
            <w:noWrap/>
          </w:tcPr>
          <w:p w:rsidR="00BA375E" w:rsidRPr="00BA375E" w:rsidRDefault="00BA375E" w:rsidP="00BA375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2"/>
                <w:lang w:val="en-US"/>
              </w:rPr>
            </w:pPr>
            <w:r w:rsidRPr="00BA375E">
              <w:rPr>
                <w:rFonts w:ascii="Calibri" w:eastAsia="Times New Roman" w:hAnsi="Calibri" w:cs="Calibri"/>
                <w:b/>
                <w:bCs/>
                <w:sz w:val="22"/>
                <w:lang w:val="en-US"/>
              </w:rPr>
              <w:t>Proposed R-ACFI</w:t>
            </w:r>
          </w:p>
        </w:tc>
      </w:tr>
      <w:tr w:rsidR="00BA375E" w:rsidRPr="00BA375E" w:rsidTr="00BA375E">
        <w:tc>
          <w:tcPr>
            <w:cnfStyle w:val="001000000000" w:firstRow="0" w:lastRow="0" w:firstColumn="1" w:lastColumn="0" w:oddVBand="0" w:evenVBand="0" w:oddHBand="0" w:evenHBand="0" w:firstRowFirstColumn="0" w:firstRowLastColumn="0" w:lastRowFirstColumn="0" w:lastRowLastColumn="0"/>
            <w:tcW w:w="2977" w:type="dxa"/>
            <w:noWrap/>
          </w:tcPr>
          <w:p w:rsidR="00BA375E" w:rsidRPr="00BA375E" w:rsidRDefault="00BA375E" w:rsidP="00BA375E">
            <w:pPr>
              <w:spacing w:after="0"/>
              <w:jc w:val="left"/>
              <w:rPr>
                <w:rFonts w:ascii="Calibri" w:eastAsia="Times New Roman" w:hAnsi="Calibri" w:cs="Calibri"/>
                <w:sz w:val="22"/>
                <w:lang w:val="en-US"/>
              </w:rPr>
            </w:pPr>
            <w:r w:rsidRPr="00BA375E">
              <w:rPr>
                <w:rFonts w:ascii="Calibri" w:eastAsia="Times New Roman" w:hAnsi="Calibri" w:cs="Calibri"/>
                <w:sz w:val="22"/>
                <w:lang w:val="en-US"/>
              </w:rPr>
              <w:t>Government</w:t>
            </w:r>
          </w:p>
        </w:tc>
        <w:tc>
          <w:tcPr>
            <w:cnfStyle w:val="000010000000" w:firstRow="0" w:lastRow="0" w:firstColumn="0" w:lastColumn="0" w:oddVBand="1" w:evenVBand="0" w:oddHBand="0" w:evenHBand="0" w:firstRowFirstColumn="0" w:firstRowLastColumn="0" w:lastRowFirstColumn="0" w:lastRowLastColumn="0"/>
            <w:tcW w:w="1755" w:type="dxa"/>
            <w:gridSpan w:val="2"/>
            <w:noWrap/>
            <w:vAlign w:val="bottom"/>
          </w:tcPr>
          <w:p w:rsidR="00BA375E" w:rsidRPr="00BA375E" w:rsidRDefault="00BA375E" w:rsidP="00BA375E">
            <w:pPr>
              <w:spacing w:after="0"/>
              <w:jc w:val="center"/>
              <w:rPr>
                <w:rFonts w:ascii="Calibri" w:eastAsia="Times New Roman" w:hAnsi="Calibri" w:cs="Calibri"/>
                <w:sz w:val="22"/>
                <w:lang w:val="en-US"/>
              </w:rPr>
            </w:pPr>
            <w:r w:rsidRPr="00BA375E">
              <w:rPr>
                <w:rFonts w:ascii="Calibri" w:hAnsi="Calibri"/>
                <w:sz w:val="22"/>
              </w:rPr>
              <w:t>$24.59</w:t>
            </w:r>
          </w:p>
        </w:tc>
        <w:tc>
          <w:tcPr>
            <w:tcW w:w="2072" w:type="dxa"/>
            <w:noWrap/>
            <w:vAlign w:val="bottom"/>
          </w:tcPr>
          <w:p w:rsidR="00BA375E" w:rsidRPr="00BA375E" w:rsidRDefault="00BA375E" w:rsidP="00BA37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BA375E">
              <w:rPr>
                <w:rFonts w:ascii="Calibri" w:hAnsi="Calibri"/>
                <w:sz w:val="22"/>
              </w:rPr>
              <w:t>$22.17</w:t>
            </w:r>
          </w:p>
        </w:tc>
      </w:tr>
      <w:tr w:rsidR="00BA375E" w:rsidRPr="00BA375E" w:rsidTr="00BA3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noWrap/>
          </w:tcPr>
          <w:p w:rsidR="00BA375E" w:rsidRPr="00BA375E" w:rsidRDefault="00BA375E" w:rsidP="00BA375E">
            <w:pPr>
              <w:spacing w:after="0"/>
              <w:jc w:val="left"/>
              <w:rPr>
                <w:rFonts w:ascii="Calibri" w:eastAsia="Times New Roman" w:hAnsi="Calibri" w:cs="Calibri"/>
                <w:sz w:val="22"/>
                <w:lang w:val="en-US"/>
              </w:rPr>
            </w:pPr>
            <w:r w:rsidRPr="00BA375E">
              <w:rPr>
                <w:rFonts w:ascii="Calibri" w:eastAsia="Times New Roman" w:hAnsi="Calibri" w:cs="Calibri"/>
                <w:sz w:val="22"/>
                <w:lang w:val="en-US"/>
              </w:rPr>
              <w:t>Not-For-Profit</w:t>
            </w:r>
          </w:p>
        </w:tc>
        <w:tc>
          <w:tcPr>
            <w:cnfStyle w:val="000010000000" w:firstRow="0" w:lastRow="0" w:firstColumn="0" w:lastColumn="0" w:oddVBand="1" w:evenVBand="0" w:oddHBand="0" w:evenHBand="0" w:firstRowFirstColumn="0" w:firstRowLastColumn="0" w:lastRowFirstColumn="0" w:lastRowLastColumn="0"/>
            <w:tcW w:w="1755" w:type="dxa"/>
            <w:gridSpan w:val="2"/>
            <w:noWrap/>
            <w:vAlign w:val="bottom"/>
          </w:tcPr>
          <w:p w:rsidR="00BA375E" w:rsidRPr="00BA375E" w:rsidRDefault="00BA375E" w:rsidP="00BA375E">
            <w:pPr>
              <w:spacing w:after="0"/>
              <w:jc w:val="center"/>
              <w:rPr>
                <w:rFonts w:ascii="Calibri" w:eastAsia="Times New Roman" w:hAnsi="Calibri" w:cs="Calibri"/>
                <w:sz w:val="22"/>
                <w:lang w:val="en-US"/>
              </w:rPr>
            </w:pPr>
            <w:r w:rsidRPr="00BA375E">
              <w:rPr>
                <w:rFonts w:ascii="Calibri" w:hAnsi="Calibri"/>
                <w:sz w:val="22"/>
              </w:rPr>
              <w:t>$26.04</w:t>
            </w:r>
          </w:p>
        </w:tc>
        <w:tc>
          <w:tcPr>
            <w:tcW w:w="2072" w:type="dxa"/>
            <w:noWrap/>
            <w:vAlign w:val="bottom"/>
          </w:tcPr>
          <w:p w:rsidR="00BA375E" w:rsidRPr="00BA375E" w:rsidRDefault="00BA375E" w:rsidP="00BA375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BA375E">
              <w:rPr>
                <w:rFonts w:ascii="Calibri" w:hAnsi="Calibri"/>
                <w:sz w:val="22"/>
              </w:rPr>
              <w:t>$22.95</w:t>
            </w:r>
          </w:p>
        </w:tc>
      </w:tr>
      <w:tr w:rsidR="00BA375E" w:rsidRPr="00BA375E" w:rsidTr="00BA375E">
        <w:tc>
          <w:tcPr>
            <w:cnfStyle w:val="001000000000" w:firstRow="0" w:lastRow="0" w:firstColumn="1" w:lastColumn="0" w:oddVBand="0" w:evenVBand="0" w:oddHBand="0" w:evenHBand="0" w:firstRowFirstColumn="0" w:firstRowLastColumn="0" w:lastRowFirstColumn="0" w:lastRowLastColumn="0"/>
            <w:tcW w:w="2977" w:type="dxa"/>
            <w:noWrap/>
          </w:tcPr>
          <w:p w:rsidR="00BA375E" w:rsidRPr="00BA375E" w:rsidRDefault="00BA375E" w:rsidP="00BA375E">
            <w:pPr>
              <w:spacing w:after="0"/>
              <w:jc w:val="left"/>
              <w:rPr>
                <w:rFonts w:ascii="Calibri" w:eastAsia="Times New Roman" w:hAnsi="Calibri" w:cs="Calibri"/>
                <w:sz w:val="22"/>
                <w:lang w:val="en-US"/>
              </w:rPr>
            </w:pPr>
            <w:r w:rsidRPr="00BA375E">
              <w:rPr>
                <w:rFonts w:ascii="Calibri" w:eastAsia="Times New Roman" w:hAnsi="Calibri" w:cs="Calibri"/>
                <w:sz w:val="22"/>
                <w:lang w:val="en-US"/>
              </w:rPr>
              <w:t>Private</w:t>
            </w:r>
          </w:p>
        </w:tc>
        <w:tc>
          <w:tcPr>
            <w:cnfStyle w:val="000010000000" w:firstRow="0" w:lastRow="0" w:firstColumn="0" w:lastColumn="0" w:oddVBand="1" w:evenVBand="0" w:oddHBand="0" w:evenHBand="0" w:firstRowFirstColumn="0" w:firstRowLastColumn="0" w:lastRowFirstColumn="0" w:lastRowLastColumn="0"/>
            <w:tcW w:w="1755" w:type="dxa"/>
            <w:gridSpan w:val="2"/>
            <w:noWrap/>
            <w:vAlign w:val="bottom"/>
          </w:tcPr>
          <w:p w:rsidR="00BA375E" w:rsidRPr="00BA375E" w:rsidRDefault="00BA375E" w:rsidP="00BA375E">
            <w:pPr>
              <w:spacing w:after="0"/>
              <w:jc w:val="center"/>
              <w:rPr>
                <w:rFonts w:ascii="Calibri" w:eastAsia="Times New Roman" w:hAnsi="Calibri" w:cs="Calibri"/>
                <w:sz w:val="22"/>
                <w:lang w:val="en-US"/>
              </w:rPr>
            </w:pPr>
            <w:r w:rsidRPr="00BA375E">
              <w:rPr>
                <w:rFonts w:ascii="Calibri" w:hAnsi="Calibri"/>
                <w:sz w:val="22"/>
              </w:rPr>
              <w:t>$29.80</w:t>
            </w:r>
          </w:p>
        </w:tc>
        <w:tc>
          <w:tcPr>
            <w:tcW w:w="2072" w:type="dxa"/>
            <w:noWrap/>
            <w:vAlign w:val="bottom"/>
          </w:tcPr>
          <w:p w:rsidR="00BA375E" w:rsidRPr="00BA375E" w:rsidRDefault="00BA375E" w:rsidP="00BA37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BA375E">
              <w:rPr>
                <w:rFonts w:ascii="Calibri" w:hAnsi="Calibri"/>
                <w:sz w:val="22"/>
              </w:rPr>
              <w:t>$25.18</w:t>
            </w:r>
          </w:p>
        </w:tc>
      </w:tr>
      <w:tr w:rsidR="00BA375E" w:rsidRPr="00BA375E" w:rsidTr="00477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tcPr>
          <w:p w:rsidR="00BA375E" w:rsidRPr="00BA375E" w:rsidRDefault="00BA375E" w:rsidP="00BA375E">
            <w:pPr>
              <w:spacing w:after="0"/>
              <w:jc w:val="left"/>
              <w:rPr>
                <w:rFonts w:ascii="Calibri" w:eastAsia="Times New Roman" w:hAnsi="Calibri" w:cs="Calibri"/>
                <w:sz w:val="22"/>
                <w:lang w:val="en-US"/>
              </w:rPr>
            </w:pPr>
            <w:r w:rsidRPr="00BA375E">
              <w:rPr>
                <w:rFonts w:ascii="Calibri" w:eastAsia="Times New Roman" w:hAnsi="Calibri" w:cs="Calibri"/>
                <w:sz w:val="22"/>
                <w:lang w:val="en-US"/>
              </w:rPr>
              <w:t>Total</w:t>
            </w:r>
            <w:r>
              <w:rPr>
                <w:rFonts w:ascii="Calibri" w:eastAsia="Times New Roman" w:hAnsi="Calibri" w:cs="Calibri"/>
                <w:sz w:val="22"/>
                <w:lang w:val="en-US"/>
              </w:rPr>
              <w:t xml:space="preserve"> for BEH</w:t>
            </w:r>
          </w:p>
        </w:tc>
        <w:tc>
          <w:tcPr>
            <w:cnfStyle w:val="000010000000" w:firstRow="0" w:lastRow="0" w:firstColumn="0" w:lastColumn="0" w:oddVBand="1" w:evenVBand="0" w:oddHBand="0" w:evenHBand="0" w:firstRowFirstColumn="0" w:firstRowLastColumn="0" w:lastRowFirstColumn="0" w:lastRowLastColumn="0"/>
            <w:tcW w:w="1755" w:type="dxa"/>
            <w:gridSpan w:val="2"/>
            <w:shd w:val="clear" w:color="auto" w:fill="auto"/>
            <w:noWrap/>
            <w:vAlign w:val="bottom"/>
          </w:tcPr>
          <w:p w:rsidR="00BA375E" w:rsidRPr="00BA375E" w:rsidRDefault="00BA375E" w:rsidP="00BA375E">
            <w:pPr>
              <w:spacing w:after="0"/>
              <w:jc w:val="center"/>
              <w:rPr>
                <w:rFonts w:ascii="Calibri" w:eastAsia="Times New Roman" w:hAnsi="Calibri" w:cs="Calibri"/>
                <w:sz w:val="22"/>
                <w:lang w:val="en-US"/>
              </w:rPr>
            </w:pPr>
            <w:r w:rsidRPr="00BA375E">
              <w:rPr>
                <w:rFonts w:ascii="Calibri" w:hAnsi="Calibri"/>
                <w:b/>
                <w:bCs/>
                <w:sz w:val="22"/>
              </w:rPr>
              <w:t>$27.41</w:t>
            </w:r>
          </w:p>
        </w:tc>
        <w:tc>
          <w:tcPr>
            <w:tcW w:w="2072" w:type="dxa"/>
            <w:shd w:val="clear" w:color="auto" w:fill="auto"/>
            <w:noWrap/>
            <w:vAlign w:val="bottom"/>
          </w:tcPr>
          <w:p w:rsidR="00BA375E" w:rsidRPr="00BA375E" w:rsidRDefault="00BA375E" w:rsidP="00BA375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BA375E">
              <w:rPr>
                <w:rFonts w:ascii="Calibri" w:hAnsi="Calibri"/>
                <w:b/>
                <w:bCs/>
                <w:sz w:val="22"/>
              </w:rPr>
              <w:t>$23.77</w:t>
            </w:r>
          </w:p>
        </w:tc>
      </w:tr>
      <w:tr w:rsidR="00BA375E" w:rsidRPr="00BA375E" w:rsidTr="00BA375E">
        <w:trPr>
          <w:tblHeader/>
        </w:trPr>
        <w:tc>
          <w:tcPr>
            <w:cnfStyle w:val="001000000000" w:firstRow="0" w:lastRow="0" w:firstColumn="1" w:lastColumn="0" w:oddVBand="0" w:evenVBand="0" w:oddHBand="0" w:evenHBand="0" w:firstRowFirstColumn="0" w:firstRowLastColumn="0" w:lastRowFirstColumn="0" w:lastRowLastColumn="0"/>
            <w:tcW w:w="6804" w:type="dxa"/>
            <w:gridSpan w:val="4"/>
            <w:shd w:val="clear" w:color="auto" w:fill="5B9BD5" w:themeFill="accent5"/>
            <w:noWrap/>
            <w:hideMark/>
          </w:tcPr>
          <w:p w:rsidR="00BA375E" w:rsidRPr="00BA375E" w:rsidRDefault="00BA375E" w:rsidP="00BA375E">
            <w:pPr>
              <w:spacing w:after="0"/>
              <w:jc w:val="left"/>
              <w:rPr>
                <w:rFonts w:ascii="Calibri" w:eastAsia="Times New Roman" w:hAnsi="Calibri" w:cs="Calibri"/>
                <w:bCs w:val="0"/>
                <w:color w:val="FFFFFF" w:themeColor="background1"/>
                <w:sz w:val="22"/>
                <w:lang w:val="en-US"/>
              </w:rPr>
            </w:pPr>
            <w:r w:rsidRPr="00BA375E">
              <w:rPr>
                <w:rFonts w:ascii="Calibri" w:eastAsia="Times New Roman" w:hAnsi="Calibri" w:cs="Calibri"/>
                <w:bCs w:val="0"/>
                <w:color w:val="FFFFFF" w:themeColor="background1"/>
                <w:sz w:val="22"/>
                <w:lang w:val="en-US"/>
              </w:rPr>
              <w:t>Complex Health Care</w:t>
            </w:r>
            <w:r>
              <w:rPr>
                <w:rFonts w:ascii="Calibri" w:eastAsia="Times New Roman" w:hAnsi="Calibri" w:cs="Calibri"/>
                <w:bCs w:val="0"/>
                <w:color w:val="FFFFFF" w:themeColor="background1"/>
                <w:sz w:val="22"/>
                <w:lang w:val="en-US"/>
              </w:rPr>
              <w:t xml:space="preserve"> (CHC)</w:t>
            </w:r>
          </w:p>
        </w:tc>
      </w:tr>
      <w:tr w:rsidR="00BA375E" w:rsidRPr="00BA375E" w:rsidTr="00477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EEAF6" w:themeFill="accent5" w:themeFillTint="33"/>
            <w:noWrap/>
          </w:tcPr>
          <w:p w:rsidR="00BA375E" w:rsidRPr="00BA375E" w:rsidRDefault="00BA375E" w:rsidP="00BA375E">
            <w:pPr>
              <w:spacing w:after="0"/>
              <w:jc w:val="left"/>
              <w:rPr>
                <w:rFonts w:ascii="Calibri" w:eastAsia="Times New Roman" w:hAnsi="Calibri" w:cs="Calibri"/>
                <w:bCs w:val="0"/>
                <w:sz w:val="22"/>
                <w:lang w:val="en-US"/>
              </w:rPr>
            </w:pPr>
            <w:r w:rsidRPr="00BA375E">
              <w:rPr>
                <w:rFonts w:ascii="Calibri" w:eastAsia="Times New Roman" w:hAnsi="Calibri" w:cs="Calibri"/>
                <w:bCs w:val="0"/>
                <w:sz w:val="22"/>
                <w:lang w:val="en-US"/>
              </w:rPr>
              <w:t>Organisation</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DEEAF6" w:themeFill="accent5" w:themeFillTint="33"/>
          </w:tcPr>
          <w:p w:rsidR="00BA375E" w:rsidRPr="00BA375E" w:rsidRDefault="00BA375E" w:rsidP="00BA375E">
            <w:pPr>
              <w:spacing w:after="0"/>
              <w:jc w:val="center"/>
              <w:rPr>
                <w:rFonts w:ascii="Calibri" w:eastAsia="Times New Roman" w:hAnsi="Calibri" w:cs="Calibri"/>
                <w:b/>
                <w:bCs/>
                <w:sz w:val="22"/>
                <w:lang w:val="en-US"/>
              </w:rPr>
            </w:pPr>
            <w:r w:rsidRPr="00BA375E">
              <w:rPr>
                <w:rFonts w:ascii="Calibri" w:eastAsia="Times New Roman" w:hAnsi="Calibri" w:cs="Calibri"/>
                <w:b/>
                <w:bCs/>
                <w:sz w:val="22"/>
                <w:lang w:val="en-US"/>
              </w:rPr>
              <w:t>Current ACFI</w:t>
            </w:r>
          </w:p>
        </w:tc>
        <w:tc>
          <w:tcPr>
            <w:tcW w:w="2126" w:type="dxa"/>
            <w:gridSpan w:val="2"/>
            <w:shd w:val="clear" w:color="auto" w:fill="DEEAF6" w:themeFill="accent5" w:themeFillTint="33"/>
          </w:tcPr>
          <w:p w:rsidR="00BA375E" w:rsidRPr="00BA375E" w:rsidRDefault="00BA375E" w:rsidP="00BA375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2"/>
                <w:lang w:val="en-US"/>
              </w:rPr>
            </w:pPr>
            <w:r w:rsidRPr="00BA375E">
              <w:rPr>
                <w:rFonts w:ascii="Calibri" w:eastAsia="Times New Roman" w:hAnsi="Calibri" w:cs="Calibri"/>
                <w:b/>
                <w:bCs/>
                <w:sz w:val="22"/>
                <w:lang w:val="en-US"/>
              </w:rPr>
              <w:t>Proposed R-ACFI</w:t>
            </w:r>
          </w:p>
        </w:tc>
      </w:tr>
      <w:tr w:rsidR="00BA375E" w:rsidRPr="00BA375E" w:rsidTr="00BA375E">
        <w:tc>
          <w:tcPr>
            <w:cnfStyle w:val="001000000000" w:firstRow="0" w:lastRow="0" w:firstColumn="1" w:lastColumn="0" w:oddVBand="0" w:evenVBand="0" w:oddHBand="0" w:evenHBand="0" w:firstRowFirstColumn="0" w:firstRowLastColumn="0" w:lastRowFirstColumn="0" w:lastRowLastColumn="0"/>
            <w:tcW w:w="2977" w:type="dxa"/>
            <w:noWrap/>
          </w:tcPr>
          <w:p w:rsidR="00BA375E" w:rsidRPr="00BA375E" w:rsidRDefault="00BA375E" w:rsidP="00BA375E">
            <w:pPr>
              <w:spacing w:after="0"/>
              <w:jc w:val="left"/>
              <w:rPr>
                <w:rFonts w:ascii="Calibri" w:eastAsia="Times New Roman" w:hAnsi="Calibri" w:cs="Calibri"/>
                <w:sz w:val="22"/>
                <w:lang w:val="en-US"/>
              </w:rPr>
            </w:pPr>
            <w:r w:rsidRPr="00BA375E">
              <w:rPr>
                <w:rFonts w:ascii="Calibri" w:eastAsia="Times New Roman" w:hAnsi="Calibri" w:cs="Calibri"/>
                <w:sz w:val="22"/>
                <w:lang w:val="en-US"/>
              </w:rPr>
              <w:t>Government</w:t>
            </w:r>
          </w:p>
        </w:tc>
        <w:tc>
          <w:tcPr>
            <w:cnfStyle w:val="000010000000" w:firstRow="0" w:lastRow="0" w:firstColumn="0" w:lastColumn="0" w:oddVBand="1" w:evenVBand="0" w:oddHBand="0" w:evenHBand="0" w:firstRowFirstColumn="0" w:firstRowLastColumn="0" w:lastRowFirstColumn="0" w:lastRowLastColumn="0"/>
            <w:tcW w:w="1701" w:type="dxa"/>
            <w:vAlign w:val="bottom"/>
          </w:tcPr>
          <w:p w:rsidR="00BA375E" w:rsidRPr="00BA375E" w:rsidRDefault="00BA375E" w:rsidP="00BA375E">
            <w:pPr>
              <w:spacing w:after="0"/>
              <w:jc w:val="center"/>
              <w:rPr>
                <w:rFonts w:ascii="Calibri" w:eastAsia="Times New Roman" w:hAnsi="Calibri" w:cs="Calibri"/>
                <w:sz w:val="22"/>
                <w:lang w:val="en-US"/>
              </w:rPr>
            </w:pPr>
            <w:r w:rsidRPr="00BA375E">
              <w:rPr>
                <w:rFonts w:ascii="Calibri" w:hAnsi="Calibri"/>
                <w:sz w:val="22"/>
              </w:rPr>
              <w:t>$44.39</w:t>
            </w:r>
          </w:p>
        </w:tc>
        <w:tc>
          <w:tcPr>
            <w:tcW w:w="2126" w:type="dxa"/>
            <w:gridSpan w:val="2"/>
            <w:vAlign w:val="bottom"/>
          </w:tcPr>
          <w:p w:rsidR="00BA375E" w:rsidRPr="00BA375E" w:rsidRDefault="00BA375E" w:rsidP="00BA37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BA375E">
              <w:rPr>
                <w:rFonts w:ascii="Calibri" w:hAnsi="Calibri"/>
                <w:sz w:val="22"/>
              </w:rPr>
              <w:t>$42.17</w:t>
            </w:r>
          </w:p>
        </w:tc>
      </w:tr>
      <w:tr w:rsidR="00BA375E" w:rsidRPr="00BA375E" w:rsidTr="00BA3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noWrap/>
          </w:tcPr>
          <w:p w:rsidR="00BA375E" w:rsidRPr="00BA375E" w:rsidRDefault="00BA375E" w:rsidP="00BA375E">
            <w:pPr>
              <w:spacing w:after="0"/>
              <w:jc w:val="left"/>
              <w:rPr>
                <w:rFonts w:ascii="Calibri" w:eastAsia="Times New Roman" w:hAnsi="Calibri" w:cs="Calibri"/>
                <w:sz w:val="22"/>
                <w:lang w:val="en-US"/>
              </w:rPr>
            </w:pPr>
            <w:r w:rsidRPr="00BA375E">
              <w:rPr>
                <w:rFonts w:ascii="Calibri" w:eastAsia="Times New Roman" w:hAnsi="Calibri" w:cs="Calibri"/>
                <w:sz w:val="22"/>
                <w:lang w:val="en-US"/>
              </w:rPr>
              <w:t>Not-For-Profit</w:t>
            </w:r>
          </w:p>
        </w:tc>
        <w:tc>
          <w:tcPr>
            <w:cnfStyle w:val="000010000000" w:firstRow="0" w:lastRow="0" w:firstColumn="0" w:lastColumn="0" w:oddVBand="1" w:evenVBand="0" w:oddHBand="0" w:evenHBand="0" w:firstRowFirstColumn="0" w:firstRowLastColumn="0" w:lastRowFirstColumn="0" w:lastRowLastColumn="0"/>
            <w:tcW w:w="1701" w:type="dxa"/>
            <w:vAlign w:val="bottom"/>
          </w:tcPr>
          <w:p w:rsidR="00BA375E" w:rsidRPr="00BA375E" w:rsidRDefault="00BA375E" w:rsidP="00BA375E">
            <w:pPr>
              <w:spacing w:after="0"/>
              <w:jc w:val="center"/>
              <w:rPr>
                <w:rFonts w:ascii="Calibri" w:eastAsia="Times New Roman" w:hAnsi="Calibri" w:cs="Calibri"/>
                <w:sz w:val="22"/>
                <w:lang w:val="en-US"/>
              </w:rPr>
            </w:pPr>
            <w:r w:rsidRPr="00BA375E">
              <w:rPr>
                <w:rFonts w:ascii="Calibri" w:hAnsi="Calibri"/>
                <w:sz w:val="22"/>
              </w:rPr>
              <w:t>$51.70</w:t>
            </w:r>
          </w:p>
        </w:tc>
        <w:tc>
          <w:tcPr>
            <w:tcW w:w="2126" w:type="dxa"/>
            <w:gridSpan w:val="2"/>
            <w:vAlign w:val="bottom"/>
          </w:tcPr>
          <w:p w:rsidR="00BA375E" w:rsidRPr="00BA375E" w:rsidRDefault="00BA375E" w:rsidP="00BA375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BA375E">
              <w:rPr>
                <w:rFonts w:ascii="Calibri" w:hAnsi="Calibri"/>
                <w:sz w:val="22"/>
              </w:rPr>
              <w:t>$42.11</w:t>
            </w:r>
          </w:p>
        </w:tc>
      </w:tr>
      <w:tr w:rsidR="00BA375E" w:rsidRPr="00BA375E" w:rsidTr="00BA375E">
        <w:tc>
          <w:tcPr>
            <w:cnfStyle w:val="001000000000" w:firstRow="0" w:lastRow="0" w:firstColumn="1" w:lastColumn="0" w:oddVBand="0" w:evenVBand="0" w:oddHBand="0" w:evenHBand="0" w:firstRowFirstColumn="0" w:firstRowLastColumn="0" w:lastRowFirstColumn="0" w:lastRowLastColumn="0"/>
            <w:tcW w:w="2977" w:type="dxa"/>
            <w:noWrap/>
          </w:tcPr>
          <w:p w:rsidR="00BA375E" w:rsidRPr="00BA375E" w:rsidRDefault="00BA375E" w:rsidP="00BA375E">
            <w:pPr>
              <w:spacing w:after="0"/>
              <w:jc w:val="left"/>
              <w:rPr>
                <w:rFonts w:ascii="Calibri" w:eastAsia="Times New Roman" w:hAnsi="Calibri" w:cs="Calibri"/>
                <w:sz w:val="22"/>
                <w:lang w:val="en-US"/>
              </w:rPr>
            </w:pPr>
            <w:r w:rsidRPr="00BA375E">
              <w:rPr>
                <w:rFonts w:ascii="Calibri" w:eastAsia="Times New Roman" w:hAnsi="Calibri" w:cs="Calibri"/>
                <w:sz w:val="22"/>
                <w:lang w:val="en-US"/>
              </w:rPr>
              <w:t>Private</w:t>
            </w:r>
          </w:p>
        </w:tc>
        <w:tc>
          <w:tcPr>
            <w:cnfStyle w:val="000010000000" w:firstRow="0" w:lastRow="0" w:firstColumn="0" w:lastColumn="0" w:oddVBand="1" w:evenVBand="0" w:oddHBand="0" w:evenHBand="0" w:firstRowFirstColumn="0" w:firstRowLastColumn="0" w:lastRowFirstColumn="0" w:lastRowLastColumn="0"/>
            <w:tcW w:w="1701" w:type="dxa"/>
            <w:vAlign w:val="bottom"/>
          </w:tcPr>
          <w:p w:rsidR="00BA375E" w:rsidRPr="00BA375E" w:rsidRDefault="00BA375E" w:rsidP="00BA375E">
            <w:pPr>
              <w:spacing w:after="0"/>
              <w:jc w:val="center"/>
              <w:rPr>
                <w:rFonts w:ascii="Calibri" w:eastAsia="Times New Roman" w:hAnsi="Calibri" w:cs="Calibri"/>
                <w:sz w:val="22"/>
                <w:lang w:val="en-US"/>
              </w:rPr>
            </w:pPr>
            <w:r w:rsidRPr="00BA375E">
              <w:rPr>
                <w:rFonts w:ascii="Calibri" w:hAnsi="Calibri"/>
                <w:sz w:val="22"/>
              </w:rPr>
              <w:t>$58.52</w:t>
            </w:r>
          </w:p>
        </w:tc>
        <w:tc>
          <w:tcPr>
            <w:tcW w:w="2126" w:type="dxa"/>
            <w:gridSpan w:val="2"/>
            <w:vAlign w:val="bottom"/>
          </w:tcPr>
          <w:p w:rsidR="00BA375E" w:rsidRPr="00BA375E" w:rsidRDefault="00BA375E" w:rsidP="00BA37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BA375E">
              <w:rPr>
                <w:rFonts w:ascii="Calibri" w:hAnsi="Calibri"/>
                <w:sz w:val="22"/>
              </w:rPr>
              <w:t>$43.44</w:t>
            </w:r>
          </w:p>
        </w:tc>
      </w:tr>
      <w:tr w:rsidR="00BA375E" w:rsidRPr="00BA375E" w:rsidTr="00477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tcPr>
          <w:p w:rsidR="00BA375E" w:rsidRPr="00BA375E" w:rsidRDefault="00BA375E" w:rsidP="00BA375E">
            <w:pPr>
              <w:spacing w:after="0"/>
              <w:jc w:val="left"/>
              <w:rPr>
                <w:rFonts w:ascii="Calibri" w:eastAsia="Times New Roman" w:hAnsi="Calibri" w:cs="Calibri"/>
                <w:sz w:val="22"/>
                <w:lang w:val="en-US"/>
              </w:rPr>
            </w:pPr>
            <w:r w:rsidRPr="00BA375E">
              <w:rPr>
                <w:rFonts w:ascii="Calibri" w:eastAsia="Times New Roman" w:hAnsi="Calibri" w:cs="Calibri"/>
                <w:sz w:val="22"/>
                <w:lang w:val="en-US"/>
              </w:rPr>
              <w:t>Total</w:t>
            </w:r>
            <w:r>
              <w:rPr>
                <w:rFonts w:ascii="Calibri" w:eastAsia="Times New Roman" w:hAnsi="Calibri" w:cs="Calibri"/>
                <w:sz w:val="22"/>
                <w:lang w:val="en-US"/>
              </w:rPr>
              <w:t xml:space="preserve"> for CHC</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auto"/>
            <w:vAlign w:val="bottom"/>
          </w:tcPr>
          <w:p w:rsidR="00BA375E" w:rsidRPr="00BA375E" w:rsidRDefault="00BA375E" w:rsidP="00BA375E">
            <w:pPr>
              <w:spacing w:after="0"/>
              <w:jc w:val="center"/>
              <w:rPr>
                <w:rFonts w:ascii="Calibri" w:eastAsia="Times New Roman" w:hAnsi="Calibri" w:cs="Calibri"/>
                <w:sz w:val="22"/>
                <w:lang w:val="en-US"/>
              </w:rPr>
            </w:pPr>
            <w:r w:rsidRPr="00BA375E">
              <w:rPr>
                <w:rFonts w:ascii="Calibri" w:hAnsi="Calibri"/>
                <w:b/>
                <w:bCs/>
                <w:sz w:val="22"/>
              </w:rPr>
              <w:t>$53.98</w:t>
            </w:r>
          </w:p>
        </w:tc>
        <w:tc>
          <w:tcPr>
            <w:tcW w:w="2126" w:type="dxa"/>
            <w:gridSpan w:val="2"/>
            <w:shd w:val="clear" w:color="auto" w:fill="auto"/>
            <w:vAlign w:val="bottom"/>
          </w:tcPr>
          <w:p w:rsidR="00BA375E" w:rsidRPr="00BA375E" w:rsidRDefault="00BA375E" w:rsidP="00BA375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BA375E">
              <w:rPr>
                <w:rFonts w:ascii="Calibri" w:hAnsi="Calibri"/>
                <w:b/>
                <w:bCs/>
                <w:sz w:val="22"/>
              </w:rPr>
              <w:t>$42.62</w:t>
            </w:r>
          </w:p>
        </w:tc>
      </w:tr>
      <w:tr w:rsidR="00BA375E" w:rsidRPr="00BA375E" w:rsidTr="00BA375E">
        <w:trPr>
          <w:tblHeader/>
        </w:trPr>
        <w:tc>
          <w:tcPr>
            <w:cnfStyle w:val="001000000000" w:firstRow="0" w:lastRow="0" w:firstColumn="1" w:lastColumn="0" w:oddVBand="0" w:evenVBand="0" w:oddHBand="0" w:evenHBand="0" w:firstRowFirstColumn="0" w:firstRowLastColumn="0" w:lastRowFirstColumn="0" w:lastRowLastColumn="0"/>
            <w:tcW w:w="6804" w:type="dxa"/>
            <w:gridSpan w:val="4"/>
            <w:shd w:val="clear" w:color="auto" w:fill="5B9BD5" w:themeFill="accent5"/>
            <w:noWrap/>
            <w:hideMark/>
          </w:tcPr>
          <w:p w:rsidR="00BA375E" w:rsidRPr="00BA375E" w:rsidRDefault="00BA375E" w:rsidP="00BA375E">
            <w:pPr>
              <w:spacing w:after="0"/>
              <w:jc w:val="left"/>
              <w:rPr>
                <w:rFonts w:ascii="Calibri" w:eastAsia="Times New Roman" w:hAnsi="Calibri" w:cs="Calibri"/>
                <w:bCs w:val="0"/>
                <w:color w:val="FFFFFF" w:themeColor="background1"/>
                <w:sz w:val="22"/>
                <w:lang w:val="en-US"/>
              </w:rPr>
            </w:pPr>
            <w:r w:rsidRPr="00BA375E">
              <w:rPr>
                <w:rFonts w:ascii="Calibri" w:eastAsia="Times New Roman" w:hAnsi="Calibri" w:cs="Calibri"/>
                <w:bCs w:val="0"/>
                <w:color w:val="FFFFFF" w:themeColor="background1"/>
                <w:sz w:val="22"/>
                <w:lang w:val="en-US"/>
              </w:rPr>
              <w:t>Therapy Program</w:t>
            </w:r>
          </w:p>
        </w:tc>
      </w:tr>
      <w:tr w:rsidR="00BA375E" w:rsidRPr="00BA375E" w:rsidTr="00477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EEAF6" w:themeFill="accent5" w:themeFillTint="33"/>
            <w:noWrap/>
          </w:tcPr>
          <w:p w:rsidR="00BA375E" w:rsidRPr="00BA375E" w:rsidRDefault="00BA375E" w:rsidP="00BA375E">
            <w:pPr>
              <w:spacing w:after="0"/>
              <w:jc w:val="left"/>
              <w:rPr>
                <w:rFonts w:ascii="Calibri" w:eastAsia="Times New Roman" w:hAnsi="Calibri" w:cs="Calibri"/>
                <w:bCs w:val="0"/>
                <w:sz w:val="22"/>
                <w:lang w:val="en-US"/>
              </w:rPr>
            </w:pPr>
            <w:r w:rsidRPr="00BA375E">
              <w:rPr>
                <w:rFonts w:ascii="Calibri" w:eastAsia="Times New Roman" w:hAnsi="Calibri" w:cs="Calibri"/>
                <w:bCs w:val="0"/>
                <w:sz w:val="22"/>
                <w:lang w:val="en-US"/>
              </w:rPr>
              <w:t>Organisation</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DEEAF6" w:themeFill="accent5" w:themeFillTint="33"/>
          </w:tcPr>
          <w:p w:rsidR="00BA375E" w:rsidRPr="00BA375E" w:rsidRDefault="00BA375E" w:rsidP="00BA375E">
            <w:pPr>
              <w:spacing w:after="0"/>
              <w:jc w:val="center"/>
              <w:rPr>
                <w:rFonts w:ascii="Calibri" w:eastAsia="Times New Roman" w:hAnsi="Calibri" w:cs="Calibri"/>
                <w:b/>
                <w:bCs/>
                <w:sz w:val="22"/>
                <w:lang w:val="en-US"/>
              </w:rPr>
            </w:pPr>
            <w:r w:rsidRPr="00BA375E">
              <w:rPr>
                <w:rFonts w:ascii="Calibri" w:eastAsia="Times New Roman" w:hAnsi="Calibri" w:cs="Calibri"/>
                <w:b/>
                <w:bCs/>
                <w:sz w:val="22"/>
                <w:lang w:val="en-US"/>
              </w:rPr>
              <w:t>Current ACFI</w:t>
            </w:r>
          </w:p>
        </w:tc>
        <w:tc>
          <w:tcPr>
            <w:tcW w:w="2126" w:type="dxa"/>
            <w:gridSpan w:val="2"/>
            <w:shd w:val="clear" w:color="auto" w:fill="DEEAF6" w:themeFill="accent5" w:themeFillTint="33"/>
          </w:tcPr>
          <w:p w:rsidR="00BA375E" w:rsidRPr="00BA375E" w:rsidRDefault="00BA375E" w:rsidP="00BA375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2"/>
                <w:lang w:val="en-US"/>
              </w:rPr>
            </w:pPr>
            <w:r w:rsidRPr="00BA375E">
              <w:rPr>
                <w:rFonts w:ascii="Calibri" w:eastAsia="Times New Roman" w:hAnsi="Calibri" w:cs="Calibri"/>
                <w:b/>
                <w:bCs/>
                <w:sz w:val="22"/>
                <w:lang w:val="en-US"/>
              </w:rPr>
              <w:t>Proposed R-ACFI</w:t>
            </w:r>
          </w:p>
        </w:tc>
      </w:tr>
      <w:tr w:rsidR="00BA375E" w:rsidRPr="00BA375E" w:rsidTr="00BA375E">
        <w:tc>
          <w:tcPr>
            <w:cnfStyle w:val="001000000000" w:firstRow="0" w:lastRow="0" w:firstColumn="1" w:lastColumn="0" w:oddVBand="0" w:evenVBand="0" w:oddHBand="0" w:evenHBand="0" w:firstRowFirstColumn="0" w:firstRowLastColumn="0" w:lastRowFirstColumn="0" w:lastRowLastColumn="0"/>
            <w:tcW w:w="2977" w:type="dxa"/>
            <w:noWrap/>
          </w:tcPr>
          <w:p w:rsidR="00BA375E" w:rsidRPr="00BA375E" w:rsidRDefault="00BA375E" w:rsidP="00BA375E">
            <w:pPr>
              <w:spacing w:after="0"/>
              <w:jc w:val="left"/>
              <w:rPr>
                <w:rFonts w:ascii="Calibri" w:eastAsia="Times New Roman" w:hAnsi="Calibri" w:cs="Calibri"/>
                <w:sz w:val="22"/>
                <w:lang w:val="en-US"/>
              </w:rPr>
            </w:pPr>
            <w:r w:rsidRPr="00BA375E">
              <w:rPr>
                <w:rFonts w:ascii="Calibri" w:eastAsia="Times New Roman" w:hAnsi="Calibri" w:cs="Calibri"/>
                <w:sz w:val="22"/>
                <w:lang w:val="en-US"/>
              </w:rPr>
              <w:t>Government</w:t>
            </w:r>
          </w:p>
        </w:tc>
        <w:tc>
          <w:tcPr>
            <w:cnfStyle w:val="000010000000" w:firstRow="0" w:lastRow="0" w:firstColumn="0" w:lastColumn="0" w:oddVBand="1" w:evenVBand="0" w:oddHBand="0" w:evenHBand="0" w:firstRowFirstColumn="0" w:firstRowLastColumn="0" w:lastRowFirstColumn="0" w:lastRowLastColumn="0"/>
            <w:tcW w:w="1701" w:type="dxa"/>
          </w:tcPr>
          <w:p w:rsidR="00BA375E" w:rsidRPr="003054B3" w:rsidRDefault="003054B3" w:rsidP="00BA375E">
            <w:pPr>
              <w:spacing w:after="0"/>
              <w:jc w:val="center"/>
              <w:rPr>
                <w:rFonts w:ascii="Calibri" w:hAnsi="Calibri"/>
                <w:i/>
                <w:sz w:val="22"/>
              </w:rPr>
            </w:pPr>
            <w:r w:rsidRPr="003054B3">
              <w:rPr>
                <w:rFonts w:ascii="Calibri" w:hAnsi="Calibri"/>
                <w:i/>
                <w:sz w:val="22"/>
              </w:rPr>
              <w:t>Not applicable</w:t>
            </w:r>
          </w:p>
        </w:tc>
        <w:tc>
          <w:tcPr>
            <w:tcW w:w="2126" w:type="dxa"/>
            <w:gridSpan w:val="2"/>
            <w:vAlign w:val="bottom"/>
          </w:tcPr>
          <w:p w:rsidR="00BA375E" w:rsidRPr="00BA375E" w:rsidRDefault="00BA375E" w:rsidP="00BA37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BA375E">
              <w:rPr>
                <w:rFonts w:ascii="Calibri" w:hAnsi="Calibri"/>
                <w:sz w:val="22"/>
              </w:rPr>
              <w:t>$15.00</w:t>
            </w:r>
          </w:p>
        </w:tc>
      </w:tr>
      <w:tr w:rsidR="003054B3" w:rsidRPr="00BA375E" w:rsidTr="00BA3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noWrap/>
          </w:tcPr>
          <w:p w:rsidR="003054B3" w:rsidRPr="00BA375E" w:rsidRDefault="003054B3" w:rsidP="00BA375E">
            <w:pPr>
              <w:spacing w:after="0"/>
              <w:jc w:val="left"/>
              <w:rPr>
                <w:rFonts w:ascii="Calibri" w:eastAsia="Times New Roman" w:hAnsi="Calibri" w:cs="Calibri"/>
                <w:sz w:val="22"/>
                <w:lang w:val="en-US"/>
              </w:rPr>
            </w:pPr>
            <w:r w:rsidRPr="00BA375E">
              <w:rPr>
                <w:rFonts w:ascii="Calibri" w:eastAsia="Times New Roman" w:hAnsi="Calibri" w:cs="Calibri"/>
                <w:sz w:val="22"/>
                <w:lang w:val="en-US"/>
              </w:rPr>
              <w:t>Not-For-Profit</w:t>
            </w:r>
          </w:p>
        </w:tc>
        <w:tc>
          <w:tcPr>
            <w:cnfStyle w:val="000010000000" w:firstRow="0" w:lastRow="0" w:firstColumn="0" w:lastColumn="0" w:oddVBand="1" w:evenVBand="0" w:oddHBand="0" w:evenHBand="0" w:firstRowFirstColumn="0" w:firstRowLastColumn="0" w:lastRowFirstColumn="0" w:lastRowLastColumn="0"/>
            <w:tcW w:w="1701" w:type="dxa"/>
          </w:tcPr>
          <w:p w:rsidR="003054B3" w:rsidRPr="00BA375E" w:rsidRDefault="003054B3" w:rsidP="00BA375E">
            <w:pPr>
              <w:spacing w:after="0"/>
              <w:jc w:val="center"/>
              <w:rPr>
                <w:rFonts w:ascii="Calibri" w:hAnsi="Calibri"/>
                <w:sz w:val="22"/>
              </w:rPr>
            </w:pPr>
            <w:r w:rsidRPr="003054B3">
              <w:rPr>
                <w:rFonts w:ascii="Calibri" w:hAnsi="Calibri"/>
                <w:i/>
                <w:sz w:val="22"/>
              </w:rPr>
              <w:t>Not applicable</w:t>
            </w:r>
          </w:p>
        </w:tc>
        <w:tc>
          <w:tcPr>
            <w:tcW w:w="2126" w:type="dxa"/>
            <w:gridSpan w:val="2"/>
            <w:vAlign w:val="bottom"/>
          </w:tcPr>
          <w:p w:rsidR="003054B3" w:rsidRPr="00BA375E" w:rsidRDefault="003054B3" w:rsidP="00BA375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BA375E">
              <w:rPr>
                <w:rFonts w:ascii="Calibri" w:hAnsi="Calibri"/>
                <w:sz w:val="22"/>
              </w:rPr>
              <w:t>$15.00</w:t>
            </w:r>
          </w:p>
        </w:tc>
      </w:tr>
      <w:tr w:rsidR="003054B3" w:rsidRPr="00BA375E" w:rsidTr="00BA375E">
        <w:tc>
          <w:tcPr>
            <w:cnfStyle w:val="001000000000" w:firstRow="0" w:lastRow="0" w:firstColumn="1" w:lastColumn="0" w:oddVBand="0" w:evenVBand="0" w:oddHBand="0" w:evenHBand="0" w:firstRowFirstColumn="0" w:firstRowLastColumn="0" w:lastRowFirstColumn="0" w:lastRowLastColumn="0"/>
            <w:tcW w:w="2977" w:type="dxa"/>
            <w:noWrap/>
          </w:tcPr>
          <w:p w:rsidR="003054B3" w:rsidRPr="00BA375E" w:rsidRDefault="003054B3" w:rsidP="00BA375E">
            <w:pPr>
              <w:spacing w:after="0"/>
              <w:jc w:val="left"/>
              <w:rPr>
                <w:rFonts w:ascii="Calibri" w:eastAsia="Times New Roman" w:hAnsi="Calibri" w:cs="Calibri"/>
                <w:sz w:val="22"/>
                <w:lang w:val="en-US"/>
              </w:rPr>
            </w:pPr>
            <w:r w:rsidRPr="00BA375E">
              <w:rPr>
                <w:rFonts w:ascii="Calibri" w:eastAsia="Times New Roman" w:hAnsi="Calibri" w:cs="Calibri"/>
                <w:sz w:val="22"/>
                <w:lang w:val="en-US"/>
              </w:rPr>
              <w:t>Private</w:t>
            </w:r>
          </w:p>
        </w:tc>
        <w:tc>
          <w:tcPr>
            <w:cnfStyle w:val="000010000000" w:firstRow="0" w:lastRow="0" w:firstColumn="0" w:lastColumn="0" w:oddVBand="1" w:evenVBand="0" w:oddHBand="0" w:evenHBand="0" w:firstRowFirstColumn="0" w:firstRowLastColumn="0" w:lastRowFirstColumn="0" w:lastRowLastColumn="0"/>
            <w:tcW w:w="1701" w:type="dxa"/>
          </w:tcPr>
          <w:p w:rsidR="003054B3" w:rsidRPr="00BA375E" w:rsidRDefault="003054B3" w:rsidP="00BA375E">
            <w:pPr>
              <w:spacing w:after="0"/>
              <w:jc w:val="center"/>
              <w:rPr>
                <w:rFonts w:ascii="Calibri" w:hAnsi="Calibri"/>
                <w:sz w:val="22"/>
              </w:rPr>
            </w:pPr>
            <w:r w:rsidRPr="003054B3">
              <w:rPr>
                <w:rFonts w:ascii="Calibri" w:hAnsi="Calibri"/>
                <w:i/>
                <w:sz w:val="22"/>
              </w:rPr>
              <w:t>Not applicable</w:t>
            </w:r>
          </w:p>
        </w:tc>
        <w:tc>
          <w:tcPr>
            <w:tcW w:w="2126" w:type="dxa"/>
            <w:gridSpan w:val="2"/>
            <w:vAlign w:val="bottom"/>
          </w:tcPr>
          <w:p w:rsidR="003054B3" w:rsidRPr="00BA375E" w:rsidRDefault="003054B3" w:rsidP="00BA37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BA375E">
              <w:rPr>
                <w:rFonts w:ascii="Calibri" w:hAnsi="Calibri"/>
                <w:sz w:val="22"/>
              </w:rPr>
              <w:t>$15.00</w:t>
            </w:r>
          </w:p>
        </w:tc>
      </w:tr>
      <w:tr w:rsidR="003054B3" w:rsidRPr="00BA375E" w:rsidTr="00477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tcPr>
          <w:p w:rsidR="003054B3" w:rsidRPr="00BA375E" w:rsidRDefault="003054B3" w:rsidP="00BA375E">
            <w:pPr>
              <w:spacing w:after="0"/>
              <w:jc w:val="left"/>
              <w:rPr>
                <w:rFonts w:ascii="Calibri" w:eastAsia="Times New Roman" w:hAnsi="Calibri" w:cs="Calibri"/>
                <w:sz w:val="22"/>
                <w:lang w:val="en-US"/>
              </w:rPr>
            </w:pPr>
            <w:r w:rsidRPr="00BA375E">
              <w:rPr>
                <w:rFonts w:ascii="Calibri" w:eastAsia="Times New Roman" w:hAnsi="Calibri" w:cs="Calibri"/>
                <w:sz w:val="22"/>
                <w:lang w:val="en-US"/>
              </w:rPr>
              <w:t>Total</w:t>
            </w:r>
            <w:r>
              <w:rPr>
                <w:rFonts w:ascii="Calibri" w:eastAsia="Times New Roman" w:hAnsi="Calibri" w:cs="Calibri"/>
                <w:sz w:val="22"/>
                <w:lang w:val="en-US"/>
              </w:rPr>
              <w:t xml:space="preserve"> for Therapy Program</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auto"/>
          </w:tcPr>
          <w:p w:rsidR="003054B3" w:rsidRPr="00BA375E" w:rsidRDefault="003054B3" w:rsidP="00BA375E">
            <w:pPr>
              <w:spacing w:after="0"/>
              <w:jc w:val="center"/>
              <w:rPr>
                <w:rFonts w:ascii="Calibri" w:hAnsi="Calibri"/>
                <w:b/>
                <w:bCs/>
                <w:sz w:val="22"/>
              </w:rPr>
            </w:pPr>
            <w:r w:rsidRPr="003054B3">
              <w:rPr>
                <w:rFonts w:ascii="Calibri" w:hAnsi="Calibri"/>
                <w:i/>
                <w:sz w:val="22"/>
              </w:rPr>
              <w:t>Not applicable</w:t>
            </w:r>
          </w:p>
        </w:tc>
        <w:tc>
          <w:tcPr>
            <w:tcW w:w="2126" w:type="dxa"/>
            <w:gridSpan w:val="2"/>
            <w:shd w:val="clear" w:color="auto" w:fill="auto"/>
            <w:vAlign w:val="bottom"/>
          </w:tcPr>
          <w:p w:rsidR="003054B3" w:rsidRPr="00BA375E" w:rsidRDefault="003054B3" w:rsidP="00BA375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2"/>
                <w:lang w:val="en-US"/>
              </w:rPr>
            </w:pPr>
            <w:r w:rsidRPr="00BA375E">
              <w:rPr>
                <w:rFonts w:ascii="Calibri" w:hAnsi="Calibri"/>
                <w:b/>
                <w:bCs/>
                <w:sz w:val="22"/>
              </w:rPr>
              <w:t>$15.00</w:t>
            </w:r>
          </w:p>
        </w:tc>
      </w:tr>
    </w:tbl>
    <w:p w:rsidR="00980F62" w:rsidRDefault="00256E3D" w:rsidP="005E0BCA">
      <w:pPr>
        <w:pStyle w:val="Heading2-Chapter8"/>
      </w:pPr>
      <w:bookmarkStart w:id="557" w:name="_Toc491426060"/>
      <w:r>
        <w:lastRenderedPageBreak/>
        <w:t>T</w:t>
      </w:r>
      <w:r w:rsidRPr="006964C0">
        <w:t>he</w:t>
      </w:r>
      <w:r>
        <w:t xml:space="preserve"> ADL Domain Funding Classification</w:t>
      </w:r>
      <w:bookmarkEnd w:id="555"/>
      <w:bookmarkEnd w:id="556"/>
      <w:bookmarkEnd w:id="557"/>
    </w:p>
    <w:p w:rsidR="00980F62" w:rsidRDefault="00256E3D" w:rsidP="0092046D">
      <w:pPr>
        <w:pStyle w:val="Heading3-Chapter83"/>
        <w:spacing w:before="0"/>
      </w:pPr>
      <w:bookmarkStart w:id="558" w:name="_Toc486596370"/>
      <w:bookmarkStart w:id="559" w:name="_Toc486600068"/>
      <w:r w:rsidRPr="0092046D">
        <w:t>The ADL Domain</w:t>
      </w:r>
      <w:bookmarkEnd w:id="558"/>
      <w:bookmarkEnd w:id="559"/>
    </w:p>
    <w:p w:rsidR="00980F62" w:rsidRDefault="00256E3D" w:rsidP="00E00E7A">
      <w:r>
        <w:rPr>
          <w:lang w:eastAsia="en-AU"/>
        </w:rPr>
        <w:t xml:space="preserve">The rationale and changes to the ADL domain are </w:t>
      </w:r>
      <w:r w:rsidR="003B5228">
        <w:rPr>
          <w:lang w:eastAsia="en-AU"/>
        </w:rPr>
        <w:t xml:space="preserve">discussed </w:t>
      </w:r>
      <w:r>
        <w:rPr>
          <w:lang w:eastAsia="en-AU"/>
        </w:rPr>
        <w:t xml:space="preserve">in </w:t>
      </w:r>
      <w:r w:rsidR="003B5228">
        <w:rPr>
          <w:lang w:eastAsia="en-AU"/>
        </w:rPr>
        <w:t xml:space="preserve">detail in </w:t>
      </w:r>
      <w:r>
        <w:rPr>
          <w:lang w:eastAsia="en-AU"/>
        </w:rPr>
        <w:t>Chapters 3</w:t>
      </w:r>
      <w:r w:rsidR="003B5228">
        <w:rPr>
          <w:lang w:eastAsia="en-AU"/>
        </w:rPr>
        <w:t xml:space="preserve"> and </w:t>
      </w:r>
      <w:r>
        <w:rPr>
          <w:lang w:eastAsia="en-AU"/>
        </w:rPr>
        <w:t xml:space="preserve">4 </w:t>
      </w:r>
      <w:r w:rsidR="003B5228">
        <w:rPr>
          <w:lang w:eastAsia="en-AU"/>
        </w:rPr>
        <w:t>of this report.</w:t>
      </w:r>
    </w:p>
    <w:p w:rsidR="00256E3D" w:rsidRPr="00007D4E" w:rsidRDefault="00256E3D" w:rsidP="00F55415">
      <w:pPr>
        <w:spacing w:after="0" w:line="259" w:lineRule="auto"/>
        <w:rPr>
          <w:rStyle w:val="Strong"/>
        </w:rPr>
      </w:pPr>
      <w:r w:rsidRPr="00007D4E">
        <w:rPr>
          <w:rStyle w:val="Strong"/>
        </w:rPr>
        <w:t>The Activities of Daily Living (ADL) Domain</w:t>
      </w:r>
    </w:p>
    <w:p w:rsidR="00980F62" w:rsidRDefault="00256E3D" w:rsidP="00E8676E">
      <w:pPr>
        <w:spacing w:line="259" w:lineRule="auto"/>
      </w:pPr>
      <w:r>
        <w:t xml:space="preserve">The ADL domain is the most fundamental layer in the R-ACFI (and all residential </w:t>
      </w:r>
      <w:r w:rsidR="00070C22">
        <w:t xml:space="preserve">care </w:t>
      </w:r>
      <w:r>
        <w:t xml:space="preserve">payment models internationally) as care needs in this area are the most resource intensive. ADL care needs </w:t>
      </w:r>
      <w:r w:rsidR="00070C22">
        <w:t>for residents are ever-</w:t>
      </w:r>
      <w:r>
        <w:t xml:space="preserve">present and represent an ongoing and unpredictable demand on staffing resources. Resident directed care will also impact on the cost of </w:t>
      </w:r>
      <w:r w:rsidR="00070C22">
        <w:t>providing assistance in the ADL domain</w:t>
      </w:r>
      <w:r>
        <w:t>.</w:t>
      </w:r>
    </w:p>
    <w:p w:rsidR="00980F62" w:rsidRDefault="00256E3D" w:rsidP="00E8676E">
      <w:pPr>
        <w:spacing w:line="259" w:lineRule="auto"/>
      </w:pPr>
      <w:r>
        <w:t xml:space="preserve">When investigating improvements to the ACFI, it was apparent that the ADL domain required special attention. </w:t>
      </w:r>
      <w:r w:rsidR="00070C22">
        <w:t xml:space="preserve">The ADL question frequencies had become skewed with a high proportion of residents rated in the ‘D’ category (Physical Assistance) of most questions. </w:t>
      </w:r>
      <w:r>
        <w:t xml:space="preserve">The latest best practice approach to scale development </w:t>
      </w:r>
      <w:r w:rsidR="00070C22">
        <w:t xml:space="preserve">(IRT) </w:t>
      </w:r>
      <w:r>
        <w:t>was therefore used to re-calibrate th</w:t>
      </w:r>
      <w:r w:rsidR="00070C22">
        <w:t>e</w:t>
      </w:r>
      <w:r>
        <w:t xml:space="preserve"> domain and improve the discrimination of the items.</w:t>
      </w:r>
    </w:p>
    <w:p w:rsidR="00980F62" w:rsidRDefault="00070C22" w:rsidP="00E8676E">
      <w:r>
        <w:t xml:space="preserve">The IRT analysis sought to create a latent dimension for ADL based on the modified ACFI checklist data. The A, B, C, D ratings were not used as the distributions were highly skewed and were effectively composites of the checklists. As the </w:t>
      </w:r>
      <w:r w:rsidR="00751CD3">
        <w:t>checklists were deemed the best indicators of care needs and resource requirements, they were used for the analysis</w:t>
      </w:r>
      <w:r>
        <w:t>.</w:t>
      </w:r>
    </w:p>
    <w:p w:rsidR="00256E3D" w:rsidRDefault="00256E3D" w:rsidP="00E8676E">
      <w:pPr>
        <w:spacing w:line="259" w:lineRule="auto"/>
      </w:pPr>
      <w:r>
        <w:t xml:space="preserve">Since IRT is not an additive (regression) model, the analysis can proceed even if there are cases with missing data. </w:t>
      </w:r>
      <w:r w:rsidR="00751CD3">
        <w:t xml:space="preserve">There is a requirement for </w:t>
      </w:r>
      <w:r>
        <w:t xml:space="preserve">sufficient spread of items and persons across the range of the scale being developed. Classical test theory (CTT) methods cannot </w:t>
      </w:r>
      <w:r w:rsidR="00751CD3">
        <w:t>accommodate</w:t>
      </w:r>
      <w:r>
        <w:t xml:space="preserve"> missing data since procedures</w:t>
      </w:r>
      <w:r w:rsidR="00751CD3">
        <w:t xml:space="preserve">, such as </w:t>
      </w:r>
      <w:r>
        <w:t xml:space="preserve">factor </w:t>
      </w:r>
      <w:r w:rsidR="008B7E20">
        <w:t>analysis depends</w:t>
      </w:r>
      <w:r>
        <w:t xml:space="preserve"> on a correlation matrix (or covariance matrix) that excludes any case with data missing on any item. IRT handles skewed data, unlike factor analysis which assumes normally distributed items. More details on the IRT analysis can be found in Appendix 8 and Chapter 2.</w:t>
      </w:r>
    </w:p>
    <w:p w:rsidR="00980F62" w:rsidRDefault="00256E3D" w:rsidP="00E8676E">
      <w:r>
        <w:t>The R-ACFI is recommended to have four ADL domain levels (Low, Medium, High, Very High), with the highest level receiving increased funding compared to the current AC</w:t>
      </w:r>
      <w:r w:rsidR="00035991">
        <w:t>FI (ACFI $110.55 vs. R-ACFI $124</w:t>
      </w:r>
      <w:r>
        <w:t>.</w:t>
      </w:r>
      <w:r w:rsidR="00035991">
        <w:t>73</w:t>
      </w:r>
      <w:r>
        <w:t>). In addition, it is recommended that all approved residents in aged care facilities should (at a minimum) receive the base payment of the ADL lowest funding l</w:t>
      </w:r>
      <w:r w:rsidR="00035991">
        <w:t>evel (</w:t>
      </w:r>
      <w:r w:rsidR="00BB3F00">
        <w:t xml:space="preserve">current </w:t>
      </w:r>
      <w:r w:rsidR="00035991">
        <w:t>ACFI $36.65 vs. R-ACFI $44.54</w:t>
      </w:r>
      <w:r>
        <w:t>).</w:t>
      </w:r>
    </w:p>
    <w:p w:rsidR="00980F62" w:rsidRDefault="00256E3D" w:rsidP="00E8676E">
      <w:r>
        <w:t xml:space="preserve">The R-ACFI ADL domain weightings as determined by IRT analysis are shown in </w:t>
      </w:r>
      <w:hyperlink w:anchor="Tab0806" w:history="1">
        <w:r w:rsidRPr="00E205EB">
          <w:rPr>
            <w:rStyle w:val="Hyperlink"/>
          </w:rPr>
          <w:t>Table 8.6</w:t>
        </w:r>
      </w:hyperlink>
      <w:r>
        <w:t>.</w:t>
      </w:r>
      <w:r w:rsidR="007A576E">
        <w:t xml:space="preserve"> </w:t>
      </w:r>
      <w:r>
        <w:t xml:space="preserve">The R-ACFI funding categories, amounts, cut points and comparison with the current ACFI funding can be seen in </w:t>
      </w:r>
      <w:hyperlink w:anchor="Tab0807" w:history="1">
        <w:r w:rsidRPr="00E205EB">
          <w:rPr>
            <w:rStyle w:val="Hyperlink"/>
          </w:rPr>
          <w:t>Table 8.7</w:t>
        </w:r>
      </w:hyperlink>
      <w:r>
        <w:t>.</w:t>
      </w:r>
    </w:p>
    <w:p w:rsidR="00980F62" w:rsidRDefault="00256E3D" w:rsidP="00E8676E">
      <w:r>
        <w:t xml:space="preserve">The overall distribution of R-ACFI ADL funding outcomes by 50 funding bands </w:t>
      </w:r>
      <w:r w:rsidR="00751CD3">
        <w:t xml:space="preserve">(created for illustrative purposes) </w:t>
      </w:r>
      <w:r>
        <w:t xml:space="preserve">is shown in </w:t>
      </w:r>
      <w:hyperlink w:anchor="Tab0808" w:history="1">
        <w:r w:rsidRPr="00E205EB">
          <w:rPr>
            <w:rStyle w:val="Hyperlink"/>
          </w:rPr>
          <w:t>Table 8.8</w:t>
        </w:r>
      </w:hyperlink>
      <w:r>
        <w:t xml:space="preserve">. </w:t>
      </w:r>
      <w:r w:rsidRPr="001F2199">
        <w:t>The R-ACFI funding was sorted into increasing levels and grouped into 50 bands of approximately 3,500 records. The average R-ACFI and ACFI funding within these bands was then calculated</w:t>
      </w:r>
      <w:r>
        <w:t>.</w:t>
      </w:r>
      <w:r w:rsidR="00751CD3">
        <w:t xml:space="preserve"> </w:t>
      </w:r>
      <w:hyperlink w:anchor="Fig0804" w:history="1">
        <w:r w:rsidRPr="00BA046B">
          <w:rPr>
            <w:rStyle w:val="Hyperlink"/>
          </w:rPr>
          <w:t>Figure 8.4</w:t>
        </w:r>
      </w:hyperlink>
      <w:r>
        <w:t xml:space="preserve"> shows how the R-ACFI ADL funding distribution compares with the current ACFI funding.</w:t>
      </w:r>
    </w:p>
    <w:p w:rsidR="00043DB4" w:rsidRDefault="009F643E" w:rsidP="00043DB4">
      <w:pPr>
        <w:pStyle w:val="Caption"/>
        <w:keepNext/>
      </w:pPr>
      <w:bookmarkStart w:id="560" w:name="_Toc495416373"/>
      <w:bookmarkStart w:id="561" w:name="Tab0806"/>
      <w:r>
        <w:t>Table 8.</w:t>
      </w:r>
      <w:r w:rsidR="009A3F5A">
        <w:fldChar w:fldCharType="begin"/>
      </w:r>
      <w:r w:rsidR="009A3F5A">
        <w:instrText xml:space="preserve"> SEQ Table_8. \* ARABIC </w:instrText>
      </w:r>
      <w:r w:rsidR="009A3F5A">
        <w:fldChar w:fldCharType="separate"/>
      </w:r>
      <w:r w:rsidR="00856E49">
        <w:rPr>
          <w:noProof/>
        </w:rPr>
        <w:t>6</w:t>
      </w:r>
      <w:r w:rsidR="009A3F5A">
        <w:rPr>
          <w:noProof/>
        </w:rPr>
        <w:fldChar w:fldCharType="end"/>
      </w:r>
      <w:r>
        <w:t xml:space="preserve">: </w:t>
      </w:r>
      <w:r w:rsidRPr="009F643E">
        <w:t xml:space="preserve">R-ACFI ADL Questions Weights </w:t>
      </w:r>
      <w:bookmarkEnd w:id="560"/>
    </w:p>
    <w:tbl>
      <w:tblPr>
        <w:tblStyle w:val="ListTable3-Accent515"/>
        <w:tblW w:w="4962"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8.6 is a list of details of the domain weightings for the revised aged care funding instrument (R-ACFI). This table is to be read left to right, top to bottom, noting the table is split into the nine activities for daily living (ADL) questions:&#10;1. Nutrition&#10;2. Mobility - Transfers&#10;3. Mobility - Locomotion&#10;4. Hygiene - Dressing&#10;5. Hygiene – Washing&#10;6. Toileting – Use&#10;7. Toileting - Completion&#10;8. Urinary - continence&#10;9. Faecal – continence."/>
      </w:tblPr>
      <w:tblGrid>
        <w:gridCol w:w="2552"/>
        <w:gridCol w:w="2410"/>
      </w:tblGrid>
      <w:tr w:rsidR="00283235" w:rsidRPr="007960E9" w:rsidTr="0028323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52" w:type="dxa"/>
            <w:noWrap/>
            <w:hideMark/>
          </w:tcPr>
          <w:bookmarkEnd w:id="561"/>
          <w:p w:rsidR="00283235" w:rsidRPr="000A09A6" w:rsidRDefault="00283235" w:rsidP="00A51750">
            <w:pPr>
              <w:spacing w:after="0"/>
              <w:rPr>
                <w:rFonts w:ascii="Calibri" w:eastAsia="Times New Roman" w:hAnsi="Calibri" w:cs="Calibri"/>
                <w:sz w:val="22"/>
                <w:lang w:val="en-US"/>
              </w:rPr>
            </w:pPr>
            <w:r>
              <w:rPr>
                <w:rFonts w:ascii="Calibri" w:eastAsia="Times New Roman" w:hAnsi="Calibri" w:cs="Calibri"/>
                <w:sz w:val="22"/>
                <w:lang w:val="en-US"/>
              </w:rPr>
              <w:t>R-ACFI ADL Scale</w:t>
            </w:r>
          </w:p>
        </w:tc>
        <w:tc>
          <w:tcPr>
            <w:cnfStyle w:val="000010000000" w:firstRow="0" w:lastRow="0" w:firstColumn="0" w:lastColumn="0" w:oddVBand="1" w:evenVBand="0" w:oddHBand="0" w:evenHBand="0" w:firstRowFirstColumn="0" w:firstRowLastColumn="0" w:lastRowFirstColumn="0" w:lastRowLastColumn="0"/>
            <w:tcW w:w="2410" w:type="dxa"/>
            <w:noWrap/>
            <w:hideMark/>
          </w:tcPr>
          <w:p w:rsidR="00283235" w:rsidRPr="000A09A6" w:rsidRDefault="00283235" w:rsidP="00283235">
            <w:pPr>
              <w:spacing w:after="0"/>
              <w:jc w:val="center"/>
              <w:rPr>
                <w:rFonts w:ascii="Calibri" w:eastAsia="Times New Roman" w:hAnsi="Calibri" w:cs="Calibri"/>
                <w:sz w:val="22"/>
                <w:lang w:val="en-US"/>
              </w:rPr>
            </w:pPr>
            <w:r w:rsidRPr="000A09A6">
              <w:rPr>
                <w:rFonts w:ascii="Calibri" w:eastAsia="Times New Roman" w:hAnsi="Calibri" w:cs="Calibri"/>
                <w:sz w:val="22"/>
                <w:lang w:val="en-US"/>
              </w:rPr>
              <w:t>Coef</w:t>
            </w:r>
            <w:r>
              <w:rPr>
                <w:rFonts w:ascii="Calibri" w:eastAsia="Times New Roman" w:hAnsi="Calibri" w:cs="Calibri"/>
                <w:sz w:val="22"/>
                <w:lang w:val="en-US"/>
              </w:rPr>
              <w:t>ficiency Weights</w:t>
            </w:r>
          </w:p>
        </w:tc>
      </w:tr>
      <w:tr w:rsidR="00283235" w:rsidRPr="007960E9" w:rsidTr="00283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gridSpan w:val="2"/>
            <w:shd w:val="clear" w:color="auto" w:fill="DEEAF6" w:themeFill="accent5" w:themeFillTint="33"/>
            <w:noWrap/>
            <w:hideMark/>
          </w:tcPr>
          <w:p w:rsidR="00283235" w:rsidRPr="006F2F59" w:rsidRDefault="00283235" w:rsidP="00283235">
            <w:pPr>
              <w:spacing w:after="0"/>
              <w:jc w:val="left"/>
              <w:rPr>
                <w:rFonts w:ascii="Times New Roman" w:eastAsia="Times New Roman" w:hAnsi="Times New Roman" w:cs="Times New Roman"/>
                <w:b w:val="0"/>
                <w:bCs w:val="0"/>
                <w:sz w:val="20"/>
                <w:szCs w:val="20"/>
                <w:lang w:val="en-US"/>
              </w:rPr>
            </w:pPr>
            <w:r w:rsidRPr="006F2F59">
              <w:rPr>
                <w:rFonts w:ascii="Calibri" w:eastAsia="Times New Roman" w:hAnsi="Calibri" w:cs="Calibri"/>
                <w:sz w:val="22"/>
                <w:lang w:val="en-US"/>
              </w:rPr>
              <w:t>Nutrition</w:t>
            </w:r>
          </w:p>
        </w:tc>
      </w:tr>
      <w:tr w:rsidR="00283235" w:rsidRPr="007960E9" w:rsidTr="00283235">
        <w:tc>
          <w:tcPr>
            <w:cnfStyle w:val="001000000000" w:firstRow="0" w:lastRow="0" w:firstColumn="1" w:lastColumn="0" w:oddVBand="0" w:evenVBand="0" w:oddHBand="0" w:evenHBand="0" w:firstRowFirstColumn="0" w:firstRowLastColumn="0" w:lastRowFirstColumn="0" w:lastRowLastColumn="0"/>
            <w:tcW w:w="2552" w:type="dxa"/>
            <w:noWrap/>
            <w:hideMark/>
          </w:tcPr>
          <w:p w:rsidR="00283235" w:rsidRPr="006F2F59" w:rsidRDefault="00283235" w:rsidP="006F2F59">
            <w:pPr>
              <w:spacing w:after="0"/>
              <w:rPr>
                <w:rFonts w:ascii="Calibri" w:eastAsia="Times New Roman" w:hAnsi="Calibri" w:cs="Calibri"/>
                <w:b w:val="0"/>
                <w:sz w:val="22"/>
                <w:lang w:val="en-US"/>
              </w:rPr>
            </w:pPr>
            <w:r w:rsidRPr="006F2F59">
              <w:rPr>
                <w:rFonts w:ascii="Calibri" w:eastAsia="Times New Roman" w:hAnsi="Calibri" w:cs="Calibri"/>
                <w:b w:val="0"/>
                <w:sz w:val="22"/>
                <w:lang w:val="en-US"/>
              </w:rPr>
              <w:t>Monitoring</w:t>
            </w:r>
          </w:p>
        </w:tc>
        <w:tc>
          <w:tcPr>
            <w:cnfStyle w:val="000010000000" w:firstRow="0" w:lastRow="0" w:firstColumn="0" w:lastColumn="0" w:oddVBand="1" w:evenVBand="0" w:oddHBand="0" w:evenHBand="0" w:firstRowFirstColumn="0" w:firstRowLastColumn="0" w:lastRowFirstColumn="0" w:lastRowLastColumn="0"/>
            <w:tcW w:w="2410" w:type="dxa"/>
            <w:noWrap/>
            <w:vAlign w:val="bottom"/>
          </w:tcPr>
          <w:p w:rsidR="00283235" w:rsidRPr="006F2F59" w:rsidRDefault="00283235" w:rsidP="00283235">
            <w:pPr>
              <w:spacing w:after="0"/>
              <w:jc w:val="center"/>
              <w:rPr>
                <w:rFonts w:ascii="Calibri" w:eastAsia="Times New Roman" w:hAnsi="Calibri" w:cs="Calibri"/>
                <w:b/>
                <w:sz w:val="22"/>
                <w:lang w:val="en-US"/>
              </w:rPr>
            </w:pPr>
            <w:r w:rsidRPr="006F2F59">
              <w:rPr>
                <w:rFonts w:ascii="Calibri" w:hAnsi="Calibri"/>
                <w:sz w:val="22"/>
              </w:rPr>
              <w:t>1.48</w:t>
            </w:r>
          </w:p>
        </w:tc>
      </w:tr>
      <w:tr w:rsidR="00283235" w:rsidRPr="007960E9" w:rsidTr="00283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noWrap/>
            <w:hideMark/>
          </w:tcPr>
          <w:p w:rsidR="00283235" w:rsidRPr="006F2F59" w:rsidRDefault="00283235" w:rsidP="006F2F59">
            <w:pPr>
              <w:spacing w:after="0"/>
              <w:rPr>
                <w:rFonts w:ascii="Calibri" w:eastAsia="Times New Roman" w:hAnsi="Calibri" w:cs="Calibri"/>
                <w:b w:val="0"/>
                <w:sz w:val="22"/>
                <w:lang w:val="en-US"/>
              </w:rPr>
            </w:pPr>
            <w:r w:rsidRPr="006F2F59">
              <w:rPr>
                <w:rFonts w:ascii="Calibri" w:eastAsia="Times New Roman" w:hAnsi="Calibri" w:cs="Calibri"/>
                <w:b w:val="0"/>
                <w:sz w:val="22"/>
                <w:lang w:val="en-US"/>
              </w:rPr>
              <w:t>Moderate Assistance</w:t>
            </w:r>
          </w:p>
        </w:tc>
        <w:tc>
          <w:tcPr>
            <w:cnfStyle w:val="000010000000" w:firstRow="0" w:lastRow="0" w:firstColumn="0" w:lastColumn="0" w:oddVBand="1" w:evenVBand="0" w:oddHBand="0" w:evenHBand="0" w:firstRowFirstColumn="0" w:firstRowLastColumn="0" w:lastRowFirstColumn="0" w:lastRowLastColumn="0"/>
            <w:tcW w:w="2410" w:type="dxa"/>
            <w:noWrap/>
            <w:vAlign w:val="bottom"/>
          </w:tcPr>
          <w:p w:rsidR="00283235" w:rsidRPr="006F2F59" w:rsidRDefault="00283235" w:rsidP="00283235">
            <w:pPr>
              <w:spacing w:after="0"/>
              <w:jc w:val="center"/>
              <w:rPr>
                <w:rFonts w:ascii="Calibri" w:eastAsia="Times New Roman" w:hAnsi="Calibri" w:cs="Calibri"/>
                <w:b/>
                <w:sz w:val="22"/>
                <w:lang w:val="en-US"/>
              </w:rPr>
            </w:pPr>
            <w:r w:rsidRPr="006F2F59">
              <w:rPr>
                <w:rFonts w:ascii="Calibri" w:hAnsi="Calibri"/>
                <w:sz w:val="22"/>
              </w:rPr>
              <w:t>3.73</w:t>
            </w:r>
          </w:p>
        </w:tc>
      </w:tr>
      <w:tr w:rsidR="00283235" w:rsidRPr="007960E9" w:rsidTr="00283235">
        <w:tc>
          <w:tcPr>
            <w:cnfStyle w:val="001000000000" w:firstRow="0" w:lastRow="0" w:firstColumn="1" w:lastColumn="0" w:oddVBand="0" w:evenVBand="0" w:oddHBand="0" w:evenHBand="0" w:firstRowFirstColumn="0" w:firstRowLastColumn="0" w:lastRowFirstColumn="0" w:lastRowLastColumn="0"/>
            <w:tcW w:w="2552" w:type="dxa"/>
            <w:noWrap/>
            <w:hideMark/>
          </w:tcPr>
          <w:p w:rsidR="00283235" w:rsidRPr="006F2F59" w:rsidRDefault="00283235" w:rsidP="006F2F59">
            <w:pPr>
              <w:spacing w:after="0"/>
              <w:rPr>
                <w:rFonts w:ascii="Calibri" w:eastAsia="Times New Roman" w:hAnsi="Calibri" w:cs="Calibri"/>
                <w:b w:val="0"/>
                <w:sz w:val="22"/>
                <w:lang w:val="en-US"/>
              </w:rPr>
            </w:pPr>
            <w:r w:rsidRPr="006F2F59">
              <w:rPr>
                <w:rFonts w:ascii="Calibri" w:eastAsia="Times New Roman" w:hAnsi="Calibri" w:cs="Calibri"/>
                <w:b w:val="0"/>
                <w:sz w:val="22"/>
                <w:lang w:val="en-US"/>
              </w:rPr>
              <w:t>Full Assistance</w:t>
            </w:r>
          </w:p>
        </w:tc>
        <w:tc>
          <w:tcPr>
            <w:cnfStyle w:val="000010000000" w:firstRow="0" w:lastRow="0" w:firstColumn="0" w:lastColumn="0" w:oddVBand="1" w:evenVBand="0" w:oddHBand="0" w:evenHBand="0" w:firstRowFirstColumn="0" w:firstRowLastColumn="0" w:lastRowFirstColumn="0" w:lastRowLastColumn="0"/>
            <w:tcW w:w="2410" w:type="dxa"/>
            <w:noWrap/>
            <w:vAlign w:val="bottom"/>
          </w:tcPr>
          <w:p w:rsidR="00283235" w:rsidRPr="006F2F59" w:rsidRDefault="00283235" w:rsidP="00283235">
            <w:pPr>
              <w:spacing w:after="0"/>
              <w:jc w:val="center"/>
              <w:rPr>
                <w:rFonts w:ascii="Calibri" w:eastAsia="Times New Roman" w:hAnsi="Calibri" w:cs="Calibri"/>
                <w:b/>
                <w:sz w:val="22"/>
                <w:lang w:val="en-US"/>
              </w:rPr>
            </w:pPr>
            <w:r w:rsidRPr="006F2F59">
              <w:rPr>
                <w:rFonts w:ascii="Calibri" w:hAnsi="Calibri"/>
                <w:sz w:val="22"/>
              </w:rPr>
              <w:t>10.75</w:t>
            </w:r>
          </w:p>
        </w:tc>
      </w:tr>
      <w:tr w:rsidR="00283235" w:rsidRPr="007960E9" w:rsidTr="00283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gridSpan w:val="2"/>
            <w:shd w:val="clear" w:color="auto" w:fill="DEEAF6" w:themeFill="accent5" w:themeFillTint="33"/>
            <w:noWrap/>
            <w:hideMark/>
          </w:tcPr>
          <w:p w:rsidR="00283235" w:rsidRPr="006F2F59" w:rsidRDefault="00283235" w:rsidP="00283235">
            <w:pPr>
              <w:spacing w:after="0"/>
              <w:jc w:val="left"/>
              <w:rPr>
                <w:rFonts w:ascii="Times New Roman" w:eastAsia="Times New Roman" w:hAnsi="Times New Roman" w:cs="Times New Roman"/>
                <w:b w:val="0"/>
                <w:bCs w:val="0"/>
                <w:sz w:val="20"/>
                <w:szCs w:val="20"/>
                <w:lang w:val="en-US"/>
              </w:rPr>
            </w:pPr>
            <w:r w:rsidRPr="006F2F59">
              <w:rPr>
                <w:rFonts w:ascii="Calibri" w:eastAsia="Times New Roman" w:hAnsi="Calibri" w:cs="Calibri"/>
                <w:sz w:val="22"/>
                <w:lang w:val="en-US"/>
              </w:rPr>
              <w:t>Mobility - Transfers</w:t>
            </w:r>
          </w:p>
        </w:tc>
      </w:tr>
      <w:tr w:rsidR="00283235" w:rsidRPr="007960E9" w:rsidTr="00283235">
        <w:tc>
          <w:tcPr>
            <w:cnfStyle w:val="001000000000" w:firstRow="0" w:lastRow="0" w:firstColumn="1" w:lastColumn="0" w:oddVBand="0" w:evenVBand="0" w:oddHBand="0" w:evenHBand="0" w:firstRowFirstColumn="0" w:firstRowLastColumn="0" w:lastRowFirstColumn="0" w:lastRowLastColumn="0"/>
            <w:tcW w:w="2552" w:type="dxa"/>
            <w:noWrap/>
            <w:hideMark/>
          </w:tcPr>
          <w:p w:rsidR="00283235" w:rsidRPr="006F2F59" w:rsidRDefault="00283235" w:rsidP="006F2F59">
            <w:pPr>
              <w:spacing w:after="0"/>
              <w:rPr>
                <w:rFonts w:ascii="Calibri" w:eastAsia="Times New Roman" w:hAnsi="Calibri" w:cs="Calibri"/>
                <w:b w:val="0"/>
                <w:sz w:val="22"/>
                <w:lang w:val="en-US"/>
              </w:rPr>
            </w:pPr>
            <w:r w:rsidRPr="006F2F59">
              <w:rPr>
                <w:rFonts w:ascii="Calibri" w:eastAsia="Times New Roman" w:hAnsi="Calibri" w:cs="Calibri"/>
                <w:b w:val="0"/>
                <w:sz w:val="22"/>
                <w:lang w:val="en-US"/>
              </w:rPr>
              <w:t>Moderate Assistance</w:t>
            </w:r>
          </w:p>
        </w:tc>
        <w:tc>
          <w:tcPr>
            <w:cnfStyle w:val="000010000000" w:firstRow="0" w:lastRow="0" w:firstColumn="0" w:lastColumn="0" w:oddVBand="1" w:evenVBand="0" w:oddHBand="0" w:evenHBand="0" w:firstRowFirstColumn="0" w:firstRowLastColumn="0" w:lastRowFirstColumn="0" w:lastRowLastColumn="0"/>
            <w:tcW w:w="2410" w:type="dxa"/>
            <w:noWrap/>
            <w:vAlign w:val="bottom"/>
          </w:tcPr>
          <w:p w:rsidR="00283235" w:rsidRPr="006F2F59" w:rsidRDefault="00283235" w:rsidP="00283235">
            <w:pPr>
              <w:spacing w:after="0"/>
              <w:jc w:val="center"/>
              <w:rPr>
                <w:rFonts w:ascii="Calibri" w:eastAsia="Times New Roman" w:hAnsi="Calibri" w:cs="Calibri"/>
                <w:b/>
                <w:sz w:val="22"/>
                <w:lang w:val="en-US"/>
              </w:rPr>
            </w:pPr>
            <w:r w:rsidRPr="006F2F59">
              <w:rPr>
                <w:rFonts w:ascii="Calibri" w:hAnsi="Calibri"/>
                <w:sz w:val="22"/>
              </w:rPr>
              <w:t>2.43</w:t>
            </w:r>
          </w:p>
        </w:tc>
      </w:tr>
      <w:tr w:rsidR="00283235" w:rsidRPr="007960E9" w:rsidTr="00283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noWrap/>
            <w:hideMark/>
          </w:tcPr>
          <w:p w:rsidR="00283235" w:rsidRPr="006F2F59" w:rsidRDefault="00283235" w:rsidP="006F2F59">
            <w:pPr>
              <w:spacing w:after="0"/>
              <w:rPr>
                <w:rFonts w:ascii="Calibri" w:eastAsia="Times New Roman" w:hAnsi="Calibri" w:cs="Calibri"/>
                <w:b w:val="0"/>
                <w:sz w:val="22"/>
                <w:lang w:val="en-US"/>
              </w:rPr>
            </w:pPr>
            <w:r w:rsidRPr="006F2F59">
              <w:rPr>
                <w:rFonts w:ascii="Calibri" w:eastAsia="Times New Roman" w:hAnsi="Calibri" w:cs="Calibri"/>
                <w:b w:val="0"/>
                <w:sz w:val="22"/>
                <w:lang w:val="en-US"/>
              </w:rPr>
              <w:t>Full Assistance</w:t>
            </w:r>
          </w:p>
        </w:tc>
        <w:tc>
          <w:tcPr>
            <w:cnfStyle w:val="000010000000" w:firstRow="0" w:lastRow="0" w:firstColumn="0" w:lastColumn="0" w:oddVBand="1" w:evenVBand="0" w:oddHBand="0" w:evenHBand="0" w:firstRowFirstColumn="0" w:firstRowLastColumn="0" w:lastRowFirstColumn="0" w:lastRowLastColumn="0"/>
            <w:tcW w:w="2410" w:type="dxa"/>
            <w:noWrap/>
            <w:vAlign w:val="bottom"/>
          </w:tcPr>
          <w:p w:rsidR="00283235" w:rsidRPr="006F2F59" w:rsidRDefault="00283235" w:rsidP="00283235">
            <w:pPr>
              <w:spacing w:after="0"/>
              <w:jc w:val="center"/>
              <w:rPr>
                <w:rFonts w:ascii="Calibri" w:eastAsia="Times New Roman" w:hAnsi="Calibri" w:cs="Calibri"/>
                <w:b/>
                <w:sz w:val="22"/>
                <w:lang w:val="en-US"/>
              </w:rPr>
            </w:pPr>
            <w:r w:rsidRPr="006F2F59">
              <w:rPr>
                <w:rFonts w:ascii="Calibri" w:hAnsi="Calibri"/>
                <w:sz w:val="22"/>
              </w:rPr>
              <w:t>8.89</w:t>
            </w:r>
          </w:p>
        </w:tc>
      </w:tr>
      <w:tr w:rsidR="00283235" w:rsidRPr="007960E9" w:rsidTr="00283235">
        <w:tc>
          <w:tcPr>
            <w:cnfStyle w:val="001000000000" w:firstRow="0" w:lastRow="0" w:firstColumn="1" w:lastColumn="0" w:oddVBand="0" w:evenVBand="0" w:oddHBand="0" w:evenHBand="0" w:firstRowFirstColumn="0" w:firstRowLastColumn="0" w:lastRowFirstColumn="0" w:lastRowLastColumn="0"/>
            <w:tcW w:w="2552" w:type="dxa"/>
            <w:noWrap/>
            <w:hideMark/>
          </w:tcPr>
          <w:p w:rsidR="00283235" w:rsidRPr="006F2F59" w:rsidRDefault="00283235" w:rsidP="006F2F59">
            <w:pPr>
              <w:spacing w:after="0"/>
              <w:rPr>
                <w:rFonts w:ascii="Calibri" w:eastAsia="Times New Roman" w:hAnsi="Calibri" w:cs="Calibri"/>
                <w:b w:val="0"/>
                <w:sz w:val="22"/>
                <w:lang w:val="en-US"/>
              </w:rPr>
            </w:pPr>
            <w:r w:rsidRPr="006F2F59">
              <w:rPr>
                <w:rFonts w:ascii="Calibri" w:eastAsia="Times New Roman" w:hAnsi="Calibri" w:cs="Calibri"/>
                <w:b w:val="0"/>
                <w:sz w:val="22"/>
                <w:lang w:val="en-US"/>
              </w:rPr>
              <w:t>Mechanical Lifting</w:t>
            </w:r>
          </w:p>
        </w:tc>
        <w:tc>
          <w:tcPr>
            <w:cnfStyle w:val="000010000000" w:firstRow="0" w:lastRow="0" w:firstColumn="0" w:lastColumn="0" w:oddVBand="1" w:evenVBand="0" w:oddHBand="0" w:evenHBand="0" w:firstRowFirstColumn="0" w:firstRowLastColumn="0" w:lastRowFirstColumn="0" w:lastRowLastColumn="0"/>
            <w:tcW w:w="2410" w:type="dxa"/>
            <w:noWrap/>
            <w:vAlign w:val="bottom"/>
          </w:tcPr>
          <w:p w:rsidR="00283235" w:rsidRPr="006F2F59" w:rsidRDefault="00283235" w:rsidP="00283235">
            <w:pPr>
              <w:spacing w:after="0"/>
              <w:jc w:val="center"/>
              <w:rPr>
                <w:rFonts w:ascii="Calibri" w:eastAsia="Times New Roman" w:hAnsi="Calibri" w:cs="Calibri"/>
                <w:b/>
                <w:sz w:val="22"/>
                <w:lang w:val="en-US"/>
              </w:rPr>
            </w:pPr>
            <w:r w:rsidRPr="006F2F59">
              <w:rPr>
                <w:rFonts w:ascii="Calibri" w:hAnsi="Calibri"/>
                <w:sz w:val="22"/>
              </w:rPr>
              <w:t>26.48</w:t>
            </w:r>
          </w:p>
        </w:tc>
      </w:tr>
      <w:tr w:rsidR="00283235" w:rsidRPr="007960E9" w:rsidTr="00283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gridSpan w:val="2"/>
            <w:shd w:val="clear" w:color="auto" w:fill="DEEAF6" w:themeFill="accent5" w:themeFillTint="33"/>
            <w:noWrap/>
            <w:hideMark/>
          </w:tcPr>
          <w:p w:rsidR="00283235" w:rsidRPr="006F2F59" w:rsidRDefault="00283235" w:rsidP="00283235">
            <w:pPr>
              <w:spacing w:after="0"/>
              <w:jc w:val="left"/>
              <w:rPr>
                <w:rFonts w:ascii="Times New Roman" w:eastAsia="Times New Roman" w:hAnsi="Times New Roman" w:cs="Times New Roman"/>
                <w:b w:val="0"/>
                <w:bCs w:val="0"/>
                <w:sz w:val="20"/>
                <w:szCs w:val="20"/>
                <w:lang w:val="en-US"/>
              </w:rPr>
            </w:pPr>
            <w:r w:rsidRPr="006F2F59">
              <w:rPr>
                <w:rFonts w:ascii="Calibri" w:eastAsia="Times New Roman" w:hAnsi="Calibri" w:cs="Calibri"/>
                <w:sz w:val="22"/>
                <w:lang w:val="en-US"/>
              </w:rPr>
              <w:t>Mobility - Locomotion</w:t>
            </w:r>
          </w:p>
        </w:tc>
      </w:tr>
      <w:tr w:rsidR="00283235" w:rsidRPr="007960E9" w:rsidTr="00283235">
        <w:tc>
          <w:tcPr>
            <w:cnfStyle w:val="001000000000" w:firstRow="0" w:lastRow="0" w:firstColumn="1" w:lastColumn="0" w:oddVBand="0" w:evenVBand="0" w:oddHBand="0" w:evenHBand="0" w:firstRowFirstColumn="0" w:firstRowLastColumn="0" w:lastRowFirstColumn="0" w:lastRowLastColumn="0"/>
            <w:tcW w:w="2552" w:type="dxa"/>
            <w:noWrap/>
            <w:hideMark/>
          </w:tcPr>
          <w:p w:rsidR="00283235" w:rsidRPr="006F2F59" w:rsidRDefault="00283235" w:rsidP="006F2F59">
            <w:pPr>
              <w:spacing w:after="0"/>
              <w:rPr>
                <w:rFonts w:ascii="Calibri" w:eastAsia="Times New Roman" w:hAnsi="Calibri" w:cs="Calibri"/>
                <w:b w:val="0"/>
                <w:sz w:val="22"/>
                <w:lang w:val="en-US"/>
              </w:rPr>
            </w:pPr>
            <w:r w:rsidRPr="006F2F59">
              <w:rPr>
                <w:rFonts w:ascii="Calibri" w:eastAsia="Times New Roman" w:hAnsi="Calibri" w:cs="Calibri"/>
                <w:b w:val="0"/>
                <w:sz w:val="22"/>
                <w:lang w:val="en-US"/>
              </w:rPr>
              <w:t>Moderate Assistance</w:t>
            </w:r>
          </w:p>
        </w:tc>
        <w:tc>
          <w:tcPr>
            <w:cnfStyle w:val="000010000000" w:firstRow="0" w:lastRow="0" w:firstColumn="0" w:lastColumn="0" w:oddVBand="1" w:evenVBand="0" w:oddHBand="0" w:evenHBand="0" w:firstRowFirstColumn="0" w:firstRowLastColumn="0" w:lastRowFirstColumn="0" w:lastRowLastColumn="0"/>
            <w:tcW w:w="2410" w:type="dxa"/>
            <w:noWrap/>
            <w:vAlign w:val="bottom"/>
          </w:tcPr>
          <w:p w:rsidR="00283235" w:rsidRPr="006F2F59" w:rsidRDefault="00283235" w:rsidP="00283235">
            <w:pPr>
              <w:spacing w:after="0"/>
              <w:jc w:val="center"/>
              <w:rPr>
                <w:rFonts w:ascii="Calibri" w:eastAsia="Times New Roman" w:hAnsi="Calibri" w:cs="Calibri"/>
                <w:b/>
                <w:sz w:val="22"/>
                <w:lang w:val="en-US"/>
              </w:rPr>
            </w:pPr>
            <w:r w:rsidRPr="006F2F59">
              <w:rPr>
                <w:rFonts w:ascii="Calibri" w:hAnsi="Calibri"/>
                <w:sz w:val="22"/>
              </w:rPr>
              <w:t>4.62</w:t>
            </w:r>
          </w:p>
        </w:tc>
      </w:tr>
      <w:tr w:rsidR="00283235" w:rsidRPr="007960E9" w:rsidTr="00283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noWrap/>
            <w:hideMark/>
          </w:tcPr>
          <w:p w:rsidR="00283235" w:rsidRPr="006F2F59" w:rsidRDefault="00283235" w:rsidP="006F2F59">
            <w:pPr>
              <w:spacing w:after="0"/>
              <w:rPr>
                <w:rFonts w:ascii="Calibri" w:eastAsia="Times New Roman" w:hAnsi="Calibri" w:cs="Calibri"/>
                <w:b w:val="0"/>
                <w:sz w:val="22"/>
                <w:lang w:val="en-US"/>
              </w:rPr>
            </w:pPr>
            <w:r w:rsidRPr="006F2F59">
              <w:rPr>
                <w:rFonts w:ascii="Calibri" w:eastAsia="Times New Roman" w:hAnsi="Calibri" w:cs="Calibri"/>
                <w:b w:val="0"/>
                <w:sz w:val="22"/>
                <w:lang w:val="en-US"/>
              </w:rPr>
              <w:t>Full Assistance</w:t>
            </w:r>
          </w:p>
        </w:tc>
        <w:tc>
          <w:tcPr>
            <w:cnfStyle w:val="000010000000" w:firstRow="0" w:lastRow="0" w:firstColumn="0" w:lastColumn="0" w:oddVBand="1" w:evenVBand="0" w:oddHBand="0" w:evenHBand="0" w:firstRowFirstColumn="0" w:firstRowLastColumn="0" w:lastRowFirstColumn="0" w:lastRowLastColumn="0"/>
            <w:tcW w:w="2410" w:type="dxa"/>
            <w:noWrap/>
            <w:vAlign w:val="bottom"/>
          </w:tcPr>
          <w:p w:rsidR="00283235" w:rsidRPr="006F2F59" w:rsidRDefault="00283235" w:rsidP="00283235">
            <w:pPr>
              <w:spacing w:after="0"/>
              <w:jc w:val="center"/>
              <w:rPr>
                <w:rFonts w:ascii="Calibri" w:eastAsia="Times New Roman" w:hAnsi="Calibri" w:cs="Calibri"/>
                <w:b/>
                <w:sz w:val="22"/>
                <w:lang w:val="en-US"/>
              </w:rPr>
            </w:pPr>
            <w:r w:rsidRPr="006F2F59">
              <w:rPr>
                <w:rFonts w:ascii="Calibri" w:hAnsi="Calibri"/>
                <w:sz w:val="22"/>
              </w:rPr>
              <w:t>15.57</w:t>
            </w:r>
          </w:p>
        </w:tc>
      </w:tr>
      <w:tr w:rsidR="00283235" w:rsidRPr="007960E9" w:rsidTr="00283235">
        <w:tc>
          <w:tcPr>
            <w:cnfStyle w:val="001000000000" w:firstRow="0" w:lastRow="0" w:firstColumn="1" w:lastColumn="0" w:oddVBand="0" w:evenVBand="0" w:oddHBand="0" w:evenHBand="0" w:firstRowFirstColumn="0" w:firstRowLastColumn="0" w:lastRowFirstColumn="0" w:lastRowLastColumn="0"/>
            <w:tcW w:w="4962" w:type="dxa"/>
            <w:gridSpan w:val="2"/>
            <w:shd w:val="clear" w:color="auto" w:fill="DEEAF6" w:themeFill="accent5" w:themeFillTint="33"/>
            <w:noWrap/>
            <w:hideMark/>
          </w:tcPr>
          <w:p w:rsidR="00283235" w:rsidRPr="006F2F59" w:rsidRDefault="00283235" w:rsidP="00283235">
            <w:pPr>
              <w:spacing w:after="0"/>
              <w:jc w:val="left"/>
              <w:rPr>
                <w:rFonts w:ascii="Times New Roman" w:eastAsia="Times New Roman" w:hAnsi="Times New Roman" w:cs="Times New Roman"/>
                <w:b w:val="0"/>
                <w:bCs w:val="0"/>
                <w:sz w:val="20"/>
                <w:szCs w:val="20"/>
                <w:lang w:val="en-US"/>
              </w:rPr>
            </w:pPr>
            <w:r w:rsidRPr="006F2F59">
              <w:rPr>
                <w:rFonts w:ascii="Calibri" w:eastAsia="Times New Roman" w:hAnsi="Calibri" w:cs="Calibri"/>
                <w:sz w:val="22"/>
                <w:lang w:val="en-US"/>
              </w:rPr>
              <w:t>Hygiene - Dressing</w:t>
            </w:r>
          </w:p>
        </w:tc>
      </w:tr>
      <w:tr w:rsidR="00283235" w:rsidRPr="007960E9" w:rsidTr="00283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noWrap/>
            <w:hideMark/>
          </w:tcPr>
          <w:p w:rsidR="00283235" w:rsidRPr="006F2F59" w:rsidRDefault="00283235" w:rsidP="006F2F59">
            <w:pPr>
              <w:spacing w:after="0"/>
              <w:rPr>
                <w:rFonts w:ascii="Calibri" w:eastAsia="Times New Roman" w:hAnsi="Calibri" w:cs="Calibri"/>
                <w:b w:val="0"/>
                <w:sz w:val="22"/>
                <w:lang w:val="en-US"/>
              </w:rPr>
            </w:pPr>
            <w:r w:rsidRPr="006F2F59">
              <w:rPr>
                <w:rFonts w:ascii="Calibri" w:eastAsia="Times New Roman" w:hAnsi="Calibri" w:cs="Calibri"/>
                <w:b w:val="0"/>
                <w:sz w:val="22"/>
                <w:lang w:val="en-US"/>
              </w:rPr>
              <w:t>Moderate Assistance</w:t>
            </w:r>
          </w:p>
        </w:tc>
        <w:tc>
          <w:tcPr>
            <w:cnfStyle w:val="000010000000" w:firstRow="0" w:lastRow="0" w:firstColumn="0" w:lastColumn="0" w:oddVBand="1" w:evenVBand="0" w:oddHBand="0" w:evenHBand="0" w:firstRowFirstColumn="0" w:firstRowLastColumn="0" w:lastRowFirstColumn="0" w:lastRowLastColumn="0"/>
            <w:tcW w:w="2410" w:type="dxa"/>
            <w:noWrap/>
            <w:vAlign w:val="bottom"/>
          </w:tcPr>
          <w:p w:rsidR="00283235" w:rsidRPr="006F2F59" w:rsidRDefault="00283235" w:rsidP="00283235">
            <w:pPr>
              <w:spacing w:after="0"/>
              <w:jc w:val="center"/>
              <w:rPr>
                <w:rFonts w:ascii="Calibri" w:eastAsia="Times New Roman" w:hAnsi="Calibri" w:cs="Calibri"/>
                <w:b/>
                <w:sz w:val="22"/>
                <w:lang w:val="en-US"/>
              </w:rPr>
            </w:pPr>
            <w:r w:rsidRPr="006F2F59">
              <w:rPr>
                <w:rFonts w:ascii="Calibri" w:hAnsi="Calibri"/>
                <w:sz w:val="22"/>
              </w:rPr>
              <w:t>5.34</w:t>
            </w:r>
          </w:p>
        </w:tc>
      </w:tr>
      <w:tr w:rsidR="00283235" w:rsidRPr="007960E9" w:rsidTr="00283235">
        <w:tc>
          <w:tcPr>
            <w:cnfStyle w:val="001000000000" w:firstRow="0" w:lastRow="0" w:firstColumn="1" w:lastColumn="0" w:oddVBand="0" w:evenVBand="0" w:oddHBand="0" w:evenHBand="0" w:firstRowFirstColumn="0" w:firstRowLastColumn="0" w:lastRowFirstColumn="0" w:lastRowLastColumn="0"/>
            <w:tcW w:w="2552" w:type="dxa"/>
            <w:noWrap/>
            <w:hideMark/>
          </w:tcPr>
          <w:p w:rsidR="00283235" w:rsidRPr="006F2F59" w:rsidRDefault="00283235" w:rsidP="006F2F59">
            <w:pPr>
              <w:spacing w:after="0"/>
              <w:rPr>
                <w:rFonts w:ascii="Calibri" w:eastAsia="Times New Roman" w:hAnsi="Calibri" w:cs="Calibri"/>
                <w:b w:val="0"/>
                <w:sz w:val="22"/>
                <w:lang w:val="en-US"/>
              </w:rPr>
            </w:pPr>
            <w:r w:rsidRPr="006F2F59">
              <w:rPr>
                <w:rFonts w:ascii="Calibri" w:eastAsia="Times New Roman" w:hAnsi="Calibri" w:cs="Calibri"/>
                <w:b w:val="0"/>
                <w:sz w:val="22"/>
                <w:lang w:val="en-US"/>
              </w:rPr>
              <w:t>Full Assistance</w:t>
            </w:r>
          </w:p>
        </w:tc>
        <w:tc>
          <w:tcPr>
            <w:cnfStyle w:val="000010000000" w:firstRow="0" w:lastRow="0" w:firstColumn="0" w:lastColumn="0" w:oddVBand="1" w:evenVBand="0" w:oddHBand="0" w:evenHBand="0" w:firstRowFirstColumn="0" w:firstRowLastColumn="0" w:lastRowFirstColumn="0" w:lastRowLastColumn="0"/>
            <w:tcW w:w="2410" w:type="dxa"/>
            <w:noWrap/>
            <w:vAlign w:val="bottom"/>
          </w:tcPr>
          <w:p w:rsidR="00283235" w:rsidRPr="006F2F59" w:rsidRDefault="00283235" w:rsidP="00283235">
            <w:pPr>
              <w:spacing w:after="0"/>
              <w:jc w:val="center"/>
              <w:rPr>
                <w:rFonts w:ascii="Calibri" w:eastAsia="Times New Roman" w:hAnsi="Calibri" w:cs="Calibri"/>
                <w:b/>
                <w:sz w:val="22"/>
                <w:lang w:val="en-US"/>
              </w:rPr>
            </w:pPr>
            <w:r w:rsidRPr="006F2F59">
              <w:rPr>
                <w:rFonts w:ascii="Calibri" w:hAnsi="Calibri"/>
                <w:sz w:val="22"/>
              </w:rPr>
              <w:t>8.77</w:t>
            </w:r>
          </w:p>
        </w:tc>
      </w:tr>
      <w:tr w:rsidR="00283235" w:rsidRPr="007960E9" w:rsidTr="00283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gridSpan w:val="2"/>
            <w:shd w:val="clear" w:color="auto" w:fill="DEEAF6" w:themeFill="accent5" w:themeFillTint="33"/>
            <w:noWrap/>
            <w:hideMark/>
          </w:tcPr>
          <w:p w:rsidR="00283235" w:rsidRPr="006F2F59" w:rsidRDefault="00283235" w:rsidP="00283235">
            <w:pPr>
              <w:spacing w:after="0"/>
              <w:jc w:val="left"/>
              <w:rPr>
                <w:rFonts w:ascii="Times New Roman" w:eastAsia="Times New Roman" w:hAnsi="Times New Roman" w:cs="Times New Roman"/>
                <w:b w:val="0"/>
                <w:bCs w:val="0"/>
                <w:sz w:val="20"/>
                <w:szCs w:val="20"/>
                <w:lang w:val="en-US"/>
              </w:rPr>
            </w:pPr>
            <w:r w:rsidRPr="006F2F59">
              <w:rPr>
                <w:rFonts w:ascii="Calibri" w:eastAsia="Times New Roman" w:hAnsi="Calibri" w:cs="Calibri"/>
                <w:sz w:val="22"/>
                <w:lang w:val="en-US"/>
              </w:rPr>
              <w:t>Hygiene – Washing</w:t>
            </w:r>
          </w:p>
        </w:tc>
      </w:tr>
      <w:tr w:rsidR="00283235" w:rsidRPr="007960E9" w:rsidTr="00283235">
        <w:tc>
          <w:tcPr>
            <w:cnfStyle w:val="001000000000" w:firstRow="0" w:lastRow="0" w:firstColumn="1" w:lastColumn="0" w:oddVBand="0" w:evenVBand="0" w:oddHBand="0" w:evenHBand="0" w:firstRowFirstColumn="0" w:firstRowLastColumn="0" w:lastRowFirstColumn="0" w:lastRowLastColumn="0"/>
            <w:tcW w:w="2552" w:type="dxa"/>
            <w:noWrap/>
            <w:hideMark/>
          </w:tcPr>
          <w:p w:rsidR="00283235" w:rsidRPr="006F2F59" w:rsidRDefault="00283235" w:rsidP="006F2F59">
            <w:pPr>
              <w:spacing w:after="0"/>
              <w:rPr>
                <w:rFonts w:ascii="Calibri" w:eastAsia="Times New Roman" w:hAnsi="Calibri" w:cs="Calibri"/>
                <w:b w:val="0"/>
                <w:sz w:val="22"/>
                <w:lang w:val="en-US"/>
              </w:rPr>
            </w:pPr>
            <w:r w:rsidRPr="006F2F59">
              <w:rPr>
                <w:rFonts w:ascii="Calibri" w:eastAsia="Times New Roman" w:hAnsi="Calibri" w:cs="Calibri"/>
                <w:b w:val="0"/>
                <w:sz w:val="22"/>
                <w:lang w:val="en-US"/>
              </w:rPr>
              <w:t>Moderate Assistance</w:t>
            </w:r>
          </w:p>
        </w:tc>
        <w:tc>
          <w:tcPr>
            <w:cnfStyle w:val="000010000000" w:firstRow="0" w:lastRow="0" w:firstColumn="0" w:lastColumn="0" w:oddVBand="1" w:evenVBand="0" w:oddHBand="0" w:evenHBand="0" w:firstRowFirstColumn="0" w:firstRowLastColumn="0" w:lastRowFirstColumn="0" w:lastRowLastColumn="0"/>
            <w:tcW w:w="2410" w:type="dxa"/>
            <w:noWrap/>
            <w:vAlign w:val="bottom"/>
          </w:tcPr>
          <w:p w:rsidR="00283235" w:rsidRPr="006F2F59" w:rsidRDefault="00283235" w:rsidP="00283235">
            <w:pPr>
              <w:spacing w:after="0"/>
              <w:jc w:val="center"/>
              <w:rPr>
                <w:rFonts w:ascii="Calibri" w:eastAsia="Times New Roman" w:hAnsi="Calibri" w:cs="Calibri"/>
                <w:b/>
                <w:sz w:val="22"/>
                <w:lang w:val="en-US"/>
              </w:rPr>
            </w:pPr>
            <w:r w:rsidRPr="006F2F59">
              <w:rPr>
                <w:rFonts w:ascii="Calibri" w:hAnsi="Calibri"/>
                <w:sz w:val="22"/>
              </w:rPr>
              <w:t>9.51</w:t>
            </w:r>
          </w:p>
        </w:tc>
      </w:tr>
      <w:tr w:rsidR="00283235" w:rsidRPr="007960E9" w:rsidTr="00283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noWrap/>
            <w:hideMark/>
          </w:tcPr>
          <w:p w:rsidR="00283235" w:rsidRPr="006F2F59" w:rsidRDefault="00283235" w:rsidP="006F2F59">
            <w:pPr>
              <w:spacing w:after="0"/>
              <w:rPr>
                <w:rFonts w:ascii="Calibri" w:eastAsia="Times New Roman" w:hAnsi="Calibri" w:cs="Calibri"/>
                <w:b w:val="0"/>
                <w:sz w:val="22"/>
                <w:lang w:val="en-US"/>
              </w:rPr>
            </w:pPr>
            <w:r w:rsidRPr="006F2F59">
              <w:rPr>
                <w:rFonts w:ascii="Calibri" w:eastAsia="Times New Roman" w:hAnsi="Calibri" w:cs="Calibri"/>
                <w:b w:val="0"/>
                <w:sz w:val="22"/>
                <w:lang w:val="en-US"/>
              </w:rPr>
              <w:t>Full Assistance</w:t>
            </w:r>
          </w:p>
        </w:tc>
        <w:tc>
          <w:tcPr>
            <w:cnfStyle w:val="000010000000" w:firstRow="0" w:lastRow="0" w:firstColumn="0" w:lastColumn="0" w:oddVBand="1" w:evenVBand="0" w:oddHBand="0" w:evenHBand="0" w:firstRowFirstColumn="0" w:firstRowLastColumn="0" w:lastRowFirstColumn="0" w:lastRowLastColumn="0"/>
            <w:tcW w:w="2410" w:type="dxa"/>
            <w:noWrap/>
            <w:vAlign w:val="bottom"/>
          </w:tcPr>
          <w:p w:rsidR="00283235" w:rsidRPr="006F2F59" w:rsidRDefault="00283235" w:rsidP="00283235">
            <w:pPr>
              <w:spacing w:after="0"/>
              <w:jc w:val="center"/>
              <w:rPr>
                <w:rFonts w:ascii="Calibri" w:eastAsia="Times New Roman" w:hAnsi="Calibri" w:cs="Calibri"/>
                <w:b/>
                <w:sz w:val="22"/>
                <w:lang w:val="en-US"/>
              </w:rPr>
            </w:pPr>
            <w:r w:rsidRPr="006F2F59">
              <w:rPr>
                <w:rFonts w:ascii="Calibri" w:hAnsi="Calibri"/>
                <w:sz w:val="22"/>
              </w:rPr>
              <w:t>12.47</w:t>
            </w:r>
          </w:p>
        </w:tc>
      </w:tr>
      <w:tr w:rsidR="00283235" w:rsidRPr="007960E9" w:rsidTr="00283235">
        <w:tc>
          <w:tcPr>
            <w:cnfStyle w:val="001000000000" w:firstRow="0" w:lastRow="0" w:firstColumn="1" w:lastColumn="0" w:oddVBand="0" w:evenVBand="0" w:oddHBand="0" w:evenHBand="0" w:firstRowFirstColumn="0" w:firstRowLastColumn="0" w:lastRowFirstColumn="0" w:lastRowLastColumn="0"/>
            <w:tcW w:w="4962" w:type="dxa"/>
            <w:gridSpan w:val="2"/>
            <w:shd w:val="clear" w:color="auto" w:fill="DEEAF6" w:themeFill="accent5" w:themeFillTint="33"/>
            <w:noWrap/>
            <w:hideMark/>
          </w:tcPr>
          <w:p w:rsidR="00283235" w:rsidRPr="006F2F59" w:rsidRDefault="00283235" w:rsidP="00283235">
            <w:pPr>
              <w:spacing w:after="0"/>
              <w:jc w:val="left"/>
              <w:rPr>
                <w:rFonts w:ascii="Times New Roman" w:eastAsia="Times New Roman" w:hAnsi="Times New Roman" w:cs="Times New Roman"/>
                <w:b w:val="0"/>
                <w:bCs w:val="0"/>
                <w:sz w:val="20"/>
                <w:szCs w:val="20"/>
                <w:lang w:val="en-US"/>
              </w:rPr>
            </w:pPr>
            <w:r w:rsidRPr="006F2F59">
              <w:rPr>
                <w:rFonts w:ascii="Calibri" w:eastAsia="Times New Roman" w:hAnsi="Calibri" w:cs="Calibri"/>
                <w:sz w:val="22"/>
                <w:lang w:val="en-US"/>
              </w:rPr>
              <w:t>Toileting – Use</w:t>
            </w:r>
          </w:p>
        </w:tc>
      </w:tr>
      <w:tr w:rsidR="00283235" w:rsidRPr="007960E9" w:rsidTr="00283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noWrap/>
            <w:hideMark/>
          </w:tcPr>
          <w:p w:rsidR="00283235" w:rsidRPr="006F2F59" w:rsidRDefault="00283235" w:rsidP="006F2F59">
            <w:pPr>
              <w:spacing w:after="0"/>
              <w:rPr>
                <w:rFonts w:ascii="Calibri" w:eastAsia="Times New Roman" w:hAnsi="Calibri" w:cs="Calibri"/>
                <w:b w:val="0"/>
                <w:sz w:val="22"/>
                <w:lang w:val="en-US"/>
              </w:rPr>
            </w:pPr>
            <w:r w:rsidRPr="006F2F59">
              <w:rPr>
                <w:rFonts w:ascii="Calibri" w:eastAsia="Times New Roman" w:hAnsi="Calibri" w:cs="Calibri"/>
                <w:b w:val="0"/>
                <w:sz w:val="22"/>
                <w:lang w:val="en-US"/>
              </w:rPr>
              <w:t>Moderate Assistance</w:t>
            </w:r>
          </w:p>
        </w:tc>
        <w:tc>
          <w:tcPr>
            <w:cnfStyle w:val="000010000000" w:firstRow="0" w:lastRow="0" w:firstColumn="0" w:lastColumn="0" w:oddVBand="1" w:evenVBand="0" w:oddHBand="0" w:evenHBand="0" w:firstRowFirstColumn="0" w:firstRowLastColumn="0" w:lastRowFirstColumn="0" w:lastRowLastColumn="0"/>
            <w:tcW w:w="2410" w:type="dxa"/>
            <w:noWrap/>
            <w:vAlign w:val="bottom"/>
          </w:tcPr>
          <w:p w:rsidR="00283235" w:rsidRPr="006F2F59" w:rsidRDefault="00283235" w:rsidP="00283235">
            <w:pPr>
              <w:spacing w:after="0"/>
              <w:jc w:val="center"/>
              <w:rPr>
                <w:rFonts w:ascii="Calibri" w:eastAsia="Times New Roman" w:hAnsi="Calibri" w:cs="Calibri"/>
                <w:b/>
                <w:sz w:val="22"/>
                <w:lang w:val="en-US"/>
              </w:rPr>
            </w:pPr>
            <w:r w:rsidRPr="006F2F59">
              <w:rPr>
                <w:rFonts w:ascii="Calibri" w:hAnsi="Calibri"/>
                <w:sz w:val="22"/>
              </w:rPr>
              <w:t>4.91</w:t>
            </w:r>
          </w:p>
        </w:tc>
      </w:tr>
      <w:tr w:rsidR="00283235" w:rsidRPr="007960E9" w:rsidTr="00283235">
        <w:tc>
          <w:tcPr>
            <w:cnfStyle w:val="001000000000" w:firstRow="0" w:lastRow="0" w:firstColumn="1" w:lastColumn="0" w:oddVBand="0" w:evenVBand="0" w:oddHBand="0" w:evenHBand="0" w:firstRowFirstColumn="0" w:firstRowLastColumn="0" w:lastRowFirstColumn="0" w:lastRowLastColumn="0"/>
            <w:tcW w:w="2552" w:type="dxa"/>
            <w:noWrap/>
            <w:hideMark/>
          </w:tcPr>
          <w:p w:rsidR="00283235" w:rsidRPr="006F2F59" w:rsidRDefault="00283235" w:rsidP="006F2F59">
            <w:pPr>
              <w:spacing w:after="0"/>
              <w:rPr>
                <w:rFonts w:ascii="Calibri" w:eastAsia="Times New Roman" w:hAnsi="Calibri" w:cs="Calibri"/>
                <w:b w:val="0"/>
                <w:sz w:val="22"/>
                <w:lang w:val="en-US"/>
              </w:rPr>
            </w:pPr>
            <w:r w:rsidRPr="006F2F59">
              <w:rPr>
                <w:rFonts w:ascii="Calibri" w:eastAsia="Times New Roman" w:hAnsi="Calibri" w:cs="Calibri"/>
                <w:b w:val="0"/>
                <w:sz w:val="22"/>
                <w:lang w:val="en-US"/>
              </w:rPr>
              <w:t>Full Assistance</w:t>
            </w:r>
          </w:p>
        </w:tc>
        <w:tc>
          <w:tcPr>
            <w:cnfStyle w:val="000010000000" w:firstRow="0" w:lastRow="0" w:firstColumn="0" w:lastColumn="0" w:oddVBand="1" w:evenVBand="0" w:oddHBand="0" w:evenHBand="0" w:firstRowFirstColumn="0" w:firstRowLastColumn="0" w:lastRowFirstColumn="0" w:lastRowLastColumn="0"/>
            <w:tcW w:w="2410" w:type="dxa"/>
            <w:noWrap/>
            <w:vAlign w:val="bottom"/>
          </w:tcPr>
          <w:p w:rsidR="00283235" w:rsidRPr="006F2F59" w:rsidRDefault="00283235" w:rsidP="00283235">
            <w:pPr>
              <w:spacing w:after="0"/>
              <w:jc w:val="center"/>
              <w:rPr>
                <w:rFonts w:ascii="Calibri" w:eastAsia="Times New Roman" w:hAnsi="Calibri" w:cs="Calibri"/>
                <w:b/>
                <w:sz w:val="22"/>
                <w:lang w:val="en-US"/>
              </w:rPr>
            </w:pPr>
            <w:r w:rsidRPr="006F2F59">
              <w:rPr>
                <w:rFonts w:ascii="Calibri" w:hAnsi="Calibri"/>
                <w:sz w:val="22"/>
              </w:rPr>
              <w:t>11.67</w:t>
            </w:r>
          </w:p>
        </w:tc>
      </w:tr>
      <w:tr w:rsidR="00283235" w:rsidRPr="007960E9" w:rsidTr="00283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gridSpan w:val="2"/>
            <w:shd w:val="clear" w:color="auto" w:fill="DEEAF6" w:themeFill="accent5" w:themeFillTint="33"/>
            <w:noWrap/>
            <w:hideMark/>
          </w:tcPr>
          <w:p w:rsidR="00283235" w:rsidRPr="006F2F59" w:rsidRDefault="00283235" w:rsidP="00283235">
            <w:pPr>
              <w:spacing w:after="0"/>
              <w:jc w:val="left"/>
              <w:rPr>
                <w:rFonts w:ascii="Times New Roman" w:eastAsia="Times New Roman" w:hAnsi="Times New Roman" w:cs="Times New Roman"/>
                <w:b w:val="0"/>
                <w:bCs w:val="0"/>
                <w:sz w:val="20"/>
                <w:szCs w:val="20"/>
                <w:lang w:val="en-US"/>
              </w:rPr>
            </w:pPr>
            <w:r w:rsidRPr="006F2F59">
              <w:rPr>
                <w:rFonts w:ascii="Calibri" w:eastAsia="Times New Roman" w:hAnsi="Calibri" w:cs="Calibri"/>
                <w:sz w:val="22"/>
                <w:lang w:val="en-US"/>
              </w:rPr>
              <w:t>Toileting - Completion</w:t>
            </w:r>
          </w:p>
        </w:tc>
      </w:tr>
      <w:tr w:rsidR="00283235" w:rsidRPr="007960E9" w:rsidTr="00283235">
        <w:tc>
          <w:tcPr>
            <w:cnfStyle w:val="001000000000" w:firstRow="0" w:lastRow="0" w:firstColumn="1" w:lastColumn="0" w:oddVBand="0" w:evenVBand="0" w:oddHBand="0" w:evenHBand="0" w:firstRowFirstColumn="0" w:firstRowLastColumn="0" w:lastRowFirstColumn="0" w:lastRowLastColumn="0"/>
            <w:tcW w:w="2552" w:type="dxa"/>
            <w:noWrap/>
            <w:hideMark/>
          </w:tcPr>
          <w:p w:rsidR="00283235" w:rsidRPr="006F2F59" w:rsidRDefault="00283235" w:rsidP="006F2F59">
            <w:pPr>
              <w:spacing w:after="0"/>
              <w:rPr>
                <w:rFonts w:ascii="Calibri" w:eastAsia="Times New Roman" w:hAnsi="Calibri" w:cs="Calibri"/>
                <w:b w:val="0"/>
                <w:sz w:val="22"/>
                <w:lang w:val="en-US"/>
              </w:rPr>
            </w:pPr>
            <w:r w:rsidRPr="006F2F59">
              <w:rPr>
                <w:rFonts w:ascii="Calibri" w:eastAsia="Times New Roman" w:hAnsi="Calibri" w:cs="Calibri"/>
                <w:b w:val="0"/>
                <w:sz w:val="22"/>
                <w:lang w:val="en-US"/>
              </w:rPr>
              <w:t>Moderate Assistance</w:t>
            </w:r>
          </w:p>
        </w:tc>
        <w:tc>
          <w:tcPr>
            <w:cnfStyle w:val="000010000000" w:firstRow="0" w:lastRow="0" w:firstColumn="0" w:lastColumn="0" w:oddVBand="1" w:evenVBand="0" w:oddHBand="0" w:evenHBand="0" w:firstRowFirstColumn="0" w:firstRowLastColumn="0" w:lastRowFirstColumn="0" w:lastRowLastColumn="0"/>
            <w:tcW w:w="2410" w:type="dxa"/>
            <w:noWrap/>
            <w:vAlign w:val="bottom"/>
          </w:tcPr>
          <w:p w:rsidR="00283235" w:rsidRPr="006F2F59" w:rsidRDefault="00283235" w:rsidP="00283235">
            <w:pPr>
              <w:spacing w:after="0"/>
              <w:jc w:val="center"/>
              <w:rPr>
                <w:rFonts w:ascii="Calibri" w:eastAsia="Times New Roman" w:hAnsi="Calibri" w:cs="Calibri"/>
                <w:b/>
                <w:sz w:val="22"/>
                <w:lang w:val="en-US"/>
              </w:rPr>
            </w:pPr>
            <w:r w:rsidRPr="006F2F59">
              <w:rPr>
                <w:rFonts w:ascii="Calibri" w:hAnsi="Calibri"/>
                <w:sz w:val="22"/>
              </w:rPr>
              <w:t>2.26</w:t>
            </w:r>
          </w:p>
        </w:tc>
      </w:tr>
      <w:tr w:rsidR="00283235" w:rsidRPr="007960E9" w:rsidTr="00283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noWrap/>
            <w:hideMark/>
          </w:tcPr>
          <w:p w:rsidR="00283235" w:rsidRPr="006F2F59" w:rsidRDefault="00283235" w:rsidP="006F2F59">
            <w:pPr>
              <w:spacing w:after="0"/>
              <w:rPr>
                <w:rFonts w:ascii="Calibri" w:eastAsia="Times New Roman" w:hAnsi="Calibri" w:cs="Calibri"/>
                <w:b w:val="0"/>
                <w:sz w:val="22"/>
                <w:lang w:val="en-US"/>
              </w:rPr>
            </w:pPr>
            <w:r w:rsidRPr="006F2F59">
              <w:rPr>
                <w:rFonts w:ascii="Calibri" w:eastAsia="Times New Roman" w:hAnsi="Calibri" w:cs="Calibri"/>
                <w:b w:val="0"/>
                <w:sz w:val="22"/>
                <w:lang w:val="en-US"/>
              </w:rPr>
              <w:t>Full Assistance</w:t>
            </w:r>
          </w:p>
        </w:tc>
        <w:tc>
          <w:tcPr>
            <w:cnfStyle w:val="000010000000" w:firstRow="0" w:lastRow="0" w:firstColumn="0" w:lastColumn="0" w:oddVBand="1" w:evenVBand="0" w:oddHBand="0" w:evenHBand="0" w:firstRowFirstColumn="0" w:firstRowLastColumn="0" w:lastRowFirstColumn="0" w:lastRowLastColumn="0"/>
            <w:tcW w:w="2410" w:type="dxa"/>
            <w:noWrap/>
            <w:vAlign w:val="bottom"/>
          </w:tcPr>
          <w:p w:rsidR="00283235" w:rsidRPr="006F2F59" w:rsidRDefault="00283235" w:rsidP="00283235">
            <w:pPr>
              <w:spacing w:after="0"/>
              <w:jc w:val="center"/>
              <w:rPr>
                <w:rFonts w:ascii="Calibri" w:eastAsia="Times New Roman" w:hAnsi="Calibri" w:cs="Calibri"/>
                <w:b/>
                <w:sz w:val="22"/>
                <w:lang w:val="en-US"/>
              </w:rPr>
            </w:pPr>
            <w:r w:rsidRPr="006F2F59">
              <w:rPr>
                <w:rFonts w:ascii="Calibri" w:hAnsi="Calibri"/>
                <w:sz w:val="22"/>
              </w:rPr>
              <w:t>7.38</w:t>
            </w:r>
          </w:p>
        </w:tc>
      </w:tr>
      <w:tr w:rsidR="00283235" w:rsidRPr="007960E9" w:rsidTr="00283235">
        <w:tc>
          <w:tcPr>
            <w:cnfStyle w:val="001000000000" w:firstRow="0" w:lastRow="0" w:firstColumn="1" w:lastColumn="0" w:oddVBand="0" w:evenVBand="0" w:oddHBand="0" w:evenHBand="0" w:firstRowFirstColumn="0" w:firstRowLastColumn="0" w:lastRowFirstColumn="0" w:lastRowLastColumn="0"/>
            <w:tcW w:w="4962" w:type="dxa"/>
            <w:gridSpan w:val="2"/>
            <w:shd w:val="clear" w:color="auto" w:fill="DEEAF6" w:themeFill="accent5" w:themeFillTint="33"/>
            <w:noWrap/>
            <w:hideMark/>
          </w:tcPr>
          <w:p w:rsidR="00283235" w:rsidRPr="006F2F59" w:rsidRDefault="00283235" w:rsidP="00283235">
            <w:pPr>
              <w:spacing w:after="0"/>
              <w:jc w:val="left"/>
              <w:rPr>
                <w:rFonts w:ascii="Times New Roman" w:eastAsia="Times New Roman" w:hAnsi="Times New Roman" w:cs="Times New Roman"/>
                <w:b w:val="0"/>
                <w:bCs w:val="0"/>
                <w:sz w:val="20"/>
                <w:szCs w:val="20"/>
                <w:lang w:val="en-US"/>
              </w:rPr>
            </w:pPr>
            <w:r w:rsidRPr="006F2F59">
              <w:rPr>
                <w:rFonts w:ascii="Calibri" w:eastAsia="Times New Roman" w:hAnsi="Calibri" w:cs="Calibri"/>
                <w:sz w:val="22"/>
                <w:lang w:val="en-US"/>
              </w:rPr>
              <w:t>Urinary - continence</w:t>
            </w:r>
          </w:p>
        </w:tc>
      </w:tr>
      <w:tr w:rsidR="00283235" w:rsidRPr="007960E9" w:rsidTr="00283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noWrap/>
            <w:hideMark/>
          </w:tcPr>
          <w:p w:rsidR="00283235" w:rsidRPr="006F2F59" w:rsidRDefault="00283235" w:rsidP="006F2F59">
            <w:pPr>
              <w:spacing w:after="0"/>
              <w:rPr>
                <w:rFonts w:ascii="Calibri" w:eastAsia="Times New Roman" w:hAnsi="Calibri" w:cs="Calibri"/>
                <w:b w:val="0"/>
                <w:sz w:val="22"/>
                <w:lang w:val="en-US"/>
              </w:rPr>
            </w:pPr>
            <w:r w:rsidRPr="006F2F59">
              <w:rPr>
                <w:rFonts w:ascii="Calibri" w:eastAsia="Times New Roman" w:hAnsi="Calibri" w:cs="Calibri"/>
                <w:b w:val="0"/>
                <w:sz w:val="22"/>
                <w:lang w:val="en-US"/>
              </w:rPr>
              <w:t>Incontinent at times</w:t>
            </w:r>
          </w:p>
        </w:tc>
        <w:tc>
          <w:tcPr>
            <w:cnfStyle w:val="000010000000" w:firstRow="0" w:lastRow="0" w:firstColumn="0" w:lastColumn="0" w:oddVBand="1" w:evenVBand="0" w:oddHBand="0" w:evenHBand="0" w:firstRowFirstColumn="0" w:firstRowLastColumn="0" w:lastRowFirstColumn="0" w:lastRowLastColumn="0"/>
            <w:tcW w:w="2410" w:type="dxa"/>
            <w:noWrap/>
            <w:vAlign w:val="bottom"/>
            <w:hideMark/>
          </w:tcPr>
          <w:p w:rsidR="00283235" w:rsidRPr="006F2F59" w:rsidRDefault="00283235" w:rsidP="00283235">
            <w:pPr>
              <w:spacing w:after="0"/>
              <w:jc w:val="center"/>
              <w:rPr>
                <w:rFonts w:ascii="Calibri" w:eastAsia="Times New Roman" w:hAnsi="Calibri" w:cs="Calibri"/>
                <w:b/>
                <w:sz w:val="22"/>
                <w:lang w:val="en-US"/>
              </w:rPr>
            </w:pPr>
            <w:r w:rsidRPr="006F2F59">
              <w:rPr>
                <w:rFonts w:ascii="Calibri" w:hAnsi="Calibri"/>
                <w:sz w:val="22"/>
              </w:rPr>
              <w:t>0.57</w:t>
            </w:r>
          </w:p>
        </w:tc>
      </w:tr>
      <w:tr w:rsidR="00283235" w:rsidRPr="007960E9" w:rsidTr="00283235">
        <w:tc>
          <w:tcPr>
            <w:cnfStyle w:val="001000000000" w:firstRow="0" w:lastRow="0" w:firstColumn="1" w:lastColumn="0" w:oddVBand="0" w:evenVBand="0" w:oddHBand="0" w:evenHBand="0" w:firstRowFirstColumn="0" w:firstRowLastColumn="0" w:lastRowFirstColumn="0" w:lastRowLastColumn="0"/>
            <w:tcW w:w="2552" w:type="dxa"/>
            <w:noWrap/>
            <w:hideMark/>
          </w:tcPr>
          <w:p w:rsidR="00283235" w:rsidRPr="006F2F59" w:rsidRDefault="00283235" w:rsidP="006F2F59">
            <w:pPr>
              <w:spacing w:after="0"/>
              <w:rPr>
                <w:rFonts w:ascii="Calibri" w:eastAsia="Times New Roman" w:hAnsi="Calibri" w:cs="Calibri"/>
                <w:b w:val="0"/>
                <w:sz w:val="22"/>
                <w:lang w:val="en-US"/>
              </w:rPr>
            </w:pPr>
            <w:r w:rsidRPr="006F2F59">
              <w:rPr>
                <w:rFonts w:ascii="Calibri" w:eastAsia="Times New Roman" w:hAnsi="Calibri" w:cs="Calibri"/>
                <w:b w:val="0"/>
                <w:sz w:val="22"/>
                <w:lang w:val="en-US"/>
              </w:rPr>
              <w:t>Incontinent at all times</w:t>
            </w:r>
          </w:p>
        </w:tc>
        <w:tc>
          <w:tcPr>
            <w:cnfStyle w:val="000010000000" w:firstRow="0" w:lastRow="0" w:firstColumn="0" w:lastColumn="0" w:oddVBand="1" w:evenVBand="0" w:oddHBand="0" w:evenHBand="0" w:firstRowFirstColumn="0" w:firstRowLastColumn="0" w:lastRowFirstColumn="0" w:lastRowLastColumn="0"/>
            <w:tcW w:w="2410" w:type="dxa"/>
            <w:noWrap/>
            <w:vAlign w:val="bottom"/>
            <w:hideMark/>
          </w:tcPr>
          <w:p w:rsidR="00283235" w:rsidRPr="006F2F59" w:rsidRDefault="00283235" w:rsidP="00283235">
            <w:pPr>
              <w:spacing w:after="0"/>
              <w:jc w:val="center"/>
              <w:rPr>
                <w:rFonts w:ascii="Calibri" w:eastAsia="Times New Roman" w:hAnsi="Calibri" w:cs="Calibri"/>
                <w:b/>
                <w:sz w:val="22"/>
                <w:lang w:val="en-US"/>
              </w:rPr>
            </w:pPr>
            <w:r w:rsidRPr="006F2F59">
              <w:rPr>
                <w:rFonts w:ascii="Calibri" w:hAnsi="Calibri"/>
                <w:sz w:val="22"/>
              </w:rPr>
              <w:t>3.34</w:t>
            </w:r>
          </w:p>
        </w:tc>
      </w:tr>
      <w:tr w:rsidR="00283235" w:rsidRPr="007960E9" w:rsidTr="00283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gridSpan w:val="2"/>
            <w:shd w:val="clear" w:color="auto" w:fill="DEEAF6" w:themeFill="accent5" w:themeFillTint="33"/>
            <w:noWrap/>
            <w:hideMark/>
          </w:tcPr>
          <w:p w:rsidR="00283235" w:rsidRPr="006F2F59" w:rsidRDefault="00283235" w:rsidP="00283235">
            <w:pPr>
              <w:spacing w:after="0"/>
              <w:jc w:val="left"/>
              <w:rPr>
                <w:rFonts w:ascii="Times New Roman" w:eastAsia="Times New Roman" w:hAnsi="Times New Roman" w:cs="Times New Roman"/>
                <w:b w:val="0"/>
                <w:bCs w:val="0"/>
                <w:sz w:val="20"/>
                <w:szCs w:val="20"/>
                <w:lang w:val="en-US"/>
              </w:rPr>
            </w:pPr>
            <w:r w:rsidRPr="006F2F59">
              <w:rPr>
                <w:rFonts w:ascii="Calibri" w:eastAsia="Times New Roman" w:hAnsi="Calibri" w:cs="Calibri"/>
                <w:sz w:val="22"/>
                <w:lang w:val="en-US"/>
              </w:rPr>
              <w:t>Faecal - continence</w:t>
            </w:r>
          </w:p>
        </w:tc>
      </w:tr>
      <w:tr w:rsidR="00283235" w:rsidRPr="007960E9" w:rsidTr="00283235">
        <w:tc>
          <w:tcPr>
            <w:cnfStyle w:val="001000000000" w:firstRow="0" w:lastRow="0" w:firstColumn="1" w:lastColumn="0" w:oddVBand="0" w:evenVBand="0" w:oddHBand="0" w:evenHBand="0" w:firstRowFirstColumn="0" w:firstRowLastColumn="0" w:lastRowFirstColumn="0" w:lastRowLastColumn="0"/>
            <w:tcW w:w="2552" w:type="dxa"/>
            <w:noWrap/>
            <w:hideMark/>
          </w:tcPr>
          <w:p w:rsidR="00283235" w:rsidRPr="006F2F59" w:rsidRDefault="00283235" w:rsidP="006F2F59">
            <w:pPr>
              <w:spacing w:after="0"/>
              <w:rPr>
                <w:rFonts w:ascii="Calibri" w:eastAsia="Times New Roman" w:hAnsi="Calibri" w:cs="Calibri"/>
                <w:b w:val="0"/>
                <w:sz w:val="22"/>
                <w:lang w:val="en-US"/>
              </w:rPr>
            </w:pPr>
            <w:r w:rsidRPr="006F2F59">
              <w:rPr>
                <w:rFonts w:ascii="Calibri" w:eastAsia="Times New Roman" w:hAnsi="Calibri" w:cs="Calibri"/>
                <w:b w:val="0"/>
                <w:sz w:val="22"/>
                <w:lang w:val="en-US"/>
              </w:rPr>
              <w:t>Incontinent at times</w:t>
            </w:r>
          </w:p>
        </w:tc>
        <w:tc>
          <w:tcPr>
            <w:cnfStyle w:val="000010000000" w:firstRow="0" w:lastRow="0" w:firstColumn="0" w:lastColumn="0" w:oddVBand="1" w:evenVBand="0" w:oddHBand="0" w:evenHBand="0" w:firstRowFirstColumn="0" w:firstRowLastColumn="0" w:lastRowFirstColumn="0" w:lastRowLastColumn="0"/>
            <w:tcW w:w="2410" w:type="dxa"/>
            <w:noWrap/>
            <w:vAlign w:val="bottom"/>
          </w:tcPr>
          <w:p w:rsidR="00283235" w:rsidRPr="006F2F59" w:rsidRDefault="00283235" w:rsidP="00283235">
            <w:pPr>
              <w:spacing w:after="0"/>
              <w:jc w:val="center"/>
              <w:rPr>
                <w:rFonts w:ascii="Calibri" w:eastAsia="Times New Roman" w:hAnsi="Calibri" w:cs="Calibri"/>
                <w:b/>
                <w:sz w:val="22"/>
                <w:lang w:val="en-US"/>
              </w:rPr>
            </w:pPr>
            <w:r w:rsidRPr="006F2F59">
              <w:rPr>
                <w:rFonts w:ascii="Calibri" w:hAnsi="Calibri"/>
                <w:sz w:val="22"/>
              </w:rPr>
              <w:t>1.14</w:t>
            </w:r>
          </w:p>
        </w:tc>
      </w:tr>
      <w:tr w:rsidR="00283235" w:rsidRPr="007960E9" w:rsidTr="00283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noWrap/>
            <w:hideMark/>
          </w:tcPr>
          <w:p w:rsidR="00283235" w:rsidRPr="006F2F59" w:rsidRDefault="00283235" w:rsidP="006F2F59">
            <w:pPr>
              <w:spacing w:after="0"/>
              <w:rPr>
                <w:rFonts w:ascii="Calibri" w:eastAsia="Times New Roman" w:hAnsi="Calibri" w:cs="Calibri"/>
                <w:b w:val="0"/>
                <w:sz w:val="22"/>
                <w:lang w:val="en-US"/>
              </w:rPr>
            </w:pPr>
            <w:r w:rsidRPr="006F2F59">
              <w:rPr>
                <w:rFonts w:ascii="Calibri" w:eastAsia="Times New Roman" w:hAnsi="Calibri" w:cs="Calibri"/>
                <w:b w:val="0"/>
                <w:sz w:val="22"/>
                <w:lang w:val="en-US"/>
              </w:rPr>
              <w:t>Incontinent at all times</w:t>
            </w:r>
          </w:p>
        </w:tc>
        <w:tc>
          <w:tcPr>
            <w:cnfStyle w:val="000010000000" w:firstRow="0" w:lastRow="0" w:firstColumn="0" w:lastColumn="0" w:oddVBand="1" w:evenVBand="0" w:oddHBand="0" w:evenHBand="0" w:firstRowFirstColumn="0" w:firstRowLastColumn="0" w:lastRowFirstColumn="0" w:lastRowLastColumn="0"/>
            <w:tcW w:w="2410" w:type="dxa"/>
            <w:noWrap/>
            <w:vAlign w:val="bottom"/>
          </w:tcPr>
          <w:p w:rsidR="00283235" w:rsidRPr="006F2F59" w:rsidRDefault="00283235" w:rsidP="00283235">
            <w:pPr>
              <w:spacing w:after="0"/>
              <w:jc w:val="center"/>
              <w:rPr>
                <w:rFonts w:ascii="Calibri" w:eastAsia="Times New Roman" w:hAnsi="Calibri" w:cs="Calibri"/>
                <w:b/>
                <w:sz w:val="22"/>
                <w:lang w:val="en-US"/>
              </w:rPr>
            </w:pPr>
            <w:r w:rsidRPr="006F2F59">
              <w:rPr>
                <w:rFonts w:ascii="Calibri" w:hAnsi="Calibri"/>
                <w:sz w:val="22"/>
              </w:rPr>
              <w:t>3.57</w:t>
            </w:r>
          </w:p>
        </w:tc>
      </w:tr>
    </w:tbl>
    <w:p w:rsidR="00043DB4" w:rsidRDefault="009F643E" w:rsidP="00043DB4">
      <w:pPr>
        <w:pStyle w:val="Caption"/>
        <w:keepNext/>
      </w:pPr>
      <w:bookmarkStart w:id="562" w:name="_Toc495416374"/>
      <w:bookmarkStart w:id="563" w:name="Tab0807"/>
      <w:r>
        <w:t>Table 8.</w:t>
      </w:r>
      <w:r w:rsidR="009A3F5A">
        <w:fldChar w:fldCharType="begin"/>
      </w:r>
      <w:r w:rsidR="009A3F5A">
        <w:instrText xml:space="preserve"> SEQ Table_8. \* ARABIC </w:instrText>
      </w:r>
      <w:r w:rsidR="009A3F5A">
        <w:fldChar w:fldCharType="separate"/>
      </w:r>
      <w:r w:rsidR="00856E49">
        <w:rPr>
          <w:noProof/>
        </w:rPr>
        <w:t>7</w:t>
      </w:r>
      <w:r w:rsidR="009A3F5A">
        <w:rPr>
          <w:noProof/>
        </w:rPr>
        <w:fldChar w:fldCharType="end"/>
      </w:r>
      <w:r>
        <w:t xml:space="preserve">: </w:t>
      </w:r>
      <w:r w:rsidRPr="009F643E">
        <w:t>R-ACFI ADL Payment Groups Compared with the Current ACFI</w:t>
      </w:r>
      <w:bookmarkEnd w:id="562"/>
    </w:p>
    <w:tbl>
      <w:tblPr>
        <w:tblStyle w:val="ListTable3-Accent515"/>
        <w:tblW w:w="9116"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8.7 is a list of details comparing funding for the activities of daily living categories (low, medium, high and very high) between the current aged care funding instrument (ACFI) and the revised aged care funding instrument (R-ACFI). This table is to be read left to right, top to bottom."/>
      </w:tblPr>
      <w:tblGrid>
        <w:gridCol w:w="1560"/>
        <w:gridCol w:w="1279"/>
        <w:gridCol w:w="1414"/>
        <w:gridCol w:w="1513"/>
        <w:gridCol w:w="1843"/>
        <w:gridCol w:w="1507"/>
      </w:tblGrid>
      <w:tr w:rsidR="00C05C39" w:rsidRPr="00012D98" w:rsidTr="00C05C3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60" w:type="dxa"/>
            <w:noWrap/>
            <w:hideMark/>
          </w:tcPr>
          <w:bookmarkEnd w:id="563"/>
          <w:p w:rsidR="00C05C39" w:rsidRPr="00CF0A97" w:rsidRDefault="00C05C39" w:rsidP="00C05C39">
            <w:pPr>
              <w:spacing w:before="60" w:after="60"/>
              <w:jc w:val="left"/>
              <w:rPr>
                <w:rFonts w:ascii="Calibri" w:eastAsia="Times New Roman" w:hAnsi="Calibri" w:cs="Calibri"/>
                <w:bCs w:val="0"/>
                <w:sz w:val="22"/>
                <w:lang w:val="en-US"/>
              </w:rPr>
            </w:pPr>
            <w:r>
              <w:rPr>
                <w:rFonts w:ascii="Calibri" w:eastAsia="Times New Roman" w:hAnsi="Calibri" w:cs="Calibri"/>
                <w:bCs w:val="0"/>
                <w:sz w:val="22"/>
                <w:lang w:val="en-US"/>
              </w:rPr>
              <w:t>R-ACFI ADL Category</w:t>
            </w:r>
          </w:p>
        </w:tc>
        <w:tc>
          <w:tcPr>
            <w:cnfStyle w:val="000010000000" w:firstRow="0" w:lastRow="0" w:firstColumn="0" w:lastColumn="0" w:oddVBand="1" w:evenVBand="0" w:oddHBand="0" w:evenHBand="0" w:firstRowFirstColumn="0" w:firstRowLastColumn="0" w:lastRowFirstColumn="0" w:lastRowLastColumn="0"/>
            <w:tcW w:w="1279" w:type="dxa"/>
            <w:noWrap/>
            <w:hideMark/>
          </w:tcPr>
          <w:p w:rsidR="00C05C39" w:rsidRPr="00CF0A97" w:rsidRDefault="00C05C39" w:rsidP="00C05C39">
            <w:pPr>
              <w:spacing w:before="60" w:after="60"/>
              <w:jc w:val="center"/>
              <w:rPr>
                <w:rFonts w:ascii="Calibri" w:eastAsia="Times New Roman" w:hAnsi="Calibri" w:cs="Calibri"/>
                <w:bCs w:val="0"/>
                <w:sz w:val="22"/>
                <w:lang w:val="en-US"/>
              </w:rPr>
            </w:pPr>
            <w:r>
              <w:rPr>
                <w:rFonts w:ascii="Calibri" w:eastAsia="Times New Roman" w:hAnsi="Calibri" w:cs="Calibri"/>
                <w:bCs w:val="0"/>
                <w:sz w:val="22"/>
                <w:lang w:val="en-US"/>
              </w:rPr>
              <w:t>Number in Group</w:t>
            </w:r>
          </w:p>
        </w:tc>
        <w:tc>
          <w:tcPr>
            <w:tcW w:w="1414" w:type="dxa"/>
            <w:noWrap/>
          </w:tcPr>
          <w:p w:rsidR="00C05C39" w:rsidRPr="00CF0A97" w:rsidRDefault="00C05C39" w:rsidP="00C05C39">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2"/>
                <w:lang w:val="en-US"/>
              </w:rPr>
            </w:pPr>
            <w:r>
              <w:rPr>
                <w:rFonts w:ascii="Calibri" w:eastAsia="Times New Roman" w:hAnsi="Calibri" w:cs="Calibri"/>
                <w:bCs w:val="0"/>
                <w:sz w:val="22"/>
                <w:lang w:val="en-US"/>
              </w:rPr>
              <w:t>Category Cut Point</w:t>
            </w:r>
            <w:r w:rsidRPr="006E2891">
              <w:rPr>
                <w:rFonts w:ascii="Calibri" w:eastAsia="Times New Roman" w:hAnsi="Calibri" w:cs="Calibri"/>
                <w:sz w:val="22"/>
                <w:lang w:val="en-US"/>
              </w:rPr>
              <w:t xml:space="preserve"> Low</w:t>
            </w:r>
          </w:p>
        </w:tc>
        <w:tc>
          <w:tcPr>
            <w:cnfStyle w:val="000010000000" w:firstRow="0" w:lastRow="0" w:firstColumn="0" w:lastColumn="0" w:oddVBand="1" w:evenVBand="0" w:oddHBand="0" w:evenHBand="0" w:firstRowFirstColumn="0" w:firstRowLastColumn="0" w:lastRowFirstColumn="0" w:lastRowLastColumn="0"/>
            <w:tcW w:w="1513" w:type="dxa"/>
          </w:tcPr>
          <w:p w:rsidR="00C05C39" w:rsidRPr="00CF0A97" w:rsidRDefault="00C05C39" w:rsidP="00C05C39">
            <w:pPr>
              <w:spacing w:before="60" w:after="60"/>
              <w:jc w:val="center"/>
              <w:rPr>
                <w:rFonts w:ascii="Calibri" w:eastAsia="Times New Roman" w:hAnsi="Calibri" w:cs="Calibri"/>
                <w:bCs w:val="0"/>
                <w:sz w:val="22"/>
                <w:lang w:val="en-US"/>
              </w:rPr>
            </w:pPr>
            <w:r>
              <w:rPr>
                <w:rFonts w:ascii="Calibri" w:eastAsia="Times New Roman" w:hAnsi="Calibri" w:cs="Calibri"/>
                <w:bCs w:val="0"/>
                <w:sz w:val="22"/>
                <w:lang w:val="en-US"/>
              </w:rPr>
              <w:t>Category Cut Point</w:t>
            </w:r>
            <w:r w:rsidRPr="006E2891">
              <w:rPr>
                <w:rFonts w:ascii="Calibri" w:eastAsia="Times New Roman" w:hAnsi="Calibri" w:cs="Calibri"/>
                <w:sz w:val="22"/>
                <w:lang w:val="en-US"/>
              </w:rPr>
              <w:t xml:space="preserve"> High</w:t>
            </w:r>
          </w:p>
        </w:tc>
        <w:tc>
          <w:tcPr>
            <w:tcW w:w="1843" w:type="dxa"/>
            <w:noWrap/>
            <w:hideMark/>
          </w:tcPr>
          <w:p w:rsidR="00C05C39" w:rsidRPr="00CF0A97" w:rsidRDefault="00C05C39" w:rsidP="00C05C39">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2"/>
                <w:lang w:val="en-US"/>
              </w:rPr>
            </w:pPr>
            <w:r>
              <w:rPr>
                <w:rFonts w:ascii="Calibri" w:eastAsia="Times New Roman" w:hAnsi="Calibri" w:cs="Calibri"/>
                <w:bCs w:val="0"/>
                <w:sz w:val="22"/>
                <w:lang w:val="en-US"/>
              </w:rPr>
              <w:t>Average Current ACFI Subsidy</w:t>
            </w:r>
            <w:r w:rsidRPr="006E2891">
              <w:rPr>
                <w:rFonts w:ascii="Calibri" w:eastAsia="Times New Roman" w:hAnsi="Calibri" w:cs="Calibri"/>
                <w:bCs w:val="0"/>
                <w:sz w:val="22"/>
                <w:vertAlign w:val="superscript"/>
                <w:lang w:val="en-US"/>
              </w:rPr>
              <w:t>1</w:t>
            </w:r>
          </w:p>
        </w:tc>
        <w:tc>
          <w:tcPr>
            <w:cnfStyle w:val="000010000000" w:firstRow="0" w:lastRow="0" w:firstColumn="0" w:lastColumn="0" w:oddVBand="1" w:evenVBand="0" w:oddHBand="0" w:evenHBand="0" w:firstRowFirstColumn="0" w:firstRowLastColumn="0" w:lastRowFirstColumn="0" w:lastRowLastColumn="0"/>
            <w:tcW w:w="1507" w:type="dxa"/>
            <w:noWrap/>
            <w:hideMark/>
          </w:tcPr>
          <w:p w:rsidR="00C05C39" w:rsidRPr="00CF0A97" w:rsidRDefault="00C05C39" w:rsidP="00C05C39">
            <w:pPr>
              <w:spacing w:before="60" w:after="60"/>
              <w:jc w:val="center"/>
              <w:rPr>
                <w:rFonts w:ascii="Calibri" w:eastAsia="Times New Roman" w:hAnsi="Calibri" w:cs="Calibri"/>
                <w:bCs w:val="0"/>
                <w:sz w:val="22"/>
                <w:lang w:val="en-US"/>
              </w:rPr>
            </w:pPr>
            <w:r>
              <w:rPr>
                <w:rFonts w:ascii="Calibri" w:eastAsia="Times New Roman" w:hAnsi="Calibri" w:cs="Calibri"/>
                <w:bCs w:val="0"/>
                <w:sz w:val="22"/>
                <w:lang w:val="en-US"/>
              </w:rPr>
              <w:t>Proposed R-ACFI Subsidy</w:t>
            </w:r>
            <w:r w:rsidRPr="006E2891">
              <w:rPr>
                <w:rFonts w:ascii="Calibri" w:eastAsia="Times New Roman" w:hAnsi="Calibri" w:cs="Calibri"/>
                <w:bCs w:val="0"/>
                <w:sz w:val="22"/>
                <w:vertAlign w:val="superscript"/>
                <w:lang w:val="en-US"/>
              </w:rPr>
              <w:t>1</w:t>
            </w:r>
          </w:p>
        </w:tc>
      </w:tr>
      <w:tr w:rsidR="00BC1DF8" w:rsidRPr="00BC1DF8" w:rsidTr="00C05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noWrap/>
            <w:vAlign w:val="bottom"/>
          </w:tcPr>
          <w:p w:rsidR="002E1C04" w:rsidRPr="00BC1DF8" w:rsidRDefault="002E1C04" w:rsidP="002E1C04">
            <w:pPr>
              <w:spacing w:after="0"/>
              <w:rPr>
                <w:rFonts w:ascii="Calibri" w:eastAsia="Times New Roman" w:hAnsi="Calibri" w:cs="Calibri"/>
                <w:sz w:val="22"/>
                <w:lang w:val="en-US"/>
              </w:rPr>
            </w:pPr>
            <w:r w:rsidRPr="00BC1DF8">
              <w:rPr>
                <w:rFonts w:ascii="Calibri" w:eastAsia="Times New Roman" w:hAnsi="Calibri" w:cs="Calibri"/>
                <w:sz w:val="22"/>
                <w:lang w:val="en-US"/>
              </w:rPr>
              <w:t>Low</w:t>
            </w:r>
          </w:p>
        </w:tc>
        <w:tc>
          <w:tcPr>
            <w:cnfStyle w:val="000010000000" w:firstRow="0" w:lastRow="0" w:firstColumn="0" w:lastColumn="0" w:oddVBand="1" w:evenVBand="0" w:oddHBand="0" w:evenHBand="0" w:firstRowFirstColumn="0" w:firstRowLastColumn="0" w:lastRowFirstColumn="0" w:lastRowLastColumn="0"/>
            <w:tcW w:w="1279" w:type="dxa"/>
            <w:noWrap/>
            <w:vAlign w:val="bottom"/>
          </w:tcPr>
          <w:p w:rsidR="002E1C04" w:rsidRPr="00BC1DF8" w:rsidRDefault="002E1C04" w:rsidP="004B3CD9">
            <w:pPr>
              <w:spacing w:after="0"/>
              <w:jc w:val="center"/>
              <w:rPr>
                <w:rFonts w:ascii="Calibri" w:eastAsia="Times New Roman" w:hAnsi="Calibri" w:cs="Calibri"/>
                <w:sz w:val="22"/>
                <w:lang w:val="en-US"/>
              </w:rPr>
            </w:pPr>
            <w:r w:rsidRPr="00BC1DF8">
              <w:rPr>
                <w:rFonts w:ascii="Calibri" w:eastAsia="Times New Roman" w:hAnsi="Calibri" w:cs="Times New Roman"/>
                <w:sz w:val="22"/>
                <w:lang w:val="en-US"/>
              </w:rPr>
              <w:t>17523</w:t>
            </w:r>
          </w:p>
        </w:tc>
        <w:tc>
          <w:tcPr>
            <w:tcW w:w="1414" w:type="dxa"/>
            <w:noWrap/>
            <w:vAlign w:val="bottom"/>
          </w:tcPr>
          <w:p w:rsidR="002E1C04" w:rsidRPr="00BC1DF8" w:rsidRDefault="002E1C04" w:rsidP="004B3CD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BC1DF8">
              <w:rPr>
                <w:rFonts w:ascii="Calibri" w:eastAsia="Times New Roman" w:hAnsi="Calibri" w:cs="Times New Roman"/>
                <w:sz w:val="22"/>
                <w:lang w:val="en-US"/>
              </w:rPr>
              <w:t>0.00</w:t>
            </w:r>
          </w:p>
        </w:tc>
        <w:tc>
          <w:tcPr>
            <w:cnfStyle w:val="000010000000" w:firstRow="0" w:lastRow="0" w:firstColumn="0" w:lastColumn="0" w:oddVBand="1" w:evenVBand="0" w:oddHBand="0" w:evenHBand="0" w:firstRowFirstColumn="0" w:firstRowLastColumn="0" w:lastRowFirstColumn="0" w:lastRowLastColumn="0"/>
            <w:tcW w:w="1513" w:type="dxa"/>
            <w:vAlign w:val="bottom"/>
          </w:tcPr>
          <w:p w:rsidR="002E1C04" w:rsidRPr="00BC1DF8" w:rsidRDefault="002E1C04" w:rsidP="004B3CD9">
            <w:pPr>
              <w:spacing w:after="0"/>
              <w:jc w:val="center"/>
              <w:rPr>
                <w:rFonts w:ascii="Calibri" w:eastAsia="Times New Roman" w:hAnsi="Calibri" w:cs="Calibri"/>
                <w:sz w:val="22"/>
                <w:lang w:val="en-US"/>
              </w:rPr>
            </w:pPr>
            <w:r w:rsidRPr="00BC1DF8">
              <w:rPr>
                <w:rFonts w:ascii="Calibri" w:eastAsia="Times New Roman" w:hAnsi="Calibri" w:cs="Times New Roman"/>
                <w:sz w:val="22"/>
                <w:lang w:val="en-US"/>
              </w:rPr>
              <w:t>34.66</w:t>
            </w:r>
          </w:p>
        </w:tc>
        <w:tc>
          <w:tcPr>
            <w:tcW w:w="1843" w:type="dxa"/>
            <w:noWrap/>
            <w:vAlign w:val="bottom"/>
          </w:tcPr>
          <w:p w:rsidR="002E1C04" w:rsidRPr="00BC1DF8" w:rsidRDefault="002E1C04" w:rsidP="004B3CD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BC1DF8">
              <w:rPr>
                <w:rFonts w:ascii="Calibri" w:eastAsia="Times New Roman" w:hAnsi="Calibri" w:cs="Times New Roman"/>
                <w:sz w:val="22"/>
                <w:lang w:val="en-US"/>
              </w:rPr>
              <w:t>$34.33</w:t>
            </w:r>
          </w:p>
        </w:tc>
        <w:tc>
          <w:tcPr>
            <w:cnfStyle w:val="000010000000" w:firstRow="0" w:lastRow="0" w:firstColumn="0" w:lastColumn="0" w:oddVBand="1" w:evenVBand="0" w:oddHBand="0" w:evenHBand="0" w:firstRowFirstColumn="0" w:firstRowLastColumn="0" w:lastRowFirstColumn="0" w:lastRowLastColumn="0"/>
            <w:tcW w:w="1507" w:type="dxa"/>
            <w:noWrap/>
            <w:vAlign w:val="bottom"/>
          </w:tcPr>
          <w:p w:rsidR="002E1C04" w:rsidRPr="00BC1DF8" w:rsidRDefault="002E1C04" w:rsidP="004B3CD9">
            <w:pPr>
              <w:spacing w:after="0"/>
              <w:jc w:val="center"/>
              <w:rPr>
                <w:rFonts w:ascii="Calibri" w:eastAsia="Times New Roman" w:hAnsi="Calibri" w:cs="Calibri"/>
                <w:sz w:val="22"/>
                <w:lang w:val="en-US"/>
              </w:rPr>
            </w:pPr>
            <w:r w:rsidRPr="00BC1DF8">
              <w:rPr>
                <w:rFonts w:ascii="Calibri" w:eastAsia="Times New Roman" w:hAnsi="Calibri" w:cs="Times New Roman"/>
                <w:sz w:val="22"/>
                <w:lang w:val="en-US"/>
              </w:rPr>
              <w:t>$44.54</w:t>
            </w:r>
          </w:p>
        </w:tc>
      </w:tr>
      <w:tr w:rsidR="00BC1DF8" w:rsidRPr="00BC1DF8" w:rsidTr="00C05C39">
        <w:tc>
          <w:tcPr>
            <w:cnfStyle w:val="001000000000" w:firstRow="0" w:lastRow="0" w:firstColumn="1" w:lastColumn="0" w:oddVBand="0" w:evenVBand="0" w:oddHBand="0" w:evenHBand="0" w:firstRowFirstColumn="0" w:firstRowLastColumn="0" w:lastRowFirstColumn="0" w:lastRowLastColumn="0"/>
            <w:tcW w:w="1560" w:type="dxa"/>
            <w:noWrap/>
            <w:vAlign w:val="bottom"/>
          </w:tcPr>
          <w:p w:rsidR="002E1C04" w:rsidRPr="00BC1DF8" w:rsidRDefault="002E1C04" w:rsidP="002E1C04">
            <w:pPr>
              <w:spacing w:after="0"/>
              <w:rPr>
                <w:rFonts w:ascii="Calibri" w:eastAsia="Times New Roman" w:hAnsi="Calibri" w:cs="Calibri"/>
                <w:sz w:val="22"/>
                <w:lang w:val="en-US"/>
              </w:rPr>
            </w:pPr>
            <w:r w:rsidRPr="00BC1DF8">
              <w:rPr>
                <w:rFonts w:ascii="Calibri" w:eastAsia="Times New Roman" w:hAnsi="Calibri" w:cs="Calibri"/>
                <w:sz w:val="22"/>
                <w:lang w:val="en-US"/>
              </w:rPr>
              <w:t>Medium</w:t>
            </w:r>
          </w:p>
        </w:tc>
        <w:tc>
          <w:tcPr>
            <w:cnfStyle w:val="000010000000" w:firstRow="0" w:lastRow="0" w:firstColumn="0" w:lastColumn="0" w:oddVBand="1" w:evenVBand="0" w:oddHBand="0" w:evenHBand="0" w:firstRowFirstColumn="0" w:firstRowLastColumn="0" w:lastRowFirstColumn="0" w:lastRowLastColumn="0"/>
            <w:tcW w:w="1279" w:type="dxa"/>
            <w:noWrap/>
            <w:vAlign w:val="bottom"/>
          </w:tcPr>
          <w:p w:rsidR="002E1C04" w:rsidRPr="00BC1DF8" w:rsidRDefault="002E1C04" w:rsidP="004B3CD9">
            <w:pPr>
              <w:spacing w:after="0"/>
              <w:jc w:val="center"/>
              <w:rPr>
                <w:rFonts w:ascii="Calibri" w:eastAsia="Times New Roman" w:hAnsi="Calibri" w:cs="Calibri"/>
                <w:sz w:val="22"/>
                <w:lang w:val="en-US"/>
              </w:rPr>
            </w:pPr>
            <w:r w:rsidRPr="00BC1DF8">
              <w:rPr>
                <w:rFonts w:ascii="Calibri" w:eastAsia="Times New Roman" w:hAnsi="Calibri" w:cs="Times New Roman"/>
                <w:sz w:val="22"/>
                <w:lang w:val="en-US"/>
              </w:rPr>
              <w:t>52255</w:t>
            </w:r>
          </w:p>
        </w:tc>
        <w:tc>
          <w:tcPr>
            <w:tcW w:w="1414" w:type="dxa"/>
            <w:noWrap/>
            <w:vAlign w:val="bottom"/>
          </w:tcPr>
          <w:p w:rsidR="002E1C04" w:rsidRPr="00BC1DF8" w:rsidRDefault="002E1C04" w:rsidP="004B3CD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BC1DF8">
              <w:rPr>
                <w:rFonts w:ascii="Calibri" w:eastAsia="Times New Roman" w:hAnsi="Calibri" w:cs="Times New Roman"/>
                <w:sz w:val="22"/>
                <w:lang w:val="en-US"/>
              </w:rPr>
              <w:t>34.67</w:t>
            </w:r>
          </w:p>
        </w:tc>
        <w:tc>
          <w:tcPr>
            <w:cnfStyle w:val="000010000000" w:firstRow="0" w:lastRow="0" w:firstColumn="0" w:lastColumn="0" w:oddVBand="1" w:evenVBand="0" w:oddHBand="0" w:evenHBand="0" w:firstRowFirstColumn="0" w:firstRowLastColumn="0" w:lastRowFirstColumn="0" w:lastRowLastColumn="0"/>
            <w:tcW w:w="1513" w:type="dxa"/>
            <w:vAlign w:val="bottom"/>
          </w:tcPr>
          <w:p w:rsidR="002E1C04" w:rsidRPr="00BC1DF8" w:rsidRDefault="002E1C04" w:rsidP="004B3CD9">
            <w:pPr>
              <w:spacing w:after="0"/>
              <w:jc w:val="center"/>
              <w:rPr>
                <w:rFonts w:ascii="Calibri" w:eastAsia="Times New Roman" w:hAnsi="Calibri" w:cs="Calibri"/>
                <w:sz w:val="22"/>
                <w:lang w:val="en-US"/>
              </w:rPr>
            </w:pPr>
            <w:r w:rsidRPr="00BC1DF8">
              <w:rPr>
                <w:rFonts w:ascii="Calibri" w:eastAsia="Times New Roman" w:hAnsi="Calibri" w:cs="Times New Roman"/>
                <w:sz w:val="22"/>
                <w:lang w:val="en-US"/>
              </w:rPr>
              <w:t>64.43</w:t>
            </w:r>
          </w:p>
        </w:tc>
        <w:tc>
          <w:tcPr>
            <w:tcW w:w="1843" w:type="dxa"/>
            <w:noWrap/>
            <w:vAlign w:val="bottom"/>
          </w:tcPr>
          <w:p w:rsidR="002E1C04" w:rsidRPr="00BC1DF8" w:rsidRDefault="002E1C04" w:rsidP="004B3CD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BC1DF8">
              <w:rPr>
                <w:rFonts w:ascii="Calibri" w:eastAsia="Times New Roman" w:hAnsi="Calibri" w:cs="Times New Roman"/>
                <w:sz w:val="22"/>
                <w:lang w:val="en-US"/>
              </w:rPr>
              <w:t>$74.49</w:t>
            </w:r>
          </w:p>
        </w:tc>
        <w:tc>
          <w:tcPr>
            <w:cnfStyle w:val="000010000000" w:firstRow="0" w:lastRow="0" w:firstColumn="0" w:lastColumn="0" w:oddVBand="1" w:evenVBand="0" w:oddHBand="0" w:evenHBand="0" w:firstRowFirstColumn="0" w:firstRowLastColumn="0" w:lastRowFirstColumn="0" w:lastRowLastColumn="0"/>
            <w:tcW w:w="1507" w:type="dxa"/>
            <w:noWrap/>
            <w:vAlign w:val="bottom"/>
          </w:tcPr>
          <w:p w:rsidR="002E1C04" w:rsidRPr="00BC1DF8" w:rsidRDefault="002E1C04" w:rsidP="004B3CD9">
            <w:pPr>
              <w:spacing w:after="0"/>
              <w:jc w:val="center"/>
              <w:rPr>
                <w:rFonts w:ascii="Calibri" w:eastAsia="Times New Roman" w:hAnsi="Calibri" w:cs="Calibri"/>
                <w:sz w:val="22"/>
                <w:lang w:val="en-US"/>
              </w:rPr>
            </w:pPr>
            <w:r w:rsidRPr="00BC1DF8">
              <w:rPr>
                <w:rFonts w:ascii="Calibri" w:eastAsia="Times New Roman" w:hAnsi="Calibri" w:cs="Times New Roman"/>
                <w:sz w:val="22"/>
                <w:lang w:val="en-US"/>
              </w:rPr>
              <w:t>$71.27</w:t>
            </w:r>
          </w:p>
        </w:tc>
      </w:tr>
      <w:tr w:rsidR="00BC1DF8" w:rsidRPr="00BC1DF8" w:rsidTr="00C05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noWrap/>
            <w:vAlign w:val="bottom"/>
          </w:tcPr>
          <w:p w:rsidR="002E1C04" w:rsidRPr="00BC1DF8" w:rsidRDefault="002E1C04" w:rsidP="002E1C04">
            <w:pPr>
              <w:spacing w:after="0"/>
              <w:rPr>
                <w:rFonts w:ascii="Calibri" w:eastAsia="Times New Roman" w:hAnsi="Calibri" w:cs="Calibri"/>
                <w:sz w:val="22"/>
                <w:lang w:val="en-US"/>
              </w:rPr>
            </w:pPr>
            <w:r w:rsidRPr="00BC1DF8">
              <w:rPr>
                <w:rFonts w:ascii="Calibri" w:eastAsia="Times New Roman" w:hAnsi="Calibri" w:cs="Calibri"/>
                <w:sz w:val="22"/>
                <w:lang w:val="en-US"/>
              </w:rPr>
              <w:t>High</w:t>
            </w:r>
          </w:p>
        </w:tc>
        <w:tc>
          <w:tcPr>
            <w:cnfStyle w:val="000010000000" w:firstRow="0" w:lastRow="0" w:firstColumn="0" w:lastColumn="0" w:oddVBand="1" w:evenVBand="0" w:oddHBand="0" w:evenHBand="0" w:firstRowFirstColumn="0" w:firstRowLastColumn="0" w:lastRowFirstColumn="0" w:lastRowLastColumn="0"/>
            <w:tcW w:w="1279" w:type="dxa"/>
            <w:noWrap/>
            <w:vAlign w:val="bottom"/>
          </w:tcPr>
          <w:p w:rsidR="002E1C04" w:rsidRPr="00BC1DF8" w:rsidRDefault="002E1C04" w:rsidP="004B3CD9">
            <w:pPr>
              <w:spacing w:after="0"/>
              <w:jc w:val="center"/>
              <w:rPr>
                <w:rFonts w:ascii="Calibri" w:eastAsia="Times New Roman" w:hAnsi="Calibri" w:cs="Calibri"/>
                <w:sz w:val="22"/>
                <w:lang w:val="en-US"/>
              </w:rPr>
            </w:pPr>
            <w:r w:rsidRPr="00BC1DF8">
              <w:rPr>
                <w:rFonts w:ascii="Calibri" w:eastAsia="Times New Roman" w:hAnsi="Calibri" w:cs="Times New Roman"/>
                <w:sz w:val="22"/>
                <w:lang w:val="en-US"/>
              </w:rPr>
              <w:t>66695</w:t>
            </w:r>
          </w:p>
        </w:tc>
        <w:tc>
          <w:tcPr>
            <w:tcW w:w="1414" w:type="dxa"/>
            <w:noWrap/>
            <w:vAlign w:val="bottom"/>
          </w:tcPr>
          <w:p w:rsidR="002E1C04" w:rsidRPr="00BC1DF8" w:rsidRDefault="002E1C04" w:rsidP="004B3CD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BC1DF8">
              <w:rPr>
                <w:rFonts w:ascii="Calibri" w:eastAsia="Times New Roman" w:hAnsi="Calibri" w:cs="Times New Roman"/>
                <w:sz w:val="22"/>
                <w:lang w:val="en-US"/>
              </w:rPr>
              <w:t>64.44</w:t>
            </w:r>
          </w:p>
        </w:tc>
        <w:tc>
          <w:tcPr>
            <w:cnfStyle w:val="000010000000" w:firstRow="0" w:lastRow="0" w:firstColumn="0" w:lastColumn="0" w:oddVBand="1" w:evenVBand="0" w:oddHBand="0" w:evenHBand="0" w:firstRowFirstColumn="0" w:firstRowLastColumn="0" w:lastRowFirstColumn="0" w:lastRowLastColumn="0"/>
            <w:tcW w:w="1513" w:type="dxa"/>
            <w:vAlign w:val="bottom"/>
          </w:tcPr>
          <w:p w:rsidR="002E1C04" w:rsidRPr="00BC1DF8" w:rsidRDefault="002E1C04" w:rsidP="004B3CD9">
            <w:pPr>
              <w:spacing w:after="0"/>
              <w:jc w:val="center"/>
              <w:rPr>
                <w:rFonts w:ascii="Calibri" w:eastAsia="Times New Roman" w:hAnsi="Calibri" w:cs="Calibri"/>
                <w:sz w:val="22"/>
                <w:lang w:val="en-US"/>
              </w:rPr>
            </w:pPr>
            <w:r w:rsidRPr="00BC1DF8">
              <w:rPr>
                <w:rFonts w:ascii="Calibri" w:eastAsia="Times New Roman" w:hAnsi="Calibri" w:cs="Times New Roman"/>
                <w:sz w:val="22"/>
                <w:lang w:val="en-US"/>
              </w:rPr>
              <w:t>75.38</w:t>
            </w:r>
          </w:p>
        </w:tc>
        <w:tc>
          <w:tcPr>
            <w:tcW w:w="1843" w:type="dxa"/>
            <w:noWrap/>
            <w:vAlign w:val="bottom"/>
          </w:tcPr>
          <w:p w:rsidR="002E1C04" w:rsidRPr="00BC1DF8" w:rsidRDefault="002E1C04" w:rsidP="004B3CD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BC1DF8">
              <w:rPr>
                <w:rFonts w:ascii="Calibri" w:eastAsia="Times New Roman" w:hAnsi="Calibri" w:cs="Times New Roman"/>
                <w:sz w:val="22"/>
                <w:lang w:val="en-US"/>
              </w:rPr>
              <w:t>$106.99</w:t>
            </w:r>
          </w:p>
        </w:tc>
        <w:tc>
          <w:tcPr>
            <w:cnfStyle w:val="000010000000" w:firstRow="0" w:lastRow="0" w:firstColumn="0" w:lastColumn="0" w:oddVBand="1" w:evenVBand="0" w:oddHBand="0" w:evenHBand="0" w:firstRowFirstColumn="0" w:firstRowLastColumn="0" w:lastRowFirstColumn="0" w:lastRowLastColumn="0"/>
            <w:tcW w:w="1507" w:type="dxa"/>
            <w:noWrap/>
            <w:vAlign w:val="bottom"/>
          </w:tcPr>
          <w:p w:rsidR="002E1C04" w:rsidRPr="00BC1DF8" w:rsidRDefault="002E1C04" w:rsidP="004B3CD9">
            <w:pPr>
              <w:spacing w:after="0"/>
              <w:jc w:val="center"/>
              <w:rPr>
                <w:rFonts w:ascii="Calibri" w:eastAsia="Times New Roman" w:hAnsi="Calibri" w:cs="Calibri"/>
                <w:sz w:val="22"/>
                <w:lang w:val="en-US"/>
              </w:rPr>
            </w:pPr>
            <w:r w:rsidRPr="00BC1DF8">
              <w:rPr>
                <w:rFonts w:ascii="Calibri" w:eastAsia="Times New Roman" w:hAnsi="Calibri" w:cs="Times New Roman"/>
                <w:sz w:val="22"/>
                <w:lang w:val="en-US"/>
              </w:rPr>
              <w:t>$98.00</w:t>
            </w:r>
          </w:p>
        </w:tc>
      </w:tr>
      <w:tr w:rsidR="00BC1DF8" w:rsidRPr="00BC1DF8" w:rsidTr="00C05C39">
        <w:tc>
          <w:tcPr>
            <w:cnfStyle w:val="001000000000" w:firstRow="0" w:lastRow="0" w:firstColumn="1" w:lastColumn="0" w:oddVBand="0" w:evenVBand="0" w:oddHBand="0" w:evenHBand="0" w:firstRowFirstColumn="0" w:firstRowLastColumn="0" w:lastRowFirstColumn="0" w:lastRowLastColumn="0"/>
            <w:tcW w:w="1560" w:type="dxa"/>
            <w:noWrap/>
            <w:vAlign w:val="bottom"/>
          </w:tcPr>
          <w:p w:rsidR="002E1C04" w:rsidRPr="00BC1DF8" w:rsidRDefault="002E1C04" w:rsidP="002E1C04">
            <w:pPr>
              <w:spacing w:after="0"/>
              <w:rPr>
                <w:rFonts w:ascii="Calibri" w:eastAsia="Times New Roman" w:hAnsi="Calibri" w:cs="Calibri"/>
                <w:sz w:val="22"/>
                <w:lang w:val="en-US"/>
              </w:rPr>
            </w:pPr>
            <w:r w:rsidRPr="00BC1DF8">
              <w:rPr>
                <w:rFonts w:ascii="Calibri" w:eastAsia="Times New Roman" w:hAnsi="Calibri" w:cs="Calibri"/>
                <w:sz w:val="22"/>
                <w:lang w:val="en-US"/>
              </w:rPr>
              <w:t>Very High</w:t>
            </w:r>
          </w:p>
        </w:tc>
        <w:tc>
          <w:tcPr>
            <w:cnfStyle w:val="000010000000" w:firstRow="0" w:lastRow="0" w:firstColumn="0" w:lastColumn="0" w:oddVBand="1" w:evenVBand="0" w:oddHBand="0" w:evenHBand="0" w:firstRowFirstColumn="0" w:firstRowLastColumn="0" w:lastRowFirstColumn="0" w:lastRowLastColumn="0"/>
            <w:tcW w:w="1279" w:type="dxa"/>
            <w:noWrap/>
            <w:vAlign w:val="bottom"/>
          </w:tcPr>
          <w:p w:rsidR="002E1C04" w:rsidRPr="00BC1DF8" w:rsidRDefault="002E1C04" w:rsidP="004B3CD9">
            <w:pPr>
              <w:spacing w:after="0"/>
              <w:jc w:val="center"/>
              <w:rPr>
                <w:rFonts w:ascii="Calibri" w:eastAsia="Times New Roman" w:hAnsi="Calibri" w:cs="Calibri"/>
                <w:sz w:val="22"/>
                <w:lang w:val="en-US"/>
              </w:rPr>
            </w:pPr>
            <w:r w:rsidRPr="00BC1DF8">
              <w:rPr>
                <w:rFonts w:ascii="Calibri" w:eastAsia="Times New Roman" w:hAnsi="Calibri" w:cs="Times New Roman"/>
                <w:sz w:val="22"/>
                <w:lang w:val="en-US"/>
              </w:rPr>
              <w:t>38887</w:t>
            </w:r>
          </w:p>
        </w:tc>
        <w:tc>
          <w:tcPr>
            <w:tcW w:w="1414" w:type="dxa"/>
            <w:noWrap/>
            <w:vAlign w:val="bottom"/>
          </w:tcPr>
          <w:p w:rsidR="002E1C04" w:rsidRPr="00BC1DF8" w:rsidRDefault="002E1C04" w:rsidP="004B3CD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BC1DF8">
              <w:rPr>
                <w:rFonts w:ascii="Calibri" w:eastAsia="Times New Roman" w:hAnsi="Calibri" w:cs="Times New Roman"/>
                <w:sz w:val="22"/>
                <w:lang w:val="en-US"/>
              </w:rPr>
              <w:t>75.50</w:t>
            </w:r>
          </w:p>
        </w:tc>
        <w:tc>
          <w:tcPr>
            <w:cnfStyle w:val="000010000000" w:firstRow="0" w:lastRow="0" w:firstColumn="0" w:lastColumn="0" w:oddVBand="1" w:evenVBand="0" w:oddHBand="0" w:evenHBand="0" w:firstRowFirstColumn="0" w:firstRowLastColumn="0" w:lastRowFirstColumn="0" w:lastRowLastColumn="0"/>
            <w:tcW w:w="1513" w:type="dxa"/>
            <w:vAlign w:val="bottom"/>
          </w:tcPr>
          <w:p w:rsidR="002E1C04" w:rsidRPr="00BC1DF8" w:rsidRDefault="002E1C04" w:rsidP="004B3CD9">
            <w:pPr>
              <w:spacing w:after="0"/>
              <w:jc w:val="center"/>
              <w:rPr>
                <w:rFonts w:ascii="Calibri" w:eastAsia="Times New Roman" w:hAnsi="Calibri" w:cs="Calibri"/>
                <w:sz w:val="22"/>
                <w:lang w:val="en-US"/>
              </w:rPr>
            </w:pPr>
            <w:r w:rsidRPr="00BC1DF8">
              <w:rPr>
                <w:rFonts w:ascii="Calibri" w:eastAsia="Times New Roman" w:hAnsi="Calibri" w:cs="Times New Roman"/>
                <w:sz w:val="22"/>
                <w:lang w:val="en-US"/>
              </w:rPr>
              <w:t>100.00</w:t>
            </w:r>
          </w:p>
        </w:tc>
        <w:tc>
          <w:tcPr>
            <w:tcW w:w="1843" w:type="dxa"/>
            <w:noWrap/>
            <w:vAlign w:val="bottom"/>
          </w:tcPr>
          <w:p w:rsidR="002E1C04" w:rsidRPr="00BC1DF8" w:rsidRDefault="002E1C04" w:rsidP="004B3CD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BC1DF8">
              <w:rPr>
                <w:rFonts w:ascii="Calibri" w:eastAsia="Times New Roman" w:hAnsi="Calibri" w:cs="Times New Roman"/>
                <w:sz w:val="22"/>
                <w:lang w:val="en-US"/>
              </w:rPr>
              <w:t>$109.57</w:t>
            </w:r>
          </w:p>
        </w:tc>
        <w:tc>
          <w:tcPr>
            <w:cnfStyle w:val="000010000000" w:firstRow="0" w:lastRow="0" w:firstColumn="0" w:lastColumn="0" w:oddVBand="1" w:evenVBand="0" w:oddHBand="0" w:evenHBand="0" w:firstRowFirstColumn="0" w:firstRowLastColumn="0" w:lastRowFirstColumn="0" w:lastRowLastColumn="0"/>
            <w:tcW w:w="1507" w:type="dxa"/>
            <w:noWrap/>
            <w:vAlign w:val="bottom"/>
          </w:tcPr>
          <w:p w:rsidR="002E1C04" w:rsidRPr="00BC1DF8" w:rsidRDefault="002E1C04" w:rsidP="004B3CD9">
            <w:pPr>
              <w:spacing w:after="0"/>
              <w:jc w:val="center"/>
              <w:rPr>
                <w:rFonts w:ascii="Calibri" w:eastAsia="Times New Roman" w:hAnsi="Calibri" w:cs="Calibri"/>
                <w:sz w:val="22"/>
                <w:lang w:val="en-US"/>
              </w:rPr>
            </w:pPr>
            <w:r w:rsidRPr="00BC1DF8">
              <w:rPr>
                <w:rFonts w:ascii="Calibri" w:eastAsia="Times New Roman" w:hAnsi="Calibri" w:cs="Times New Roman"/>
                <w:sz w:val="22"/>
                <w:lang w:val="en-US"/>
              </w:rPr>
              <w:t>$124.73</w:t>
            </w:r>
          </w:p>
        </w:tc>
      </w:tr>
      <w:tr w:rsidR="00BC1DF8" w:rsidRPr="00BC1DF8" w:rsidTr="000B4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noWrap/>
            <w:vAlign w:val="bottom"/>
          </w:tcPr>
          <w:p w:rsidR="002E1C04" w:rsidRPr="00BC1DF8" w:rsidRDefault="002E1C04" w:rsidP="002E1C04">
            <w:pPr>
              <w:spacing w:after="0"/>
              <w:rPr>
                <w:rFonts w:ascii="Calibri" w:eastAsia="Times New Roman" w:hAnsi="Calibri" w:cs="Calibri"/>
                <w:sz w:val="22"/>
                <w:lang w:val="en-US"/>
              </w:rPr>
            </w:pPr>
            <w:r w:rsidRPr="00BC1DF8">
              <w:rPr>
                <w:rFonts w:ascii="Calibri" w:eastAsia="Times New Roman" w:hAnsi="Calibri" w:cs="Calibri"/>
                <w:sz w:val="22"/>
                <w:lang w:val="en-US"/>
              </w:rPr>
              <w:t>Total</w:t>
            </w:r>
          </w:p>
        </w:tc>
        <w:tc>
          <w:tcPr>
            <w:cnfStyle w:val="000010000000" w:firstRow="0" w:lastRow="0" w:firstColumn="0" w:lastColumn="0" w:oddVBand="1" w:evenVBand="0" w:oddHBand="0" w:evenHBand="0" w:firstRowFirstColumn="0" w:firstRowLastColumn="0" w:lastRowFirstColumn="0" w:lastRowLastColumn="0"/>
            <w:tcW w:w="1279" w:type="dxa"/>
            <w:shd w:val="clear" w:color="auto" w:fill="auto"/>
            <w:noWrap/>
            <w:vAlign w:val="bottom"/>
          </w:tcPr>
          <w:p w:rsidR="002E1C04" w:rsidRPr="00BC1DF8" w:rsidRDefault="002E1C04" w:rsidP="004B3CD9">
            <w:pPr>
              <w:spacing w:after="0"/>
              <w:jc w:val="center"/>
              <w:rPr>
                <w:rFonts w:ascii="Calibri" w:eastAsia="Times New Roman" w:hAnsi="Calibri" w:cs="Calibri"/>
                <w:sz w:val="22"/>
                <w:lang w:val="en-US"/>
              </w:rPr>
            </w:pPr>
            <w:r w:rsidRPr="00BC1DF8">
              <w:rPr>
                <w:rFonts w:ascii="Calibri" w:eastAsia="Times New Roman" w:hAnsi="Calibri" w:cs="Times New Roman"/>
                <w:b/>
                <w:bCs/>
                <w:sz w:val="22"/>
                <w:lang w:val="en-US"/>
              </w:rPr>
              <w:t>175360</w:t>
            </w:r>
          </w:p>
        </w:tc>
        <w:tc>
          <w:tcPr>
            <w:tcW w:w="1414" w:type="dxa"/>
            <w:shd w:val="clear" w:color="auto" w:fill="auto"/>
            <w:noWrap/>
            <w:vAlign w:val="bottom"/>
          </w:tcPr>
          <w:p w:rsidR="002E1C04" w:rsidRPr="00BC1DF8" w:rsidRDefault="002E1C04" w:rsidP="004B3CD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BC1DF8">
              <w:rPr>
                <w:rFonts w:ascii="Calibri" w:eastAsia="Times New Roman" w:hAnsi="Calibri" w:cs="Times New Roman"/>
                <w:b/>
                <w:bCs/>
                <w:sz w:val="22"/>
                <w:lang w:val="en-US"/>
              </w:rPr>
              <w:t>0.00</w:t>
            </w:r>
          </w:p>
        </w:tc>
        <w:tc>
          <w:tcPr>
            <w:cnfStyle w:val="000010000000" w:firstRow="0" w:lastRow="0" w:firstColumn="0" w:lastColumn="0" w:oddVBand="1" w:evenVBand="0" w:oddHBand="0" w:evenHBand="0" w:firstRowFirstColumn="0" w:firstRowLastColumn="0" w:lastRowFirstColumn="0" w:lastRowLastColumn="0"/>
            <w:tcW w:w="1513" w:type="dxa"/>
            <w:shd w:val="clear" w:color="auto" w:fill="auto"/>
            <w:vAlign w:val="bottom"/>
          </w:tcPr>
          <w:p w:rsidR="002E1C04" w:rsidRPr="00BC1DF8" w:rsidRDefault="002E1C04" w:rsidP="004B3CD9">
            <w:pPr>
              <w:spacing w:after="0"/>
              <w:jc w:val="center"/>
              <w:rPr>
                <w:rFonts w:ascii="Calibri" w:eastAsia="Times New Roman" w:hAnsi="Calibri" w:cs="Calibri"/>
                <w:sz w:val="22"/>
                <w:lang w:val="en-US"/>
              </w:rPr>
            </w:pPr>
            <w:r w:rsidRPr="00BC1DF8">
              <w:rPr>
                <w:rFonts w:ascii="Calibri" w:eastAsia="Times New Roman" w:hAnsi="Calibri" w:cs="Times New Roman"/>
                <w:b/>
                <w:bCs/>
                <w:sz w:val="22"/>
                <w:lang w:val="en-US"/>
              </w:rPr>
              <w:t>100.00</w:t>
            </w:r>
          </w:p>
        </w:tc>
        <w:tc>
          <w:tcPr>
            <w:tcW w:w="1843" w:type="dxa"/>
            <w:shd w:val="clear" w:color="auto" w:fill="auto"/>
            <w:noWrap/>
            <w:vAlign w:val="bottom"/>
          </w:tcPr>
          <w:p w:rsidR="002E1C04" w:rsidRPr="00BC1DF8" w:rsidRDefault="002E1C04" w:rsidP="004B3CD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BC1DF8">
              <w:rPr>
                <w:rFonts w:ascii="Calibri" w:eastAsia="Times New Roman" w:hAnsi="Calibri" w:cs="Times New Roman"/>
                <w:b/>
                <w:bCs/>
                <w:sz w:val="22"/>
                <w:lang w:val="en-US"/>
              </w:rPr>
              <w:t>$90.62</w:t>
            </w:r>
          </w:p>
        </w:tc>
        <w:tc>
          <w:tcPr>
            <w:cnfStyle w:val="000010000000" w:firstRow="0" w:lastRow="0" w:firstColumn="0" w:lastColumn="0" w:oddVBand="1" w:evenVBand="0" w:oddHBand="0" w:evenHBand="0" w:firstRowFirstColumn="0" w:firstRowLastColumn="0" w:lastRowFirstColumn="0" w:lastRowLastColumn="0"/>
            <w:tcW w:w="1507" w:type="dxa"/>
            <w:shd w:val="clear" w:color="auto" w:fill="auto"/>
            <w:noWrap/>
            <w:vAlign w:val="bottom"/>
          </w:tcPr>
          <w:p w:rsidR="002E1C04" w:rsidRPr="00BC1DF8" w:rsidRDefault="002E1C04" w:rsidP="004B3CD9">
            <w:pPr>
              <w:spacing w:after="0"/>
              <w:jc w:val="center"/>
              <w:rPr>
                <w:rFonts w:ascii="Calibri" w:eastAsia="Times New Roman" w:hAnsi="Calibri" w:cs="Calibri"/>
                <w:sz w:val="22"/>
                <w:lang w:val="en-US"/>
              </w:rPr>
            </w:pPr>
            <w:r w:rsidRPr="00BC1DF8">
              <w:rPr>
                <w:rFonts w:ascii="Calibri" w:eastAsia="Times New Roman" w:hAnsi="Calibri" w:cs="Times New Roman"/>
                <w:b/>
                <w:bCs/>
                <w:sz w:val="22"/>
                <w:lang w:val="en-US"/>
              </w:rPr>
              <w:t>$90.62</w:t>
            </w:r>
          </w:p>
        </w:tc>
      </w:tr>
    </w:tbl>
    <w:p w:rsidR="00AC0E0E" w:rsidRPr="00283235" w:rsidRDefault="00256E3D" w:rsidP="00283235">
      <w:pPr>
        <w:spacing w:before="60" w:after="600"/>
        <w:rPr>
          <w:rFonts w:cstheme="minorHAnsi"/>
          <w:sz w:val="22"/>
          <w:szCs w:val="20"/>
          <w:lang w:eastAsia="en-AU"/>
        </w:rPr>
      </w:pPr>
      <w:r w:rsidRPr="00283235">
        <w:rPr>
          <w:rFonts w:cstheme="minorHAnsi"/>
          <w:sz w:val="22"/>
          <w:szCs w:val="20"/>
          <w:vertAlign w:val="superscript"/>
          <w:lang w:eastAsia="en-AU"/>
        </w:rPr>
        <w:t>1</w:t>
      </w:r>
      <w:r w:rsidRPr="00283235">
        <w:rPr>
          <w:rFonts w:cstheme="minorHAnsi"/>
          <w:sz w:val="22"/>
          <w:szCs w:val="20"/>
          <w:lang w:eastAsia="en-AU"/>
        </w:rPr>
        <w:t xml:space="preserve"> based on 1 July 2016 rates</w:t>
      </w:r>
      <w:r w:rsidR="00AC0E0E" w:rsidRPr="00283235">
        <w:rPr>
          <w:rFonts w:cstheme="minorHAnsi"/>
          <w:sz w:val="22"/>
          <w:szCs w:val="20"/>
          <w:lang w:eastAsia="en-AU"/>
        </w:rPr>
        <w:br w:type="page"/>
      </w:r>
    </w:p>
    <w:p w:rsidR="00043DB4" w:rsidRDefault="009F643E" w:rsidP="00043DB4">
      <w:pPr>
        <w:pStyle w:val="Caption"/>
        <w:keepNext/>
      </w:pPr>
      <w:bookmarkStart w:id="564" w:name="_Toc495416375"/>
      <w:bookmarkStart w:id="565" w:name="Tab0808"/>
      <w:r>
        <w:lastRenderedPageBreak/>
        <w:t>Table 8.</w:t>
      </w:r>
      <w:r w:rsidR="009A3F5A">
        <w:fldChar w:fldCharType="begin"/>
      </w:r>
      <w:r w:rsidR="009A3F5A">
        <w:instrText xml:space="preserve"> SEQ Table_8. \* ARABIC </w:instrText>
      </w:r>
      <w:r w:rsidR="009A3F5A">
        <w:fldChar w:fldCharType="separate"/>
      </w:r>
      <w:r w:rsidR="00856E49">
        <w:rPr>
          <w:noProof/>
        </w:rPr>
        <w:t>8</w:t>
      </w:r>
      <w:r w:rsidR="009A3F5A">
        <w:rPr>
          <w:noProof/>
        </w:rPr>
        <w:fldChar w:fldCharType="end"/>
      </w:r>
      <w:r>
        <w:t xml:space="preserve">: </w:t>
      </w:r>
      <w:r w:rsidRPr="009F643E">
        <w:t>R-ACFI ADL Payment Groups Compared with the Current ACFI</w:t>
      </w:r>
      <w:bookmarkEnd w:id="564"/>
    </w:p>
    <w:tbl>
      <w:tblPr>
        <w:tblStyle w:val="ListTable3-Accent515"/>
        <w:tblW w:w="8647"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8.8 is a list of details comparing the funding groups (bands) of the activities of daily living domain between the current aged care funding instrument (ACFI) and the revised aged care funding instrument (R-ACFI). This table is to be read left to right, top to bottom."/>
      </w:tblPr>
      <w:tblGrid>
        <w:gridCol w:w="1271"/>
        <w:gridCol w:w="1340"/>
        <w:gridCol w:w="3059"/>
        <w:gridCol w:w="2977"/>
      </w:tblGrid>
      <w:tr w:rsidR="00AC0E0E" w:rsidRPr="00AC0E0E" w:rsidTr="00AC0E0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71" w:type="dxa"/>
            <w:noWrap/>
            <w:hideMark/>
          </w:tcPr>
          <w:bookmarkEnd w:id="565"/>
          <w:p w:rsidR="00AC0E0E" w:rsidRPr="00AC0E0E" w:rsidRDefault="00AC0E0E" w:rsidP="00A51750">
            <w:pPr>
              <w:spacing w:after="0"/>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Funding Bands</w:t>
            </w:r>
            <w:r w:rsidRPr="00AC0E0E">
              <w:rPr>
                <w:rFonts w:ascii="Calibri" w:eastAsia="Times New Roman" w:hAnsi="Calibri" w:cs="Times New Roman"/>
                <w:sz w:val="19"/>
                <w:szCs w:val="19"/>
                <w:vertAlign w:val="superscript"/>
                <w:lang w:val="en-US"/>
              </w:rPr>
              <w:t>1</w:t>
            </w:r>
          </w:p>
        </w:tc>
        <w:tc>
          <w:tcPr>
            <w:cnfStyle w:val="000010000000" w:firstRow="0" w:lastRow="0" w:firstColumn="0" w:lastColumn="0" w:oddVBand="1" w:evenVBand="0" w:oddHBand="0" w:evenHBand="0" w:firstRowFirstColumn="0" w:firstRowLastColumn="0" w:lastRowFirstColumn="0" w:lastRowLastColumn="0"/>
            <w:tcW w:w="1340" w:type="dxa"/>
            <w:noWrap/>
            <w:hideMark/>
          </w:tcPr>
          <w:p w:rsidR="00AC0E0E" w:rsidRPr="00AC0E0E" w:rsidRDefault="00AC0E0E" w:rsidP="00AC0E0E">
            <w:pPr>
              <w:spacing w:after="0"/>
              <w:jc w:val="center"/>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Number in Bands</w:t>
            </w:r>
          </w:p>
        </w:tc>
        <w:tc>
          <w:tcPr>
            <w:tcW w:w="3059" w:type="dxa"/>
            <w:noWrap/>
            <w:hideMark/>
          </w:tcPr>
          <w:p w:rsidR="00AC0E0E" w:rsidRPr="00AC0E0E" w:rsidRDefault="00AC0E0E" w:rsidP="00AC0E0E">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19"/>
                <w:szCs w:val="19"/>
                <w:lang w:val="en-US"/>
              </w:rPr>
            </w:pPr>
            <w:r w:rsidRPr="00AC0E0E">
              <w:rPr>
                <w:rFonts w:ascii="Calibri" w:eastAsia="Times New Roman" w:hAnsi="Calibri" w:cs="Times New Roman"/>
                <w:sz w:val="19"/>
                <w:szCs w:val="19"/>
                <w:lang w:val="en-US"/>
              </w:rPr>
              <w:t>Average funding in band</w:t>
            </w:r>
          </w:p>
          <w:p w:rsidR="00AC0E0E" w:rsidRPr="00AC0E0E" w:rsidRDefault="00AC0E0E" w:rsidP="00AC0E0E">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9"/>
                <w:szCs w:val="19"/>
                <w:lang w:val="en-US"/>
              </w:rPr>
            </w:pPr>
            <w:r w:rsidRPr="00AC0E0E">
              <w:rPr>
                <w:rFonts w:ascii="Calibri" w:eastAsia="Times New Roman" w:hAnsi="Calibri" w:cs="Times New Roman"/>
                <w:b w:val="0"/>
                <w:sz w:val="19"/>
                <w:szCs w:val="19"/>
                <w:lang w:val="en-US"/>
              </w:rPr>
              <w:t>(</w:t>
            </w:r>
            <w:r w:rsidRPr="00AC0E0E">
              <w:rPr>
                <w:rFonts w:ascii="Calibri" w:eastAsia="Times New Roman" w:hAnsi="Calibri" w:cs="Times New Roman"/>
                <w:sz w:val="19"/>
                <w:szCs w:val="19"/>
                <w:lang w:val="en-US"/>
              </w:rPr>
              <w:t>ACFI Subsidy</w:t>
            </w:r>
            <w:r w:rsidRPr="00AC0E0E">
              <w:rPr>
                <w:rFonts w:ascii="Calibri" w:eastAsia="Times New Roman" w:hAnsi="Calibri" w:cs="Times New Roman"/>
                <w:b w:val="0"/>
                <w:sz w:val="19"/>
                <w:szCs w:val="19"/>
                <w:lang w:val="en-US"/>
              </w:rPr>
              <w:t>)</w:t>
            </w:r>
          </w:p>
        </w:tc>
        <w:tc>
          <w:tcPr>
            <w:cnfStyle w:val="000010000000" w:firstRow="0" w:lastRow="0" w:firstColumn="0" w:lastColumn="0" w:oddVBand="1" w:evenVBand="0" w:oddHBand="0" w:evenHBand="0" w:firstRowFirstColumn="0" w:firstRowLastColumn="0" w:lastRowFirstColumn="0" w:lastRowLastColumn="0"/>
            <w:tcW w:w="2977" w:type="dxa"/>
          </w:tcPr>
          <w:p w:rsidR="00AC0E0E" w:rsidRPr="00AC0E0E" w:rsidRDefault="00AC0E0E" w:rsidP="00AC0E0E">
            <w:pPr>
              <w:spacing w:after="0"/>
              <w:jc w:val="center"/>
              <w:rPr>
                <w:rFonts w:ascii="Calibri" w:eastAsia="Times New Roman" w:hAnsi="Calibri" w:cs="Times New Roman"/>
                <w:b w:val="0"/>
                <w:sz w:val="19"/>
                <w:szCs w:val="19"/>
                <w:lang w:val="en-US"/>
              </w:rPr>
            </w:pPr>
            <w:r w:rsidRPr="00AC0E0E">
              <w:rPr>
                <w:rFonts w:ascii="Calibri" w:eastAsia="Times New Roman" w:hAnsi="Calibri" w:cs="Times New Roman"/>
                <w:sz w:val="19"/>
                <w:szCs w:val="19"/>
                <w:lang w:val="en-US"/>
              </w:rPr>
              <w:t>Average funding in band</w:t>
            </w:r>
          </w:p>
          <w:p w:rsidR="00AC0E0E" w:rsidRPr="00AC0E0E" w:rsidRDefault="00AC0E0E" w:rsidP="00AC0E0E">
            <w:pPr>
              <w:spacing w:after="0"/>
              <w:jc w:val="center"/>
              <w:rPr>
                <w:rFonts w:ascii="Calibri" w:eastAsia="Times New Roman" w:hAnsi="Calibri" w:cs="Times New Roman"/>
                <w:sz w:val="19"/>
                <w:szCs w:val="19"/>
                <w:lang w:val="en-US"/>
              </w:rPr>
            </w:pPr>
            <w:r w:rsidRPr="00AC0E0E">
              <w:rPr>
                <w:rFonts w:ascii="Calibri" w:eastAsia="Times New Roman" w:hAnsi="Calibri" w:cs="Times New Roman"/>
                <w:b w:val="0"/>
                <w:sz w:val="19"/>
                <w:szCs w:val="19"/>
                <w:lang w:val="en-US"/>
              </w:rPr>
              <w:t>(</w:t>
            </w:r>
            <w:r w:rsidRPr="00AC0E0E">
              <w:rPr>
                <w:rFonts w:ascii="Calibri" w:eastAsia="Times New Roman" w:hAnsi="Calibri" w:cs="Times New Roman"/>
                <w:sz w:val="19"/>
                <w:szCs w:val="19"/>
                <w:lang w:val="en-US"/>
              </w:rPr>
              <w:t>R-ACFI Subsidy</w:t>
            </w:r>
            <w:r w:rsidRPr="00AC0E0E">
              <w:rPr>
                <w:rFonts w:ascii="Calibri" w:eastAsia="Times New Roman" w:hAnsi="Calibri" w:cs="Times New Roman"/>
                <w:b w:val="0"/>
                <w:sz w:val="19"/>
                <w:szCs w:val="19"/>
                <w:lang w:val="en-US"/>
              </w:rPr>
              <w:t>)</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1</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$24.58</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$44.54</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2</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$36.65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$44.54</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3</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$36.65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$44.54</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4</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$36.65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$44.54</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5</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$37.14</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$44.64</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6</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3508</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$36.65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$71.27</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7</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$36.65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$71.27</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8</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$73.16</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$71.27</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9</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$79.80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$71.27</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10</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$79.80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$71.27</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11</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3508</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$79.80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$71.27</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12</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$79.80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$71.27</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13</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$79.80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$71.27</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14</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$79.80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$71.27</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15</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$79.80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$71.27</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16</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3508</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$79.80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$71.27</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17</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$79.80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$71.27</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18</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$79.80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$71.27</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19</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$79.80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$71.27</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20</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$92.90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$74.05</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21</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3508</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$79.80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$98.00</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22</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$79.80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$98.00</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23</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$108.49</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$98.00</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24</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$98.00</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25</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$98.00</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26</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3508</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$98.00</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27</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$98.00</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28</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$98.00</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29</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$98.00</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30</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$98.00</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31</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3508</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$98.00</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32</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$98.00</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33</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$98.00</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34</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$98.00</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35</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$98.00</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36</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3508</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$98.00</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37</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$98.00</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38</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$98.00</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39</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$107.76</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$100.34</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40</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$102.48</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$124.73</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41</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3508</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$124.73</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42</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$124.73</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43</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$124.73</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44</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$124.73</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45</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$124.73</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46</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3508</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$124.73</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47</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$124.73</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48</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$124.73</w:t>
            </w:r>
          </w:p>
        </w:tc>
      </w:tr>
      <w:tr w:rsidR="00035991" w:rsidRPr="00AC0E0E" w:rsidTr="00AC0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49</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3507</w:t>
            </w:r>
          </w:p>
        </w:tc>
        <w:tc>
          <w:tcPr>
            <w:tcW w:w="3059" w:type="dxa"/>
            <w:noWrap/>
            <w:vAlign w:val="bottom"/>
          </w:tcPr>
          <w:p w:rsidR="00035991" w:rsidRPr="0080509E" w:rsidRDefault="00035991"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$124.73</w:t>
            </w:r>
          </w:p>
        </w:tc>
      </w:tr>
      <w:tr w:rsidR="00035991" w:rsidRPr="00AC0E0E" w:rsidTr="00AC0E0E">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rsidR="00035991" w:rsidRPr="00AC0E0E" w:rsidRDefault="00035991" w:rsidP="00AC0E0E">
            <w:pPr>
              <w:spacing w:after="0"/>
              <w:jc w:val="left"/>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50</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3508</w:t>
            </w:r>
          </w:p>
        </w:tc>
        <w:tc>
          <w:tcPr>
            <w:tcW w:w="3059" w:type="dxa"/>
            <w:noWrap/>
            <w:vAlign w:val="bottom"/>
          </w:tcPr>
          <w:p w:rsidR="00035991" w:rsidRPr="0080509E" w:rsidRDefault="00035991" w:rsidP="00AC0E0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80509E">
              <w:rPr>
                <w:rFonts w:ascii="Calibri" w:hAnsi="Calibri"/>
                <w:sz w:val="19"/>
                <w:szCs w:val="19"/>
              </w:rPr>
              <w:t>$110.55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noWrap/>
            <w:vAlign w:val="bottom"/>
          </w:tcPr>
          <w:p w:rsidR="00035991" w:rsidRPr="0080509E" w:rsidRDefault="00035991" w:rsidP="00AC0E0E">
            <w:pPr>
              <w:spacing w:after="0"/>
              <w:jc w:val="center"/>
              <w:rPr>
                <w:rFonts w:ascii="Calibri" w:eastAsia="Times New Roman" w:hAnsi="Calibri" w:cs="Times New Roman"/>
                <w:sz w:val="19"/>
                <w:szCs w:val="19"/>
                <w:lang w:val="en-US"/>
              </w:rPr>
            </w:pPr>
            <w:r w:rsidRPr="0080509E">
              <w:rPr>
                <w:rFonts w:ascii="Calibri" w:hAnsi="Calibri"/>
                <w:sz w:val="19"/>
                <w:szCs w:val="19"/>
              </w:rPr>
              <w:t>$124.73</w:t>
            </w:r>
          </w:p>
        </w:tc>
      </w:tr>
      <w:tr w:rsidR="00256E3D" w:rsidRPr="00AC0E0E" w:rsidTr="000B4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shd w:val="clear" w:color="auto" w:fill="auto"/>
            <w:noWrap/>
            <w:hideMark/>
          </w:tcPr>
          <w:p w:rsidR="00256E3D" w:rsidRPr="00AC0E0E" w:rsidRDefault="00256E3D" w:rsidP="00A51750">
            <w:pPr>
              <w:spacing w:after="0"/>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Total</w:t>
            </w:r>
          </w:p>
        </w:tc>
        <w:tc>
          <w:tcPr>
            <w:cnfStyle w:val="000010000000" w:firstRow="0" w:lastRow="0" w:firstColumn="0" w:lastColumn="0" w:oddVBand="1" w:evenVBand="0" w:oddHBand="0" w:evenHBand="0" w:firstRowFirstColumn="0" w:firstRowLastColumn="0" w:lastRowFirstColumn="0" w:lastRowLastColumn="0"/>
            <w:tcW w:w="1340" w:type="dxa"/>
            <w:tcBorders>
              <w:left w:val="none" w:sz="0" w:space="0" w:color="auto"/>
              <w:right w:val="none" w:sz="0" w:space="0" w:color="auto"/>
            </w:tcBorders>
            <w:shd w:val="clear" w:color="auto" w:fill="auto"/>
            <w:noWrap/>
            <w:hideMark/>
          </w:tcPr>
          <w:p w:rsidR="00256E3D" w:rsidRPr="00AC0E0E" w:rsidRDefault="00256E3D" w:rsidP="00AC0E0E">
            <w:pPr>
              <w:spacing w:after="0"/>
              <w:jc w:val="center"/>
              <w:rPr>
                <w:rFonts w:ascii="Calibri" w:eastAsia="Times New Roman" w:hAnsi="Calibri" w:cs="Times New Roman"/>
                <w:b/>
                <w:sz w:val="19"/>
                <w:szCs w:val="19"/>
                <w:lang w:val="en-US"/>
              </w:rPr>
            </w:pPr>
            <w:r w:rsidRPr="00AC0E0E">
              <w:rPr>
                <w:rFonts w:ascii="Calibri" w:eastAsia="Times New Roman" w:hAnsi="Calibri" w:cs="Times New Roman"/>
                <w:b/>
                <w:sz w:val="19"/>
                <w:szCs w:val="19"/>
                <w:lang w:val="en-US"/>
              </w:rPr>
              <w:t>175360</w:t>
            </w:r>
          </w:p>
        </w:tc>
        <w:tc>
          <w:tcPr>
            <w:tcW w:w="3059" w:type="dxa"/>
            <w:shd w:val="clear" w:color="auto" w:fill="auto"/>
            <w:noWrap/>
            <w:hideMark/>
          </w:tcPr>
          <w:p w:rsidR="00256E3D" w:rsidRPr="00AC0E0E" w:rsidRDefault="00256E3D" w:rsidP="00AC0E0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9"/>
                <w:szCs w:val="19"/>
                <w:lang w:val="en-US"/>
              </w:rPr>
            </w:pPr>
            <w:r w:rsidRPr="00AC0E0E">
              <w:rPr>
                <w:rFonts w:ascii="Calibri" w:eastAsia="Times New Roman" w:hAnsi="Calibri" w:cs="Times New Roman"/>
                <w:b/>
                <w:sz w:val="19"/>
                <w:szCs w:val="19"/>
                <w:lang w:val="en-US"/>
              </w:rPr>
              <w:t>$90.62</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shd w:val="clear" w:color="auto" w:fill="auto"/>
            <w:noWrap/>
            <w:hideMark/>
          </w:tcPr>
          <w:p w:rsidR="00256E3D" w:rsidRPr="00AC0E0E" w:rsidRDefault="00256E3D" w:rsidP="00AC0E0E">
            <w:pPr>
              <w:spacing w:after="0"/>
              <w:jc w:val="center"/>
              <w:rPr>
                <w:rFonts w:ascii="Calibri" w:eastAsia="Times New Roman" w:hAnsi="Calibri" w:cs="Times New Roman"/>
                <w:b/>
                <w:sz w:val="19"/>
                <w:szCs w:val="19"/>
                <w:lang w:val="en-US"/>
              </w:rPr>
            </w:pPr>
            <w:r w:rsidRPr="00AC0E0E">
              <w:rPr>
                <w:rFonts w:ascii="Calibri" w:eastAsia="Times New Roman" w:hAnsi="Calibri" w:cs="Times New Roman"/>
                <w:b/>
                <w:sz w:val="19"/>
                <w:szCs w:val="19"/>
                <w:lang w:val="en-US"/>
              </w:rPr>
              <w:t>$90.62</w:t>
            </w:r>
          </w:p>
        </w:tc>
      </w:tr>
    </w:tbl>
    <w:p w:rsidR="00256E3D" w:rsidRPr="004D4A04" w:rsidRDefault="00256E3D" w:rsidP="00F55415">
      <w:pPr>
        <w:spacing w:after="600"/>
        <w:rPr>
          <w:sz w:val="18"/>
          <w:szCs w:val="18"/>
          <w:lang w:eastAsia="en-AU"/>
        </w:rPr>
      </w:pPr>
      <w:r w:rsidRPr="004D4A04">
        <w:rPr>
          <w:sz w:val="18"/>
          <w:szCs w:val="18"/>
        </w:rPr>
        <w:t>1Funding Bands: The R-ACFI funding was sorted into increasing levels and grouped into 50 bands of approximately 3,500 records.</w:t>
      </w:r>
      <w:r w:rsidR="007A576E">
        <w:rPr>
          <w:sz w:val="18"/>
          <w:szCs w:val="18"/>
        </w:rPr>
        <w:t xml:space="preserve"> </w:t>
      </w:r>
      <w:r w:rsidRPr="004D4A04">
        <w:rPr>
          <w:sz w:val="18"/>
          <w:szCs w:val="18"/>
        </w:rPr>
        <w:t>The average R-ACFI and ACFI funding within these bands was then calculated</w:t>
      </w:r>
      <w:r w:rsidRPr="004D4A04">
        <w:rPr>
          <w:sz w:val="18"/>
          <w:szCs w:val="18"/>
          <w:lang w:eastAsia="en-AU"/>
        </w:rPr>
        <w:t>.</w:t>
      </w:r>
    </w:p>
    <w:p w:rsidR="00E3084A" w:rsidRDefault="009F643E" w:rsidP="00E3084A">
      <w:pPr>
        <w:pStyle w:val="Caption"/>
        <w:keepNext/>
      </w:pPr>
      <w:bookmarkStart w:id="566" w:name="_Toc495416551"/>
      <w:r>
        <w:lastRenderedPageBreak/>
        <w:t>Figure 8.</w:t>
      </w:r>
      <w:r w:rsidR="009A3F5A">
        <w:fldChar w:fldCharType="begin"/>
      </w:r>
      <w:r w:rsidR="009A3F5A">
        <w:instrText xml:space="preserve"> SEQ Figure_8. \* ARABIC </w:instrText>
      </w:r>
      <w:r w:rsidR="009A3F5A">
        <w:fldChar w:fldCharType="separate"/>
      </w:r>
      <w:r w:rsidR="00856E49">
        <w:rPr>
          <w:noProof/>
        </w:rPr>
        <w:t>4</w:t>
      </w:r>
      <w:r w:rsidR="009A3F5A">
        <w:rPr>
          <w:noProof/>
        </w:rPr>
        <w:fldChar w:fldCharType="end"/>
      </w:r>
      <w:r>
        <w:t xml:space="preserve">: </w:t>
      </w:r>
      <w:r w:rsidRPr="009F643E">
        <w:t>R-ACFI ADL Funding Distribution Compared with the Current ACFI</w:t>
      </w:r>
      <w:bookmarkEnd w:id="566"/>
    </w:p>
    <w:p w:rsidR="00926C46" w:rsidRDefault="00926C46" w:rsidP="00256E3D">
      <w:pPr>
        <w:spacing w:after="200"/>
        <w:rPr>
          <w:rFonts w:cstheme="minorHAnsi"/>
          <w:lang w:eastAsia="en-AU"/>
        </w:rPr>
      </w:pPr>
      <w:r>
        <w:rPr>
          <w:rFonts w:cstheme="minorHAnsi"/>
          <w:noProof/>
          <w:lang w:eastAsia="en-AU"/>
        </w:rPr>
        <w:drawing>
          <wp:inline distT="0" distB="0" distL="0" distR="0" wp14:anchorId="0DB40066" wp14:editId="4D800047">
            <wp:extent cx="5433237" cy="3913590"/>
            <wp:effectExtent l="0" t="0" r="0" b="0"/>
            <wp:docPr id="153" name="Picture 153" descr="Figure 8.4 is a line diagram illustrating how the funding distribution for the activities of daily living domain compares between the current aged care funding instrument (ACFI) and the revised aged care funding instrument (R-ACFI), as detailed in Table 8.3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39980" cy="3918447"/>
                    </a:xfrm>
                    <a:prstGeom prst="rect">
                      <a:avLst/>
                    </a:prstGeom>
                    <a:noFill/>
                  </pic:spPr>
                </pic:pic>
              </a:graphicData>
            </a:graphic>
          </wp:inline>
        </w:drawing>
      </w:r>
    </w:p>
    <w:p w:rsidR="00980F62" w:rsidRDefault="00256E3D" w:rsidP="005E0BCA">
      <w:pPr>
        <w:pStyle w:val="Heading2-Chapter8"/>
      </w:pPr>
      <w:bookmarkStart w:id="567" w:name="_Toc486596371"/>
      <w:bookmarkStart w:id="568" w:name="_Toc486600069"/>
      <w:bookmarkStart w:id="569" w:name="_Toc491426061"/>
      <w:r>
        <w:t>T</w:t>
      </w:r>
      <w:r w:rsidRPr="006964C0">
        <w:t>he</w:t>
      </w:r>
      <w:r>
        <w:t xml:space="preserve"> BEH Domain Funding Classification</w:t>
      </w:r>
      <w:bookmarkEnd w:id="567"/>
      <w:bookmarkEnd w:id="568"/>
      <w:bookmarkEnd w:id="569"/>
    </w:p>
    <w:p w:rsidR="00256E3D" w:rsidRPr="00787321" w:rsidRDefault="00256E3D" w:rsidP="001A4797">
      <w:pPr>
        <w:pStyle w:val="Heading3-Chapter84"/>
      </w:pPr>
      <w:bookmarkStart w:id="570" w:name="_Toc486596372"/>
      <w:bookmarkStart w:id="571" w:name="_Toc486600070"/>
      <w:r w:rsidRPr="00787321">
        <w:t>The B</w:t>
      </w:r>
      <w:r w:rsidR="00751CD3" w:rsidRPr="00787321">
        <w:t>EH</w:t>
      </w:r>
      <w:r w:rsidRPr="00787321">
        <w:t xml:space="preserve"> Domain Overview</w:t>
      </w:r>
      <w:bookmarkEnd w:id="570"/>
      <w:bookmarkEnd w:id="571"/>
    </w:p>
    <w:p w:rsidR="00980F62" w:rsidRDefault="00256E3D" w:rsidP="00F55415">
      <w:pPr>
        <w:rPr>
          <w:lang w:eastAsia="en-AU"/>
        </w:rPr>
      </w:pPr>
      <w:r>
        <w:rPr>
          <w:lang w:eastAsia="en-AU"/>
        </w:rPr>
        <w:t>The rationale and changes to the B</w:t>
      </w:r>
      <w:r w:rsidR="00751CD3">
        <w:rPr>
          <w:lang w:eastAsia="en-AU"/>
        </w:rPr>
        <w:t>EH</w:t>
      </w:r>
      <w:r>
        <w:rPr>
          <w:lang w:eastAsia="en-AU"/>
        </w:rPr>
        <w:t xml:space="preserve"> domain are covered in detail in </w:t>
      </w:r>
      <w:hyperlink w:anchor="Ch05" w:history="1">
        <w:r w:rsidRPr="00CF7AFA">
          <w:rPr>
            <w:rStyle w:val="Hyperlink"/>
            <w:lang w:eastAsia="en-AU"/>
          </w:rPr>
          <w:t>Chapter 5</w:t>
        </w:r>
      </w:hyperlink>
      <w:r>
        <w:rPr>
          <w:lang w:eastAsia="en-AU"/>
        </w:rPr>
        <w:t>.</w:t>
      </w:r>
    </w:p>
    <w:p w:rsidR="00256E3D" w:rsidRDefault="00256E3D" w:rsidP="00F55415">
      <w:r>
        <w:t>The B</w:t>
      </w:r>
      <w:r w:rsidR="00751CD3">
        <w:t>EH</w:t>
      </w:r>
      <w:r>
        <w:t xml:space="preserve"> domain questions have been modified to clarify the </w:t>
      </w:r>
      <w:r w:rsidR="00751CD3">
        <w:t>intent. O</w:t>
      </w:r>
      <w:r>
        <w:t>ther changes</w:t>
      </w:r>
      <w:r w:rsidR="00751CD3">
        <w:t xml:space="preserve"> </w:t>
      </w:r>
      <w:r>
        <w:t>includ</w:t>
      </w:r>
      <w:r w:rsidR="00751CD3">
        <w:t>e</w:t>
      </w:r>
      <w:r>
        <w:t xml:space="preserve"> a new matrix</w:t>
      </w:r>
      <w:r w:rsidR="00751CD3">
        <w:t xml:space="preserve">, </w:t>
      </w:r>
      <w:r>
        <w:t xml:space="preserve">designed to improve the identification of residents with very high levels of behavioural expressions. Apart from the removal of the depression item and its associated funding (discussed in </w:t>
      </w:r>
      <w:hyperlink w:anchor="Ch05" w:history="1">
        <w:r w:rsidRPr="00CF7AFA">
          <w:rPr>
            <w:rStyle w:val="Hyperlink"/>
          </w:rPr>
          <w:t>Chapter 5</w:t>
        </w:r>
      </w:hyperlink>
      <w:r>
        <w:t>) which necessitated a minor adjustment to all remaining question ratings to bring the scale score back to 100, it was decided after examining the distributions to also simplify the domain by turning it into a three instead of four level classification. The B</w:t>
      </w:r>
      <w:r w:rsidR="00751CD3">
        <w:t>EH</w:t>
      </w:r>
      <w:r>
        <w:t xml:space="preserve"> domain now has two funded levels, moderate and high.</w:t>
      </w:r>
    </w:p>
    <w:p w:rsidR="00980F62" w:rsidRDefault="00256E3D" w:rsidP="00F55415">
      <w:r>
        <w:t xml:space="preserve">The Depression item and its associated funding ($3.65 </w:t>
      </w:r>
      <w:r w:rsidR="00735127">
        <w:t>per day</w:t>
      </w:r>
      <w:r>
        <w:t>) has been moved to the CHC domain. This change has led to a reduction in the maximum funding allocated from the current ACFI BEH domain (ACFI $36.19 vs. R-ACFI $30.65).</w:t>
      </w:r>
    </w:p>
    <w:p w:rsidR="00256E3D" w:rsidRDefault="00256E3D" w:rsidP="00787321">
      <w:pPr>
        <w:pStyle w:val="Heading3-Chapter84"/>
      </w:pPr>
      <w:bookmarkStart w:id="572" w:name="_Toc486596373"/>
      <w:bookmarkStart w:id="573" w:name="_Toc486600071"/>
      <w:r w:rsidRPr="004F71F5">
        <w:t>Depression Item Funding Analysis</w:t>
      </w:r>
      <w:bookmarkEnd w:id="572"/>
      <w:bookmarkEnd w:id="573"/>
    </w:p>
    <w:p w:rsidR="00980F62" w:rsidRDefault="00256E3D" w:rsidP="00F55415">
      <w:r>
        <w:t>Analysis of ACFI B</w:t>
      </w:r>
      <w:r w:rsidR="00751CD3">
        <w:t>EH</w:t>
      </w:r>
      <w:r>
        <w:t xml:space="preserve"> domain data since 2009 shows that the funding directly attributable to the Depression item has increased steadily (</w:t>
      </w:r>
      <w:hyperlink w:anchor="Tab0809" w:history="1">
        <w:r w:rsidRPr="002E2444">
          <w:rPr>
            <w:rStyle w:val="Hyperlink"/>
          </w:rPr>
          <w:t>Table 8.9</w:t>
        </w:r>
      </w:hyperlink>
      <w:r>
        <w:t xml:space="preserve"> and </w:t>
      </w:r>
      <w:hyperlink w:anchor="Fig0805" w:history="1">
        <w:r w:rsidRPr="00BA046B">
          <w:rPr>
            <w:rStyle w:val="Hyperlink"/>
          </w:rPr>
          <w:t>Figure 8.5</w:t>
        </w:r>
      </w:hyperlink>
      <w:r>
        <w:t>). As the Depression item in the R-ACFI has been moved to the CHC domain, an amount of $3.65 has been removed from the B</w:t>
      </w:r>
      <w:r w:rsidR="00751CD3">
        <w:t>EH</w:t>
      </w:r>
      <w:r>
        <w:t xml:space="preserve"> domain.</w:t>
      </w:r>
    </w:p>
    <w:p w:rsidR="00043DB4" w:rsidRDefault="009F643E" w:rsidP="00043DB4">
      <w:pPr>
        <w:pStyle w:val="Caption"/>
        <w:keepNext/>
      </w:pPr>
      <w:bookmarkStart w:id="574" w:name="_Toc495416376"/>
      <w:bookmarkStart w:id="575" w:name="Tab0809"/>
      <w:r>
        <w:t>Table 8.</w:t>
      </w:r>
      <w:r w:rsidR="009A3F5A">
        <w:fldChar w:fldCharType="begin"/>
      </w:r>
      <w:r w:rsidR="009A3F5A">
        <w:instrText xml:space="preserve"> SEQ Table_8. \* ARABIC </w:instrText>
      </w:r>
      <w:r w:rsidR="009A3F5A">
        <w:fldChar w:fldCharType="separate"/>
      </w:r>
      <w:r w:rsidR="00856E49">
        <w:rPr>
          <w:noProof/>
        </w:rPr>
        <w:t>9</w:t>
      </w:r>
      <w:r w:rsidR="009A3F5A">
        <w:rPr>
          <w:noProof/>
        </w:rPr>
        <w:fldChar w:fldCharType="end"/>
      </w:r>
      <w:r>
        <w:t xml:space="preserve">: </w:t>
      </w:r>
      <w:r w:rsidRPr="009F643E">
        <w:t>Funding from the Depression Question</w:t>
      </w:r>
      <w:bookmarkEnd w:id="574"/>
    </w:p>
    <w:tbl>
      <w:tblPr>
        <w:tblStyle w:val="ListTable3-Accent515"/>
        <w:tblW w:w="8505" w:type="dxa"/>
        <w:tblInd w:w="108" w:type="dxa"/>
        <w:tblBorders>
          <w:insideH w:val="single" w:sz="4" w:space="0" w:color="5B9BD5" w:themeColor="accent5"/>
          <w:insideV w:val="single" w:sz="4" w:space="0" w:color="5B9BD5" w:themeColor="accent5"/>
        </w:tblBorders>
        <w:tblLayout w:type="fixed"/>
        <w:tblLook w:val="00A0" w:firstRow="1" w:lastRow="0" w:firstColumn="1" w:lastColumn="0" w:noHBand="0" w:noVBand="0"/>
        <w:tblDescription w:val="Table 8.9 is a list of payments for depression and the comparison between the current aged care funding instrument (ACFI) and the revised aged care funding instrument (R-ACFI). This table is to be read left to right, top to bottom."/>
      </w:tblPr>
      <w:tblGrid>
        <w:gridCol w:w="1418"/>
        <w:gridCol w:w="2409"/>
        <w:gridCol w:w="2410"/>
        <w:gridCol w:w="2268"/>
      </w:tblGrid>
      <w:tr w:rsidR="00256E3D" w:rsidRPr="004F71F5" w:rsidTr="00BB609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418" w:type="dxa"/>
            <w:tcBorders>
              <w:bottom w:val="none" w:sz="0" w:space="0" w:color="auto"/>
              <w:right w:val="none" w:sz="0" w:space="0" w:color="auto"/>
            </w:tcBorders>
            <w:noWrap/>
          </w:tcPr>
          <w:bookmarkEnd w:id="575"/>
          <w:p w:rsidR="00256E3D" w:rsidRPr="00467184" w:rsidRDefault="00256E3D" w:rsidP="00A51750">
            <w:pPr>
              <w:spacing w:after="0"/>
              <w:rPr>
                <w:rFonts w:ascii="Calibri" w:eastAsia="Times New Roman" w:hAnsi="Calibri" w:cs="Times New Roman"/>
                <w:sz w:val="22"/>
                <w:lang w:val="en-US"/>
              </w:rPr>
            </w:pPr>
            <w:r w:rsidRPr="00467184">
              <w:rPr>
                <w:rFonts w:ascii="Calibri" w:eastAsia="Times New Roman" w:hAnsi="Calibri" w:cs="Times New Roman"/>
                <w:sz w:val="22"/>
                <w:lang w:val="en-US"/>
              </w:rPr>
              <w:t>Year</w:t>
            </w:r>
          </w:p>
        </w:tc>
        <w:tc>
          <w:tcPr>
            <w:cnfStyle w:val="000010000000" w:firstRow="0" w:lastRow="0" w:firstColumn="0" w:lastColumn="0" w:oddVBand="1" w:evenVBand="0" w:oddHBand="0" w:evenHBand="0" w:firstRowFirstColumn="0" w:firstRowLastColumn="0" w:lastRowFirstColumn="0" w:lastRowLastColumn="0"/>
            <w:tcW w:w="2409" w:type="dxa"/>
            <w:tcBorders>
              <w:left w:val="none" w:sz="0" w:space="0" w:color="auto"/>
              <w:right w:val="none" w:sz="0" w:space="0" w:color="auto"/>
            </w:tcBorders>
            <w:noWrap/>
          </w:tcPr>
          <w:p w:rsidR="00BB609F" w:rsidRPr="00467184" w:rsidRDefault="00256E3D" w:rsidP="00BB609F">
            <w:pPr>
              <w:spacing w:after="0"/>
              <w:jc w:val="center"/>
              <w:rPr>
                <w:rFonts w:ascii="Calibri" w:eastAsia="Times New Roman" w:hAnsi="Calibri" w:cs="Times New Roman"/>
                <w:sz w:val="22"/>
                <w:lang w:val="en-US"/>
              </w:rPr>
            </w:pPr>
            <w:r w:rsidRPr="004F71F5">
              <w:rPr>
                <w:rFonts w:ascii="Calibri" w:eastAsia="Times New Roman" w:hAnsi="Calibri" w:cs="Times New Roman"/>
                <w:sz w:val="22"/>
                <w:lang w:val="en-US"/>
              </w:rPr>
              <w:t>BEH</w:t>
            </w:r>
            <w:r w:rsidRPr="00467184">
              <w:rPr>
                <w:rFonts w:ascii="Calibri" w:eastAsia="Times New Roman" w:hAnsi="Calibri" w:cs="Times New Roman"/>
                <w:bCs w:val="0"/>
                <w:sz w:val="22"/>
                <w:lang w:val="en-US"/>
              </w:rPr>
              <w:t xml:space="preserve"> </w:t>
            </w:r>
            <w:r w:rsidRPr="004F71F5">
              <w:rPr>
                <w:rFonts w:ascii="Calibri" w:eastAsia="Times New Roman" w:hAnsi="Calibri" w:cs="Times New Roman"/>
                <w:sz w:val="22"/>
                <w:lang w:val="en-US"/>
              </w:rPr>
              <w:t>payments</w:t>
            </w:r>
            <w:r w:rsidR="00BB609F">
              <w:rPr>
                <w:rFonts w:ascii="Calibri" w:eastAsia="Times New Roman" w:hAnsi="Calibri" w:cs="Times New Roman"/>
                <w:sz w:val="22"/>
                <w:lang w:val="en-US"/>
              </w:rPr>
              <w:t xml:space="preserve"> </w:t>
            </w:r>
            <w:r w:rsidRPr="004F71F5">
              <w:rPr>
                <w:rFonts w:ascii="Calibri" w:eastAsia="Times New Roman" w:hAnsi="Calibri" w:cs="Times New Roman"/>
                <w:sz w:val="22"/>
                <w:lang w:val="en-US"/>
              </w:rPr>
              <w:t>with</w:t>
            </w:r>
            <w:r w:rsidRPr="00467184">
              <w:rPr>
                <w:rFonts w:ascii="Calibri" w:eastAsia="Times New Roman" w:hAnsi="Calibri" w:cs="Times New Roman"/>
                <w:bCs w:val="0"/>
                <w:sz w:val="22"/>
                <w:lang w:val="en-US"/>
              </w:rPr>
              <w:t xml:space="preserve"> depression</w:t>
            </w:r>
            <w:r w:rsidR="00BB609F">
              <w:rPr>
                <w:rFonts w:ascii="Calibri" w:eastAsia="Times New Roman" w:hAnsi="Calibri" w:cs="Times New Roman"/>
                <w:bCs w:val="0"/>
                <w:sz w:val="22"/>
                <w:lang w:val="en-US"/>
              </w:rPr>
              <w:t xml:space="preserve"> </w:t>
            </w:r>
            <w:r w:rsidR="00BB609F">
              <w:rPr>
                <w:rFonts w:ascii="Calibri" w:eastAsia="Times New Roman" w:hAnsi="Calibri" w:cs="Times New Roman"/>
                <w:sz w:val="22"/>
                <w:lang w:val="en-US"/>
              </w:rPr>
              <w:t>(per day)</w:t>
            </w:r>
          </w:p>
        </w:tc>
        <w:tc>
          <w:tcPr>
            <w:tcW w:w="2410" w:type="dxa"/>
            <w:noWrap/>
          </w:tcPr>
          <w:p w:rsidR="00BB609F" w:rsidRPr="00467184" w:rsidRDefault="00256E3D" w:rsidP="00BB609F">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US"/>
              </w:rPr>
            </w:pPr>
            <w:r w:rsidRPr="004F71F5">
              <w:rPr>
                <w:rFonts w:ascii="Calibri" w:eastAsia="Times New Roman" w:hAnsi="Calibri" w:cs="Times New Roman"/>
                <w:sz w:val="22"/>
                <w:lang w:val="en-US"/>
              </w:rPr>
              <w:t>BEH</w:t>
            </w:r>
            <w:r w:rsidRPr="00467184">
              <w:rPr>
                <w:rFonts w:ascii="Calibri" w:eastAsia="Times New Roman" w:hAnsi="Calibri" w:cs="Times New Roman"/>
                <w:bCs w:val="0"/>
                <w:sz w:val="22"/>
                <w:lang w:val="en-US"/>
              </w:rPr>
              <w:t xml:space="preserve"> </w:t>
            </w:r>
            <w:r w:rsidRPr="004F71F5">
              <w:rPr>
                <w:rFonts w:ascii="Calibri" w:eastAsia="Times New Roman" w:hAnsi="Calibri" w:cs="Times New Roman"/>
                <w:sz w:val="22"/>
                <w:lang w:val="en-US"/>
              </w:rPr>
              <w:t>payments</w:t>
            </w:r>
            <w:r>
              <w:rPr>
                <w:rFonts w:ascii="Calibri" w:eastAsia="Times New Roman" w:hAnsi="Calibri" w:cs="Times New Roman"/>
                <w:sz w:val="22"/>
                <w:lang w:val="en-US"/>
              </w:rPr>
              <w:t xml:space="preserve"> </w:t>
            </w:r>
            <w:r w:rsidRPr="004F71F5">
              <w:rPr>
                <w:rFonts w:ascii="Calibri" w:eastAsia="Times New Roman" w:hAnsi="Calibri" w:cs="Times New Roman"/>
                <w:sz w:val="22"/>
                <w:lang w:val="en-US"/>
              </w:rPr>
              <w:t>with</w:t>
            </w:r>
            <w:r w:rsidRPr="00467184">
              <w:rPr>
                <w:rFonts w:ascii="Calibri" w:eastAsia="Times New Roman" w:hAnsi="Calibri" w:cs="Times New Roman"/>
                <w:bCs w:val="0"/>
                <w:sz w:val="22"/>
                <w:lang w:val="en-US"/>
              </w:rPr>
              <w:t>out depression</w:t>
            </w:r>
            <w:r w:rsidR="00BB609F">
              <w:rPr>
                <w:rFonts w:ascii="Calibri" w:eastAsia="Times New Roman" w:hAnsi="Calibri" w:cs="Times New Roman"/>
                <w:bCs w:val="0"/>
                <w:sz w:val="22"/>
                <w:lang w:val="en-US"/>
              </w:rPr>
              <w:t xml:space="preserve"> </w:t>
            </w:r>
            <w:r w:rsidR="00BB609F">
              <w:rPr>
                <w:rFonts w:ascii="Calibri" w:eastAsia="Times New Roman" w:hAnsi="Calibri" w:cs="Times New Roman"/>
                <w:sz w:val="22"/>
                <w:lang w:val="en-US"/>
              </w:rPr>
              <w:t>(per day)</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noWrap/>
          </w:tcPr>
          <w:p w:rsidR="00BB609F" w:rsidRPr="00467184" w:rsidRDefault="00256E3D" w:rsidP="00BB609F">
            <w:pPr>
              <w:spacing w:after="0"/>
              <w:jc w:val="center"/>
              <w:rPr>
                <w:rFonts w:ascii="Calibri" w:eastAsia="Times New Roman" w:hAnsi="Calibri" w:cs="Times New Roman"/>
                <w:sz w:val="22"/>
                <w:lang w:val="en-US"/>
              </w:rPr>
            </w:pPr>
            <w:r w:rsidRPr="00467184">
              <w:rPr>
                <w:rFonts w:ascii="Calibri" w:eastAsia="Times New Roman" w:hAnsi="Calibri" w:cs="Times New Roman"/>
                <w:sz w:val="22"/>
                <w:lang w:val="en-US"/>
              </w:rPr>
              <w:t>BEH payment</w:t>
            </w:r>
            <w:r>
              <w:rPr>
                <w:rFonts w:ascii="Calibri" w:eastAsia="Times New Roman" w:hAnsi="Calibri" w:cs="Times New Roman"/>
                <w:sz w:val="22"/>
                <w:lang w:val="en-US"/>
              </w:rPr>
              <w:t xml:space="preserve"> </w:t>
            </w:r>
            <w:r w:rsidRPr="00467184">
              <w:rPr>
                <w:rFonts w:ascii="Calibri" w:eastAsia="Times New Roman" w:hAnsi="Calibri" w:cs="Times New Roman"/>
                <w:sz w:val="22"/>
                <w:lang w:val="en-US"/>
              </w:rPr>
              <w:t xml:space="preserve">reduction </w:t>
            </w:r>
            <w:r w:rsidR="00BB609F">
              <w:rPr>
                <w:rFonts w:ascii="Calibri" w:eastAsia="Times New Roman" w:hAnsi="Calibri" w:cs="Times New Roman"/>
                <w:sz w:val="22"/>
                <w:lang w:val="en-US"/>
              </w:rPr>
              <w:t>(</w:t>
            </w:r>
            <w:r w:rsidRPr="00467184">
              <w:rPr>
                <w:rFonts w:ascii="Calibri" w:eastAsia="Times New Roman" w:hAnsi="Calibri" w:cs="Times New Roman"/>
                <w:sz w:val="22"/>
                <w:lang w:val="en-US"/>
              </w:rPr>
              <w:t>per day</w:t>
            </w:r>
            <w:r w:rsidR="00BB609F">
              <w:rPr>
                <w:rFonts w:ascii="Calibri" w:eastAsia="Times New Roman" w:hAnsi="Calibri" w:cs="Times New Roman"/>
                <w:sz w:val="22"/>
                <w:lang w:val="en-US"/>
              </w:rPr>
              <w:t>)</w:t>
            </w:r>
          </w:p>
        </w:tc>
      </w:tr>
      <w:tr w:rsidR="00256E3D" w:rsidRPr="004F71F5" w:rsidTr="00BB60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noWrap/>
            <w:hideMark/>
          </w:tcPr>
          <w:p w:rsidR="00256E3D" w:rsidRPr="004F71F5" w:rsidRDefault="00256E3D" w:rsidP="00A51750">
            <w:pPr>
              <w:spacing w:after="0"/>
              <w:rPr>
                <w:rFonts w:ascii="Calibri" w:eastAsia="Times New Roman" w:hAnsi="Calibri" w:cs="Times New Roman"/>
                <w:color w:val="000000"/>
                <w:sz w:val="22"/>
                <w:lang w:val="en-US"/>
              </w:rPr>
            </w:pPr>
            <w:r w:rsidRPr="004F71F5">
              <w:rPr>
                <w:rFonts w:ascii="Calibri" w:eastAsia="Times New Roman" w:hAnsi="Calibri" w:cs="Times New Roman"/>
                <w:color w:val="000000"/>
                <w:sz w:val="22"/>
                <w:lang w:val="en-US"/>
              </w:rPr>
              <w:t>2008-09</w:t>
            </w:r>
          </w:p>
        </w:tc>
        <w:tc>
          <w:tcPr>
            <w:cnfStyle w:val="000010000000" w:firstRow="0" w:lastRow="0" w:firstColumn="0" w:lastColumn="0" w:oddVBand="1" w:evenVBand="0" w:oddHBand="0" w:evenHBand="0" w:firstRowFirstColumn="0" w:firstRowLastColumn="0" w:lastRowFirstColumn="0" w:lastRowLastColumn="0"/>
            <w:tcW w:w="2409" w:type="dxa"/>
            <w:tcBorders>
              <w:top w:val="none" w:sz="0" w:space="0" w:color="auto"/>
              <w:left w:val="none" w:sz="0" w:space="0" w:color="auto"/>
              <w:bottom w:val="none" w:sz="0" w:space="0" w:color="auto"/>
              <w:right w:val="none" w:sz="0" w:space="0" w:color="auto"/>
            </w:tcBorders>
            <w:noWrap/>
            <w:hideMark/>
          </w:tcPr>
          <w:p w:rsidR="00256E3D" w:rsidRPr="00797C04" w:rsidRDefault="00256E3D" w:rsidP="00BB609F">
            <w:pPr>
              <w:spacing w:after="0"/>
              <w:jc w:val="center"/>
              <w:rPr>
                <w:rFonts w:ascii="Calibri" w:eastAsia="Times New Roman" w:hAnsi="Calibri" w:cs="Times New Roman"/>
                <w:sz w:val="22"/>
                <w:lang w:val="en-US"/>
              </w:rPr>
            </w:pPr>
            <w:r w:rsidRPr="00797C04">
              <w:rPr>
                <w:rFonts w:ascii="Calibri" w:eastAsia="Times New Roman" w:hAnsi="Calibri" w:cs="Times New Roman"/>
                <w:sz w:val="22"/>
                <w:lang w:val="en-US"/>
              </w:rPr>
              <w:t>20.15</w:t>
            </w:r>
          </w:p>
        </w:tc>
        <w:tc>
          <w:tcPr>
            <w:tcW w:w="2410" w:type="dxa"/>
            <w:tcBorders>
              <w:top w:val="none" w:sz="0" w:space="0" w:color="auto"/>
              <w:bottom w:val="none" w:sz="0" w:space="0" w:color="auto"/>
            </w:tcBorders>
            <w:noWrap/>
            <w:hideMark/>
          </w:tcPr>
          <w:p w:rsidR="00256E3D" w:rsidRPr="00797C04" w:rsidRDefault="00256E3D" w:rsidP="00BB609F">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val="en-US"/>
              </w:rPr>
            </w:pPr>
            <w:r w:rsidRPr="00797C04">
              <w:rPr>
                <w:rFonts w:ascii="Calibri" w:eastAsia="Times New Roman" w:hAnsi="Calibri" w:cs="Times New Roman"/>
                <w:sz w:val="22"/>
                <w:lang w:val="en-US"/>
              </w:rPr>
              <w:t>18.63</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noWrap/>
            <w:hideMark/>
          </w:tcPr>
          <w:p w:rsidR="00256E3D" w:rsidRPr="00797C04" w:rsidRDefault="00256E3D" w:rsidP="00BB609F">
            <w:pPr>
              <w:spacing w:after="0"/>
              <w:jc w:val="center"/>
              <w:rPr>
                <w:rFonts w:ascii="Calibri" w:eastAsia="Times New Roman" w:hAnsi="Calibri" w:cs="Times New Roman"/>
                <w:sz w:val="22"/>
                <w:lang w:val="en-US"/>
              </w:rPr>
            </w:pPr>
            <w:r w:rsidRPr="00797C04">
              <w:rPr>
                <w:rFonts w:ascii="Calibri" w:eastAsia="Times New Roman" w:hAnsi="Calibri" w:cs="Times New Roman"/>
                <w:sz w:val="22"/>
                <w:lang w:val="en-US"/>
              </w:rPr>
              <w:t>1.52</w:t>
            </w:r>
          </w:p>
        </w:tc>
      </w:tr>
      <w:tr w:rsidR="00256E3D" w:rsidRPr="004F71F5" w:rsidTr="00BB609F">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noWrap/>
            <w:hideMark/>
          </w:tcPr>
          <w:p w:rsidR="00256E3D" w:rsidRPr="004F71F5" w:rsidRDefault="00256E3D" w:rsidP="00A51750">
            <w:pPr>
              <w:spacing w:after="0"/>
              <w:rPr>
                <w:rFonts w:ascii="Calibri" w:eastAsia="Times New Roman" w:hAnsi="Calibri" w:cs="Times New Roman"/>
                <w:color w:val="000000"/>
                <w:sz w:val="22"/>
                <w:lang w:val="en-US"/>
              </w:rPr>
            </w:pPr>
            <w:r w:rsidRPr="004F71F5">
              <w:rPr>
                <w:rFonts w:ascii="Calibri" w:eastAsia="Times New Roman" w:hAnsi="Calibri" w:cs="Times New Roman"/>
                <w:color w:val="000000"/>
                <w:sz w:val="22"/>
                <w:lang w:val="en-US"/>
              </w:rPr>
              <w:t>2009-10</w:t>
            </w:r>
          </w:p>
        </w:tc>
        <w:tc>
          <w:tcPr>
            <w:cnfStyle w:val="000010000000" w:firstRow="0" w:lastRow="0" w:firstColumn="0" w:lastColumn="0" w:oddVBand="1" w:evenVBand="0" w:oddHBand="0" w:evenHBand="0" w:firstRowFirstColumn="0" w:firstRowLastColumn="0" w:lastRowFirstColumn="0" w:lastRowLastColumn="0"/>
            <w:tcW w:w="2409" w:type="dxa"/>
            <w:tcBorders>
              <w:left w:val="none" w:sz="0" w:space="0" w:color="auto"/>
              <w:right w:val="none" w:sz="0" w:space="0" w:color="auto"/>
            </w:tcBorders>
            <w:noWrap/>
            <w:hideMark/>
          </w:tcPr>
          <w:p w:rsidR="00256E3D" w:rsidRPr="00797C04" w:rsidRDefault="00256E3D" w:rsidP="00BB609F">
            <w:pPr>
              <w:spacing w:after="0"/>
              <w:jc w:val="center"/>
              <w:rPr>
                <w:rFonts w:ascii="Calibri" w:eastAsia="Times New Roman" w:hAnsi="Calibri" w:cs="Times New Roman"/>
                <w:sz w:val="22"/>
                <w:lang w:val="en-US"/>
              </w:rPr>
            </w:pPr>
            <w:r w:rsidRPr="00797C04">
              <w:rPr>
                <w:rFonts w:ascii="Calibri" w:eastAsia="Times New Roman" w:hAnsi="Calibri" w:cs="Times New Roman"/>
                <w:sz w:val="22"/>
                <w:lang w:val="en-US"/>
              </w:rPr>
              <w:t>21.91</w:t>
            </w:r>
          </w:p>
        </w:tc>
        <w:tc>
          <w:tcPr>
            <w:tcW w:w="2410" w:type="dxa"/>
            <w:noWrap/>
            <w:hideMark/>
          </w:tcPr>
          <w:p w:rsidR="00256E3D" w:rsidRPr="00797C04" w:rsidRDefault="00256E3D" w:rsidP="00BB609F">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US"/>
              </w:rPr>
            </w:pPr>
            <w:r w:rsidRPr="00797C04">
              <w:rPr>
                <w:rFonts w:ascii="Calibri" w:eastAsia="Times New Roman" w:hAnsi="Calibri" w:cs="Times New Roman"/>
                <w:sz w:val="22"/>
                <w:lang w:val="en-US"/>
              </w:rPr>
              <w:t>20.20</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noWrap/>
            <w:hideMark/>
          </w:tcPr>
          <w:p w:rsidR="00256E3D" w:rsidRPr="00797C04" w:rsidRDefault="00256E3D" w:rsidP="00BB609F">
            <w:pPr>
              <w:spacing w:after="0"/>
              <w:jc w:val="center"/>
              <w:rPr>
                <w:rFonts w:ascii="Calibri" w:eastAsia="Times New Roman" w:hAnsi="Calibri" w:cs="Times New Roman"/>
                <w:sz w:val="22"/>
                <w:lang w:val="en-US"/>
              </w:rPr>
            </w:pPr>
            <w:r w:rsidRPr="00797C04">
              <w:rPr>
                <w:rFonts w:ascii="Calibri" w:eastAsia="Times New Roman" w:hAnsi="Calibri" w:cs="Times New Roman"/>
                <w:sz w:val="22"/>
                <w:lang w:val="en-US"/>
              </w:rPr>
              <w:t>1.71</w:t>
            </w:r>
          </w:p>
        </w:tc>
      </w:tr>
      <w:tr w:rsidR="00256E3D" w:rsidRPr="004F71F5" w:rsidTr="00BB60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noWrap/>
            <w:hideMark/>
          </w:tcPr>
          <w:p w:rsidR="00256E3D" w:rsidRPr="004F71F5" w:rsidRDefault="00256E3D" w:rsidP="00A51750">
            <w:pPr>
              <w:spacing w:after="0"/>
              <w:rPr>
                <w:rFonts w:ascii="Calibri" w:eastAsia="Times New Roman" w:hAnsi="Calibri" w:cs="Times New Roman"/>
                <w:color w:val="000000"/>
                <w:sz w:val="22"/>
                <w:lang w:val="en-US"/>
              </w:rPr>
            </w:pPr>
            <w:r w:rsidRPr="004F71F5">
              <w:rPr>
                <w:rFonts w:ascii="Calibri" w:eastAsia="Times New Roman" w:hAnsi="Calibri" w:cs="Times New Roman"/>
                <w:color w:val="000000"/>
                <w:sz w:val="22"/>
                <w:lang w:val="en-US"/>
              </w:rPr>
              <w:t>2010-11</w:t>
            </w:r>
          </w:p>
        </w:tc>
        <w:tc>
          <w:tcPr>
            <w:cnfStyle w:val="000010000000" w:firstRow="0" w:lastRow="0" w:firstColumn="0" w:lastColumn="0" w:oddVBand="1" w:evenVBand="0" w:oddHBand="0" w:evenHBand="0" w:firstRowFirstColumn="0" w:firstRowLastColumn="0" w:lastRowFirstColumn="0" w:lastRowLastColumn="0"/>
            <w:tcW w:w="2409" w:type="dxa"/>
            <w:tcBorders>
              <w:top w:val="none" w:sz="0" w:space="0" w:color="auto"/>
              <w:left w:val="none" w:sz="0" w:space="0" w:color="auto"/>
              <w:bottom w:val="none" w:sz="0" w:space="0" w:color="auto"/>
              <w:right w:val="none" w:sz="0" w:space="0" w:color="auto"/>
            </w:tcBorders>
            <w:noWrap/>
            <w:hideMark/>
          </w:tcPr>
          <w:p w:rsidR="00256E3D" w:rsidRPr="00797C04" w:rsidRDefault="00256E3D" w:rsidP="00BB609F">
            <w:pPr>
              <w:spacing w:after="0"/>
              <w:jc w:val="center"/>
              <w:rPr>
                <w:rFonts w:ascii="Calibri" w:eastAsia="Times New Roman" w:hAnsi="Calibri" w:cs="Times New Roman"/>
                <w:sz w:val="22"/>
                <w:lang w:val="en-US"/>
              </w:rPr>
            </w:pPr>
            <w:r w:rsidRPr="00797C04">
              <w:rPr>
                <w:rFonts w:ascii="Calibri" w:eastAsia="Times New Roman" w:hAnsi="Calibri" w:cs="Times New Roman"/>
                <w:sz w:val="22"/>
                <w:lang w:val="en-US"/>
              </w:rPr>
              <w:t>23.67</w:t>
            </w:r>
          </w:p>
        </w:tc>
        <w:tc>
          <w:tcPr>
            <w:tcW w:w="2410" w:type="dxa"/>
            <w:tcBorders>
              <w:top w:val="none" w:sz="0" w:space="0" w:color="auto"/>
              <w:bottom w:val="none" w:sz="0" w:space="0" w:color="auto"/>
            </w:tcBorders>
            <w:noWrap/>
            <w:hideMark/>
          </w:tcPr>
          <w:p w:rsidR="00256E3D" w:rsidRPr="00797C04" w:rsidRDefault="00256E3D" w:rsidP="00BB609F">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val="en-US"/>
              </w:rPr>
            </w:pPr>
            <w:r w:rsidRPr="00797C04">
              <w:rPr>
                <w:rFonts w:ascii="Calibri" w:eastAsia="Times New Roman" w:hAnsi="Calibri" w:cs="Times New Roman"/>
                <w:sz w:val="22"/>
                <w:lang w:val="en-US"/>
              </w:rPr>
              <w:t>21.74</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noWrap/>
            <w:hideMark/>
          </w:tcPr>
          <w:p w:rsidR="00256E3D" w:rsidRPr="00797C04" w:rsidRDefault="00256E3D" w:rsidP="00BB609F">
            <w:pPr>
              <w:spacing w:after="0"/>
              <w:jc w:val="center"/>
              <w:rPr>
                <w:rFonts w:ascii="Calibri" w:eastAsia="Times New Roman" w:hAnsi="Calibri" w:cs="Times New Roman"/>
                <w:sz w:val="22"/>
                <w:lang w:val="en-US"/>
              </w:rPr>
            </w:pPr>
            <w:r w:rsidRPr="00797C04">
              <w:rPr>
                <w:rFonts w:ascii="Calibri" w:eastAsia="Times New Roman" w:hAnsi="Calibri" w:cs="Times New Roman"/>
                <w:sz w:val="22"/>
                <w:lang w:val="en-US"/>
              </w:rPr>
              <w:t>1.93</w:t>
            </w:r>
          </w:p>
        </w:tc>
      </w:tr>
      <w:tr w:rsidR="00256E3D" w:rsidRPr="004F71F5" w:rsidTr="00BB609F">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noWrap/>
            <w:hideMark/>
          </w:tcPr>
          <w:p w:rsidR="00256E3D" w:rsidRPr="004F71F5" w:rsidRDefault="00256E3D" w:rsidP="00A51750">
            <w:pPr>
              <w:spacing w:after="0"/>
              <w:rPr>
                <w:rFonts w:ascii="Calibri" w:eastAsia="Times New Roman" w:hAnsi="Calibri" w:cs="Times New Roman"/>
                <w:color w:val="000000"/>
                <w:sz w:val="22"/>
                <w:lang w:val="en-US"/>
              </w:rPr>
            </w:pPr>
            <w:r w:rsidRPr="004F71F5">
              <w:rPr>
                <w:rFonts w:ascii="Calibri" w:eastAsia="Times New Roman" w:hAnsi="Calibri" w:cs="Times New Roman"/>
                <w:color w:val="000000"/>
                <w:sz w:val="22"/>
                <w:lang w:val="en-US"/>
              </w:rPr>
              <w:t>2011-12</w:t>
            </w:r>
          </w:p>
        </w:tc>
        <w:tc>
          <w:tcPr>
            <w:cnfStyle w:val="000010000000" w:firstRow="0" w:lastRow="0" w:firstColumn="0" w:lastColumn="0" w:oddVBand="1" w:evenVBand="0" w:oddHBand="0" w:evenHBand="0" w:firstRowFirstColumn="0" w:firstRowLastColumn="0" w:lastRowFirstColumn="0" w:lastRowLastColumn="0"/>
            <w:tcW w:w="2409" w:type="dxa"/>
            <w:tcBorders>
              <w:left w:val="none" w:sz="0" w:space="0" w:color="auto"/>
              <w:right w:val="none" w:sz="0" w:space="0" w:color="auto"/>
            </w:tcBorders>
            <w:noWrap/>
            <w:hideMark/>
          </w:tcPr>
          <w:p w:rsidR="00256E3D" w:rsidRPr="00797C04" w:rsidRDefault="00256E3D" w:rsidP="00BB609F">
            <w:pPr>
              <w:spacing w:after="0"/>
              <w:jc w:val="center"/>
              <w:rPr>
                <w:rFonts w:ascii="Calibri" w:eastAsia="Times New Roman" w:hAnsi="Calibri" w:cs="Times New Roman"/>
                <w:sz w:val="22"/>
                <w:lang w:val="en-US"/>
              </w:rPr>
            </w:pPr>
            <w:r w:rsidRPr="00797C04">
              <w:rPr>
                <w:rFonts w:ascii="Calibri" w:eastAsia="Times New Roman" w:hAnsi="Calibri" w:cs="Times New Roman"/>
                <w:sz w:val="22"/>
                <w:lang w:val="en-US"/>
              </w:rPr>
              <w:t>24.97</w:t>
            </w:r>
          </w:p>
        </w:tc>
        <w:tc>
          <w:tcPr>
            <w:tcW w:w="2410" w:type="dxa"/>
            <w:noWrap/>
            <w:hideMark/>
          </w:tcPr>
          <w:p w:rsidR="00256E3D" w:rsidRPr="00797C04" w:rsidRDefault="00256E3D" w:rsidP="00BB609F">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US"/>
              </w:rPr>
            </w:pPr>
            <w:r w:rsidRPr="00797C04">
              <w:rPr>
                <w:rFonts w:ascii="Calibri" w:eastAsia="Times New Roman" w:hAnsi="Calibri" w:cs="Times New Roman"/>
                <w:sz w:val="22"/>
                <w:lang w:val="en-US"/>
              </w:rPr>
              <w:t>22.83</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noWrap/>
            <w:hideMark/>
          </w:tcPr>
          <w:p w:rsidR="00256E3D" w:rsidRPr="00797C04" w:rsidRDefault="00256E3D" w:rsidP="00BB609F">
            <w:pPr>
              <w:spacing w:after="0"/>
              <w:jc w:val="center"/>
              <w:rPr>
                <w:rFonts w:ascii="Calibri" w:eastAsia="Times New Roman" w:hAnsi="Calibri" w:cs="Times New Roman"/>
                <w:sz w:val="22"/>
                <w:lang w:val="en-US"/>
              </w:rPr>
            </w:pPr>
            <w:r w:rsidRPr="00797C04">
              <w:rPr>
                <w:rFonts w:ascii="Calibri" w:eastAsia="Times New Roman" w:hAnsi="Calibri" w:cs="Times New Roman"/>
                <w:sz w:val="22"/>
                <w:lang w:val="en-US"/>
              </w:rPr>
              <w:t>2.14</w:t>
            </w:r>
          </w:p>
        </w:tc>
      </w:tr>
      <w:tr w:rsidR="00256E3D" w:rsidRPr="004F71F5" w:rsidTr="00BB60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noWrap/>
            <w:hideMark/>
          </w:tcPr>
          <w:p w:rsidR="00256E3D" w:rsidRPr="004F71F5" w:rsidRDefault="00256E3D" w:rsidP="00A51750">
            <w:pPr>
              <w:spacing w:after="0"/>
              <w:rPr>
                <w:rFonts w:ascii="Calibri" w:eastAsia="Times New Roman" w:hAnsi="Calibri" w:cs="Times New Roman"/>
                <w:color w:val="000000"/>
                <w:sz w:val="22"/>
                <w:lang w:val="en-US"/>
              </w:rPr>
            </w:pPr>
            <w:r w:rsidRPr="004F71F5">
              <w:rPr>
                <w:rFonts w:ascii="Calibri" w:eastAsia="Times New Roman" w:hAnsi="Calibri" w:cs="Times New Roman"/>
                <w:color w:val="000000"/>
                <w:sz w:val="22"/>
                <w:lang w:val="en-US"/>
              </w:rPr>
              <w:t>2012-13</w:t>
            </w:r>
          </w:p>
        </w:tc>
        <w:tc>
          <w:tcPr>
            <w:cnfStyle w:val="000010000000" w:firstRow="0" w:lastRow="0" w:firstColumn="0" w:lastColumn="0" w:oddVBand="1" w:evenVBand="0" w:oddHBand="0" w:evenHBand="0" w:firstRowFirstColumn="0" w:firstRowLastColumn="0" w:lastRowFirstColumn="0" w:lastRowLastColumn="0"/>
            <w:tcW w:w="2409" w:type="dxa"/>
            <w:tcBorders>
              <w:top w:val="none" w:sz="0" w:space="0" w:color="auto"/>
              <w:left w:val="none" w:sz="0" w:space="0" w:color="auto"/>
              <w:bottom w:val="none" w:sz="0" w:space="0" w:color="auto"/>
              <w:right w:val="none" w:sz="0" w:space="0" w:color="auto"/>
            </w:tcBorders>
            <w:noWrap/>
            <w:hideMark/>
          </w:tcPr>
          <w:p w:rsidR="00256E3D" w:rsidRPr="00797C04" w:rsidRDefault="00256E3D" w:rsidP="00BB609F">
            <w:pPr>
              <w:spacing w:after="0"/>
              <w:jc w:val="center"/>
              <w:rPr>
                <w:rFonts w:ascii="Calibri" w:eastAsia="Times New Roman" w:hAnsi="Calibri" w:cs="Times New Roman"/>
                <w:sz w:val="22"/>
                <w:lang w:val="en-US"/>
              </w:rPr>
            </w:pPr>
            <w:r w:rsidRPr="00797C04">
              <w:rPr>
                <w:rFonts w:ascii="Calibri" w:eastAsia="Times New Roman" w:hAnsi="Calibri" w:cs="Times New Roman"/>
                <w:sz w:val="22"/>
                <w:lang w:val="en-US"/>
              </w:rPr>
              <w:t>25.38</w:t>
            </w:r>
          </w:p>
        </w:tc>
        <w:tc>
          <w:tcPr>
            <w:tcW w:w="2410" w:type="dxa"/>
            <w:tcBorders>
              <w:top w:val="none" w:sz="0" w:space="0" w:color="auto"/>
              <w:bottom w:val="none" w:sz="0" w:space="0" w:color="auto"/>
            </w:tcBorders>
            <w:noWrap/>
            <w:hideMark/>
          </w:tcPr>
          <w:p w:rsidR="00256E3D" w:rsidRPr="00797C04" w:rsidRDefault="00256E3D" w:rsidP="00BB609F">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val="en-US"/>
              </w:rPr>
            </w:pPr>
            <w:r w:rsidRPr="00797C04">
              <w:rPr>
                <w:rFonts w:ascii="Calibri" w:eastAsia="Times New Roman" w:hAnsi="Calibri" w:cs="Times New Roman"/>
                <w:sz w:val="22"/>
                <w:lang w:val="en-US"/>
              </w:rPr>
              <w:t>22.99</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noWrap/>
            <w:hideMark/>
          </w:tcPr>
          <w:p w:rsidR="00256E3D" w:rsidRPr="00797C04" w:rsidRDefault="00256E3D" w:rsidP="00BB609F">
            <w:pPr>
              <w:spacing w:after="0"/>
              <w:jc w:val="center"/>
              <w:rPr>
                <w:rFonts w:ascii="Calibri" w:eastAsia="Times New Roman" w:hAnsi="Calibri" w:cs="Times New Roman"/>
                <w:sz w:val="22"/>
                <w:lang w:val="en-US"/>
              </w:rPr>
            </w:pPr>
            <w:r w:rsidRPr="00797C04">
              <w:rPr>
                <w:rFonts w:ascii="Calibri" w:eastAsia="Times New Roman" w:hAnsi="Calibri" w:cs="Times New Roman"/>
                <w:sz w:val="22"/>
                <w:lang w:val="en-US"/>
              </w:rPr>
              <w:t>2.39</w:t>
            </w:r>
          </w:p>
        </w:tc>
      </w:tr>
      <w:tr w:rsidR="00256E3D" w:rsidRPr="004F71F5" w:rsidTr="00BB609F">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noWrap/>
            <w:hideMark/>
          </w:tcPr>
          <w:p w:rsidR="00256E3D" w:rsidRPr="004F71F5" w:rsidRDefault="00256E3D" w:rsidP="00A51750">
            <w:pPr>
              <w:spacing w:after="0"/>
              <w:rPr>
                <w:rFonts w:ascii="Calibri" w:eastAsia="Times New Roman" w:hAnsi="Calibri" w:cs="Times New Roman"/>
                <w:color w:val="000000"/>
                <w:sz w:val="22"/>
                <w:lang w:val="en-US"/>
              </w:rPr>
            </w:pPr>
            <w:r w:rsidRPr="004F71F5">
              <w:rPr>
                <w:rFonts w:ascii="Calibri" w:eastAsia="Times New Roman" w:hAnsi="Calibri" w:cs="Times New Roman"/>
                <w:color w:val="000000"/>
                <w:sz w:val="22"/>
                <w:lang w:val="en-US"/>
              </w:rPr>
              <w:t>2013-14</w:t>
            </w:r>
          </w:p>
        </w:tc>
        <w:tc>
          <w:tcPr>
            <w:cnfStyle w:val="000010000000" w:firstRow="0" w:lastRow="0" w:firstColumn="0" w:lastColumn="0" w:oddVBand="1" w:evenVBand="0" w:oddHBand="0" w:evenHBand="0" w:firstRowFirstColumn="0" w:firstRowLastColumn="0" w:lastRowFirstColumn="0" w:lastRowLastColumn="0"/>
            <w:tcW w:w="2409" w:type="dxa"/>
            <w:tcBorders>
              <w:left w:val="none" w:sz="0" w:space="0" w:color="auto"/>
              <w:right w:val="none" w:sz="0" w:space="0" w:color="auto"/>
            </w:tcBorders>
            <w:noWrap/>
            <w:hideMark/>
          </w:tcPr>
          <w:p w:rsidR="00256E3D" w:rsidRPr="00797C04" w:rsidRDefault="00256E3D" w:rsidP="00BB609F">
            <w:pPr>
              <w:spacing w:after="0"/>
              <w:jc w:val="center"/>
              <w:rPr>
                <w:rFonts w:ascii="Calibri" w:eastAsia="Times New Roman" w:hAnsi="Calibri" w:cs="Times New Roman"/>
                <w:sz w:val="22"/>
                <w:lang w:val="en-US"/>
              </w:rPr>
            </w:pPr>
            <w:r w:rsidRPr="00797C04">
              <w:rPr>
                <w:rFonts w:ascii="Calibri" w:eastAsia="Times New Roman" w:hAnsi="Calibri" w:cs="Times New Roman"/>
                <w:sz w:val="22"/>
                <w:lang w:val="en-US"/>
              </w:rPr>
              <w:t>25.63</w:t>
            </w:r>
          </w:p>
        </w:tc>
        <w:tc>
          <w:tcPr>
            <w:tcW w:w="2410" w:type="dxa"/>
            <w:noWrap/>
            <w:hideMark/>
          </w:tcPr>
          <w:p w:rsidR="00256E3D" w:rsidRPr="00797C04" w:rsidRDefault="00256E3D" w:rsidP="00BB609F">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US"/>
              </w:rPr>
            </w:pPr>
            <w:r w:rsidRPr="00797C04">
              <w:rPr>
                <w:rFonts w:ascii="Calibri" w:eastAsia="Times New Roman" w:hAnsi="Calibri" w:cs="Times New Roman"/>
                <w:sz w:val="22"/>
                <w:lang w:val="en-US"/>
              </w:rPr>
              <w:t>22.91</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noWrap/>
            <w:hideMark/>
          </w:tcPr>
          <w:p w:rsidR="00256E3D" w:rsidRPr="00797C04" w:rsidRDefault="00256E3D" w:rsidP="00BB609F">
            <w:pPr>
              <w:spacing w:after="0"/>
              <w:jc w:val="center"/>
              <w:rPr>
                <w:rFonts w:ascii="Calibri" w:eastAsia="Times New Roman" w:hAnsi="Calibri" w:cs="Times New Roman"/>
                <w:sz w:val="22"/>
                <w:lang w:val="en-US"/>
              </w:rPr>
            </w:pPr>
            <w:r w:rsidRPr="00797C04">
              <w:rPr>
                <w:rFonts w:ascii="Calibri" w:eastAsia="Times New Roman" w:hAnsi="Calibri" w:cs="Times New Roman"/>
                <w:sz w:val="22"/>
                <w:lang w:val="en-US"/>
              </w:rPr>
              <w:t>2.72</w:t>
            </w:r>
          </w:p>
        </w:tc>
      </w:tr>
      <w:tr w:rsidR="00256E3D" w:rsidRPr="004F71F5" w:rsidTr="00BB60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noWrap/>
            <w:hideMark/>
          </w:tcPr>
          <w:p w:rsidR="00256E3D" w:rsidRPr="004F71F5" w:rsidRDefault="00256E3D" w:rsidP="00A51750">
            <w:pPr>
              <w:spacing w:after="0"/>
              <w:rPr>
                <w:rFonts w:ascii="Calibri" w:eastAsia="Times New Roman" w:hAnsi="Calibri" w:cs="Times New Roman"/>
                <w:color w:val="000000"/>
                <w:sz w:val="22"/>
                <w:lang w:val="en-US"/>
              </w:rPr>
            </w:pPr>
            <w:r w:rsidRPr="004F71F5">
              <w:rPr>
                <w:rFonts w:ascii="Calibri" w:eastAsia="Times New Roman" w:hAnsi="Calibri" w:cs="Times New Roman"/>
                <w:color w:val="000000"/>
                <w:sz w:val="22"/>
                <w:lang w:val="en-US"/>
              </w:rPr>
              <w:t>2014-15</w:t>
            </w:r>
          </w:p>
        </w:tc>
        <w:tc>
          <w:tcPr>
            <w:cnfStyle w:val="000010000000" w:firstRow="0" w:lastRow="0" w:firstColumn="0" w:lastColumn="0" w:oddVBand="1" w:evenVBand="0" w:oddHBand="0" w:evenHBand="0" w:firstRowFirstColumn="0" w:firstRowLastColumn="0" w:lastRowFirstColumn="0" w:lastRowLastColumn="0"/>
            <w:tcW w:w="2409" w:type="dxa"/>
            <w:tcBorders>
              <w:top w:val="none" w:sz="0" w:space="0" w:color="auto"/>
              <w:left w:val="none" w:sz="0" w:space="0" w:color="auto"/>
              <w:bottom w:val="none" w:sz="0" w:space="0" w:color="auto"/>
              <w:right w:val="none" w:sz="0" w:space="0" w:color="auto"/>
            </w:tcBorders>
            <w:noWrap/>
            <w:hideMark/>
          </w:tcPr>
          <w:p w:rsidR="00256E3D" w:rsidRPr="00797C04" w:rsidRDefault="00256E3D" w:rsidP="00BB609F">
            <w:pPr>
              <w:spacing w:after="0"/>
              <w:jc w:val="center"/>
              <w:rPr>
                <w:rFonts w:ascii="Calibri" w:eastAsia="Times New Roman" w:hAnsi="Calibri" w:cs="Times New Roman"/>
                <w:sz w:val="22"/>
                <w:lang w:val="en-US"/>
              </w:rPr>
            </w:pPr>
            <w:r w:rsidRPr="00797C04">
              <w:rPr>
                <w:rFonts w:ascii="Calibri" w:eastAsia="Times New Roman" w:hAnsi="Calibri" w:cs="Times New Roman"/>
                <w:sz w:val="22"/>
                <w:lang w:val="en-US"/>
              </w:rPr>
              <w:t>26.77</w:t>
            </w:r>
          </w:p>
        </w:tc>
        <w:tc>
          <w:tcPr>
            <w:tcW w:w="2410" w:type="dxa"/>
            <w:tcBorders>
              <w:top w:val="none" w:sz="0" w:space="0" w:color="auto"/>
              <w:bottom w:val="none" w:sz="0" w:space="0" w:color="auto"/>
            </w:tcBorders>
            <w:noWrap/>
            <w:hideMark/>
          </w:tcPr>
          <w:p w:rsidR="00256E3D" w:rsidRPr="00797C04" w:rsidRDefault="00256E3D" w:rsidP="00BB609F">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lang w:val="en-US"/>
              </w:rPr>
            </w:pPr>
            <w:r w:rsidRPr="00797C04">
              <w:rPr>
                <w:rFonts w:ascii="Calibri" w:eastAsia="Times New Roman" w:hAnsi="Calibri" w:cs="Times New Roman"/>
                <w:sz w:val="22"/>
                <w:lang w:val="en-US"/>
              </w:rPr>
              <w:t>23.56</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noWrap/>
            <w:hideMark/>
          </w:tcPr>
          <w:p w:rsidR="00256E3D" w:rsidRPr="00797C04" w:rsidRDefault="00256E3D" w:rsidP="00BB609F">
            <w:pPr>
              <w:spacing w:after="0"/>
              <w:jc w:val="center"/>
              <w:rPr>
                <w:rFonts w:ascii="Calibri" w:eastAsia="Times New Roman" w:hAnsi="Calibri" w:cs="Times New Roman"/>
                <w:sz w:val="22"/>
                <w:lang w:val="en-US"/>
              </w:rPr>
            </w:pPr>
            <w:r w:rsidRPr="00797C04">
              <w:rPr>
                <w:rFonts w:ascii="Calibri" w:eastAsia="Times New Roman" w:hAnsi="Calibri" w:cs="Times New Roman"/>
                <w:sz w:val="22"/>
                <w:lang w:val="en-US"/>
              </w:rPr>
              <w:t>3.21</w:t>
            </w:r>
          </w:p>
        </w:tc>
      </w:tr>
      <w:tr w:rsidR="00256E3D" w:rsidRPr="004F71F5" w:rsidTr="00BB609F">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noWrap/>
            <w:hideMark/>
          </w:tcPr>
          <w:p w:rsidR="00256E3D" w:rsidRPr="004F71F5" w:rsidRDefault="00256E3D" w:rsidP="00A51750">
            <w:pPr>
              <w:spacing w:after="0"/>
              <w:rPr>
                <w:rFonts w:ascii="Calibri" w:eastAsia="Times New Roman" w:hAnsi="Calibri" w:cs="Times New Roman"/>
                <w:color w:val="000000"/>
                <w:sz w:val="22"/>
                <w:lang w:val="en-US"/>
              </w:rPr>
            </w:pPr>
            <w:r w:rsidRPr="004F71F5">
              <w:rPr>
                <w:rFonts w:ascii="Calibri" w:eastAsia="Times New Roman" w:hAnsi="Calibri" w:cs="Times New Roman"/>
                <w:color w:val="000000"/>
                <w:sz w:val="22"/>
                <w:lang w:val="en-US"/>
              </w:rPr>
              <w:t>2015-16</w:t>
            </w:r>
          </w:p>
        </w:tc>
        <w:tc>
          <w:tcPr>
            <w:cnfStyle w:val="000010000000" w:firstRow="0" w:lastRow="0" w:firstColumn="0" w:lastColumn="0" w:oddVBand="1" w:evenVBand="0" w:oddHBand="0" w:evenHBand="0" w:firstRowFirstColumn="0" w:firstRowLastColumn="0" w:lastRowFirstColumn="0" w:lastRowLastColumn="0"/>
            <w:tcW w:w="2409" w:type="dxa"/>
            <w:tcBorders>
              <w:left w:val="none" w:sz="0" w:space="0" w:color="auto"/>
              <w:right w:val="none" w:sz="0" w:space="0" w:color="auto"/>
            </w:tcBorders>
            <w:noWrap/>
            <w:hideMark/>
          </w:tcPr>
          <w:p w:rsidR="00256E3D" w:rsidRPr="00797C04" w:rsidRDefault="00256E3D" w:rsidP="00BB609F">
            <w:pPr>
              <w:spacing w:after="0"/>
              <w:jc w:val="center"/>
              <w:rPr>
                <w:rFonts w:ascii="Calibri" w:eastAsia="Times New Roman" w:hAnsi="Calibri" w:cs="Times New Roman"/>
                <w:sz w:val="22"/>
                <w:lang w:val="en-US"/>
              </w:rPr>
            </w:pPr>
            <w:r w:rsidRPr="00797C04">
              <w:rPr>
                <w:rFonts w:ascii="Calibri" w:eastAsia="Times New Roman" w:hAnsi="Calibri" w:cs="Times New Roman"/>
                <w:sz w:val="22"/>
                <w:lang w:val="en-US"/>
              </w:rPr>
              <w:t>$27.67</w:t>
            </w:r>
          </w:p>
        </w:tc>
        <w:tc>
          <w:tcPr>
            <w:tcW w:w="2410" w:type="dxa"/>
            <w:noWrap/>
            <w:hideMark/>
          </w:tcPr>
          <w:p w:rsidR="00256E3D" w:rsidRPr="00797C04" w:rsidRDefault="00256E3D" w:rsidP="00BB609F">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US"/>
              </w:rPr>
            </w:pPr>
            <w:r w:rsidRPr="00797C04">
              <w:rPr>
                <w:rFonts w:ascii="Calibri" w:eastAsia="Times New Roman" w:hAnsi="Calibri" w:cs="Times New Roman"/>
                <w:sz w:val="22"/>
                <w:lang w:val="en-US"/>
              </w:rPr>
              <w:t>$24.02</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noWrap/>
            <w:hideMark/>
          </w:tcPr>
          <w:p w:rsidR="00256E3D" w:rsidRPr="00797C04" w:rsidRDefault="00256E3D" w:rsidP="00BB609F">
            <w:pPr>
              <w:spacing w:after="0"/>
              <w:jc w:val="center"/>
              <w:rPr>
                <w:rFonts w:ascii="Calibri" w:eastAsia="Times New Roman" w:hAnsi="Calibri" w:cs="Times New Roman"/>
                <w:sz w:val="22"/>
                <w:lang w:val="en-US"/>
              </w:rPr>
            </w:pPr>
            <w:r w:rsidRPr="00797C04">
              <w:rPr>
                <w:rFonts w:ascii="Calibri" w:eastAsia="Times New Roman" w:hAnsi="Calibri" w:cs="Times New Roman"/>
                <w:sz w:val="22"/>
                <w:lang w:val="en-US"/>
              </w:rPr>
              <w:t>$3.65</w:t>
            </w:r>
          </w:p>
        </w:tc>
      </w:tr>
    </w:tbl>
    <w:p w:rsidR="00E3084A" w:rsidRDefault="009F643E" w:rsidP="00E3084A">
      <w:pPr>
        <w:pStyle w:val="Caption"/>
        <w:keepNext/>
      </w:pPr>
      <w:bookmarkStart w:id="576" w:name="_Toc495416552"/>
      <w:r>
        <w:t>Figure 8.</w:t>
      </w:r>
      <w:r w:rsidR="009A3F5A">
        <w:fldChar w:fldCharType="begin"/>
      </w:r>
      <w:r w:rsidR="009A3F5A">
        <w:instrText xml:space="preserve"> SEQ Figure_8. \* ARABIC </w:instrText>
      </w:r>
      <w:r w:rsidR="009A3F5A">
        <w:fldChar w:fldCharType="separate"/>
      </w:r>
      <w:r w:rsidR="00856E49">
        <w:rPr>
          <w:noProof/>
        </w:rPr>
        <w:t>5</w:t>
      </w:r>
      <w:r w:rsidR="009A3F5A">
        <w:rPr>
          <w:noProof/>
        </w:rPr>
        <w:fldChar w:fldCharType="end"/>
      </w:r>
      <w:r>
        <w:t xml:space="preserve">: </w:t>
      </w:r>
      <w:r w:rsidRPr="009F643E">
        <w:t>Funding from the Depression Question</w:t>
      </w:r>
      <w:bookmarkEnd w:id="576"/>
    </w:p>
    <w:p w:rsidR="00926C46" w:rsidRDefault="00926C46" w:rsidP="00256E3D">
      <w:pPr>
        <w:spacing w:after="200"/>
      </w:pPr>
      <w:r>
        <w:rPr>
          <w:noProof/>
          <w:lang w:eastAsia="en-AU"/>
        </w:rPr>
        <w:drawing>
          <wp:inline distT="0" distB="0" distL="0" distR="0" wp14:anchorId="4297789D" wp14:editId="47FAEA30">
            <wp:extent cx="5200650" cy="3255645"/>
            <wp:effectExtent l="0" t="0" r="0" b="1905"/>
            <wp:docPr id="155" name="Picture 155" descr="Figure 8.5 is a bar diagram illustrating the payment reduction for depression, as compared in Table 8.9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00650" cy="3255645"/>
                    </a:xfrm>
                    <a:prstGeom prst="rect">
                      <a:avLst/>
                    </a:prstGeom>
                    <a:noFill/>
                  </pic:spPr>
                </pic:pic>
              </a:graphicData>
            </a:graphic>
          </wp:inline>
        </w:drawing>
      </w:r>
    </w:p>
    <w:p w:rsidR="00256E3D" w:rsidRDefault="00256E3D" w:rsidP="00F02312">
      <w:pPr>
        <w:pStyle w:val="Heading3"/>
        <w:numPr>
          <w:ilvl w:val="2"/>
          <w:numId w:val="147"/>
        </w:numPr>
        <w:ind w:left="851" w:hanging="851"/>
      </w:pPr>
      <w:bookmarkStart w:id="577" w:name="_Toc486596374"/>
      <w:bookmarkStart w:id="578" w:name="_Toc486600072"/>
      <w:r>
        <w:t>Calculating the Behaviour</w:t>
      </w:r>
      <w:r w:rsidRPr="005F4409">
        <w:t xml:space="preserve"> Domain </w:t>
      </w:r>
      <w:r>
        <w:t>Level (L, M, H)</w:t>
      </w:r>
      <w:bookmarkEnd w:id="577"/>
      <w:bookmarkEnd w:id="578"/>
    </w:p>
    <w:p w:rsidR="00980F62" w:rsidRDefault="00256E3D" w:rsidP="00256E3D">
      <w:pPr>
        <w:rPr>
          <w:lang w:eastAsia="en-AU"/>
        </w:rPr>
      </w:pPr>
      <w:r>
        <w:rPr>
          <w:lang w:eastAsia="en-AU"/>
        </w:rPr>
        <w:t>The B</w:t>
      </w:r>
      <w:r w:rsidR="00751CD3">
        <w:rPr>
          <w:lang w:eastAsia="en-AU"/>
        </w:rPr>
        <w:t>EH</w:t>
      </w:r>
      <w:r>
        <w:rPr>
          <w:lang w:eastAsia="en-AU"/>
        </w:rPr>
        <w:t xml:space="preserve"> domain level is calculated as follows:</w:t>
      </w:r>
    </w:p>
    <w:p w:rsidR="00256E3D" w:rsidRPr="005935A6" w:rsidRDefault="00256E3D" w:rsidP="00F02312">
      <w:pPr>
        <w:pStyle w:val="ListParagraph"/>
        <w:numPr>
          <w:ilvl w:val="1"/>
          <w:numId w:val="148"/>
        </w:numPr>
        <w:spacing w:before="120"/>
        <w:ind w:left="357" w:hanging="357"/>
        <w:contextualSpacing w:val="0"/>
        <w:rPr>
          <w:lang w:eastAsia="en-AU"/>
        </w:rPr>
      </w:pPr>
      <w:r>
        <w:rPr>
          <w:lang w:eastAsia="en-AU"/>
        </w:rPr>
        <w:t>Determine the Cognitive Skills rating (S-MMSE)</w:t>
      </w:r>
      <w:r w:rsidR="0046155C">
        <w:rPr>
          <w:lang w:eastAsia="en-AU"/>
        </w:rPr>
        <w:t>.</w:t>
      </w:r>
    </w:p>
    <w:p w:rsidR="00043DB4" w:rsidRDefault="009F643E" w:rsidP="001A4797">
      <w:pPr>
        <w:pStyle w:val="Caption"/>
        <w:keepNext/>
        <w:spacing w:before="120"/>
      </w:pPr>
      <w:bookmarkStart w:id="579" w:name="_Toc495416377"/>
      <w:bookmarkStart w:id="580" w:name="Tab0810"/>
      <w:r>
        <w:t>Table 8.</w:t>
      </w:r>
      <w:r w:rsidR="009A3F5A">
        <w:fldChar w:fldCharType="begin"/>
      </w:r>
      <w:r w:rsidR="009A3F5A">
        <w:instrText xml:space="preserve"> SEQ Table_8. \* ARABIC </w:instrText>
      </w:r>
      <w:r w:rsidR="009A3F5A">
        <w:fldChar w:fldCharType="separate"/>
      </w:r>
      <w:r w:rsidR="00856E49">
        <w:rPr>
          <w:noProof/>
        </w:rPr>
        <w:t>10</w:t>
      </w:r>
      <w:r w:rsidR="009A3F5A">
        <w:rPr>
          <w:noProof/>
        </w:rPr>
        <w:fldChar w:fldCharType="end"/>
      </w:r>
      <w:r>
        <w:t xml:space="preserve">: </w:t>
      </w:r>
      <w:r w:rsidRPr="009F643E">
        <w:t>R-ACFI Cognitive Skills Rating</w:t>
      </w:r>
      <w:bookmarkEnd w:id="579"/>
    </w:p>
    <w:tbl>
      <w:tblPr>
        <w:tblStyle w:val="ListTable3-Accent515"/>
        <w:tblW w:w="5040"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8.10 is a list of ratings (A, B, C and D) for the cognitive skills checklist. This table is to be read left to right, top to bottom."/>
      </w:tblPr>
      <w:tblGrid>
        <w:gridCol w:w="3600"/>
        <w:gridCol w:w="1440"/>
      </w:tblGrid>
      <w:tr w:rsidR="00256E3D" w:rsidRPr="00C95BB6" w:rsidTr="000B59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00" w:type="dxa"/>
            <w:tcBorders>
              <w:bottom w:val="none" w:sz="0" w:space="0" w:color="auto"/>
              <w:right w:val="none" w:sz="0" w:space="0" w:color="auto"/>
            </w:tcBorders>
          </w:tcPr>
          <w:bookmarkEnd w:id="580"/>
          <w:p w:rsidR="00256E3D" w:rsidRPr="009E22A9" w:rsidRDefault="00256E3D" w:rsidP="000B594D">
            <w:pPr>
              <w:pStyle w:val="Tableheader5"/>
              <w:spacing w:before="60" w:after="60"/>
              <w:rPr>
                <w:rFonts w:asciiTheme="minorHAnsi" w:hAnsiTheme="minorHAnsi" w:cstheme="minorHAnsi"/>
                <w:b/>
                <w:szCs w:val="20"/>
              </w:rPr>
            </w:pPr>
            <w:r w:rsidRPr="009E22A9">
              <w:rPr>
                <w:rFonts w:asciiTheme="minorHAnsi" w:hAnsiTheme="minorHAnsi" w:cstheme="minorHAnsi"/>
                <w:b/>
                <w:szCs w:val="20"/>
              </w:rPr>
              <w:t>Cognitive Skills Checklist</w:t>
            </w:r>
          </w:p>
        </w:tc>
        <w:tc>
          <w:tcPr>
            <w:cnfStyle w:val="000010000000" w:firstRow="0" w:lastRow="0" w:firstColumn="0" w:lastColumn="0" w:oddVBand="1" w:evenVBand="0" w:oddHBand="0" w:evenHBand="0" w:firstRowFirstColumn="0" w:firstRowLastColumn="0" w:lastRowFirstColumn="0" w:lastRowLastColumn="0"/>
            <w:tcW w:w="1440" w:type="dxa"/>
            <w:tcBorders>
              <w:left w:val="none" w:sz="0" w:space="0" w:color="auto"/>
              <w:right w:val="none" w:sz="0" w:space="0" w:color="auto"/>
            </w:tcBorders>
          </w:tcPr>
          <w:p w:rsidR="00256E3D" w:rsidRPr="009E22A9" w:rsidRDefault="00256E3D" w:rsidP="000B594D">
            <w:pPr>
              <w:pStyle w:val="Tableheader5"/>
              <w:spacing w:before="60" w:after="60"/>
              <w:jc w:val="center"/>
              <w:rPr>
                <w:rFonts w:asciiTheme="minorHAnsi" w:hAnsiTheme="minorHAnsi" w:cstheme="minorHAnsi"/>
                <w:b/>
                <w:szCs w:val="20"/>
              </w:rPr>
            </w:pPr>
            <w:r w:rsidRPr="009E22A9">
              <w:rPr>
                <w:rFonts w:asciiTheme="minorHAnsi" w:hAnsiTheme="minorHAnsi" w:cstheme="minorHAnsi"/>
                <w:b/>
                <w:szCs w:val="20"/>
              </w:rPr>
              <w:t>Rating</w:t>
            </w:r>
          </w:p>
        </w:tc>
      </w:tr>
      <w:tr w:rsidR="00256E3D" w:rsidRPr="00C95BB6" w:rsidTr="000B5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right w:val="none" w:sz="0" w:space="0" w:color="auto"/>
            </w:tcBorders>
          </w:tcPr>
          <w:p w:rsidR="00256E3D" w:rsidRPr="00C95BB6" w:rsidRDefault="00256E3D" w:rsidP="000B594D">
            <w:pPr>
              <w:pStyle w:val="numberedtableheader6"/>
              <w:spacing w:after="0"/>
              <w:ind w:left="0" w:firstLine="0"/>
              <w:jc w:val="left"/>
              <w:rPr>
                <w:rFonts w:asciiTheme="minorHAnsi" w:hAnsiTheme="minorHAnsi" w:cstheme="minorHAnsi"/>
                <w:sz w:val="20"/>
                <w:szCs w:val="20"/>
              </w:rPr>
            </w:pPr>
            <w:r w:rsidRPr="00C95BB6">
              <w:rPr>
                <w:rFonts w:asciiTheme="minorHAnsi" w:hAnsiTheme="minorHAnsi" w:cstheme="minorHAnsi"/>
                <w:sz w:val="20"/>
                <w:szCs w:val="20"/>
              </w:rPr>
              <w:t>None or minimal impairment</w:t>
            </w:r>
          </w:p>
        </w:tc>
        <w:tc>
          <w:tcPr>
            <w:cnfStyle w:val="000010000000" w:firstRow="0" w:lastRow="0" w:firstColumn="0" w:lastColumn="0" w:oddVBand="1" w:evenVBand="0" w:oddHBand="0" w:evenHBand="0" w:firstRowFirstColumn="0" w:firstRowLastColumn="0" w:lastRowFirstColumn="0" w:lastRowLastColumn="0"/>
            <w:tcW w:w="1440" w:type="dxa"/>
            <w:tcBorders>
              <w:top w:val="none" w:sz="0" w:space="0" w:color="auto"/>
              <w:left w:val="none" w:sz="0" w:space="0" w:color="auto"/>
              <w:bottom w:val="none" w:sz="0" w:space="0" w:color="auto"/>
              <w:right w:val="none" w:sz="0" w:space="0" w:color="auto"/>
            </w:tcBorders>
          </w:tcPr>
          <w:p w:rsidR="00256E3D" w:rsidRPr="009E22A9" w:rsidRDefault="00256E3D" w:rsidP="000B594D">
            <w:pPr>
              <w:pStyle w:val="Tabletype5"/>
              <w:spacing w:after="0"/>
              <w:jc w:val="center"/>
              <w:rPr>
                <w:rFonts w:asciiTheme="minorHAnsi" w:hAnsiTheme="minorHAnsi" w:cstheme="minorHAnsi"/>
                <w:b/>
                <w:sz w:val="20"/>
                <w:szCs w:val="20"/>
              </w:rPr>
            </w:pPr>
            <w:r w:rsidRPr="009E22A9">
              <w:rPr>
                <w:rFonts w:asciiTheme="minorHAnsi" w:hAnsiTheme="minorHAnsi" w:cstheme="minorHAnsi"/>
                <w:b/>
                <w:sz w:val="20"/>
                <w:szCs w:val="20"/>
              </w:rPr>
              <w:t>A</w:t>
            </w:r>
          </w:p>
        </w:tc>
      </w:tr>
      <w:tr w:rsidR="00256E3D" w:rsidRPr="00C95BB6" w:rsidTr="000B594D">
        <w:tc>
          <w:tcPr>
            <w:cnfStyle w:val="001000000000" w:firstRow="0" w:lastRow="0" w:firstColumn="1" w:lastColumn="0" w:oddVBand="0" w:evenVBand="0" w:oddHBand="0" w:evenHBand="0" w:firstRowFirstColumn="0" w:firstRowLastColumn="0" w:lastRowFirstColumn="0" w:lastRowLastColumn="0"/>
            <w:tcW w:w="3600" w:type="dxa"/>
            <w:tcBorders>
              <w:right w:val="none" w:sz="0" w:space="0" w:color="auto"/>
            </w:tcBorders>
          </w:tcPr>
          <w:p w:rsidR="00256E3D" w:rsidRPr="00C95BB6" w:rsidRDefault="00256E3D" w:rsidP="000B594D">
            <w:pPr>
              <w:pStyle w:val="numberedtableheader6"/>
              <w:spacing w:after="0"/>
              <w:ind w:left="0" w:firstLine="0"/>
              <w:jc w:val="left"/>
              <w:rPr>
                <w:rFonts w:asciiTheme="minorHAnsi" w:hAnsiTheme="minorHAnsi" w:cstheme="minorHAnsi"/>
                <w:sz w:val="20"/>
                <w:szCs w:val="20"/>
              </w:rPr>
            </w:pPr>
            <w:r w:rsidRPr="00C95BB6">
              <w:rPr>
                <w:rFonts w:asciiTheme="minorHAnsi" w:hAnsiTheme="minorHAnsi" w:cstheme="minorHAnsi"/>
                <w:sz w:val="20"/>
                <w:szCs w:val="20"/>
              </w:rPr>
              <w:t>Mild impairment</w:t>
            </w:r>
          </w:p>
        </w:tc>
        <w:tc>
          <w:tcPr>
            <w:cnfStyle w:val="000010000000" w:firstRow="0" w:lastRow="0" w:firstColumn="0" w:lastColumn="0" w:oddVBand="1" w:evenVBand="0" w:oddHBand="0" w:evenHBand="0" w:firstRowFirstColumn="0" w:firstRowLastColumn="0" w:lastRowFirstColumn="0" w:lastRowLastColumn="0"/>
            <w:tcW w:w="1440" w:type="dxa"/>
            <w:tcBorders>
              <w:left w:val="none" w:sz="0" w:space="0" w:color="auto"/>
              <w:right w:val="none" w:sz="0" w:space="0" w:color="auto"/>
            </w:tcBorders>
          </w:tcPr>
          <w:p w:rsidR="00256E3D" w:rsidRPr="009E22A9" w:rsidRDefault="00256E3D" w:rsidP="000B594D">
            <w:pPr>
              <w:pStyle w:val="Tabletype5"/>
              <w:spacing w:after="0"/>
              <w:jc w:val="center"/>
              <w:rPr>
                <w:rFonts w:asciiTheme="minorHAnsi" w:hAnsiTheme="minorHAnsi" w:cstheme="minorHAnsi"/>
                <w:b/>
                <w:sz w:val="20"/>
                <w:szCs w:val="20"/>
              </w:rPr>
            </w:pPr>
            <w:r w:rsidRPr="009E22A9">
              <w:rPr>
                <w:rFonts w:asciiTheme="minorHAnsi" w:hAnsiTheme="minorHAnsi" w:cstheme="minorHAnsi"/>
                <w:b/>
                <w:sz w:val="20"/>
                <w:szCs w:val="20"/>
              </w:rPr>
              <w:t>B</w:t>
            </w:r>
          </w:p>
        </w:tc>
      </w:tr>
      <w:tr w:rsidR="00256E3D" w:rsidRPr="00C95BB6" w:rsidTr="000B5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right w:val="none" w:sz="0" w:space="0" w:color="auto"/>
            </w:tcBorders>
          </w:tcPr>
          <w:p w:rsidR="00256E3D" w:rsidRPr="00C95BB6" w:rsidRDefault="00256E3D" w:rsidP="000B594D">
            <w:pPr>
              <w:pStyle w:val="numberedtableheader6"/>
              <w:spacing w:after="0"/>
              <w:ind w:left="0" w:firstLine="0"/>
              <w:jc w:val="left"/>
              <w:rPr>
                <w:rFonts w:asciiTheme="minorHAnsi" w:hAnsiTheme="minorHAnsi" w:cstheme="minorHAnsi"/>
                <w:sz w:val="20"/>
                <w:szCs w:val="20"/>
              </w:rPr>
            </w:pPr>
            <w:r w:rsidRPr="00C95BB6">
              <w:rPr>
                <w:rFonts w:asciiTheme="minorHAnsi" w:hAnsiTheme="minorHAnsi" w:cstheme="minorHAnsi"/>
                <w:sz w:val="20"/>
                <w:szCs w:val="20"/>
              </w:rPr>
              <w:t>Moderate impairment</w:t>
            </w:r>
          </w:p>
        </w:tc>
        <w:tc>
          <w:tcPr>
            <w:cnfStyle w:val="000010000000" w:firstRow="0" w:lastRow="0" w:firstColumn="0" w:lastColumn="0" w:oddVBand="1" w:evenVBand="0" w:oddHBand="0" w:evenHBand="0" w:firstRowFirstColumn="0" w:firstRowLastColumn="0" w:lastRowFirstColumn="0" w:lastRowLastColumn="0"/>
            <w:tcW w:w="1440" w:type="dxa"/>
            <w:tcBorders>
              <w:top w:val="none" w:sz="0" w:space="0" w:color="auto"/>
              <w:left w:val="none" w:sz="0" w:space="0" w:color="auto"/>
              <w:bottom w:val="none" w:sz="0" w:space="0" w:color="auto"/>
              <w:right w:val="none" w:sz="0" w:space="0" w:color="auto"/>
            </w:tcBorders>
          </w:tcPr>
          <w:p w:rsidR="00256E3D" w:rsidRPr="009E22A9" w:rsidRDefault="00256E3D" w:rsidP="000B594D">
            <w:pPr>
              <w:pStyle w:val="Tabletype5"/>
              <w:spacing w:after="0"/>
              <w:jc w:val="center"/>
              <w:rPr>
                <w:rFonts w:asciiTheme="minorHAnsi" w:hAnsiTheme="minorHAnsi" w:cstheme="minorHAnsi"/>
                <w:b/>
                <w:sz w:val="20"/>
                <w:szCs w:val="20"/>
              </w:rPr>
            </w:pPr>
            <w:r w:rsidRPr="009E22A9">
              <w:rPr>
                <w:rFonts w:asciiTheme="minorHAnsi" w:hAnsiTheme="minorHAnsi" w:cstheme="minorHAnsi"/>
                <w:b/>
                <w:sz w:val="20"/>
                <w:szCs w:val="20"/>
              </w:rPr>
              <w:t>C</w:t>
            </w:r>
          </w:p>
        </w:tc>
      </w:tr>
      <w:tr w:rsidR="00256E3D" w:rsidRPr="00C95BB6" w:rsidTr="000B594D">
        <w:tc>
          <w:tcPr>
            <w:cnfStyle w:val="001000000000" w:firstRow="0" w:lastRow="0" w:firstColumn="1" w:lastColumn="0" w:oddVBand="0" w:evenVBand="0" w:oddHBand="0" w:evenHBand="0" w:firstRowFirstColumn="0" w:firstRowLastColumn="0" w:lastRowFirstColumn="0" w:lastRowLastColumn="0"/>
            <w:tcW w:w="3600" w:type="dxa"/>
            <w:tcBorders>
              <w:right w:val="none" w:sz="0" w:space="0" w:color="auto"/>
            </w:tcBorders>
          </w:tcPr>
          <w:p w:rsidR="00256E3D" w:rsidRPr="00C95BB6" w:rsidRDefault="00256E3D" w:rsidP="000B594D">
            <w:pPr>
              <w:pStyle w:val="numberedtableheader6"/>
              <w:spacing w:after="0"/>
              <w:ind w:left="0" w:firstLine="0"/>
              <w:jc w:val="left"/>
              <w:rPr>
                <w:rFonts w:asciiTheme="minorHAnsi" w:hAnsiTheme="minorHAnsi" w:cstheme="minorHAnsi"/>
                <w:sz w:val="20"/>
                <w:szCs w:val="20"/>
              </w:rPr>
            </w:pPr>
            <w:r w:rsidRPr="00C95BB6">
              <w:rPr>
                <w:rFonts w:asciiTheme="minorHAnsi" w:hAnsiTheme="minorHAnsi" w:cstheme="minorHAnsi"/>
                <w:sz w:val="20"/>
                <w:szCs w:val="20"/>
              </w:rPr>
              <w:t>Severe impairment</w:t>
            </w:r>
          </w:p>
        </w:tc>
        <w:tc>
          <w:tcPr>
            <w:cnfStyle w:val="000010000000" w:firstRow="0" w:lastRow="0" w:firstColumn="0" w:lastColumn="0" w:oddVBand="1" w:evenVBand="0" w:oddHBand="0" w:evenHBand="0" w:firstRowFirstColumn="0" w:firstRowLastColumn="0" w:lastRowFirstColumn="0" w:lastRowLastColumn="0"/>
            <w:tcW w:w="1440" w:type="dxa"/>
            <w:tcBorders>
              <w:left w:val="none" w:sz="0" w:space="0" w:color="auto"/>
              <w:right w:val="none" w:sz="0" w:space="0" w:color="auto"/>
            </w:tcBorders>
          </w:tcPr>
          <w:p w:rsidR="00256E3D" w:rsidRPr="009E22A9" w:rsidRDefault="00256E3D" w:rsidP="000B594D">
            <w:pPr>
              <w:pStyle w:val="Tabletype5"/>
              <w:spacing w:after="0"/>
              <w:jc w:val="center"/>
              <w:rPr>
                <w:rFonts w:asciiTheme="minorHAnsi" w:hAnsiTheme="minorHAnsi" w:cstheme="minorHAnsi"/>
                <w:b/>
                <w:sz w:val="20"/>
                <w:szCs w:val="20"/>
              </w:rPr>
            </w:pPr>
            <w:r w:rsidRPr="009E22A9">
              <w:rPr>
                <w:rFonts w:asciiTheme="minorHAnsi" w:hAnsiTheme="minorHAnsi" w:cstheme="minorHAnsi"/>
                <w:b/>
                <w:sz w:val="20"/>
                <w:szCs w:val="20"/>
              </w:rPr>
              <w:t>D</w:t>
            </w:r>
          </w:p>
        </w:tc>
      </w:tr>
    </w:tbl>
    <w:p w:rsidR="00980F62" w:rsidRDefault="00256E3D" w:rsidP="00F02312">
      <w:pPr>
        <w:pStyle w:val="ListParagraph"/>
        <w:numPr>
          <w:ilvl w:val="1"/>
          <w:numId w:val="148"/>
        </w:numPr>
        <w:spacing w:before="120"/>
        <w:ind w:left="357" w:hanging="357"/>
        <w:contextualSpacing w:val="0"/>
        <w:rPr>
          <w:lang w:eastAsia="en-AU"/>
        </w:rPr>
      </w:pPr>
      <w:r w:rsidRPr="00F55415">
        <w:rPr>
          <w:lang w:eastAsia="en-AU"/>
        </w:rPr>
        <w:t xml:space="preserve">Use the Behaviour Record and Disruptiveness Rating to determine the rating level (A, B, C, D) of each of wandering, verbal and physical behaviour. </w:t>
      </w:r>
      <w:r w:rsidRPr="003F13E5">
        <w:rPr>
          <w:lang w:eastAsia="en-AU"/>
        </w:rPr>
        <w:t>Use the Frequency and Disruptiveness matrix to complete the checklist</w:t>
      </w:r>
      <w:r>
        <w:rPr>
          <w:lang w:eastAsia="en-AU"/>
        </w:rPr>
        <w:t xml:space="preserve"> and obtain the rating</w:t>
      </w:r>
      <w:r w:rsidRPr="003F13E5">
        <w:rPr>
          <w:lang w:eastAsia="en-AU"/>
        </w:rPr>
        <w:t>.</w:t>
      </w:r>
    </w:p>
    <w:p w:rsidR="00043DB4" w:rsidRDefault="009F643E" w:rsidP="00043DB4">
      <w:pPr>
        <w:pStyle w:val="Caption"/>
        <w:keepNext/>
      </w:pPr>
      <w:bookmarkStart w:id="581" w:name="_Toc495416378"/>
      <w:r>
        <w:t>Table 8.</w:t>
      </w:r>
      <w:r w:rsidR="009A3F5A">
        <w:fldChar w:fldCharType="begin"/>
      </w:r>
      <w:r w:rsidR="009A3F5A">
        <w:instrText xml:space="preserve"> SEQ Table_8. \* ARABIC </w:instrText>
      </w:r>
      <w:r w:rsidR="009A3F5A">
        <w:fldChar w:fldCharType="separate"/>
      </w:r>
      <w:r w:rsidR="00856E49">
        <w:rPr>
          <w:noProof/>
        </w:rPr>
        <w:t>11</w:t>
      </w:r>
      <w:r w:rsidR="009A3F5A">
        <w:rPr>
          <w:noProof/>
        </w:rPr>
        <w:fldChar w:fldCharType="end"/>
      </w:r>
      <w:r>
        <w:t xml:space="preserve">: </w:t>
      </w:r>
      <w:r w:rsidRPr="009F643E">
        <w:t>R-ACFI Behaviour Domain Matrix</w:t>
      </w:r>
      <w:bookmarkEnd w:id="581"/>
    </w:p>
    <w:tbl>
      <w:tblPr>
        <w:tblStyle w:val="ListTable3-Accent515"/>
        <w:tblW w:w="8788"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8.11 is a list of details showing how the behaviour rating level is determined for the behaviour domain,  based on frequency (less than daily, daily, twice a day, daily and over twice a day daily) and disruptive levels (none or mild, moderately, severely and extremely). This table is to be read left to right, top to bottom."/>
      </w:tblPr>
      <w:tblGrid>
        <w:gridCol w:w="1561"/>
        <w:gridCol w:w="1701"/>
        <w:gridCol w:w="1276"/>
        <w:gridCol w:w="1983"/>
        <w:gridCol w:w="2267"/>
      </w:tblGrid>
      <w:tr w:rsidR="00762A1C" w:rsidRPr="003804D8" w:rsidTr="00040FB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61" w:type="dxa"/>
            <w:hideMark/>
          </w:tcPr>
          <w:p w:rsidR="00256E3D" w:rsidRPr="003804D8" w:rsidRDefault="00256E3D" w:rsidP="00762A1C">
            <w:pPr>
              <w:spacing w:before="60" w:after="60"/>
              <w:jc w:val="left"/>
              <w:rPr>
                <w:bCs w:val="0"/>
                <w:sz w:val="20"/>
                <w:szCs w:val="20"/>
              </w:rPr>
            </w:pPr>
            <w:r w:rsidRPr="003804D8">
              <w:rPr>
                <w:bCs w:val="0"/>
                <w:sz w:val="20"/>
                <w:szCs w:val="20"/>
              </w:rPr>
              <w:t>Disruptiveness</w:t>
            </w:r>
          </w:p>
        </w:tc>
        <w:tc>
          <w:tcPr>
            <w:cnfStyle w:val="000010000000" w:firstRow="0" w:lastRow="0" w:firstColumn="0" w:lastColumn="0" w:oddVBand="1" w:evenVBand="0" w:oddHBand="0" w:evenHBand="0" w:firstRowFirstColumn="0" w:firstRowLastColumn="0" w:lastRowFirstColumn="0" w:lastRowLastColumn="0"/>
            <w:tcW w:w="1701" w:type="dxa"/>
            <w:hideMark/>
          </w:tcPr>
          <w:p w:rsidR="00256E3D" w:rsidRPr="003804D8" w:rsidRDefault="00762A1C" w:rsidP="00762A1C">
            <w:pPr>
              <w:spacing w:before="60" w:after="60"/>
              <w:jc w:val="center"/>
              <w:rPr>
                <w:b w:val="0"/>
                <w:sz w:val="20"/>
                <w:szCs w:val="20"/>
              </w:rPr>
            </w:pPr>
            <w:r w:rsidRPr="003804D8">
              <w:rPr>
                <w:b w:val="0"/>
                <w:bCs w:val="0"/>
                <w:sz w:val="20"/>
                <w:szCs w:val="20"/>
              </w:rPr>
              <w:t>Frequency</w:t>
            </w:r>
            <w:r w:rsidRPr="003804D8">
              <w:rPr>
                <w:b w:val="0"/>
                <w:bCs w:val="0"/>
                <w:sz w:val="20"/>
                <w:szCs w:val="20"/>
              </w:rPr>
              <w:br/>
              <w:t>(</w:t>
            </w:r>
            <w:r w:rsidR="00256E3D" w:rsidRPr="003804D8">
              <w:rPr>
                <w:b w:val="0"/>
                <w:sz w:val="20"/>
                <w:szCs w:val="20"/>
              </w:rPr>
              <w:t>less than daily</w:t>
            </w:r>
            <w:r w:rsidRPr="003804D8">
              <w:rPr>
                <w:b w:val="0"/>
                <w:sz w:val="20"/>
                <w:szCs w:val="20"/>
              </w:rPr>
              <w:t>)</w:t>
            </w:r>
          </w:p>
        </w:tc>
        <w:tc>
          <w:tcPr>
            <w:tcW w:w="1276" w:type="dxa"/>
            <w:hideMark/>
          </w:tcPr>
          <w:p w:rsidR="00256E3D" w:rsidRPr="003804D8" w:rsidRDefault="00762A1C" w:rsidP="00762A1C">
            <w:pPr>
              <w:spacing w:before="60" w:after="6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3804D8">
              <w:rPr>
                <w:b w:val="0"/>
                <w:bCs w:val="0"/>
                <w:sz w:val="20"/>
                <w:szCs w:val="20"/>
              </w:rPr>
              <w:t>Frequency</w:t>
            </w:r>
            <w:r w:rsidRPr="003804D8">
              <w:rPr>
                <w:b w:val="0"/>
                <w:bCs w:val="0"/>
                <w:sz w:val="20"/>
                <w:szCs w:val="20"/>
              </w:rPr>
              <w:br/>
            </w:r>
            <w:r w:rsidRPr="003804D8">
              <w:rPr>
                <w:b w:val="0"/>
                <w:sz w:val="20"/>
                <w:szCs w:val="20"/>
              </w:rPr>
              <w:t>(</w:t>
            </w:r>
            <w:r w:rsidR="00256E3D" w:rsidRPr="003804D8">
              <w:rPr>
                <w:b w:val="0"/>
                <w:sz w:val="20"/>
                <w:szCs w:val="20"/>
              </w:rPr>
              <w:t>daily</w:t>
            </w:r>
            <w:r w:rsidRPr="003804D8">
              <w:rPr>
                <w:b w:val="0"/>
                <w:sz w:val="20"/>
                <w:szCs w:val="20"/>
              </w:rPr>
              <w:t>)</w:t>
            </w:r>
          </w:p>
        </w:tc>
        <w:tc>
          <w:tcPr>
            <w:cnfStyle w:val="000010000000" w:firstRow="0" w:lastRow="0" w:firstColumn="0" w:lastColumn="0" w:oddVBand="1" w:evenVBand="0" w:oddHBand="0" w:evenHBand="0" w:firstRowFirstColumn="0" w:firstRowLastColumn="0" w:lastRowFirstColumn="0" w:lastRowLastColumn="0"/>
            <w:tcW w:w="1983" w:type="dxa"/>
            <w:hideMark/>
          </w:tcPr>
          <w:p w:rsidR="00256E3D" w:rsidRPr="003804D8" w:rsidRDefault="00762A1C" w:rsidP="00762A1C">
            <w:pPr>
              <w:spacing w:before="60" w:after="60"/>
              <w:jc w:val="center"/>
              <w:rPr>
                <w:b w:val="0"/>
                <w:sz w:val="20"/>
                <w:szCs w:val="20"/>
              </w:rPr>
            </w:pPr>
            <w:r w:rsidRPr="003804D8">
              <w:rPr>
                <w:b w:val="0"/>
                <w:bCs w:val="0"/>
                <w:sz w:val="20"/>
                <w:szCs w:val="20"/>
              </w:rPr>
              <w:t>Frequency</w:t>
            </w:r>
            <w:r w:rsidRPr="003804D8">
              <w:rPr>
                <w:b w:val="0"/>
                <w:bCs w:val="0"/>
                <w:sz w:val="20"/>
                <w:szCs w:val="20"/>
              </w:rPr>
              <w:br/>
            </w:r>
            <w:r w:rsidRPr="003804D8">
              <w:rPr>
                <w:b w:val="0"/>
                <w:sz w:val="20"/>
                <w:szCs w:val="20"/>
              </w:rPr>
              <w:t>(twice a d</w:t>
            </w:r>
            <w:r w:rsidR="00256E3D" w:rsidRPr="003804D8">
              <w:rPr>
                <w:b w:val="0"/>
                <w:sz w:val="20"/>
                <w:szCs w:val="20"/>
              </w:rPr>
              <w:t>ay</w:t>
            </w:r>
            <w:r w:rsidRPr="003804D8">
              <w:rPr>
                <w:b w:val="0"/>
                <w:sz w:val="20"/>
                <w:szCs w:val="20"/>
              </w:rPr>
              <w:t>,</w:t>
            </w:r>
            <w:r w:rsidR="00256E3D" w:rsidRPr="003804D8">
              <w:rPr>
                <w:b w:val="0"/>
                <w:sz w:val="20"/>
                <w:szCs w:val="20"/>
              </w:rPr>
              <w:t xml:space="preserve"> </w:t>
            </w:r>
            <w:r w:rsidRPr="003804D8">
              <w:rPr>
                <w:b w:val="0"/>
                <w:sz w:val="20"/>
                <w:szCs w:val="20"/>
              </w:rPr>
              <w:t>daily)</w:t>
            </w:r>
          </w:p>
        </w:tc>
        <w:tc>
          <w:tcPr>
            <w:tcW w:w="2267" w:type="dxa"/>
          </w:tcPr>
          <w:p w:rsidR="00256E3D" w:rsidRPr="003804D8" w:rsidRDefault="00762A1C" w:rsidP="00762A1C">
            <w:pPr>
              <w:spacing w:before="60" w:after="6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3804D8">
              <w:rPr>
                <w:b w:val="0"/>
                <w:bCs w:val="0"/>
                <w:sz w:val="20"/>
                <w:szCs w:val="20"/>
              </w:rPr>
              <w:t>Frequency</w:t>
            </w:r>
            <w:r w:rsidRPr="003804D8">
              <w:rPr>
                <w:b w:val="0"/>
                <w:bCs w:val="0"/>
                <w:sz w:val="20"/>
                <w:szCs w:val="20"/>
              </w:rPr>
              <w:br/>
            </w:r>
            <w:r w:rsidRPr="003804D8">
              <w:rPr>
                <w:b w:val="0"/>
                <w:sz w:val="20"/>
                <w:szCs w:val="20"/>
              </w:rPr>
              <w:t>(over</w:t>
            </w:r>
            <w:r w:rsidR="00256E3D" w:rsidRPr="003804D8">
              <w:rPr>
                <w:b w:val="0"/>
                <w:sz w:val="20"/>
                <w:szCs w:val="20"/>
              </w:rPr>
              <w:t xml:space="preserve"> </w:t>
            </w:r>
            <w:r w:rsidRPr="003804D8">
              <w:rPr>
                <w:b w:val="0"/>
                <w:sz w:val="20"/>
                <w:szCs w:val="20"/>
              </w:rPr>
              <w:t xml:space="preserve">twice a </w:t>
            </w:r>
            <w:r w:rsidR="00256E3D" w:rsidRPr="003804D8">
              <w:rPr>
                <w:b w:val="0"/>
                <w:sz w:val="20"/>
                <w:szCs w:val="20"/>
              </w:rPr>
              <w:t>day</w:t>
            </w:r>
            <w:r w:rsidRPr="003804D8">
              <w:rPr>
                <w:b w:val="0"/>
                <w:sz w:val="20"/>
                <w:szCs w:val="20"/>
              </w:rPr>
              <w:t>,</w:t>
            </w:r>
            <w:r w:rsidR="00256E3D" w:rsidRPr="003804D8">
              <w:rPr>
                <w:b w:val="0"/>
                <w:sz w:val="20"/>
                <w:szCs w:val="20"/>
              </w:rPr>
              <w:t xml:space="preserve"> </w:t>
            </w:r>
            <w:r w:rsidRPr="003804D8">
              <w:rPr>
                <w:b w:val="0"/>
                <w:sz w:val="20"/>
                <w:szCs w:val="20"/>
              </w:rPr>
              <w:t>daily)</w:t>
            </w:r>
          </w:p>
        </w:tc>
      </w:tr>
      <w:tr w:rsidR="00256E3D" w:rsidRPr="003804D8" w:rsidTr="00487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right w:val="none" w:sz="0" w:space="0" w:color="auto"/>
            </w:tcBorders>
            <w:shd w:val="clear" w:color="auto" w:fill="auto"/>
            <w:hideMark/>
          </w:tcPr>
          <w:p w:rsidR="00256E3D" w:rsidRPr="003804D8" w:rsidRDefault="00256E3D" w:rsidP="003804D8">
            <w:pPr>
              <w:spacing w:after="0"/>
              <w:rPr>
                <w:bCs w:val="0"/>
                <w:sz w:val="20"/>
                <w:szCs w:val="20"/>
              </w:rPr>
            </w:pPr>
            <w:r w:rsidRPr="003804D8">
              <w:rPr>
                <w:bCs w:val="0"/>
                <w:sz w:val="20"/>
                <w:szCs w:val="20"/>
              </w:rPr>
              <w:t>None or mild</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hideMark/>
          </w:tcPr>
          <w:p w:rsidR="00256E3D" w:rsidRPr="003804D8" w:rsidRDefault="00256E3D" w:rsidP="003804D8">
            <w:pPr>
              <w:spacing w:after="0"/>
              <w:jc w:val="center"/>
              <w:rPr>
                <w:sz w:val="20"/>
                <w:szCs w:val="20"/>
              </w:rPr>
            </w:pPr>
            <w:r w:rsidRPr="003804D8">
              <w:rPr>
                <w:sz w:val="20"/>
                <w:szCs w:val="20"/>
              </w:rPr>
              <w:t>A</w:t>
            </w:r>
          </w:p>
        </w:tc>
        <w:tc>
          <w:tcPr>
            <w:tcW w:w="1276" w:type="dxa"/>
            <w:hideMark/>
          </w:tcPr>
          <w:p w:rsidR="00256E3D" w:rsidRPr="003804D8" w:rsidRDefault="00256E3D" w:rsidP="003804D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804D8">
              <w:rPr>
                <w:sz w:val="20"/>
                <w:szCs w:val="20"/>
              </w:rPr>
              <w:t>A</w:t>
            </w:r>
          </w:p>
        </w:tc>
        <w:tc>
          <w:tcPr>
            <w:cnfStyle w:val="000010000000" w:firstRow="0" w:lastRow="0" w:firstColumn="0" w:lastColumn="0" w:oddVBand="1" w:evenVBand="0" w:oddHBand="0" w:evenHBand="0" w:firstRowFirstColumn="0" w:firstRowLastColumn="0" w:lastRowFirstColumn="0" w:lastRowLastColumn="0"/>
            <w:tcW w:w="1983" w:type="dxa"/>
            <w:tcBorders>
              <w:left w:val="none" w:sz="0" w:space="0" w:color="auto"/>
              <w:right w:val="none" w:sz="0" w:space="0" w:color="auto"/>
            </w:tcBorders>
            <w:hideMark/>
          </w:tcPr>
          <w:p w:rsidR="00256E3D" w:rsidRPr="003804D8" w:rsidRDefault="00256E3D" w:rsidP="003804D8">
            <w:pPr>
              <w:spacing w:after="0"/>
              <w:jc w:val="center"/>
              <w:rPr>
                <w:sz w:val="20"/>
                <w:szCs w:val="20"/>
              </w:rPr>
            </w:pPr>
            <w:r w:rsidRPr="003804D8">
              <w:rPr>
                <w:sz w:val="20"/>
                <w:szCs w:val="20"/>
              </w:rPr>
              <w:t>A</w:t>
            </w:r>
          </w:p>
        </w:tc>
        <w:tc>
          <w:tcPr>
            <w:tcW w:w="2267" w:type="dxa"/>
          </w:tcPr>
          <w:p w:rsidR="00256E3D" w:rsidRPr="003804D8" w:rsidRDefault="00256E3D" w:rsidP="003804D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804D8">
              <w:rPr>
                <w:sz w:val="20"/>
                <w:szCs w:val="20"/>
              </w:rPr>
              <w:t>A</w:t>
            </w:r>
          </w:p>
        </w:tc>
      </w:tr>
      <w:tr w:rsidR="00256E3D" w:rsidRPr="003804D8" w:rsidTr="00487364">
        <w:tc>
          <w:tcPr>
            <w:cnfStyle w:val="001000000000" w:firstRow="0" w:lastRow="0" w:firstColumn="1" w:lastColumn="0" w:oddVBand="0" w:evenVBand="0" w:oddHBand="0" w:evenHBand="0" w:firstRowFirstColumn="0" w:firstRowLastColumn="0" w:lastRowFirstColumn="0" w:lastRowLastColumn="0"/>
            <w:tcW w:w="1561" w:type="dxa"/>
            <w:tcBorders>
              <w:right w:val="none" w:sz="0" w:space="0" w:color="auto"/>
            </w:tcBorders>
            <w:shd w:val="clear" w:color="auto" w:fill="auto"/>
            <w:hideMark/>
          </w:tcPr>
          <w:p w:rsidR="00256E3D" w:rsidRPr="003804D8" w:rsidRDefault="00256E3D" w:rsidP="003804D8">
            <w:pPr>
              <w:spacing w:after="0"/>
              <w:rPr>
                <w:bCs w:val="0"/>
                <w:sz w:val="20"/>
                <w:szCs w:val="20"/>
              </w:rPr>
            </w:pPr>
            <w:r w:rsidRPr="003804D8">
              <w:rPr>
                <w:bCs w:val="0"/>
                <w:sz w:val="20"/>
                <w:szCs w:val="20"/>
              </w:rPr>
              <w:t>Moderately</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hideMark/>
          </w:tcPr>
          <w:p w:rsidR="00256E3D" w:rsidRPr="003804D8" w:rsidRDefault="00256E3D" w:rsidP="003804D8">
            <w:pPr>
              <w:spacing w:after="0"/>
              <w:jc w:val="center"/>
              <w:rPr>
                <w:sz w:val="20"/>
                <w:szCs w:val="20"/>
              </w:rPr>
            </w:pPr>
            <w:r w:rsidRPr="003804D8">
              <w:rPr>
                <w:sz w:val="20"/>
                <w:szCs w:val="20"/>
              </w:rPr>
              <w:t>A</w:t>
            </w:r>
          </w:p>
        </w:tc>
        <w:tc>
          <w:tcPr>
            <w:tcW w:w="1276" w:type="dxa"/>
            <w:hideMark/>
          </w:tcPr>
          <w:p w:rsidR="00256E3D" w:rsidRPr="003804D8" w:rsidRDefault="00256E3D" w:rsidP="003804D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804D8">
              <w:rPr>
                <w:sz w:val="20"/>
                <w:szCs w:val="20"/>
              </w:rPr>
              <w:t>A</w:t>
            </w:r>
          </w:p>
        </w:tc>
        <w:tc>
          <w:tcPr>
            <w:cnfStyle w:val="000010000000" w:firstRow="0" w:lastRow="0" w:firstColumn="0" w:lastColumn="0" w:oddVBand="1" w:evenVBand="0" w:oddHBand="0" w:evenHBand="0" w:firstRowFirstColumn="0" w:firstRowLastColumn="0" w:lastRowFirstColumn="0" w:lastRowLastColumn="0"/>
            <w:tcW w:w="1983" w:type="dxa"/>
            <w:tcBorders>
              <w:left w:val="none" w:sz="0" w:space="0" w:color="auto"/>
              <w:right w:val="none" w:sz="0" w:space="0" w:color="auto"/>
            </w:tcBorders>
            <w:hideMark/>
          </w:tcPr>
          <w:p w:rsidR="00256E3D" w:rsidRPr="003804D8" w:rsidRDefault="00256E3D" w:rsidP="003804D8">
            <w:pPr>
              <w:spacing w:after="0"/>
              <w:jc w:val="center"/>
              <w:rPr>
                <w:sz w:val="20"/>
                <w:szCs w:val="20"/>
              </w:rPr>
            </w:pPr>
            <w:r w:rsidRPr="003804D8">
              <w:rPr>
                <w:sz w:val="20"/>
                <w:szCs w:val="20"/>
              </w:rPr>
              <w:t>B</w:t>
            </w:r>
          </w:p>
        </w:tc>
        <w:tc>
          <w:tcPr>
            <w:tcW w:w="2267" w:type="dxa"/>
          </w:tcPr>
          <w:p w:rsidR="00256E3D" w:rsidRPr="003804D8" w:rsidRDefault="00256E3D" w:rsidP="003804D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804D8">
              <w:rPr>
                <w:sz w:val="20"/>
                <w:szCs w:val="20"/>
              </w:rPr>
              <w:t>C</w:t>
            </w:r>
          </w:p>
        </w:tc>
      </w:tr>
      <w:tr w:rsidR="00256E3D" w:rsidRPr="003804D8" w:rsidTr="00487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right w:val="none" w:sz="0" w:space="0" w:color="auto"/>
            </w:tcBorders>
            <w:shd w:val="clear" w:color="auto" w:fill="auto"/>
            <w:hideMark/>
          </w:tcPr>
          <w:p w:rsidR="00256E3D" w:rsidRPr="003804D8" w:rsidRDefault="00256E3D" w:rsidP="003804D8">
            <w:pPr>
              <w:spacing w:after="0"/>
              <w:rPr>
                <w:bCs w:val="0"/>
                <w:sz w:val="20"/>
                <w:szCs w:val="20"/>
              </w:rPr>
            </w:pPr>
            <w:r w:rsidRPr="003804D8">
              <w:rPr>
                <w:bCs w:val="0"/>
                <w:sz w:val="20"/>
                <w:szCs w:val="20"/>
              </w:rPr>
              <w:t>Severely</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hideMark/>
          </w:tcPr>
          <w:p w:rsidR="00256E3D" w:rsidRPr="003804D8" w:rsidRDefault="00256E3D" w:rsidP="003804D8">
            <w:pPr>
              <w:spacing w:after="0"/>
              <w:jc w:val="center"/>
              <w:rPr>
                <w:sz w:val="20"/>
                <w:szCs w:val="20"/>
              </w:rPr>
            </w:pPr>
            <w:r w:rsidRPr="003804D8">
              <w:rPr>
                <w:sz w:val="20"/>
                <w:szCs w:val="20"/>
              </w:rPr>
              <w:t>A</w:t>
            </w:r>
          </w:p>
        </w:tc>
        <w:tc>
          <w:tcPr>
            <w:tcW w:w="1276" w:type="dxa"/>
            <w:hideMark/>
          </w:tcPr>
          <w:p w:rsidR="00256E3D" w:rsidRPr="003804D8" w:rsidRDefault="00256E3D" w:rsidP="003804D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804D8">
              <w:rPr>
                <w:sz w:val="20"/>
                <w:szCs w:val="20"/>
              </w:rPr>
              <w:t>B</w:t>
            </w:r>
          </w:p>
        </w:tc>
        <w:tc>
          <w:tcPr>
            <w:cnfStyle w:val="000010000000" w:firstRow="0" w:lastRow="0" w:firstColumn="0" w:lastColumn="0" w:oddVBand="1" w:evenVBand="0" w:oddHBand="0" w:evenHBand="0" w:firstRowFirstColumn="0" w:firstRowLastColumn="0" w:lastRowFirstColumn="0" w:lastRowLastColumn="0"/>
            <w:tcW w:w="1983" w:type="dxa"/>
            <w:tcBorders>
              <w:left w:val="none" w:sz="0" w:space="0" w:color="auto"/>
              <w:right w:val="none" w:sz="0" w:space="0" w:color="auto"/>
            </w:tcBorders>
            <w:hideMark/>
          </w:tcPr>
          <w:p w:rsidR="00256E3D" w:rsidRPr="003804D8" w:rsidRDefault="00256E3D" w:rsidP="003804D8">
            <w:pPr>
              <w:spacing w:after="0"/>
              <w:jc w:val="center"/>
              <w:rPr>
                <w:sz w:val="20"/>
                <w:szCs w:val="20"/>
              </w:rPr>
            </w:pPr>
            <w:r w:rsidRPr="003804D8">
              <w:rPr>
                <w:sz w:val="20"/>
                <w:szCs w:val="20"/>
              </w:rPr>
              <w:t>C</w:t>
            </w:r>
          </w:p>
        </w:tc>
        <w:tc>
          <w:tcPr>
            <w:tcW w:w="2267" w:type="dxa"/>
          </w:tcPr>
          <w:p w:rsidR="00256E3D" w:rsidRPr="003804D8" w:rsidRDefault="00256E3D" w:rsidP="003804D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804D8">
              <w:rPr>
                <w:sz w:val="20"/>
                <w:szCs w:val="20"/>
              </w:rPr>
              <w:t>D</w:t>
            </w:r>
          </w:p>
        </w:tc>
      </w:tr>
      <w:tr w:rsidR="00256E3D" w:rsidRPr="003804D8" w:rsidTr="00487364">
        <w:tc>
          <w:tcPr>
            <w:cnfStyle w:val="001000000000" w:firstRow="0" w:lastRow="0" w:firstColumn="1" w:lastColumn="0" w:oddVBand="0" w:evenVBand="0" w:oddHBand="0" w:evenHBand="0" w:firstRowFirstColumn="0" w:firstRowLastColumn="0" w:lastRowFirstColumn="0" w:lastRowLastColumn="0"/>
            <w:tcW w:w="1561" w:type="dxa"/>
            <w:tcBorders>
              <w:right w:val="none" w:sz="0" w:space="0" w:color="auto"/>
            </w:tcBorders>
            <w:shd w:val="clear" w:color="auto" w:fill="auto"/>
            <w:hideMark/>
          </w:tcPr>
          <w:p w:rsidR="00256E3D" w:rsidRPr="003804D8" w:rsidRDefault="00256E3D" w:rsidP="003804D8">
            <w:pPr>
              <w:spacing w:after="0"/>
              <w:rPr>
                <w:bCs w:val="0"/>
                <w:sz w:val="20"/>
                <w:szCs w:val="20"/>
              </w:rPr>
            </w:pPr>
            <w:r w:rsidRPr="003804D8">
              <w:rPr>
                <w:bCs w:val="0"/>
                <w:sz w:val="20"/>
                <w:szCs w:val="20"/>
              </w:rPr>
              <w:t>Extremely</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hideMark/>
          </w:tcPr>
          <w:p w:rsidR="00256E3D" w:rsidRPr="003804D8" w:rsidRDefault="00256E3D" w:rsidP="003804D8">
            <w:pPr>
              <w:spacing w:after="0"/>
              <w:jc w:val="center"/>
              <w:rPr>
                <w:sz w:val="20"/>
                <w:szCs w:val="20"/>
              </w:rPr>
            </w:pPr>
            <w:r w:rsidRPr="003804D8">
              <w:rPr>
                <w:sz w:val="20"/>
                <w:szCs w:val="20"/>
              </w:rPr>
              <w:t>A</w:t>
            </w:r>
          </w:p>
        </w:tc>
        <w:tc>
          <w:tcPr>
            <w:tcW w:w="1276" w:type="dxa"/>
            <w:hideMark/>
          </w:tcPr>
          <w:p w:rsidR="00256E3D" w:rsidRPr="003804D8" w:rsidRDefault="00256E3D" w:rsidP="003804D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804D8">
              <w:rPr>
                <w:sz w:val="20"/>
                <w:szCs w:val="20"/>
              </w:rPr>
              <w:t>C</w:t>
            </w:r>
          </w:p>
        </w:tc>
        <w:tc>
          <w:tcPr>
            <w:cnfStyle w:val="000010000000" w:firstRow="0" w:lastRow="0" w:firstColumn="0" w:lastColumn="0" w:oddVBand="1" w:evenVBand="0" w:oddHBand="0" w:evenHBand="0" w:firstRowFirstColumn="0" w:firstRowLastColumn="0" w:lastRowFirstColumn="0" w:lastRowLastColumn="0"/>
            <w:tcW w:w="1983" w:type="dxa"/>
            <w:tcBorders>
              <w:left w:val="none" w:sz="0" w:space="0" w:color="auto"/>
              <w:right w:val="none" w:sz="0" w:space="0" w:color="auto"/>
            </w:tcBorders>
            <w:hideMark/>
          </w:tcPr>
          <w:p w:rsidR="00256E3D" w:rsidRPr="003804D8" w:rsidRDefault="00256E3D" w:rsidP="003804D8">
            <w:pPr>
              <w:spacing w:after="0"/>
              <w:jc w:val="center"/>
              <w:rPr>
                <w:sz w:val="20"/>
                <w:szCs w:val="20"/>
              </w:rPr>
            </w:pPr>
            <w:r w:rsidRPr="003804D8">
              <w:rPr>
                <w:sz w:val="20"/>
                <w:szCs w:val="20"/>
              </w:rPr>
              <w:t>D</w:t>
            </w:r>
          </w:p>
        </w:tc>
        <w:tc>
          <w:tcPr>
            <w:tcW w:w="2267" w:type="dxa"/>
          </w:tcPr>
          <w:p w:rsidR="00256E3D" w:rsidRPr="003804D8" w:rsidRDefault="00256E3D" w:rsidP="003804D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804D8">
              <w:rPr>
                <w:sz w:val="20"/>
                <w:szCs w:val="20"/>
              </w:rPr>
              <w:t>D</w:t>
            </w:r>
          </w:p>
        </w:tc>
      </w:tr>
    </w:tbl>
    <w:p w:rsidR="00980F62" w:rsidRDefault="00256E3D" w:rsidP="00F02312">
      <w:pPr>
        <w:pStyle w:val="ListParagraph"/>
        <w:numPr>
          <w:ilvl w:val="1"/>
          <w:numId w:val="148"/>
        </w:numPr>
        <w:spacing w:before="120"/>
        <w:ind w:left="357" w:hanging="357"/>
        <w:contextualSpacing w:val="0"/>
        <w:rPr>
          <w:lang w:eastAsia="en-AU"/>
        </w:rPr>
      </w:pPr>
      <w:r w:rsidRPr="00F55415">
        <w:rPr>
          <w:lang w:eastAsia="en-AU"/>
        </w:rPr>
        <w:t>Use the weightings associated with each item in the B</w:t>
      </w:r>
      <w:r w:rsidR="00751CD3" w:rsidRPr="00F55415">
        <w:rPr>
          <w:lang w:eastAsia="en-AU"/>
        </w:rPr>
        <w:t>EH</w:t>
      </w:r>
      <w:r w:rsidRPr="00F55415">
        <w:rPr>
          <w:lang w:eastAsia="en-AU"/>
        </w:rPr>
        <w:t xml:space="preserve"> domain to determine the final score (</w:t>
      </w:r>
      <w:hyperlink w:anchor="Tab0812" w:history="1">
        <w:r w:rsidRPr="00443D36">
          <w:rPr>
            <w:rStyle w:val="Hyperlink"/>
            <w:lang w:eastAsia="en-AU"/>
          </w:rPr>
          <w:t>Table 8.12</w:t>
        </w:r>
      </w:hyperlink>
      <w:r w:rsidRPr="00F55415">
        <w:rPr>
          <w:lang w:eastAsia="en-AU"/>
        </w:rPr>
        <w:t>)</w:t>
      </w:r>
      <w:r w:rsidR="0046155C" w:rsidRPr="00F55415">
        <w:rPr>
          <w:lang w:eastAsia="en-AU"/>
        </w:rPr>
        <w:t>.</w:t>
      </w:r>
    </w:p>
    <w:p w:rsidR="00980F62" w:rsidRDefault="00256E3D" w:rsidP="00F02312">
      <w:pPr>
        <w:pStyle w:val="ListParagraph"/>
        <w:numPr>
          <w:ilvl w:val="1"/>
          <w:numId w:val="148"/>
        </w:numPr>
        <w:ind w:left="357" w:hanging="357"/>
        <w:rPr>
          <w:lang w:eastAsia="en-AU"/>
        </w:rPr>
      </w:pPr>
      <w:r w:rsidRPr="00F55415">
        <w:rPr>
          <w:lang w:eastAsia="en-AU"/>
        </w:rPr>
        <w:t xml:space="preserve">The score is then divided into categories using the cut points </w:t>
      </w:r>
      <w:r w:rsidR="00394001" w:rsidRPr="00F55415">
        <w:rPr>
          <w:lang w:eastAsia="en-AU"/>
        </w:rPr>
        <w:t xml:space="preserve">as indicated in </w:t>
      </w:r>
      <w:hyperlink w:anchor="Tab0813" w:history="1">
        <w:r w:rsidR="00394001" w:rsidRPr="00443D36">
          <w:rPr>
            <w:rStyle w:val="Hyperlink"/>
            <w:lang w:eastAsia="en-AU"/>
          </w:rPr>
          <w:t>Table 8.13</w:t>
        </w:r>
      </w:hyperlink>
      <w:r w:rsidRPr="00F55415">
        <w:rPr>
          <w:lang w:eastAsia="en-AU"/>
        </w:rPr>
        <w:t>.</w:t>
      </w:r>
    </w:p>
    <w:p w:rsidR="00980F62" w:rsidRDefault="00473246" w:rsidP="00E00E7A">
      <w:pPr>
        <w:rPr>
          <w:color w:val="000000" w:themeColor="text1"/>
        </w:rPr>
      </w:pPr>
      <w:hyperlink w:anchor="Tab0813" w:history="1">
        <w:r w:rsidR="00256E3D" w:rsidRPr="00443D36">
          <w:rPr>
            <w:rStyle w:val="Hyperlink"/>
            <w:szCs w:val="24"/>
          </w:rPr>
          <w:t>Table 8.13</w:t>
        </w:r>
      </w:hyperlink>
      <w:r w:rsidR="00256E3D" w:rsidRPr="00854A95">
        <w:rPr>
          <w:color w:val="000000" w:themeColor="text1"/>
          <w:szCs w:val="24"/>
        </w:rPr>
        <w:t xml:space="preserve"> </w:t>
      </w:r>
      <w:r w:rsidR="00256E3D">
        <w:rPr>
          <w:color w:val="000000" w:themeColor="text1"/>
          <w:szCs w:val="24"/>
        </w:rPr>
        <w:t>compares</w:t>
      </w:r>
      <w:r w:rsidR="00256E3D" w:rsidRPr="00854A95">
        <w:rPr>
          <w:color w:val="000000" w:themeColor="text1"/>
          <w:szCs w:val="24"/>
        </w:rPr>
        <w:t xml:space="preserve"> the R-ACFI and ACFI funding outcomes. Differences are related to the removal of the Depression funding ($3.6</w:t>
      </w:r>
      <w:r w:rsidR="00256E3D">
        <w:rPr>
          <w:color w:val="000000" w:themeColor="text1"/>
          <w:szCs w:val="24"/>
        </w:rPr>
        <w:t>5</w:t>
      </w:r>
      <w:r w:rsidR="00256E3D" w:rsidRPr="00854A95">
        <w:rPr>
          <w:color w:val="000000" w:themeColor="text1"/>
          <w:szCs w:val="24"/>
        </w:rPr>
        <w:t xml:space="preserve"> </w:t>
      </w:r>
      <w:r w:rsidR="00735127">
        <w:rPr>
          <w:color w:val="000000" w:themeColor="text1"/>
          <w:szCs w:val="24"/>
        </w:rPr>
        <w:t>per day</w:t>
      </w:r>
      <w:r w:rsidR="00256E3D" w:rsidRPr="00854A95">
        <w:rPr>
          <w:color w:val="000000" w:themeColor="text1"/>
          <w:szCs w:val="24"/>
        </w:rPr>
        <w:t xml:space="preserve">) and simplification from three funded levels to two levels. </w:t>
      </w:r>
      <w:r w:rsidR="00256E3D" w:rsidRPr="00854A95">
        <w:rPr>
          <w:color w:val="000000" w:themeColor="text1"/>
        </w:rPr>
        <w:t xml:space="preserve">The overall distribution of R-ACFI </w:t>
      </w:r>
      <w:r w:rsidR="00751CD3">
        <w:rPr>
          <w:color w:val="000000" w:themeColor="text1"/>
        </w:rPr>
        <w:t>b</w:t>
      </w:r>
      <w:r w:rsidR="00751CD3" w:rsidRPr="00854A95">
        <w:rPr>
          <w:color w:val="000000" w:themeColor="text1"/>
        </w:rPr>
        <w:t xml:space="preserve">ehaviour </w:t>
      </w:r>
      <w:r w:rsidR="00256E3D" w:rsidRPr="00854A95">
        <w:rPr>
          <w:color w:val="000000" w:themeColor="text1"/>
        </w:rPr>
        <w:t>funding outcomes by 50 fund</w:t>
      </w:r>
      <w:r w:rsidR="00394001">
        <w:rPr>
          <w:color w:val="000000" w:themeColor="text1"/>
        </w:rPr>
        <w:t xml:space="preserve">ing bands is shown in </w:t>
      </w:r>
      <w:hyperlink w:anchor="Tab0813" w:history="1">
        <w:r w:rsidR="00394001" w:rsidRPr="00443D36">
          <w:rPr>
            <w:rStyle w:val="Hyperlink"/>
          </w:rPr>
          <w:t>Table 8.13</w:t>
        </w:r>
      </w:hyperlink>
      <w:r w:rsidR="00256E3D" w:rsidRPr="00854A95">
        <w:rPr>
          <w:color w:val="000000" w:themeColor="text1"/>
        </w:rPr>
        <w:t>.</w:t>
      </w:r>
    </w:p>
    <w:p w:rsidR="00043DB4" w:rsidRDefault="009F643E" w:rsidP="008F1CA1">
      <w:pPr>
        <w:pStyle w:val="Caption"/>
        <w:keepNext/>
        <w:spacing w:before="120"/>
      </w:pPr>
      <w:bookmarkStart w:id="582" w:name="_Toc495416379"/>
      <w:bookmarkStart w:id="583" w:name="Tab0812"/>
      <w:r>
        <w:t>Table 8.</w:t>
      </w:r>
      <w:r w:rsidR="009A3F5A">
        <w:fldChar w:fldCharType="begin"/>
      </w:r>
      <w:r w:rsidR="009A3F5A">
        <w:instrText xml:space="preserve"> SEQ Table_8. \* ARABIC </w:instrText>
      </w:r>
      <w:r w:rsidR="009A3F5A">
        <w:fldChar w:fldCharType="separate"/>
      </w:r>
      <w:r w:rsidR="00856E49">
        <w:rPr>
          <w:noProof/>
        </w:rPr>
        <w:t>12</w:t>
      </w:r>
      <w:r w:rsidR="009A3F5A">
        <w:rPr>
          <w:noProof/>
        </w:rPr>
        <w:fldChar w:fldCharType="end"/>
      </w:r>
      <w:r>
        <w:t xml:space="preserve">: </w:t>
      </w:r>
      <w:r w:rsidRPr="009F643E">
        <w:t>R-ACFI Behaviour Domain Item Weights</w:t>
      </w:r>
      <w:bookmarkEnd w:id="582"/>
    </w:p>
    <w:tbl>
      <w:tblPr>
        <w:tblStyle w:val="ListTable3-Accent515"/>
        <w:tblW w:w="5349"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8.12 is a list of the weights for the scales under the behaviour domain questions (cognition, wandering, verbal and physical) with a total at the end. This table is to be read left to right, top to bottom."/>
      </w:tblPr>
      <w:tblGrid>
        <w:gridCol w:w="3369"/>
        <w:gridCol w:w="1980"/>
      </w:tblGrid>
      <w:tr w:rsidR="00D01978" w:rsidRPr="003804D8" w:rsidTr="00040FB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49" w:type="dxa"/>
            <w:gridSpan w:val="2"/>
            <w:noWrap/>
            <w:hideMark/>
          </w:tcPr>
          <w:bookmarkEnd w:id="583"/>
          <w:p w:rsidR="00D01978" w:rsidRPr="003804D8" w:rsidRDefault="00D01978" w:rsidP="00A51750">
            <w:pPr>
              <w:spacing w:after="0"/>
              <w:rPr>
                <w:rFonts w:ascii="Calibri" w:eastAsia="Times New Roman" w:hAnsi="Calibri" w:cs="Calibri"/>
                <w:sz w:val="20"/>
                <w:szCs w:val="20"/>
                <w:lang w:val="en-US"/>
              </w:rPr>
            </w:pPr>
            <w:r w:rsidRPr="003804D8">
              <w:rPr>
                <w:rFonts w:ascii="Calibri" w:eastAsia="Times New Roman" w:hAnsi="Calibri" w:cs="Calibri"/>
                <w:sz w:val="20"/>
                <w:szCs w:val="20"/>
                <w:lang w:val="en-US"/>
              </w:rPr>
              <w:t>Cognition Domain</w:t>
            </w:r>
          </w:p>
        </w:tc>
      </w:tr>
      <w:tr w:rsidR="00D01978" w:rsidRPr="003804D8" w:rsidTr="00012E4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69" w:type="dxa"/>
            <w:shd w:val="clear" w:color="auto" w:fill="DEEAF6" w:themeFill="accent5" w:themeFillTint="33"/>
            <w:noWrap/>
            <w:hideMark/>
          </w:tcPr>
          <w:p w:rsidR="00D01978" w:rsidRPr="003804D8" w:rsidRDefault="00D01978" w:rsidP="00D01978">
            <w:pPr>
              <w:spacing w:after="0"/>
              <w:rPr>
                <w:rFonts w:ascii="Calibri" w:eastAsia="Times New Roman" w:hAnsi="Calibri" w:cs="Calibri"/>
                <w:color w:val="auto"/>
                <w:sz w:val="20"/>
                <w:szCs w:val="20"/>
                <w:lang w:val="en-US"/>
              </w:rPr>
            </w:pPr>
            <w:r w:rsidRPr="003804D8">
              <w:rPr>
                <w:rFonts w:ascii="Calibri" w:eastAsia="Times New Roman" w:hAnsi="Calibri" w:cs="Calibri"/>
                <w:color w:val="auto"/>
                <w:sz w:val="20"/>
                <w:szCs w:val="20"/>
                <w:lang w:val="en-US"/>
              </w:rPr>
              <w:t>Scale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DEEAF6" w:themeFill="accent5" w:themeFillTint="33"/>
          </w:tcPr>
          <w:p w:rsidR="00D01978" w:rsidRPr="003804D8" w:rsidRDefault="00D01978" w:rsidP="00D01978">
            <w:pPr>
              <w:spacing w:after="0"/>
              <w:jc w:val="center"/>
              <w:rPr>
                <w:rFonts w:ascii="Calibri" w:eastAsia="Times New Roman" w:hAnsi="Calibri" w:cs="Calibri"/>
                <w:color w:val="auto"/>
                <w:sz w:val="20"/>
                <w:szCs w:val="20"/>
                <w:lang w:val="en-US"/>
              </w:rPr>
            </w:pPr>
            <w:r w:rsidRPr="003804D8">
              <w:rPr>
                <w:rFonts w:ascii="Calibri" w:eastAsia="Times New Roman" w:hAnsi="Calibri" w:cs="Calibri"/>
                <w:color w:val="auto"/>
                <w:sz w:val="20"/>
                <w:szCs w:val="20"/>
                <w:lang w:val="en-US"/>
              </w:rPr>
              <w:t>Weights</w:t>
            </w:r>
          </w:p>
        </w:tc>
      </w:tr>
      <w:tr w:rsidR="00256E3D" w:rsidRPr="003804D8" w:rsidTr="007F2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noWrap/>
          </w:tcPr>
          <w:p w:rsidR="00256E3D" w:rsidRPr="003804D8" w:rsidRDefault="00256E3D" w:rsidP="00A51750">
            <w:pPr>
              <w:spacing w:after="0"/>
              <w:rPr>
                <w:rFonts w:ascii="Calibri" w:eastAsia="Times New Roman" w:hAnsi="Calibri" w:cs="Calibri"/>
                <w:b w:val="0"/>
                <w:color w:val="000000"/>
                <w:sz w:val="20"/>
                <w:szCs w:val="20"/>
                <w:lang w:val="en-US"/>
              </w:rPr>
            </w:pPr>
            <w:r w:rsidRPr="003804D8">
              <w:rPr>
                <w:rFonts w:ascii="Calibri" w:eastAsia="Times New Roman" w:hAnsi="Calibri" w:cs="Calibri"/>
                <w:b w:val="0"/>
                <w:color w:val="000000"/>
                <w:sz w:val="20"/>
                <w:szCs w:val="20"/>
                <w:lang w:val="en-US"/>
              </w:rPr>
              <w:t>None</w:t>
            </w:r>
          </w:p>
        </w:tc>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none" w:sz="0" w:space="0" w:color="auto"/>
            </w:tcBorders>
            <w:vAlign w:val="bottom"/>
          </w:tcPr>
          <w:p w:rsidR="00256E3D" w:rsidRPr="003804D8" w:rsidRDefault="00256E3D" w:rsidP="00D01978">
            <w:pPr>
              <w:spacing w:after="0"/>
              <w:jc w:val="center"/>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0</w:t>
            </w:r>
          </w:p>
        </w:tc>
      </w:tr>
      <w:tr w:rsidR="00256E3D" w:rsidRPr="003804D8" w:rsidTr="007F2ED6">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noWrap/>
          </w:tcPr>
          <w:p w:rsidR="00256E3D" w:rsidRPr="003804D8" w:rsidRDefault="00256E3D" w:rsidP="00A51750">
            <w:pPr>
              <w:spacing w:after="0"/>
              <w:rPr>
                <w:rFonts w:ascii="Calibri" w:eastAsia="Times New Roman" w:hAnsi="Calibri" w:cs="Calibri"/>
                <w:b w:val="0"/>
                <w:color w:val="000000"/>
                <w:sz w:val="20"/>
                <w:szCs w:val="20"/>
                <w:lang w:val="en-US"/>
              </w:rPr>
            </w:pPr>
            <w:r w:rsidRPr="003804D8">
              <w:rPr>
                <w:rFonts w:ascii="Calibri" w:eastAsia="Times New Roman" w:hAnsi="Calibri" w:cs="Calibri"/>
                <w:b w:val="0"/>
                <w:color w:val="000000"/>
                <w:sz w:val="20"/>
                <w:szCs w:val="20"/>
                <w:lang w:val="en-US"/>
              </w:rPr>
              <w:t>Mild</w:t>
            </w:r>
          </w:p>
        </w:tc>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none" w:sz="0" w:space="0" w:color="auto"/>
            </w:tcBorders>
            <w:vAlign w:val="bottom"/>
          </w:tcPr>
          <w:p w:rsidR="00256E3D" w:rsidRPr="003804D8" w:rsidRDefault="00256E3D" w:rsidP="00D01978">
            <w:pPr>
              <w:spacing w:after="0"/>
              <w:jc w:val="center"/>
              <w:rPr>
                <w:rFonts w:ascii="Calibri" w:eastAsia="Times New Roman" w:hAnsi="Calibri" w:cs="Calibri"/>
                <w:b/>
                <w:color w:val="000000"/>
                <w:sz w:val="20"/>
                <w:szCs w:val="20"/>
                <w:lang w:val="en-US"/>
              </w:rPr>
            </w:pPr>
            <w:r w:rsidRPr="003804D8">
              <w:rPr>
                <w:rFonts w:ascii="Calibri" w:eastAsia="Times New Roman" w:hAnsi="Calibri" w:cs="Calibri"/>
                <w:color w:val="000000"/>
                <w:sz w:val="20"/>
                <w:szCs w:val="20"/>
                <w:lang w:val="en-US"/>
              </w:rPr>
              <w:t>8.42</w:t>
            </w:r>
          </w:p>
        </w:tc>
      </w:tr>
      <w:tr w:rsidR="00256E3D" w:rsidRPr="003804D8" w:rsidTr="007F2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noWrap/>
          </w:tcPr>
          <w:p w:rsidR="00256E3D" w:rsidRPr="003804D8" w:rsidRDefault="00256E3D" w:rsidP="00A51750">
            <w:pPr>
              <w:spacing w:after="0"/>
              <w:rPr>
                <w:rFonts w:ascii="Calibri" w:eastAsia="Times New Roman" w:hAnsi="Calibri" w:cs="Calibri"/>
                <w:b w:val="0"/>
                <w:color w:val="000000"/>
                <w:sz w:val="20"/>
                <w:szCs w:val="20"/>
                <w:lang w:val="en-US"/>
              </w:rPr>
            </w:pPr>
            <w:r w:rsidRPr="003804D8">
              <w:rPr>
                <w:rFonts w:ascii="Calibri" w:eastAsia="Times New Roman" w:hAnsi="Calibri" w:cs="Calibri"/>
                <w:b w:val="0"/>
                <w:color w:val="000000"/>
                <w:sz w:val="20"/>
                <w:szCs w:val="20"/>
                <w:lang w:val="en-US"/>
              </w:rPr>
              <w:t>Moderate</w:t>
            </w:r>
          </w:p>
        </w:tc>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none" w:sz="0" w:space="0" w:color="auto"/>
            </w:tcBorders>
            <w:vAlign w:val="bottom"/>
          </w:tcPr>
          <w:p w:rsidR="00256E3D" w:rsidRPr="003804D8" w:rsidRDefault="00256E3D" w:rsidP="00D01978">
            <w:pPr>
              <w:spacing w:after="0"/>
              <w:jc w:val="center"/>
              <w:rPr>
                <w:rFonts w:ascii="Calibri" w:eastAsia="Times New Roman" w:hAnsi="Calibri" w:cs="Calibri"/>
                <w:b/>
                <w:color w:val="000000"/>
                <w:sz w:val="20"/>
                <w:szCs w:val="20"/>
                <w:lang w:val="en-US"/>
              </w:rPr>
            </w:pPr>
            <w:r w:rsidRPr="003804D8">
              <w:rPr>
                <w:rFonts w:ascii="Calibri" w:eastAsia="Times New Roman" w:hAnsi="Calibri" w:cs="Calibri"/>
                <w:color w:val="000000"/>
                <w:sz w:val="20"/>
                <w:szCs w:val="20"/>
                <w:lang w:val="en-US"/>
              </w:rPr>
              <w:t>16.79</w:t>
            </w:r>
          </w:p>
        </w:tc>
      </w:tr>
      <w:tr w:rsidR="00256E3D" w:rsidRPr="003804D8" w:rsidTr="007F2ED6">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noWrap/>
          </w:tcPr>
          <w:p w:rsidR="00256E3D" w:rsidRPr="003804D8" w:rsidRDefault="00256E3D" w:rsidP="00A51750">
            <w:pPr>
              <w:spacing w:after="0"/>
              <w:rPr>
                <w:rFonts w:ascii="Calibri" w:eastAsia="Times New Roman" w:hAnsi="Calibri" w:cs="Calibri"/>
                <w:b w:val="0"/>
                <w:color w:val="000000"/>
                <w:sz w:val="20"/>
                <w:szCs w:val="20"/>
                <w:lang w:val="en-US"/>
              </w:rPr>
            </w:pPr>
            <w:r w:rsidRPr="003804D8">
              <w:rPr>
                <w:rFonts w:ascii="Calibri" w:eastAsia="Times New Roman" w:hAnsi="Calibri" w:cs="Calibri"/>
                <w:b w:val="0"/>
                <w:color w:val="000000"/>
                <w:sz w:val="20"/>
                <w:szCs w:val="20"/>
                <w:lang w:val="en-US"/>
              </w:rPr>
              <w:t>Severe</w:t>
            </w:r>
          </w:p>
        </w:tc>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none" w:sz="0" w:space="0" w:color="auto"/>
            </w:tcBorders>
            <w:vAlign w:val="bottom"/>
          </w:tcPr>
          <w:p w:rsidR="00256E3D" w:rsidRPr="003804D8" w:rsidRDefault="00256E3D" w:rsidP="00D01978">
            <w:pPr>
              <w:spacing w:after="0"/>
              <w:jc w:val="center"/>
              <w:rPr>
                <w:rFonts w:ascii="Calibri" w:eastAsia="Times New Roman" w:hAnsi="Calibri" w:cs="Calibri"/>
                <w:b/>
                <w:color w:val="000000"/>
                <w:sz w:val="20"/>
                <w:szCs w:val="20"/>
                <w:lang w:val="en-US"/>
              </w:rPr>
            </w:pPr>
            <w:r w:rsidRPr="003804D8">
              <w:rPr>
                <w:rFonts w:ascii="Calibri" w:eastAsia="Times New Roman" w:hAnsi="Calibri" w:cs="Calibri"/>
                <w:color w:val="000000"/>
                <w:sz w:val="20"/>
                <w:szCs w:val="20"/>
                <w:lang w:val="en-US"/>
              </w:rPr>
              <w:t>25.2</w:t>
            </w:r>
          </w:p>
        </w:tc>
      </w:tr>
      <w:tr w:rsidR="00D01978" w:rsidRPr="003804D8" w:rsidTr="00D01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9" w:type="dxa"/>
            <w:gridSpan w:val="2"/>
            <w:shd w:val="clear" w:color="auto" w:fill="5B9BD5" w:themeFill="accent5"/>
            <w:noWrap/>
            <w:hideMark/>
          </w:tcPr>
          <w:p w:rsidR="00D01978" w:rsidRPr="003804D8" w:rsidRDefault="00D01978" w:rsidP="00A51750">
            <w:pPr>
              <w:spacing w:after="0"/>
              <w:rPr>
                <w:rFonts w:ascii="Calibri" w:eastAsia="Times New Roman" w:hAnsi="Calibri" w:cs="Calibri"/>
                <w:color w:val="FFFFFF" w:themeColor="background1"/>
                <w:sz w:val="20"/>
                <w:szCs w:val="20"/>
                <w:lang w:val="en-US"/>
              </w:rPr>
            </w:pPr>
            <w:r w:rsidRPr="003804D8">
              <w:rPr>
                <w:rFonts w:ascii="Calibri" w:eastAsia="Times New Roman" w:hAnsi="Calibri" w:cs="Calibri"/>
                <w:color w:val="FFFFFF" w:themeColor="background1"/>
                <w:sz w:val="20"/>
                <w:szCs w:val="20"/>
                <w:lang w:val="en-US"/>
              </w:rPr>
              <w:t>Wandering Behaviour Domain</w:t>
            </w:r>
          </w:p>
        </w:tc>
      </w:tr>
      <w:tr w:rsidR="00D01978" w:rsidRPr="003804D8" w:rsidTr="00012E4E">
        <w:trPr>
          <w:tblHeader/>
        </w:trPr>
        <w:tc>
          <w:tcPr>
            <w:cnfStyle w:val="001000000000" w:firstRow="0" w:lastRow="0" w:firstColumn="1" w:lastColumn="0" w:oddVBand="0" w:evenVBand="0" w:oddHBand="0" w:evenHBand="0" w:firstRowFirstColumn="0" w:firstRowLastColumn="0" w:lastRowFirstColumn="0" w:lastRowLastColumn="0"/>
            <w:tcW w:w="3369" w:type="dxa"/>
            <w:shd w:val="clear" w:color="auto" w:fill="DEEAF6" w:themeFill="accent5" w:themeFillTint="33"/>
            <w:noWrap/>
            <w:hideMark/>
          </w:tcPr>
          <w:p w:rsidR="00D01978" w:rsidRPr="003804D8" w:rsidRDefault="00D01978" w:rsidP="00D01978">
            <w:pPr>
              <w:spacing w:after="0"/>
              <w:rPr>
                <w:rFonts w:ascii="Calibri" w:eastAsia="Times New Roman" w:hAnsi="Calibri" w:cs="Calibri"/>
                <w:sz w:val="20"/>
                <w:szCs w:val="20"/>
                <w:lang w:val="en-US"/>
              </w:rPr>
            </w:pPr>
            <w:r w:rsidRPr="003804D8">
              <w:rPr>
                <w:rFonts w:ascii="Calibri" w:eastAsia="Times New Roman" w:hAnsi="Calibri" w:cs="Calibri"/>
                <w:sz w:val="20"/>
                <w:szCs w:val="20"/>
                <w:lang w:val="en-US"/>
              </w:rPr>
              <w:t>Scale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DEEAF6" w:themeFill="accent5" w:themeFillTint="33"/>
          </w:tcPr>
          <w:p w:rsidR="00D01978" w:rsidRPr="003804D8" w:rsidRDefault="00D01978" w:rsidP="00D01978">
            <w:pPr>
              <w:spacing w:after="0"/>
              <w:jc w:val="center"/>
              <w:rPr>
                <w:rFonts w:ascii="Calibri" w:eastAsia="Times New Roman" w:hAnsi="Calibri" w:cs="Calibri"/>
                <w:sz w:val="20"/>
                <w:szCs w:val="20"/>
                <w:lang w:val="en-US"/>
              </w:rPr>
            </w:pPr>
            <w:r w:rsidRPr="003804D8">
              <w:rPr>
                <w:rFonts w:ascii="Calibri" w:eastAsia="Times New Roman" w:hAnsi="Calibri" w:cs="Calibri"/>
                <w:sz w:val="20"/>
                <w:szCs w:val="20"/>
                <w:lang w:val="en-US"/>
              </w:rPr>
              <w:t>Weights</w:t>
            </w:r>
          </w:p>
        </w:tc>
      </w:tr>
      <w:tr w:rsidR="00256E3D" w:rsidRPr="003804D8" w:rsidTr="007F2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bottom w:val="none" w:sz="0" w:space="0" w:color="auto"/>
              <w:right w:val="none" w:sz="0" w:space="0" w:color="auto"/>
            </w:tcBorders>
            <w:noWrap/>
          </w:tcPr>
          <w:p w:rsidR="00256E3D" w:rsidRPr="003804D8" w:rsidRDefault="00256E3D" w:rsidP="00A51750">
            <w:pPr>
              <w:spacing w:after="0"/>
              <w:rPr>
                <w:rFonts w:ascii="Calibri" w:eastAsia="Times New Roman" w:hAnsi="Calibri" w:cs="Calibri"/>
                <w:b w:val="0"/>
                <w:color w:val="000000"/>
                <w:sz w:val="20"/>
                <w:szCs w:val="20"/>
                <w:lang w:val="en-US"/>
              </w:rPr>
            </w:pPr>
            <w:r w:rsidRPr="003804D8">
              <w:rPr>
                <w:rFonts w:ascii="Calibri" w:eastAsia="Times New Roman" w:hAnsi="Calibri" w:cs="Calibri"/>
                <w:b w:val="0"/>
                <w:color w:val="000000"/>
                <w:sz w:val="20"/>
                <w:szCs w:val="20"/>
                <w:lang w:val="en-US"/>
              </w:rPr>
              <w:t>Less than Daily</w:t>
            </w:r>
          </w:p>
        </w:tc>
        <w:tc>
          <w:tcPr>
            <w:cnfStyle w:val="000010000000" w:firstRow="0" w:lastRow="0" w:firstColumn="0" w:lastColumn="0" w:oddVBand="1"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vAlign w:val="bottom"/>
          </w:tcPr>
          <w:p w:rsidR="00256E3D" w:rsidRPr="003804D8" w:rsidRDefault="00256E3D" w:rsidP="00D01978">
            <w:pPr>
              <w:spacing w:after="0"/>
              <w:jc w:val="center"/>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0</w:t>
            </w:r>
          </w:p>
        </w:tc>
      </w:tr>
      <w:tr w:rsidR="00256E3D" w:rsidRPr="003804D8" w:rsidTr="007F2ED6">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noWrap/>
            <w:hideMark/>
          </w:tcPr>
          <w:p w:rsidR="00256E3D" w:rsidRPr="003804D8" w:rsidRDefault="00256E3D" w:rsidP="00A51750">
            <w:pPr>
              <w:spacing w:after="0"/>
              <w:rPr>
                <w:rFonts w:ascii="Calibri" w:eastAsia="Times New Roman" w:hAnsi="Calibri" w:cs="Calibri"/>
                <w:b w:val="0"/>
                <w:color w:val="000000"/>
                <w:sz w:val="20"/>
                <w:szCs w:val="20"/>
                <w:lang w:val="en-US"/>
              </w:rPr>
            </w:pPr>
            <w:r w:rsidRPr="003804D8">
              <w:rPr>
                <w:rFonts w:ascii="Calibri" w:eastAsia="Times New Roman" w:hAnsi="Calibri" w:cs="Calibri"/>
                <w:b w:val="0"/>
                <w:color w:val="000000"/>
                <w:sz w:val="20"/>
                <w:szCs w:val="20"/>
                <w:lang w:val="en-US"/>
              </w:rPr>
              <w:t>Daily</w:t>
            </w:r>
          </w:p>
        </w:tc>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none" w:sz="0" w:space="0" w:color="auto"/>
            </w:tcBorders>
            <w:vAlign w:val="bottom"/>
          </w:tcPr>
          <w:p w:rsidR="00256E3D" w:rsidRPr="003804D8" w:rsidRDefault="00256E3D" w:rsidP="00D01978">
            <w:pPr>
              <w:spacing w:after="0"/>
              <w:jc w:val="center"/>
              <w:rPr>
                <w:rFonts w:ascii="Calibri" w:eastAsia="Times New Roman" w:hAnsi="Calibri" w:cs="Calibri"/>
                <w:b/>
                <w:color w:val="000000"/>
                <w:sz w:val="20"/>
                <w:szCs w:val="20"/>
                <w:lang w:val="en-US"/>
              </w:rPr>
            </w:pPr>
            <w:r w:rsidRPr="003804D8">
              <w:rPr>
                <w:rFonts w:ascii="Calibri" w:eastAsia="Times New Roman" w:hAnsi="Calibri" w:cs="Calibri"/>
                <w:color w:val="000000"/>
                <w:sz w:val="20"/>
                <w:szCs w:val="20"/>
                <w:lang w:val="en-US"/>
              </w:rPr>
              <w:t>7.13</w:t>
            </w:r>
          </w:p>
        </w:tc>
      </w:tr>
      <w:tr w:rsidR="00256E3D" w:rsidRPr="003804D8" w:rsidTr="007F2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bottom w:val="none" w:sz="0" w:space="0" w:color="auto"/>
              <w:right w:val="none" w:sz="0" w:space="0" w:color="auto"/>
            </w:tcBorders>
            <w:noWrap/>
            <w:hideMark/>
          </w:tcPr>
          <w:p w:rsidR="00256E3D" w:rsidRPr="003804D8" w:rsidRDefault="00256E3D" w:rsidP="00A51750">
            <w:pPr>
              <w:spacing w:after="0"/>
              <w:rPr>
                <w:rFonts w:ascii="Calibri" w:eastAsia="Times New Roman" w:hAnsi="Calibri" w:cs="Calibri"/>
                <w:b w:val="0"/>
                <w:color w:val="000000"/>
                <w:sz w:val="20"/>
                <w:szCs w:val="20"/>
                <w:lang w:val="en-US"/>
              </w:rPr>
            </w:pPr>
            <w:r w:rsidRPr="003804D8">
              <w:rPr>
                <w:rFonts w:ascii="Calibri" w:eastAsia="Times New Roman" w:hAnsi="Calibri" w:cs="Calibri"/>
                <w:b w:val="0"/>
                <w:color w:val="000000"/>
                <w:sz w:val="20"/>
                <w:szCs w:val="20"/>
                <w:lang w:val="en-US"/>
              </w:rPr>
              <w:t>Twice per day</w:t>
            </w:r>
          </w:p>
        </w:tc>
        <w:tc>
          <w:tcPr>
            <w:cnfStyle w:val="000010000000" w:firstRow="0" w:lastRow="0" w:firstColumn="0" w:lastColumn="0" w:oddVBand="1"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vAlign w:val="bottom"/>
          </w:tcPr>
          <w:p w:rsidR="00256E3D" w:rsidRPr="003804D8" w:rsidRDefault="00256E3D" w:rsidP="00D01978">
            <w:pPr>
              <w:spacing w:after="0"/>
              <w:jc w:val="center"/>
              <w:rPr>
                <w:rFonts w:ascii="Calibri" w:eastAsia="Times New Roman" w:hAnsi="Calibri" w:cs="Calibri"/>
                <w:b/>
                <w:color w:val="000000"/>
                <w:sz w:val="20"/>
                <w:szCs w:val="20"/>
                <w:lang w:val="en-US"/>
              </w:rPr>
            </w:pPr>
            <w:r w:rsidRPr="003804D8">
              <w:rPr>
                <w:rFonts w:ascii="Calibri" w:eastAsia="Times New Roman" w:hAnsi="Calibri" w:cs="Calibri"/>
                <w:color w:val="000000"/>
                <w:sz w:val="20"/>
                <w:szCs w:val="20"/>
                <w:lang w:val="en-US"/>
              </w:rPr>
              <w:t>14.27</w:t>
            </w:r>
          </w:p>
        </w:tc>
      </w:tr>
      <w:tr w:rsidR="00256E3D" w:rsidRPr="003804D8" w:rsidTr="007F2ED6">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noWrap/>
            <w:hideMark/>
          </w:tcPr>
          <w:p w:rsidR="00256E3D" w:rsidRPr="003804D8" w:rsidRDefault="00256E3D" w:rsidP="00A51750">
            <w:pPr>
              <w:spacing w:after="0"/>
              <w:rPr>
                <w:rFonts w:ascii="Calibri" w:eastAsia="Times New Roman" w:hAnsi="Calibri" w:cs="Calibri"/>
                <w:b w:val="0"/>
                <w:color w:val="000000"/>
                <w:sz w:val="20"/>
                <w:szCs w:val="20"/>
                <w:lang w:val="en-US"/>
              </w:rPr>
            </w:pPr>
            <w:r w:rsidRPr="003804D8">
              <w:rPr>
                <w:rFonts w:ascii="Calibri" w:eastAsia="Times New Roman" w:hAnsi="Calibri" w:cs="Calibri"/>
                <w:b w:val="0"/>
                <w:color w:val="000000"/>
                <w:sz w:val="20"/>
                <w:szCs w:val="20"/>
                <w:lang w:val="en-US"/>
              </w:rPr>
              <w:t>More than Twice per day</w:t>
            </w:r>
          </w:p>
        </w:tc>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none" w:sz="0" w:space="0" w:color="auto"/>
            </w:tcBorders>
            <w:vAlign w:val="bottom"/>
          </w:tcPr>
          <w:p w:rsidR="00256E3D" w:rsidRPr="003804D8" w:rsidRDefault="00256E3D" w:rsidP="00D01978">
            <w:pPr>
              <w:spacing w:after="0"/>
              <w:jc w:val="center"/>
              <w:rPr>
                <w:rFonts w:ascii="Calibri" w:eastAsia="Times New Roman" w:hAnsi="Calibri" w:cs="Calibri"/>
                <w:b/>
                <w:color w:val="000000"/>
                <w:sz w:val="20"/>
                <w:szCs w:val="20"/>
                <w:lang w:val="en-US"/>
              </w:rPr>
            </w:pPr>
            <w:r w:rsidRPr="003804D8">
              <w:rPr>
                <w:rFonts w:ascii="Calibri" w:eastAsia="Times New Roman" w:hAnsi="Calibri" w:cs="Calibri"/>
                <w:color w:val="000000"/>
                <w:sz w:val="20"/>
                <w:szCs w:val="20"/>
                <w:lang w:val="en-US"/>
              </w:rPr>
              <w:t>21.39</w:t>
            </w:r>
          </w:p>
        </w:tc>
      </w:tr>
      <w:tr w:rsidR="00D01978" w:rsidRPr="003804D8" w:rsidTr="00D01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9" w:type="dxa"/>
            <w:gridSpan w:val="2"/>
            <w:shd w:val="clear" w:color="auto" w:fill="5B9BD5" w:themeFill="accent5"/>
            <w:noWrap/>
            <w:hideMark/>
          </w:tcPr>
          <w:p w:rsidR="00D01978" w:rsidRPr="003804D8" w:rsidRDefault="00D01978" w:rsidP="00A51750">
            <w:pPr>
              <w:spacing w:after="0"/>
              <w:rPr>
                <w:rFonts w:ascii="Calibri" w:eastAsia="Times New Roman" w:hAnsi="Calibri" w:cs="Calibri"/>
                <w:color w:val="FFFFFF" w:themeColor="background1"/>
                <w:sz w:val="20"/>
                <w:szCs w:val="20"/>
                <w:lang w:val="en-US"/>
              </w:rPr>
            </w:pPr>
            <w:r w:rsidRPr="003804D8">
              <w:rPr>
                <w:rFonts w:ascii="Calibri" w:eastAsia="Times New Roman" w:hAnsi="Calibri" w:cs="Calibri"/>
                <w:color w:val="FFFFFF" w:themeColor="background1"/>
                <w:sz w:val="20"/>
                <w:szCs w:val="20"/>
                <w:lang w:val="en-US"/>
              </w:rPr>
              <w:t>Verbal Behaviour Domain</w:t>
            </w:r>
          </w:p>
        </w:tc>
      </w:tr>
      <w:tr w:rsidR="00D01978" w:rsidRPr="003804D8" w:rsidTr="00012E4E">
        <w:trPr>
          <w:tblHeader/>
        </w:trPr>
        <w:tc>
          <w:tcPr>
            <w:cnfStyle w:val="001000000000" w:firstRow="0" w:lastRow="0" w:firstColumn="1" w:lastColumn="0" w:oddVBand="0" w:evenVBand="0" w:oddHBand="0" w:evenHBand="0" w:firstRowFirstColumn="0" w:firstRowLastColumn="0" w:lastRowFirstColumn="0" w:lastRowLastColumn="0"/>
            <w:tcW w:w="3369" w:type="dxa"/>
            <w:shd w:val="clear" w:color="auto" w:fill="DEEAF6" w:themeFill="accent5" w:themeFillTint="33"/>
            <w:noWrap/>
            <w:hideMark/>
          </w:tcPr>
          <w:p w:rsidR="00D01978" w:rsidRPr="003804D8" w:rsidRDefault="00D01978" w:rsidP="00D01978">
            <w:pPr>
              <w:spacing w:after="0"/>
              <w:rPr>
                <w:rFonts w:ascii="Calibri" w:eastAsia="Times New Roman" w:hAnsi="Calibri" w:cs="Calibri"/>
                <w:sz w:val="20"/>
                <w:szCs w:val="20"/>
                <w:lang w:val="en-US"/>
              </w:rPr>
            </w:pPr>
            <w:r w:rsidRPr="003804D8">
              <w:rPr>
                <w:rFonts w:ascii="Calibri" w:eastAsia="Times New Roman" w:hAnsi="Calibri" w:cs="Calibri"/>
                <w:sz w:val="20"/>
                <w:szCs w:val="20"/>
                <w:lang w:val="en-US"/>
              </w:rPr>
              <w:t>Scale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DEEAF6" w:themeFill="accent5" w:themeFillTint="33"/>
          </w:tcPr>
          <w:p w:rsidR="00D01978" w:rsidRPr="003804D8" w:rsidRDefault="00D01978" w:rsidP="00D01978">
            <w:pPr>
              <w:spacing w:after="0"/>
              <w:jc w:val="center"/>
              <w:rPr>
                <w:rFonts w:ascii="Calibri" w:eastAsia="Times New Roman" w:hAnsi="Calibri" w:cs="Calibri"/>
                <w:sz w:val="20"/>
                <w:szCs w:val="20"/>
                <w:lang w:val="en-US"/>
              </w:rPr>
            </w:pPr>
            <w:r w:rsidRPr="003804D8">
              <w:rPr>
                <w:rFonts w:ascii="Calibri" w:eastAsia="Times New Roman" w:hAnsi="Calibri" w:cs="Calibri"/>
                <w:sz w:val="20"/>
                <w:szCs w:val="20"/>
                <w:lang w:val="en-US"/>
              </w:rPr>
              <w:t>Weights</w:t>
            </w:r>
          </w:p>
        </w:tc>
      </w:tr>
      <w:tr w:rsidR="00256E3D" w:rsidRPr="003804D8" w:rsidTr="007F2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noWrap/>
          </w:tcPr>
          <w:p w:rsidR="00256E3D" w:rsidRPr="003804D8" w:rsidRDefault="00256E3D" w:rsidP="00A51750">
            <w:pPr>
              <w:spacing w:after="0"/>
              <w:rPr>
                <w:rFonts w:ascii="Calibri" w:eastAsia="Times New Roman" w:hAnsi="Calibri" w:cs="Calibri"/>
                <w:b w:val="0"/>
                <w:color w:val="000000"/>
                <w:sz w:val="20"/>
                <w:szCs w:val="20"/>
                <w:lang w:val="en-US"/>
              </w:rPr>
            </w:pPr>
            <w:r w:rsidRPr="003804D8">
              <w:rPr>
                <w:rFonts w:ascii="Calibri" w:eastAsia="Times New Roman" w:hAnsi="Calibri" w:cs="Calibri"/>
                <w:b w:val="0"/>
                <w:color w:val="000000"/>
                <w:sz w:val="20"/>
                <w:szCs w:val="20"/>
                <w:lang w:val="en-US"/>
              </w:rPr>
              <w:t>Less than Daily</w:t>
            </w:r>
          </w:p>
        </w:tc>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none" w:sz="0" w:space="0" w:color="auto"/>
            </w:tcBorders>
            <w:vAlign w:val="bottom"/>
          </w:tcPr>
          <w:p w:rsidR="00256E3D" w:rsidRPr="003804D8" w:rsidRDefault="00256E3D" w:rsidP="00D01978">
            <w:pPr>
              <w:spacing w:after="0"/>
              <w:jc w:val="center"/>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0</w:t>
            </w:r>
          </w:p>
        </w:tc>
      </w:tr>
      <w:tr w:rsidR="00256E3D" w:rsidRPr="003804D8" w:rsidTr="007F2ED6">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noWrap/>
            <w:hideMark/>
          </w:tcPr>
          <w:p w:rsidR="00256E3D" w:rsidRPr="003804D8" w:rsidRDefault="00256E3D" w:rsidP="00A51750">
            <w:pPr>
              <w:spacing w:after="0"/>
              <w:rPr>
                <w:rFonts w:ascii="Calibri" w:eastAsia="Times New Roman" w:hAnsi="Calibri" w:cs="Calibri"/>
                <w:b w:val="0"/>
                <w:color w:val="000000"/>
                <w:sz w:val="20"/>
                <w:szCs w:val="20"/>
                <w:lang w:val="en-US"/>
              </w:rPr>
            </w:pPr>
            <w:r w:rsidRPr="003804D8">
              <w:rPr>
                <w:rFonts w:ascii="Calibri" w:eastAsia="Times New Roman" w:hAnsi="Calibri" w:cs="Calibri"/>
                <w:b w:val="0"/>
                <w:color w:val="000000"/>
                <w:sz w:val="20"/>
                <w:szCs w:val="20"/>
                <w:lang w:val="en-US"/>
              </w:rPr>
              <w:t>Daily</w:t>
            </w:r>
          </w:p>
        </w:tc>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none" w:sz="0" w:space="0" w:color="auto"/>
            </w:tcBorders>
            <w:vAlign w:val="bottom"/>
          </w:tcPr>
          <w:p w:rsidR="00256E3D" w:rsidRPr="003804D8" w:rsidRDefault="00256E3D" w:rsidP="00D01978">
            <w:pPr>
              <w:spacing w:after="0"/>
              <w:jc w:val="center"/>
              <w:rPr>
                <w:rFonts w:ascii="Calibri" w:eastAsia="Times New Roman" w:hAnsi="Calibri" w:cs="Calibri"/>
                <w:b/>
                <w:color w:val="000000"/>
                <w:sz w:val="20"/>
                <w:szCs w:val="20"/>
                <w:lang w:val="en-US"/>
              </w:rPr>
            </w:pPr>
            <w:r w:rsidRPr="003804D8">
              <w:rPr>
                <w:rFonts w:ascii="Calibri" w:eastAsia="Times New Roman" w:hAnsi="Calibri" w:cs="Calibri"/>
                <w:color w:val="000000"/>
                <w:sz w:val="20"/>
                <w:szCs w:val="20"/>
                <w:lang w:val="en-US"/>
              </w:rPr>
              <w:t>8.5</w:t>
            </w:r>
          </w:p>
        </w:tc>
      </w:tr>
      <w:tr w:rsidR="00256E3D" w:rsidRPr="003804D8" w:rsidTr="007F2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noWrap/>
            <w:hideMark/>
          </w:tcPr>
          <w:p w:rsidR="00256E3D" w:rsidRPr="003804D8" w:rsidRDefault="00256E3D" w:rsidP="00A51750">
            <w:pPr>
              <w:spacing w:after="0"/>
              <w:rPr>
                <w:rFonts w:ascii="Calibri" w:eastAsia="Times New Roman" w:hAnsi="Calibri" w:cs="Calibri"/>
                <w:b w:val="0"/>
                <w:color w:val="000000"/>
                <w:sz w:val="20"/>
                <w:szCs w:val="20"/>
                <w:lang w:val="en-US"/>
              </w:rPr>
            </w:pPr>
            <w:r w:rsidRPr="003804D8">
              <w:rPr>
                <w:rFonts w:ascii="Calibri" w:eastAsia="Times New Roman" w:hAnsi="Calibri" w:cs="Calibri"/>
                <w:b w:val="0"/>
                <w:color w:val="000000"/>
                <w:sz w:val="20"/>
                <w:szCs w:val="20"/>
                <w:lang w:val="en-US"/>
              </w:rPr>
              <w:t>Twice per day</w:t>
            </w:r>
          </w:p>
        </w:tc>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none" w:sz="0" w:space="0" w:color="auto"/>
            </w:tcBorders>
            <w:vAlign w:val="bottom"/>
          </w:tcPr>
          <w:p w:rsidR="00256E3D" w:rsidRPr="003804D8" w:rsidRDefault="00256E3D" w:rsidP="00D01978">
            <w:pPr>
              <w:spacing w:after="0"/>
              <w:jc w:val="center"/>
              <w:rPr>
                <w:rFonts w:ascii="Calibri" w:eastAsia="Times New Roman" w:hAnsi="Calibri" w:cs="Calibri"/>
                <w:b/>
                <w:color w:val="000000"/>
                <w:sz w:val="20"/>
                <w:szCs w:val="20"/>
                <w:lang w:val="en-US"/>
              </w:rPr>
            </w:pPr>
            <w:r w:rsidRPr="003804D8">
              <w:rPr>
                <w:rFonts w:ascii="Calibri" w:eastAsia="Times New Roman" w:hAnsi="Calibri" w:cs="Calibri"/>
                <w:color w:val="000000"/>
                <w:sz w:val="20"/>
                <w:szCs w:val="20"/>
                <w:lang w:val="en-US"/>
              </w:rPr>
              <w:t>17.02</w:t>
            </w:r>
          </w:p>
        </w:tc>
      </w:tr>
      <w:tr w:rsidR="00256E3D" w:rsidRPr="003804D8" w:rsidTr="007F2ED6">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noWrap/>
          </w:tcPr>
          <w:p w:rsidR="00256E3D" w:rsidRPr="003804D8" w:rsidRDefault="00256E3D" w:rsidP="00A51750">
            <w:pPr>
              <w:spacing w:after="0"/>
              <w:rPr>
                <w:rFonts w:ascii="Calibri" w:eastAsia="Times New Roman" w:hAnsi="Calibri" w:cs="Calibri"/>
                <w:b w:val="0"/>
                <w:color w:val="000000"/>
                <w:sz w:val="20"/>
                <w:szCs w:val="20"/>
                <w:lang w:val="en-US"/>
              </w:rPr>
            </w:pPr>
            <w:r w:rsidRPr="003804D8">
              <w:rPr>
                <w:rFonts w:ascii="Calibri" w:eastAsia="Times New Roman" w:hAnsi="Calibri" w:cs="Calibri"/>
                <w:b w:val="0"/>
                <w:color w:val="000000"/>
                <w:sz w:val="20"/>
                <w:szCs w:val="20"/>
                <w:lang w:val="en-US"/>
              </w:rPr>
              <w:t>More than Twice per day</w:t>
            </w:r>
          </w:p>
        </w:tc>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none" w:sz="0" w:space="0" w:color="auto"/>
            </w:tcBorders>
            <w:vAlign w:val="bottom"/>
          </w:tcPr>
          <w:p w:rsidR="00256E3D" w:rsidRPr="003804D8" w:rsidRDefault="00256E3D" w:rsidP="00D01978">
            <w:pPr>
              <w:spacing w:after="0"/>
              <w:jc w:val="center"/>
              <w:rPr>
                <w:rFonts w:ascii="Calibri" w:eastAsia="Times New Roman" w:hAnsi="Calibri" w:cs="Calibri"/>
                <w:b/>
                <w:color w:val="000000"/>
                <w:sz w:val="20"/>
                <w:szCs w:val="20"/>
                <w:lang w:val="en-US"/>
              </w:rPr>
            </w:pPr>
            <w:r w:rsidRPr="003804D8">
              <w:rPr>
                <w:rFonts w:ascii="Calibri" w:eastAsia="Times New Roman" w:hAnsi="Calibri" w:cs="Calibri"/>
                <w:color w:val="000000"/>
                <w:sz w:val="20"/>
                <w:szCs w:val="20"/>
                <w:lang w:val="en-US"/>
              </w:rPr>
              <w:t>25.52</w:t>
            </w:r>
          </w:p>
        </w:tc>
      </w:tr>
      <w:tr w:rsidR="00D01978" w:rsidRPr="003804D8" w:rsidTr="00D01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9" w:type="dxa"/>
            <w:gridSpan w:val="2"/>
            <w:shd w:val="clear" w:color="auto" w:fill="5B9BD5" w:themeFill="accent5"/>
            <w:noWrap/>
            <w:hideMark/>
          </w:tcPr>
          <w:p w:rsidR="00D01978" w:rsidRPr="003804D8" w:rsidRDefault="00D01978" w:rsidP="00A51750">
            <w:pPr>
              <w:spacing w:after="0"/>
              <w:rPr>
                <w:rFonts w:ascii="Calibri" w:eastAsia="Times New Roman" w:hAnsi="Calibri" w:cs="Calibri"/>
                <w:color w:val="FFFFFF" w:themeColor="background1"/>
                <w:sz w:val="20"/>
                <w:szCs w:val="20"/>
                <w:lang w:val="en-US"/>
              </w:rPr>
            </w:pPr>
            <w:r w:rsidRPr="003804D8">
              <w:rPr>
                <w:rFonts w:ascii="Calibri" w:eastAsia="Times New Roman" w:hAnsi="Calibri" w:cs="Calibri"/>
                <w:color w:val="FFFFFF" w:themeColor="background1"/>
                <w:sz w:val="20"/>
                <w:szCs w:val="20"/>
                <w:lang w:val="en-US"/>
              </w:rPr>
              <w:t>Physical Behaviour Domain</w:t>
            </w:r>
          </w:p>
        </w:tc>
      </w:tr>
      <w:tr w:rsidR="00D01978" w:rsidRPr="003804D8" w:rsidTr="00012E4E">
        <w:trPr>
          <w:tblHeader/>
        </w:trPr>
        <w:tc>
          <w:tcPr>
            <w:cnfStyle w:val="001000000000" w:firstRow="0" w:lastRow="0" w:firstColumn="1" w:lastColumn="0" w:oddVBand="0" w:evenVBand="0" w:oddHBand="0" w:evenHBand="0" w:firstRowFirstColumn="0" w:firstRowLastColumn="0" w:lastRowFirstColumn="0" w:lastRowLastColumn="0"/>
            <w:tcW w:w="3369" w:type="dxa"/>
            <w:shd w:val="clear" w:color="auto" w:fill="DEEAF6" w:themeFill="accent5" w:themeFillTint="33"/>
            <w:noWrap/>
            <w:hideMark/>
          </w:tcPr>
          <w:p w:rsidR="00D01978" w:rsidRPr="003804D8" w:rsidRDefault="00D01978" w:rsidP="00D01978">
            <w:pPr>
              <w:spacing w:after="0"/>
              <w:rPr>
                <w:rFonts w:ascii="Calibri" w:eastAsia="Times New Roman" w:hAnsi="Calibri" w:cs="Calibri"/>
                <w:sz w:val="20"/>
                <w:szCs w:val="20"/>
                <w:lang w:val="en-US"/>
              </w:rPr>
            </w:pPr>
            <w:r w:rsidRPr="003804D8">
              <w:rPr>
                <w:rFonts w:ascii="Calibri" w:eastAsia="Times New Roman" w:hAnsi="Calibri" w:cs="Calibri"/>
                <w:sz w:val="20"/>
                <w:szCs w:val="20"/>
                <w:lang w:val="en-US"/>
              </w:rPr>
              <w:t>Scale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DEEAF6" w:themeFill="accent5" w:themeFillTint="33"/>
          </w:tcPr>
          <w:p w:rsidR="00D01978" w:rsidRPr="003804D8" w:rsidRDefault="00D01978" w:rsidP="00D01978">
            <w:pPr>
              <w:spacing w:after="0"/>
              <w:jc w:val="center"/>
              <w:rPr>
                <w:rFonts w:ascii="Calibri" w:eastAsia="Times New Roman" w:hAnsi="Calibri" w:cs="Calibri"/>
                <w:sz w:val="20"/>
                <w:szCs w:val="20"/>
                <w:lang w:val="en-US"/>
              </w:rPr>
            </w:pPr>
            <w:r w:rsidRPr="003804D8">
              <w:rPr>
                <w:rFonts w:ascii="Calibri" w:eastAsia="Times New Roman" w:hAnsi="Calibri" w:cs="Calibri"/>
                <w:sz w:val="20"/>
                <w:szCs w:val="20"/>
                <w:lang w:val="en-US"/>
              </w:rPr>
              <w:t>Weights</w:t>
            </w:r>
          </w:p>
        </w:tc>
      </w:tr>
      <w:tr w:rsidR="00256E3D" w:rsidRPr="003804D8" w:rsidTr="007F2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bottom w:val="none" w:sz="0" w:space="0" w:color="auto"/>
              <w:right w:val="none" w:sz="0" w:space="0" w:color="auto"/>
            </w:tcBorders>
            <w:noWrap/>
          </w:tcPr>
          <w:p w:rsidR="00256E3D" w:rsidRPr="003804D8" w:rsidRDefault="00256E3D" w:rsidP="00A51750">
            <w:pPr>
              <w:spacing w:after="0"/>
              <w:rPr>
                <w:rFonts w:ascii="Calibri" w:eastAsia="Times New Roman" w:hAnsi="Calibri" w:cs="Calibri"/>
                <w:b w:val="0"/>
                <w:color w:val="000000"/>
                <w:sz w:val="20"/>
                <w:szCs w:val="20"/>
                <w:lang w:val="en-US"/>
              </w:rPr>
            </w:pPr>
            <w:r w:rsidRPr="003804D8">
              <w:rPr>
                <w:rFonts w:ascii="Calibri" w:eastAsia="Times New Roman" w:hAnsi="Calibri" w:cs="Calibri"/>
                <w:b w:val="0"/>
                <w:color w:val="000000"/>
                <w:sz w:val="20"/>
                <w:szCs w:val="20"/>
                <w:lang w:val="en-US"/>
              </w:rPr>
              <w:t>Less than Daily</w:t>
            </w:r>
          </w:p>
        </w:tc>
        <w:tc>
          <w:tcPr>
            <w:cnfStyle w:val="000010000000" w:firstRow="0" w:lastRow="0" w:firstColumn="0" w:lastColumn="0" w:oddVBand="1"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vAlign w:val="bottom"/>
          </w:tcPr>
          <w:p w:rsidR="00256E3D" w:rsidRPr="003804D8" w:rsidRDefault="00256E3D" w:rsidP="00D01978">
            <w:pPr>
              <w:spacing w:after="0"/>
              <w:jc w:val="center"/>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0</w:t>
            </w:r>
          </w:p>
        </w:tc>
      </w:tr>
      <w:tr w:rsidR="00256E3D" w:rsidRPr="003804D8" w:rsidTr="007F2ED6">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noWrap/>
            <w:hideMark/>
          </w:tcPr>
          <w:p w:rsidR="00256E3D" w:rsidRPr="003804D8" w:rsidRDefault="00256E3D" w:rsidP="00A51750">
            <w:pPr>
              <w:spacing w:after="0"/>
              <w:rPr>
                <w:rFonts w:ascii="Calibri" w:eastAsia="Times New Roman" w:hAnsi="Calibri" w:cs="Calibri"/>
                <w:b w:val="0"/>
                <w:color w:val="000000"/>
                <w:sz w:val="20"/>
                <w:szCs w:val="20"/>
                <w:lang w:val="en-US"/>
              </w:rPr>
            </w:pPr>
            <w:r w:rsidRPr="003804D8">
              <w:rPr>
                <w:rFonts w:ascii="Calibri" w:eastAsia="Times New Roman" w:hAnsi="Calibri" w:cs="Calibri"/>
                <w:b w:val="0"/>
                <w:color w:val="000000"/>
                <w:sz w:val="20"/>
                <w:szCs w:val="20"/>
                <w:lang w:val="en-US"/>
              </w:rPr>
              <w:t>Daily</w:t>
            </w:r>
          </w:p>
        </w:tc>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none" w:sz="0" w:space="0" w:color="auto"/>
            </w:tcBorders>
            <w:vAlign w:val="bottom"/>
          </w:tcPr>
          <w:p w:rsidR="00256E3D" w:rsidRPr="003804D8" w:rsidRDefault="00256E3D" w:rsidP="00D01978">
            <w:pPr>
              <w:spacing w:after="0"/>
              <w:jc w:val="center"/>
              <w:rPr>
                <w:rFonts w:ascii="Calibri" w:eastAsia="Times New Roman" w:hAnsi="Calibri" w:cs="Calibri"/>
                <w:b/>
                <w:color w:val="000000"/>
                <w:sz w:val="20"/>
                <w:szCs w:val="20"/>
                <w:lang w:val="en-US"/>
              </w:rPr>
            </w:pPr>
            <w:r w:rsidRPr="003804D8">
              <w:rPr>
                <w:rFonts w:ascii="Calibri" w:eastAsia="Times New Roman" w:hAnsi="Calibri" w:cs="Calibri"/>
                <w:color w:val="000000"/>
                <w:sz w:val="20"/>
                <w:szCs w:val="20"/>
                <w:lang w:val="en-US"/>
              </w:rPr>
              <w:t>9.29</w:t>
            </w:r>
          </w:p>
        </w:tc>
      </w:tr>
      <w:tr w:rsidR="00256E3D" w:rsidRPr="003804D8" w:rsidTr="007F2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bottom w:val="none" w:sz="0" w:space="0" w:color="auto"/>
              <w:right w:val="none" w:sz="0" w:space="0" w:color="auto"/>
            </w:tcBorders>
            <w:noWrap/>
            <w:hideMark/>
          </w:tcPr>
          <w:p w:rsidR="00256E3D" w:rsidRPr="003804D8" w:rsidRDefault="00256E3D" w:rsidP="00A51750">
            <w:pPr>
              <w:spacing w:after="0"/>
              <w:rPr>
                <w:rFonts w:ascii="Calibri" w:eastAsia="Times New Roman" w:hAnsi="Calibri" w:cs="Calibri"/>
                <w:b w:val="0"/>
                <w:color w:val="000000"/>
                <w:sz w:val="20"/>
                <w:szCs w:val="20"/>
                <w:lang w:val="en-US"/>
              </w:rPr>
            </w:pPr>
            <w:r w:rsidRPr="003804D8">
              <w:rPr>
                <w:rFonts w:ascii="Calibri" w:eastAsia="Times New Roman" w:hAnsi="Calibri" w:cs="Calibri"/>
                <w:b w:val="0"/>
                <w:color w:val="000000"/>
                <w:sz w:val="20"/>
                <w:szCs w:val="20"/>
                <w:lang w:val="en-US"/>
              </w:rPr>
              <w:t>Twice per day</w:t>
            </w:r>
          </w:p>
        </w:tc>
        <w:tc>
          <w:tcPr>
            <w:cnfStyle w:val="000010000000" w:firstRow="0" w:lastRow="0" w:firstColumn="0" w:lastColumn="0" w:oddVBand="1"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vAlign w:val="bottom"/>
          </w:tcPr>
          <w:p w:rsidR="00256E3D" w:rsidRPr="003804D8" w:rsidRDefault="00256E3D" w:rsidP="00D01978">
            <w:pPr>
              <w:spacing w:after="0"/>
              <w:jc w:val="center"/>
              <w:rPr>
                <w:rFonts w:ascii="Calibri" w:eastAsia="Times New Roman" w:hAnsi="Calibri" w:cs="Calibri"/>
                <w:b/>
                <w:color w:val="000000"/>
                <w:sz w:val="20"/>
                <w:szCs w:val="20"/>
                <w:lang w:val="en-US"/>
              </w:rPr>
            </w:pPr>
            <w:r w:rsidRPr="003804D8">
              <w:rPr>
                <w:rFonts w:ascii="Calibri" w:eastAsia="Times New Roman" w:hAnsi="Calibri" w:cs="Calibri"/>
                <w:color w:val="000000"/>
                <w:sz w:val="20"/>
                <w:szCs w:val="20"/>
                <w:lang w:val="en-US"/>
              </w:rPr>
              <w:t>18.59</w:t>
            </w:r>
          </w:p>
        </w:tc>
      </w:tr>
      <w:tr w:rsidR="00256E3D" w:rsidRPr="003804D8" w:rsidTr="007F2ED6">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noWrap/>
          </w:tcPr>
          <w:p w:rsidR="00256E3D" w:rsidRPr="003804D8" w:rsidRDefault="00256E3D" w:rsidP="00A51750">
            <w:pPr>
              <w:spacing w:after="0"/>
              <w:rPr>
                <w:rFonts w:ascii="Calibri" w:eastAsia="Times New Roman" w:hAnsi="Calibri" w:cs="Calibri"/>
                <w:b w:val="0"/>
                <w:color w:val="000000"/>
                <w:sz w:val="20"/>
                <w:szCs w:val="20"/>
                <w:lang w:val="en-US"/>
              </w:rPr>
            </w:pPr>
            <w:r w:rsidRPr="003804D8">
              <w:rPr>
                <w:rFonts w:ascii="Calibri" w:eastAsia="Times New Roman" w:hAnsi="Calibri" w:cs="Calibri"/>
                <w:b w:val="0"/>
                <w:color w:val="000000"/>
                <w:sz w:val="20"/>
                <w:szCs w:val="20"/>
                <w:lang w:val="en-US"/>
              </w:rPr>
              <w:t>More than Twice per day</w:t>
            </w:r>
          </w:p>
        </w:tc>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none" w:sz="0" w:space="0" w:color="auto"/>
            </w:tcBorders>
            <w:vAlign w:val="bottom"/>
          </w:tcPr>
          <w:p w:rsidR="00256E3D" w:rsidRPr="003804D8" w:rsidRDefault="00256E3D" w:rsidP="00D01978">
            <w:pPr>
              <w:spacing w:after="0"/>
              <w:jc w:val="center"/>
              <w:rPr>
                <w:rFonts w:ascii="Calibri" w:eastAsia="Times New Roman" w:hAnsi="Calibri" w:cs="Calibri"/>
                <w:b/>
                <w:color w:val="000000"/>
                <w:sz w:val="20"/>
                <w:szCs w:val="20"/>
                <w:lang w:val="en-US"/>
              </w:rPr>
            </w:pPr>
            <w:r w:rsidRPr="003804D8">
              <w:rPr>
                <w:rFonts w:ascii="Calibri" w:eastAsia="Times New Roman" w:hAnsi="Calibri" w:cs="Calibri"/>
                <w:color w:val="000000"/>
                <w:sz w:val="20"/>
                <w:szCs w:val="20"/>
                <w:lang w:val="en-US"/>
              </w:rPr>
              <w:t>27.89</w:t>
            </w:r>
          </w:p>
        </w:tc>
      </w:tr>
      <w:tr w:rsidR="00256E3D" w:rsidRPr="003804D8" w:rsidTr="00012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bottom w:val="none" w:sz="0" w:space="0" w:color="auto"/>
              <w:right w:val="none" w:sz="0" w:space="0" w:color="auto"/>
            </w:tcBorders>
            <w:shd w:val="clear" w:color="auto" w:fill="auto"/>
            <w:noWrap/>
          </w:tcPr>
          <w:p w:rsidR="00256E3D" w:rsidRPr="003804D8" w:rsidRDefault="00256E3D" w:rsidP="00A51750">
            <w:pPr>
              <w:spacing w:after="0"/>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Total</w:t>
            </w:r>
            <w:r w:rsidR="00012E4E">
              <w:rPr>
                <w:rFonts w:ascii="Calibri" w:eastAsia="Times New Roman" w:hAnsi="Calibri" w:cs="Calibri"/>
                <w:color w:val="000000"/>
                <w:sz w:val="20"/>
                <w:szCs w:val="20"/>
                <w:lang w:val="en-US"/>
              </w:rPr>
              <w:t xml:space="preserve"> of ALL </w:t>
            </w:r>
          </w:p>
        </w:tc>
        <w:tc>
          <w:tcPr>
            <w:cnfStyle w:val="000010000000" w:firstRow="0" w:lastRow="0" w:firstColumn="0" w:lastColumn="0" w:oddVBand="1"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auto"/>
          </w:tcPr>
          <w:p w:rsidR="00256E3D" w:rsidRPr="003804D8" w:rsidRDefault="00256E3D" w:rsidP="00D01978">
            <w:pPr>
              <w:spacing w:after="0"/>
              <w:jc w:val="center"/>
              <w:rPr>
                <w:rFonts w:ascii="Calibri" w:eastAsia="Times New Roman" w:hAnsi="Calibri" w:cs="Calibri"/>
                <w:b/>
                <w:color w:val="000000"/>
                <w:sz w:val="20"/>
                <w:szCs w:val="20"/>
                <w:lang w:val="en-US"/>
              </w:rPr>
            </w:pPr>
            <w:r w:rsidRPr="003804D8">
              <w:rPr>
                <w:rFonts w:ascii="Calibri" w:eastAsia="Times New Roman" w:hAnsi="Calibri" w:cs="Calibri"/>
                <w:b/>
                <w:color w:val="000000"/>
                <w:sz w:val="20"/>
                <w:szCs w:val="20"/>
                <w:lang w:val="en-US"/>
              </w:rPr>
              <w:t>100</w:t>
            </w:r>
          </w:p>
        </w:tc>
      </w:tr>
    </w:tbl>
    <w:p w:rsidR="00043DB4" w:rsidRDefault="009F643E" w:rsidP="008F1CA1">
      <w:pPr>
        <w:pStyle w:val="Caption"/>
        <w:keepNext/>
        <w:spacing w:before="120"/>
      </w:pPr>
      <w:bookmarkStart w:id="584" w:name="_Toc495416380"/>
      <w:bookmarkStart w:id="585" w:name="Tab0813"/>
      <w:r>
        <w:t>Table 8.</w:t>
      </w:r>
      <w:r w:rsidR="009A3F5A">
        <w:fldChar w:fldCharType="begin"/>
      </w:r>
      <w:r w:rsidR="009A3F5A">
        <w:instrText xml:space="preserve"> SEQ Table_8. \* ARABIC </w:instrText>
      </w:r>
      <w:r w:rsidR="009A3F5A">
        <w:fldChar w:fldCharType="separate"/>
      </w:r>
      <w:r w:rsidR="00856E49">
        <w:rPr>
          <w:noProof/>
        </w:rPr>
        <w:t>13</w:t>
      </w:r>
      <w:r w:rsidR="009A3F5A">
        <w:rPr>
          <w:noProof/>
        </w:rPr>
        <w:fldChar w:fldCharType="end"/>
      </w:r>
      <w:r>
        <w:t xml:space="preserve">: </w:t>
      </w:r>
      <w:r w:rsidRPr="009F643E">
        <w:t>R-ACFI Behaviour Domain Payment Groups Compared with the Current ACFI</w:t>
      </w:r>
      <w:bookmarkEnd w:id="584"/>
    </w:p>
    <w:tbl>
      <w:tblPr>
        <w:tblStyle w:val="ListTable3-Accent515"/>
        <w:tblW w:w="9403"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8.13 is a list of funding details for the behaviour categories (base, moderate and high), with comparison between the current aged care funding instrument (ACFI) and the revised aged care funding instrument (R-ACFI). This table is to be read left to right, top to bottom."/>
      </w:tblPr>
      <w:tblGrid>
        <w:gridCol w:w="1276"/>
        <w:gridCol w:w="1279"/>
        <w:gridCol w:w="1556"/>
        <w:gridCol w:w="1559"/>
        <w:gridCol w:w="1843"/>
        <w:gridCol w:w="1890"/>
      </w:tblGrid>
      <w:tr w:rsidR="00D01978" w:rsidRPr="003804D8" w:rsidTr="003804D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76" w:type="dxa"/>
            <w:noWrap/>
            <w:hideMark/>
          </w:tcPr>
          <w:bookmarkEnd w:id="585"/>
          <w:p w:rsidR="00D01978" w:rsidRPr="003804D8" w:rsidRDefault="00D01978" w:rsidP="00D01978">
            <w:pPr>
              <w:spacing w:after="0"/>
              <w:jc w:val="left"/>
              <w:rPr>
                <w:rFonts w:ascii="Calibri" w:eastAsia="Times New Roman" w:hAnsi="Calibri" w:cs="Calibri"/>
                <w:bCs w:val="0"/>
                <w:sz w:val="20"/>
                <w:szCs w:val="20"/>
                <w:lang w:val="en-US"/>
              </w:rPr>
            </w:pPr>
            <w:r w:rsidRPr="003804D8">
              <w:rPr>
                <w:rFonts w:ascii="Calibri" w:eastAsia="Times New Roman" w:hAnsi="Calibri" w:cs="Calibri"/>
                <w:bCs w:val="0"/>
                <w:sz w:val="20"/>
                <w:szCs w:val="20"/>
                <w:lang w:val="en-US"/>
              </w:rPr>
              <w:t>R-ACFI BEH Category</w:t>
            </w:r>
          </w:p>
        </w:tc>
        <w:tc>
          <w:tcPr>
            <w:cnfStyle w:val="000010000000" w:firstRow="0" w:lastRow="0" w:firstColumn="0" w:lastColumn="0" w:oddVBand="1" w:evenVBand="0" w:oddHBand="0" w:evenHBand="0" w:firstRowFirstColumn="0" w:firstRowLastColumn="0" w:lastRowFirstColumn="0" w:lastRowLastColumn="0"/>
            <w:tcW w:w="1279" w:type="dxa"/>
            <w:noWrap/>
            <w:hideMark/>
          </w:tcPr>
          <w:p w:rsidR="00D01978" w:rsidRPr="003804D8" w:rsidRDefault="00D01978" w:rsidP="00D01978">
            <w:pPr>
              <w:spacing w:after="0"/>
              <w:jc w:val="center"/>
              <w:rPr>
                <w:rFonts w:ascii="Calibri" w:eastAsia="Times New Roman" w:hAnsi="Calibri" w:cs="Calibri"/>
                <w:bCs w:val="0"/>
                <w:sz w:val="20"/>
                <w:szCs w:val="20"/>
                <w:lang w:val="en-US"/>
              </w:rPr>
            </w:pPr>
            <w:r w:rsidRPr="003804D8">
              <w:rPr>
                <w:rFonts w:ascii="Calibri" w:eastAsia="Times New Roman" w:hAnsi="Calibri" w:cs="Calibri"/>
                <w:bCs w:val="0"/>
                <w:sz w:val="20"/>
                <w:szCs w:val="20"/>
                <w:lang w:val="en-US"/>
              </w:rPr>
              <w:t>Number in Group</w:t>
            </w:r>
          </w:p>
        </w:tc>
        <w:tc>
          <w:tcPr>
            <w:tcW w:w="1556" w:type="dxa"/>
            <w:noWrap/>
            <w:hideMark/>
          </w:tcPr>
          <w:p w:rsidR="00D01978" w:rsidRPr="003804D8" w:rsidRDefault="00D01978" w:rsidP="00D0197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val="en-US"/>
              </w:rPr>
            </w:pPr>
            <w:r w:rsidRPr="003804D8">
              <w:rPr>
                <w:rFonts w:ascii="Calibri" w:eastAsia="Times New Roman" w:hAnsi="Calibri" w:cs="Calibri"/>
                <w:bCs w:val="0"/>
                <w:sz w:val="20"/>
                <w:szCs w:val="20"/>
                <w:lang w:val="en-US"/>
              </w:rPr>
              <w:t>Category Cut Point</w:t>
            </w:r>
            <w:r w:rsidRPr="003804D8">
              <w:rPr>
                <w:rFonts w:ascii="Calibri" w:eastAsia="Times New Roman" w:hAnsi="Calibri" w:cs="Calibri"/>
                <w:sz w:val="20"/>
                <w:szCs w:val="20"/>
                <w:lang w:val="en-US"/>
              </w:rPr>
              <w:t xml:space="preserve"> Low</w:t>
            </w:r>
          </w:p>
        </w:tc>
        <w:tc>
          <w:tcPr>
            <w:cnfStyle w:val="000010000000" w:firstRow="0" w:lastRow="0" w:firstColumn="0" w:lastColumn="0" w:oddVBand="1" w:evenVBand="0" w:oddHBand="0" w:evenHBand="0" w:firstRowFirstColumn="0" w:firstRowLastColumn="0" w:lastRowFirstColumn="0" w:lastRowLastColumn="0"/>
            <w:tcW w:w="1559" w:type="dxa"/>
          </w:tcPr>
          <w:p w:rsidR="00D01978" w:rsidRPr="003804D8" w:rsidRDefault="00D01978" w:rsidP="00D01978">
            <w:pPr>
              <w:spacing w:after="0"/>
              <w:jc w:val="center"/>
              <w:rPr>
                <w:rFonts w:ascii="Calibri" w:eastAsia="Times New Roman" w:hAnsi="Calibri" w:cs="Calibri"/>
                <w:bCs w:val="0"/>
                <w:sz w:val="20"/>
                <w:szCs w:val="20"/>
                <w:lang w:val="en-US"/>
              </w:rPr>
            </w:pPr>
            <w:r w:rsidRPr="003804D8">
              <w:rPr>
                <w:rFonts w:ascii="Calibri" w:eastAsia="Times New Roman" w:hAnsi="Calibri" w:cs="Calibri"/>
                <w:bCs w:val="0"/>
                <w:sz w:val="20"/>
                <w:szCs w:val="20"/>
                <w:lang w:val="en-US"/>
              </w:rPr>
              <w:t>Category Cut Point</w:t>
            </w:r>
            <w:r w:rsidRPr="003804D8">
              <w:rPr>
                <w:rFonts w:ascii="Calibri" w:eastAsia="Times New Roman" w:hAnsi="Calibri" w:cs="Calibri"/>
                <w:sz w:val="20"/>
                <w:szCs w:val="20"/>
                <w:lang w:val="en-US"/>
              </w:rPr>
              <w:t xml:space="preserve"> High</w:t>
            </w:r>
          </w:p>
        </w:tc>
        <w:tc>
          <w:tcPr>
            <w:tcW w:w="1843" w:type="dxa"/>
            <w:noWrap/>
            <w:hideMark/>
          </w:tcPr>
          <w:p w:rsidR="00D01978" w:rsidRPr="003804D8" w:rsidRDefault="00D01978" w:rsidP="00D0197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val="en-US"/>
              </w:rPr>
            </w:pPr>
            <w:r w:rsidRPr="003804D8">
              <w:rPr>
                <w:rFonts w:ascii="Calibri" w:eastAsia="Times New Roman" w:hAnsi="Calibri" w:cs="Calibri"/>
                <w:bCs w:val="0"/>
                <w:sz w:val="20"/>
                <w:szCs w:val="20"/>
                <w:lang w:val="en-US"/>
              </w:rPr>
              <w:t>Average Current ACFI $ Subsidy</w:t>
            </w:r>
            <w:r w:rsidRPr="003804D8">
              <w:rPr>
                <w:rFonts w:ascii="Calibri" w:eastAsia="Times New Roman" w:hAnsi="Calibri" w:cs="Calibri"/>
                <w:bCs w:val="0"/>
                <w:sz w:val="20"/>
                <w:szCs w:val="20"/>
                <w:vertAlign w:val="superscript"/>
                <w:lang w:val="en-US"/>
              </w:rPr>
              <w:t>1</w:t>
            </w:r>
          </w:p>
        </w:tc>
        <w:tc>
          <w:tcPr>
            <w:cnfStyle w:val="000010000000" w:firstRow="0" w:lastRow="0" w:firstColumn="0" w:lastColumn="0" w:oddVBand="1" w:evenVBand="0" w:oddHBand="0" w:evenHBand="0" w:firstRowFirstColumn="0" w:firstRowLastColumn="0" w:lastRowFirstColumn="0" w:lastRowLastColumn="0"/>
            <w:tcW w:w="1890" w:type="dxa"/>
            <w:noWrap/>
            <w:hideMark/>
          </w:tcPr>
          <w:p w:rsidR="00D01978" w:rsidRPr="003804D8" w:rsidRDefault="00D01978" w:rsidP="00D01978">
            <w:pPr>
              <w:spacing w:after="0"/>
              <w:jc w:val="center"/>
              <w:rPr>
                <w:rFonts w:ascii="Calibri" w:eastAsia="Times New Roman" w:hAnsi="Calibri" w:cs="Calibri"/>
                <w:bCs w:val="0"/>
                <w:sz w:val="20"/>
                <w:szCs w:val="20"/>
                <w:lang w:val="en-US"/>
              </w:rPr>
            </w:pPr>
            <w:r w:rsidRPr="003804D8">
              <w:rPr>
                <w:rFonts w:ascii="Calibri" w:eastAsia="Times New Roman" w:hAnsi="Calibri" w:cs="Calibri"/>
                <w:bCs w:val="0"/>
                <w:sz w:val="20"/>
                <w:szCs w:val="20"/>
                <w:lang w:val="en-US"/>
              </w:rPr>
              <w:t>Average Proposed R-ACFI $ Subsidy</w:t>
            </w:r>
            <w:r w:rsidRPr="003804D8">
              <w:rPr>
                <w:rFonts w:ascii="Calibri" w:eastAsia="Times New Roman" w:hAnsi="Calibri" w:cs="Calibri"/>
                <w:bCs w:val="0"/>
                <w:sz w:val="20"/>
                <w:szCs w:val="20"/>
                <w:vertAlign w:val="superscript"/>
                <w:lang w:val="en-US"/>
              </w:rPr>
              <w:t>1</w:t>
            </w:r>
          </w:p>
        </w:tc>
      </w:tr>
      <w:tr w:rsidR="00256E3D" w:rsidRPr="003804D8" w:rsidTr="00380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bottom w:val="none" w:sz="0" w:space="0" w:color="auto"/>
              <w:right w:val="none" w:sz="0" w:space="0" w:color="auto"/>
            </w:tcBorders>
            <w:noWrap/>
            <w:vAlign w:val="bottom"/>
          </w:tcPr>
          <w:p w:rsidR="00256E3D" w:rsidRPr="003804D8" w:rsidRDefault="00256E3D" w:rsidP="00A51750">
            <w:pPr>
              <w:spacing w:after="0"/>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Base</w:t>
            </w:r>
            <w:r w:rsidRPr="003804D8">
              <w:rPr>
                <w:rFonts w:ascii="Calibri" w:eastAsia="Times New Roman" w:hAnsi="Calibri" w:cs="Calibri"/>
                <w:color w:val="000000"/>
                <w:sz w:val="20"/>
                <w:szCs w:val="20"/>
                <w:vertAlign w:val="superscript"/>
                <w:lang w:val="en-US"/>
              </w:rPr>
              <w:t>2</w:t>
            </w:r>
          </w:p>
        </w:tc>
        <w:tc>
          <w:tcPr>
            <w:cnfStyle w:val="000010000000" w:firstRow="0" w:lastRow="0" w:firstColumn="0" w:lastColumn="0" w:oddVBand="1" w:evenVBand="0" w:oddHBand="0" w:evenHBand="0" w:firstRowFirstColumn="0" w:firstRowLastColumn="0" w:lastRowFirstColumn="0" w:lastRowLastColumn="0"/>
            <w:tcW w:w="1279" w:type="dxa"/>
            <w:tcBorders>
              <w:top w:val="none" w:sz="0" w:space="0" w:color="auto"/>
              <w:left w:val="none" w:sz="0" w:space="0" w:color="auto"/>
              <w:bottom w:val="none" w:sz="0" w:space="0" w:color="auto"/>
              <w:right w:val="none" w:sz="0" w:space="0" w:color="auto"/>
            </w:tcBorders>
            <w:noWrap/>
            <w:vAlign w:val="bottom"/>
          </w:tcPr>
          <w:p w:rsidR="00256E3D" w:rsidRPr="003804D8" w:rsidRDefault="00256E3D" w:rsidP="00D01978">
            <w:pPr>
              <w:spacing w:after="0"/>
              <w:jc w:val="center"/>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17428</w:t>
            </w:r>
          </w:p>
        </w:tc>
        <w:tc>
          <w:tcPr>
            <w:tcW w:w="1556" w:type="dxa"/>
            <w:tcBorders>
              <w:top w:val="none" w:sz="0" w:space="0" w:color="auto"/>
              <w:bottom w:val="none" w:sz="0" w:space="0" w:color="auto"/>
            </w:tcBorders>
            <w:noWrap/>
            <w:vAlign w:val="bottom"/>
          </w:tcPr>
          <w:p w:rsidR="00256E3D" w:rsidRPr="003804D8" w:rsidRDefault="00256E3D" w:rsidP="00D0197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0.00</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bottom"/>
          </w:tcPr>
          <w:p w:rsidR="00256E3D" w:rsidRPr="003804D8" w:rsidRDefault="00256E3D" w:rsidP="00D01978">
            <w:pPr>
              <w:spacing w:after="0"/>
              <w:jc w:val="center"/>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16.92</w:t>
            </w:r>
          </w:p>
        </w:tc>
        <w:tc>
          <w:tcPr>
            <w:tcW w:w="1843" w:type="dxa"/>
            <w:tcBorders>
              <w:top w:val="none" w:sz="0" w:space="0" w:color="auto"/>
              <w:bottom w:val="none" w:sz="0" w:space="0" w:color="auto"/>
            </w:tcBorders>
            <w:noWrap/>
            <w:vAlign w:val="bottom"/>
          </w:tcPr>
          <w:p w:rsidR="00256E3D" w:rsidRPr="003804D8" w:rsidRDefault="00256E3D" w:rsidP="00D0197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$5.19</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noWrap/>
            <w:vAlign w:val="bottom"/>
          </w:tcPr>
          <w:p w:rsidR="00256E3D" w:rsidRPr="003804D8" w:rsidRDefault="00256E3D" w:rsidP="00D01978">
            <w:pPr>
              <w:spacing w:after="0"/>
              <w:jc w:val="center"/>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$0.00</w:t>
            </w:r>
          </w:p>
        </w:tc>
      </w:tr>
      <w:tr w:rsidR="00256E3D" w:rsidRPr="003804D8" w:rsidTr="003804D8">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noWrap/>
            <w:vAlign w:val="bottom"/>
          </w:tcPr>
          <w:p w:rsidR="00256E3D" w:rsidRPr="003804D8" w:rsidRDefault="00256E3D" w:rsidP="00A51750">
            <w:pPr>
              <w:spacing w:after="0"/>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Moderate</w:t>
            </w:r>
          </w:p>
        </w:tc>
        <w:tc>
          <w:tcPr>
            <w:cnfStyle w:val="000010000000" w:firstRow="0" w:lastRow="0" w:firstColumn="0" w:lastColumn="0" w:oddVBand="1" w:evenVBand="0" w:oddHBand="0" w:evenHBand="0" w:firstRowFirstColumn="0" w:firstRowLastColumn="0" w:lastRowFirstColumn="0" w:lastRowLastColumn="0"/>
            <w:tcW w:w="1279" w:type="dxa"/>
            <w:tcBorders>
              <w:left w:val="none" w:sz="0" w:space="0" w:color="auto"/>
              <w:right w:val="none" w:sz="0" w:space="0" w:color="auto"/>
            </w:tcBorders>
            <w:noWrap/>
            <w:vAlign w:val="bottom"/>
          </w:tcPr>
          <w:p w:rsidR="00256E3D" w:rsidRPr="003804D8" w:rsidRDefault="00256E3D" w:rsidP="00D01978">
            <w:pPr>
              <w:spacing w:after="0"/>
              <w:jc w:val="center"/>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51144</w:t>
            </w:r>
          </w:p>
        </w:tc>
        <w:tc>
          <w:tcPr>
            <w:tcW w:w="1556" w:type="dxa"/>
            <w:noWrap/>
            <w:vAlign w:val="bottom"/>
          </w:tcPr>
          <w:p w:rsidR="00256E3D" w:rsidRPr="003804D8" w:rsidRDefault="00256E3D" w:rsidP="00D0197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17.02</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bottom"/>
          </w:tcPr>
          <w:p w:rsidR="00256E3D" w:rsidRPr="003804D8" w:rsidRDefault="00256E3D" w:rsidP="00D01978">
            <w:pPr>
              <w:spacing w:after="0"/>
              <w:jc w:val="center"/>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51.51</w:t>
            </w:r>
          </w:p>
        </w:tc>
        <w:tc>
          <w:tcPr>
            <w:tcW w:w="1843" w:type="dxa"/>
            <w:noWrap/>
            <w:vAlign w:val="bottom"/>
          </w:tcPr>
          <w:p w:rsidR="00256E3D" w:rsidRPr="003804D8" w:rsidRDefault="00256E3D" w:rsidP="00D0197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$19.37</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noWrap/>
            <w:vAlign w:val="bottom"/>
          </w:tcPr>
          <w:p w:rsidR="00256E3D" w:rsidRPr="003804D8" w:rsidRDefault="00256E3D" w:rsidP="00D01978">
            <w:pPr>
              <w:spacing w:after="0"/>
              <w:jc w:val="center"/>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$17.51</w:t>
            </w:r>
          </w:p>
        </w:tc>
      </w:tr>
      <w:tr w:rsidR="00256E3D" w:rsidRPr="003804D8" w:rsidTr="00380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bottom w:val="none" w:sz="0" w:space="0" w:color="auto"/>
              <w:right w:val="none" w:sz="0" w:space="0" w:color="auto"/>
            </w:tcBorders>
            <w:noWrap/>
            <w:vAlign w:val="bottom"/>
          </w:tcPr>
          <w:p w:rsidR="00256E3D" w:rsidRPr="003804D8" w:rsidRDefault="00256E3D" w:rsidP="00A51750">
            <w:pPr>
              <w:spacing w:after="0"/>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High</w:t>
            </w:r>
          </w:p>
        </w:tc>
        <w:tc>
          <w:tcPr>
            <w:cnfStyle w:val="000010000000" w:firstRow="0" w:lastRow="0" w:firstColumn="0" w:lastColumn="0" w:oddVBand="1" w:evenVBand="0" w:oddHBand="0" w:evenHBand="0" w:firstRowFirstColumn="0" w:firstRowLastColumn="0" w:lastRowFirstColumn="0" w:lastRowLastColumn="0"/>
            <w:tcW w:w="1279" w:type="dxa"/>
            <w:tcBorders>
              <w:top w:val="none" w:sz="0" w:space="0" w:color="auto"/>
              <w:left w:val="none" w:sz="0" w:space="0" w:color="auto"/>
              <w:bottom w:val="none" w:sz="0" w:space="0" w:color="auto"/>
              <w:right w:val="none" w:sz="0" w:space="0" w:color="auto"/>
            </w:tcBorders>
            <w:noWrap/>
            <w:vAlign w:val="bottom"/>
          </w:tcPr>
          <w:p w:rsidR="00256E3D" w:rsidRPr="003804D8" w:rsidRDefault="00256E3D" w:rsidP="00D01978">
            <w:pPr>
              <w:spacing w:after="0"/>
              <w:jc w:val="center"/>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106788</w:t>
            </w:r>
          </w:p>
        </w:tc>
        <w:tc>
          <w:tcPr>
            <w:tcW w:w="1556" w:type="dxa"/>
            <w:tcBorders>
              <w:top w:val="none" w:sz="0" w:space="0" w:color="auto"/>
              <w:bottom w:val="none" w:sz="0" w:space="0" w:color="auto"/>
            </w:tcBorders>
            <w:noWrap/>
            <w:vAlign w:val="bottom"/>
          </w:tcPr>
          <w:p w:rsidR="00256E3D" w:rsidRPr="003804D8" w:rsidRDefault="00256E3D" w:rsidP="00D0197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51.60</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bottom"/>
          </w:tcPr>
          <w:p w:rsidR="00256E3D" w:rsidRPr="003804D8" w:rsidRDefault="00256E3D" w:rsidP="00D01978">
            <w:pPr>
              <w:spacing w:after="0"/>
              <w:jc w:val="center"/>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100.00</w:t>
            </w:r>
          </w:p>
        </w:tc>
        <w:tc>
          <w:tcPr>
            <w:tcW w:w="1843" w:type="dxa"/>
            <w:tcBorders>
              <w:top w:val="none" w:sz="0" w:space="0" w:color="auto"/>
              <w:bottom w:val="none" w:sz="0" w:space="0" w:color="auto"/>
            </w:tcBorders>
            <w:noWrap/>
            <w:vAlign w:val="bottom"/>
          </w:tcPr>
          <w:p w:rsidR="00256E3D" w:rsidRPr="003804D8" w:rsidRDefault="00256E3D" w:rsidP="00D0197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$34.89</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noWrap/>
            <w:vAlign w:val="bottom"/>
          </w:tcPr>
          <w:p w:rsidR="00256E3D" w:rsidRPr="003804D8" w:rsidRDefault="00256E3D" w:rsidP="00D01978">
            <w:pPr>
              <w:spacing w:after="0"/>
              <w:jc w:val="center"/>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$30.65</w:t>
            </w:r>
          </w:p>
        </w:tc>
      </w:tr>
      <w:tr w:rsidR="00256E3D" w:rsidRPr="003804D8" w:rsidTr="0042341A">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shd w:val="clear" w:color="auto" w:fill="auto"/>
            <w:noWrap/>
            <w:vAlign w:val="bottom"/>
          </w:tcPr>
          <w:p w:rsidR="00256E3D" w:rsidRPr="003804D8" w:rsidRDefault="00256E3D" w:rsidP="00A51750">
            <w:pPr>
              <w:spacing w:after="0"/>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Total</w:t>
            </w:r>
          </w:p>
        </w:tc>
        <w:tc>
          <w:tcPr>
            <w:cnfStyle w:val="000010000000" w:firstRow="0" w:lastRow="0" w:firstColumn="0" w:lastColumn="0" w:oddVBand="1" w:evenVBand="0" w:oddHBand="0" w:evenHBand="0" w:firstRowFirstColumn="0" w:firstRowLastColumn="0" w:lastRowFirstColumn="0" w:lastRowLastColumn="0"/>
            <w:tcW w:w="1279" w:type="dxa"/>
            <w:tcBorders>
              <w:left w:val="none" w:sz="0" w:space="0" w:color="auto"/>
              <w:right w:val="none" w:sz="0" w:space="0" w:color="auto"/>
            </w:tcBorders>
            <w:shd w:val="clear" w:color="auto" w:fill="auto"/>
            <w:noWrap/>
            <w:vAlign w:val="bottom"/>
          </w:tcPr>
          <w:p w:rsidR="00256E3D" w:rsidRPr="003804D8" w:rsidRDefault="00256E3D" w:rsidP="00D01978">
            <w:pPr>
              <w:spacing w:after="0"/>
              <w:jc w:val="center"/>
              <w:rPr>
                <w:rFonts w:ascii="Calibri" w:eastAsia="Times New Roman" w:hAnsi="Calibri" w:cs="Calibri"/>
                <w:color w:val="000000"/>
                <w:sz w:val="20"/>
                <w:szCs w:val="20"/>
                <w:lang w:val="en-US"/>
              </w:rPr>
            </w:pPr>
            <w:r w:rsidRPr="003804D8">
              <w:rPr>
                <w:rFonts w:ascii="Calibri" w:eastAsia="Times New Roman" w:hAnsi="Calibri" w:cs="Calibri"/>
                <w:b/>
                <w:bCs/>
                <w:color w:val="000000"/>
                <w:sz w:val="20"/>
                <w:szCs w:val="20"/>
                <w:lang w:val="en-US"/>
              </w:rPr>
              <w:t>175360</w:t>
            </w:r>
          </w:p>
        </w:tc>
        <w:tc>
          <w:tcPr>
            <w:tcW w:w="1556" w:type="dxa"/>
            <w:shd w:val="clear" w:color="auto" w:fill="auto"/>
            <w:noWrap/>
            <w:vAlign w:val="bottom"/>
          </w:tcPr>
          <w:p w:rsidR="00256E3D" w:rsidRPr="003804D8" w:rsidRDefault="003804D8" w:rsidP="00D0197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[not applicable]</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auto"/>
            <w:vAlign w:val="bottom"/>
          </w:tcPr>
          <w:p w:rsidR="00256E3D" w:rsidRPr="003804D8" w:rsidRDefault="003804D8" w:rsidP="00D01978">
            <w:pPr>
              <w:spacing w:after="0"/>
              <w:jc w:val="center"/>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[not applicable]</w:t>
            </w:r>
          </w:p>
        </w:tc>
        <w:tc>
          <w:tcPr>
            <w:tcW w:w="1843" w:type="dxa"/>
            <w:shd w:val="clear" w:color="auto" w:fill="auto"/>
            <w:noWrap/>
            <w:vAlign w:val="bottom"/>
          </w:tcPr>
          <w:p w:rsidR="00256E3D" w:rsidRPr="003804D8" w:rsidRDefault="00256E3D" w:rsidP="00D0197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w:t>
            </w:r>
            <w:r w:rsidRPr="003804D8">
              <w:rPr>
                <w:rFonts w:ascii="Calibri" w:eastAsia="Times New Roman" w:hAnsi="Calibri" w:cs="Calibri"/>
                <w:b/>
                <w:bCs/>
                <w:color w:val="000000"/>
                <w:sz w:val="20"/>
                <w:szCs w:val="20"/>
                <w:lang w:val="en-US"/>
              </w:rPr>
              <w:t>27.41</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shd w:val="clear" w:color="auto" w:fill="auto"/>
            <w:noWrap/>
            <w:vAlign w:val="bottom"/>
          </w:tcPr>
          <w:p w:rsidR="00256E3D" w:rsidRPr="003804D8" w:rsidRDefault="00256E3D" w:rsidP="00D01978">
            <w:pPr>
              <w:spacing w:after="0"/>
              <w:jc w:val="center"/>
              <w:rPr>
                <w:rFonts w:ascii="Calibri" w:eastAsia="Times New Roman" w:hAnsi="Calibri" w:cs="Calibri"/>
                <w:color w:val="000000"/>
                <w:sz w:val="20"/>
                <w:szCs w:val="20"/>
                <w:lang w:val="en-US"/>
              </w:rPr>
            </w:pPr>
            <w:r w:rsidRPr="003804D8">
              <w:rPr>
                <w:rFonts w:ascii="Calibri" w:eastAsia="Times New Roman" w:hAnsi="Calibri" w:cs="Calibri"/>
                <w:color w:val="000000"/>
                <w:sz w:val="20"/>
                <w:szCs w:val="20"/>
                <w:lang w:val="en-US"/>
              </w:rPr>
              <w:t>$</w:t>
            </w:r>
            <w:r w:rsidRPr="003804D8">
              <w:rPr>
                <w:rFonts w:ascii="Calibri" w:eastAsia="Times New Roman" w:hAnsi="Calibri" w:cs="Calibri"/>
                <w:b/>
                <w:bCs/>
                <w:color w:val="000000"/>
                <w:sz w:val="20"/>
                <w:szCs w:val="20"/>
                <w:lang w:val="en-US"/>
              </w:rPr>
              <w:t>23.77</w:t>
            </w:r>
          </w:p>
        </w:tc>
      </w:tr>
    </w:tbl>
    <w:p w:rsidR="00980F62" w:rsidRDefault="00256E3D" w:rsidP="004A181C">
      <w:pPr>
        <w:pStyle w:val="BodyText"/>
        <w:spacing w:before="0" w:after="240"/>
        <w:rPr>
          <w:rFonts w:asciiTheme="minorHAnsi" w:hAnsiTheme="minorHAnsi" w:cs="Tahoma"/>
          <w:sz w:val="18"/>
          <w:szCs w:val="18"/>
        </w:rPr>
      </w:pPr>
      <w:r w:rsidRPr="006F22F3">
        <w:rPr>
          <w:rFonts w:asciiTheme="minorHAnsi" w:hAnsiTheme="minorHAnsi" w:cstheme="minorHAnsi"/>
          <w:sz w:val="18"/>
          <w:szCs w:val="18"/>
          <w:vertAlign w:val="superscript"/>
        </w:rPr>
        <w:t>1</w:t>
      </w:r>
      <w:r>
        <w:rPr>
          <w:rFonts w:asciiTheme="minorHAnsi" w:hAnsiTheme="minorHAnsi" w:cstheme="minorHAnsi"/>
          <w:sz w:val="18"/>
          <w:szCs w:val="18"/>
          <w:vertAlign w:val="superscript"/>
        </w:rPr>
        <w:t xml:space="preserve"> </w:t>
      </w:r>
      <w:r w:rsidRPr="006F22F3">
        <w:rPr>
          <w:rFonts w:asciiTheme="minorHAnsi" w:hAnsiTheme="minorHAnsi" w:cstheme="minorHAnsi"/>
          <w:sz w:val="18"/>
          <w:szCs w:val="18"/>
        </w:rPr>
        <w:t xml:space="preserve">1 July 2016 rates </w:t>
      </w:r>
      <w:r w:rsidRPr="006F22F3">
        <w:rPr>
          <w:rFonts w:asciiTheme="minorHAnsi" w:hAnsiTheme="minorHAnsi" w:cs="Tahoma"/>
          <w:b/>
          <w:sz w:val="18"/>
          <w:szCs w:val="18"/>
          <w:vertAlign w:val="superscript"/>
        </w:rPr>
        <w:t>2</w:t>
      </w:r>
      <w:r>
        <w:rPr>
          <w:rFonts w:asciiTheme="minorHAnsi" w:hAnsiTheme="minorHAnsi" w:cs="Tahoma"/>
          <w:b/>
          <w:sz w:val="18"/>
          <w:szCs w:val="18"/>
          <w:vertAlign w:val="superscript"/>
        </w:rPr>
        <w:t xml:space="preserve"> </w:t>
      </w:r>
      <w:r w:rsidRPr="006F22F3">
        <w:rPr>
          <w:rFonts w:asciiTheme="minorHAnsi" w:hAnsiTheme="minorHAnsi" w:cs="Tahoma"/>
          <w:sz w:val="18"/>
          <w:szCs w:val="18"/>
        </w:rPr>
        <w:t>Base</w:t>
      </w:r>
      <w:r>
        <w:rPr>
          <w:rFonts w:asciiTheme="minorHAnsi" w:hAnsiTheme="minorHAnsi" w:cs="Tahoma"/>
          <w:sz w:val="18"/>
          <w:szCs w:val="18"/>
        </w:rPr>
        <w:t xml:space="preserve">: note that </w:t>
      </w:r>
      <w:r w:rsidRPr="006F22F3">
        <w:rPr>
          <w:rFonts w:asciiTheme="minorHAnsi" w:hAnsiTheme="minorHAnsi" w:cs="Tahoma"/>
          <w:sz w:val="18"/>
          <w:szCs w:val="18"/>
        </w:rPr>
        <w:t>all assessed care needs must be provided as per Specialised Care &amp; Services &amp; Quality of Care Principles</w:t>
      </w:r>
    </w:p>
    <w:p w:rsidR="00043DB4" w:rsidRDefault="009F643E" w:rsidP="00043DB4">
      <w:pPr>
        <w:pStyle w:val="Caption"/>
        <w:keepNext/>
      </w:pPr>
      <w:bookmarkStart w:id="586" w:name="_Toc495416381"/>
      <w:bookmarkStart w:id="587" w:name="Tab0814"/>
      <w:r>
        <w:t>Table 8.</w:t>
      </w:r>
      <w:r w:rsidR="009A3F5A">
        <w:fldChar w:fldCharType="begin"/>
      </w:r>
      <w:r w:rsidR="009A3F5A">
        <w:instrText xml:space="preserve"> SEQ Table_8. \* ARABIC </w:instrText>
      </w:r>
      <w:r w:rsidR="009A3F5A">
        <w:fldChar w:fldCharType="separate"/>
      </w:r>
      <w:r w:rsidR="00856E49">
        <w:rPr>
          <w:noProof/>
        </w:rPr>
        <w:t>14</w:t>
      </w:r>
      <w:r w:rsidR="009A3F5A">
        <w:rPr>
          <w:noProof/>
        </w:rPr>
        <w:fldChar w:fldCharType="end"/>
      </w:r>
      <w:r>
        <w:t xml:space="preserve">: </w:t>
      </w:r>
      <w:r w:rsidRPr="009F643E">
        <w:t>R-ACFI Behaviour Domain Payment Groups Compared with the Current ACFI</w:t>
      </w:r>
      <w:bookmarkEnd w:id="586"/>
    </w:p>
    <w:tbl>
      <w:tblPr>
        <w:tblStyle w:val="ListTable3-Accent515"/>
        <w:tblW w:w="9175"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8.14 is a list of funding details for the funding groups (50 funding bands) of the behaviour domain, with comparison between the current aged care funding instrument (ACFI) and the revised aged care funding instrument (R-ACFI). This table is to be read left to right, top to bottom."/>
      </w:tblPr>
      <w:tblGrid>
        <w:gridCol w:w="1075"/>
        <w:gridCol w:w="1080"/>
        <w:gridCol w:w="2430"/>
        <w:gridCol w:w="2340"/>
        <w:gridCol w:w="2250"/>
      </w:tblGrid>
      <w:tr w:rsidR="003804D8" w:rsidRPr="00AC0E0E" w:rsidTr="003804D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75" w:type="dxa"/>
            <w:noWrap/>
            <w:hideMark/>
          </w:tcPr>
          <w:bookmarkEnd w:id="587"/>
          <w:p w:rsidR="003804D8" w:rsidRPr="00AC0E0E" w:rsidRDefault="003804D8" w:rsidP="004729AD">
            <w:pPr>
              <w:spacing w:after="0"/>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Funding Bands</w:t>
            </w:r>
            <w:r w:rsidRPr="00AC0E0E">
              <w:rPr>
                <w:rFonts w:ascii="Calibri" w:eastAsia="Times New Roman" w:hAnsi="Calibri" w:cs="Times New Roman"/>
                <w:sz w:val="19"/>
                <w:szCs w:val="19"/>
                <w:vertAlign w:val="superscript"/>
                <w:lang w:val="en-US"/>
              </w:rPr>
              <w:t>1</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3804D8" w:rsidRPr="00AC0E0E" w:rsidRDefault="003804D8" w:rsidP="004729AD">
            <w:pPr>
              <w:spacing w:after="0"/>
              <w:jc w:val="center"/>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Number in Bands</w:t>
            </w:r>
          </w:p>
        </w:tc>
        <w:tc>
          <w:tcPr>
            <w:tcW w:w="2430" w:type="dxa"/>
            <w:noWrap/>
            <w:hideMark/>
          </w:tcPr>
          <w:p w:rsidR="003804D8" w:rsidRPr="00AC0E0E" w:rsidRDefault="003804D8" w:rsidP="004729AD">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19"/>
                <w:szCs w:val="19"/>
                <w:lang w:val="en-US"/>
              </w:rPr>
            </w:pPr>
            <w:r w:rsidRPr="00AC0E0E">
              <w:rPr>
                <w:rFonts w:ascii="Calibri" w:eastAsia="Times New Roman" w:hAnsi="Calibri" w:cs="Times New Roman"/>
                <w:sz w:val="19"/>
                <w:szCs w:val="19"/>
                <w:lang w:val="en-US"/>
              </w:rPr>
              <w:t>Average funding in band</w:t>
            </w:r>
          </w:p>
          <w:p w:rsidR="003804D8" w:rsidRPr="00AC0E0E" w:rsidRDefault="003804D8" w:rsidP="004729AD">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9"/>
                <w:szCs w:val="19"/>
                <w:lang w:val="en-US"/>
              </w:rPr>
            </w:pPr>
            <w:r w:rsidRPr="00AC0E0E">
              <w:rPr>
                <w:rFonts w:ascii="Calibri" w:eastAsia="Times New Roman" w:hAnsi="Calibri" w:cs="Times New Roman"/>
                <w:b w:val="0"/>
                <w:sz w:val="19"/>
                <w:szCs w:val="19"/>
                <w:lang w:val="en-US"/>
              </w:rPr>
              <w:t>(</w:t>
            </w:r>
            <w:r>
              <w:rPr>
                <w:rFonts w:ascii="Calibri" w:eastAsia="Times New Roman" w:hAnsi="Calibri" w:cs="Times New Roman"/>
                <w:b w:val="0"/>
                <w:sz w:val="19"/>
                <w:szCs w:val="19"/>
                <w:lang w:val="en-US"/>
              </w:rPr>
              <w:t xml:space="preserve">Current </w:t>
            </w:r>
            <w:r w:rsidRPr="00AC0E0E">
              <w:rPr>
                <w:rFonts w:ascii="Calibri" w:eastAsia="Times New Roman" w:hAnsi="Calibri" w:cs="Times New Roman"/>
                <w:sz w:val="19"/>
                <w:szCs w:val="19"/>
                <w:lang w:val="en-US"/>
              </w:rPr>
              <w:t>ACFI Subsidy</w:t>
            </w:r>
            <w:r w:rsidRPr="00AC0E0E">
              <w:rPr>
                <w:rFonts w:ascii="Calibri" w:eastAsia="Times New Roman" w:hAnsi="Calibri" w:cs="Times New Roman"/>
                <w:b w:val="0"/>
                <w:sz w:val="19"/>
                <w:szCs w:val="19"/>
                <w:lang w:val="en-US"/>
              </w:rPr>
              <w:t>)</w:t>
            </w:r>
          </w:p>
        </w:tc>
        <w:tc>
          <w:tcPr>
            <w:cnfStyle w:val="000010000000" w:firstRow="0" w:lastRow="0" w:firstColumn="0" w:lastColumn="0" w:oddVBand="1" w:evenVBand="0" w:oddHBand="0" w:evenHBand="0" w:firstRowFirstColumn="0" w:firstRowLastColumn="0" w:lastRowFirstColumn="0" w:lastRowLastColumn="0"/>
            <w:tcW w:w="2340" w:type="dxa"/>
          </w:tcPr>
          <w:p w:rsidR="003804D8" w:rsidRPr="00AC0E0E" w:rsidRDefault="003804D8" w:rsidP="004729AD">
            <w:pPr>
              <w:spacing w:after="0"/>
              <w:jc w:val="center"/>
              <w:rPr>
                <w:rFonts w:ascii="Calibri" w:eastAsia="Times New Roman" w:hAnsi="Calibri" w:cs="Times New Roman"/>
                <w:b w:val="0"/>
                <w:sz w:val="19"/>
                <w:szCs w:val="19"/>
                <w:lang w:val="en-US"/>
              </w:rPr>
            </w:pPr>
            <w:r w:rsidRPr="00AC0E0E">
              <w:rPr>
                <w:rFonts w:ascii="Calibri" w:eastAsia="Times New Roman" w:hAnsi="Calibri" w:cs="Times New Roman"/>
                <w:sz w:val="19"/>
                <w:szCs w:val="19"/>
                <w:lang w:val="en-US"/>
              </w:rPr>
              <w:t>Average funding in band</w:t>
            </w:r>
          </w:p>
          <w:p w:rsidR="003804D8" w:rsidRPr="00AC0E0E" w:rsidRDefault="003804D8" w:rsidP="003804D8">
            <w:pPr>
              <w:spacing w:after="0"/>
              <w:jc w:val="center"/>
              <w:rPr>
                <w:rFonts w:ascii="Calibri" w:eastAsia="Times New Roman" w:hAnsi="Calibri" w:cs="Times New Roman"/>
                <w:bCs w:val="0"/>
                <w:sz w:val="19"/>
                <w:szCs w:val="19"/>
                <w:lang w:val="en-US"/>
              </w:rPr>
            </w:pPr>
            <w:r w:rsidRPr="00AC0E0E">
              <w:rPr>
                <w:rFonts w:ascii="Calibri" w:eastAsia="Times New Roman" w:hAnsi="Calibri" w:cs="Times New Roman"/>
                <w:b w:val="0"/>
                <w:sz w:val="19"/>
                <w:szCs w:val="19"/>
                <w:lang w:val="en-US"/>
              </w:rPr>
              <w:t>(</w:t>
            </w:r>
            <w:r>
              <w:rPr>
                <w:rFonts w:ascii="Calibri" w:eastAsia="Times New Roman" w:hAnsi="Calibri" w:cs="Times New Roman"/>
                <w:b w:val="0"/>
                <w:sz w:val="19"/>
                <w:szCs w:val="19"/>
                <w:lang w:val="en-US"/>
              </w:rPr>
              <w:t xml:space="preserve">Current </w:t>
            </w:r>
            <w:r w:rsidRPr="00AC0E0E">
              <w:rPr>
                <w:rFonts w:ascii="Calibri" w:eastAsia="Times New Roman" w:hAnsi="Calibri" w:cs="Times New Roman"/>
                <w:sz w:val="19"/>
                <w:szCs w:val="19"/>
                <w:lang w:val="en-US"/>
              </w:rPr>
              <w:t xml:space="preserve">ACFI </w:t>
            </w:r>
            <w:r>
              <w:rPr>
                <w:rFonts w:ascii="Calibri" w:eastAsia="Times New Roman" w:hAnsi="Calibri" w:cs="Times New Roman"/>
                <w:sz w:val="19"/>
                <w:szCs w:val="19"/>
                <w:lang w:val="en-US"/>
              </w:rPr>
              <w:t>Re-Scale</w:t>
            </w:r>
            <w:r w:rsidRPr="00AC0E0E">
              <w:rPr>
                <w:rFonts w:ascii="Calibri" w:eastAsia="Times New Roman" w:hAnsi="Calibri" w:cs="Times New Roman"/>
                <w:b w:val="0"/>
                <w:sz w:val="19"/>
                <w:szCs w:val="19"/>
                <w:lang w:val="en-US"/>
              </w:rPr>
              <w:t>)</w:t>
            </w:r>
          </w:p>
        </w:tc>
        <w:tc>
          <w:tcPr>
            <w:tcW w:w="2250" w:type="dxa"/>
          </w:tcPr>
          <w:p w:rsidR="003804D8" w:rsidRDefault="003804D8" w:rsidP="003804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AC0E0E">
              <w:rPr>
                <w:rFonts w:ascii="Calibri" w:eastAsia="Times New Roman" w:hAnsi="Calibri" w:cs="Times New Roman"/>
                <w:sz w:val="19"/>
                <w:szCs w:val="19"/>
                <w:lang w:val="en-US"/>
              </w:rPr>
              <w:t>Average funding in band</w:t>
            </w:r>
          </w:p>
          <w:p w:rsidR="003804D8" w:rsidRPr="00AC0E0E" w:rsidRDefault="003804D8" w:rsidP="003804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AC0E0E">
              <w:rPr>
                <w:rFonts w:ascii="Calibri" w:eastAsia="Times New Roman" w:hAnsi="Calibri" w:cs="Times New Roman"/>
                <w:b w:val="0"/>
                <w:sz w:val="19"/>
                <w:szCs w:val="19"/>
                <w:lang w:val="en-US"/>
              </w:rPr>
              <w:t>(</w:t>
            </w:r>
            <w:r w:rsidRPr="00AC0E0E">
              <w:rPr>
                <w:rFonts w:ascii="Calibri" w:eastAsia="Times New Roman" w:hAnsi="Calibri" w:cs="Times New Roman"/>
                <w:sz w:val="19"/>
                <w:szCs w:val="19"/>
                <w:lang w:val="en-US"/>
              </w:rPr>
              <w:t>R-ACFI Subsidy</w:t>
            </w:r>
            <w:r w:rsidRPr="00AC0E0E">
              <w:rPr>
                <w:rFonts w:ascii="Calibri" w:eastAsia="Times New Roman" w:hAnsi="Calibri" w:cs="Times New Roman"/>
                <w:b w:val="0"/>
                <w:sz w:val="19"/>
                <w:szCs w:val="19"/>
                <w:lang w:val="en-US"/>
              </w:rPr>
              <w:t>)</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0.00</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0.00</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0.00</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2</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0.00</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0.00</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0.00</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6.65</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5.76</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0.00</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4</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8.37</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7.26</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0.00</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5</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11.03</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9.56</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0.53</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6</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3508</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8.37</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7.26</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17.51</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7</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8.37</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7.26</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17.51</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8</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8.37</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7.26</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17.51</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9</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17.15</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14.87</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17.51</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10</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17.36</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15.05</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17.51</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11</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3508</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17.36</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15.05</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17.51</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12</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17.36</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15.05</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17.51</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13</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17.36</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15.05</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17.51</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14</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17.36</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15.05</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17.51</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15</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17.36</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15.05</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17.51</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16</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3508</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17.36</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15.05</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17.51</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26.12</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22.65</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17.51</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18</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17.51</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19</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17.51</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20</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27.75</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24.07</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23.40</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21</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3508</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17.36</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15.05</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22</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23.93</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20.75</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23</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24</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25</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26</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3508</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27</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28</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29</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3508</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32</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33</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34</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3508</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37</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38</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39</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40</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41</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3508</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42</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43</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44</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shd w:val="clear" w:color="auto" w:fill="auto"/>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45</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shd w:val="clear" w:color="auto" w:fill="auto"/>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shd w:val="clear" w:color="auto" w:fill="auto"/>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shd w:val="clear" w:color="auto" w:fill="auto"/>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shd w:val="clear" w:color="auto" w:fill="auto"/>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46</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3508</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47</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48</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49</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3507</w:t>
            </w:r>
          </w:p>
        </w:tc>
        <w:tc>
          <w:tcPr>
            <w:tcW w:w="243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3804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50</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3508</w:t>
            </w:r>
          </w:p>
        </w:tc>
        <w:tc>
          <w:tcPr>
            <w:tcW w:w="243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36.19</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31.38</w:t>
            </w:r>
          </w:p>
        </w:tc>
        <w:tc>
          <w:tcPr>
            <w:tcW w:w="2250" w:type="dxa"/>
            <w:noWrap/>
            <w:hideMark/>
          </w:tcPr>
          <w:p w:rsidR="003804D8" w:rsidRPr="008220FA" w:rsidRDefault="003804D8" w:rsidP="00A5175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30.65</w:t>
            </w:r>
          </w:p>
        </w:tc>
      </w:tr>
      <w:tr w:rsidR="003804D8" w:rsidRPr="00832A22" w:rsidTr="0042341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shd w:val="clear" w:color="auto" w:fill="auto"/>
            <w:noWrap/>
            <w:hideMark/>
          </w:tcPr>
          <w:p w:rsidR="003804D8" w:rsidRPr="008220FA" w:rsidRDefault="003804D8" w:rsidP="00A51750">
            <w:pPr>
              <w:spacing w:after="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Total</w:t>
            </w:r>
          </w:p>
        </w:tc>
        <w:tc>
          <w:tcPr>
            <w:cnfStyle w:val="000010000000" w:firstRow="0" w:lastRow="0" w:firstColumn="0" w:lastColumn="0" w:oddVBand="1" w:evenVBand="0" w:oddHBand="0" w:evenHBand="0" w:firstRowFirstColumn="0" w:firstRowLastColumn="0" w:lastRowFirstColumn="0" w:lastRowLastColumn="0"/>
            <w:tcW w:w="1080" w:type="dxa"/>
            <w:tcBorders>
              <w:left w:val="none" w:sz="0" w:space="0" w:color="auto"/>
              <w:right w:val="none" w:sz="0" w:space="0" w:color="auto"/>
            </w:tcBorders>
            <w:shd w:val="clear" w:color="auto" w:fill="auto"/>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175360</w:t>
            </w:r>
          </w:p>
        </w:tc>
        <w:tc>
          <w:tcPr>
            <w:tcW w:w="2430" w:type="dxa"/>
            <w:shd w:val="clear" w:color="auto" w:fill="auto"/>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27.41</w:t>
            </w:r>
          </w:p>
        </w:tc>
        <w:tc>
          <w:tcPr>
            <w:cnfStyle w:val="000010000000" w:firstRow="0" w:lastRow="0" w:firstColumn="0" w:lastColumn="0" w:oddVBand="1" w:evenVBand="0" w:oddHBand="0" w:evenHBand="0" w:firstRowFirstColumn="0" w:firstRowLastColumn="0" w:lastRowFirstColumn="0" w:lastRowLastColumn="0"/>
            <w:tcW w:w="2340" w:type="dxa"/>
            <w:tcBorders>
              <w:left w:val="none" w:sz="0" w:space="0" w:color="auto"/>
              <w:right w:val="none" w:sz="0" w:space="0" w:color="auto"/>
            </w:tcBorders>
            <w:shd w:val="clear" w:color="auto" w:fill="auto"/>
            <w:noWrap/>
            <w:hideMark/>
          </w:tcPr>
          <w:p w:rsidR="003804D8" w:rsidRPr="008220FA" w:rsidRDefault="003804D8" w:rsidP="00A51750">
            <w:pPr>
              <w:spacing w:after="0"/>
              <w:jc w:val="right"/>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23.77</w:t>
            </w:r>
          </w:p>
        </w:tc>
        <w:tc>
          <w:tcPr>
            <w:tcW w:w="2250" w:type="dxa"/>
            <w:shd w:val="clear" w:color="auto" w:fill="auto"/>
            <w:noWrap/>
            <w:hideMark/>
          </w:tcPr>
          <w:p w:rsidR="003804D8" w:rsidRPr="008220FA" w:rsidRDefault="003804D8" w:rsidP="00A517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lang w:val="en-US"/>
              </w:rPr>
            </w:pPr>
            <w:r w:rsidRPr="008220FA">
              <w:rPr>
                <w:rFonts w:ascii="Calibri" w:eastAsia="Times New Roman" w:hAnsi="Calibri" w:cs="Times New Roman"/>
                <w:sz w:val="18"/>
                <w:szCs w:val="18"/>
                <w:lang w:val="en-US"/>
              </w:rPr>
              <w:t>23.77</w:t>
            </w:r>
          </w:p>
        </w:tc>
      </w:tr>
    </w:tbl>
    <w:p w:rsidR="003804D8" w:rsidRDefault="00256E3D" w:rsidP="00A830AA">
      <w:pPr>
        <w:spacing w:after="240"/>
        <w:rPr>
          <w:sz w:val="18"/>
          <w:szCs w:val="18"/>
          <w:lang w:eastAsia="en-AU"/>
        </w:rPr>
      </w:pPr>
      <w:r w:rsidRPr="004B10A8">
        <w:rPr>
          <w:rFonts w:eastAsia="Times New Roman"/>
          <w:sz w:val="18"/>
          <w:szCs w:val="18"/>
          <w:vertAlign w:val="superscript"/>
          <w:lang w:val="en-US"/>
        </w:rPr>
        <w:t>1</w:t>
      </w:r>
      <w:r w:rsidRPr="004B10A8">
        <w:rPr>
          <w:rFonts w:eastAsia="Times New Roman"/>
          <w:sz w:val="18"/>
          <w:szCs w:val="18"/>
          <w:lang w:val="en-US"/>
        </w:rPr>
        <w:t>Funding Bands: T</w:t>
      </w:r>
      <w:r w:rsidRPr="004B10A8">
        <w:rPr>
          <w:sz w:val="18"/>
          <w:szCs w:val="18"/>
          <w:lang w:eastAsia="en-AU"/>
        </w:rPr>
        <w:t>he R-ACFI funding was sorted into increasing levels and grouped into 50 bands of approximately 3,500 records.</w:t>
      </w:r>
      <w:r w:rsidR="007A576E">
        <w:rPr>
          <w:sz w:val="18"/>
          <w:szCs w:val="18"/>
          <w:lang w:eastAsia="en-AU"/>
        </w:rPr>
        <w:t xml:space="preserve"> </w:t>
      </w:r>
      <w:r w:rsidRPr="004B10A8">
        <w:rPr>
          <w:sz w:val="18"/>
          <w:szCs w:val="18"/>
          <w:lang w:eastAsia="en-AU"/>
        </w:rPr>
        <w:t>The average R-ACFI and ACFI funding within these bands was then calculated.</w:t>
      </w:r>
    </w:p>
    <w:p w:rsidR="00256E3D" w:rsidRPr="001A4797" w:rsidRDefault="00256E3D" w:rsidP="001A4797">
      <w:pPr>
        <w:pStyle w:val="Heading4-Chapter841"/>
      </w:pPr>
      <w:r w:rsidRPr="001A4797">
        <w:lastRenderedPageBreak/>
        <w:t>Behaviour Charts</w:t>
      </w:r>
    </w:p>
    <w:p w:rsidR="00256E3D" w:rsidRDefault="00256E3D" w:rsidP="00E00E7A">
      <w:pPr>
        <w:spacing w:after="0"/>
        <w:rPr>
          <w:color w:val="000000" w:themeColor="text1"/>
        </w:rPr>
      </w:pPr>
      <w:r w:rsidRPr="0097450F">
        <w:rPr>
          <w:color w:val="000000" w:themeColor="text1"/>
        </w:rPr>
        <w:t>Figure</w:t>
      </w:r>
      <w:r>
        <w:rPr>
          <w:color w:val="000000" w:themeColor="text1"/>
        </w:rPr>
        <w:t xml:space="preserve">s 8.6 and 8.7 </w:t>
      </w:r>
      <w:r w:rsidR="00751CD3">
        <w:rPr>
          <w:color w:val="000000" w:themeColor="text1"/>
        </w:rPr>
        <w:t>show</w:t>
      </w:r>
      <w:r>
        <w:rPr>
          <w:color w:val="000000" w:themeColor="text1"/>
        </w:rPr>
        <w:t xml:space="preserve"> the distribution of the data presented in </w:t>
      </w:r>
      <w:hyperlink w:anchor="Tab0814" w:history="1">
        <w:r w:rsidRPr="00443D36">
          <w:rPr>
            <w:rStyle w:val="Hyperlink"/>
          </w:rPr>
          <w:t>Table 8.14</w:t>
        </w:r>
      </w:hyperlink>
      <w:r>
        <w:rPr>
          <w:color w:val="000000" w:themeColor="text1"/>
        </w:rPr>
        <w:t xml:space="preserve"> of the R-ACFI and ACFI </w:t>
      </w:r>
      <w:r w:rsidR="00751CD3">
        <w:rPr>
          <w:color w:val="000000" w:themeColor="text1"/>
        </w:rPr>
        <w:t xml:space="preserve">BEH </w:t>
      </w:r>
      <w:r>
        <w:rPr>
          <w:color w:val="000000" w:themeColor="text1"/>
        </w:rPr>
        <w:t xml:space="preserve">domain funding bands. As the funding bands have large numbers of cases to simplify the chart, fluctuations in the averages will be present in lines. </w:t>
      </w:r>
      <w:hyperlink w:anchor="Fig0806" w:history="1">
        <w:r w:rsidRPr="00BA046B">
          <w:rPr>
            <w:rStyle w:val="Hyperlink"/>
          </w:rPr>
          <w:t>Figure 8.6</w:t>
        </w:r>
      </w:hyperlink>
      <w:r>
        <w:rPr>
          <w:color w:val="000000" w:themeColor="text1"/>
        </w:rPr>
        <w:t xml:space="preserve"> shows the impact of the removal of the $3.65 from the Depression question and the two-level funding. The current data shows that a two-level funding option is appropriate although more recent data may be needed to confirm this approach.</w:t>
      </w:r>
    </w:p>
    <w:p w:rsidR="00E3084A" w:rsidRDefault="009F643E" w:rsidP="009F643E">
      <w:pPr>
        <w:pStyle w:val="Caption"/>
        <w:keepNext/>
        <w:spacing w:before="180"/>
      </w:pPr>
      <w:bookmarkStart w:id="588" w:name="_Toc495416553"/>
      <w:r>
        <w:t>Figure 8.</w:t>
      </w:r>
      <w:r w:rsidR="009A3F5A">
        <w:fldChar w:fldCharType="begin"/>
      </w:r>
      <w:r w:rsidR="009A3F5A">
        <w:instrText xml:space="preserve"> SEQ Figure_8. \* ARABIC </w:instrText>
      </w:r>
      <w:r w:rsidR="009A3F5A">
        <w:fldChar w:fldCharType="separate"/>
      </w:r>
      <w:r w:rsidR="00856E49">
        <w:rPr>
          <w:noProof/>
        </w:rPr>
        <w:t>6</w:t>
      </w:r>
      <w:r w:rsidR="009A3F5A">
        <w:rPr>
          <w:noProof/>
        </w:rPr>
        <w:fldChar w:fldCharType="end"/>
      </w:r>
      <w:r>
        <w:t xml:space="preserve">: </w:t>
      </w:r>
      <w:r w:rsidRPr="009F643E">
        <w:t>R-ACFI BEH Funding Distribution Compared with the Current ACFI</w:t>
      </w:r>
      <w:bookmarkEnd w:id="588"/>
    </w:p>
    <w:p w:rsidR="00926C46" w:rsidRDefault="00926C46" w:rsidP="005A195F">
      <w:pPr>
        <w:rPr>
          <w:rFonts w:cstheme="minorHAnsi"/>
          <w:lang w:eastAsia="en-AU"/>
        </w:rPr>
      </w:pPr>
      <w:r>
        <w:rPr>
          <w:rFonts w:cstheme="minorHAnsi"/>
          <w:noProof/>
          <w:lang w:eastAsia="en-AU"/>
        </w:rPr>
        <w:drawing>
          <wp:inline distT="0" distB="0" distL="0" distR="0" wp14:anchorId="7FF71464" wp14:editId="44D6422E">
            <wp:extent cx="5681980" cy="2847340"/>
            <wp:effectExtent l="0" t="0" r="0" b="0"/>
            <wp:docPr id="157" name="Picture 157" descr="Figure 8.6 is a line diagram illustrating the comparison of funding distribution for the behaviour domain between the current aged care funding instrument (ACFI) and the revised aged care funding instrument (R-ACFI), as compared in Table 8.14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81980" cy="2847340"/>
                    </a:xfrm>
                    <a:prstGeom prst="rect">
                      <a:avLst/>
                    </a:prstGeom>
                    <a:noFill/>
                  </pic:spPr>
                </pic:pic>
              </a:graphicData>
            </a:graphic>
          </wp:inline>
        </w:drawing>
      </w:r>
    </w:p>
    <w:p w:rsidR="00A830AA" w:rsidRDefault="00473246" w:rsidP="004C0C6F">
      <w:pPr>
        <w:spacing w:before="200"/>
      </w:pPr>
      <w:hyperlink w:anchor="Fig0807" w:history="1">
        <w:r w:rsidR="00256E3D" w:rsidRPr="00411E89">
          <w:rPr>
            <w:rStyle w:val="Hyperlink"/>
          </w:rPr>
          <w:t>Figure 8.7</w:t>
        </w:r>
      </w:hyperlink>
      <w:r w:rsidR="00256E3D">
        <w:t xml:space="preserve"> shows the same comparison but uses re-scaled ACFI data which has been </w:t>
      </w:r>
      <w:r w:rsidR="00256E3D" w:rsidRPr="002C557C">
        <w:t xml:space="preserve">averaged to equal that of the proposed R-ACFI rates. </w:t>
      </w:r>
      <w:r w:rsidR="00256E3D">
        <w:t>This provides a clearer comparison (after removal of the $3.65) of the impact of the differences between the R-ACFI and ACFI distributions.</w:t>
      </w:r>
    </w:p>
    <w:p w:rsidR="00E3084A" w:rsidRDefault="009F643E" w:rsidP="009F643E">
      <w:pPr>
        <w:pStyle w:val="Caption"/>
        <w:keepNext/>
        <w:spacing w:before="160"/>
      </w:pPr>
      <w:bookmarkStart w:id="589" w:name="_Toc495416554"/>
      <w:r>
        <w:t>Figure 8.</w:t>
      </w:r>
      <w:r w:rsidR="009A3F5A">
        <w:fldChar w:fldCharType="begin"/>
      </w:r>
      <w:r w:rsidR="009A3F5A">
        <w:instrText xml:space="preserve"> SEQ Figure_8. \* ARABIC </w:instrText>
      </w:r>
      <w:r w:rsidR="009A3F5A">
        <w:fldChar w:fldCharType="separate"/>
      </w:r>
      <w:r w:rsidR="00856E49">
        <w:rPr>
          <w:noProof/>
        </w:rPr>
        <w:t>7</w:t>
      </w:r>
      <w:r w:rsidR="009A3F5A">
        <w:rPr>
          <w:noProof/>
        </w:rPr>
        <w:fldChar w:fldCharType="end"/>
      </w:r>
      <w:r>
        <w:t xml:space="preserve">: </w:t>
      </w:r>
      <w:r w:rsidRPr="009F643E">
        <w:t>R-ACFI BEH Re-Scaled Funding Distribution Compared with the Current ACFI</w:t>
      </w:r>
      <w:bookmarkEnd w:id="589"/>
    </w:p>
    <w:p w:rsidR="00926C46" w:rsidRDefault="00926C46" w:rsidP="00256E3D">
      <w:pPr>
        <w:spacing w:after="200"/>
        <w:rPr>
          <w:rFonts w:cstheme="minorHAnsi"/>
          <w:lang w:eastAsia="en-AU"/>
        </w:rPr>
      </w:pPr>
      <w:r>
        <w:rPr>
          <w:rFonts w:cstheme="minorHAnsi"/>
          <w:noProof/>
          <w:lang w:eastAsia="en-AU"/>
        </w:rPr>
        <w:drawing>
          <wp:inline distT="0" distB="0" distL="0" distR="0" wp14:anchorId="6AB5B04E" wp14:editId="5739991F">
            <wp:extent cx="5742940" cy="2810510"/>
            <wp:effectExtent l="0" t="0" r="0" b="8890"/>
            <wp:docPr id="159" name="Picture 159" descr="Figure 8.7 is a line diagram illustrating the same comparison of funding distribution as Figure 8.6 above this image, with re-scaled data, as summaris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42940" cy="2810510"/>
                    </a:xfrm>
                    <a:prstGeom prst="rect">
                      <a:avLst/>
                    </a:prstGeom>
                    <a:noFill/>
                  </pic:spPr>
                </pic:pic>
              </a:graphicData>
            </a:graphic>
          </wp:inline>
        </w:drawing>
      </w:r>
    </w:p>
    <w:p w:rsidR="00980F62" w:rsidRDefault="00256E3D" w:rsidP="005E0BCA">
      <w:pPr>
        <w:pStyle w:val="Heading2-Chapter8"/>
      </w:pPr>
      <w:bookmarkStart w:id="590" w:name="_Toc486596375"/>
      <w:bookmarkStart w:id="591" w:name="_Toc486600073"/>
      <w:bookmarkStart w:id="592" w:name="_Toc491426062"/>
      <w:r>
        <w:lastRenderedPageBreak/>
        <w:t>T</w:t>
      </w:r>
      <w:r w:rsidRPr="006964C0">
        <w:t>he</w:t>
      </w:r>
      <w:r>
        <w:t xml:space="preserve"> CHC Domain Funding Classification</w:t>
      </w:r>
      <w:bookmarkEnd w:id="590"/>
      <w:bookmarkEnd w:id="591"/>
      <w:bookmarkEnd w:id="592"/>
    </w:p>
    <w:p w:rsidR="00980F62" w:rsidRDefault="00256E3D" w:rsidP="008F1CA1">
      <w:pPr>
        <w:pStyle w:val="Heading3-Chapter85"/>
        <w:spacing w:before="120"/>
      </w:pPr>
      <w:bookmarkStart w:id="593" w:name="_Toc486596376"/>
      <w:bookmarkStart w:id="594" w:name="_Toc486600074"/>
      <w:r w:rsidRPr="008F1CA1">
        <w:t>The CHC Domain</w:t>
      </w:r>
      <w:bookmarkEnd w:id="593"/>
      <w:bookmarkEnd w:id="594"/>
    </w:p>
    <w:p w:rsidR="00980F62" w:rsidRDefault="00256E3D" w:rsidP="005A195F">
      <w:pPr>
        <w:rPr>
          <w:lang w:eastAsia="en-AU"/>
        </w:rPr>
      </w:pPr>
      <w:r>
        <w:rPr>
          <w:lang w:eastAsia="en-AU"/>
        </w:rPr>
        <w:t xml:space="preserve">The rationale for and changes to the </w:t>
      </w:r>
      <w:r>
        <w:t xml:space="preserve">CHC domain are presented in </w:t>
      </w:r>
      <w:hyperlink w:anchor="Ch06" w:history="1">
        <w:r w:rsidRPr="00A91929">
          <w:rPr>
            <w:rStyle w:val="Hyperlink"/>
          </w:rPr>
          <w:t>Chapter 6</w:t>
        </w:r>
      </w:hyperlink>
      <w:r>
        <w:t>.</w:t>
      </w:r>
      <w:r w:rsidRPr="00A432F2">
        <w:rPr>
          <w:lang w:eastAsia="en-AU"/>
        </w:rPr>
        <w:t xml:space="preserve"> </w:t>
      </w:r>
      <w:r w:rsidRPr="00B16EA0">
        <w:rPr>
          <w:lang w:eastAsia="en-AU"/>
        </w:rPr>
        <w:t>AACS conducted a series of consultations, review of relevant tools and literature on assessment and statistical analysis on the C</w:t>
      </w:r>
      <w:r>
        <w:rPr>
          <w:lang w:eastAsia="en-AU"/>
        </w:rPr>
        <w:t>HC</w:t>
      </w:r>
      <w:r w:rsidRPr="00B16EA0">
        <w:rPr>
          <w:lang w:eastAsia="en-AU"/>
        </w:rPr>
        <w:t xml:space="preserve"> domain items. Contemporary</w:t>
      </w:r>
      <w:r>
        <w:rPr>
          <w:lang w:eastAsia="en-AU"/>
        </w:rPr>
        <w:t xml:space="preserve"> issues were also considered</w:t>
      </w:r>
      <w:r w:rsidRPr="00CD6126">
        <w:rPr>
          <w:lang w:eastAsia="en-AU"/>
        </w:rPr>
        <w:t xml:space="preserve"> </w:t>
      </w:r>
      <w:r>
        <w:rPr>
          <w:lang w:eastAsia="en-AU"/>
        </w:rPr>
        <w:t>in reviewing this domain.</w:t>
      </w:r>
    </w:p>
    <w:p w:rsidR="00980F62" w:rsidRDefault="00256E3D" w:rsidP="005A195F">
      <w:r w:rsidRPr="005935A6">
        <w:t>The C</w:t>
      </w:r>
      <w:r>
        <w:t>HC</w:t>
      </w:r>
      <w:r w:rsidRPr="005935A6">
        <w:t xml:space="preserve"> domain has been simplified by the removal of the matrix between Medication Q11 and the procedures total in ACFI Q12. While there have been some other changes to specific items (discussed in </w:t>
      </w:r>
      <w:hyperlink w:anchor="Ch03" w:history="1">
        <w:r w:rsidRPr="00CF7AFA">
          <w:rPr>
            <w:rStyle w:val="Hyperlink"/>
          </w:rPr>
          <w:t>Chapter 3</w:t>
        </w:r>
      </w:hyperlink>
      <w:r w:rsidRPr="005935A6">
        <w:t xml:space="preserve">, </w:t>
      </w:r>
      <w:hyperlink w:anchor="Ch06" w:history="1">
        <w:r w:rsidRPr="00803F43">
          <w:rPr>
            <w:rStyle w:val="Hyperlink"/>
          </w:rPr>
          <w:t>6</w:t>
        </w:r>
      </w:hyperlink>
      <w:r w:rsidRPr="005935A6">
        <w:t xml:space="preserve"> and later here) the major change to the CHC domain has been the removal of the</w:t>
      </w:r>
      <w:r w:rsidR="00394001">
        <w:t xml:space="preserve"> pain management items and the</w:t>
      </w:r>
      <w:r w:rsidRPr="005935A6">
        <w:t xml:space="preserve"> associated funding. This has also been covered </w:t>
      </w:r>
      <w:r w:rsidR="00751CD3">
        <w:t xml:space="preserve">in </w:t>
      </w:r>
      <w:r w:rsidRPr="005935A6">
        <w:t>Chapter</w:t>
      </w:r>
      <w:r w:rsidR="00751CD3">
        <w:t>s</w:t>
      </w:r>
      <w:r w:rsidRPr="005935A6">
        <w:t xml:space="preserve"> 6</w:t>
      </w:r>
      <w:r w:rsidR="00751CD3">
        <w:t xml:space="preserve"> and</w:t>
      </w:r>
      <w:r w:rsidRPr="005935A6">
        <w:t xml:space="preserve"> 9. The removal of the pain management items and their associated funding has provided an opportunity to create a new funded Therapy Program which is discussed in detail in </w:t>
      </w:r>
      <w:hyperlink w:anchor="Ch07" w:history="1">
        <w:r w:rsidRPr="00A91929">
          <w:rPr>
            <w:rStyle w:val="Hyperlink"/>
          </w:rPr>
          <w:t>Chapter 7</w:t>
        </w:r>
      </w:hyperlink>
      <w:r w:rsidRPr="005935A6">
        <w:t>.</w:t>
      </w:r>
    </w:p>
    <w:p w:rsidR="00980F62" w:rsidRDefault="00256E3D" w:rsidP="005A195F">
      <w:r>
        <w:t>Moving</w:t>
      </w:r>
      <w:r w:rsidRPr="00850964">
        <w:t xml:space="preserve"> the pain management funding to the new Therapy Program has resulted in a reduction in the maximum funding allocated from the current ACFI</w:t>
      </w:r>
      <w:r>
        <w:t xml:space="preserve"> CHC domain</w:t>
      </w:r>
      <w:r w:rsidRPr="00850964">
        <w:t xml:space="preserve"> (ACFI $67.32 vs. R-ACFI $55.16</w:t>
      </w:r>
      <w:r>
        <w:t>).</w:t>
      </w:r>
    </w:p>
    <w:p w:rsidR="00256E3D" w:rsidRPr="008F1CA1" w:rsidRDefault="00256E3D" w:rsidP="008F1CA1">
      <w:pPr>
        <w:pStyle w:val="Heading3-Chapter85"/>
      </w:pPr>
      <w:bookmarkStart w:id="595" w:name="_Toc486596377"/>
      <w:bookmarkStart w:id="596" w:name="_Toc486600075"/>
      <w:r w:rsidRPr="008F1CA1">
        <w:t>Analysis Assumptions – CHC Domain</w:t>
      </w:r>
      <w:bookmarkEnd w:id="595"/>
      <w:bookmarkEnd w:id="596"/>
    </w:p>
    <w:p w:rsidR="00980F62" w:rsidRDefault="00256E3D" w:rsidP="005A195F">
      <w:pPr>
        <w:rPr>
          <w:lang w:val="en-US"/>
        </w:rPr>
      </w:pPr>
      <w:r w:rsidRPr="002C557C">
        <w:rPr>
          <w:lang w:val="en-US"/>
        </w:rPr>
        <w:t>The data set provided by the Department include</w:t>
      </w:r>
      <w:r>
        <w:rPr>
          <w:lang w:val="en-US"/>
        </w:rPr>
        <w:t>d ACFI appraisals up to June 30</w:t>
      </w:r>
      <w:r w:rsidR="003E5D08">
        <w:rPr>
          <w:lang w:val="en-US"/>
        </w:rPr>
        <w:t>,</w:t>
      </w:r>
      <w:r>
        <w:rPr>
          <w:lang w:val="en-US"/>
        </w:rPr>
        <w:t xml:space="preserve"> </w:t>
      </w:r>
      <w:r w:rsidRPr="002C557C">
        <w:rPr>
          <w:lang w:val="en-US"/>
        </w:rPr>
        <w:t>2016. This data set included ACFI information that has subsequently changed in the post July 2016 and January 2017 ACFI implementations.</w:t>
      </w:r>
    </w:p>
    <w:p w:rsidR="00256E3D" w:rsidRPr="002C557C" w:rsidRDefault="00256E3D" w:rsidP="005A195F">
      <w:pPr>
        <w:rPr>
          <w:lang w:val="en-US"/>
        </w:rPr>
      </w:pPr>
      <w:r w:rsidRPr="002C557C">
        <w:rPr>
          <w:lang w:val="en-US"/>
        </w:rPr>
        <w:t xml:space="preserve">Given that the most recent data set was not available when the modelling </w:t>
      </w:r>
      <w:r>
        <w:rPr>
          <w:lang w:val="en-US"/>
        </w:rPr>
        <w:t xml:space="preserve">was </w:t>
      </w:r>
      <w:r w:rsidRPr="002C557C">
        <w:rPr>
          <w:lang w:val="en-US"/>
        </w:rPr>
        <w:t>undertaken, the following assumptions were made to model the R-ACFI financial outcomes in the CHC domain:</w:t>
      </w:r>
    </w:p>
    <w:p w:rsidR="00256E3D" w:rsidRPr="005A195F" w:rsidRDefault="00256E3D" w:rsidP="00F02312">
      <w:pPr>
        <w:pStyle w:val="ListParagraph"/>
        <w:numPr>
          <w:ilvl w:val="3"/>
          <w:numId w:val="171"/>
        </w:numPr>
        <w:ind w:left="357" w:hanging="357"/>
        <w:rPr>
          <w:rFonts w:ascii="Calibri" w:eastAsia="Times New Roman" w:hAnsi="Calibri" w:cs="Calibri"/>
          <w:color w:val="000000" w:themeColor="text1"/>
          <w:szCs w:val="24"/>
          <w:lang w:val="en-US"/>
        </w:rPr>
      </w:pPr>
      <w:r w:rsidRPr="005A195F">
        <w:rPr>
          <w:rFonts w:ascii="Calibri" w:eastAsia="Times New Roman" w:hAnsi="Calibri" w:cs="Calibri"/>
          <w:color w:val="000000" w:themeColor="text1"/>
          <w:szCs w:val="24"/>
          <w:lang w:val="en-US"/>
        </w:rPr>
        <w:t>As the R-ACFI has removed ACFI 12.12a and moved this item to R-ACFI Q3 (dressing), an assumption regarding the proportion of residents that claimed Q12.12 in the 2015-16 data set and who would quality for the R-ACFI CHC item (same as 12.12b in the current ACFI) was required. It was assumed that 75</w:t>
      </w:r>
      <w:r w:rsidR="0065091B">
        <w:rPr>
          <w:rFonts w:ascii="Calibri" w:eastAsia="Times New Roman" w:hAnsi="Calibri" w:cs="Calibri"/>
          <w:color w:val="000000" w:themeColor="text1"/>
          <w:szCs w:val="24"/>
          <w:lang w:val="en-US"/>
        </w:rPr>
        <w:t xml:space="preserve"> per cent</w:t>
      </w:r>
      <w:r w:rsidRPr="005A195F">
        <w:rPr>
          <w:rFonts w:ascii="Calibri" w:eastAsia="Times New Roman" w:hAnsi="Calibri" w:cs="Calibri"/>
          <w:color w:val="000000" w:themeColor="text1"/>
          <w:szCs w:val="24"/>
          <w:lang w:val="en-US"/>
        </w:rPr>
        <w:t xml:space="preserve"> of residents that claimed 12.12 (3 points) in the 2015-16 data set would migrate to the 12.12b level (3 points). In the R-ACFI, this is CHC item 7 (</w:t>
      </w:r>
      <w:hyperlink w:anchor="Tab0817" w:history="1">
        <w:r w:rsidRPr="00421923">
          <w:rPr>
            <w:rStyle w:val="Hyperlink"/>
            <w:rFonts w:ascii="Calibri" w:eastAsia="Times New Roman" w:hAnsi="Calibri" w:cs="Calibri"/>
            <w:szCs w:val="24"/>
            <w:lang w:val="en-US"/>
          </w:rPr>
          <w:t>Table 8.17</w:t>
        </w:r>
      </w:hyperlink>
      <w:r w:rsidRPr="005A195F">
        <w:rPr>
          <w:rFonts w:ascii="Calibri" w:eastAsia="Times New Roman" w:hAnsi="Calibri" w:cs="Calibri"/>
          <w:color w:val="000000" w:themeColor="text1"/>
          <w:szCs w:val="24"/>
          <w:lang w:val="en-US"/>
        </w:rPr>
        <w:t>).</w:t>
      </w:r>
    </w:p>
    <w:p w:rsidR="00EE5206" w:rsidRDefault="00256E3D" w:rsidP="00F02312">
      <w:pPr>
        <w:pStyle w:val="ListParagraph"/>
        <w:numPr>
          <w:ilvl w:val="3"/>
          <w:numId w:val="171"/>
        </w:numPr>
        <w:ind w:left="357" w:hanging="357"/>
        <w:rPr>
          <w:rFonts w:ascii="Calibri" w:eastAsia="Times New Roman" w:hAnsi="Calibri" w:cs="Calibri"/>
          <w:color w:val="000000" w:themeColor="text1"/>
          <w:szCs w:val="24"/>
          <w:lang w:val="en-US"/>
        </w:rPr>
      </w:pPr>
      <w:r w:rsidRPr="005A195F">
        <w:rPr>
          <w:rFonts w:ascii="Calibri" w:eastAsia="Times New Roman" w:hAnsi="Calibri" w:cs="Calibri"/>
          <w:color w:val="000000" w:themeColor="text1"/>
          <w:szCs w:val="24"/>
          <w:lang w:val="en-US"/>
        </w:rPr>
        <w:t xml:space="preserve">The R-ACFI has included the Medication question in the R-ACFI CHC procedures list to remove the matrix and provide a simpler, more graduated CHC scale. The R-ACFI includes two medication items, assistance needed (R-ACFI item 9a. – 3 points) and injections (R-ACFI item 9b. 6 points) which are identical items to the current ACFI levels used in the CHC matrix. To include these changes in the R-ACFI, the medication item from the 2015-16 was recoded as described in </w:t>
      </w:r>
      <w:hyperlink w:anchor="Tab0815" w:history="1">
        <w:r w:rsidRPr="00421923">
          <w:rPr>
            <w:rStyle w:val="Hyperlink"/>
            <w:rFonts w:ascii="Calibri" w:eastAsia="Times New Roman" w:hAnsi="Calibri" w:cs="Calibri"/>
            <w:szCs w:val="24"/>
            <w:lang w:val="en-US"/>
          </w:rPr>
          <w:t>Table 8.15</w:t>
        </w:r>
      </w:hyperlink>
      <w:r w:rsidRPr="005A195F">
        <w:rPr>
          <w:rFonts w:ascii="Calibri" w:eastAsia="Times New Roman" w:hAnsi="Calibri" w:cs="Calibri"/>
          <w:color w:val="000000" w:themeColor="text1"/>
          <w:szCs w:val="24"/>
          <w:lang w:val="en-US"/>
        </w:rPr>
        <w:t>.</w:t>
      </w:r>
    </w:p>
    <w:p w:rsidR="00EE5206" w:rsidRDefault="00EE5206">
      <w:pPr>
        <w:spacing w:after="200"/>
        <w:jc w:val="left"/>
        <w:rPr>
          <w:rFonts w:ascii="Calibri" w:eastAsia="Times New Roman" w:hAnsi="Calibri" w:cs="Calibri"/>
          <w:color w:val="000000" w:themeColor="text1"/>
          <w:szCs w:val="24"/>
          <w:lang w:val="en-US"/>
        </w:rPr>
      </w:pPr>
      <w:r>
        <w:rPr>
          <w:rFonts w:ascii="Calibri" w:eastAsia="Times New Roman" w:hAnsi="Calibri" w:cs="Calibri"/>
          <w:color w:val="000000" w:themeColor="text1"/>
          <w:szCs w:val="24"/>
          <w:lang w:val="en-US"/>
        </w:rPr>
        <w:br w:type="page"/>
      </w:r>
    </w:p>
    <w:p w:rsidR="00043DB4" w:rsidRDefault="009F643E" w:rsidP="00043DB4">
      <w:pPr>
        <w:pStyle w:val="Caption"/>
        <w:keepNext/>
      </w:pPr>
      <w:bookmarkStart w:id="597" w:name="_Toc495416382"/>
      <w:bookmarkStart w:id="598" w:name="Tab0815"/>
      <w:r>
        <w:lastRenderedPageBreak/>
        <w:t>Table 8.</w:t>
      </w:r>
      <w:r w:rsidR="009A3F5A">
        <w:fldChar w:fldCharType="begin"/>
      </w:r>
      <w:r w:rsidR="009A3F5A">
        <w:instrText xml:space="preserve"> SEQ Table_8. \* ARABIC </w:instrText>
      </w:r>
      <w:r w:rsidR="009A3F5A">
        <w:fldChar w:fldCharType="separate"/>
      </w:r>
      <w:r w:rsidR="00856E49">
        <w:rPr>
          <w:noProof/>
        </w:rPr>
        <w:t>15</w:t>
      </w:r>
      <w:r w:rsidR="009A3F5A">
        <w:rPr>
          <w:noProof/>
        </w:rPr>
        <w:fldChar w:fldCharType="end"/>
      </w:r>
      <w:r>
        <w:t xml:space="preserve">: </w:t>
      </w:r>
      <w:r w:rsidRPr="009F643E">
        <w:rPr>
          <w:lang w:val="en-US"/>
        </w:rPr>
        <w:t>Recoding ACFI 2016-16 Data to R-ACFI for Financial Modelling</w:t>
      </w:r>
      <w:bookmarkEnd w:id="597"/>
    </w:p>
    <w:tbl>
      <w:tblPr>
        <w:tblStyle w:val="ListTable3-Accent515"/>
        <w:tblW w:w="0" w:type="auto"/>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8.15 is a list of details to show how the changes for medication items has been incorporated in the revised aged care funding instrument (R-ACFI), as summarised in the text prior to this image. This table is to be read left to right, top to bottom."/>
      </w:tblPr>
      <w:tblGrid>
        <w:gridCol w:w="7650"/>
        <w:gridCol w:w="1258"/>
      </w:tblGrid>
      <w:tr w:rsidR="00256E3D" w:rsidRPr="001D34B8" w:rsidTr="00EE520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735" w:type="dxa"/>
            <w:tcBorders>
              <w:bottom w:val="none" w:sz="0" w:space="0" w:color="auto"/>
              <w:right w:val="none" w:sz="0" w:space="0" w:color="auto"/>
            </w:tcBorders>
            <w:vAlign w:val="center"/>
          </w:tcPr>
          <w:bookmarkEnd w:id="598"/>
          <w:p w:rsidR="00256E3D" w:rsidRPr="001D34B8" w:rsidRDefault="00256E3D" w:rsidP="00EE5206">
            <w:pPr>
              <w:spacing w:after="0"/>
              <w:jc w:val="left"/>
              <w:rPr>
                <w:rFonts w:eastAsia="Times New Roman" w:cs="Calibri"/>
                <w:sz w:val="22"/>
                <w:lang w:val="en-US"/>
              </w:rPr>
            </w:pPr>
            <w:r w:rsidRPr="001D34B8">
              <w:rPr>
                <w:rFonts w:eastAsia="Times New Roman" w:cs="Calibri"/>
                <w:sz w:val="22"/>
                <w:lang w:val="en-US"/>
              </w:rPr>
              <w:t>ACFI Item 2015-16</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rsidR="00256E3D" w:rsidRPr="001D34B8" w:rsidRDefault="00256E3D" w:rsidP="00A51750">
            <w:pPr>
              <w:spacing w:after="0"/>
              <w:jc w:val="center"/>
              <w:rPr>
                <w:rFonts w:eastAsia="Times New Roman" w:cs="Calibri"/>
                <w:sz w:val="22"/>
                <w:lang w:val="en-US"/>
              </w:rPr>
            </w:pPr>
            <w:r w:rsidRPr="001D34B8">
              <w:rPr>
                <w:rFonts w:eastAsia="Times New Roman" w:cs="Calibri"/>
                <w:sz w:val="22"/>
                <w:lang w:val="en-US"/>
              </w:rPr>
              <w:t>R-ACFI item</w:t>
            </w:r>
          </w:p>
        </w:tc>
      </w:tr>
      <w:tr w:rsidR="00256E3D" w:rsidRPr="001D34B8" w:rsidTr="007F2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5" w:type="dxa"/>
            <w:tcBorders>
              <w:top w:val="none" w:sz="0" w:space="0" w:color="auto"/>
              <w:bottom w:val="none" w:sz="0" w:space="0" w:color="auto"/>
              <w:right w:val="none" w:sz="0" w:space="0" w:color="auto"/>
            </w:tcBorders>
          </w:tcPr>
          <w:p w:rsidR="00256E3D" w:rsidRPr="001D34B8" w:rsidRDefault="00256E3D" w:rsidP="001D34B8">
            <w:pPr>
              <w:spacing w:after="0"/>
              <w:jc w:val="left"/>
              <w:rPr>
                <w:rFonts w:eastAsia="Times New Roman" w:cs="Calibri"/>
                <w:b w:val="0"/>
                <w:color w:val="000000"/>
                <w:sz w:val="22"/>
                <w:lang w:val="en-US"/>
              </w:rPr>
            </w:pPr>
            <w:r w:rsidRPr="001D34B8">
              <w:rPr>
                <w:b w:val="0"/>
                <w:sz w:val="22"/>
              </w:rPr>
              <w:t xml:space="preserve">No medication </w:t>
            </w:r>
          </w:p>
        </w:tc>
        <w:tc>
          <w:tcPr>
            <w:cnfStyle w:val="000010000000" w:firstRow="0" w:lastRow="0" w:firstColumn="0" w:lastColumn="0" w:oddVBand="1" w:evenVBand="0" w:oddHBand="0" w:evenHBand="0" w:firstRowFirstColumn="0" w:firstRowLastColumn="0" w:lastRowFirstColumn="0" w:lastRowLastColumn="0"/>
            <w:tcW w:w="1260" w:type="dxa"/>
            <w:vMerge w:val="restart"/>
            <w:tcBorders>
              <w:top w:val="none" w:sz="0" w:space="0" w:color="auto"/>
              <w:left w:val="none" w:sz="0" w:space="0" w:color="auto"/>
              <w:bottom w:val="none" w:sz="0" w:space="0" w:color="auto"/>
              <w:right w:val="none" w:sz="0" w:space="0" w:color="auto"/>
            </w:tcBorders>
            <w:vAlign w:val="center"/>
          </w:tcPr>
          <w:p w:rsidR="00256E3D" w:rsidRPr="001D34B8" w:rsidRDefault="00B42759" w:rsidP="00A51750">
            <w:pPr>
              <w:spacing w:after="0"/>
              <w:jc w:val="center"/>
              <w:rPr>
                <w:rFonts w:eastAsia="Times New Roman" w:cs="Calibri"/>
                <w:color w:val="000000"/>
                <w:sz w:val="22"/>
                <w:lang w:val="en-US"/>
              </w:rPr>
            </w:pPr>
            <w:r w:rsidRPr="001D34B8">
              <w:rPr>
                <w:rFonts w:eastAsia="Times New Roman" w:cs="Calibri"/>
                <w:color w:val="000000"/>
                <w:sz w:val="22"/>
                <w:lang w:val="en-US"/>
              </w:rPr>
              <w:t>Not applicable</w:t>
            </w:r>
          </w:p>
        </w:tc>
      </w:tr>
      <w:tr w:rsidR="00256E3D" w:rsidRPr="001D34B8" w:rsidTr="007F2ED6">
        <w:tc>
          <w:tcPr>
            <w:cnfStyle w:val="001000000000" w:firstRow="0" w:lastRow="0" w:firstColumn="1" w:lastColumn="0" w:oddVBand="0" w:evenVBand="0" w:oddHBand="0" w:evenHBand="0" w:firstRowFirstColumn="0" w:firstRowLastColumn="0" w:lastRowFirstColumn="0" w:lastRowLastColumn="0"/>
            <w:tcW w:w="7735" w:type="dxa"/>
            <w:tcBorders>
              <w:right w:val="none" w:sz="0" w:space="0" w:color="auto"/>
            </w:tcBorders>
          </w:tcPr>
          <w:p w:rsidR="00256E3D" w:rsidRPr="001D34B8" w:rsidRDefault="00256E3D" w:rsidP="001D34B8">
            <w:pPr>
              <w:spacing w:after="0"/>
              <w:jc w:val="left"/>
              <w:rPr>
                <w:rFonts w:eastAsia="Times New Roman" w:cs="Calibri"/>
                <w:b w:val="0"/>
                <w:color w:val="000000"/>
                <w:sz w:val="22"/>
                <w:lang w:val="en-US"/>
              </w:rPr>
            </w:pPr>
            <w:r w:rsidRPr="001D34B8">
              <w:rPr>
                <w:b w:val="0"/>
                <w:sz w:val="22"/>
              </w:rPr>
              <w:t>Self-manages medication</w:t>
            </w:r>
          </w:p>
        </w:tc>
        <w:tc>
          <w:tcPr>
            <w:cnfStyle w:val="000010000000" w:firstRow="0" w:lastRow="0" w:firstColumn="0" w:lastColumn="0" w:oddVBand="1" w:evenVBand="0" w:oddHBand="0" w:evenHBand="0" w:firstRowFirstColumn="0" w:firstRowLastColumn="0" w:lastRowFirstColumn="0" w:lastRowLastColumn="0"/>
            <w:tcW w:w="1260" w:type="dxa"/>
            <w:vMerge/>
            <w:tcBorders>
              <w:left w:val="none" w:sz="0" w:space="0" w:color="auto"/>
              <w:right w:val="none" w:sz="0" w:space="0" w:color="auto"/>
            </w:tcBorders>
          </w:tcPr>
          <w:p w:rsidR="00256E3D" w:rsidRPr="001D34B8" w:rsidRDefault="00256E3D" w:rsidP="00A51750">
            <w:pPr>
              <w:spacing w:after="0"/>
              <w:rPr>
                <w:rFonts w:eastAsia="Times New Roman" w:cs="Calibri"/>
                <w:color w:val="000000"/>
                <w:sz w:val="22"/>
                <w:lang w:val="en-US"/>
              </w:rPr>
            </w:pPr>
          </w:p>
        </w:tc>
      </w:tr>
      <w:tr w:rsidR="00256E3D" w:rsidRPr="001D34B8" w:rsidTr="007F2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5" w:type="dxa"/>
            <w:tcBorders>
              <w:top w:val="none" w:sz="0" w:space="0" w:color="auto"/>
              <w:bottom w:val="none" w:sz="0" w:space="0" w:color="auto"/>
              <w:right w:val="none" w:sz="0" w:space="0" w:color="auto"/>
            </w:tcBorders>
          </w:tcPr>
          <w:p w:rsidR="00256E3D" w:rsidRPr="001D34B8" w:rsidRDefault="00256E3D" w:rsidP="001D34B8">
            <w:pPr>
              <w:spacing w:after="0"/>
              <w:jc w:val="left"/>
              <w:rPr>
                <w:rFonts w:eastAsia="Times New Roman" w:cs="Calibri"/>
                <w:b w:val="0"/>
                <w:color w:val="000000"/>
                <w:sz w:val="22"/>
                <w:lang w:val="en-US"/>
              </w:rPr>
            </w:pPr>
            <w:r w:rsidRPr="001D34B8">
              <w:rPr>
                <w:b w:val="0"/>
                <w:sz w:val="22"/>
              </w:rPr>
              <w:t>Application of patches at least weekly, but less frequently than daily</w:t>
            </w:r>
          </w:p>
        </w:tc>
        <w:tc>
          <w:tcPr>
            <w:cnfStyle w:val="000010000000" w:firstRow="0" w:lastRow="0" w:firstColumn="0" w:lastColumn="0" w:oddVBand="1" w:evenVBand="0" w:oddHBand="0" w:evenHBand="0" w:firstRowFirstColumn="0" w:firstRowLastColumn="0" w:lastRowFirstColumn="0" w:lastRowLastColumn="0"/>
            <w:tcW w:w="1260" w:type="dxa"/>
            <w:vMerge w:val="restart"/>
            <w:tcBorders>
              <w:top w:val="none" w:sz="0" w:space="0" w:color="auto"/>
              <w:left w:val="none" w:sz="0" w:space="0" w:color="auto"/>
              <w:bottom w:val="none" w:sz="0" w:space="0" w:color="auto"/>
              <w:right w:val="none" w:sz="0" w:space="0" w:color="auto"/>
            </w:tcBorders>
            <w:vAlign w:val="center"/>
          </w:tcPr>
          <w:p w:rsidR="00256E3D" w:rsidRPr="001D34B8" w:rsidRDefault="00EE5206" w:rsidP="00A51750">
            <w:pPr>
              <w:spacing w:after="0"/>
              <w:jc w:val="center"/>
              <w:rPr>
                <w:rFonts w:eastAsia="Times New Roman" w:cs="Calibri"/>
                <w:color w:val="000000"/>
                <w:sz w:val="22"/>
                <w:lang w:val="en-US"/>
              </w:rPr>
            </w:pPr>
            <w:r w:rsidRPr="001D34B8">
              <w:rPr>
                <w:rFonts w:eastAsia="Times New Roman" w:cs="Calibri"/>
                <w:color w:val="000000"/>
                <w:sz w:val="22"/>
                <w:lang w:val="en-US"/>
              </w:rPr>
              <w:t>R-ACFI item 9a</w:t>
            </w:r>
          </w:p>
        </w:tc>
      </w:tr>
      <w:tr w:rsidR="00256E3D" w:rsidRPr="001D34B8" w:rsidTr="007F2ED6">
        <w:tc>
          <w:tcPr>
            <w:cnfStyle w:val="001000000000" w:firstRow="0" w:lastRow="0" w:firstColumn="1" w:lastColumn="0" w:oddVBand="0" w:evenVBand="0" w:oddHBand="0" w:evenHBand="0" w:firstRowFirstColumn="0" w:firstRowLastColumn="0" w:lastRowFirstColumn="0" w:lastRowLastColumn="0"/>
            <w:tcW w:w="7735" w:type="dxa"/>
            <w:tcBorders>
              <w:right w:val="none" w:sz="0" w:space="0" w:color="auto"/>
            </w:tcBorders>
          </w:tcPr>
          <w:p w:rsidR="00256E3D" w:rsidRPr="001D34B8" w:rsidRDefault="00256E3D" w:rsidP="001D34B8">
            <w:pPr>
              <w:spacing w:after="0"/>
              <w:jc w:val="left"/>
              <w:rPr>
                <w:rFonts w:eastAsia="Times New Roman" w:cs="Calibri"/>
                <w:b w:val="0"/>
                <w:color w:val="000000"/>
                <w:sz w:val="22"/>
                <w:lang w:val="en-US"/>
              </w:rPr>
            </w:pPr>
            <w:r w:rsidRPr="001D34B8">
              <w:rPr>
                <w:b w:val="0"/>
                <w:sz w:val="22"/>
              </w:rPr>
              <w:t>Needs assistance for less than 6 minutes per 24-hour period with daily medications</w:t>
            </w:r>
          </w:p>
        </w:tc>
        <w:tc>
          <w:tcPr>
            <w:cnfStyle w:val="000010000000" w:firstRow="0" w:lastRow="0" w:firstColumn="0" w:lastColumn="0" w:oddVBand="1" w:evenVBand="0" w:oddHBand="0" w:evenHBand="0" w:firstRowFirstColumn="0" w:firstRowLastColumn="0" w:lastRowFirstColumn="0" w:lastRowLastColumn="0"/>
            <w:tcW w:w="1260" w:type="dxa"/>
            <w:vMerge/>
            <w:tcBorders>
              <w:left w:val="none" w:sz="0" w:space="0" w:color="auto"/>
              <w:right w:val="none" w:sz="0" w:space="0" w:color="auto"/>
            </w:tcBorders>
          </w:tcPr>
          <w:p w:rsidR="00256E3D" w:rsidRPr="001D34B8" w:rsidRDefault="00256E3D" w:rsidP="00A51750">
            <w:pPr>
              <w:spacing w:after="0"/>
              <w:rPr>
                <w:rFonts w:eastAsia="Times New Roman" w:cs="Calibri"/>
                <w:color w:val="000000"/>
                <w:sz w:val="22"/>
                <w:lang w:val="en-US"/>
              </w:rPr>
            </w:pPr>
          </w:p>
        </w:tc>
      </w:tr>
      <w:tr w:rsidR="00256E3D" w:rsidRPr="001D34B8" w:rsidTr="007F2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5" w:type="dxa"/>
            <w:tcBorders>
              <w:top w:val="none" w:sz="0" w:space="0" w:color="auto"/>
              <w:bottom w:val="none" w:sz="0" w:space="0" w:color="auto"/>
              <w:right w:val="none" w:sz="0" w:space="0" w:color="auto"/>
            </w:tcBorders>
          </w:tcPr>
          <w:p w:rsidR="00256E3D" w:rsidRPr="001D34B8" w:rsidRDefault="00256E3D" w:rsidP="001D34B8">
            <w:pPr>
              <w:spacing w:after="0"/>
              <w:jc w:val="left"/>
              <w:rPr>
                <w:b w:val="0"/>
                <w:sz w:val="22"/>
              </w:rPr>
            </w:pPr>
            <w:r w:rsidRPr="001D34B8">
              <w:rPr>
                <w:b w:val="0"/>
                <w:sz w:val="22"/>
              </w:rPr>
              <w:t>Needs assistance for between 6 and 11 minutes per 24-hour period with daily medications</w:t>
            </w:r>
          </w:p>
        </w:tc>
        <w:tc>
          <w:tcPr>
            <w:cnfStyle w:val="000010000000" w:firstRow="0" w:lastRow="0" w:firstColumn="0" w:lastColumn="0" w:oddVBand="1" w:evenVBand="0" w:oddHBand="0" w:evenHBand="0" w:firstRowFirstColumn="0" w:firstRowLastColumn="0" w:lastRowFirstColumn="0" w:lastRowLastColumn="0"/>
            <w:tcW w:w="1260" w:type="dxa"/>
            <w:vMerge/>
            <w:tcBorders>
              <w:top w:val="none" w:sz="0" w:space="0" w:color="auto"/>
              <w:left w:val="none" w:sz="0" w:space="0" w:color="auto"/>
              <w:bottom w:val="none" w:sz="0" w:space="0" w:color="auto"/>
              <w:right w:val="none" w:sz="0" w:space="0" w:color="auto"/>
            </w:tcBorders>
          </w:tcPr>
          <w:p w:rsidR="00256E3D" w:rsidRPr="001D34B8" w:rsidRDefault="00256E3D" w:rsidP="00A51750">
            <w:pPr>
              <w:spacing w:after="0"/>
              <w:rPr>
                <w:rFonts w:eastAsia="Times New Roman" w:cs="Calibri"/>
                <w:color w:val="000000"/>
                <w:sz w:val="22"/>
                <w:lang w:val="en-US"/>
              </w:rPr>
            </w:pPr>
          </w:p>
        </w:tc>
      </w:tr>
      <w:tr w:rsidR="00256E3D" w:rsidRPr="001D34B8" w:rsidTr="007F2ED6">
        <w:tc>
          <w:tcPr>
            <w:cnfStyle w:val="001000000000" w:firstRow="0" w:lastRow="0" w:firstColumn="1" w:lastColumn="0" w:oddVBand="0" w:evenVBand="0" w:oddHBand="0" w:evenHBand="0" w:firstRowFirstColumn="0" w:firstRowLastColumn="0" w:lastRowFirstColumn="0" w:lastRowLastColumn="0"/>
            <w:tcW w:w="7735" w:type="dxa"/>
            <w:tcBorders>
              <w:right w:val="none" w:sz="0" w:space="0" w:color="auto"/>
            </w:tcBorders>
          </w:tcPr>
          <w:p w:rsidR="00256E3D" w:rsidRPr="001D34B8" w:rsidRDefault="00256E3D" w:rsidP="001D34B8">
            <w:pPr>
              <w:spacing w:after="0"/>
              <w:jc w:val="left"/>
              <w:rPr>
                <w:b w:val="0"/>
                <w:sz w:val="22"/>
              </w:rPr>
            </w:pPr>
            <w:r w:rsidRPr="001D34B8">
              <w:rPr>
                <w:b w:val="0"/>
                <w:sz w:val="22"/>
              </w:rPr>
              <w:t>Needs assistance for more than 11 minutes per 24-hour period with daily medications</w:t>
            </w:r>
          </w:p>
        </w:tc>
        <w:tc>
          <w:tcPr>
            <w:cnfStyle w:val="000010000000" w:firstRow="0" w:lastRow="0" w:firstColumn="0" w:lastColumn="0" w:oddVBand="1" w:evenVBand="0" w:oddHBand="0" w:evenHBand="0" w:firstRowFirstColumn="0" w:firstRowLastColumn="0" w:lastRowFirstColumn="0" w:lastRowLastColumn="0"/>
            <w:tcW w:w="1260" w:type="dxa"/>
            <w:vMerge/>
            <w:tcBorders>
              <w:left w:val="none" w:sz="0" w:space="0" w:color="auto"/>
              <w:right w:val="none" w:sz="0" w:space="0" w:color="auto"/>
            </w:tcBorders>
          </w:tcPr>
          <w:p w:rsidR="00256E3D" w:rsidRPr="001D34B8" w:rsidRDefault="00256E3D" w:rsidP="00A51750">
            <w:pPr>
              <w:spacing w:after="0"/>
              <w:rPr>
                <w:rFonts w:eastAsia="Times New Roman" w:cs="Calibri"/>
                <w:color w:val="000000"/>
                <w:sz w:val="22"/>
                <w:lang w:val="en-US"/>
              </w:rPr>
            </w:pPr>
          </w:p>
        </w:tc>
      </w:tr>
      <w:tr w:rsidR="00256E3D" w:rsidRPr="001D34B8" w:rsidTr="007F2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5" w:type="dxa"/>
            <w:tcBorders>
              <w:top w:val="none" w:sz="0" w:space="0" w:color="auto"/>
              <w:bottom w:val="none" w:sz="0" w:space="0" w:color="auto"/>
              <w:right w:val="none" w:sz="0" w:space="0" w:color="auto"/>
            </w:tcBorders>
          </w:tcPr>
          <w:p w:rsidR="00256E3D" w:rsidRPr="001D34B8" w:rsidRDefault="00256E3D" w:rsidP="001D34B8">
            <w:pPr>
              <w:spacing w:after="0"/>
              <w:jc w:val="left"/>
              <w:rPr>
                <w:b w:val="0"/>
                <w:sz w:val="22"/>
              </w:rPr>
            </w:pPr>
            <w:r w:rsidRPr="001D34B8">
              <w:rPr>
                <w:b w:val="0"/>
                <w:sz w:val="22"/>
              </w:rPr>
              <w:t>Needs daily administration of a subcutaneous drug</w:t>
            </w:r>
          </w:p>
        </w:tc>
        <w:tc>
          <w:tcPr>
            <w:cnfStyle w:val="000010000000" w:firstRow="0" w:lastRow="0" w:firstColumn="0" w:lastColumn="0" w:oddVBand="1" w:evenVBand="0" w:oddHBand="0" w:evenHBand="0" w:firstRowFirstColumn="0" w:firstRowLastColumn="0" w:lastRowFirstColumn="0" w:lastRowLastColumn="0"/>
            <w:tcW w:w="1260" w:type="dxa"/>
            <w:vMerge w:val="restart"/>
            <w:tcBorders>
              <w:top w:val="none" w:sz="0" w:space="0" w:color="auto"/>
              <w:left w:val="none" w:sz="0" w:space="0" w:color="auto"/>
              <w:bottom w:val="none" w:sz="0" w:space="0" w:color="auto"/>
              <w:right w:val="none" w:sz="0" w:space="0" w:color="auto"/>
            </w:tcBorders>
            <w:vAlign w:val="center"/>
          </w:tcPr>
          <w:p w:rsidR="00256E3D" w:rsidRPr="001D34B8" w:rsidRDefault="00EE5206" w:rsidP="00A51750">
            <w:pPr>
              <w:spacing w:after="0"/>
              <w:jc w:val="center"/>
              <w:rPr>
                <w:rFonts w:eastAsia="Times New Roman" w:cs="Calibri"/>
                <w:color w:val="000000"/>
                <w:sz w:val="22"/>
                <w:lang w:val="en-US"/>
              </w:rPr>
            </w:pPr>
            <w:r w:rsidRPr="001D34B8">
              <w:rPr>
                <w:rFonts w:eastAsia="Times New Roman" w:cs="Calibri"/>
                <w:color w:val="000000"/>
                <w:sz w:val="22"/>
                <w:lang w:val="en-US"/>
              </w:rPr>
              <w:t>R-ACFI item 9b</w:t>
            </w:r>
          </w:p>
        </w:tc>
      </w:tr>
      <w:tr w:rsidR="00256E3D" w:rsidRPr="001D34B8" w:rsidTr="007F2ED6">
        <w:tc>
          <w:tcPr>
            <w:cnfStyle w:val="001000000000" w:firstRow="0" w:lastRow="0" w:firstColumn="1" w:lastColumn="0" w:oddVBand="0" w:evenVBand="0" w:oddHBand="0" w:evenHBand="0" w:firstRowFirstColumn="0" w:firstRowLastColumn="0" w:lastRowFirstColumn="0" w:lastRowLastColumn="0"/>
            <w:tcW w:w="7735" w:type="dxa"/>
            <w:tcBorders>
              <w:right w:val="none" w:sz="0" w:space="0" w:color="auto"/>
            </w:tcBorders>
          </w:tcPr>
          <w:p w:rsidR="00256E3D" w:rsidRPr="001D34B8" w:rsidRDefault="00256E3D" w:rsidP="001D34B8">
            <w:pPr>
              <w:spacing w:after="0"/>
              <w:jc w:val="left"/>
              <w:rPr>
                <w:b w:val="0"/>
                <w:sz w:val="22"/>
              </w:rPr>
            </w:pPr>
            <w:r w:rsidRPr="001D34B8">
              <w:rPr>
                <w:b w:val="0"/>
                <w:sz w:val="22"/>
              </w:rPr>
              <w:t>Needs daily administration of an intramuscular drug</w:t>
            </w:r>
          </w:p>
        </w:tc>
        <w:tc>
          <w:tcPr>
            <w:cnfStyle w:val="000010000000" w:firstRow="0" w:lastRow="0" w:firstColumn="0" w:lastColumn="0" w:oddVBand="1" w:evenVBand="0" w:oddHBand="0" w:evenHBand="0" w:firstRowFirstColumn="0" w:firstRowLastColumn="0" w:lastRowFirstColumn="0" w:lastRowLastColumn="0"/>
            <w:tcW w:w="1260" w:type="dxa"/>
            <w:vMerge/>
            <w:tcBorders>
              <w:left w:val="none" w:sz="0" w:space="0" w:color="auto"/>
              <w:right w:val="none" w:sz="0" w:space="0" w:color="auto"/>
            </w:tcBorders>
          </w:tcPr>
          <w:p w:rsidR="00256E3D" w:rsidRPr="001D34B8" w:rsidRDefault="00256E3D" w:rsidP="00A51750">
            <w:pPr>
              <w:spacing w:after="0"/>
              <w:rPr>
                <w:rFonts w:eastAsia="Times New Roman" w:cs="Calibri"/>
                <w:color w:val="000000"/>
                <w:sz w:val="22"/>
                <w:lang w:val="en-US"/>
              </w:rPr>
            </w:pPr>
          </w:p>
        </w:tc>
      </w:tr>
      <w:tr w:rsidR="00256E3D" w:rsidRPr="001D34B8" w:rsidTr="007F2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5" w:type="dxa"/>
            <w:tcBorders>
              <w:top w:val="none" w:sz="0" w:space="0" w:color="auto"/>
              <w:bottom w:val="none" w:sz="0" w:space="0" w:color="auto"/>
              <w:right w:val="none" w:sz="0" w:space="0" w:color="auto"/>
            </w:tcBorders>
          </w:tcPr>
          <w:p w:rsidR="00256E3D" w:rsidRPr="001D34B8" w:rsidRDefault="00256E3D" w:rsidP="001D34B8">
            <w:pPr>
              <w:spacing w:after="0"/>
              <w:jc w:val="left"/>
              <w:rPr>
                <w:b w:val="0"/>
                <w:sz w:val="22"/>
              </w:rPr>
            </w:pPr>
            <w:r w:rsidRPr="001D34B8">
              <w:rPr>
                <w:b w:val="0"/>
                <w:sz w:val="22"/>
              </w:rPr>
              <w:t>Needs daily administration of an intravenous drug</w:t>
            </w:r>
          </w:p>
        </w:tc>
        <w:tc>
          <w:tcPr>
            <w:cnfStyle w:val="000010000000" w:firstRow="0" w:lastRow="0" w:firstColumn="0" w:lastColumn="0" w:oddVBand="1" w:evenVBand="0" w:oddHBand="0" w:evenHBand="0" w:firstRowFirstColumn="0" w:firstRowLastColumn="0" w:lastRowFirstColumn="0" w:lastRowLastColumn="0"/>
            <w:tcW w:w="1260" w:type="dxa"/>
            <w:vMerge/>
            <w:tcBorders>
              <w:top w:val="none" w:sz="0" w:space="0" w:color="auto"/>
              <w:left w:val="none" w:sz="0" w:space="0" w:color="auto"/>
              <w:bottom w:val="none" w:sz="0" w:space="0" w:color="auto"/>
              <w:right w:val="none" w:sz="0" w:space="0" w:color="auto"/>
            </w:tcBorders>
          </w:tcPr>
          <w:p w:rsidR="00256E3D" w:rsidRPr="001D34B8" w:rsidRDefault="00256E3D" w:rsidP="00A51750">
            <w:pPr>
              <w:spacing w:after="0"/>
              <w:rPr>
                <w:rFonts w:eastAsia="Times New Roman" w:cs="Calibri"/>
                <w:color w:val="000000"/>
                <w:sz w:val="22"/>
                <w:lang w:val="en-US"/>
              </w:rPr>
            </w:pPr>
          </w:p>
        </w:tc>
      </w:tr>
    </w:tbl>
    <w:p w:rsidR="00256E3D" w:rsidRPr="002C557C" w:rsidRDefault="00256E3D" w:rsidP="008F1CA1">
      <w:pPr>
        <w:pStyle w:val="Heading3-Chapter85"/>
      </w:pPr>
      <w:bookmarkStart w:id="599" w:name="_Toc486596378"/>
      <w:bookmarkStart w:id="600" w:name="_Toc486600076"/>
      <w:r w:rsidRPr="002C557C">
        <w:t xml:space="preserve">Analysis </w:t>
      </w:r>
      <w:r>
        <w:t>Outcomes</w:t>
      </w:r>
      <w:r w:rsidRPr="002C557C">
        <w:t xml:space="preserve"> – </w:t>
      </w:r>
      <w:r>
        <w:t>CHC</w:t>
      </w:r>
      <w:r w:rsidRPr="002C557C">
        <w:t xml:space="preserve"> Domain</w:t>
      </w:r>
      <w:bookmarkEnd w:id="599"/>
      <w:bookmarkEnd w:id="600"/>
    </w:p>
    <w:p w:rsidR="00980F62" w:rsidRDefault="00473246" w:rsidP="00300704">
      <w:pPr>
        <w:rPr>
          <w:color w:val="000000" w:themeColor="text1"/>
          <w:szCs w:val="24"/>
        </w:rPr>
      </w:pPr>
      <w:hyperlink w:anchor="Tab0816" w:history="1">
        <w:r w:rsidR="00256E3D" w:rsidRPr="00421923">
          <w:rPr>
            <w:rStyle w:val="Hyperlink"/>
            <w:szCs w:val="24"/>
          </w:rPr>
          <w:t>Table 8.16</w:t>
        </w:r>
      </w:hyperlink>
      <w:r w:rsidR="00256E3D">
        <w:rPr>
          <w:color w:val="000000" w:themeColor="text1"/>
          <w:szCs w:val="24"/>
        </w:rPr>
        <w:t xml:space="preserve"> and </w:t>
      </w:r>
      <w:hyperlink w:anchor="Tab0817" w:history="1">
        <w:r w:rsidR="00256E3D" w:rsidRPr="00421923">
          <w:rPr>
            <w:rStyle w:val="Hyperlink"/>
            <w:szCs w:val="24"/>
          </w:rPr>
          <w:t>Table 8.17</w:t>
        </w:r>
      </w:hyperlink>
      <w:r w:rsidR="00256E3D">
        <w:rPr>
          <w:color w:val="000000" w:themeColor="text1"/>
          <w:szCs w:val="24"/>
        </w:rPr>
        <w:t xml:space="preserve"> (by funding band)</w:t>
      </w:r>
      <w:r w:rsidR="00256E3D" w:rsidRPr="00854A95">
        <w:rPr>
          <w:color w:val="000000" w:themeColor="text1"/>
          <w:szCs w:val="24"/>
        </w:rPr>
        <w:t xml:space="preserve"> show </w:t>
      </w:r>
      <w:r w:rsidR="00256E3D">
        <w:rPr>
          <w:color w:val="000000" w:themeColor="text1"/>
          <w:szCs w:val="24"/>
        </w:rPr>
        <w:t>the</w:t>
      </w:r>
      <w:r w:rsidR="00256E3D" w:rsidRPr="00854A95">
        <w:rPr>
          <w:color w:val="000000" w:themeColor="text1"/>
          <w:szCs w:val="24"/>
        </w:rPr>
        <w:t xml:space="preserve"> comparison between the R-ACFI and ACFI </w:t>
      </w:r>
      <w:r w:rsidR="00256E3D">
        <w:rPr>
          <w:color w:val="000000" w:themeColor="text1"/>
          <w:szCs w:val="24"/>
        </w:rPr>
        <w:t xml:space="preserve">CHC </w:t>
      </w:r>
      <w:r w:rsidR="00E00E7A">
        <w:rPr>
          <w:color w:val="000000" w:themeColor="text1"/>
          <w:szCs w:val="24"/>
        </w:rPr>
        <w:t>funding</w:t>
      </w:r>
      <w:r w:rsidR="00256E3D" w:rsidRPr="00854A95">
        <w:rPr>
          <w:color w:val="000000" w:themeColor="text1"/>
          <w:szCs w:val="24"/>
        </w:rPr>
        <w:t xml:space="preserve">. </w:t>
      </w:r>
      <w:r w:rsidR="00256E3D">
        <w:rPr>
          <w:color w:val="000000" w:themeColor="text1"/>
          <w:szCs w:val="24"/>
        </w:rPr>
        <w:t>Given the number of significant changes to this domain,</w:t>
      </w:r>
      <w:r w:rsidR="00E00E7A">
        <w:rPr>
          <w:color w:val="000000" w:themeColor="text1"/>
          <w:szCs w:val="24"/>
        </w:rPr>
        <w:t xml:space="preserve"> a direct </w:t>
      </w:r>
      <w:r w:rsidR="00256E3D">
        <w:rPr>
          <w:color w:val="000000" w:themeColor="text1"/>
          <w:szCs w:val="24"/>
        </w:rPr>
        <w:t xml:space="preserve">funding comparison between the R-ACFI and ACFI </w:t>
      </w:r>
      <w:r w:rsidR="00160622">
        <w:rPr>
          <w:color w:val="000000" w:themeColor="text1"/>
          <w:szCs w:val="24"/>
        </w:rPr>
        <w:t>should be considered as indicative only</w:t>
      </w:r>
      <w:r w:rsidR="00256E3D">
        <w:rPr>
          <w:color w:val="000000" w:themeColor="text1"/>
          <w:szCs w:val="24"/>
        </w:rPr>
        <w:t>.</w:t>
      </w:r>
    </w:p>
    <w:p w:rsidR="00980F62" w:rsidRDefault="00256E3D" w:rsidP="00300704">
      <w:pPr>
        <w:rPr>
          <w:color w:val="000000" w:themeColor="text1"/>
          <w:szCs w:val="24"/>
        </w:rPr>
      </w:pPr>
      <w:r>
        <w:rPr>
          <w:color w:val="000000" w:themeColor="text1"/>
          <w:szCs w:val="24"/>
        </w:rPr>
        <w:t xml:space="preserve">The removal of the pain management items ($15 </w:t>
      </w:r>
      <w:r w:rsidR="00735127">
        <w:rPr>
          <w:color w:val="000000" w:themeColor="text1"/>
          <w:szCs w:val="24"/>
        </w:rPr>
        <w:t>per day</w:t>
      </w:r>
      <w:r w:rsidR="009E6428">
        <w:rPr>
          <w:color w:val="000000" w:themeColor="text1"/>
          <w:szCs w:val="24"/>
        </w:rPr>
        <w:t xml:space="preserve"> is the average funding over previous 4 years</w:t>
      </w:r>
      <w:r>
        <w:rPr>
          <w:color w:val="000000" w:themeColor="text1"/>
          <w:szCs w:val="24"/>
        </w:rPr>
        <w:t xml:space="preserve">) has had a variable impact on the funding comparisons as scoring on these questions was not related to the pattern of responses on the health care procedures. </w:t>
      </w:r>
      <w:r w:rsidR="00394001">
        <w:rPr>
          <w:color w:val="000000" w:themeColor="text1"/>
          <w:szCs w:val="24"/>
        </w:rPr>
        <w:t>Also</w:t>
      </w:r>
      <w:r w:rsidR="00160622">
        <w:rPr>
          <w:color w:val="000000" w:themeColor="text1"/>
          <w:szCs w:val="24"/>
        </w:rPr>
        <w:t xml:space="preserve">, </w:t>
      </w:r>
      <w:r w:rsidR="00394001">
        <w:rPr>
          <w:color w:val="000000" w:themeColor="text1"/>
          <w:szCs w:val="24"/>
        </w:rPr>
        <w:t>a</w:t>
      </w:r>
      <w:r w:rsidR="003E5D08">
        <w:rPr>
          <w:color w:val="000000" w:themeColor="text1"/>
          <w:szCs w:val="24"/>
        </w:rPr>
        <w:t>n a</w:t>
      </w:r>
      <w:r>
        <w:rPr>
          <w:color w:val="000000" w:themeColor="text1"/>
          <w:szCs w:val="24"/>
        </w:rPr>
        <w:t>dditional $3.65 was added from the depression question and there were also assumptions made with the available data (refer earlier discussion).</w:t>
      </w:r>
    </w:p>
    <w:p w:rsidR="00980F62" w:rsidRDefault="00256E3D" w:rsidP="00300704">
      <w:pPr>
        <w:rPr>
          <w:color w:val="000000" w:themeColor="text1"/>
          <w:szCs w:val="24"/>
        </w:rPr>
      </w:pPr>
      <w:r>
        <w:rPr>
          <w:color w:val="000000" w:themeColor="text1"/>
          <w:szCs w:val="24"/>
        </w:rPr>
        <w:t>There were relatively few residents who did not receive funding from the CHC domain at June 30, 2016. The R-ACFI will provide funding if any single procedure item is selected, unlike the current ACFI model which uses a matrix between the Medication Q11 and the Procedures listed in Q12 and claims in these questions may not always result in a funding outcome because of the matrix arrangement.</w:t>
      </w:r>
    </w:p>
    <w:p w:rsidR="00980F62" w:rsidRDefault="00256E3D" w:rsidP="00300704">
      <w:r>
        <w:rPr>
          <w:color w:val="000000" w:themeColor="text1"/>
          <w:szCs w:val="24"/>
        </w:rPr>
        <w:t xml:space="preserve">As </w:t>
      </w:r>
      <w:r>
        <w:t>indicated earlier, health care procedure items now determine all of the funding in this domain, which has retained some of the funding attributable to the pain management items</w:t>
      </w:r>
      <w:r w:rsidR="00394001">
        <w:t xml:space="preserve"> </w:t>
      </w:r>
      <w:r w:rsidR="009E6428">
        <w:t xml:space="preserve">($5 per day) </w:t>
      </w:r>
      <w:r w:rsidR="00394001">
        <w:t>as at June 30, 2016</w:t>
      </w:r>
      <w:r>
        <w:t xml:space="preserve">. This effectively provides an increase in funding to residents with complex health procedures </w:t>
      </w:r>
      <w:r w:rsidR="00394001">
        <w:t xml:space="preserve">claims </w:t>
      </w:r>
      <w:r>
        <w:t>compared to the ACFI.</w:t>
      </w:r>
    </w:p>
    <w:p w:rsidR="00043DB4" w:rsidRDefault="009F643E" w:rsidP="00043DB4">
      <w:pPr>
        <w:pStyle w:val="Caption"/>
        <w:keepNext/>
      </w:pPr>
      <w:bookmarkStart w:id="601" w:name="_Toc495416383"/>
      <w:bookmarkStart w:id="602" w:name="Tab0816"/>
      <w:r>
        <w:t>Table 8.</w:t>
      </w:r>
      <w:r w:rsidR="009A3F5A">
        <w:fldChar w:fldCharType="begin"/>
      </w:r>
      <w:r w:rsidR="009A3F5A">
        <w:instrText xml:space="preserve"> SEQ Table_8. \* ARABIC </w:instrText>
      </w:r>
      <w:r w:rsidR="009A3F5A">
        <w:fldChar w:fldCharType="separate"/>
      </w:r>
      <w:r w:rsidR="00856E49">
        <w:rPr>
          <w:noProof/>
        </w:rPr>
        <w:t>16</w:t>
      </w:r>
      <w:r w:rsidR="009A3F5A">
        <w:rPr>
          <w:noProof/>
        </w:rPr>
        <w:fldChar w:fldCharType="end"/>
      </w:r>
      <w:r>
        <w:t xml:space="preserve">: </w:t>
      </w:r>
      <w:r w:rsidRPr="009F643E">
        <w:t>R-ACFI Complex Health Care Payment Groups Compared with the Current ACFI</w:t>
      </w:r>
      <w:bookmarkEnd w:id="601"/>
    </w:p>
    <w:tbl>
      <w:tblPr>
        <w:tblStyle w:val="ListTable3-Accent515"/>
        <w:tblW w:w="9186"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8.16 is a list of details comparing the funding for complex health care (CHC) between the current aged care funding instrument (ACFI) and the revised aged care funding instrument (R-ACFI). This table is to be read left to right, top to bottom."/>
      </w:tblPr>
      <w:tblGrid>
        <w:gridCol w:w="1560"/>
        <w:gridCol w:w="1134"/>
        <w:gridCol w:w="1568"/>
        <w:gridCol w:w="1559"/>
        <w:gridCol w:w="1834"/>
        <w:gridCol w:w="1531"/>
      </w:tblGrid>
      <w:tr w:rsidR="009D42CA" w:rsidRPr="00012D98" w:rsidTr="001252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60" w:type="dxa"/>
            <w:noWrap/>
            <w:hideMark/>
          </w:tcPr>
          <w:bookmarkEnd w:id="602"/>
          <w:p w:rsidR="00980F62" w:rsidRDefault="009D42CA" w:rsidP="00A51750">
            <w:pPr>
              <w:spacing w:after="0"/>
              <w:rPr>
                <w:rFonts w:ascii="Calibri" w:eastAsia="Times New Roman" w:hAnsi="Calibri" w:cs="Calibri"/>
                <w:bCs w:val="0"/>
                <w:sz w:val="22"/>
                <w:lang w:val="en-US"/>
              </w:rPr>
            </w:pPr>
            <w:r>
              <w:rPr>
                <w:rFonts w:ascii="Calibri" w:eastAsia="Times New Roman" w:hAnsi="Calibri" w:cs="Calibri"/>
                <w:bCs w:val="0"/>
                <w:sz w:val="22"/>
                <w:lang w:val="en-US"/>
              </w:rPr>
              <w:t>R-ACFI</w:t>
            </w:r>
          </w:p>
          <w:p w:rsidR="009D42CA" w:rsidRPr="00CF0A97" w:rsidRDefault="009D42CA" w:rsidP="00A51750">
            <w:pPr>
              <w:spacing w:after="0"/>
              <w:rPr>
                <w:rFonts w:ascii="Calibri" w:eastAsia="Times New Roman" w:hAnsi="Calibri" w:cs="Calibri"/>
                <w:bCs w:val="0"/>
                <w:sz w:val="22"/>
                <w:lang w:val="en-US"/>
              </w:rPr>
            </w:pPr>
            <w:r>
              <w:rPr>
                <w:rFonts w:ascii="Calibri" w:eastAsia="Times New Roman" w:hAnsi="Calibri" w:cs="Calibri"/>
                <w:bCs w:val="0"/>
                <w:sz w:val="22"/>
                <w:lang w:val="en-US"/>
              </w:rPr>
              <w:t>CHC Category</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9D42CA" w:rsidRPr="00CF0A97" w:rsidRDefault="009D42CA" w:rsidP="009D42CA">
            <w:pPr>
              <w:spacing w:after="0"/>
              <w:jc w:val="center"/>
              <w:rPr>
                <w:rFonts w:ascii="Calibri" w:eastAsia="Times New Roman" w:hAnsi="Calibri" w:cs="Calibri"/>
                <w:bCs w:val="0"/>
                <w:sz w:val="22"/>
                <w:lang w:val="en-US"/>
              </w:rPr>
            </w:pPr>
            <w:r>
              <w:rPr>
                <w:rFonts w:ascii="Calibri" w:eastAsia="Times New Roman" w:hAnsi="Calibri" w:cs="Calibri"/>
                <w:bCs w:val="0"/>
                <w:sz w:val="22"/>
                <w:lang w:val="en-US"/>
              </w:rPr>
              <w:t>Number in Group</w:t>
            </w:r>
          </w:p>
        </w:tc>
        <w:tc>
          <w:tcPr>
            <w:tcW w:w="1568" w:type="dxa"/>
            <w:noWrap/>
            <w:hideMark/>
          </w:tcPr>
          <w:p w:rsidR="009D42CA" w:rsidRPr="00CF0A97" w:rsidRDefault="009D42CA" w:rsidP="009D42CA">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2"/>
                <w:lang w:val="en-US"/>
              </w:rPr>
            </w:pPr>
            <w:r>
              <w:rPr>
                <w:rFonts w:ascii="Calibri" w:eastAsia="Times New Roman" w:hAnsi="Calibri" w:cs="Calibri"/>
                <w:bCs w:val="0"/>
                <w:sz w:val="22"/>
                <w:lang w:val="en-US"/>
              </w:rPr>
              <w:t xml:space="preserve">Category Cut Point </w:t>
            </w:r>
            <w:r w:rsidRPr="006E2891">
              <w:rPr>
                <w:rFonts w:ascii="Calibri" w:eastAsia="Times New Roman" w:hAnsi="Calibri" w:cs="Calibri"/>
                <w:sz w:val="22"/>
                <w:lang w:val="en-US"/>
              </w:rPr>
              <w:t>Low</w:t>
            </w:r>
          </w:p>
        </w:tc>
        <w:tc>
          <w:tcPr>
            <w:cnfStyle w:val="000010000000" w:firstRow="0" w:lastRow="0" w:firstColumn="0" w:lastColumn="0" w:oddVBand="1" w:evenVBand="0" w:oddHBand="0" w:evenHBand="0" w:firstRowFirstColumn="0" w:firstRowLastColumn="0" w:lastRowFirstColumn="0" w:lastRowLastColumn="0"/>
            <w:tcW w:w="1559" w:type="dxa"/>
          </w:tcPr>
          <w:p w:rsidR="009D42CA" w:rsidRPr="00CF0A97" w:rsidRDefault="009D42CA" w:rsidP="009D42CA">
            <w:pPr>
              <w:spacing w:after="0"/>
              <w:jc w:val="center"/>
              <w:rPr>
                <w:rFonts w:ascii="Calibri" w:eastAsia="Times New Roman" w:hAnsi="Calibri" w:cs="Calibri"/>
                <w:bCs w:val="0"/>
                <w:sz w:val="22"/>
                <w:lang w:val="en-US"/>
              </w:rPr>
            </w:pPr>
            <w:r>
              <w:rPr>
                <w:rFonts w:ascii="Calibri" w:eastAsia="Times New Roman" w:hAnsi="Calibri" w:cs="Calibri"/>
                <w:bCs w:val="0"/>
                <w:sz w:val="22"/>
                <w:lang w:val="en-US"/>
              </w:rPr>
              <w:t xml:space="preserve">Category Cut Point </w:t>
            </w:r>
            <w:r w:rsidRPr="006E2891">
              <w:rPr>
                <w:rFonts w:ascii="Calibri" w:eastAsia="Times New Roman" w:hAnsi="Calibri" w:cs="Calibri"/>
                <w:sz w:val="22"/>
                <w:lang w:val="en-US"/>
              </w:rPr>
              <w:t>High</w:t>
            </w:r>
          </w:p>
        </w:tc>
        <w:tc>
          <w:tcPr>
            <w:tcW w:w="1834" w:type="dxa"/>
            <w:noWrap/>
            <w:hideMark/>
          </w:tcPr>
          <w:p w:rsidR="009D42CA" w:rsidRPr="00CF0A97" w:rsidRDefault="009D42CA" w:rsidP="009D42CA">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2"/>
                <w:lang w:val="en-US"/>
              </w:rPr>
            </w:pPr>
            <w:r>
              <w:rPr>
                <w:rFonts w:ascii="Calibri" w:eastAsia="Times New Roman" w:hAnsi="Calibri" w:cs="Calibri"/>
                <w:bCs w:val="0"/>
                <w:sz w:val="22"/>
                <w:lang w:val="en-US"/>
              </w:rPr>
              <w:t>Average Current ACFI $ Subsidy</w:t>
            </w:r>
            <w:r w:rsidRPr="006E2891">
              <w:rPr>
                <w:rFonts w:ascii="Calibri" w:eastAsia="Times New Roman" w:hAnsi="Calibri" w:cs="Calibri"/>
                <w:bCs w:val="0"/>
                <w:sz w:val="22"/>
                <w:vertAlign w:val="superscript"/>
                <w:lang w:val="en-US"/>
              </w:rPr>
              <w:t>1</w:t>
            </w:r>
          </w:p>
        </w:tc>
        <w:tc>
          <w:tcPr>
            <w:cnfStyle w:val="000010000000" w:firstRow="0" w:lastRow="0" w:firstColumn="0" w:lastColumn="0" w:oddVBand="1" w:evenVBand="0" w:oddHBand="0" w:evenHBand="0" w:firstRowFirstColumn="0" w:firstRowLastColumn="0" w:lastRowFirstColumn="0" w:lastRowLastColumn="0"/>
            <w:tcW w:w="1531" w:type="dxa"/>
            <w:noWrap/>
            <w:hideMark/>
          </w:tcPr>
          <w:p w:rsidR="009D42CA" w:rsidRPr="00CF0A97" w:rsidRDefault="009D42CA" w:rsidP="009D42CA">
            <w:pPr>
              <w:spacing w:after="0"/>
              <w:jc w:val="center"/>
              <w:rPr>
                <w:rFonts w:ascii="Calibri" w:eastAsia="Times New Roman" w:hAnsi="Calibri" w:cs="Calibri"/>
                <w:bCs w:val="0"/>
                <w:sz w:val="22"/>
                <w:lang w:val="en-US"/>
              </w:rPr>
            </w:pPr>
            <w:r>
              <w:rPr>
                <w:rFonts w:ascii="Calibri" w:eastAsia="Times New Roman" w:hAnsi="Calibri" w:cs="Calibri"/>
                <w:bCs w:val="0"/>
                <w:sz w:val="22"/>
                <w:lang w:val="en-US"/>
              </w:rPr>
              <w:t>Average R-ACFI Subsidy</w:t>
            </w:r>
            <w:r w:rsidRPr="006E2891">
              <w:rPr>
                <w:rFonts w:ascii="Calibri" w:eastAsia="Times New Roman" w:hAnsi="Calibri" w:cs="Calibri"/>
                <w:bCs w:val="0"/>
                <w:sz w:val="22"/>
                <w:vertAlign w:val="superscript"/>
                <w:lang w:val="en-US"/>
              </w:rPr>
              <w:t>1</w:t>
            </w:r>
          </w:p>
        </w:tc>
      </w:tr>
      <w:tr w:rsidR="00256E3D" w:rsidRPr="00012D98" w:rsidTr="00125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right w:val="none" w:sz="0" w:space="0" w:color="auto"/>
            </w:tcBorders>
            <w:noWrap/>
            <w:vAlign w:val="bottom"/>
          </w:tcPr>
          <w:p w:rsidR="00256E3D" w:rsidRPr="00012D98" w:rsidRDefault="00636818" w:rsidP="00A51750">
            <w:pPr>
              <w:spacing w:after="0"/>
              <w:rPr>
                <w:rFonts w:ascii="Calibri" w:eastAsia="Times New Roman" w:hAnsi="Calibri" w:cs="Calibri"/>
                <w:color w:val="000000"/>
                <w:sz w:val="22"/>
                <w:lang w:val="en-US"/>
              </w:rPr>
            </w:pPr>
            <w:r>
              <w:rPr>
                <w:rFonts w:ascii="Calibri" w:eastAsia="Times New Roman" w:hAnsi="Calibri" w:cs="Calibri"/>
                <w:color w:val="000000"/>
                <w:sz w:val="22"/>
                <w:lang w:val="en-US"/>
              </w:rPr>
              <w:t>Nil</w:t>
            </w:r>
            <w:r w:rsidR="00256E3D" w:rsidRPr="006F22F3">
              <w:rPr>
                <w:rFonts w:ascii="Calibri" w:eastAsia="Times New Roman" w:hAnsi="Calibri" w:cs="Calibri"/>
                <w:color w:val="000000"/>
                <w:sz w:val="22"/>
                <w:vertAlign w:val="superscript"/>
                <w:lang w:val="en-US"/>
              </w:rPr>
              <w:t>2</w:t>
            </w:r>
            <w:r w:rsidR="00256E3D">
              <w:rPr>
                <w:rFonts w:ascii="Calibri" w:eastAsia="Times New Roman" w:hAnsi="Calibri" w:cs="Calibri"/>
                <w:color w:val="000000"/>
                <w:sz w:val="22"/>
                <w:lang w:val="en-US"/>
              </w:rPr>
              <w:t xml:space="preserve"> </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noWrap/>
            <w:vAlign w:val="bottom"/>
          </w:tcPr>
          <w:p w:rsidR="00256E3D" w:rsidRPr="00012D98" w:rsidRDefault="00256E3D" w:rsidP="009D42CA">
            <w:pPr>
              <w:spacing w:after="0"/>
              <w:jc w:val="center"/>
              <w:rPr>
                <w:rFonts w:ascii="Calibri" w:eastAsia="Times New Roman" w:hAnsi="Calibri" w:cs="Calibri"/>
                <w:color w:val="000000"/>
                <w:sz w:val="22"/>
                <w:lang w:val="en-US"/>
              </w:rPr>
            </w:pPr>
            <w:r w:rsidRPr="0084797A">
              <w:rPr>
                <w:rFonts w:ascii="Calibri" w:eastAsia="Times New Roman" w:hAnsi="Calibri" w:cs="Calibri"/>
                <w:color w:val="000000"/>
                <w:sz w:val="22"/>
                <w:lang w:val="en-US"/>
              </w:rPr>
              <w:t>1713</w:t>
            </w:r>
          </w:p>
        </w:tc>
        <w:tc>
          <w:tcPr>
            <w:tcW w:w="1568" w:type="dxa"/>
            <w:tcBorders>
              <w:top w:val="none" w:sz="0" w:space="0" w:color="auto"/>
              <w:bottom w:val="none" w:sz="0" w:space="0" w:color="auto"/>
            </w:tcBorders>
            <w:noWrap/>
            <w:vAlign w:val="bottom"/>
          </w:tcPr>
          <w:p w:rsidR="00256E3D" w:rsidRPr="00012D98" w:rsidRDefault="00256E3D" w:rsidP="009D42C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Pr>
                <w:rFonts w:ascii="Calibri" w:eastAsia="Times New Roman" w:hAnsi="Calibri" w:cs="Calibri"/>
                <w:color w:val="000000"/>
                <w:sz w:val="22"/>
                <w:lang w:val="en-US"/>
              </w:rPr>
              <w:t>0</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bottom"/>
          </w:tcPr>
          <w:p w:rsidR="00256E3D" w:rsidRPr="00012D98" w:rsidRDefault="00256E3D" w:rsidP="009D42CA">
            <w:pPr>
              <w:spacing w:after="0"/>
              <w:jc w:val="center"/>
              <w:rPr>
                <w:rFonts w:ascii="Calibri" w:eastAsia="Times New Roman" w:hAnsi="Calibri" w:cs="Calibri"/>
                <w:color w:val="000000"/>
                <w:sz w:val="22"/>
                <w:lang w:val="en-US"/>
              </w:rPr>
            </w:pPr>
            <w:r>
              <w:rPr>
                <w:rFonts w:ascii="Calibri" w:eastAsia="Times New Roman" w:hAnsi="Calibri" w:cs="Calibri"/>
                <w:color w:val="000000"/>
                <w:sz w:val="22"/>
                <w:lang w:val="en-US"/>
              </w:rPr>
              <w:t>0</w:t>
            </w:r>
          </w:p>
        </w:tc>
        <w:tc>
          <w:tcPr>
            <w:tcW w:w="1834" w:type="dxa"/>
            <w:tcBorders>
              <w:top w:val="none" w:sz="0" w:space="0" w:color="auto"/>
              <w:bottom w:val="none" w:sz="0" w:space="0" w:color="auto"/>
            </w:tcBorders>
            <w:noWrap/>
            <w:vAlign w:val="bottom"/>
          </w:tcPr>
          <w:p w:rsidR="00256E3D" w:rsidRPr="00012D98" w:rsidRDefault="00256E3D" w:rsidP="009D42C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84797A">
              <w:rPr>
                <w:rFonts w:ascii="Calibri" w:eastAsia="Times New Roman" w:hAnsi="Calibri" w:cs="Calibri"/>
                <w:color w:val="000000"/>
                <w:sz w:val="22"/>
                <w:lang w:val="en-US"/>
              </w:rPr>
              <w:t>20.08</w:t>
            </w:r>
          </w:p>
        </w:tc>
        <w:tc>
          <w:tcPr>
            <w:cnfStyle w:val="000010000000" w:firstRow="0" w:lastRow="0" w:firstColumn="0" w:lastColumn="0" w:oddVBand="1"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noWrap/>
            <w:vAlign w:val="bottom"/>
          </w:tcPr>
          <w:p w:rsidR="00256E3D" w:rsidRPr="00012D98" w:rsidRDefault="00256E3D" w:rsidP="009D42CA">
            <w:pPr>
              <w:spacing w:after="0"/>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84797A">
              <w:rPr>
                <w:rFonts w:ascii="Calibri" w:eastAsia="Times New Roman" w:hAnsi="Calibri" w:cs="Calibri"/>
                <w:color w:val="000000"/>
                <w:sz w:val="22"/>
                <w:lang w:val="en-US"/>
              </w:rPr>
              <w:t>0.00</w:t>
            </w:r>
          </w:p>
        </w:tc>
      </w:tr>
      <w:tr w:rsidR="00256E3D" w:rsidRPr="00012D98" w:rsidTr="00125277">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noWrap/>
            <w:vAlign w:val="bottom"/>
          </w:tcPr>
          <w:p w:rsidR="00256E3D" w:rsidRPr="00012D98" w:rsidRDefault="00256E3D" w:rsidP="00A51750">
            <w:pPr>
              <w:spacing w:after="0"/>
              <w:rPr>
                <w:rFonts w:ascii="Calibri" w:eastAsia="Times New Roman" w:hAnsi="Calibri" w:cs="Calibri"/>
                <w:color w:val="000000"/>
                <w:sz w:val="22"/>
                <w:lang w:val="en-US"/>
              </w:rPr>
            </w:pPr>
            <w:r>
              <w:rPr>
                <w:rFonts w:ascii="Calibri" w:eastAsia="Times New Roman" w:hAnsi="Calibri" w:cs="Calibri"/>
                <w:color w:val="000000"/>
                <w:sz w:val="22"/>
                <w:lang w:val="en-US"/>
              </w:rPr>
              <w:t>Low</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noWrap/>
            <w:vAlign w:val="bottom"/>
          </w:tcPr>
          <w:p w:rsidR="00256E3D" w:rsidRPr="00012D98" w:rsidRDefault="00256E3D" w:rsidP="009D42CA">
            <w:pPr>
              <w:spacing w:after="0"/>
              <w:jc w:val="center"/>
              <w:rPr>
                <w:rFonts w:ascii="Calibri" w:eastAsia="Times New Roman" w:hAnsi="Calibri" w:cs="Calibri"/>
                <w:color w:val="000000"/>
                <w:sz w:val="22"/>
                <w:lang w:val="en-US"/>
              </w:rPr>
            </w:pPr>
            <w:r w:rsidRPr="0084797A">
              <w:rPr>
                <w:rFonts w:ascii="Calibri" w:eastAsia="Times New Roman" w:hAnsi="Calibri" w:cs="Calibri"/>
                <w:color w:val="000000"/>
                <w:sz w:val="22"/>
                <w:lang w:val="en-US"/>
              </w:rPr>
              <w:t>42169</w:t>
            </w:r>
          </w:p>
        </w:tc>
        <w:tc>
          <w:tcPr>
            <w:tcW w:w="1568" w:type="dxa"/>
            <w:noWrap/>
            <w:vAlign w:val="bottom"/>
          </w:tcPr>
          <w:p w:rsidR="00256E3D" w:rsidRPr="00012D98" w:rsidRDefault="00256E3D" w:rsidP="009D42C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Pr>
                <w:rFonts w:ascii="Calibri" w:eastAsia="Times New Roman" w:hAnsi="Calibri" w:cs="Calibri"/>
                <w:color w:val="000000"/>
                <w:sz w:val="22"/>
                <w:lang w:val="en-US"/>
              </w:rPr>
              <w:t>1</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bottom"/>
          </w:tcPr>
          <w:p w:rsidR="00256E3D" w:rsidRPr="00012D98" w:rsidRDefault="00256E3D" w:rsidP="009D42CA">
            <w:pPr>
              <w:spacing w:after="0"/>
              <w:jc w:val="center"/>
              <w:rPr>
                <w:rFonts w:ascii="Calibri" w:eastAsia="Times New Roman" w:hAnsi="Calibri" w:cs="Calibri"/>
                <w:color w:val="000000"/>
                <w:sz w:val="22"/>
                <w:lang w:val="en-US"/>
              </w:rPr>
            </w:pPr>
            <w:r>
              <w:rPr>
                <w:rFonts w:ascii="Calibri" w:eastAsia="Times New Roman" w:hAnsi="Calibri" w:cs="Calibri"/>
                <w:color w:val="000000"/>
                <w:sz w:val="22"/>
                <w:lang w:val="en-US"/>
              </w:rPr>
              <w:t>5</w:t>
            </w:r>
          </w:p>
        </w:tc>
        <w:tc>
          <w:tcPr>
            <w:tcW w:w="1834" w:type="dxa"/>
            <w:noWrap/>
            <w:vAlign w:val="bottom"/>
          </w:tcPr>
          <w:p w:rsidR="00256E3D" w:rsidRPr="00012D98" w:rsidRDefault="00256E3D" w:rsidP="009D42C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84797A">
              <w:rPr>
                <w:rFonts w:ascii="Calibri" w:eastAsia="Times New Roman" w:hAnsi="Calibri" w:cs="Calibri"/>
                <w:color w:val="000000"/>
                <w:sz w:val="22"/>
                <w:lang w:val="en-US"/>
              </w:rPr>
              <w:t>38.99</w:t>
            </w:r>
          </w:p>
        </w:tc>
        <w:tc>
          <w:tcPr>
            <w:cnfStyle w:val="000010000000" w:firstRow="0" w:lastRow="0" w:firstColumn="0" w:lastColumn="0" w:oddVBand="1" w:evenVBand="0" w:oddHBand="0" w:evenHBand="0" w:firstRowFirstColumn="0" w:firstRowLastColumn="0" w:lastRowFirstColumn="0" w:lastRowLastColumn="0"/>
            <w:tcW w:w="1531" w:type="dxa"/>
            <w:tcBorders>
              <w:left w:val="none" w:sz="0" w:space="0" w:color="auto"/>
              <w:right w:val="none" w:sz="0" w:space="0" w:color="auto"/>
            </w:tcBorders>
            <w:noWrap/>
            <w:vAlign w:val="bottom"/>
          </w:tcPr>
          <w:p w:rsidR="00256E3D" w:rsidRPr="00012D98" w:rsidRDefault="00256E3D" w:rsidP="009D42CA">
            <w:pPr>
              <w:spacing w:after="0"/>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84797A">
              <w:rPr>
                <w:rFonts w:ascii="Calibri" w:eastAsia="Times New Roman" w:hAnsi="Calibri" w:cs="Calibri"/>
                <w:color w:val="000000"/>
                <w:sz w:val="22"/>
                <w:lang w:val="en-US"/>
              </w:rPr>
              <w:t>33.11</w:t>
            </w:r>
          </w:p>
        </w:tc>
      </w:tr>
      <w:tr w:rsidR="00256E3D" w:rsidRPr="00012D98" w:rsidTr="00125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right w:val="none" w:sz="0" w:space="0" w:color="auto"/>
            </w:tcBorders>
            <w:noWrap/>
            <w:vAlign w:val="bottom"/>
          </w:tcPr>
          <w:p w:rsidR="00256E3D" w:rsidRPr="00012D98" w:rsidRDefault="00256E3D" w:rsidP="00A51750">
            <w:pPr>
              <w:spacing w:after="0"/>
              <w:rPr>
                <w:rFonts w:ascii="Calibri" w:eastAsia="Times New Roman" w:hAnsi="Calibri" w:cs="Calibri"/>
                <w:color w:val="000000"/>
                <w:sz w:val="22"/>
                <w:lang w:val="en-US"/>
              </w:rPr>
            </w:pPr>
            <w:r>
              <w:rPr>
                <w:rFonts w:ascii="Calibri" w:eastAsia="Times New Roman" w:hAnsi="Calibri" w:cs="Calibri"/>
                <w:color w:val="000000"/>
                <w:sz w:val="22"/>
                <w:lang w:val="en-US"/>
              </w:rPr>
              <w:t>Medium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noWrap/>
            <w:vAlign w:val="bottom"/>
          </w:tcPr>
          <w:p w:rsidR="00256E3D" w:rsidRPr="00012D98" w:rsidRDefault="00256E3D" w:rsidP="009D42CA">
            <w:pPr>
              <w:spacing w:after="0"/>
              <w:jc w:val="center"/>
              <w:rPr>
                <w:rFonts w:ascii="Calibri" w:eastAsia="Times New Roman" w:hAnsi="Calibri" w:cs="Calibri"/>
                <w:color w:val="000000"/>
                <w:sz w:val="22"/>
                <w:lang w:val="en-US"/>
              </w:rPr>
            </w:pPr>
            <w:r w:rsidRPr="0084797A">
              <w:rPr>
                <w:rFonts w:ascii="Calibri" w:eastAsia="Times New Roman" w:hAnsi="Calibri" w:cs="Calibri"/>
                <w:color w:val="000000"/>
                <w:sz w:val="22"/>
                <w:lang w:val="en-US"/>
              </w:rPr>
              <w:t>106779</w:t>
            </w:r>
          </w:p>
        </w:tc>
        <w:tc>
          <w:tcPr>
            <w:tcW w:w="1568" w:type="dxa"/>
            <w:tcBorders>
              <w:top w:val="none" w:sz="0" w:space="0" w:color="auto"/>
              <w:bottom w:val="none" w:sz="0" w:space="0" w:color="auto"/>
            </w:tcBorders>
            <w:noWrap/>
            <w:vAlign w:val="bottom"/>
          </w:tcPr>
          <w:p w:rsidR="00256E3D" w:rsidRPr="00012D98" w:rsidRDefault="00256E3D" w:rsidP="009D42C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Pr>
                <w:rFonts w:ascii="Calibri" w:eastAsia="Times New Roman" w:hAnsi="Calibri" w:cs="Calibri"/>
                <w:color w:val="000000"/>
                <w:sz w:val="22"/>
                <w:lang w:val="en-US"/>
              </w:rPr>
              <w:t>6</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bottom"/>
          </w:tcPr>
          <w:p w:rsidR="00256E3D" w:rsidRPr="00012D98" w:rsidRDefault="00256E3D" w:rsidP="009D42CA">
            <w:pPr>
              <w:spacing w:after="0"/>
              <w:jc w:val="center"/>
              <w:rPr>
                <w:rFonts w:ascii="Calibri" w:eastAsia="Times New Roman" w:hAnsi="Calibri" w:cs="Calibri"/>
                <w:color w:val="000000"/>
                <w:sz w:val="22"/>
                <w:lang w:val="en-US"/>
              </w:rPr>
            </w:pPr>
            <w:r>
              <w:rPr>
                <w:rFonts w:ascii="Calibri" w:eastAsia="Times New Roman" w:hAnsi="Calibri" w:cs="Calibri"/>
                <w:color w:val="000000"/>
                <w:sz w:val="22"/>
                <w:lang w:val="en-US"/>
              </w:rPr>
              <w:t>11</w:t>
            </w:r>
          </w:p>
        </w:tc>
        <w:tc>
          <w:tcPr>
            <w:tcW w:w="1834" w:type="dxa"/>
            <w:tcBorders>
              <w:top w:val="none" w:sz="0" w:space="0" w:color="auto"/>
              <w:bottom w:val="none" w:sz="0" w:space="0" w:color="auto"/>
            </w:tcBorders>
            <w:noWrap/>
            <w:vAlign w:val="bottom"/>
          </w:tcPr>
          <w:p w:rsidR="00256E3D" w:rsidRPr="00012D98" w:rsidRDefault="00256E3D" w:rsidP="009D42C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84797A">
              <w:rPr>
                <w:rFonts w:ascii="Calibri" w:eastAsia="Times New Roman" w:hAnsi="Calibri" w:cs="Calibri"/>
                <w:color w:val="000000"/>
                <w:sz w:val="22"/>
                <w:lang w:val="en-US"/>
              </w:rPr>
              <w:t>57.63</w:t>
            </w:r>
          </w:p>
        </w:tc>
        <w:tc>
          <w:tcPr>
            <w:cnfStyle w:val="000010000000" w:firstRow="0" w:lastRow="0" w:firstColumn="0" w:lastColumn="0" w:oddVBand="1"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noWrap/>
            <w:vAlign w:val="bottom"/>
          </w:tcPr>
          <w:p w:rsidR="00256E3D" w:rsidRPr="00012D98" w:rsidRDefault="00256E3D" w:rsidP="009D42CA">
            <w:pPr>
              <w:spacing w:after="0"/>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84797A">
              <w:rPr>
                <w:rFonts w:ascii="Calibri" w:eastAsia="Times New Roman" w:hAnsi="Calibri" w:cs="Calibri"/>
                <w:color w:val="000000"/>
                <w:sz w:val="22"/>
                <w:lang w:val="en-US"/>
              </w:rPr>
              <w:t>44.15</w:t>
            </w:r>
          </w:p>
        </w:tc>
      </w:tr>
      <w:tr w:rsidR="00256E3D" w:rsidRPr="00012D98" w:rsidTr="00125277">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noWrap/>
            <w:vAlign w:val="bottom"/>
          </w:tcPr>
          <w:p w:rsidR="00256E3D" w:rsidRPr="00012D98" w:rsidRDefault="00256E3D" w:rsidP="00A51750">
            <w:pPr>
              <w:spacing w:after="0"/>
              <w:rPr>
                <w:rFonts w:ascii="Calibri" w:eastAsia="Times New Roman" w:hAnsi="Calibri" w:cs="Calibri"/>
                <w:color w:val="000000"/>
                <w:sz w:val="22"/>
                <w:lang w:val="en-US"/>
              </w:rPr>
            </w:pPr>
            <w:r>
              <w:rPr>
                <w:rFonts w:ascii="Calibri" w:eastAsia="Times New Roman" w:hAnsi="Calibri" w:cs="Calibri"/>
                <w:color w:val="000000"/>
                <w:sz w:val="22"/>
                <w:lang w:val="en-US"/>
              </w:rPr>
              <w:t>High</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noWrap/>
            <w:vAlign w:val="bottom"/>
          </w:tcPr>
          <w:p w:rsidR="00256E3D" w:rsidRPr="00012D98" w:rsidRDefault="00256E3D" w:rsidP="009D42CA">
            <w:pPr>
              <w:spacing w:after="0"/>
              <w:jc w:val="center"/>
              <w:rPr>
                <w:rFonts w:ascii="Calibri" w:eastAsia="Times New Roman" w:hAnsi="Calibri" w:cs="Calibri"/>
                <w:color w:val="000000"/>
                <w:sz w:val="22"/>
                <w:lang w:val="en-US"/>
              </w:rPr>
            </w:pPr>
            <w:r w:rsidRPr="0084797A">
              <w:rPr>
                <w:rFonts w:ascii="Calibri" w:eastAsia="Times New Roman" w:hAnsi="Calibri" w:cs="Calibri"/>
                <w:color w:val="000000"/>
                <w:sz w:val="22"/>
                <w:lang w:val="en-US"/>
              </w:rPr>
              <w:t>24699</w:t>
            </w:r>
          </w:p>
        </w:tc>
        <w:tc>
          <w:tcPr>
            <w:tcW w:w="1568" w:type="dxa"/>
            <w:noWrap/>
            <w:vAlign w:val="bottom"/>
          </w:tcPr>
          <w:p w:rsidR="00256E3D" w:rsidRPr="00012D98" w:rsidRDefault="00256E3D" w:rsidP="009D42C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Pr>
                <w:rFonts w:ascii="Calibri" w:eastAsia="Times New Roman" w:hAnsi="Calibri" w:cs="Calibri"/>
                <w:color w:val="000000"/>
                <w:sz w:val="22"/>
                <w:lang w:val="en-US"/>
              </w:rPr>
              <w:t>12</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bottom"/>
          </w:tcPr>
          <w:p w:rsidR="00256E3D" w:rsidRPr="00012D98" w:rsidRDefault="00256E3D" w:rsidP="009D42CA">
            <w:pPr>
              <w:spacing w:after="0"/>
              <w:jc w:val="center"/>
              <w:rPr>
                <w:rFonts w:ascii="Calibri" w:eastAsia="Times New Roman" w:hAnsi="Calibri" w:cs="Calibri"/>
                <w:color w:val="000000"/>
                <w:sz w:val="22"/>
                <w:lang w:val="en-US"/>
              </w:rPr>
            </w:pPr>
            <w:r>
              <w:rPr>
                <w:rFonts w:ascii="Calibri" w:eastAsia="Times New Roman" w:hAnsi="Calibri" w:cs="Calibri"/>
                <w:color w:val="000000"/>
                <w:sz w:val="22"/>
                <w:lang w:val="en-US"/>
              </w:rPr>
              <w:t>38</w:t>
            </w:r>
          </w:p>
        </w:tc>
        <w:tc>
          <w:tcPr>
            <w:tcW w:w="1834" w:type="dxa"/>
            <w:noWrap/>
            <w:vAlign w:val="bottom"/>
          </w:tcPr>
          <w:p w:rsidR="00256E3D" w:rsidRPr="00012D98" w:rsidRDefault="00256E3D" w:rsidP="009D42C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84797A">
              <w:rPr>
                <w:rFonts w:ascii="Calibri" w:eastAsia="Times New Roman" w:hAnsi="Calibri" w:cs="Calibri"/>
                <w:color w:val="000000"/>
                <w:sz w:val="22"/>
                <w:lang w:val="en-US"/>
              </w:rPr>
              <w:t>66.19</w:t>
            </w:r>
          </w:p>
        </w:tc>
        <w:tc>
          <w:tcPr>
            <w:cnfStyle w:val="000010000000" w:firstRow="0" w:lastRow="0" w:firstColumn="0" w:lastColumn="0" w:oddVBand="1" w:evenVBand="0" w:oddHBand="0" w:evenHBand="0" w:firstRowFirstColumn="0" w:firstRowLastColumn="0" w:lastRowFirstColumn="0" w:lastRowLastColumn="0"/>
            <w:tcW w:w="1531" w:type="dxa"/>
            <w:tcBorders>
              <w:left w:val="none" w:sz="0" w:space="0" w:color="auto"/>
              <w:right w:val="none" w:sz="0" w:space="0" w:color="auto"/>
            </w:tcBorders>
            <w:noWrap/>
            <w:vAlign w:val="bottom"/>
          </w:tcPr>
          <w:p w:rsidR="00256E3D" w:rsidRPr="00012D98" w:rsidRDefault="00256E3D" w:rsidP="009D42CA">
            <w:pPr>
              <w:spacing w:after="0"/>
              <w:jc w:val="center"/>
              <w:rPr>
                <w:rFonts w:ascii="Calibri" w:eastAsia="Times New Roman" w:hAnsi="Calibri" w:cs="Calibri"/>
                <w:color w:val="000000"/>
                <w:sz w:val="22"/>
                <w:lang w:val="en-US"/>
              </w:rPr>
            </w:pPr>
            <w:r>
              <w:rPr>
                <w:rFonts w:ascii="Calibri" w:eastAsia="Times New Roman" w:hAnsi="Calibri" w:cs="Calibri"/>
                <w:color w:val="000000"/>
                <w:sz w:val="22"/>
                <w:lang w:val="en-US"/>
              </w:rPr>
              <w:t>$</w:t>
            </w:r>
            <w:r w:rsidRPr="0084797A">
              <w:rPr>
                <w:rFonts w:ascii="Calibri" w:eastAsia="Times New Roman" w:hAnsi="Calibri" w:cs="Calibri"/>
                <w:color w:val="000000"/>
                <w:sz w:val="22"/>
                <w:lang w:val="en-US"/>
              </w:rPr>
              <w:t>55.19</w:t>
            </w:r>
          </w:p>
        </w:tc>
      </w:tr>
      <w:tr w:rsidR="00125277" w:rsidRPr="00012D98" w:rsidTr="001D3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right w:val="none" w:sz="0" w:space="0" w:color="auto"/>
            </w:tcBorders>
            <w:shd w:val="clear" w:color="auto" w:fill="auto"/>
            <w:noWrap/>
            <w:vAlign w:val="bottom"/>
          </w:tcPr>
          <w:p w:rsidR="00125277" w:rsidRDefault="00125277" w:rsidP="00A51750">
            <w:pPr>
              <w:spacing w:after="0"/>
              <w:rPr>
                <w:rFonts w:ascii="Calibri" w:eastAsia="Times New Roman" w:hAnsi="Calibri" w:cs="Calibri"/>
                <w:color w:val="000000"/>
                <w:sz w:val="22"/>
                <w:lang w:val="en-US"/>
              </w:rPr>
            </w:pPr>
            <w:r>
              <w:rPr>
                <w:rFonts w:ascii="Calibri" w:eastAsia="Times New Roman" w:hAnsi="Calibri" w:cs="Calibri"/>
                <w:color w:val="000000"/>
                <w:sz w:val="22"/>
                <w:lang w:val="en-US"/>
              </w:rPr>
              <w:t>Total</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auto"/>
            <w:noWrap/>
            <w:vAlign w:val="bottom"/>
          </w:tcPr>
          <w:p w:rsidR="00125277" w:rsidRPr="00012D98" w:rsidRDefault="00125277" w:rsidP="009D42CA">
            <w:pPr>
              <w:spacing w:after="0"/>
              <w:jc w:val="center"/>
              <w:rPr>
                <w:rFonts w:ascii="Calibri" w:eastAsia="Times New Roman" w:hAnsi="Calibri" w:cs="Calibri"/>
                <w:color w:val="000000"/>
                <w:sz w:val="22"/>
                <w:lang w:val="en-US"/>
              </w:rPr>
            </w:pPr>
            <w:r w:rsidRPr="0084797A">
              <w:rPr>
                <w:rFonts w:ascii="Calibri" w:eastAsia="Times New Roman" w:hAnsi="Calibri" w:cs="Calibri"/>
                <w:b/>
                <w:bCs/>
                <w:color w:val="000000"/>
                <w:sz w:val="22"/>
                <w:lang w:val="en-US"/>
              </w:rPr>
              <w:t>175360</w:t>
            </w:r>
          </w:p>
        </w:tc>
        <w:tc>
          <w:tcPr>
            <w:tcW w:w="1568" w:type="dxa"/>
            <w:tcBorders>
              <w:top w:val="none" w:sz="0" w:space="0" w:color="auto"/>
              <w:bottom w:val="none" w:sz="0" w:space="0" w:color="auto"/>
            </w:tcBorders>
            <w:shd w:val="clear" w:color="auto" w:fill="auto"/>
            <w:noWrap/>
            <w:vAlign w:val="bottom"/>
          </w:tcPr>
          <w:p w:rsidR="00125277" w:rsidRPr="00125277" w:rsidRDefault="00125277" w:rsidP="009D42C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0"/>
                <w:lang w:val="en-US"/>
              </w:rPr>
            </w:pPr>
            <w:r w:rsidRPr="00125277">
              <w:rPr>
                <w:rFonts w:ascii="Calibri" w:eastAsia="Times New Roman" w:hAnsi="Calibri" w:cs="Calibri"/>
                <w:i/>
                <w:color w:val="000000"/>
                <w:sz w:val="20"/>
                <w:lang w:val="en-US"/>
              </w:rPr>
              <w:t>Not applicable.</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shd w:val="clear" w:color="auto" w:fill="auto"/>
            <w:vAlign w:val="bottom"/>
          </w:tcPr>
          <w:p w:rsidR="00125277" w:rsidRPr="00125277" w:rsidRDefault="00125277" w:rsidP="009D42CA">
            <w:pPr>
              <w:spacing w:after="0"/>
              <w:jc w:val="center"/>
              <w:rPr>
                <w:rFonts w:ascii="Calibri" w:eastAsia="Times New Roman" w:hAnsi="Calibri" w:cs="Calibri"/>
                <w:color w:val="000000"/>
                <w:sz w:val="20"/>
                <w:lang w:val="en-US"/>
              </w:rPr>
            </w:pPr>
            <w:r w:rsidRPr="00125277">
              <w:rPr>
                <w:rFonts w:ascii="Calibri" w:eastAsia="Times New Roman" w:hAnsi="Calibri" w:cs="Calibri"/>
                <w:i/>
                <w:color w:val="000000"/>
                <w:sz w:val="20"/>
                <w:lang w:val="en-US"/>
              </w:rPr>
              <w:t>Not applicable.</w:t>
            </w:r>
          </w:p>
        </w:tc>
        <w:tc>
          <w:tcPr>
            <w:tcW w:w="1834" w:type="dxa"/>
            <w:tcBorders>
              <w:top w:val="none" w:sz="0" w:space="0" w:color="auto"/>
              <w:bottom w:val="none" w:sz="0" w:space="0" w:color="auto"/>
            </w:tcBorders>
            <w:shd w:val="clear" w:color="auto" w:fill="auto"/>
            <w:noWrap/>
            <w:vAlign w:val="bottom"/>
          </w:tcPr>
          <w:p w:rsidR="00125277" w:rsidRPr="00012D98" w:rsidRDefault="00125277" w:rsidP="009D42C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Pr>
                <w:rFonts w:ascii="Calibri" w:eastAsia="Times New Roman" w:hAnsi="Calibri" w:cs="Calibri"/>
                <w:b/>
                <w:bCs/>
                <w:color w:val="000000"/>
                <w:sz w:val="22"/>
                <w:lang w:val="en-US"/>
              </w:rPr>
              <w:t>$</w:t>
            </w:r>
            <w:r w:rsidRPr="0084797A">
              <w:rPr>
                <w:rFonts w:ascii="Calibri" w:eastAsia="Times New Roman" w:hAnsi="Calibri" w:cs="Calibri"/>
                <w:b/>
                <w:bCs/>
                <w:color w:val="000000"/>
                <w:sz w:val="22"/>
                <w:lang w:val="en-US"/>
              </w:rPr>
              <w:t>53.98</w:t>
            </w:r>
          </w:p>
        </w:tc>
        <w:tc>
          <w:tcPr>
            <w:cnfStyle w:val="000010000000" w:firstRow="0" w:lastRow="0" w:firstColumn="0" w:lastColumn="0" w:oddVBand="1"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shd w:val="clear" w:color="auto" w:fill="auto"/>
            <w:noWrap/>
            <w:vAlign w:val="bottom"/>
          </w:tcPr>
          <w:p w:rsidR="00125277" w:rsidRPr="00012D98" w:rsidRDefault="00125277" w:rsidP="009D42CA">
            <w:pPr>
              <w:spacing w:after="0"/>
              <w:jc w:val="center"/>
              <w:rPr>
                <w:rFonts w:ascii="Calibri" w:eastAsia="Times New Roman" w:hAnsi="Calibri" w:cs="Calibri"/>
                <w:color w:val="000000"/>
                <w:sz w:val="22"/>
                <w:lang w:val="en-US"/>
              </w:rPr>
            </w:pPr>
            <w:r>
              <w:rPr>
                <w:rFonts w:ascii="Calibri" w:eastAsia="Times New Roman" w:hAnsi="Calibri" w:cs="Calibri"/>
                <w:b/>
                <w:bCs/>
                <w:color w:val="000000"/>
                <w:sz w:val="22"/>
                <w:lang w:val="en-US"/>
              </w:rPr>
              <w:t>$</w:t>
            </w:r>
            <w:r w:rsidRPr="0084797A">
              <w:rPr>
                <w:rFonts w:ascii="Calibri" w:eastAsia="Times New Roman" w:hAnsi="Calibri" w:cs="Calibri"/>
                <w:b/>
                <w:bCs/>
                <w:color w:val="000000"/>
                <w:sz w:val="22"/>
                <w:lang w:val="en-US"/>
              </w:rPr>
              <w:t>42.62</w:t>
            </w:r>
          </w:p>
        </w:tc>
      </w:tr>
    </w:tbl>
    <w:p w:rsidR="00980F62" w:rsidRDefault="00256E3D" w:rsidP="00256E3D">
      <w:pPr>
        <w:pStyle w:val="BodyText"/>
        <w:rPr>
          <w:rFonts w:asciiTheme="minorHAnsi" w:hAnsiTheme="minorHAnsi" w:cs="Tahoma"/>
          <w:b/>
          <w:sz w:val="18"/>
          <w:szCs w:val="18"/>
          <w:vertAlign w:val="superscript"/>
        </w:rPr>
      </w:pPr>
      <w:r w:rsidRPr="006F22F3">
        <w:rPr>
          <w:rFonts w:asciiTheme="minorHAnsi" w:hAnsiTheme="minorHAnsi" w:cstheme="minorHAnsi"/>
          <w:sz w:val="18"/>
          <w:szCs w:val="18"/>
          <w:vertAlign w:val="superscript"/>
        </w:rPr>
        <w:t>1</w:t>
      </w:r>
      <w:r>
        <w:rPr>
          <w:rFonts w:asciiTheme="minorHAnsi" w:hAnsiTheme="minorHAnsi" w:cstheme="minorHAnsi"/>
          <w:sz w:val="18"/>
          <w:szCs w:val="18"/>
          <w:vertAlign w:val="superscript"/>
        </w:rPr>
        <w:t xml:space="preserve"> </w:t>
      </w:r>
      <w:r w:rsidRPr="006F22F3">
        <w:rPr>
          <w:rFonts w:asciiTheme="minorHAnsi" w:hAnsiTheme="minorHAnsi" w:cstheme="minorHAnsi"/>
          <w:sz w:val="18"/>
          <w:szCs w:val="18"/>
        </w:rPr>
        <w:t xml:space="preserve">1 July 2016 rates </w:t>
      </w:r>
      <w:r w:rsidRPr="006F22F3">
        <w:rPr>
          <w:rFonts w:asciiTheme="minorHAnsi" w:hAnsiTheme="minorHAnsi" w:cs="Tahoma"/>
          <w:b/>
          <w:sz w:val="18"/>
          <w:szCs w:val="18"/>
          <w:vertAlign w:val="superscript"/>
        </w:rPr>
        <w:t>2</w:t>
      </w:r>
      <w:r>
        <w:rPr>
          <w:rFonts w:asciiTheme="minorHAnsi" w:hAnsiTheme="minorHAnsi" w:cs="Tahoma"/>
          <w:b/>
          <w:sz w:val="18"/>
          <w:szCs w:val="18"/>
          <w:vertAlign w:val="superscript"/>
        </w:rPr>
        <w:t xml:space="preserve"> </w:t>
      </w:r>
      <w:r w:rsidR="008A2857" w:rsidRPr="008A2857">
        <w:rPr>
          <w:rFonts w:asciiTheme="minorHAnsi" w:hAnsiTheme="minorHAnsi" w:cs="Tahoma"/>
          <w:sz w:val="18"/>
          <w:szCs w:val="18"/>
        </w:rPr>
        <w:t>Claims based on pain management items only not included in the R-ACFI</w:t>
      </w:r>
    </w:p>
    <w:p w:rsidR="009D42CA" w:rsidRDefault="009D42CA" w:rsidP="009D42CA">
      <w:pPr>
        <w:rPr>
          <w:vertAlign w:val="superscript"/>
          <w:lang w:eastAsia="en-AU"/>
        </w:rPr>
      </w:pPr>
      <w:r>
        <w:rPr>
          <w:vertAlign w:val="superscript"/>
        </w:rPr>
        <w:br w:type="page"/>
      </w:r>
    </w:p>
    <w:p w:rsidR="009F643E" w:rsidRDefault="009F643E" w:rsidP="009F643E">
      <w:pPr>
        <w:pStyle w:val="Caption"/>
        <w:keepNext/>
      </w:pPr>
      <w:bookmarkStart w:id="603" w:name="_Toc495416384"/>
      <w:bookmarkStart w:id="604" w:name="Tab0817"/>
      <w:r>
        <w:lastRenderedPageBreak/>
        <w:t>Table 8.</w:t>
      </w:r>
      <w:r w:rsidR="009A3F5A">
        <w:fldChar w:fldCharType="begin"/>
      </w:r>
      <w:r w:rsidR="009A3F5A">
        <w:instrText xml:space="preserve"> SEQ Table_8. \* ARABIC </w:instrText>
      </w:r>
      <w:r w:rsidR="009A3F5A">
        <w:fldChar w:fldCharType="separate"/>
      </w:r>
      <w:r w:rsidR="00856E49">
        <w:rPr>
          <w:noProof/>
        </w:rPr>
        <w:t>17</w:t>
      </w:r>
      <w:r w:rsidR="009A3F5A">
        <w:rPr>
          <w:noProof/>
        </w:rPr>
        <w:fldChar w:fldCharType="end"/>
      </w:r>
      <w:r>
        <w:t xml:space="preserve">: </w:t>
      </w:r>
      <w:r w:rsidRPr="009F643E">
        <w:t>R-ACFI Payment Groups Compared with the Current ACFI</w:t>
      </w:r>
      <w:bookmarkEnd w:id="603"/>
    </w:p>
    <w:tbl>
      <w:tblPr>
        <w:tblStyle w:val="ListTable3-Accent515"/>
        <w:tblW w:w="8244"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8.17 is a list of the weights for the complex health care (CHC) procedural items under the revised aged care funding instrument (R-ACFI). This table is to be read left to right, top to bottom."/>
      </w:tblPr>
      <w:tblGrid>
        <w:gridCol w:w="1134"/>
        <w:gridCol w:w="5850"/>
        <w:gridCol w:w="1260"/>
      </w:tblGrid>
      <w:tr w:rsidR="00256E3D" w:rsidRPr="009B2DFE" w:rsidTr="00125277">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100" w:firstRow="0" w:lastRow="0" w:firstColumn="1" w:lastColumn="0" w:oddVBand="0" w:evenVBand="0" w:oddHBand="0" w:evenHBand="0" w:firstRowFirstColumn="1" w:firstRowLastColumn="0" w:lastRowFirstColumn="0" w:lastRowLastColumn="0"/>
            <w:tcW w:w="1134" w:type="dxa"/>
            <w:tcBorders>
              <w:bottom w:val="none" w:sz="0" w:space="0" w:color="auto"/>
              <w:right w:val="none" w:sz="0" w:space="0" w:color="auto"/>
            </w:tcBorders>
            <w:noWrap/>
            <w:hideMark/>
          </w:tcPr>
          <w:bookmarkEnd w:id="604"/>
          <w:p w:rsidR="00256E3D" w:rsidRPr="009B2DFE" w:rsidRDefault="00256E3D" w:rsidP="001D34B8">
            <w:pPr>
              <w:spacing w:after="0"/>
              <w:jc w:val="left"/>
              <w:rPr>
                <w:rFonts w:eastAsia="Times New Roman" w:cs="Calibri"/>
                <w:bCs w:val="0"/>
                <w:sz w:val="22"/>
                <w:lang w:val="en-US"/>
              </w:rPr>
            </w:pPr>
            <w:r>
              <w:rPr>
                <w:rFonts w:eastAsia="Times New Roman" w:cs="Calibri"/>
                <w:bCs w:val="0"/>
                <w:sz w:val="22"/>
                <w:lang w:val="en-US"/>
              </w:rPr>
              <w:t xml:space="preserve">Item </w:t>
            </w:r>
            <w:r w:rsidRPr="009B2DFE">
              <w:rPr>
                <w:rFonts w:eastAsia="Times New Roman" w:cs="Calibri"/>
                <w:bCs w:val="0"/>
                <w:sz w:val="22"/>
                <w:lang w:val="en-US"/>
              </w:rPr>
              <w:t>Number</w:t>
            </w:r>
          </w:p>
        </w:tc>
        <w:tc>
          <w:tcPr>
            <w:cnfStyle w:val="000010000000" w:firstRow="0" w:lastRow="0" w:firstColumn="0" w:lastColumn="0" w:oddVBand="1" w:evenVBand="0" w:oddHBand="0" w:evenHBand="0" w:firstRowFirstColumn="0" w:firstRowLastColumn="0" w:lastRowFirstColumn="0" w:lastRowLastColumn="0"/>
            <w:tcW w:w="5850" w:type="dxa"/>
            <w:tcBorders>
              <w:left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val="0"/>
                <w:sz w:val="22"/>
                <w:lang w:val="en-US"/>
              </w:rPr>
            </w:pPr>
            <w:r w:rsidRPr="009B2DFE">
              <w:rPr>
                <w:rFonts w:eastAsia="Times New Roman" w:cs="Calibri"/>
                <w:bCs w:val="0"/>
                <w:sz w:val="22"/>
                <w:lang w:val="en-US"/>
              </w:rPr>
              <w:t>Complex Health Care procedures</w:t>
            </w:r>
          </w:p>
        </w:tc>
        <w:tc>
          <w:tcPr>
            <w:tcW w:w="1260" w:type="dxa"/>
          </w:tcPr>
          <w:p w:rsidR="00256E3D" w:rsidRPr="009B2DFE" w:rsidRDefault="00256E3D" w:rsidP="00A5175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sz w:val="22"/>
                <w:lang w:val="en-US"/>
              </w:rPr>
            </w:pPr>
            <w:r w:rsidRPr="009B2DFE">
              <w:rPr>
                <w:rFonts w:eastAsia="Times New Roman" w:cs="Calibri"/>
                <w:bCs w:val="0"/>
                <w:sz w:val="22"/>
                <w:lang w:val="en-US"/>
              </w:rPr>
              <w:t>R-ACFI weighting</w:t>
            </w:r>
          </w:p>
        </w:tc>
      </w:tr>
      <w:tr w:rsidR="00256E3D" w:rsidRPr="009B2DFE" w:rsidTr="0012527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val="0"/>
                <w:sz w:val="22"/>
                <w:lang w:val="en-US"/>
              </w:rPr>
            </w:pPr>
            <w:r w:rsidRPr="009B2DFE">
              <w:rPr>
                <w:rFonts w:eastAsia="Times New Roman" w:cs="Calibri"/>
                <w:bCs w:val="0"/>
                <w:sz w:val="22"/>
                <w:lang w:val="en-US"/>
              </w:rPr>
              <w:t>1</w:t>
            </w:r>
          </w:p>
        </w:tc>
        <w:tc>
          <w:tcPr>
            <w:cnfStyle w:val="000010000000" w:firstRow="0" w:lastRow="0" w:firstColumn="0" w:lastColumn="0" w:oddVBand="1" w:evenVBand="0" w:oddHBand="0" w:evenHBand="0" w:firstRowFirstColumn="0" w:firstRowLastColumn="0" w:lastRowFirstColumn="0" w:lastRowLastColumn="0"/>
            <w:tcW w:w="5850" w:type="dxa"/>
            <w:tcBorders>
              <w:top w:val="none" w:sz="0" w:space="0" w:color="auto"/>
              <w:left w:val="none" w:sz="0" w:space="0" w:color="auto"/>
              <w:bottom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sz w:val="22"/>
                <w:lang w:val="en-US"/>
              </w:rPr>
            </w:pPr>
            <w:r w:rsidRPr="009B2DFE">
              <w:rPr>
                <w:rFonts w:eastAsia="Times New Roman" w:cs="Calibri"/>
                <w:bCs/>
                <w:sz w:val="22"/>
                <w:lang w:val="en-US"/>
              </w:rPr>
              <w:t>M</w:t>
            </w:r>
            <w:r>
              <w:rPr>
                <w:rFonts w:eastAsia="Times New Roman" w:cs="Calibri"/>
                <w:bCs/>
                <w:sz w:val="22"/>
                <w:lang w:val="en-US"/>
              </w:rPr>
              <w:t>anagement of ongoing stoma care</w:t>
            </w:r>
          </w:p>
        </w:tc>
        <w:tc>
          <w:tcPr>
            <w:tcW w:w="1260" w:type="dxa"/>
            <w:tcBorders>
              <w:top w:val="none" w:sz="0" w:space="0" w:color="auto"/>
              <w:bottom w:val="none" w:sz="0" w:space="0" w:color="auto"/>
            </w:tcBorders>
            <w:vAlign w:val="center"/>
          </w:tcPr>
          <w:p w:rsidR="00256E3D" w:rsidRPr="005068AF" w:rsidRDefault="00256E3D" w:rsidP="008A285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 w:val="22"/>
                <w:lang w:val="en-US"/>
              </w:rPr>
            </w:pPr>
            <w:r w:rsidRPr="005068AF">
              <w:rPr>
                <w:rFonts w:eastAsia="Times New Roman" w:cs="Calibri"/>
                <w:b/>
                <w:bCs/>
                <w:sz w:val="22"/>
                <w:lang w:val="en-US"/>
              </w:rPr>
              <w:t>1</w:t>
            </w:r>
          </w:p>
        </w:tc>
      </w:tr>
      <w:tr w:rsidR="00256E3D" w:rsidRPr="009B2DFE" w:rsidTr="00125277">
        <w:trPr>
          <w:trHeight w:val="350"/>
        </w:trPr>
        <w:tc>
          <w:tcPr>
            <w:cnfStyle w:val="001000000000" w:firstRow="0" w:lastRow="0" w:firstColumn="1" w:lastColumn="0" w:oddVBand="0" w:evenVBand="0" w:oddHBand="0" w:evenHBand="0" w:firstRowFirstColumn="0" w:firstRowLastColumn="0" w:lastRowFirstColumn="0" w:lastRowLastColumn="0"/>
            <w:tcW w:w="1134" w:type="dxa"/>
            <w:tcBorders>
              <w:right w:val="none" w:sz="0" w:space="0" w:color="auto"/>
            </w:tcBorders>
            <w:noWrap/>
            <w:vAlign w:val="center"/>
            <w:hideMark/>
          </w:tcPr>
          <w:p w:rsidR="00256E3D" w:rsidRPr="009B2DFE" w:rsidRDefault="00256E3D" w:rsidP="001D34B8">
            <w:pPr>
              <w:spacing w:after="0"/>
              <w:jc w:val="left"/>
              <w:rPr>
                <w:rFonts w:eastAsia="Times New Roman" w:cs="Calibri"/>
                <w:bCs w:val="0"/>
                <w:sz w:val="22"/>
                <w:lang w:val="en-US"/>
              </w:rPr>
            </w:pPr>
            <w:r w:rsidRPr="009B2DFE">
              <w:rPr>
                <w:rFonts w:eastAsia="Times New Roman" w:cs="Calibri"/>
                <w:bCs w:val="0"/>
                <w:sz w:val="22"/>
                <w:lang w:val="en-US"/>
              </w:rPr>
              <w:t>2</w:t>
            </w:r>
          </w:p>
        </w:tc>
        <w:tc>
          <w:tcPr>
            <w:cnfStyle w:val="000010000000" w:firstRow="0" w:lastRow="0" w:firstColumn="0" w:lastColumn="0" w:oddVBand="1" w:evenVBand="0" w:oddHBand="0" w:evenHBand="0" w:firstRowFirstColumn="0" w:firstRowLastColumn="0" w:lastRowFirstColumn="0" w:lastRowLastColumn="0"/>
            <w:tcW w:w="5850" w:type="dxa"/>
            <w:tcBorders>
              <w:left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sz w:val="22"/>
                <w:lang w:val="en-US"/>
              </w:rPr>
            </w:pPr>
            <w:r w:rsidRPr="009B2DFE">
              <w:rPr>
                <w:rFonts w:eastAsia="Times New Roman" w:cs="Calibri"/>
                <w:bCs/>
                <w:sz w:val="22"/>
                <w:lang w:val="en-US"/>
              </w:rPr>
              <w:t xml:space="preserve">Blood glucose measurement </w:t>
            </w:r>
          </w:p>
        </w:tc>
        <w:tc>
          <w:tcPr>
            <w:tcW w:w="1260" w:type="dxa"/>
            <w:vAlign w:val="center"/>
          </w:tcPr>
          <w:p w:rsidR="00256E3D" w:rsidRPr="005068AF" w:rsidRDefault="00256E3D" w:rsidP="008A285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 w:val="22"/>
                <w:lang w:val="en-US"/>
              </w:rPr>
            </w:pPr>
            <w:r w:rsidRPr="005068AF">
              <w:rPr>
                <w:rFonts w:eastAsia="Times New Roman" w:cs="Calibri"/>
                <w:b/>
                <w:bCs/>
                <w:sz w:val="22"/>
                <w:lang w:val="en-US"/>
              </w:rPr>
              <w:t>1</w:t>
            </w:r>
          </w:p>
        </w:tc>
      </w:tr>
      <w:tr w:rsidR="00256E3D" w:rsidRPr="009B2DFE" w:rsidTr="0012527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val="0"/>
                <w:sz w:val="22"/>
                <w:lang w:val="en-US"/>
              </w:rPr>
            </w:pPr>
            <w:r w:rsidRPr="009B2DFE">
              <w:rPr>
                <w:rFonts w:eastAsia="Times New Roman" w:cs="Calibri"/>
                <w:bCs w:val="0"/>
                <w:sz w:val="22"/>
                <w:lang w:val="en-US"/>
              </w:rPr>
              <w:t>3</w:t>
            </w:r>
          </w:p>
        </w:tc>
        <w:tc>
          <w:tcPr>
            <w:cnfStyle w:val="000010000000" w:firstRow="0" w:lastRow="0" w:firstColumn="0" w:lastColumn="0" w:oddVBand="1" w:evenVBand="0" w:oddHBand="0" w:evenHBand="0" w:firstRowFirstColumn="0" w:firstRowLastColumn="0" w:lastRowFirstColumn="0" w:lastRowLastColumn="0"/>
            <w:tcW w:w="5850" w:type="dxa"/>
            <w:tcBorders>
              <w:top w:val="none" w:sz="0" w:space="0" w:color="auto"/>
              <w:left w:val="none" w:sz="0" w:space="0" w:color="auto"/>
              <w:bottom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sz w:val="22"/>
                <w:lang w:val="en-US"/>
              </w:rPr>
            </w:pPr>
            <w:r>
              <w:rPr>
                <w:rFonts w:eastAsia="Times New Roman" w:cs="Calibri"/>
                <w:bCs/>
                <w:sz w:val="22"/>
                <w:lang w:val="en-US"/>
              </w:rPr>
              <w:t>Oxygen therapy not self-managed</w:t>
            </w:r>
          </w:p>
        </w:tc>
        <w:tc>
          <w:tcPr>
            <w:tcW w:w="1260" w:type="dxa"/>
            <w:tcBorders>
              <w:top w:val="none" w:sz="0" w:space="0" w:color="auto"/>
              <w:bottom w:val="none" w:sz="0" w:space="0" w:color="auto"/>
            </w:tcBorders>
            <w:vAlign w:val="center"/>
          </w:tcPr>
          <w:p w:rsidR="00256E3D" w:rsidRPr="005068AF" w:rsidRDefault="00256E3D" w:rsidP="008A285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 w:val="22"/>
                <w:lang w:val="en-US"/>
              </w:rPr>
            </w:pPr>
            <w:r w:rsidRPr="005068AF">
              <w:rPr>
                <w:rFonts w:eastAsia="Times New Roman" w:cs="Calibri"/>
                <w:b/>
                <w:bCs/>
                <w:sz w:val="22"/>
                <w:lang w:val="en-US"/>
              </w:rPr>
              <w:t>1</w:t>
            </w:r>
          </w:p>
        </w:tc>
      </w:tr>
      <w:tr w:rsidR="00256E3D" w:rsidRPr="009B2DFE" w:rsidTr="00125277">
        <w:trPr>
          <w:trHeight w:val="390"/>
        </w:trPr>
        <w:tc>
          <w:tcPr>
            <w:cnfStyle w:val="001000000000" w:firstRow="0" w:lastRow="0" w:firstColumn="1" w:lastColumn="0" w:oddVBand="0" w:evenVBand="0" w:oddHBand="0" w:evenHBand="0" w:firstRowFirstColumn="0" w:firstRowLastColumn="0" w:lastRowFirstColumn="0" w:lastRowLastColumn="0"/>
            <w:tcW w:w="1134" w:type="dxa"/>
            <w:tcBorders>
              <w:right w:val="none" w:sz="0" w:space="0" w:color="auto"/>
            </w:tcBorders>
            <w:noWrap/>
            <w:vAlign w:val="center"/>
            <w:hideMark/>
          </w:tcPr>
          <w:p w:rsidR="00256E3D" w:rsidRPr="009B2DFE" w:rsidRDefault="00256E3D" w:rsidP="001D34B8">
            <w:pPr>
              <w:spacing w:after="0"/>
              <w:jc w:val="left"/>
              <w:rPr>
                <w:rFonts w:eastAsia="Times New Roman" w:cs="Calibri"/>
                <w:bCs w:val="0"/>
                <w:sz w:val="22"/>
                <w:lang w:val="en-US"/>
              </w:rPr>
            </w:pPr>
            <w:r w:rsidRPr="009B2DFE">
              <w:rPr>
                <w:rFonts w:eastAsia="Times New Roman" w:cs="Calibri"/>
                <w:bCs w:val="0"/>
                <w:sz w:val="22"/>
                <w:lang w:val="en-US"/>
              </w:rPr>
              <w:t>4</w:t>
            </w:r>
          </w:p>
        </w:tc>
        <w:tc>
          <w:tcPr>
            <w:cnfStyle w:val="000010000000" w:firstRow="0" w:lastRow="0" w:firstColumn="0" w:lastColumn="0" w:oddVBand="1" w:evenVBand="0" w:oddHBand="0" w:evenHBand="0" w:firstRowFirstColumn="0" w:firstRowLastColumn="0" w:lastRowFirstColumn="0" w:lastRowLastColumn="0"/>
            <w:tcW w:w="5850" w:type="dxa"/>
            <w:tcBorders>
              <w:left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sz w:val="22"/>
                <w:lang w:val="en-US"/>
              </w:rPr>
            </w:pPr>
            <w:r w:rsidRPr="009B2DFE">
              <w:rPr>
                <w:rFonts w:eastAsia="Times New Roman" w:cs="Calibri"/>
                <w:bCs/>
                <w:sz w:val="22"/>
                <w:lang w:val="en-US"/>
              </w:rPr>
              <w:t xml:space="preserve">Complex skin integrity management </w:t>
            </w:r>
          </w:p>
        </w:tc>
        <w:tc>
          <w:tcPr>
            <w:tcW w:w="1260" w:type="dxa"/>
            <w:vAlign w:val="center"/>
          </w:tcPr>
          <w:p w:rsidR="00256E3D" w:rsidRPr="005068AF" w:rsidRDefault="00256E3D" w:rsidP="008A285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 w:val="22"/>
                <w:lang w:val="en-US"/>
              </w:rPr>
            </w:pPr>
            <w:r w:rsidRPr="005068AF">
              <w:rPr>
                <w:rFonts w:eastAsia="Times New Roman" w:cs="Calibri"/>
                <w:b/>
                <w:bCs/>
                <w:sz w:val="22"/>
                <w:lang w:val="en-US"/>
              </w:rPr>
              <w:t>3</w:t>
            </w:r>
          </w:p>
        </w:tc>
      </w:tr>
      <w:tr w:rsidR="00256E3D" w:rsidRPr="009B2DFE" w:rsidTr="001252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val="0"/>
                <w:sz w:val="22"/>
                <w:lang w:val="en-US"/>
              </w:rPr>
            </w:pPr>
            <w:r w:rsidRPr="009B2DFE">
              <w:rPr>
                <w:rFonts w:eastAsia="Times New Roman" w:cs="Calibri"/>
                <w:bCs w:val="0"/>
                <w:sz w:val="22"/>
                <w:lang w:val="en-US"/>
              </w:rPr>
              <w:t>5</w:t>
            </w:r>
          </w:p>
        </w:tc>
        <w:tc>
          <w:tcPr>
            <w:cnfStyle w:val="000010000000" w:firstRow="0" w:lastRow="0" w:firstColumn="0" w:lastColumn="0" w:oddVBand="1" w:evenVBand="0" w:oddHBand="0" w:evenHBand="0" w:firstRowFirstColumn="0" w:firstRowLastColumn="0" w:lastRowFirstColumn="0" w:lastRowLastColumn="0"/>
            <w:tcW w:w="5850" w:type="dxa"/>
            <w:tcBorders>
              <w:top w:val="none" w:sz="0" w:space="0" w:color="auto"/>
              <w:left w:val="none" w:sz="0" w:space="0" w:color="auto"/>
              <w:bottom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sz w:val="22"/>
                <w:lang w:val="en-US"/>
              </w:rPr>
            </w:pPr>
            <w:r w:rsidRPr="009B2DFE">
              <w:rPr>
                <w:rFonts w:eastAsia="Times New Roman" w:cs="Calibri"/>
                <w:bCs/>
                <w:sz w:val="22"/>
                <w:lang w:val="en-US"/>
              </w:rPr>
              <w:t>Management of special feeding undertaken by RN</w:t>
            </w:r>
          </w:p>
        </w:tc>
        <w:tc>
          <w:tcPr>
            <w:tcW w:w="1260" w:type="dxa"/>
            <w:tcBorders>
              <w:top w:val="none" w:sz="0" w:space="0" w:color="auto"/>
              <w:bottom w:val="none" w:sz="0" w:space="0" w:color="auto"/>
            </w:tcBorders>
            <w:vAlign w:val="center"/>
          </w:tcPr>
          <w:p w:rsidR="00256E3D" w:rsidRPr="005068AF" w:rsidRDefault="00256E3D" w:rsidP="008A285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 w:val="22"/>
                <w:lang w:val="en-US"/>
              </w:rPr>
            </w:pPr>
            <w:r w:rsidRPr="005068AF">
              <w:rPr>
                <w:rFonts w:eastAsia="Times New Roman" w:cs="Calibri"/>
                <w:b/>
                <w:bCs/>
                <w:sz w:val="22"/>
                <w:lang w:val="en-US"/>
              </w:rPr>
              <w:t>3</w:t>
            </w:r>
          </w:p>
        </w:tc>
      </w:tr>
      <w:tr w:rsidR="00256E3D" w:rsidRPr="009B2DFE" w:rsidTr="00125277">
        <w:trPr>
          <w:trHeight w:val="390"/>
        </w:trPr>
        <w:tc>
          <w:tcPr>
            <w:cnfStyle w:val="001000000000" w:firstRow="0" w:lastRow="0" w:firstColumn="1" w:lastColumn="0" w:oddVBand="0" w:evenVBand="0" w:oddHBand="0" w:evenHBand="0" w:firstRowFirstColumn="0" w:firstRowLastColumn="0" w:lastRowFirstColumn="0" w:lastRowLastColumn="0"/>
            <w:tcW w:w="1134" w:type="dxa"/>
            <w:tcBorders>
              <w:right w:val="none" w:sz="0" w:space="0" w:color="auto"/>
            </w:tcBorders>
            <w:noWrap/>
            <w:vAlign w:val="center"/>
            <w:hideMark/>
          </w:tcPr>
          <w:p w:rsidR="00256E3D" w:rsidRPr="009B2DFE" w:rsidRDefault="00256E3D" w:rsidP="001D34B8">
            <w:pPr>
              <w:spacing w:after="0"/>
              <w:jc w:val="left"/>
              <w:rPr>
                <w:rFonts w:eastAsia="Times New Roman" w:cs="Calibri"/>
                <w:bCs w:val="0"/>
                <w:sz w:val="22"/>
                <w:lang w:val="en-US"/>
              </w:rPr>
            </w:pPr>
            <w:r w:rsidRPr="009B2DFE">
              <w:rPr>
                <w:rFonts w:eastAsia="Times New Roman" w:cs="Calibri"/>
                <w:bCs w:val="0"/>
                <w:sz w:val="22"/>
                <w:lang w:val="en-US"/>
              </w:rPr>
              <w:t>6</w:t>
            </w:r>
          </w:p>
        </w:tc>
        <w:tc>
          <w:tcPr>
            <w:cnfStyle w:val="000010000000" w:firstRow="0" w:lastRow="0" w:firstColumn="0" w:lastColumn="0" w:oddVBand="1" w:evenVBand="0" w:oddHBand="0" w:evenHBand="0" w:firstRowFirstColumn="0" w:firstRowLastColumn="0" w:lastRowFirstColumn="0" w:lastRowLastColumn="0"/>
            <w:tcW w:w="5850" w:type="dxa"/>
            <w:tcBorders>
              <w:left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sz w:val="22"/>
                <w:lang w:val="en-US"/>
              </w:rPr>
            </w:pPr>
            <w:r w:rsidRPr="009B2DFE">
              <w:rPr>
                <w:rFonts w:eastAsia="Times New Roman" w:cs="Calibri"/>
                <w:bCs/>
                <w:sz w:val="22"/>
                <w:lang w:val="en-US"/>
              </w:rPr>
              <w:t xml:space="preserve">Catheter care program </w:t>
            </w:r>
          </w:p>
        </w:tc>
        <w:tc>
          <w:tcPr>
            <w:tcW w:w="1260" w:type="dxa"/>
            <w:vAlign w:val="center"/>
          </w:tcPr>
          <w:p w:rsidR="00256E3D" w:rsidRPr="005068AF" w:rsidRDefault="00256E3D" w:rsidP="008A285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 w:val="22"/>
                <w:lang w:val="en-US"/>
              </w:rPr>
            </w:pPr>
            <w:r w:rsidRPr="005068AF">
              <w:rPr>
                <w:rFonts w:eastAsia="Times New Roman" w:cs="Calibri"/>
                <w:b/>
                <w:bCs/>
                <w:sz w:val="22"/>
                <w:lang w:val="en-US"/>
              </w:rPr>
              <w:t>3</w:t>
            </w:r>
          </w:p>
        </w:tc>
      </w:tr>
      <w:tr w:rsidR="00256E3D" w:rsidRPr="009B2DFE" w:rsidTr="001252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val="0"/>
                <w:sz w:val="22"/>
                <w:lang w:val="en-US"/>
              </w:rPr>
            </w:pPr>
            <w:r w:rsidRPr="009B2DFE">
              <w:rPr>
                <w:rFonts w:eastAsia="Times New Roman" w:cs="Calibri"/>
                <w:bCs w:val="0"/>
                <w:sz w:val="22"/>
                <w:lang w:val="en-US"/>
              </w:rPr>
              <w:t>7</w:t>
            </w:r>
          </w:p>
        </w:tc>
        <w:tc>
          <w:tcPr>
            <w:cnfStyle w:val="000010000000" w:firstRow="0" w:lastRow="0" w:firstColumn="0" w:lastColumn="0" w:oddVBand="1" w:evenVBand="0" w:oddHBand="0" w:evenHBand="0" w:firstRowFirstColumn="0" w:firstRowLastColumn="0" w:lastRowFirstColumn="0" w:lastRowLastColumn="0"/>
            <w:tcW w:w="5850" w:type="dxa"/>
            <w:tcBorders>
              <w:top w:val="none" w:sz="0" w:space="0" w:color="auto"/>
              <w:left w:val="none" w:sz="0" w:space="0" w:color="auto"/>
              <w:bottom w:val="none" w:sz="0" w:space="0" w:color="auto"/>
              <w:right w:val="none" w:sz="0" w:space="0" w:color="auto"/>
            </w:tcBorders>
            <w:noWrap/>
            <w:vAlign w:val="center"/>
            <w:hideMark/>
          </w:tcPr>
          <w:p w:rsidR="00256E3D" w:rsidRPr="009B2DFE" w:rsidRDefault="00166C46" w:rsidP="001D34B8">
            <w:pPr>
              <w:spacing w:after="0"/>
              <w:jc w:val="left"/>
              <w:rPr>
                <w:rFonts w:eastAsia="Times New Roman" w:cs="Calibri"/>
                <w:bCs/>
                <w:sz w:val="22"/>
                <w:lang w:val="en-US"/>
              </w:rPr>
            </w:pPr>
            <w:r>
              <w:rPr>
                <w:rFonts w:eastAsia="Times New Roman" w:cs="Calibri"/>
                <w:bCs/>
                <w:sz w:val="22"/>
                <w:lang w:val="en-US"/>
              </w:rPr>
              <w:t>Complex management of</w:t>
            </w:r>
            <w:r w:rsidR="008A2857">
              <w:rPr>
                <w:rFonts w:cs="Calibri"/>
                <w:bCs/>
                <w:sz w:val="22"/>
                <w:lang w:val="en-US"/>
              </w:rPr>
              <w:t xml:space="preserve"> oedema</w:t>
            </w:r>
          </w:p>
        </w:tc>
        <w:tc>
          <w:tcPr>
            <w:tcW w:w="1260" w:type="dxa"/>
            <w:tcBorders>
              <w:top w:val="none" w:sz="0" w:space="0" w:color="auto"/>
              <w:bottom w:val="none" w:sz="0" w:space="0" w:color="auto"/>
            </w:tcBorders>
            <w:vAlign w:val="center"/>
          </w:tcPr>
          <w:p w:rsidR="00256E3D" w:rsidRPr="005068AF" w:rsidRDefault="00256E3D" w:rsidP="008A285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 w:val="22"/>
                <w:lang w:val="en-US"/>
              </w:rPr>
            </w:pPr>
            <w:r w:rsidRPr="005068AF">
              <w:rPr>
                <w:rFonts w:eastAsia="Times New Roman" w:cs="Calibri"/>
                <w:b/>
                <w:bCs/>
                <w:sz w:val="22"/>
                <w:lang w:val="en-US"/>
              </w:rPr>
              <w:t>3</w:t>
            </w:r>
          </w:p>
        </w:tc>
      </w:tr>
      <w:tr w:rsidR="00256E3D" w:rsidRPr="009B2DFE" w:rsidTr="00125277">
        <w:trPr>
          <w:trHeight w:val="390"/>
        </w:trPr>
        <w:tc>
          <w:tcPr>
            <w:cnfStyle w:val="001000000000" w:firstRow="0" w:lastRow="0" w:firstColumn="1" w:lastColumn="0" w:oddVBand="0" w:evenVBand="0" w:oddHBand="0" w:evenHBand="0" w:firstRowFirstColumn="0" w:firstRowLastColumn="0" w:lastRowFirstColumn="0" w:lastRowLastColumn="0"/>
            <w:tcW w:w="1134" w:type="dxa"/>
            <w:tcBorders>
              <w:right w:val="none" w:sz="0" w:space="0" w:color="auto"/>
            </w:tcBorders>
            <w:noWrap/>
            <w:vAlign w:val="center"/>
            <w:hideMark/>
          </w:tcPr>
          <w:p w:rsidR="00256E3D" w:rsidRPr="009B2DFE" w:rsidRDefault="00256E3D" w:rsidP="001D34B8">
            <w:pPr>
              <w:spacing w:after="0"/>
              <w:jc w:val="left"/>
              <w:rPr>
                <w:rFonts w:eastAsia="Times New Roman" w:cs="Calibri"/>
                <w:bCs w:val="0"/>
                <w:sz w:val="22"/>
                <w:lang w:val="en-US"/>
              </w:rPr>
            </w:pPr>
            <w:r w:rsidRPr="009B2DFE">
              <w:rPr>
                <w:rFonts w:eastAsia="Times New Roman" w:cs="Calibri"/>
                <w:bCs w:val="0"/>
                <w:sz w:val="22"/>
                <w:lang w:val="en-US"/>
              </w:rPr>
              <w:t>8</w:t>
            </w:r>
          </w:p>
        </w:tc>
        <w:tc>
          <w:tcPr>
            <w:cnfStyle w:val="000010000000" w:firstRow="0" w:lastRow="0" w:firstColumn="0" w:lastColumn="0" w:oddVBand="1" w:evenVBand="0" w:oddHBand="0" w:evenHBand="0" w:firstRowFirstColumn="0" w:firstRowLastColumn="0" w:lastRowFirstColumn="0" w:lastRowLastColumn="0"/>
            <w:tcW w:w="5850" w:type="dxa"/>
            <w:tcBorders>
              <w:left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sz w:val="22"/>
                <w:lang w:val="en-US"/>
              </w:rPr>
            </w:pPr>
            <w:r w:rsidRPr="009B2DFE">
              <w:rPr>
                <w:rFonts w:eastAsia="Times New Roman" w:cs="Calibri"/>
                <w:bCs/>
                <w:sz w:val="22"/>
                <w:lang w:val="en-US"/>
              </w:rPr>
              <w:t xml:space="preserve">Major Depression </w:t>
            </w:r>
          </w:p>
        </w:tc>
        <w:tc>
          <w:tcPr>
            <w:tcW w:w="1260" w:type="dxa"/>
            <w:vAlign w:val="center"/>
          </w:tcPr>
          <w:p w:rsidR="00256E3D" w:rsidRPr="005068AF" w:rsidRDefault="00256E3D" w:rsidP="008A285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 w:val="22"/>
                <w:lang w:val="en-US"/>
              </w:rPr>
            </w:pPr>
            <w:r w:rsidRPr="005068AF">
              <w:rPr>
                <w:rFonts w:eastAsia="Times New Roman" w:cs="Calibri"/>
                <w:b/>
                <w:bCs/>
                <w:sz w:val="22"/>
                <w:lang w:val="en-US"/>
              </w:rPr>
              <w:t>3</w:t>
            </w:r>
          </w:p>
        </w:tc>
      </w:tr>
      <w:tr w:rsidR="00256E3D" w:rsidRPr="009B2DFE" w:rsidTr="001252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val="0"/>
                <w:sz w:val="22"/>
                <w:lang w:val="en-US"/>
              </w:rPr>
            </w:pPr>
            <w:r w:rsidRPr="009B2DFE">
              <w:rPr>
                <w:rFonts w:eastAsia="Times New Roman" w:cs="Calibri"/>
                <w:bCs w:val="0"/>
                <w:sz w:val="22"/>
                <w:lang w:val="en-US"/>
              </w:rPr>
              <w:t>9a</w:t>
            </w:r>
          </w:p>
        </w:tc>
        <w:tc>
          <w:tcPr>
            <w:cnfStyle w:val="000010000000" w:firstRow="0" w:lastRow="0" w:firstColumn="0" w:lastColumn="0" w:oddVBand="1" w:evenVBand="0" w:oddHBand="0" w:evenHBand="0" w:firstRowFirstColumn="0" w:firstRowLastColumn="0" w:lastRowFirstColumn="0" w:lastRowLastColumn="0"/>
            <w:tcW w:w="5850" w:type="dxa"/>
            <w:tcBorders>
              <w:top w:val="none" w:sz="0" w:space="0" w:color="auto"/>
              <w:left w:val="none" w:sz="0" w:space="0" w:color="auto"/>
              <w:bottom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sz w:val="22"/>
                <w:lang w:val="en-US"/>
              </w:rPr>
            </w:pPr>
            <w:r w:rsidRPr="009B2DFE">
              <w:rPr>
                <w:rFonts w:eastAsia="Times New Roman" w:cs="Calibri"/>
                <w:bCs/>
                <w:sz w:val="22"/>
                <w:lang w:val="en-US"/>
              </w:rPr>
              <w:t>Medications 1- Weekly patches, suppositories or enemas, Daily Medication Assistance</w:t>
            </w:r>
          </w:p>
        </w:tc>
        <w:tc>
          <w:tcPr>
            <w:tcW w:w="1260" w:type="dxa"/>
            <w:tcBorders>
              <w:top w:val="none" w:sz="0" w:space="0" w:color="auto"/>
              <w:bottom w:val="none" w:sz="0" w:space="0" w:color="auto"/>
            </w:tcBorders>
            <w:vAlign w:val="center"/>
          </w:tcPr>
          <w:p w:rsidR="00256E3D" w:rsidRPr="005068AF" w:rsidRDefault="00256E3D" w:rsidP="008A285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 w:val="22"/>
                <w:lang w:val="en-US"/>
              </w:rPr>
            </w:pPr>
            <w:r w:rsidRPr="005068AF">
              <w:rPr>
                <w:rFonts w:eastAsia="Times New Roman" w:cs="Calibri"/>
                <w:b/>
                <w:bCs/>
                <w:sz w:val="22"/>
                <w:lang w:val="en-US"/>
              </w:rPr>
              <w:t>3</w:t>
            </w:r>
          </w:p>
        </w:tc>
      </w:tr>
      <w:tr w:rsidR="00256E3D" w:rsidRPr="009B2DFE" w:rsidTr="00125277">
        <w:trPr>
          <w:trHeight w:val="390"/>
        </w:trPr>
        <w:tc>
          <w:tcPr>
            <w:cnfStyle w:val="001000000000" w:firstRow="0" w:lastRow="0" w:firstColumn="1" w:lastColumn="0" w:oddVBand="0" w:evenVBand="0" w:oddHBand="0" w:evenHBand="0" w:firstRowFirstColumn="0" w:firstRowLastColumn="0" w:lastRowFirstColumn="0" w:lastRowLastColumn="0"/>
            <w:tcW w:w="1134" w:type="dxa"/>
            <w:tcBorders>
              <w:right w:val="none" w:sz="0" w:space="0" w:color="auto"/>
            </w:tcBorders>
            <w:noWrap/>
            <w:vAlign w:val="center"/>
            <w:hideMark/>
          </w:tcPr>
          <w:p w:rsidR="00256E3D" w:rsidRPr="009B2DFE" w:rsidRDefault="00256E3D" w:rsidP="001D34B8">
            <w:pPr>
              <w:spacing w:after="0"/>
              <w:jc w:val="left"/>
              <w:rPr>
                <w:rFonts w:eastAsia="Times New Roman" w:cs="Calibri"/>
                <w:bCs w:val="0"/>
                <w:sz w:val="22"/>
                <w:lang w:val="en-US"/>
              </w:rPr>
            </w:pPr>
            <w:r w:rsidRPr="009B2DFE">
              <w:rPr>
                <w:rFonts w:eastAsia="Times New Roman" w:cs="Calibri"/>
                <w:bCs w:val="0"/>
                <w:sz w:val="22"/>
                <w:lang w:val="en-US"/>
              </w:rPr>
              <w:t>9b</w:t>
            </w:r>
          </w:p>
        </w:tc>
        <w:tc>
          <w:tcPr>
            <w:cnfStyle w:val="000010000000" w:firstRow="0" w:lastRow="0" w:firstColumn="0" w:lastColumn="0" w:oddVBand="1" w:evenVBand="0" w:oddHBand="0" w:evenHBand="0" w:firstRowFirstColumn="0" w:firstRowLastColumn="0" w:lastRowFirstColumn="0" w:lastRowLastColumn="0"/>
            <w:tcW w:w="5850" w:type="dxa"/>
            <w:tcBorders>
              <w:left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sz w:val="22"/>
                <w:lang w:val="en-US"/>
              </w:rPr>
            </w:pPr>
            <w:r w:rsidRPr="009B2DFE">
              <w:rPr>
                <w:rFonts w:eastAsia="Times New Roman" w:cs="Calibri"/>
                <w:bCs/>
                <w:sz w:val="22"/>
                <w:lang w:val="en-US"/>
              </w:rPr>
              <w:t>Medications 2- Daily administration of injections.</w:t>
            </w:r>
          </w:p>
          <w:p w:rsidR="00256E3D" w:rsidRPr="009B2DFE" w:rsidRDefault="00256E3D" w:rsidP="001D34B8">
            <w:pPr>
              <w:spacing w:after="0"/>
              <w:jc w:val="left"/>
              <w:rPr>
                <w:rFonts w:eastAsia="Times New Roman" w:cs="Calibri"/>
                <w:bCs/>
                <w:sz w:val="22"/>
                <w:lang w:val="en-US"/>
              </w:rPr>
            </w:pPr>
            <w:r w:rsidRPr="009B2DFE">
              <w:rPr>
                <w:rFonts w:eastAsia="Times New Roman" w:cs="Calibri"/>
                <w:bCs/>
                <w:sz w:val="22"/>
                <w:lang w:val="en-US"/>
              </w:rPr>
              <w:t>Can only claim one item- either 9a or 9b.</w:t>
            </w:r>
          </w:p>
        </w:tc>
        <w:tc>
          <w:tcPr>
            <w:tcW w:w="1260" w:type="dxa"/>
            <w:vAlign w:val="center"/>
          </w:tcPr>
          <w:p w:rsidR="00256E3D" w:rsidRPr="005068AF" w:rsidRDefault="00256E3D" w:rsidP="008A285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 w:val="22"/>
                <w:lang w:val="en-US"/>
              </w:rPr>
            </w:pPr>
            <w:r w:rsidRPr="005068AF">
              <w:rPr>
                <w:rFonts w:eastAsia="Times New Roman" w:cs="Calibri"/>
                <w:b/>
                <w:bCs/>
                <w:sz w:val="22"/>
                <w:lang w:val="en-US"/>
              </w:rPr>
              <w:t>6</w:t>
            </w:r>
          </w:p>
        </w:tc>
      </w:tr>
      <w:tr w:rsidR="00256E3D" w:rsidRPr="009B2DFE" w:rsidTr="001252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val="0"/>
                <w:sz w:val="22"/>
                <w:lang w:val="en-US"/>
              </w:rPr>
            </w:pPr>
            <w:r w:rsidRPr="009B2DFE">
              <w:rPr>
                <w:rFonts w:eastAsia="Times New Roman" w:cs="Calibri"/>
                <w:bCs w:val="0"/>
                <w:sz w:val="22"/>
                <w:lang w:val="en-US"/>
              </w:rPr>
              <w:t>10</w:t>
            </w:r>
          </w:p>
        </w:tc>
        <w:tc>
          <w:tcPr>
            <w:cnfStyle w:val="000010000000" w:firstRow="0" w:lastRow="0" w:firstColumn="0" w:lastColumn="0" w:oddVBand="1" w:evenVBand="0" w:oddHBand="0" w:evenHBand="0" w:firstRowFirstColumn="0" w:firstRowLastColumn="0" w:lastRowFirstColumn="0" w:lastRowLastColumn="0"/>
            <w:tcW w:w="5850" w:type="dxa"/>
            <w:tcBorders>
              <w:top w:val="none" w:sz="0" w:space="0" w:color="auto"/>
              <w:left w:val="none" w:sz="0" w:space="0" w:color="auto"/>
              <w:bottom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sz w:val="22"/>
                <w:lang w:val="en-US"/>
              </w:rPr>
            </w:pPr>
            <w:r w:rsidRPr="009B2DFE">
              <w:rPr>
                <w:rFonts w:eastAsia="Times New Roman" w:cs="Calibri"/>
                <w:bCs/>
                <w:sz w:val="22"/>
                <w:lang w:val="en-US"/>
              </w:rPr>
              <w:t>Management of chronic infectious conditions</w:t>
            </w:r>
          </w:p>
        </w:tc>
        <w:tc>
          <w:tcPr>
            <w:tcW w:w="1260" w:type="dxa"/>
            <w:tcBorders>
              <w:top w:val="none" w:sz="0" w:space="0" w:color="auto"/>
              <w:bottom w:val="none" w:sz="0" w:space="0" w:color="auto"/>
            </w:tcBorders>
            <w:vAlign w:val="center"/>
          </w:tcPr>
          <w:p w:rsidR="00256E3D" w:rsidRPr="005068AF" w:rsidRDefault="00256E3D" w:rsidP="008A285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 w:val="22"/>
                <w:lang w:val="en-US"/>
              </w:rPr>
            </w:pPr>
            <w:r w:rsidRPr="005068AF">
              <w:rPr>
                <w:rFonts w:eastAsia="Times New Roman" w:cs="Calibri"/>
                <w:b/>
                <w:bCs/>
                <w:sz w:val="22"/>
                <w:lang w:val="en-US"/>
              </w:rPr>
              <w:t>6</w:t>
            </w:r>
          </w:p>
        </w:tc>
      </w:tr>
      <w:tr w:rsidR="00256E3D" w:rsidRPr="009B2DFE" w:rsidTr="00125277">
        <w:trPr>
          <w:trHeight w:val="390"/>
        </w:trPr>
        <w:tc>
          <w:tcPr>
            <w:cnfStyle w:val="001000000000" w:firstRow="0" w:lastRow="0" w:firstColumn="1" w:lastColumn="0" w:oddVBand="0" w:evenVBand="0" w:oddHBand="0" w:evenHBand="0" w:firstRowFirstColumn="0" w:firstRowLastColumn="0" w:lastRowFirstColumn="0" w:lastRowLastColumn="0"/>
            <w:tcW w:w="1134" w:type="dxa"/>
            <w:tcBorders>
              <w:right w:val="none" w:sz="0" w:space="0" w:color="auto"/>
            </w:tcBorders>
            <w:noWrap/>
            <w:vAlign w:val="center"/>
            <w:hideMark/>
          </w:tcPr>
          <w:p w:rsidR="00256E3D" w:rsidRPr="009B2DFE" w:rsidRDefault="00256E3D" w:rsidP="001D34B8">
            <w:pPr>
              <w:spacing w:after="0"/>
              <w:jc w:val="left"/>
              <w:rPr>
                <w:rFonts w:eastAsia="Times New Roman" w:cs="Calibri"/>
                <w:bCs w:val="0"/>
                <w:sz w:val="22"/>
                <w:lang w:val="en-US"/>
              </w:rPr>
            </w:pPr>
            <w:r w:rsidRPr="009B2DFE">
              <w:rPr>
                <w:rFonts w:eastAsia="Times New Roman" w:cs="Calibri"/>
                <w:bCs w:val="0"/>
                <w:sz w:val="22"/>
                <w:lang w:val="en-US"/>
              </w:rPr>
              <w:t>11</w:t>
            </w:r>
          </w:p>
        </w:tc>
        <w:tc>
          <w:tcPr>
            <w:cnfStyle w:val="000010000000" w:firstRow="0" w:lastRow="0" w:firstColumn="0" w:lastColumn="0" w:oddVBand="1" w:evenVBand="0" w:oddHBand="0" w:evenHBand="0" w:firstRowFirstColumn="0" w:firstRowLastColumn="0" w:lastRowFirstColumn="0" w:lastRowLastColumn="0"/>
            <w:tcW w:w="5850" w:type="dxa"/>
            <w:tcBorders>
              <w:left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sz w:val="22"/>
                <w:lang w:val="en-US"/>
              </w:rPr>
            </w:pPr>
            <w:r w:rsidRPr="009B2DFE">
              <w:rPr>
                <w:rFonts w:eastAsia="Times New Roman" w:cs="Calibri"/>
                <w:bCs/>
                <w:sz w:val="22"/>
                <w:lang w:val="en-US"/>
              </w:rPr>
              <w:t>Management of chronic wounds, including varicose and pressure ulcers, and diabetic foot ulcers</w:t>
            </w:r>
          </w:p>
        </w:tc>
        <w:tc>
          <w:tcPr>
            <w:tcW w:w="1260" w:type="dxa"/>
            <w:vAlign w:val="center"/>
          </w:tcPr>
          <w:p w:rsidR="00256E3D" w:rsidRPr="005068AF" w:rsidRDefault="00256E3D" w:rsidP="008A285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 w:val="22"/>
                <w:lang w:val="en-US"/>
              </w:rPr>
            </w:pPr>
            <w:r w:rsidRPr="005068AF">
              <w:rPr>
                <w:rFonts w:eastAsia="Times New Roman" w:cs="Calibri"/>
                <w:b/>
                <w:bCs/>
                <w:sz w:val="22"/>
                <w:lang w:val="en-US"/>
              </w:rPr>
              <w:t>6</w:t>
            </w:r>
          </w:p>
        </w:tc>
      </w:tr>
      <w:tr w:rsidR="00256E3D" w:rsidRPr="009B2DFE" w:rsidTr="001252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val="0"/>
                <w:sz w:val="22"/>
                <w:lang w:val="en-US"/>
              </w:rPr>
            </w:pPr>
            <w:r w:rsidRPr="009B2DFE">
              <w:rPr>
                <w:rFonts w:eastAsia="Times New Roman" w:cs="Calibri"/>
                <w:bCs w:val="0"/>
                <w:sz w:val="22"/>
                <w:lang w:val="en-US"/>
              </w:rPr>
              <w:t>12</w:t>
            </w:r>
          </w:p>
        </w:tc>
        <w:tc>
          <w:tcPr>
            <w:cnfStyle w:val="000010000000" w:firstRow="0" w:lastRow="0" w:firstColumn="0" w:lastColumn="0" w:oddVBand="1" w:evenVBand="0" w:oddHBand="0" w:evenHBand="0" w:firstRowFirstColumn="0" w:firstRowLastColumn="0" w:lastRowFirstColumn="0" w:lastRowLastColumn="0"/>
            <w:tcW w:w="5850" w:type="dxa"/>
            <w:tcBorders>
              <w:top w:val="none" w:sz="0" w:space="0" w:color="auto"/>
              <w:left w:val="none" w:sz="0" w:space="0" w:color="auto"/>
              <w:bottom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sz w:val="22"/>
                <w:lang w:val="en-US"/>
              </w:rPr>
            </w:pPr>
            <w:r w:rsidRPr="009B2DFE">
              <w:rPr>
                <w:rFonts w:eastAsia="Times New Roman" w:cs="Calibri"/>
                <w:bCs/>
                <w:sz w:val="22"/>
                <w:lang w:val="en-US"/>
              </w:rPr>
              <w:t>Management of ongoing administration of intravenous fluids, hypodermoclysis, syringe drivers and dialysis.</w:t>
            </w:r>
          </w:p>
        </w:tc>
        <w:tc>
          <w:tcPr>
            <w:tcW w:w="1260" w:type="dxa"/>
            <w:tcBorders>
              <w:top w:val="none" w:sz="0" w:space="0" w:color="auto"/>
              <w:bottom w:val="none" w:sz="0" w:space="0" w:color="auto"/>
            </w:tcBorders>
            <w:vAlign w:val="center"/>
          </w:tcPr>
          <w:p w:rsidR="00256E3D" w:rsidRPr="005068AF" w:rsidRDefault="00256E3D" w:rsidP="008A285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 w:val="22"/>
                <w:lang w:val="en-US"/>
              </w:rPr>
            </w:pPr>
            <w:r w:rsidRPr="005068AF">
              <w:rPr>
                <w:rFonts w:eastAsia="Times New Roman" w:cs="Calibri"/>
                <w:b/>
                <w:bCs/>
                <w:sz w:val="22"/>
                <w:lang w:val="en-US"/>
              </w:rPr>
              <w:t>6</w:t>
            </w:r>
          </w:p>
        </w:tc>
      </w:tr>
      <w:tr w:rsidR="00256E3D" w:rsidRPr="009B2DFE" w:rsidTr="00125277">
        <w:trPr>
          <w:trHeight w:val="390"/>
        </w:trPr>
        <w:tc>
          <w:tcPr>
            <w:cnfStyle w:val="001000000000" w:firstRow="0" w:lastRow="0" w:firstColumn="1" w:lastColumn="0" w:oddVBand="0" w:evenVBand="0" w:oddHBand="0" w:evenHBand="0" w:firstRowFirstColumn="0" w:firstRowLastColumn="0" w:lastRowFirstColumn="0" w:lastRowLastColumn="0"/>
            <w:tcW w:w="1134" w:type="dxa"/>
            <w:tcBorders>
              <w:right w:val="none" w:sz="0" w:space="0" w:color="auto"/>
            </w:tcBorders>
            <w:noWrap/>
            <w:vAlign w:val="center"/>
            <w:hideMark/>
          </w:tcPr>
          <w:p w:rsidR="00256E3D" w:rsidRPr="009B2DFE" w:rsidRDefault="00256E3D" w:rsidP="001D34B8">
            <w:pPr>
              <w:spacing w:after="0"/>
              <w:jc w:val="left"/>
              <w:rPr>
                <w:rFonts w:eastAsia="Times New Roman" w:cs="Calibri"/>
                <w:bCs w:val="0"/>
                <w:sz w:val="22"/>
                <w:lang w:val="en-US"/>
              </w:rPr>
            </w:pPr>
            <w:r w:rsidRPr="009B2DFE">
              <w:rPr>
                <w:rFonts w:eastAsia="Times New Roman" w:cs="Calibri"/>
                <w:bCs w:val="0"/>
                <w:sz w:val="22"/>
                <w:lang w:val="en-US"/>
              </w:rPr>
              <w:t>13</w:t>
            </w:r>
          </w:p>
        </w:tc>
        <w:tc>
          <w:tcPr>
            <w:cnfStyle w:val="000010000000" w:firstRow="0" w:lastRow="0" w:firstColumn="0" w:lastColumn="0" w:oddVBand="1" w:evenVBand="0" w:oddHBand="0" w:evenHBand="0" w:firstRowFirstColumn="0" w:firstRowLastColumn="0" w:lastRowFirstColumn="0" w:lastRowLastColumn="0"/>
            <w:tcW w:w="5850" w:type="dxa"/>
            <w:tcBorders>
              <w:left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sz w:val="22"/>
                <w:lang w:val="en-US"/>
              </w:rPr>
            </w:pPr>
            <w:r w:rsidRPr="009B2DFE">
              <w:rPr>
                <w:rFonts w:eastAsia="Times New Roman" w:cs="Calibri"/>
                <w:bCs/>
                <w:sz w:val="22"/>
                <w:lang w:val="en-US"/>
              </w:rPr>
              <w:t>Suctio</w:t>
            </w:r>
            <w:r>
              <w:rPr>
                <w:rFonts w:eastAsia="Times New Roman" w:cs="Calibri"/>
                <w:bCs/>
                <w:sz w:val="22"/>
                <w:lang w:val="en-US"/>
              </w:rPr>
              <w:t>ning airways, tracheostomy care</w:t>
            </w:r>
          </w:p>
        </w:tc>
        <w:tc>
          <w:tcPr>
            <w:tcW w:w="1260" w:type="dxa"/>
            <w:vAlign w:val="center"/>
          </w:tcPr>
          <w:p w:rsidR="00256E3D" w:rsidRPr="005068AF" w:rsidRDefault="00256E3D" w:rsidP="008A285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 w:val="22"/>
                <w:lang w:val="en-US"/>
              </w:rPr>
            </w:pPr>
            <w:r w:rsidRPr="005068AF">
              <w:rPr>
                <w:rFonts w:eastAsia="Times New Roman" w:cs="Calibri"/>
                <w:b/>
                <w:bCs/>
                <w:sz w:val="22"/>
                <w:lang w:val="en-US"/>
              </w:rPr>
              <w:t>6</w:t>
            </w:r>
          </w:p>
        </w:tc>
      </w:tr>
      <w:tr w:rsidR="00256E3D" w:rsidRPr="009B2DFE" w:rsidTr="0012527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val="0"/>
                <w:sz w:val="22"/>
                <w:lang w:val="en-US"/>
              </w:rPr>
            </w:pPr>
            <w:r w:rsidRPr="009B2DFE">
              <w:rPr>
                <w:rFonts w:eastAsia="Times New Roman" w:cs="Calibri"/>
                <w:bCs w:val="0"/>
                <w:sz w:val="22"/>
                <w:lang w:val="en-US"/>
              </w:rPr>
              <w:t>14</w:t>
            </w:r>
          </w:p>
        </w:tc>
        <w:tc>
          <w:tcPr>
            <w:cnfStyle w:val="000010000000" w:firstRow="0" w:lastRow="0" w:firstColumn="0" w:lastColumn="0" w:oddVBand="1" w:evenVBand="0" w:oddHBand="0" w:evenHBand="0" w:firstRowFirstColumn="0" w:firstRowLastColumn="0" w:lastRowFirstColumn="0" w:lastRowLastColumn="0"/>
            <w:tcW w:w="5850" w:type="dxa"/>
            <w:tcBorders>
              <w:top w:val="none" w:sz="0" w:space="0" w:color="auto"/>
              <w:left w:val="none" w:sz="0" w:space="0" w:color="auto"/>
              <w:bottom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sz w:val="22"/>
                <w:lang w:val="en-US"/>
              </w:rPr>
            </w:pPr>
            <w:r w:rsidRPr="009B2DFE">
              <w:rPr>
                <w:rFonts w:eastAsia="Times New Roman" w:cs="Calibri"/>
                <w:bCs/>
                <w:sz w:val="22"/>
                <w:lang w:val="en-US"/>
              </w:rPr>
              <w:t>Man</w:t>
            </w:r>
            <w:r>
              <w:rPr>
                <w:rFonts w:eastAsia="Times New Roman" w:cs="Calibri"/>
                <w:bCs/>
                <w:sz w:val="22"/>
                <w:lang w:val="en-US"/>
              </w:rPr>
              <w:t>agement of ongoing tube feeding</w:t>
            </w:r>
          </w:p>
        </w:tc>
        <w:tc>
          <w:tcPr>
            <w:tcW w:w="1260" w:type="dxa"/>
            <w:tcBorders>
              <w:top w:val="none" w:sz="0" w:space="0" w:color="auto"/>
              <w:bottom w:val="none" w:sz="0" w:space="0" w:color="auto"/>
            </w:tcBorders>
            <w:vAlign w:val="center"/>
          </w:tcPr>
          <w:p w:rsidR="00256E3D" w:rsidRPr="005068AF" w:rsidRDefault="00256E3D" w:rsidP="008A285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 w:val="22"/>
                <w:lang w:val="en-US"/>
              </w:rPr>
            </w:pPr>
            <w:r w:rsidRPr="005068AF">
              <w:rPr>
                <w:rFonts w:eastAsia="Times New Roman" w:cs="Calibri"/>
                <w:b/>
                <w:bCs/>
                <w:sz w:val="22"/>
                <w:lang w:val="en-US"/>
              </w:rPr>
              <w:t>6</w:t>
            </w:r>
          </w:p>
        </w:tc>
      </w:tr>
      <w:tr w:rsidR="00256E3D" w:rsidRPr="009B2DFE" w:rsidTr="00125277">
        <w:trPr>
          <w:trHeight w:val="390"/>
        </w:trPr>
        <w:tc>
          <w:tcPr>
            <w:cnfStyle w:val="001000000000" w:firstRow="0" w:lastRow="0" w:firstColumn="1" w:lastColumn="0" w:oddVBand="0" w:evenVBand="0" w:oddHBand="0" w:evenHBand="0" w:firstRowFirstColumn="0" w:firstRowLastColumn="0" w:lastRowFirstColumn="0" w:lastRowLastColumn="0"/>
            <w:tcW w:w="1134" w:type="dxa"/>
            <w:tcBorders>
              <w:right w:val="none" w:sz="0" w:space="0" w:color="auto"/>
            </w:tcBorders>
            <w:noWrap/>
            <w:vAlign w:val="center"/>
            <w:hideMark/>
          </w:tcPr>
          <w:p w:rsidR="00256E3D" w:rsidRPr="009B2DFE" w:rsidRDefault="00256E3D" w:rsidP="001D34B8">
            <w:pPr>
              <w:spacing w:after="0"/>
              <w:jc w:val="left"/>
              <w:rPr>
                <w:rFonts w:eastAsia="Times New Roman" w:cs="Calibri"/>
                <w:bCs w:val="0"/>
                <w:sz w:val="22"/>
                <w:lang w:val="en-US"/>
              </w:rPr>
            </w:pPr>
            <w:r w:rsidRPr="009B2DFE">
              <w:rPr>
                <w:rFonts w:eastAsia="Times New Roman" w:cs="Calibri"/>
                <w:bCs w:val="0"/>
                <w:sz w:val="22"/>
                <w:lang w:val="en-US"/>
              </w:rPr>
              <w:t>15</w:t>
            </w:r>
          </w:p>
        </w:tc>
        <w:tc>
          <w:tcPr>
            <w:cnfStyle w:val="000010000000" w:firstRow="0" w:lastRow="0" w:firstColumn="0" w:lastColumn="0" w:oddVBand="1" w:evenVBand="0" w:oddHBand="0" w:evenHBand="0" w:firstRowFirstColumn="0" w:firstRowLastColumn="0" w:lastRowFirstColumn="0" w:lastRowLastColumn="0"/>
            <w:tcW w:w="5850" w:type="dxa"/>
            <w:tcBorders>
              <w:left w:val="none" w:sz="0" w:space="0" w:color="auto"/>
              <w:right w:val="none" w:sz="0" w:space="0" w:color="auto"/>
            </w:tcBorders>
            <w:noWrap/>
            <w:vAlign w:val="center"/>
            <w:hideMark/>
          </w:tcPr>
          <w:p w:rsidR="00256E3D" w:rsidRPr="009B2DFE" w:rsidRDefault="00256E3D" w:rsidP="001D34B8">
            <w:pPr>
              <w:spacing w:after="0"/>
              <w:jc w:val="left"/>
              <w:rPr>
                <w:rFonts w:eastAsia="Times New Roman" w:cs="Calibri"/>
                <w:bCs/>
                <w:sz w:val="22"/>
                <w:lang w:val="en-US"/>
              </w:rPr>
            </w:pPr>
            <w:r w:rsidRPr="009B2DFE">
              <w:rPr>
                <w:rFonts w:eastAsia="Times New Roman" w:cs="Calibri"/>
                <w:bCs/>
                <w:sz w:val="22"/>
                <w:lang w:val="en-US"/>
              </w:rPr>
              <w:t>Palliative Care Program</w:t>
            </w:r>
          </w:p>
        </w:tc>
        <w:tc>
          <w:tcPr>
            <w:tcW w:w="1260" w:type="dxa"/>
            <w:vAlign w:val="center"/>
          </w:tcPr>
          <w:p w:rsidR="00256E3D" w:rsidRPr="005068AF" w:rsidRDefault="00256E3D" w:rsidP="008A285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 w:val="22"/>
                <w:lang w:val="en-US"/>
              </w:rPr>
            </w:pPr>
            <w:r w:rsidRPr="005068AF">
              <w:rPr>
                <w:rFonts w:eastAsia="Times New Roman" w:cs="Calibri"/>
                <w:b/>
                <w:bCs/>
                <w:sz w:val="22"/>
                <w:lang w:val="en-US"/>
              </w:rPr>
              <w:t>15</w:t>
            </w:r>
          </w:p>
        </w:tc>
      </w:tr>
    </w:tbl>
    <w:p w:rsidR="00256E3D" w:rsidRDefault="00256E3D" w:rsidP="00256E3D">
      <w:pPr>
        <w:spacing w:after="200"/>
      </w:pPr>
      <w:r>
        <w:br w:type="page"/>
      </w:r>
    </w:p>
    <w:p w:rsidR="00043DB4" w:rsidRDefault="009F643E" w:rsidP="00043DB4">
      <w:pPr>
        <w:pStyle w:val="Caption"/>
        <w:keepNext/>
      </w:pPr>
      <w:bookmarkStart w:id="605" w:name="_Toc495416385"/>
      <w:bookmarkStart w:id="606" w:name="Tab0818"/>
      <w:r>
        <w:lastRenderedPageBreak/>
        <w:t>Table 8.</w:t>
      </w:r>
      <w:r w:rsidR="009A3F5A">
        <w:fldChar w:fldCharType="begin"/>
      </w:r>
      <w:r w:rsidR="009A3F5A">
        <w:instrText xml:space="preserve"> SEQ Table_8. \* ARABIC </w:instrText>
      </w:r>
      <w:r w:rsidR="009A3F5A">
        <w:fldChar w:fldCharType="separate"/>
      </w:r>
      <w:r w:rsidR="00856E49">
        <w:rPr>
          <w:noProof/>
        </w:rPr>
        <w:t>18</w:t>
      </w:r>
      <w:r w:rsidR="009A3F5A">
        <w:rPr>
          <w:noProof/>
        </w:rPr>
        <w:fldChar w:fldCharType="end"/>
      </w:r>
      <w:r>
        <w:t xml:space="preserve">: </w:t>
      </w:r>
      <w:r w:rsidRPr="009F643E">
        <w:t>R-ACFI Payment Groups Compared with the Current ACFI</w:t>
      </w:r>
      <w:bookmarkEnd w:id="605"/>
    </w:p>
    <w:tbl>
      <w:tblPr>
        <w:tblStyle w:val="ListTable3-Accent515"/>
        <w:tblW w:w="9093"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8.18 is a list of details for the 50 funding groups (bands) of the complex health care (CHC) domain, with comparison between the current aged care funding instrument (ACFI) and the revised aged care funding instrument (R-ACFI). This table is to be read left to right, top to bottom."/>
      </w:tblPr>
      <w:tblGrid>
        <w:gridCol w:w="993"/>
        <w:gridCol w:w="1080"/>
        <w:gridCol w:w="2430"/>
        <w:gridCol w:w="2340"/>
        <w:gridCol w:w="2250"/>
      </w:tblGrid>
      <w:tr w:rsidR="00545AB9" w:rsidRPr="00545AB9" w:rsidTr="00B7742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93" w:type="dxa"/>
            <w:noWrap/>
            <w:hideMark/>
          </w:tcPr>
          <w:bookmarkEnd w:id="606"/>
          <w:p w:rsidR="00545AB9" w:rsidRPr="00545AB9" w:rsidRDefault="00545AB9"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Funding Bands</w:t>
            </w:r>
            <w:r w:rsidRPr="00545AB9">
              <w:rPr>
                <w:rFonts w:ascii="Calibri" w:eastAsia="Times New Roman" w:hAnsi="Calibri" w:cs="Times New Roman"/>
                <w:sz w:val="19"/>
                <w:szCs w:val="19"/>
                <w:vertAlign w:val="superscript"/>
                <w:lang w:val="en-US"/>
              </w:rPr>
              <w:t>1</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545AB9" w:rsidRPr="00545AB9" w:rsidRDefault="00545AB9"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Number in Bands</w:t>
            </w:r>
          </w:p>
        </w:tc>
        <w:tc>
          <w:tcPr>
            <w:tcW w:w="2430" w:type="dxa"/>
            <w:noWrap/>
            <w:hideMark/>
          </w:tcPr>
          <w:p w:rsidR="00545AB9" w:rsidRPr="00545AB9" w:rsidRDefault="00545AB9" w:rsidP="00545AB9">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19"/>
                <w:szCs w:val="19"/>
                <w:lang w:val="en-US"/>
              </w:rPr>
            </w:pPr>
            <w:r w:rsidRPr="00545AB9">
              <w:rPr>
                <w:rFonts w:ascii="Calibri" w:eastAsia="Times New Roman" w:hAnsi="Calibri" w:cs="Times New Roman"/>
                <w:sz w:val="19"/>
                <w:szCs w:val="19"/>
                <w:lang w:val="en-US"/>
              </w:rPr>
              <w:t>Average funding in band</w:t>
            </w:r>
          </w:p>
          <w:p w:rsidR="00545AB9" w:rsidRPr="00545AB9" w:rsidRDefault="00545AB9" w:rsidP="00545AB9">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9"/>
                <w:szCs w:val="19"/>
                <w:lang w:val="en-US"/>
              </w:rPr>
            </w:pPr>
            <w:r w:rsidRPr="00545AB9">
              <w:rPr>
                <w:rFonts w:ascii="Calibri" w:eastAsia="Times New Roman" w:hAnsi="Calibri" w:cs="Times New Roman"/>
                <w:b w:val="0"/>
                <w:sz w:val="19"/>
                <w:szCs w:val="19"/>
                <w:lang w:val="en-US"/>
              </w:rPr>
              <w:t xml:space="preserve">(Current </w:t>
            </w:r>
            <w:r w:rsidRPr="00545AB9">
              <w:rPr>
                <w:rFonts w:ascii="Calibri" w:eastAsia="Times New Roman" w:hAnsi="Calibri" w:cs="Times New Roman"/>
                <w:sz w:val="19"/>
                <w:szCs w:val="19"/>
                <w:lang w:val="en-US"/>
              </w:rPr>
              <w:t>ACFI Subsidy</w:t>
            </w:r>
            <w:r w:rsidRPr="00545AB9">
              <w:rPr>
                <w:rFonts w:ascii="Calibri" w:eastAsia="Times New Roman" w:hAnsi="Calibri" w:cs="Times New Roman"/>
                <w:b w:val="0"/>
                <w:sz w:val="19"/>
                <w:szCs w:val="19"/>
                <w:lang w:val="en-US"/>
              </w:rPr>
              <w:t>)</w:t>
            </w:r>
          </w:p>
        </w:tc>
        <w:tc>
          <w:tcPr>
            <w:cnfStyle w:val="000010000000" w:firstRow="0" w:lastRow="0" w:firstColumn="0" w:lastColumn="0" w:oddVBand="1" w:evenVBand="0" w:oddHBand="0" w:evenHBand="0" w:firstRowFirstColumn="0" w:firstRowLastColumn="0" w:lastRowFirstColumn="0" w:lastRowLastColumn="0"/>
            <w:tcW w:w="2340" w:type="dxa"/>
          </w:tcPr>
          <w:p w:rsidR="00545AB9" w:rsidRPr="00545AB9" w:rsidRDefault="00545AB9" w:rsidP="00545AB9">
            <w:pPr>
              <w:spacing w:after="0"/>
              <w:jc w:val="center"/>
              <w:rPr>
                <w:rFonts w:ascii="Calibri" w:eastAsia="Times New Roman" w:hAnsi="Calibri" w:cs="Times New Roman"/>
                <w:b w:val="0"/>
                <w:sz w:val="19"/>
                <w:szCs w:val="19"/>
                <w:lang w:val="en-US"/>
              </w:rPr>
            </w:pPr>
            <w:r w:rsidRPr="00545AB9">
              <w:rPr>
                <w:rFonts w:ascii="Calibri" w:eastAsia="Times New Roman" w:hAnsi="Calibri" w:cs="Times New Roman"/>
                <w:sz w:val="19"/>
                <w:szCs w:val="19"/>
                <w:lang w:val="en-US"/>
              </w:rPr>
              <w:t>Average funding in band</w:t>
            </w:r>
          </w:p>
          <w:p w:rsidR="00545AB9" w:rsidRPr="00545AB9" w:rsidRDefault="00545AB9" w:rsidP="00545AB9">
            <w:pPr>
              <w:spacing w:after="0"/>
              <w:jc w:val="center"/>
              <w:rPr>
                <w:rFonts w:ascii="Calibri" w:eastAsia="Times New Roman" w:hAnsi="Calibri" w:cs="Times New Roman"/>
                <w:bCs w:val="0"/>
                <w:sz w:val="19"/>
                <w:szCs w:val="19"/>
                <w:lang w:val="en-US"/>
              </w:rPr>
            </w:pPr>
            <w:r w:rsidRPr="00545AB9">
              <w:rPr>
                <w:rFonts w:ascii="Calibri" w:eastAsia="Times New Roman" w:hAnsi="Calibri" w:cs="Times New Roman"/>
                <w:b w:val="0"/>
                <w:sz w:val="19"/>
                <w:szCs w:val="19"/>
                <w:lang w:val="en-US"/>
              </w:rPr>
              <w:t xml:space="preserve">(Current </w:t>
            </w:r>
            <w:r w:rsidRPr="00545AB9">
              <w:rPr>
                <w:rFonts w:ascii="Calibri" w:eastAsia="Times New Roman" w:hAnsi="Calibri" w:cs="Times New Roman"/>
                <w:sz w:val="19"/>
                <w:szCs w:val="19"/>
                <w:lang w:val="en-US"/>
              </w:rPr>
              <w:t>ACFI Re-Scale</w:t>
            </w:r>
            <w:r w:rsidRPr="00545AB9">
              <w:rPr>
                <w:rFonts w:ascii="Calibri" w:eastAsia="Times New Roman" w:hAnsi="Calibri" w:cs="Times New Roman"/>
                <w:b w:val="0"/>
                <w:sz w:val="19"/>
                <w:szCs w:val="19"/>
                <w:lang w:val="en-US"/>
              </w:rPr>
              <w:t>)</w:t>
            </w:r>
          </w:p>
        </w:tc>
        <w:tc>
          <w:tcPr>
            <w:tcW w:w="2250" w:type="dxa"/>
          </w:tcPr>
          <w:p w:rsidR="00545AB9" w:rsidRPr="00545AB9" w:rsidRDefault="00545AB9" w:rsidP="00545AB9">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Average funding in band</w:t>
            </w:r>
          </w:p>
          <w:p w:rsidR="00545AB9" w:rsidRPr="00545AB9" w:rsidRDefault="00545AB9" w:rsidP="00545AB9">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eastAsia="Times New Roman" w:hAnsi="Calibri" w:cs="Times New Roman"/>
                <w:b w:val="0"/>
                <w:sz w:val="19"/>
                <w:szCs w:val="19"/>
                <w:lang w:val="en-US"/>
              </w:rPr>
              <w:t>(</w:t>
            </w:r>
            <w:r w:rsidRPr="00545AB9">
              <w:rPr>
                <w:rFonts w:ascii="Calibri" w:eastAsia="Times New Roman" w:hAnsi="Calibri" w:cs="Times New Roman"/>
                <w:sz w:val="19"/>
                <w:szCs w:val="19"/>
                <w:lang w:val="en-US"/>
              </w:rPr>
              <w:t>R-ACFI Subsidy</w:t>
            </w:r>
            <w:r w:rsidRPr="00545AB9">
              <w:rPr>
                <w:rFonts w:ascii="Calibri" w:eastAsia="Times New Roman" w:hAnsi="Calibri" w:cs="Times New Roman"/>
                <w:b w:val="0"/>
                <w:sz w:val="19"/>
                <w:szCs w:val="19"/>
                <w:lang w:val="en-US"/>
              </w:rPr>
              <w:t>)</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1</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10.61</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8.38</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16.94</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2</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8.91</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7.03</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33.11</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16.37</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12.92</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33.11</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4</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16.37</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12.92</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33.11</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5</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16.37</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12.92</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33.11</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6</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3508</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43.31</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34.19</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33.11</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7</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46.62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36.81</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33.11</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8</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46.62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36.81</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33.11</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9</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48.67</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38.43</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33.11</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10</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53.15</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33.11</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11</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3508</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53.15</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33.11</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12</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57.33</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45.26</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33.11</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13</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37.22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29.38</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38.50</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14</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16.37</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12.92</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15</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16.37</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12.92</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16</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3508</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45.03</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35.55</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17</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46.62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36.81</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18</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46.62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36.81</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19</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46.62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36.81</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20</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58.44</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46.14</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21</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3508</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53.15</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22</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53.15</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23</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53.15</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24</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53.15</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25</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53.15</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26</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3508</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53.15</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27</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53.15</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28</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53.15</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29</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57.94</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45.75</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30</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65.42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51.65</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31</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3508</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46.44</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36.67</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32</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46.62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36.81</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33</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51.77</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40.87</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34</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53.15</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53.15</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36</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3508</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53.15</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37</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53.15</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38</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53.15</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39</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53.15</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40</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53.15</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41</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3508</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53.15</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42</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64.19</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50.68</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44.15</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43</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66.42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52.44</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44.62</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44</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61.09</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48.23</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55.19</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45</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53.15</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55.19</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46</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3508</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53.15</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55.19</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47</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67.15</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53.02</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55.19</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48</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66.62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52.60</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55.19</w:t>
            </w:r>
          </w:p>
        </w:tc>
      </w:tr>
      <w:tr w:rsidR="00545AB9" w:rsidRPr="00545AB9" w:rsidTr="00B774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49</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3507</w:t>
            </w:r>
          </w:p>
        </w:tc>
        <w:tc>
          <w:tcPr>
            <w:tcW w:w="243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67.32</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53.15</w:t>
            </w:r>
          </w:p>
        </w:tc>
        <w:tc>
          <w:tcPr>
            <w:tcW w:w="2250" w:type="dxa"/>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55.19</w:t>
            </w:r>
          </w:p>
        </w:tc>
      </w:tr>
      <w:tr w:rsidR="00545AB9" w:rsidRPr="00545AB9" w:rsidTr="00B77425">
        <w:trPr>
          <w:trHeight w:val="144"/>
        </w:trPr>
        <w:tc>
          <w:tcPr>
            <w:cnfStyle w:val="001000000000" w:firstRow="0" w:lastRow="0" w:firstColumn="1" w:lastColumn="0" w:oddVBand="0" w:evenVBand="0" w:oddHBand="0" w:evenHBand="0" w:firstRowFirstColumn="0" w:firstRowLastColumn="0" w:lastRowFirstColumn="0" w:lastRowLastColumn="0"/>
            <w:tcW w:w="993" w:type="dxa"/>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50</w:t>
            </w:r>
          </w:p>
        </w:tc>
        <w:tc>
          <w:tcPr>
            <w:cnfStyle w:val="000010000000" w:firstRow="0" w:lastRow="0" w:firstColumn="0" w:lastColumn="0" w:oddVBand="1" w:evenVBand="0" w:oddHBand="0" w:evenHBand="0" w:firstRowFirstColumn="0" w:firstRowLastColumn="0" w:lastRowFirstColumn="0" w:lastRowLastColumn="0"/>
            <w:tcW w:w="1080" w:type="dxa"/>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3508</w:t>
            </w:r>
          </w:p>
        </w:tc>
        <w:tc>
          <w:tcPr>
            <w:tcW w:w="243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67.30</w:t>
            </w:r>
          </w:p>
        </w:tc>
        <w:tc>
          <w:tcPr>
            <w:cnfStyle w:val="000010000000" w:firstRow="0" w:lastRow="0" w:firstColumn="0" w:lastColumn="0" w:oddVBand="1" w:evenVBand="0" w:oddHBand="0" w:evenHBand="0" w:firstRowFirstColumn="0" w:firstRowLastColumn="0" w:lastRowFirstColumn="0" w:lastRowLastColumn="0"/>
            <w:tcW w:w="2340" w:type="dxa"/>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53.13</w:t>
            </w:r>
          </w:p>
        </w:tc>
        <w:tc>
          <w:tcPr>
            <w:tcW w:w="2250" w:type="dxa"/>
            <w:noWrap/>
            <w:vAlign w:val="bottom"/>
          </w:tcPr>
          <w:p w:rsidR="00414CEE" w:rsidRPr="00545AB9" w:rsidRDefault="00414CEE" w:rsidP="00545AB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55.19</w:t>
            </w:r>
          </w:p>
        </w:tc>
      </w:tr>
      <w:tr w:rsidR="00545AB9" w:rsidRPr="00545AB9" w:rsidTr="001D34B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93" w:type="dxa"/>
            <w:shd w:val="clear" w:color="auto" w:fill="auto"/>
            <w:noWrap/>
            <w:hideMark/>
          </w:tcPr>
          <w:p w:rsidR="00414CEE" w:rsidRPr="00545AB9" w:rsidRDefault="00414CEE" w:rsidP="00545AB9">
            <w:pPr>
              <w:spacing w:after="0"/>
              <w:jc w:val="left"/>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Total</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noWrap/>
            <w:hideMark/>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eastAsia="Times New Roman" w:hAnsi="Calibri" w:cs="Times New Roman"/>
                <w:sz w:val="19"/>
                <w:szCs w:val="19"/>
                <w:lang w:val="en-US"/>
              </w:rPr>
              <w:t>175360</w:t>
            </w:r>
          </w:p>
        </w:tc>
        <w:tc>
          <w:tcPr>
            <w:tcW w:w="2430" w:type="dxa"/>
            <w:shd w:val="clear" w:color="auto" w:fill="auto"/>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53.98</w:t>
            </w:r>
          </w:p>
        </w:tc>
        <w:tc>
          <w:tcPr>
            <w:cnfStyle w:val="000010000000" w:firstRow="0" w:lastRow="0" w:firstColumn="0" w:lastColumn="0" w:oddVBand="1" w:evenVBand="0" w:oddHBand="0" w:evenHBand="0" w:firstRowFirstColumn="0" w:firstRowLastColumn="0" w:lastRowFirstColumn="0" w:lastRowLastColumn="0"/>
            <w:tcW w:w="2340" w:type="dxa"/>
            <w:shd w:val="clear" w:color="auto" w:fill="auto"/>
            <w:noWrap/>
            <w:vAlign w:val="bottom"/>
          </w:tcPr>
          <w:p w:rsidR="00414CEE" w:rsidRPr="00545AB9" w:rsidRDefault="00414CEE" w:rsidP="00545AB9">
            <w:pPr>
              <w:spacing w:after="0"/>
              <w:jc w:val="center"/>
              <w:rPr>
                <w:rFonts w:ascii="Calibri" w:eastAsia="Times New Roman" w:hAnsi="Calibri" w:cs="Times New Roman"/>
                <w:sz w:val="19"/>
                <w:szCs w:val="19"/>
                <w:lang w:val="en-US"/>
              </w:rPr>
            </w:pPr>
            <w:r w:rsidRPr="00545AB9">
              <w:rPr>
                <w:rFonts w:ascii="Calibri" w:hAnsi="Calibri"/>
                <w:sz w:val="19"/>
                <w:szCs w:val="19"/>
              </w:rPr>
              <w:t>42.62</w:t>
            </w:r>
          </w:p>
        </w:tc>
        <w:tc>
          <w:tcPr>
            <w:tcW w:w="2250" w:type="dxa"/>
            <w:shd w:val="clear" w:color="auto" w:fill="auto"/>
            <w:noWrap/>
            <w:vAlign w:val="bottom"/>
          </w:tcPr>
          <w:p w:rsidR="00414CEE" w:rsidRPr="00545AB9" w:rsidRDefault="00414CEE" w:rsidP="00545AB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9"/>
                <w:szCs w:val="19"/>
                <w:lang w:val="en-US"/>
              </w:rPr>
            </w:pPr>
            <w:r w:rsidRPr="00545AB9">
              <w:rPr>
                <w:rFonts w:ascii="Calibri" w:hAnsi="Calibri"/>
                <w:sz w:val="19"/>
                <w:szCs w:val="19"/>
              </w:rPr>
              <w:t>42.62</w:t>
            </w:r>
          </w:p>
        </w:tc>
      </w:tr>
    </w:tbl>
    <w:p w:rsidR="00256E3D" w:rsidRPr="004B10A8" w:rsidRDefault="00256E3D" w:rsidP="00256E3D">
      <w:pPr>
        <w:rPr>
          <w:b/>
          <w:sz w:val="18"/>
          <w:szCs w:val="18"/>
          <w:lang w:eastAsia="en-AU"/>
        </w:rPr>
      </w:pPr>
      <w:r w:rsidRPr="004B10A8">
        <w:rPr>
          <w:rFonts w:eastAsia="Times New Roman"/>
          <w:sz w:val="18"/>
          <w:szCs w:val="18"/>
          <w:vertAlign w:val="superscript"/>
          <w:lang w:val="en-US"/>
        </w:rPr>
        <w:t>1</w:t>
      </w:r>
      <w:r w:rsidRPr="004B10A8">
        <w:rPr>
          <w:rFonts w:eastAsia="Times New Roman"/>
          <w:sz w:val="18"/>
          <w:szCs w:val="18"/>
          <w:lang w:val="en-US"/>
        </w:rPr>
        <w:t>Funding Bands: T</w:t>
      </w:r>
      <w:r w:rsidRPr="004B10A8">
        <w:rPr>
          <w:sz w:val="18"/>
          <w:szCs w:val="18"/>
          <w:lang w:eastAsia="en-AU"/>
        </w:rPr>
        <w:t>he R-ACFI funding was sorted into increasing levels and grouped into 50 bands of approximately 3,500 records.</w:t>
      </w:r>
      <w:r w:rsidR="007A576E">
        <w:rPr>
          <w:sz w:val="18"/>
          <w:szCs w:val="18"/>
          <w:lang w:eastAsia="en-AU"/>
        </w:rPr>
        <w:t xml:space="preserve"> </w:t>
      </w:r>
      <w:r w:rsidRPr="004B10A8">
        <w:rPr>
          <w:sz w:val="18"/>
          <w:szCs w:val="18"/>
          <w:lang w:eastAsia="en-AU"/>
        </w:rPr>
        <w:t>The average R-ACFI and ACFI funding within these bands was then calculated.</w:t>
      </w:r>
    </w:p>
    <w:p w:rsidR="00256E3D" w:rsidRPr="008F1CA1" w:rsidRDefault="00256E3D" w:rsidP="008F1CA1">
      <w:pPr>
        <w:pStyle w:val="Heading4-Chapter853"/>
      </w:pPr>
      <w:r w:rsidRPr="008F1CA1">
        <w:lastRenderedPageBreak/>
        <w:t>CHC Comparison Charts</w:t>
      </w:r>
    </w:p>
    <w:p w:rsidR="00980F62" w:rsidRDefault="00256E3D" w:rsidP="00300704">
      <w:pPr>
        <w:spacing w:after="200"/>
        <w:rPr>
          <w:color w:val="000000" w:themeColor="text1"/>
        </w:rPr>
      </w:pPr>
      <w:r w:rsidRPr="0097450F">
        <w:rPr>
          <w:color w:val="000000" w:themeColor="text1"/>
        </w:rPr>
        <w:t>Figure</w:t>
      </w:r>
      <w:r w:rsidR="00166C46">
        <w:rPr>
          <w:color w:val="000000" w:themeColor="text1"/>
        </w:rPr>
        <w:t>s 8.8 and 8.9</w:t>
      </w:r>
      <w:r>
        <w:rPr>
          <w:color w:val="000000" w:themeColor="text1"/>
        </w:rPr>
        <w:t xml:space="preserve"> </w:t>
      </w:r>
      <w:r w:rsidR="003E5D08">
        <w:rPr>
          <w:color w:val="000000" w:themeColor="text1"/>
        </w:rPr>
        <w:t xml:space="preserve">show </w:t>
      </w:r>
      <w:r>
        <w:rPr>
          <w:color w:val="000000" w:themeColor="text1"/>
        </w:rPr>
        <w:t xml:space="preserve">the distribution of the data presented in </w:t>
      </w:r>
      <w:hyperlink w:anchor="Tab0818" w:history="1">
        <w:r w:rsidRPr="00421923">
          <w:rPr>
            <w:rStyle w:val="Hyperlink"/>
          </w:rPr>
          <w:t>Table 8.18</w:t>
        </w:r>
      </w:hyperlink>
      <w:r>
        <w:rPr>
          <w:color w:val="000000" w:themeColor="text1"/>
        </w:rPr>
        <w:t xml:space="preserve"> of the R-ACFI and ACFI CHC domain funding bands. As the funding bands have large numbers of cases to simplify the chart, fluctuations in the averages are present. </w:t>
      </w:r>
      <w:hyperlink w:anchor="Fig0808" w:history="1">
        <w:r w:rsidRPr="00411E89">
          <w:rPr>
            <w:rStyle w:val="Hyperlink"/>
          </w:rPr>
          <w:t>Figure 8.8</w:t>
        </w:r>
      </w:hyperlink>
      <w:r>
        <w:rPr>
          <w:color w:val="000000" w:themeColor="text1"/>
        </w:rPr>
        <w:t xml:space="preserve"> shows the large fluctuations in the ACFI CHC funding related to the removal of the pain management items ($15</w:t>
      </w:r>
      <w:r w:rsidR="00735127">
        <w:rPr>
          <w:color w:val="000000" w:themeColor="text1"/>
        </w:rPr>
        <w:t xml:space="preserve"> per day</w:t>
      </w:r>
      <w:r>
        <w:rPr>
          <w:color w:val="000000" w:themeColor="text1"/>
        </w:rPr>
        <w:t xml:space="preserve">) and the lower average funding overall. The funding for the health procedures </w:t>
      </w:r>
      <w:r w:rsidR="00160622">
        <w:rPr>
          <w:color w:val="000000" w:themeColor="text1"/>
        </w:rPr>
        <w:t xml:space="preserve">however </w:t>
      </w:r>
      <w:r>
        <w:rPr>
          <w:color w:val="000000" w:themeColor="text1"/>
        </w:rPr>
        <w:t xml:space="preserve">is effectively increased as they distribute all the </w:t>
      </w:r>
      <w:hyperlink w:anchor="Fig0808" w:history="1">
        <w:r w:rsidRPr="00411E89">
          <w:rPr>
            <w:rStyle w:val="Hyperlink"/>
          </w:rPr>
          <w:t>funding</w:t>
        </w:r>
      </w:hyperlink>
      <w:r>
        <w:rPr>
          <w:color w:val="000000" w:themeColor="text1"/>
        </w:rPr>
        <w:t xml:space="preserve"> in the modified domain.</w:t>
      </w:r>
    </w:p>
    <w:p w:rsidR="00E3084A" w:rsidRDefault="00E3084A" w:rsidP="00E3084A">
      <w:pPr>
        <w:pStyle w:val="Caption"/>
        <w:keepNext/>
      </w:pPr>
      <w:bookmarkStart w:id="607" w:name="_Toc495416555"/>
      <w:r>
        <w:t>Figure 8.</w:t>
      </w:r>
      <w:r w:rsidR="009A3F5A">
        <w:fldChar w:fldCharType="begin"/>
      </w:r>
      <w:r w:rsidR="009A3F5A">
        <w:instrText xml:space="preserve"> SEQ Figure_8. \* ARABIC </w:instrText>
      </w:r>
      <w:r w:rsidR="009A3F5A">
        <w:fldChar w:fldCharType="separate"/>
      </w:r>
      <w:r w:rsidR="00856E49">
        <w:rPr>
          <w:noProof/>
        </w:rPr>
        <w:t>8</w:t>
      </w:r>
      <w:r w:rsidR="009A3F5A">
        <w:rPr>
          <w:noProof/>
        </w:rPr>
        <w:fldChar w:fldCharType="end"/>
      </w:r>
      <w:r w:rsidR="009F643E">
        <w:t xml:space="preserve">: </w:t>
      </w:r>
      <w:r w:rsidR="009F643E" w:rsidRPr="009F643E">
        <w:t>R-ACFI CHC Funding Distribution Compared with the Current ACFI</w:t>
      </w:r>
      <w:bookmarkEnd w:id="607"/>
    </w:p>
    <w:p w:rsidR="00DF56E7" w:rsidRDefault="00DF56E7" w:rsidP="00256E3D">
      <w:r>
        <w:rPr>
          <w:noProof/>
          <w:lang w:eastAsia="en-AU"/>
        </w:rPr>
        <w:drawing>
          <wp:inline distT="0" distB="0" distL="0" distR="0" wp14:anchorId="57B40C9B" wp14:editId="3154880D">
            <wp:extent cx="5681980" cy="2560320"/>
            <wp:effectExtent l="0" t="0" r="0" b="0"/>
            <wp:docPr id="229" name="Picture 229" descr="Figure 8.8 is a line diagram illustrating the comparison of funding distribution for the complex health care (CHC) domain between the current aged care funding instrument (ACFI) and the revised aged care funding instrument (R-ACFI), as compared in Table 8.18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81980" cy="2560320"/>
                    </a:xfrm>
                    <a:prstGeom prst="rect">
                      <a:avLst/>
                    </a:prstGeom>
                    <a:noFill/>
                  </pic:spPr>
                </pic:pic>
              </a:graphicData>
            </a:graphic>
          </wp:inline>
        </w:drawing>
      </w:r>
    </w:p>
    <w:p w:rsidR="00256E3D" w:rsidRDefault="00473246" w:rsidP="00300704">
      <w:pPr>
        <w:spacing w:after="200"/>
        <w:rPr>
          <w:rFonts w:cstheme="minorHAnsi"/>
          <w:lang w:eastAsia="en-AU"/>
        </w:rPr>
      </w:pPr>
      <w:hyperlink w:anchor="Fig0809" w:history="1">
        <w:r w:rsidR="00256E3D" w:rsidRPr="00411E89">
          <w:rPr>
            <w:rStyle w:val="Hyperlink"/>
          </w:rPr>
          <w:t>Figure 8.9</w:t>
        </w:r>
      </w:hyperlink>
      <w:r w:rsidR="00256E3D">
        <w:rPr>
          <w:color w:val="000000" w:themeColor="text1"/>
        </w:rPr>
        <w:t xml:space="preserve"> shows the same comparison but uses re-scaled ACFI data which has been </w:t>
      </w:r>
      <w:r w:rsidR="00256E3D" w:rsidRPr="002C557C">
        <w:rPr>
          <w:color w:val="000000" w:themeColor="text1"/>
        </w:rPr>
        <w:t xml:space="preserve">averaged to equal that of the proposed R-ACFI rates. </w:t>
      </w:r>
      <w:r w:rsidR="00256E3D">
        <w:rPr>
          <w:color w:val="000000" w:themeColor="text1"/>
        </w:rPr>
        <w:t xml:space="preserve">This provides a clearer comparison of the impact of the differences between the R-ACFI and ACFI CHC distributions as it adjusts to some extent, for the removal of the $15 </w:t>
      </w:r>
      <w:r w:rsidR="00735127">
        <w:rPr>
          <w:color w:val="000000" w:themeColor="text1"/>
        </w:rPr>
        <w:t>per day</w:t>
      </w:r>
      <w:r w:rsidR="00256E3D">
        <w:rPr>
          <w:color w:val="000000" w:themeColor="text1"/>
        </w:rPr>
        <w:t xml:space="preserve"> attributed to the pain management items.</w:t>
      </w:r>
    </w:p>
    <w:p w:rsidR="00E3084A" w:rsidRDefault="009F643E" w:rsidP="00E3084A">
      <w:pPr>
        <w:pStyle w:val="Caption"/>
        <w:keepNext/>
      </w:pPr>
      <w:bookmarkStart w:id="608" w:name="_Toc495416556"/>
      <w:r>
        <w:t>Figure 8.</w:t>
      </w:r>
      <w:r w:rsidR="009A3F5A">
        <w:fldChar w:fldCharType="begin"/>
      </w:r>
      <w:r w:rsidR="009A3F5A">
        <w:instrText xml:space="preserve"> SEQ Figure_8. \* ARABIC </w:instrText>
      </w:r>
      <w:r w:rsidR="009A3F5A">
        <w:fldChar w:fldCharType="separate"/>
      </w:r>
      <w:r w:rsidR="00856E49">
        <w:rPr>
          <w:noProof/>
        </w:rPr>
        <w:t>9</w:t>
      </w:r>
      <w:r w:rsidR="009A3F5A">
        <w:rPr>
          <w:noProof/>
        </w:rPr>
        <w:fldChar w:fldCharType="end"/>
      </w:r>
      <w:r>
        <w:t xml:space="preserve">: </w:t>
      </w:r>
      <w:r w:rsidRPr="009F643E">
        <w:t>R-ACFI CHC Re Scaled Funding Distribution Compared with the Current ACFI</w:t>
      </w:r>
      <w:bookmarkEnd w:id="608"/>
    </w:p>
    <w:p w:rsidR="00DF56E7" w:rsidRDefault="00DF56E7" w:rsidP="00256E3D">
      <w:pPr>
        <w:spacing w:after="200"/>
        <w:rPr>
          <w:rFonts w:cstheme="minorHAnsi"/>
          <w:lang w:eastAsia="en-AU"/>
        </w:rPr>
      </w:pPr>
      <w:r>
        <w:rPr>
          <w:rFonts w:cstheme="minorHAnsi"/>
          <w:noProof/>
          <w:lang w:eastAsia="en-AU"/>
        </w:rPr>
        <w:drawing>
          <wp:inline distT="0" distB="0" distL="0" distR="0" wp14:anchorId="12F42A3A" wp14:editId="3C049BD5">
            <wp:extent cx="5742940" cy="2767965"/>
            <wp:effectExtent l="0" t="0" r="0" b="0"/>
            <wp:docPr id="231" name="Picture 231" descr="Figure 8.9 is a line diagram illustrating the comparison of funding distribution for the complex health care (CHC) domain between the current aged care funding instrument (ACFI) and the revised aged care funding instrument (R-ACFI) with re-scaled ACFI data, as summaris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42940" cy="2767965"/>
                    </a:xfrm>
                    <a:prstGeom prst="rect">
                      <a:avLst/>
                    </a:prstGeom>
                    <a:noFill/>
                  </pic:spPr>
                </pic:pic>
              </a:graphicData>
            </a:graphic>
          </wp:inline>
        </w:drawing>
      </w:r>
    </w:p>
    <w:p w:rsidR="00256E3D" w:rsidRDefault="00256E3D" w:rsidP="005E0BCA">
      <w:pPr>
        <w:pStyle w:val="Heading2-Chapter8"/>
      </w:pPr>
      <w:bookmarkStart w:id="609" w:name="_Toc486596379"/>
      <w:bookmarkStart w:id="610" w:name="_Toc486600077"/>
      <w:bookmarkStart w:id="611" w:name="_Toc491426063"/>
      <w:r>
        <w:lastRenderedPageBreak/>
        <w:t>Therapy Program</w:t>
      </w:r>
      <w:bookmarkEnd w:id="609"/>
      <w:bookmarkEnd w:id="610"/>
      <w:bookmarkEnd w:id="611"/>
    </w:p>
    <w:p w:rsidR="00980F62" w:rsidRDefault="00256E3D" w:rsidP="00872E39">
      <w:pPr>
        <w:pStyle w:val="Heading3-Chapter86"/>
      </w:pPr>
      <w:bookmarkStart w:id="612" w:name="_Toc486596380"/>
      <w:bookmarkStart w:id="613" w:name="_Toc486600078"/>
      <w:r w:rsidRPr="00F87577">
        <w:t>The Therapy Program</w:t>
      </w:r>
      <w:bookmarkEnd w:id="612"/>
      <w:bookmarkEnd w:id="613"/>
    </w:p>
    <w:p w:rsidR="00256E3D" w:rsidRDefault="00256E3D" w:rsidP="00300704">
      <w:r>
        <w:rPr>
          <w:lang w:eastAsia="en-AU"/>
        </w:rPr>
        <w:t xml:space="preserve">The rationale and design of the </w:t>
      </w:r>
      <w:r>
        <w:t xml:space="preserve">Therapy Program is presented in </w:t>
      </w:r>
      <w:hyperlink w:anchor="Ch07" w:history="1">
        <w:r w:rsidRPr="00A91929">
          <w:rPr>
            <w:rStyle w:val="Hyperlink"/>
          </w:rPr>
          <w:t>Chapter 7</w:t>
        </w:r>
      </w:hyperlink>
      <w:r>
        <w:t>.</w:t>
      </w:r>
    </w:p>
    <w:p w:rsidR="00980F62" w:rsidRDefault="00256E3D" w:rsidP="00300704">
      <w:pPr>
        <w:spacing w:after="200"/>
        <w:rPr>
          <w:szCs w:val="24"/>
        </w:rPr>
      </w:pPr>
      <w:r>
        <w:rPr>
          <w:szCs w:val="24"/>
        </w:rPr>
        <w:t>The R-ACFI has introduced a new Therapy Program concept and funding (from the pain management items) that will be available to all residents.</w:t>
      </w:r>
    </w:p>
    <w:bookmarkEnd w:id="522"/>
    <w:p w:rsidR="00980F62" w:rsidRDefault="00256E3D" w:rsidP="00300704">
      <w:pPr>
        <w:rPr>
          <w:lang w:eastAsia="en-AU"/>
        </w:rPr>
      </w:pPr>
      <w:r>
        <w:rPr>
          <w:lang w:eastAsia="en-AU"/>
        </w:rPr>
        <w:t>Using the average of the last four years daily subsidy reductions gives an average per day rate of around $15 per resident per day to distribute to the Therapy Program.</w:t>
      </w:r>
    </w:p>
    <w:p w:rsidR="00256E3D" w:rsidRPr="00467184" w:rsidRDefault="00256E3D" w:rsidP="00300704">
      <w:pPr>
        <w:rPr>
          <w:lang w:val="en-CA"/>
        </w:rPr>
      </w:pPr>
      <w:r w:rsidRPr="00467184">
        <w:rPr>
          <w:lang w:eastAsia="en-AU"/>
        </w:rPr>
        <w:t>The Therapy Program will be funded at one level only. It is expected that at any one time at least 75</w:t>
      </w:r>
      <w:r w:rsidR="00D05D9A">
        <w:rPr>
          <w:lang w:eastAsia="en-AU"/>
        </w:rPr>
        <w:t xml:space="preserve"> to 100</w:t>
      </w:r>
      <w:r w:rsidR="0065091B">
        <w:rPr>
          <w:lang w:eastAsia="en-AU"/>
        </w:rPr>
        <w:t xml:space="preserve"> per cent</w:t>
      </w:r>
      <w:r w:rsidRPr="00467184">
        <w:rPr>
          <w:lang w:eastAsia="en-AU"/>
        </w:rPr>
        <w:t xml:space="preserve"> of residents in a facility will be funded under the program. </w:t>
      </w:r>
      <w:r w:rsidRPr="00467184">
        <w:t>The physical Therapy Program will not be prescriptive about the type of services that will be covered, but it will prescribe minimum time requirements and who can undertake assessment, care planning and program delivery</w:t>
      </w:r>
      <w:r w:rsidR="00D05D9A">
        <w:t xml:space="preserve"> (</w:t>
      </w:r>
      <w:hyperlink w:anchor="Ch07" w:history="1">
        <w:r w:rsidR="00D05D9A" w:rsidRPr="00A91929">
          <w:rPr>
            <w:rStyle w:val="Hyperlink"/>
          </w:rPr>
          <w:t>Chapter 7</w:t>
        </w:r>
      </w:hyperlink>
      <w:r w:rsidR="00D05D9A">
        <w:t>)</w:t>
      </w:r>
      <w:r w:rsidRPr="00467184">
        <w:t>.</w:t>
      </w:r>
    </w:p>
    <w:p w:rsidR="00256E3D" w:rsidRDefault="00256E3D" w:rsidP="00300704">
      <w:pPr>
        <w:rPr>
          <w:lang w:eastAsia="en-AU"/>
        </w:rPr>
      </w:pPr>
      <w:r>
        <w:rPr>
          <w:lang w:eastAsia="en-AU"/>
        </w:rPr>
        <w:t>The R-ACFI funding allocation allows for 100</w:t>
      </w:r>
      <w:r w:rsidR="0065091B">
        <w:rPr>
          <w:lang w:eastAsia="en-AU"/>
        </w:rPr>
        <w:t xml:space="preserve"> per cent</w:t>
      </w:r>
      <w:r>
        <w:rPr>
          <w:lang w:eastAsia="en-AU"/>
        </w:rPr>
        <w:t xml:space="preserve"> of residents to be funded under the program.</w:t>
      </w:r>
    </w:p>
    <w:p w:rsidR="00256E3D" w:rsidRDefault="00256E3D" w:rsidP="00300704">
      <w:pPr>
        <w:rPr>
          <w:lang w:eastAsia="en-AU"/>
        </w:rPr>
      </w:pPr>
      <w:r>
        <w:rPr>
          <w:lang w:eastAsia="en-AU"/>
        </w:rPr>
        <w:t xml:space="preserve">The three recommended program options </w:t>
      </w:r>
      <w:r w:rsidR="00D05D9A">
        <w:rPr>
          <w:lang w:eastAsia="en-AU"/>
        </w:rPr>
        <w:t xml:space="preserve">that will attract funding </w:t>
      </w:r>
      <w:r>
        <w:rPr>
          <w:lang w:eastAsia="en-AU"/>
        </w:rPr>
        <w:t>are as follows:</w:t>
      </w:r>
    </w:p>
    <w:p w:rsidR="00980F62" w:rsidRDefault="00256E3D" w:rsidP="00F02312">
      <w:pPr>
        <w:pStyle w:val="ListParagraph"/>
        <w:numPr>
          <w:ilvl w:val="0"/>
          <w:numId w:val="73"/>
        </w:numPr>
        <w:contextualSpacing w:val="0"/>
        <w:rPr>
          <w:lang w:eastAsia="en-AU"/>
        </w:rPr>
      </w:pPr>
      <w:r>
        <w:rPr>
          <w:lang w:eastAsia="en-AU"/>
        </w:rPr>
        <w:t>Option A: One (1) individual physical therapy session and three (3) small group sessions with a total requirement of 180 minutes of therapy per week.</w:t>
      </w:r>
    </w:p>
    <w:p w:rsidR="00980F62" w:rsidRDefault="00256E3D" w:rsidP="00F02312">
      <w:pPr>
        <w:pStyle w:val="ListParagraph"/>
        <w:numPr>
          <w:ilvl w:val="0"/>
          <w:numId w:val="73"/>
        </w:numPr>
        <w:ind w:left="357" w:hanging="357"/>
        <w:contextualSpacing w:val="0"/>
        <w:rPr>
          <w:lang w:eastAsia="en-AU"/>
        </w:rPr>
      </w:pPr>
      <w:r>
        <w:rPr>
          <w:lang w:eastAsia="en-AU"/>
        </w:rPr>
        <w:t>Option B: Two (2) individual physical therapy sessions and two (2) small group sessions with a total requirement of 140 minutes of therapy per week.</w:t>
      </w:r>
    </w:p>
    <w:p w:rsidR="00256E3D" w:rsidRDefault="00256E3D" w:rsidP="00F02312">
      <w:pPr>
        <w:pStyle w:val="ListParagraph"/>
        <w:numPr>
          <w:ilvl w:val="0"/>
          <w:numId w:val="73"/>
        </w:numPr>
        <w:ind w:left="357" w:hanging="357"/>
        <w:contextualSpacing w:val="0"/>
        <w:rPr>
          <w:lang w:eastAsia="en-AU"/>
        </w:rPr>
      </w:pPr>
      <w:r>
        <w:rPr>
          <w:lang w:eastAsia="en-AU"/>
        </w:rPr>
        <w:t>Option C: Three (3) individual physical therapy sessions with a total requirement of 60 minutes of therapy per week.</w:t>
      </w:r>
    </w:p>
    <w:p w:rsidR="00D05D9A" w:rsidRDefault="00D05D9A" w:rsidP="005E0BCA">
      <w:pPr>
        <w:pStyle w:val="Heading2-Chapter8"/>
        <w:rPr>
          <w:lang w:eastAsia="en-AU"/>
        </w:rPr>
      </w:pPr>
      <w:bookmarkStart w:id="614" w:name="_Toc491426064"/>
      <w:r>
        <w:rPr>
          <w:lang w:eastAsia="en-AU"/>
        </w:rPr>
        <w:t>R-ACFI “At a Glance”</w:t>
      </w:r>
      <w:bookmarkEnd w:id="614"/>
    </w:p>
    <w:p w:rsidR="00256E3D" w:rsidRDefault="00256E3D" w:rsidP="00256E3D">
      <w:pPr>
        <w:rPr>
          <w:color w:val="FF0000"/>
          <w:lang w:val="en-CA"/>
        </w:rPr>
        <w:sectPr w:rsidR="00256E3D" w:rsidSect="00256E3D">
          <w:type w:val="continuous"/>
          <w:pgSz w:w="11906" w:h="16838"/>
          <w:pgMar w:top="1440" w:right="1440" w:bottom="1440" w:left="1440" w:header="708" w:footer="708" w:gutter="0"/>
          <w:cols w:space="708"/>
          <w:docGrid w:linePitch="360"/>
        </w:sectPr>
      </w:pPr>
    </w:p>
    <w:p w:rsidR="00980F62" w:rsidRDefault="00D05D9A" w:rsidP="001D34B8">
      <w:pPr>
        <w:spacing w:after="60"/>
      </w:pPr>
      <w:r w:rsidRPr="008F1CA1">
        <w:t>The R-A</w:t>
      </w:r>
      <w:r w:rsidR="008B67FF" w:rsidRPr="008F1CA1">
        <w:t xml:space="preserve">CFI in </w:t>
      </w:r>
      <w:r w:rsidRPr="008F1CA1">
        <w:t xml:space="preserve">summarised format is </w:t>
      </w:r>
      <w:r w:rsidR="008B67FF" w:rsidRPr="008F1CA1">
        <w:t xml:space="preserve">provided in </w:t>
      </w:r>
      <w:hyperlink w:anchor="Tab0819" w:history="1">
        <w:r w:rsidR="008B67FF" w:rsidRPr="008F1CA1">
          <w:rPr>
            <w:rStyle w:val="Hyperlink"/>
          </w:rPr>
          <w:t>Table</w:t>
        </w:r>
        <w:r w:rsidR="008F1CA1" w:rsidRPr="008F1CA1">
          <w:rPr>
            <w:rStyle w:val="Hyperlink"/>
          </w:rPr>
          <w:t>s</w:t>
        </w:r>
        <w:r w:rsidR="008B67FF" w:rsidRPr="008F1CA1">
          <w:rPr>
            <w:rStyle w:val="Hyperlink"/>
          </w:rPr>
          <w:t xml:space="preserve"> 8.19</w:t>
        </w:r>
      </w:hyperlink>
      <w:r w:rsidR="008F1CA1" w:rsidRPr="008F1CA1">
        <w:rPr>
          <w:rStyle w:val="Hyperlink"/>
        </w:rPr>
        <w:t xml:space="preserve"> to 8.19c</w:t>
      </w:r>
      <w:r w:rsidR="008B67FF" w:rsidRPr="008F1CA1">
        <w:t>.</w:t>
      </w:r>
    </w:p>
    <w:p w:rsidR="00043DB4" w:rsidRDefault="009F643E" w:rsidP="001D34B8">
      <w:pPr>
        <w:pStyle w:val="Caption"/>
        <w:keepNext/>
        <w:spacing w:before="0"/>
      </w:pPr>
      <w:bookmarkStart w:id="615" w:name="_Toc495416386"/>
      <w:bookmarkStart w:id="616" w:name="Tab0819"/>
      <w:bookmarkStart w:id="617" w:name="_Toc486600079"/>
      <w:bookmarkStart w:id="618" w:name="_Hlk480233921"/>
      <w:bookmarkStart w:id="619" w:name="_Hlk480234220"/>
      <w:r>
        <w:t>Table 8.</w:t>
      </w:r>
      <w:r w:rsidR="009A3F5A">
        <w:fldChar w:fldCharType="begin"/>
      </w:r>
      <w:r w:rsidR="009A3F5A">
        <w:instrText xml:space="preserve"> SEQ Table_8. \* ARABIC </w:instrText>
      </w:r>
      <w:r w:rsidR="009A3F5A">
        <w:fldChar w:fldCharType="separate"/>
      </w:r>
      <w:r w:rsidR="00856E49">
        <w:rPr>
          <w:noProof/>
        </w:rPr>
        <w:t>19</w:t>
      </w:r>
      <w:r w:rsidR="009A3F5A">
        <w:rPr>
          <w:noProof/>
        </w:rPr>
        <w:fldChar w:fldCharType="end"/>
      </w:r>
      <w:r>
        <w:t xml:space="preserve">: </w:t>
      </w:r>
      <w:r w:rsidRPr="009F643E">
        <w:t>R-ACFI at a glance</w:t>
      </w:r>
      <w:bookmarkEnd w:id="615"/>
    </w:p>
    <w:tbl>
      <w:tblPr>
        <w:tblStyle w:val="TableGrid"/>
        <w:tblW w:w="9214" w:type="dxa"/>
        <w:tblInd w:w="85"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57" w:type="dxa"/>
          <w:left w:w="85" w:type="dxa"/>
          <w:right w:w="85" w:type="dxa"/>
        </w:tblCellMar>
        <w:tblLook w:val="04A0" w:firstRow="1" w:lastRow="0" w:firstColumn="1" w:lastColumn="0" w:noHBand="0" w:noVBand="1"/>
        <w:tblDescription w:val="Table 8.19 is a list of details that summarises the questions and appraisal evidence required under the revised aged care funding instrument (R-ACFI). This table is to be read left to right, top to bottom."/>
      </w:tblPr>
      <w:tblGrid>
        <w:gridCol w:w="3969"/>
        <w:gridCol w:w="5245"/>
      </w:tblGrid>
      <w:tr w:rsidR="001D34B8" w:rsidRPr="001D34B8" w:rsidTr="001D34B8">
        <w:trPr>
          <w:tblHeader/>
        </w:trPr>
        <w:tc>
          <w:tcPr>
            <w:tcW w:w="3969" w:type="dxa"/>
            <w:shd w:val="clear" w:color="auto" w:fill="5B9BD5" w:themeFill="accent5"/>
          </w:tcPr>
          <w:bookmarkEnd w:id="616"/>
          <w:p w:rsidR="001D34B8" w:rsidRPr="001D34B8" w:rsidRDefault="001D34B8" w:rsidP="004729AD">
            <w:pPr>
              <w:pStyle w:val="Tableheader"/>
              <w:spacing w:after="0"/>
              <w:jc w:val="left"/>
              <w:rPr>
                <w:color w:val="FFFFFF" w:themeColor="background1"/>
                <w:sz w:val="18"/>
                <w:szCs w:val="18"/>
              </w:rPr>
            </w:pPr>
            <w:r w:rsidRPr="001D34B8">
              <w:rPr>
                <w:color w:val="FFFFFF" w:themeColor="background1"/>
                <w:sz w:val="18"/>
                <w:szCs w:val="18"/>
              </w:rPr>
              <w:t>Question</w:t>
            </w:r>
          </w:p>
        </w:tc>
        <w:tc>
          <w:tcPr>
            <w:tcW w:w="5245" w:type="dxa"/>
            <w:shd w:val="clear" w:color="auto" w:fill="5B9BD5" w:themeFill="accent5"/>
          </w:tcPr>
          <w:p w:rsidR="001D34B8" w:rsidRPr="001D34B8" w:rsidRDefault="001D34B8" w:rsidP="004729AD">
            <w:pPr>
              <w:pStyle w:val="Tableheader"/>
              <w:spacing w:after="0"/>
              <w:jc w:val="left"/>
              <w:rPr>
                <w:color w:val="FFFFFF" w:themeColor="background1"/>
                <w:sz w:val="18"/>
                <w:szCs w:val="18"/>
              </w:rPr>
            </w:pPr>
            <w:r w:rsidRPr="001D34B8">
              <w:rPr>
                <w:color w:val="FFFFFF" w:themeColor="background1"/>
                <w:sz w:val="18"/>
                <w:szCs w:val="18"/>
              </w:rPr>
              <w:t>Appraisal Evidence Requirements</w:t>
            </w:r>
          </w:p>
        </w:tc>
      </w:tr>
      <w:tr w:rsidR="001D34B8" w:rsidRPr="001D34B8" w:rsidTr="001D34B8">
        <w:tc>
          <w:tcPr>
            <w:tcW w:w="3969" w:type="dxa"/>
          </w:tcPr>
          <w:p w:rsidR="001D34B8" w:rsidRPr="001D34B8" w:rsidRDefault="001D34B8" w:rsidP="004729AD">
            <w:pPr>
              <w:pStyle w:val="Tabletype"/>
              <w:spacing w:after="0"/>
              <w:jc w:val="left"/>
            </w:pPr>
            <w:r w:rsidRPr="001D34B8">
              <w:t>Mental and Behavioural Diagnosis</w:t>
            </w:r>
          </w:p>
        </w:tc>
        <w:tc>
          <w:tcPr>
            <w:tcW w:w="5245" w:type="dxa"/>
            <w:vMerge w:val="restart"/>
          </w:tcPr>
          <w:p w:rsidR="001D34B8" w:rsidRPr="001D34B8" w:rsidRDefault="001D34B8" w:rsidP="004729AD">
            <w:pPr>
              <w:pStyle w:val="Tabletype"/>
              <w:numPr>
                <w:ilvl w:val="0"/>
                <w:numId w:val="9"/>
              </w:numPr>
              <w:spacing w:after="0"/>
              <w:ind w:left="114" w:hanging="114"/>
              <w:jc w:val="left"/>
            </w:pPr>
            <w:r w:rsidRPr="001D34B8">
              <w:t>Disorders/ diagnosis checklists</w:t>
            </w:r>
          </w:p>
          <w:p w:rsidR="001D34B8" w:rsidRPr="001D34B8" w:rsidRDefault="001D34B8" w:rsidP="004729AD">
            <w:pPr>
              <w:pStyle w:val="Tabletype"/>
              <w:numPr>
                <w:ilvl w:val="0"/>
                <w:numId w:val="9"/>
              </w:numPr>
              <w:spacing w:after="0"/>
              <w:ind w:left="114" w:hanging="114"/>
              <w:jc w:val="left"/>
            </w:pPr>
            <w:r w:rsidRPr="001D34B8">
              <w:t>Source materials checklists</w:t>
            </w:r>
          </w:p>
          <w:p w:rsidR="001D34B8" w:rsidRPr="001D34B8" w:rsidRDefault="001D34B8" w:rsidP="004729AD">
            <w:pPr>
              <w:pStyle w:val="Tabletype"/>
              <w:numPr>
                <w:ilvl w:val="0"/>
                <w:numId w:val="9"/>
              </w:numPr>
              <w:spacing w:after="0"/>
              <w:ind w:left="114" w:hanging="114"/>
              <w:jc w:val="left"/>
            </w:pPr>
            <w:r w:rsidRPr="001D34B8">
              <w:t>Copies of source materials e.g. NSAF, ACCR, GP comprehensive medical assessment, other medical practitioner assessments or notes</w:t>
            </w:r>
          </w:p>
        </w:tc>
      </w:tr>
      <w:tr w:rsidR="001D34B8" w:rsidRPr="001D34B8" w:rsidTr="001D34B8">
        <w:tc>
          <w:tcPr>
            <w:tcW w:w="3969" w:type="dxa"/>
          </w:tcPr>
          <w:p w:rsidR="001D34B8" w:rsidRPr="001D34B8" w:rsidRDefault="001D34B8" w:rsidP="004729AD">
            <w:pPr>
              <w:pStyle w:val="Tabletype"/>
              <w:spacing w:after="0"/>
              <w:jc w:val="left"/>
            </w:pPr>
            <w:r w:rsidRPr="001D34B8">
              <w:t>Medical Diagnosis</w:t>
            </w:r>
          </w:p>
        </w:tc>
        <w:tc>
          <w:tcPr>
            <w:tcW w:w="5245" w:type="dxa"/>
            <w:vMerge/>
          </w:tcPr>
          <w:p w:rsidR="001D34B8" w:rsidRPr="001D34B8" w:rsidRDefault="001D34B8" w:rsidP="004729AD">
            <w:pPr>
              <w:pStyle w:val="Tabletype"/>
              <w:spacing w:after="0"/>
              <w:jc w:val="left"/>
            </w:pPr>
          </w:p>
        </w:tc>
      </w:tr>
      <w:tr w:rsidR="001D34B8" w:rsidRPr="001D34B8" w:rsidTr="001D34B8">
        <w:tc>
          <w:tcPr>
            <w:tcW w:w="3969" w:type="dxa"/>
          </w:tcPr>
          <w:p w:rsidR="001D34B8" w:rsidRPr="001D34B8" w:rsidRDefault="001D34B8" w:rsidP="004729AD">
            <w:pPr>
              <w:pStyle w:val="Tabletype"/>
              <w:spacing w:after="0"/>
              <w:jc w:val="left"/>
              <w:rPr>
                <w:b/>
              </w:rPr>
            </w:pPr>
            <w:r w:rsidRPr="001D34B8">
              <w:rPr>
                <w:b/>
              </w:rPr>
              <w:t>Therapy Program</w:t>
            </w:r>
          </w:p>
          <w:p w:rsidR="001D34B8" w:rsidRPr="001D34B8" w:rsidRDefault="001D34B8" w:rsidP="001D34B8">
            <w:pPr>
              <w:pStyle w:val="Tabletype"/>
              <w:numPr>
                <w:ilvl w:val="0"/>
                <w:numId w:val="111"/>
              </w:numPr>
              <w:spacing w:after="0"/>
              <w:ind w:left="114" w:hanging="114"/>
              <w:jc w:val="left"/>
            </w:pPr>
            <w:r w:rsidRPr="001D34B8">
              <w:t>Available for all residents at any level of care need.</w:t>
            </w:r>
          </w:p>
          <w:p w:rsidR="001D34B8" w:rsidRDefault="001D34B8" w:rsidP="001D34B8">
            <w:pPr>
              <w:pStyle w:val="Tabletype"/>
              <w:numPr>
                <w:ilvl w:val="0"/>
                <w:numId w:val="111"/>
              </w:numPr>
              <w:spacing w:after="0"/>
              <w:ind w:left="114" w:hanging="114"/>
              <w:jc w:val="left"/>
            </w:pPr>
            <w:r w:rsidRPr="001D34B8">
              <w:t>Consumer involvement - consent, developing goals and therapy options, sign off on Therapy Care Plan, evaluation feedback.</w:t>
            </w:r>
          </w:p>
          <w:p w:rsidR="001D34B8" w:rsidRDefault="001D34B8" w:rsidP="001D34B8">
            <w:pPr>
              <w:pStyle w:val="Tabletype"/>
              <w:numPr>
                <w:ilvl w:val="0"/>
                <w:numId w:val="111"/>
              </w:numPr>
              <w:spacing w:after="0"/>
              <w:ind w:left="114" w:hanging="114"/>
              <w:jc w:val="left"/>
            </w:pPr>
            <w:r w:rsidRPr="001D34B8">
              <w:t>Therapy service- delivered for 60/140/180 minutes /week on 3 -4 days of the week.</w:t>
            </w:r>
          </w:p>
          <w:p w:rsidR="001D34B8" w:rsidRDefault="001D34B8" w:rsidP="001D34B8">
            <w:pPr>
              <w:pStyle w:val="Tabletype"/>
              <w:numPr>
                <w:ilvl w:val="0"/>
                <w:numId w:val="111"/>
              </w:numPr>
              <w:spacing w:after="0"/>
              <w:ind w:left="114" w:hanging="114"/>
              <w:jc w:val="left"/>
            </w:pPr>
            <w:r w:rsidRPr="001D34B8">
              <w:t>Time depends on mix of mode.</w:t>
            </w:r>
          </w:p>
          <w:p w:rsidR="001D34B8" w:rsidRPr="001D34B8" w:rsidRDefault="001D34B8" w:rsidP="001D34B8">
            <w:pPr>
              <w:pStyle w:val="Tabletype"/>
              <w:numPr>
                <w:ilvl w:val="0"/>
                <w:numId w:val="111"/>
              </w:numPr>
              <w:spacing w:after="0"/>
              <w:ind w:left="114" w:hanging="114"/>
              <w:jc w:val="left"/>
            </w:pPr>
            <w:r w:rsidRPr="001D34B8">
              <w:t>Therapy service mode: One-to-one or small group (max of 5 residents)</w:t>
            </w:r>
          </w:p>
        </w:tc>
        <w:tc>
          <w:tcPr>
            <w:tcW w:w="5245" w:type="dxa"/>
          </w:tcPr>
          <w:p w:rsidR="001D34B8" w:rsidRPr="001D34B8" w:rsidRDefault="001D34B8" w:rsidP="00F02312">
            <w:pPr>
              <w:pStyle w:val="Tabletype"/>
              <w:numPr>
                <w:ilvl w:val="0"/>
                <w:numId w:val="111"/>
              </w:numPr>
              <w:spacing w:after="0"/>
              <w:ind w:left="114" w:hanging="114"/>
              <w:jc w:val="left"/>
            </w:pPr>
            <w:r w:rsidRPr="001D34B8">
              <w:t>Evidence-based assessment tools by defined list of HP</w:t>
            </w:r>
          </w:p>
          <w:p w:rsidR="001D34B8" w:rsidRPr="001D34B8" w:rsidRDefault="001D34B8" w:rsidP="00F02312">
            <w:pPr>
              <w:pStyle w:val="Tabletype"/>
              <w:numPr>
                <w:ilvl w:val="0"/>
                <w:numId w:val="111"/>
              </w:numPr>
              <w:spacing w:after="0"/>
              <w:ind w:left="114" w:hanging="114"/>
              <w:jc w:val="left"/>
            </w:pPr>
            <w:r w:rsidRPr="001D34B8">
              <w:t>Therapy Care Plan developed by defined list of AHP</w:t>
            </w:r>
          </w:p>
          <w:p w:rsidR="001D34B8" w:rsidRPr="001D34B8" w:rsidRDefault="001D34B8" w:rsidP="00F02312">
            <w:pPr>
              <w:pStyle w:val="Tabletype"/>
              <w:numPr>
                <w:ilvl w:val="0"/>
                <w:numId w:val="111"/>
              </w:numPr>
              <w:spacing w:after="0"/>
              <w:ind w:left="114" w:hanging="114"/>
              <w:jc w:val="left"/>
            </w:pPr>
            <w:r w:rsidRPr="001D34B8">
              <w:t>Directive: developed by defined list of AHP lists the activities to achieve the goals, what is to be delivered, resources needed, who delivers it (by defined list of AHP) and the program timelines</w:t>
            </w:r>
          </w:p>
          <w:p w:rsidR="001D34B8" w:rsidRPr="001D34B8" w:rsidRDefault="001D34B8" w:rsidP="00F02312">
            <w:pPr>
              <w:pStyle w:val="Tabletype"/>
              <w:numPr>
                <w:ilvl w:val="0"/>
                <w:numId w:val="111"/>
              </w:numPr>
              <w:spacing w:after="0"/>
              <w:ind w:left="114" w:hanging="114"/>
              <w:jc w:val="left"/>
            </w:pPr>
            <w:r w:rsidRPr="001D34B8">
              <w:t>Record of Treatment is maintained</w:t>
            </w:r>
          </w:p>
          <w:p w:rsidR="001D34B8" w:rsidRPr="001D34B8" w:rsidRDefault="001D34B8" w:rsidP="00F02312">
            <w:pPr>
              <w:pStyle w:val="Tabletype"/>
              <w:numPr>
                <w:ilvl w:val="0"/>
                <w:numId w:val="111"/>
              </w:numPr>
              <w:spacing w:after="0"/>
              <w:ind w:left="114" w:hanging="114"/>
              <w:jc w:val="left"/>
            </w:pPr>
            <w:r w:rsidRPr="001D34B8">
              <w:t xml:space="preserve">3 monthly evaluation of measurable outcomes, observed outcomes and resident goals. </w:t>
            </w:r>
          </w:p>
        </w:tc>
      </w:tr>
    </w:tbl>
    <w:p w:rsidR="005809A5" w:rsidRPr="001D34B8" w:rsidRDefault="005809A5" w:rsidP="005809A5">
      <w:pPr>
        <w:rPr>
          <w:sz w:val="18"/>
        </w:rPr>
      </w:pPr>
      <w:r w:rsidRPr="001D34B8">
        <w:rPr>
          <w:sz w:val="18"/>
        </w:rPr>
        <w:br w:type="page"/>
      </w:r>
    </w:p>
    <w:p w:rsidR="009F643E" w:rsidRDefault="009F643E" w:rsidP="009F643E">
      <w:pPr>
        <w:pStyle w:val="Caption"/>
        <w:keepNext/>
      </w:pPr>
      <w:bookmarkStart w:id="620" w:name="_Toc495416414"/>
      <w:r w:rsidRPr="008F1CA1">
        <w:lastRenderedPageBreak/>
        <w:t>Table 8.19</w:t>
      </w:r>
      <w:r w:rsidR="009A3F5A">
        <w:fldChar w:fldCharType="begin"/>
      </w:r>
      <w:r w:rsidR="009A3F5A">
        <w:instrText xml:space="preserve"> SEQ Table_8.19 \* alphabetic </w:instrText>
      </w:r>
      <w:r w:rsidR="009A3F5A">
        <w:fldChar w:fldCharType="separate"/>
      </w:r>
      <w:r w:rsidR="00856E49">
        <w:rPr>
          <w:noProof/>
        </w:rPr>
        <w:t>a</w:t>
      </w:r>
      <w:r w:rsidR="009A3F5A">
        <w:rPr>
          <w:noProof/>
        </w:rPr>
        <w:fldChar w:fldCharType="end"/>
      </w:r>
      <w:r w:rsidRPr="008F1CA1">
        <w:t>: R-ACFI at a glance (Activities of Daily Living Domain</w:t>
      </w:r>
      <w:r w:rsidR="00D53266" w:rsidRPr="008F1CA1">
        <w:t>)</w:t>
      </w:r>
      <w:bookmarkEnd w:id="620"/>
    </w:p>
    <w:tbl>
      <w:tblPr>
        <w:tblStyle w:val="TableGrid"/>
        <w:tblW w:w="9214" w:type="dxa"/>
        <w:tblInd w:w="85"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57" w:type="dxa"/>
          <w:left w:w="85" w:type="dxa"/>
          <w:right w:w="85" w:type="dxa"/>
        </w:tblCellMar>
        <w:tblLook w:val="04A0" w:firstRow="1" w:lastRow="0" w:firstColumn="1" w:lastColumn="0" w:noHBand="0" w:noVBand="1"/>
        <w:tblDescription w:val="Table 8.19a is a list of details summarising the questions and appraisal evidence required for the Activities of Daily Living Domain under the revised aged care funding instrument (R-ACFI). This table is to be read left to right, top to bottom, noting that numberless questions are noted as “NA”."/>
      </w:tblPr>
      <w:tblGrid>
        <w:gridCol w:w="444"/>
        <w:gridCol w:w="3809"/>
        <w:gridCol w:w="4961"/>
      </w:tblGrid>
      <w:tr w:rsidR="00D53266" w:rsidRPr="00D53266" w:rsidTr="00D53266">
        <w:trPr>
          <w:tblHeader/>
        </w:trPr>
        <w:tc>
          <w:tcPr>
            <w:tcW w:w="444" w:type="dxa"/>
            <w:shd w:val="clear" w:color="auto" w:fill="5B9BD5" w:themeFill="accent5"/>
          </w:tcPr>
          <w:p w:rsidR="009F643E" w:rsidRPr="00D53266" w:rsidRDefault="009F643E" w:rsidP="009F643E">
            <w:pPr>
              <w:pStyle w:val="Tableheader"/>
              <w:spacing w:after="0"/>
              <w:jc w:val="left"/>
              <w:rPr>
                <w:color w:val="FFFFFF" w:themeColor="background1"/>
                <w:sz w:val="17"/>
                <w:szCs w:val="17"/>
              </w:rPr>
            </w:pPr>
            <w:r w:rsidRPr="00D53266">
              <w:rPr>
                <w:color w:val="FFFFFF" w:themeColor="background1"/>
                <w:sz w:val="17"/>
                <w:szCs w:val="17"/>
              </w:rPr>
              <w:t>No.</w:t>
            </w:r>
          </w:p>
        </w:tc>
        <w:tc>
          <w:tcPr>
            <w:tcW w:w="3809" w:type="dxa"/>
            <w:shd w:val="clear" w:color="auto" w:fill="5B9BD5" w:themeFill="accent5"/>
          </w:tcPr>
          <w:p w:rsidR="009F643E" w:rsidRPr="00D53266" w:rsidRDefault="009F643E" w:rsidP="009F643E">
            <w:pPr>
              <w:pStyle w:val="Tableheader"/>
              <w:spacing w:after="0"/>
              <w:jc w:val="left"/>
              <w:rPr>
                <w:color w:val="FFFFFF" w:themeColor="background1"/>
                <w:sz w:val="17"/>
                <w:szCs w:val="17"/>
              </w:rPr>
            </w:pPr>
            <w:r w:rsidRPr="00D53266">
              <w:rPr>
                <w:color w:val="FFFFFF" w:themeColor="background1"/>
                <w:sz w:val="17"/>
                <w:szCs w:val="17"/>
              </w:rPr>
              <w:t>Question</w:t>
            </w:r>
          </w:p>
        </w:tc>
        <w:tc>
          <w:tcPr>
            <w:tcW w:w="4961" w:type="dxa"/>
            <w:shd w:val="clear" w:color="auto" w:fill="5B9BD5" w:themeFill="accent5"/>
          </w:tcPr>
          <w:p w:rsidR="009F643E" w:rsidRPr="00D53266" w:rsidRDefault="009F643E" w:rsidP="009F643E">
            <w:pPr>
              <w:pStyle w:val="Tableheader"/>
              <w:spacing w:after="0"/>
              <w:jc w:val="left"/>
              <w:rPr>
                <w:color w:val="FFFFFF" w:themeColor="background1"/>
                <w:sz w:val="17"/>
                <w:szCs w:val="17"/>
              </w:rPr>
            </w:pPr>
            <w:r w:rsidRPr="00D53266">
              <w:rPr>
                <w:color w:val="FFFFFF" w:themeColor="background1"/>
                <w:sz w:val="17"/>
                <w:szCs w:val="17"/>
              </w:rPr>
              <w:t>Appraisal Evidence Requirements</w:t>
            </w:r>
          </w:p>
        </w:tc>
      </w:tr>
      <w:tr w:rsidR="009F643E" w:rsidRPr="004729AD" w:rsidTr="009F643E">
        <w:tc>
          <w:tcPr>
            <w:tcW w:w="444" w:type="dxa"/>
          </w:tcPr>
          <w:p w:rsidR="009F643E" w:rsidRPr="004729AD" w:rsidRDefault="009F643E" w:rsidP="009F643E">
            <w:pPr>
              <w:pStyle w:val="Tabletype"/>
              <w:jc w:val="left"/>
              <w:rPr>
                <w:b/>
                <w:sz w:val="17"/>
                <w:szCs w:val="17"/>
              </w:rPr>
            </w:pPr>
            <w:r w:rsidRPr="004729AD">
              <w:rPr>
                <w:b/>
                <w:sz w:val="17"/>
                <w:szCs w:val="17"/>
              </w:rPr>
              <w:t>1</w:t>
            </w:r>
          </w:p>
        </w:tc>
        <w:tc>
          <w:tcPr>
            <w:tcW w:w="3809" w:type="dxa"/>
          </w:tcPr>
          <w:p w:rsidR="009F643E" w:rsidRPr="004729AD" w:rsidRDefault="009F643E" w:rsidP="009F643E">
            <w:pPr>
              <w:pStyle w:val="Tabletype"/>
              <w:spacing w:after="0"/>
              <w:jc w:val="left"/>
              <w:rPr>
                <w:b/>
                <w:bCs/>
                <w:sz w:val="17"/>
                <w:szCs w:val="17"/>
              </w:rPr>
            </w:pPr>
            <w:r w:rsidRPr="004729AD">
              <w:rPr>
                <w:b/>
                <w:bCs/>
                <w:sz w:val="17"/>
                <w:szCs w:val="17"/>
              </w:rPr>
              <w:t>Nutrition</w:t>
            </w:r>
          </w:p>
          <w:p w:rsidR="009F643E" w:rsidRPr="004729AD" w:rsidRDefault="009F643E" w:rsidP="009F643E">
            <w:pPr>
              <w:pStyle w:val="Tabletype"/>
              <w:spacing w:after="0"/>
              <w:jc w:val="left"/>
              <w:rPr>
                <w:sz w:val="17"/>
                <w:szCs w:val="17"/>
              </w:rPr>
            </w:pPr>
            <w:r w:rsidRPr="004729AD">
              <w:rPr>
                <w:sz w:val="17"/>
                <w:szCs w:val="17"/>
              </w:rPr>
              <w:t xml:space="preserve">Care need: </w:t>
            </w:r>
            <w:r w:rsidRPr="004729AD">
              <w:rPr>
                <w:rFonts w:asciiTheme="minorHAnsi" w:hAnsiTheme="minorHAnsi" w:cstheme="minorHAnsi"/>
                <w:i/>
                <w:sz w:val="17"/>
                <w:szCs w:val="17"/>
              </w:rPr>
              <w:t>Eating activities</w:t>
            </w:r>
          </w:p>
          <w:p w:rsidR="009F643E" w:rsidRPr="004729AD" w:rsidRDefault="009F643E" w:rsidP="009F643E">
            <w:pPr>
              <w:pStyle w:val="Tabletype"/>
              <w:spacing w:after="0"/>
              <w:jc w:val="left"/>
              <w:rPr>
                <w:sz w:val="17"/>
                <w:szCs w:val="17"/>
              </w:rPr>
            </w:pPr>
            <w:r w:rsidRPr="004729AD">
              <w:rPr>
                <w:sz w:val="17"/>
                <w:szCs w:val="17"/>
              </w:rPr>
              <w:t>Assistance level = Standard Care OR Monitoring OR Moderate Assistance OR Full Assistance</w:t>
            </w:r>
          </w:p>
        </w:tc>
        <w:tc>
          <w:tcPr>
            <w:tcW w:w="4961" w:type="dxa"/>
          </w:tcPr>
          <w:p w:rsidR="00980F62" w:rsidRDefault="009F643E" w:rsidP="009F643E">
            <w:pPr>
              <w:pStyle w:val="Tabletype"/>
              <w:numPr>
                <w:ilvl w:val="0"/>
                <w:numId w:val="9"/>
              </w:numPr>
              <w:spacing w:after="0"/>
              <w:ind w:left="114" w:hanging="114"/>
              <w:jc w:val="left"/>
              <w:rPr>
                <w:rFonts w:cs="Arial"/>
                <w:sz w:val="17"/>
                <w:szCs w:val="17"/>
              </w:rPr>
            </w:pPr>
            <w:r w:rsidRPr="004729AD">
              <w:rPr>
                <w:rFonts w:cs="Arial"/>
                <w:sz w:val="17"/>
                <w:szCs w:val="17"/>
              </w:rPr>
              <w:t>Mini Nutritional Assessment (MNA-short)</w:t>
            </w:r>
          </w:p>
          <w:p w:rsidR="009F643E" w:rsidRPr="004729AD" w:rsidRDefault="009F643E" w:rsidP="009F643E">
            <w:pPr>
              <w:pStyle w:val="Tabletype"/>
              <w:numPr>
                <w:ilvl w:val="0"/>
                <w:numId w:val="9"/>
              </w:numPr>
              <w:spacing w:after="0"/>
              <w:ind w:left="114" w:hanging="114"/>
              <w:jc w:val="left"/>
              <w:rPr>
                <w:rFonts w:cs="Arial"/>
                <w:sz w:val="17"/>
                <w:szCs w:val="17"/>
              </w:rPr>
            </w:pPr>
            <w:r w:rsidRPr="004729AD">
              <w:rPr>
                <w:rFonts w:cs="Arial"/>
                <w:sz w:val="17"/>
                <w:szCs w:val="17"/>
              </w:rPr>
              <w:t>Nutrition Assessment Summary</w:t>
            </w:r>
          </w:p>
          <w:p w:rsidR="009F643E" w:rsidRPr="004729AD" w:rsidRDefault="009F643E" w:rsidP="009F643E">
            <w:pPr>
              <w:pStyle w:val="Tabletype"/>
              <w:numPr>
                <w:ilvl w:val="0"/>
                <w:numId w:val="9"/>
              </w:numPr>
              <w:spacing w:after="0"/>
              <w:ind w:left="114" w:hanging="114"/>
              <w:jc w:val="left"/>
              <w:rPr>
                <w:sz w:val="17"/>
                <w:szCs w:val="17"/>
              </w:rPr>
            </w:pPr>
            <w:r w:rsidRPr="004729AD">
              <w:rPr>
                <w:rFonts w:cs="Arial"/>
                <w:sz w:val="17"/>
                <w:szCs w:val="17"/>
              </w:rPr>
              <w:t>Nutrition Checklist</w:t>
            </w:r>
          </w:p>
        </w:tc>
      </w:tr>
      <w:tr w:rsidR="009F643E" w:rsidRPr="004729AD" w:rsidTr="009F643E">
        <w:tc>
          <w:tcPr>
            <w:tcW w:w="444" w:type="dxa"/>
          </w:tcPr>
          <w:p w:rsidR="009F643E" w:rsidRPr="004729AD" w:rsidRDefault="009F643E" w:rsidP="009F643E">
            <w:pPr>
              <w:pStyle w:val="Tabletype"/>
              <w:jc w:val="left"/>
              <w:rPr>
                <w:b/>
                <w:sz w:val="17"/>
                <w:szCs w:val="17"/>
              </w:rPr>
            </w:pPr>
            <w:r w:rsidRPr="004729AD">
              <w:rPr>
                <w:b/>
                <w:sz w:val="17"/>
                <w:szCs w:val="17"/>
              </w:rPr>
              <w:t>2</w:t>
            </w:r>
          </w:p>
        </w:tc>
        <w:tc>
          <w:tcPr>
            <w:tcW w:w="3809" w:type="dxa"/>
          </w:tcPr>
          <w:p w:rsidR="009F643E" w:rsidRPr="004729AD" w:rsidRDefault="009F643E" w:rsidP="009F643E">
            <w:pPr>
              <w:pStyle w:val="Tabletype"/>
              <w:spacing w:after="0"/>
              <w:jc w:val="left"/>
              <w:rPr>
                <w:b/>
                <w:bCs/>
                <w:sz w:val="17"/>
                <w:szCs w:val="17"/>
              </w:rPr>
            </w:pPr>
            <w:r w:rsidRPr="004729AD">
              <w:rPr>
                <w:b/>
                <w:bCs/>
                <w:sz w:val="17"/>
                <w:szCs w:val="17"/>
              </w:rPr>
              <w:t>Mobility</w:t>
            </w:r>
          </w:p>
          <w:p w:rsidR="009F643E" w:rsidRPr="004729AD" w:rsidRDefault="009F643E" w:rsidP="009F643E">
            <w:pPr>
              <w:pStyle w:val="Tabletype"/>
              <w:spacing w:after="0"/>
              <w:jc w:val="left"/>
              <w:rPr>
                <w:sz w:val="17"/>
                <w:szCs w:val="17"/>
              </w:rPr>
            </w:pPr>
            <w:r w:rsidRPr="004729AD">
              <w:rPr>
                <w:sz w:val="17"/>
                <w:szCs w:val="17"/>
              </w:rPr>
              <w:t>Care needs</w:t>
            </w:r>
            <w:r w:rsidRPr="004729AD">
              <w:rPr>
                <w:i/>
                <w:sz w:val="17"/>
                <w:szCs w:val="17"/>
              </w:rPr>
              <w:t>: Transfers / Locomotion</w:t>
            </w:r>
          </w:p>
          <w:p w:rsidR="009F643E" w:rsidRPr="004729AD" w:rsidRDefault="009F643E" w:rsidP="009F643E">
            <w:pPr>
              <w:pStyle w:val="Tabletype"/>
              <w:spacing w:after="0"/>
              <w:jc w:val="left"/>
              <w:rPr>
                <w:sz w:val="17"/>
                <w:szCs w:val="17"/>
              </w:rPr>
            </w:pPr>
            <w:r w:rsidRPr="004729AD">
              <w:rPr>
                <w:sz w:val="17"/>
                <w:szCs w:val="17"/>
              </w:rPr>
              <w:t>Assistance level = Standard Care OR Moderate Assistance OR Full Assistance OR Mechanical lifting</w:t>
            </w:r>
          </w:p>
        </w:tc>
        <w:tc>
          <w:tcPr>
            <w:tcW w:w="4961" w:type="dxa"/>
          </w:tcPr>
          <w:p w:rsidR="009F643E" w:rsidRPr="004729AD" w:rsidRDefault="009F643E" w:rsidP="009F643E">
            <w:pPr>
              <w:pStyle w:val="Tabletype"/>
              <w:numPr>
                <w:ilvl w:val="0"/>
                <w:numId w:val="9"/>
              </w:numPr>
              <w:spacing w:after="0"/>
              <w:ind w:left="114" w:hanging="114"/>
              <w:jc w:val="left"/>
              <w:rPr>
                <w:sz w:val="17"/>
                <w:szCs w:val="17"/>
              </w:rPr>
            </w:pPr>
            <w:r w:rsidRPr="004729AD">
              <w:rPr>
                <w:sz w:val="17"/>
                <w:szCs w:val="17"/>
              </w:rPr>
              <w:t>PMS &amp; FRAT Assessment</w:t>
            </w:r>
          </w:p>
          <w:p w:rsidR="009F643E" w:rsidRPr="004729AD" w:rsidRDefault="009F643E" w:rsidP="009F643E">
            <w:pPr>
              <w:pStyle w:val="Tabletype"/>
              <w:numPr>
                <w:ilvl w:val="0"/>
                <w:numId w:val="9"/>
              </w:numPr>
              <w:spacing w:after="0"/>
              <w:ind w:left="114" w:hanging="114"/>
              <w:jc w:val="left"/>
              <w:rPr>
                <w:rFonts w:cs="Arial"/>
                <w:sz w:val="17"/>
                <w:szCs w:val="17"/>
              </w:rPr>
            </w:pPr>
            <w:r w:rsidRPr="004729AD">
              <w:rPr>
                <w:rFonts w:cs="Arial"/>
                <w:sz w:val="17"/>
                <w:szCs w:val="17"/>
              </w:rPr>
              <w:t>Mobility Assessment Summary</w:t>
            </w:r>
          </w:p>
          <w:p w:rsidR="009F643E" w:rsidRPr="004729AD" w:rsidRDefault="009F643E" w:rsidP="009F643E">
            <w:pPr>
              <w:pStyle w:val="Tabletype"/>
              <w:numPr>
                <w:ilvl w:val="0"/>
                <w:numId w:val="9"/>
              </w:numPr>
              <w:spacing w:after="0"/>
              <w:ind w:left="114" w:hanging="114"/>
              <w:jc w:val="left"/>
              <w:rPr>
                <w:sz w:val="17"/>
                <w:szCs w:val="17"/>
              </w:rPr>
            </w:pPr>
            <w:r w:rsidRPr="004729AD">
              <w:rPr>
                <w:sz w:val="17"/>
                <w:szCs w:val="17"/>
              </w:rPr>
              <w:t>Mobility Checklists</w:t>
            </w:r>
          </w:p>
        </w:tc>
      </w:tr>
      <w:tr w:rsidR="009F643E" w:rsidRPr="004729AD" w:rsidTr="009F643E">
        <w:tc>
          <w:tcPr>
            <w:tcW w:w="444" w:type="dxa"/>
          </w:tcPr>
          <w:p w:rsidR="009F643E" w:rsidRPr="004729AD" w:rsidRDefault="009F643E" w:rsidP="009F643E">
            <w:pPr>
              <w:pStyle w:val="Tabletype"/>
              <w:jc w:val="left"/>
              <w:rPr>
                <w:b/>
                <w:sz w:val="17"/>
                <w:szCs w:val="17"/>
              </w:rPr>
            </w:pPr>
            <w:r w:rsidRPr="004729AD">
              <w:rPr>
                <w:b/>
                <w:sz w:val="17"/>
                <w:szCs w:val="17"/>
              </w:rPr>
              <w:t>3</w:t>
            </w:r>
          </w:p>
        </w:tc>
        <w:tc>
          <w:tcPr>
            <w:tcW w:w="3809" w:type="dxa"/>
          </w:tcPr>
          <w:p w:rsidR="009F643E" w:rsidRPr="004729AD" w:rsidRDefault="009F643E" w:rsidP="009F643E">
            <w:pPr>
              <w:pStyle w:val="Tabletype"/>
              <w:spacing w:after="0"/>
              <w:jc w:val="left"/>
              <w:rPr>
                <w:b/>
                <w:bCs/>
                <w:sz w:val="17"/>
                <w:szCs w:val="17"/>
              </w:rPr>
            </w:pPr>
            <w:r w:rsidRPr="004729AD">
              <w:rPr>
                <w:b/>
                <w:bCs/>
                <w:sz w:val="17"/>
                <w:szCs w:val="17"/>
              </w:rPr>
              <w:t>Personal Hygiene</w:t>
            </w:r>
          </w:p>
          <w:p w:rsidR="00980F62" w:rsidRDefault="009F643E" w:rsidP="009F643E">
            <w:pPr>
              <w:pStyle w:val="Tabletype"/>
              <w:spacing w:after="0"/>
              <w:jc w:val="left"/>
              <w:rPr>
                <w:i/>
                <w:sz w:val="17"/>
                <w:szCs w:val="17"/>
              </w:rPr>
            </w:pPr>
            <w:r w:rsidRPr="004729AD">
              <w:rPr>
                <w:sz w:val="17"/>
                <w:szCs w:val="17"/>
              </w:rPr>
              <w:t xml:space="preserve">Care needs: </w:t>
            </w:r>
            <w:r w:rsidRPr="004729AD">
              <w:rPr>
                <w:i/>
                <w:sz w:val="17"/>
                <w:szCs w:val="17"/>
              </w:rPr>
              <w:t>Dressing / Washing</w:t>
            </w:r>
          </w:p>
          <w:p w:rsidR="009F643E" w:rsidRPr="004729AD" w:rsidRDefault="009F643E" w:rsidP="009F643E">
            <w:pPr>
              <w:pStyle w:val="Tabletype"/>
              <w:spacing w:after="0"/>
              <w:jc w:val="left"/>
              <w:rPr>
                <w:sz w:val="17"/>
                <w:szCs w:val="17"/>
              </w:rPr>
            </w:pPr>
            <w:r w:rsidRPr="004729AD">
              <w:rPr>
                <w:sz w:val="17"/>
                <w:szCs w:val="17"/>
              </w:rPr>
              <w:t xml:space="preserve">Assistance level = Standard Care OR Moderate Assistance OR Full Assistance </w:t>
            </w:r>
          </w:p>
        </w:tc>
        <w:tc>
          <w:tcPr>
            <w:tcW w:w="4961" w:type="dxa"/>
          </w:tcPr>
          <w:p w:rsidR="009F643E" w:rsidRPr="004729AD" w:rsidRDefault="009F643E" w:rsidP="009F643E">
            <w:pPr>
              <w:pStyle w:val="Tabletype"/>
              <w:numPr>
                <w:ilvl w:val="0"/>
                <w:numId w:val="9"/>
              </w:numPr>
              <w:spacing w:after="0"/>
              <w:ind w:left="114" w:hanging="114"/>
              <w:jc w:val="left"/>
              <w:rPr>
                <w:sz w:val="17"/>
                <w:szCs w:val="17"/>
              </w:rPr>
            </w:pPr>
            <w:r w:rsidRPr="004729AD">
              <w:rPr>
                <w:sz w:val="17"/>
                <w:szCs w:val="17"/>
              </w:rPr>
              <w:t>Assessment</w:t>
            </w:r>
          </w:p>
          <w:p w:rsidR="009F643E" w:rsidRPr="004729AD" w:rsidRDefault="009F643E" w:rsidP="009F643E">
            <w:pPr>
              <w:pStyle w:val="Tabletype"/>
              <w:numPr>
                <w:ilvl w:val="0"/>
                <w:numId w:val="9"/>
              </w:numPr>
              <w:spacing w:after="0"/>
              <w:ind w:left="114" w:hanging="114"/>
              <w:jc w:val="left"/>
              <w:rPr>
                <w:sz w:val="17"/>
                <w:szCs w:val="17"/>
              </w:rPr>
            </w:pPr>
            <w:r w:rsidRPr="004729AD">
              <w:rPr>
                <w:sz w:val="17"/>
                <w:szCs w:val="17"/>
              </w:rPr>
              <w:t>Personal Hygiene Checklists</w:t>
            </w:r>
          </w:p>
          <w:p w:rsidR="009F643E" w:rsidRPr="004729AD" w:rsidRDefault="009F643E" w:rsidP="009F643E">
            <w:pPr>
              <w:pStyle w:val="Tabletype"/>
              <w:numPr>
                <w:ilvl w:val="0"/>
                <w:numId w:val="9"/>
              </w:numPr>
              <w:spacing w:after="0"/>
              <w:ind w:left="114" w:hanging="114"/>
              <w:jc w:val="left"/>
              <w:rPr>
                <w:sz w:val="17"/>
                <w:szCs w:val="17"/>
              </w:rPr>
            </w:pPr>
            <w:r w:rsidRPr="004729AD">
              <w:rPr>
                <w:sz w:val="17"/>
                <w:szCs w:val="17"/>
              </w:rPr>
              <w:t>PMS &amp; FRAT Assessment</w:t>
            </w:r>
          </w:p>
        </w:tc>
      </w:tr>
      <w:tr w:rsidR="009F643E" w:rsidRPr="004729AD" w:rsidTr="009F643E">
        <w:tc>
          <w:tcPr>
            <w:tcW w:w="444" w:type="dxa"/>
          </w:tcPr>
          <w:p w:rsidR="009F643E" w:rsidRPr="004729AD" w:rsidRDefault="009F643E" w:rsidP="009F643E">
            <w:pPr>
              <w:pStyle w:val="Tabletype"/>
              <w:jc w:val="left"/>
              <w:rPr>
                <w:b/>
                <w:sz w:val="17"/>
                <w:szCs w:val="17"/>
              </w:rPr>
            </w:pPr>
            <w:r w:rsidRPr="004729AD">
              <w:rPr>
                <w:b/>
                <w:sz w:val="17"/>
                <w:szCs w:val="17"/>
              </w:rPr>
              <w:t>4</w:t>
            </w:r>
          </w:p>
        </w:tc>
        <w:tc>
          <w:tcPr>
            <w:tcW w:w="3809" w:type="dxa"/>
          </w:tcPr>
          <w:p w:rsidR="009F643E" w:rsidRPr="004729AD" w:rsidRDefault="009F643E" w:rsidP="009F643E">
            <w:pPr>
              <w:pStyle w:val="Tabletype"/>
              <w:spacing w:after="0"/>
              <w:jc w:val="left"/>
              <w:rPr>
                <w:b/>
                <w:bCs/>
                <w:sz w:val="17"/>
                <w:szCs w:val="17"/>
              </w:rPr>
            </w:pPr>
            <w:r w:rsidRPr="004729AD">
              <w:rPr>
                <w:b/>
                <w:bCs/>
                <w:sz w:val="17"/>
                <w:szCs w:val="17"/>
              </w:rPr>
              <w:t>Toileting</w:t>
            </w:r>
          </w:p>
          <w:p w:rsidR="009F643E" w:rsidRPr="004729AD" w:rsidRDefault="009F643E" w:rsidP="009F643E">
            <w:pPr>
              <w:pStyle w:val="Tabletype"/>
              <w:spacing w:after="0"/>
              <w:jc w:val="left"/>
              <w:rPr>
                <w:sz w:val="17"/>
                <w:szCs w:val="17"/>
              </w:rPr>
            </w:pPr>
            <w:r w:rsidRPr="004729AD">
              <w:rPr>
                <w:sz w:val="17"/>
                <w:szCs w:val="17"/>
              </w:rPr>
              <w:t xml:space="preserve">Care needs: </w:t>
            </w:r>
            <w:r w:rsidRPr="004729AD">
              <w:rPr>
                <w:i/>
                <w:sz w:val="17"/>
                <w:szCs w:val="17"/>
              </w:rPr>
              <w:t>Use of toilet / Toilet completion</w:t>
            </w:r>
          </w:p>
          <w:p w:rsidR="009F643E" w:rsidRPr="004729AD" w:rsidRDefault="009F643E" w:rsidP="009F643E">
            <w:pPr>
              <w:pStyle w:val="Tabletype"/>
              <w:spacing w:after="0"/>
              <w:jc w:val="left"/>
              <w:rPr>
                <w:sz w:val="17"/>
                <w:szCs w:val="17"/>
              </w:rPr>
            </w:pPr>
            <w:r w:rsidRPr="004729AD">
              <w:rPr>
                <w:sz w:val="17"/>
                <w:szCs w:val="17"/>
              </w:rPr>
              <w:t xml:space="preserve">Assistance level = Standard Care OR Moderate Assistance OR Full Assistance </w:t>
            </w:r>
          </w:p>
        </w:tc>
        <w:tc>
          <w:tcPr>
            <w:tcW w:w="4961" w:type="dxa"/>
          </w:tcPr>
          <w:p w:rsidR="009F643E" w:rsidRPr="004729AD" w:rsidRDefault="009F643E" w:rsidP="009F643E">
            <w:pPr>
              <w:pStyle w:val="Tabletype"/>
              <w:numPr>
                <w:ilvl w:val="0"/>
                <w:numId w:val="9"/>
              </w:numPr>
              <w:spacing w:after="0"/>
              <w:ind w:left="114" w:hanging="114"/>
              <w:jc w:val="left"/>
              <w:rPr>
                <w:sz w:val="17"/>
                <w:szCs w:val="17"/>
              </w:rPr>
            </w:pPr>
            <w:r w:rsidRPr="004729AD">
              <w:rPr>
                <w:sz w:val="17"/>
                <w:szCs w:val="17"/>
              </w:rPr>
              <w:t>Assessment</w:t>
            </w:r>
          </w:p>
          <w:p w:rsidR="009F643E" w:rsidRPr="004729AD" w:rsidRDefault="009F643E" w:rsidP="009F643E">
            <w:pPr>
              <w:pStyle w:val="Tabletype"/>
              <w:numPr>
                <w:ilvl w:val="0"/>
                <w:numId w:val="9"/>
              </w:numPr>
              <w:spacing w:after="0"/>
              <w:ind w:left="114" w:hanging="114"/>
              <w:jc w:val="left"/>
              <w:rPr>
                <w:sz w:val="17"/>
                <w:szCs w:val="17"/>
              </w:rPr>
            </w:pPr>
            <w:r w:rsidRPr="004729AD">
              <w:rPr>
                <w:sz w:val="17"/>
                <w:szCs w:val="17"/>
              </w:rPr>
              <w:t>Toileting Checklists</w:t>
            </w:r>
          </w:p>
          <w:p w:rsidR="009F643E" w:rsidRPr="004729AD" w:rsidRDefault="009F643E" w:rsidP="009F643E">
            <w:pPr>
              <w:pStyle w:val="Tabletype"/>
              <w:numPr>
                <w:ilvl w:val="0"/>
                <w:numId w:val="9"/>
              </w:numPr>
              <w:spacing w:after="0"/>
              <w:ind w:left="114" w:hanging="114"/>
              <w:jc w:val="left"/>
              <w:rPr>
                <w:sz w:val="17"/>
                <w:szCs w:val="17"/>
              </w:rPr>
            </w:pPr>
            <w:r w:rsidRPr="004729AD">
              <w:rPr>
                <w:sz w:val="17"/>
                <w:szCs w:val="17"/>
              </w:rPr>
              <w:t>PMS &amp; FRAT Assessment</w:t>
            </w:r>
          </w:p>
        </w:tc>
      </w:tr>
      <w:tr w:rsidR="009F643E" w:rsidRPr="004729AD" w:rsidTr="009F643E">
        <w:tc>
          <w:tcPr>
            <w:tcW w:w="444" w:type="dxa"/>
          </w:tcPr>
          <w:p w:rsidR="009F643E" w:rsidRPr="004729AD" w:rsidRDefault="009F643E" w:rsidP="009F643E">
            <w:pPr>
              <w:pStyle w:val="Tabletype"/>
              <w:jc w:val="left"/>
              <w:rPr>
                <w:b/>
                <w:sz w:val="17"/>
                <w:szCs w:val="17"/>
              </w:rPr>
            </w:pPr>
            <w:r w:rsidRPr="004729AD">
              <w:rPr>
                <w:b/>
                <w:sz w:val="17"/>
                <w:szCs w:val="17"/>
              </w:rPr>
              <w:t>5</w:t>
            </w:r>
          </w:p>
        </w:tc>
        <w:tc>
          <w:tcPr>
            <w:tcW w:w="3809" w:type="dxa"/>
          </w:tcPr>
          <w:p w:rsidR="009F643E" w:rsidRPr="004729AD" w:rsidRDefault="009F643E" w:rsidP="009F643E">
            <w:pPr>
              <w:pStyle w:val="Tabletype"/>
              <w:spacing w:after="0"/>
              <w:jc w:val="left"/>
              <w:rPr>
                <w:b/>
                <w:bCs/>
                <w:sz w:val="17"/>
                <w:szCs w:val="17"/>
              </w:rPr>
            </w:pPr>
            <w:r w:rsidRPr="004729AD">
              <w:rPr>
                <w:b/>
                <w:bCs/>
                <w:sz w:val="17"/>
                <w:szCs w:val="17"/>
              </w:rPr>
              <w:t>Continence</w:t>
            </w:r>
          </w:p>
          <w:p w:rsidR="009F643E" w:rsidRPr="004729AD" w:rsidRDefault="009F643E" w:rsidP="009F643E">
            <w:pPr>
              <w:pStyle w:val="Tabletype"/>
              <w:spacing w:after="0"/>
              <w:jc w:val="left"/>
              <w:rPr>
                <w:sz w:val="17"/>
                <w:szCs w:val="17"/>
              </w:rPr>
            </w:pPr>
            <w:r w:rsidRPr="004729AD">
              <w:rPr>
                <w:sz w:val="17"/>
                <w:szCs w:val="17"/>
              </w:rPr>
              <w:t>Urinary continence/Faecal continence</w:t>
            </w:r>
          </w:p>
          <w:p w:rsidR="009F643E" w:rsidRPr="004729AD" w:rsidRDefault="009F643E" w:rsidP="009F643E">
            <w:pPr>
              <w:pStyle w:val="Tabletype"/>
              <w:spacing w:after="0"/>
              <w:jc w:val="left"/>
              <w:rPr>
                <w:sz w:val="17"/>
                <w:szCs w:val="17"/>
              </w:rPr>
            </w:pPr>
            <w:r w:rsidRPr="004729AD">
              <w:rPr>
                <w:sz w:val="17"/>
                <w:szCs w:val="17"/>
              </w:rPr>
              <w:t>Measurement = frequency</w:t>
            </w:r>
          </w:p>
          <w:p w:rsidR="009F643E" w:rsidRPr="004729AD" w:rsidRDefault="009F643E" w:rsidP="009F643E">
            <w:pPr>
              <w:pStyle w:val="Tabletype"/>
              <w:spacing w:after="0"/>
              <w:jc w:val="left"/>
              <w:rPr>
                <w:sz w:val="17"/>
                <w:szCs w:val="17"/>
              </w:rPr>
            </w:pPr>
            <w:r w:rsidRPr="004729AD">
              <w:rPr>
                <w:sz w:val="17"/>
                <w:szCs w:val="17"/>
              </w:rPr>
              <w:t>(*Note: Other types of logs or diaries may be used to complete the continence record providing they contain all the required information).</w:t>
            </w:r>
          </w:p>
        </w:tc>
        <w:tc>
          <w:tcPr>
            <w:tcW w:w="4961" w:type="dxa"/>
          </w:tcPr>
          <w:p w:rsidR="009F643E" w:rsidRPr="004729AD" w:rsidRDefault="009F643E" w:rsidP="009F643E">
            <w:pPr>
              <w:pStyle w:val="Tabletype"/>
              <w:numPr>
                <w:ilvl w:val="0"/>
                <w:numId w:val="9"/>
              </w:numPr>
              <w:spacing w:after="0"/>
              <w:ind w:left="114" w:hanging="114"/>
              <w:jc w:val="left"/>
              <w:rPr>
                <w:sz w:val="17"/>
                <w:szCs w:val="17"/>
              </w:rPr>
            </w:pPr>
            <w:r w:rsidRPr="004729AD">
              <w:rPr>
                <w:sz w:val="17"/>
                <w:szCs w:val="17"/>
              </w:rPr>
              <w:t>Continence Records*</w:t>
            </w:r>
          </w:p>
          <w:p w:rsidR="009F643E" w:rsidRPr="004729AD" w:rsidRDefault="009F643E" w:rsidP="009F643E">
            <w:pPr>
              <w:pStyle w:val="Tabletype"/>
              <w:numPr>
                <w:ilvl w:val="0"/>
                <w:numId w:val="9"/>
              </w:numPr>
              <w:spacing w:after="0"/>
              <w:ind w:left="114" w:hanging="114"/>
              <w:jc w:val="left"/>
              <w:rPr>
                <w:sz w:val="17"/>
                <w:szCs w:val="17"/>
              </w:rPr>
            </w:pPr>
            <w:r w:rsidRPr="004729AD">
              <w:rPr>
                <w:sz w:val="17"/>
                <w:szCs w:val="17"/>
              </w:rPr>
              <w:t>Diagnosis of urine/faecal incontinence or Assessment completed (Continence Assessment Form and Care Plan)</w:t>
            </w:r>
          </w:p>
          <w:p w:rsidR="009F643E" w:rsidRPr="004729AD" w:rsidRDefault="009F643E" w:rsidP="009F643E">
            <w:pPr>
              <w:pStyle w:val="Tabletype"/>
              <w:numPr>
                <w:ilvl w:val="0"/>
                <w:numId w:val="9"/>
              </w:numPr>
              <w:spacing w:after="0"/>
              <w:ind w:left="114" w:hanging="114"/>
              <w:jc w:val="left"/>
              <w:rPr>
                <w:sz w:val="17"/>
                <w:szCs w:val="17"/>
              </w:rPr>
            </w:pPr>
            <w:r w:rsidRPr="004729AD">
              <w:rPr>
                <w:sz w:val="17"/>
                <w:szCs w:val="17"/>
              </w:rPr>
              <w:t>Continence Assessment Summary</w:t>
            </w:r>
          </w:p>
          <w:p w:rsidR="009F643E" w:rsidRPr="004729AD" w:rsidRDefault="009F643E" w:rsidP="009F643E">
            <w:pPr>
              <w:pStyle w:val="Tabletype"/>
              <w:numPr>
                <w:ilvl w:val="0"/>
                <w:numId w:val="9"/>
              </w:numPr>
              <w:spacing w:after="0"/>
              <w:ind w:left="114" w:hanging="114"/>
              <w:jc w:val="left"/>
              <w:rPr>
                <w:sz w:val="17"/>
                <w:szCs w:val="17"/>
              </w:rPr>
            </w:pPr>
            <w:r w:rsidRPr="004729AD">
              <w:rPr>
                <w:sz w:val="17"/>
                <w:szCs w:val="17"/>
              </w:rPr>
              <w:t>Continence Checklists</w:t>
            </w:r>
          </w:p>
        </w:tc>
      </w:tr>
      <w:tr w:rsidR="009F643E" w:rsidRPr="004729AD" w:rsidTr="009F643E">
        <w:tc>
          <w:tcPr>
            <w:tcW w:w="444" w:type="dxa"/>
          </w:tcPr>
          <w:p w:rsidR="009F643E" w:rsidRPr="004729AD" w:rsidRDefault="009F643E" w:rsidP="009F643E">
            <w:pPr>
              <w:pStyle w:val="Tabletype"/>
              <w:spacing w:after="0"/>
              <w:jc w:val="left"/>
              <w:rPr>
                <w:sz w:val="17"/>
                <w:szCs w:val="17"/>
              </w:rPr>
            </w:pPr>
            <w:r w:rsidRPr="004729AD">
              <w:rPr>
                <w:i/>
                <w:sz w:val="17"/>
                <w:szCs w:val="17"/>
              </w:rPr>
              <w:t>NA</w:t>
            </w:r>
          </w:p>
        </w:tc>
        <w:tc>
          <w:tcPr>
            <w:tcW w:w="3809" w:type="dxa"/>
          </w:tcPr>
          <w:p w:rsidR="009F643E" w:rsidRPr="004729AD" w:rsidRDefault="009F643E" w:rsidP="009F643E">
            <w:pPr>
              <w:pStyle w:val="Tabletype"/>
              <w:spacing w:after="0"/>
              <w:jc w:val="left"/>
              <w:rPr>
                <w:b/>
                <w:bCs/>
                <w:sz w:val="17"/>
                <w:szCs w:val="17"/>
              </w:rPr>
            </w:pPr>
            <w:r w:rsidRPr="004729AD">
              <w:rPr>
                <w:b/>
                <w:bCs/>
                <w:sz w:val="17"/>
                <w:szCs w:val="17"/>
              </w:rPr>
              <w:t>Reason for Assistance with ADLs</w:t>
            </w:r>
          </w:p>
        </w:tc>
        <w:tc>
          <w:tcPr>
            <w:tcW w:w="4961" w:type="dxa"/>
          </w:tcPr>
          <w:p w:rsidR="009F643E" w:rsidRPr="004729AD" w:rsidRDefault="009F643E" w:rsidP="009F643E">
            <w:pPr>
              <w:pStyle w:val="Tabletype"/>
              <w:numPr>
                <w:ilvl w:val="0"/>
                <w:numId w:val="9"/>
              </w:numPr>
              <w:spacing w:after="0"/>
              <w:ind w:left="114" w:hanging="114"/>
              <w:jc w:val="left"/>
              <w:rPr>
                <w:sz w:val="17"/>
                <w:szCs w:val="17"/>
              </w:rPr>
            </w:pPr>
            <w:r w:rsidRPr="004729AD">
              <w:rPr>
                <w:sz w:val="17"/>
                <w:szCs w:val="17"/>
              </w:rPr>
              <w:t>ADL Checklist</w:t>
            </w:r>
          </w:p>
        </w:tc>
      </w:tr>
    </w:tbl>
    <w:p w:rsidR="009F643E" w:rsidRDefault="00D53266" w:rsidP="009F643E">
      <w:pPr>
        <w:pStyle w:val="Caption"/>
        <w:keepNext/>
      </w:pPr>
      <w:bookmarkStart w:id="621" w:name="_Toc495416415"/>
      <w:r w:rsidRPr="008F1CA1">
        <w:t>Table 8.19</w:t>
      </w:r>
      <w:r w:rsidR="009A3F5A">
        <w:fldChar w:fldCharType="begin"/>
      </w:r>
      <w:r w:rsidR="009A3F5A">
        <w:instrText xml:space="preserve"> SEQ Table_8.19 \* alphabetic </w:instrText>
      </w:r>
      <w:r w:rsidR="009A3F5A">
        <w:fldChar w:fldCharType="separate"/>
      </w:r>
      <w:r w:rsidR="00856E49">
        <w:rPr>
          <w:noProof/>
        </w:rPr>
        <w:t>b</w:t>
      </w:r>
      <w:r w:rsidR="009A3F5A">
        <w:rPr>
          <w:noProof/>
        </w:rPr>
        <w:fldChar w:fldCharType="end"/>
      </w:r>
      <w:r w:rsidRPr="008F1CA1">
        <w:t>: R-ACFI at a glance (Behaviour Domain)</w:t>
      </w:r>
      <w:bookmarkEnd w:id="621"/>
    </w:p>
    <w:tbl>
      <w:tblPr>
        <w:tblStyle w:val="TableGrid"/>
        <w:tblW w:w="9214" w:type="dxa"/>
        <w:tblInd w:w="85"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57" w:type="dxa"/>
          <w:left w:w="85" w:type="dxa"/>
          <w:right w:w="85" w:type="dxa"/>
        </w:tblCellMar>
        <w:tblLook w:val="04A0" w:firstRow="1" w:lastRow="0" w:firstColumn="1" w:lastColumn="0" w:noHBand="0" w:noVBand="1"/>
        <w:tblDescription w:val="Table 8.19b is a list of details summarising the questions and appraisal evidence required for the Behaviour Domain under the revised aged care funding instrument (R-ACFI). This table is to be read left to right, top to bottom, noting that numberless questions are noted as “NA”."/>
      </w:tblPr>
      <w:tblGrid>
        <w:gridCol w:w="444"/>
        <w:gridCol w:w="3809"/>
        <w:gridCol w:w="4961"/>
      </w:tblGrid>
      <w:tr w:rsidR="00D53266" w:rsidRPr="00D53266" w:rsidTr="00D53266">
        <w:trPr>
          <w:tblHeader/>
        </w:trPr>
        <w:tc>
          <w:tcPr>
            <w:tcW w:w="444" w:type="dxa"/>
            <w:shd w:val="clear" w:color="auto" w:fill="5B9BD5" w:themeFill="accent5"/>
          </w:tcPr>
          <w:p w:rsidR="009F643E" w:rsidRPr="00D53266" w:rsidRDefault="009F643E" w:rsidP="009F643E">
            <w:pPr>
              <w:pStyle w:val="Tableheader"/>
              <w:spacing w:after="0"/>
              <w:jc w:val="left"/>
              <w:rPr>
                <w:color w:val="FFFFFF" w:themeColor="background1"/>
                <w:sz w:val="17"/>
                <w:szCs w:val="17"/>
              </w:rPr>
            </w:pPr>
            <w:r w:rsidRPr="00D53266">
              <w:rPr>
                <w:color w:val="FFFFFF" w:themeColor="background1"/>
                <w:sz w:val="17"/>
                <w:szCs w:val="17"/>
              </w:rPr>
              <w:t>No.</w:t>
            </w:r>
          </w:p>
        </w:tc>
        <w:tc>
          <w:tcPr>
            <w:tcW w:w="3809" w:type="dxa"/>
            <w:shd w:val="clear" w:color="auto" w:fill="5B9BD5" w:themeFill="accent5"/>
          </w:tcPr>
          <w:p w:rsidR="009F643E" w:rsidRPr="00D53266" w:rsidRDefault="009F643E" w:rsidP="009F643E">
            <w:pPr>
              <w:pStyle w:val="Tableheader"/>
              <w:spacing w:after="0"/>
              <w:jc w:val="left"/>
              <w:rPr>
                <w:color w:val="FFFFFF" w:themeColor="background1"/>
                <w:sz w:val="17"/>
                <w:szCs w:val="17"/>
              </w:rPr>
            </w:pPr>
            <w:r w:rsidRPr="00D53266">
              <w:rPr>
                <w:color w:val="FFFFFF" w:themeColor="background1"/>
                <w:sz w:val="17"/>
                <w:szCs w:val="17"/>
              </w:rPr>
              <w:t>Question</w:t>
            </w:r>
          </w:p>
        </w:tc>
        <w:tc>
          <w:tcPr>
            <w:tcW w:w="4961" w:type="dxa"/>
            <w:shd w:val="clear" w:color="auto" w:fill="5B9BD5" w:themeFill="accent5"/>
          </w:tcPr>
          <w:p w:rsidR="009F643E" w:rsidRPr="00D53266" w:rsidRDefault="009F643E" w:rsidP="009F643E">
            <w:pPr>
              <w:pStyle w:val="Tableheader"/>
              <w:spacing w:after="0"/>
              <w:jc w:val="left"/>
              <w:rPr>
                <w:color w:val="FFFFFF" w:themeColor="background1"/>
                <w:sz w:val="17"/>
                <w:szCs w:val="17"/>
              </w:rPr>
            </w:pPr>
            <w:r w:rsidRPr="00D53266">
              <w:rPr>
                <w:color w:val="FFFFFF" w:themeColor="background1"/>
                <w:sz w:val="17"/>
                <w:szCs w:val="17"/>
              </w:rPr>
              <w:t>Appraisal Evidence Requirements</w:t>
            </w:r>
          </w:p>
        </w:tc>
      </w:tr>
      <w:tr w:rsidR="009F643E" w:rsidRPr="004729AD" w:rsidTr="009F643E">
        <w:tc>
          <w:tcPr>
            <w:tcW w:w="444" w:type="dxa"/>
          </w:tcPr>
          <w:p w:rsidR="009F643E" w:rsidRPr="004729AD" w:rsidRDefault="009F643E" w:rsidP="009F643E">
            <w:pPr>
              <w:pStyle w:val="Tabletype"/>
              <w:jc w:val="left"/>
              <w:rPr>
                <w:b/>
                <w:sz w:val="17"/>
                <w:szCs w:val="17"/>
              </w:rPr>
            </w:pPr>
            <w:r w:rsidRPr="004729AD">
              <w:rPr>
                <w:b/>
                <w:sz w:val="17"/>
                <w:szCs w:val="17"/>
              </w:rPr>
              <w:t>6</w:t>
            </w:r>
          </w:p>
        </w:tc>
        <w:tc>
          <w:tcPr>
            <w:tcW w:w="3809" w:type="dxa"/>
          </w:tcPr>
          <w:p w:rsidR="009F643E" w:rsidRPr="004729AD" w:rsidRDefault="009F643E" w:rsidP="009F643E">
            <w:pPr>
              <w:pStyle w:val="Tabletype"/>
              <w:spacing w:after="0"/>
              <w:jc w:val="left"/>
              <w:rPr>
                <w:b/>
                <w:bCs/>
                <w:sz w:val="17"/>
                <w:szCs w:val="17"/>
              </w:rPr>
            </w:pPr>
            <w:r w:rsidRPr="004729AD">
              <w:rPr>
                <w:b/>
                <w:bCs/>
                <w:sz w:val="17"/>
                <w:szCs w:val="17"/>
              </w:rPr>
              <w:t>Cognitive Skills</w:t>
            </w:r>
          </w:p>
          <w:p w:rsidR="009F643E" w:rsidRPr="004729AD" w:rsidRDefault="009F643E" w:rsidP="009F643E">
            <w:pPr>
              <w:pStyle w:val="Tabletype"/>
              <w:spacing w:after="0"/>
              <w:jc w:val="left"/>
              <w:rPr>
                <w:sz w:val="17"/>
                <w:szCs w:val="17"/>
              </w:rPr>
            </w:pPr>
            <w:r w:rsidRPr="004729AD">
              <w:rPr>
                <w:sz w:val="17"/>
                <w:szCs w:val="17"/>
              </w:rPr>
              <w:t>Care needs: needs arising from cognitive impairment</w:t>
            </w:r>
          </w:p>
          <w:p w:rsidR="009F643E" w:rsidRPr="004729AD" w:rsidRDefault="009F643E" w:rsidP="009F643E">
            <w:pPr>
              <w:pStyle w:val="Tabletype"/>
              <w:spacing w:after="0"/>
              <w:jc w:val="left"/>
              <w:rPr>
                <w:sz w:val="17"/>
                <w:szCs w:val="17"/>
              </w:rPr>
            </w:pPr>
            <w:r w:rsidRPr="004729AD">
              <w:rPr>
                <w:sz w:val="17"/>
                <w:szCs w:val="17"/>
              </w:rPr>
              <w:t>Measurement = none, mild, moderate, severe</w:t>
            </w:r>
          </w:p>
        </w:tc>
        <w:tc>
          <w:tcPr>
            <w:tcW w:w="4961" w:type="dxa"/>
          </w:tcPr>
          <w:p w:rsidR="009F643E" w:rsidRPr="004729AD" w:rsidRDefault="009F643E" w:rsidP="009F643E">
            <w:pPr>
              <w:pStyle w:val="Tabletype"/>
              <w:numPr>
                <w:ilvl w:val="0"/>
                <w:numId w:val="9"/>
              </w:numPr>
              <w:spacing w:after="0"/>
              <w:ind w:left="114" w:hanging="114"/>
              <w:jc w:val="left"/>
              <w:rPr>
                <w:sz w:val="17"/>
                <w:szCs w:val="17"/>
              </w:rPr>
            </w:pPr>
            <w:r w:rsidRPr="004729AD">
              <w:rPr>
                <w:sz w:val="17"/>
                <w:szCs w:val="17"/>
              </w:rPr>
              <w:t>SMMSE if appropriate</w:t>
            </w:r>
          </w:p>
          <w:p w:rsidR="009F643E" w:rsidRPr="004729AD" w:rsidRDefault="009F643E" w:rsidP="009F643E">
            <w:pPr>
              <w:pStyle w:val="Tabletype"/>
              <w:numPr>
                <w:ilvl w:val="0"/>
                <w:numId w:val="9"/>
              </w:numPr>
              <w:spacing w:after="0"/>
              <w:ind w:left="114" w:hanging="114"/>
              <w:jc w:val="left"/>
              <w:rPr>
                <w:sz w:val="17"/>
                <w:szCs w:val="17"/>
              </w:rPr>
            </w:pPr>
            <w:r w:rsidRPr="004729AD">
              <w:rPr>
                <w:sz w:val="17"/>
                <w:szCs w:val="17"/>
              </w:rPr>
              <w:t>Cognitive Skills Assessment Summary</w:t>
            </w:r>
          </w:p>
          <w:p w:rsidR="00980F62" w:rsidRDefault="009F643E" w:rsidP="009F643E">
            <w:pPr>
              <w:pStyle w:val="Tabletype"/>
              <w:numPr>
                <w:ilvl w:val="0"/>
                <w:numId w:val="9"/>
              </w:numPr>
              <w:spacing w:after="0"/>
              <w:ind w:left="114" w:hanging="114"/>
              <w:jc w:val="left"/>
              <w:rPr>
                <w:sz w:val="17"/>
                <w:szCs w:val="17"/>
              </w:rPr>
            </w:pPr>
            <w:r w:rsidRPr="004729AD">
              <w:rPr>
                <w:sz w:val="17"/>
                <w:szCs w:val="17"/>
              </w:rPr>
              <w:t>Cognitive Skills Checklist</w:t>
            </w:r>
          </w:p>
          <w:p w:rsidR="009F643E" w:rsidRPr="004729AD" w:rsidRDefault="009F643E" w:rsidP="009F643E">
            <w:pPr>
              <w:pStyle w:val="Tabletype"/>
              <w:spacing w:after="0"/>
              <w:jc w:val="left"/>
              <w:rPr>
                <w:sz w:val="17"/>
                <w:szCs w:val="17"/>
              </w:rPr>
            </w:pPr>
            <w:r w:rsidRPr="004729AD">
              <w:rPr>
                <w:sz w:val="17"/>
                <w:szCs w:val="17"/>
              </w:rPr>
              <w:t>(Note: Evidence is required if SMMSE is not completed e.g. a clinical report may be attached to provide supporting evidence)</w:t>
            </w:r>
          </w:p>
        </w:tc>
      </w:tr>
      <w:tr w:rsidR="009F643E" w:rsidRPr="004729AD" w:rsidTr="009F643E">
        <w:tc>
          <w:tcPr>
            <w:tcW w:w="444" w:type="dxa"/>
            <w:shd w:val="clear" w:color="auto" w:fill="auto"/>
          </w:tcPr>
          <w:p w:rsidR="009F643E" w:rsidRPr="004729AD" w:rsidRDefault="009F643E" w:rsidP="009F643E">
            <w:pPr>
              <w:pStyle w:val="Tabletype"/>
              <w:jc w:val="left"/>
              <w:rPr>
                <w:b/>
                <w:sz w:val="17"/>
                <w:szCs w:val="17"/>
              </w:rPr>
            </w:pPr>
            <w:r w:rsidRPr="004729AD">
              <w:rPr>
                <w:b/>
                <w:sz w:val="17"/>
                <w:szCs w:val="17"/>
              </w:rPr>
              <w:t>7</w:t>
            </w:r>
          </w:p>
        </w:tc>
        <w:tc>
          <w:tcPr>
            <w:tcW w:w="3809" w:type="dxa"/>
            <w:shd w:val="clear" w:color="auto" w:fill="auto"/>
          </w:tcPr>
          <w:p w:rsidR="009F643E" w:rsidRPr="004729AD" w:rsidRDefault="009F643E" w:rsidP="009F643E">
            <w:pPr>
              <w:pStyle w:val="Tabletype"/>
              <w:spacing w:after="0"/>
              <w:jc w:val="left"/>
              <w:rPr>
                <w:b/>
                <w:bCs/>
                <w:sz w:val="17"/>
                <w:szCs w:val="17"/>
              </w:rPr>
            </w:pPr>
            <w:r w:rsidRPr="004729AD">
              <w:rPr>
                <w:b/>
                <w:bCs/>
                <w:sz w:val="17"/>
                <w:szCs w:val="17"/>
              </w:rPr>
              <w:t>Behaviour</w:t>
            </w:r>
          </w:p>
          <w:p w:rsidR="00980F62" w:rsidRDefault="009F643E" w:rsidP="009F643E">
            <w:pPr>
              <w:pStyle w:val="Tabletype"/>
              <w:spacing w:after="0"/>
              <w:jc w:val="left"/>
              <w:rPr>
                <w:sz w:val="17"/>
                <w:szCs w:val="17"/>
              </w:rPr>
            </w:pPr>
            <w:r w:rsidRPr="004729AD">
              <w:rPr>
                <w:sz w:val="17"/>
                <w:szCs w:val="17"/>
              </w:rPr>
              <w:t>Care need: 7 behaviour types</w:t>
            </w:r>
          </w:p>
          <w:p w:rsidR="009F643E" w:rsidRPr="004729AD" w:rsidRDefault="009F643E" w:rsidP="009F643E">
            <w:pPr>
              <w:pStyle w:val="Tabletype"/>
              <w:spacing w:after="0"/>
              <w:jc w:val="left"/>
              <w:rPr>
                <w:sz w:val="17"/>
                <w:szCs w:val="17"/>
              </w:rPr>
            </w:pPr>
            <w:r w:rsidRPr="004729AD">
              <w:rPr>
                <w:sz w:val="17"/>
                <w:szCs w:val="17"/>
              </w:rPr>
              <w:t>Measurement 1= Frequency (less than daily; daily; two times per day; more than two times per day)</w:t>
            </w:r>
          </w:p>
          <w:p w:rsidR="009F643E" w:rsidRPr="004729AD" w:rsidRDefault="009F643E" w:rsidP="009F643E">
            <w:pPr>
              <w:pStyle w:val="Tabletype"/>
              <w:spacing w:after="0"/>
              <w:jc w:val="left"/>
              <w:rPr>
                <w:sz w:val="17"/>
                <w:szCs w:val="17"/>
              </w:rPr>
            </w:pPr>
            <w:r w:rsidRPr="004729AD">
              <w:rPr>
                <w:sz w:val="17"/>
                <w:szCs w:val="17"/>
              </w:rPr>
              <w:t>Measurement 2 = Disruptiveness (mildly; moderately; severely; extremely)</w:t>
            </w:r>
          </w:p>
          <w:p w:rsidR="009F643E" w:rsidRPr="004729AD" w:rsidRDefault="009F643E" w:rsidP="009F643E">
            <w:pPr>
              <w:pStyle w:val="Tabletype"/>
              <w:spacing w:after="0"/>
              <w:jc w:val="left"/>
              <w:rPr>
                <w:sz w:val="17"/>
                <w:szCs w:val="17"/>
                <w:highlight w:val="yellow"/>
              </w:rPr>
            </w:pPr>
            <w:r w:rsidRPr="004729AD">
              <w:rPr>
                <w:sz w:val="17"/>
                <w:szCs w:val="17"/>
              </w:rPr>
              <w:t>Individualised Behaviour Descriptions</w:t>
            </w:r>
          </w:p>
        </w:tc>
        <w:tc>
          <w:tcPr>
            <w:tcW w:w="4961" w:type="dxa"/>
          </w:tcPr>
          <w:p w:rsidR="009F643E" w:rsidRPr="004729AD" w:rsidRDefault="009F643E" w:rsidP="009F643E">
            <w:pPr>
              <w:pStyle w:val="Tabletype"/>
              <w:numPr>
                <w:ilvl w:val="0"/>
                <w:numId w:val="9"/>
              </w:numPr>
              <w:spacing w:after="0"/>
              <w:ind w:left="114" w:hanging="114"/>
              <w:jc w:val="left"/>
              <w:rPr>
                <w:sz w:val="17"/>
                <w:szCs w:val="17"/>
              </w:rPr>
            </w:pPr>
            <w:r w:rsidRPr="004729AD">
              <w:rPr>
                <w:sz w:val="17"/>
                <w:szCs w:val="17"/>
              </w:rPr>
              <w:t>Wandering/verbal/physical behaviour records*</w:t>
            </w:r>
          </w:p>
          <w:p w:rsidR="00980F62" w:rsidRDefault="009F643E" w:rsidP="009F643E">
            <w:pPr>
              <w:pStyle w:val="Tabletype"/>
              <w:numPr>
                <w:ilvl w:val="0"/>
                <w:numId w:val="9"/>
              </w:numPr>
              <w:spacing w:after="0"/>
              <w:ind w:left="114" w:hanging="114"/>
              <w:jc w:val="left"/>
              <w:rPr>
                <w:sz w:val="17"/>
                <w:szCs w:val="17"/>
              </w:rPr>
            </w:pPr>
            <w:r w:rsidRPr="004729AD">
              <w:rPr>
                <w:sz w:val="17"/>
                <w:szCs w:val="17"/>
              </w:rPr>
              <w:t>Behaviour Assessment Summary</w:t>
            </w:r>
          </w:p>
          <w:p w:rsidR="009F643E" w:rsidRPr="004729AD" w:rsidRDefault="009F643E" w:rsidP="009F643E">
            <w:pPr>
              <w:pStyle w:val="Tabletype"/>
              <w:spacing w:after="0"/>
              <w:jc w:val="left"/>
              <w:rPr>
                <w:sz w:val="17"/>
                <w:szCs w:val="17"/>
              </w:rPr>
            </w:pPr>
            <w:r w:rsidRPr="004729AD">
              <w:rPr>
                <w:sz w:val="17"/>
                <w:szCs w:val="17"/>
              </w:rPr>
              <w:t xml:space="preserve">*(Note: Other types of logs or diaries may be used to complete the behaviour records. Copies of these records can also be included in the ACFI Answer Appraisal Pack to provide further supporting evidence). </w:t>
            </w:r>
          </w:p>
        </w:tc>
      </w:tr>
      <w:tr w:rsidR="009F643E" w:rsidRPr="004729AD" w:rsidTr="009F643E">
        <w:tc>
          <w:tcPr>
            <w:tcW w:w="444" w:type="dxa"/>
          </w:tcPr>
          <w:p w:rsidR="009F643E" w:rsidRPr="004729AD" w:rsidRDefault="009F643E" w:rsidP="009F643E">
            <w:pPr>
              <w:pStyle w:val="Tabletype"/>
              <w:jc w:val="left"/>
              <w:rPr>
                <w:i/>
                <w:sz w:val="17"/>
                <w:szCs w:val="17"/>
              </w:rPr>
            </w:pPr>
            <w:r w:rsidRPr="004729AD">
              <w:rPr>
                <w:i/>
                <w:sz w:val="17"/>
                <w:szCs w:val="17"/>
              </w:rPr>
              <w:t>NA</w:t>
            </w:r>
          </w:p>
        </w:tc>
        <w:tc>
          <w:tcPr>
            <w:tcW w:w="3809" w:type="dxa"/>
          </w:tcPr>
          <w:p w:rsidR="009F643E" w:rsidRPr="004729AD" w:rsidRDefault="009F643E" w:rsidP="009F643E">
            <w:pPr>
              <w:pStyle w:val="Tabletype"/>
              <w:spacing w:after="0"/>
              <w:jc w:val="left"/>
              <w:rPr>
                <w:b/>
                <w:bCs/>
                <w:sz w:val="17"/>
                <w:szCs w:val="17"/>
              </w:rPr>
            </w:pPr>
            <w:r w:rsidRPr="004729AD">
              <w:rPr>
                <w:b/>
                <w:bCs/>
                <w:sz w:val="17"/>
                <w:szCs w:val="17"/>
              </w:rPr>
              <w:t>Requirement for a High BEH Domain claim:</w:t>
            </w:r>
          </w:p>
        </w:tc>
        <w:tc>
          <w:tcPr>
            <w:tcW w:w="4961" w:type="dxa"/>
          </w:tcPr>
          <w:p w:rsidR="00980F62" w:rsidRDefault="009F643E" w:rsidP="009F643E">
            <w:pPr>
              <w:pStyle w:val="Tabletype"/>
              <w:numPr>
                <w:ilvl w:val="0"/>
                <w:numId w:val="9"/>
              </w:numPr>
              <w:spacing w:after="0"/>
              <w:ind w:left="114" w:hanging="114"/>
              <w:jc w:val="left"/>
              <w:rPr>
                <w:bCs/>
                <w:sz w:val="17"/>
                <w:szCs w:val="17"/>
              </w:rPr>
            </w:pPr>
            <w:r w:rsidRPr="004729AD">
              <w:rPr>
                <w:bCs/>
                <w:sz w:val="17"/>
                <w:szCs w:val="17"/>
              </w:rPr>
              <w:t>Mental and Behavioural diagnosis (excluding Depression)</w:t>
            </w:r>
          </w:p>
          <w:p w:rsidR="009F643E" w:rsidRPr="004729AD" w:rsidRDefault="009F643E" w:rsidP="009F643E">
            <w:pPr>
              <w:pStyle w:val="Tabletype"/>
              <w:numPr>
                <w:ilvl w:val="0"/>
                <w:numId w:val="9"/>
              </w:numPr>
              <w:spacing w:after="0"/>
              <w:ind w:left="114" w:hanging="114"/>
              <w:jc w:val="left"/>
              <w:rPr>
                <w:sz w:val="17"/>
                <w:szCs w:val="17"/>
              </w:rPr>
            </w:pPr>
            <w:r w:rsidRPr="004729AD">
              <w:rPr>
                <w:sz w:val="17"/>
                <w:szCs w:val="17"/>
              </w:rPr>
              <w:t xml:space="preserve">Behaviour Referral &amp; Review by Behaviour Specialist (e.g. DBMAS; Psychiatrist; Psychologist) and Behaviour Care Plan </w:t>
            </w:r>
          </w:p>
        </w:tc>
      </w:tr>
    </w:tbl>
    <w:p w:rsidR="009F643E" w:rsidRDefault="00D53266" w:rsidP="009F643E">
      <w:pPr>
        <w:pStyle w:val="Caption"/>
        <w:keepNext/>
      </w:pPr>
      <w:bookmarkStart w:id="622" w:name="_Toc495416416"/>
      <w:r w:rsidRPr="008F1CA1">
        <w:t>Table 8.19</w:t>
      </w:r>
      <w:r w:rsidR="009A3F5A">
        <w:fldChar w:fldCharType="begin"/>
      </w:r>
      <w:r w:rsidR="009A3F5A">
        <w:instrText xml:space="preserve"> SEQ Table_8.19 \* alphabetic </w:instrText>
      </w:r>
      <w:r w:rsidR="009A3F5A">
        <w:fldChar w:fldCharType="separate"/>
      </w:r>
      <w:r w:rsidR="00856E49">
        <w:rPr>
          <w:noProof/>
        </w:rPr>
        <w:t>c</w:t>
      </w:r>
      <w:r w:rsidR="009A3F5A">
        <w:rPr>
          <w:noProof/>
        </w:rPr>
        <w:fldChar w:fldCharType="end"/>
      </w:r>
      <w:r w:rsidRPr="008F1CA1">
        <w:t>: R-ACFI at a glance (Complex Health Care Domain)</w:t>
      </w:r>
      <w:bookmarkEnd w:id="622"/>
    </w:p>
    <w:tbl>
      <w:tblPr>
        <w:tblStyle w:val="TableGrid"/>
        <w:tblW w:w="9214" w:type="dxa"/>
        <w:tblInd w:w="85"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57" w:type="dxa"/>
          <w:left w:w="85" w:type="dxa"/>
          <w:right w:w="85" w:type="dxa"/>
        </w:tblCellMar>
        <w:tblLook w:val="04A0" w:firstRow="1" w:lastRow="0" w:firstColumn="1" w:lastColumn="0" w:noHBand="0" w:noVBand="1"/>
        <w:tblDescription w:val="Table 8.19c is a list of details summarising the questions and appraisal evidence required for the Complex Health Care Domain under the revised aged care funding instrument (R-ACFI). This table is to be read left to right, top to bottom, noting that numberless questions are noted as “NA”."/>
      </w:tblPr>
      <w:tblGrid>
        <w:gridCol w:w="444"/>
        <w:gridCol w:w="3809"/>
        <w:gridCol w:w="4961"/>
      </w:tblGrid>
      <w:tr w:rsidR="00D53266" w:rsidRPr="00D53266" w:rsidTr="00D53266">
        <w:trPr>
          <w:tblHeader/>
        </w:trPr>
        <w:tc>
          <w:tcPr>
            <w:tcW w:w="444" w:type="dxa"/>
            <w:shd w:val="clear" w:color="auto" w:fill="5B9BD5" w:themeFill="accent5"/>
          </w:tcPr>
          <w:p w:rsidR="004729AD" w:rsidRPr="00D53266" w:rsidRDefault="004729AD" w:rsidP="004729AD">
            <w:pPr>
              <w:pStyle w:val="Tableheader"/>
              <w:spacing w:after="0"/>
              <w:jc w:val="left"/>
              <w:rPr>
                <w:color w:val="FFFFFF" w:themeColor="background1"/>
                <w:sz w:val="17"/>
                <w:szCs w:val="17"/>
              </w:rPr>
            </w:pPr>
            <w:r w:rsidRPr="00D53266">
              <w:rPr>
                <w:color w:val="FFFFFF" w:themeColor="background1"/>
                <w:sz w:val="17"/>
                <w:szCs w:val="17"/>
              </w:rPr>
              <w:t>No.</w:t>
            </w:r>
          </w:p>
        </w:tc>
        <w:tc>
          <w:tcPr>
            <w:tcW w:w="3809" w:type="dxa"/>
            <w:shd w:val="clear" w:color="auto" w:fill="5B9BD5" w:themeFill="accent5"/>
          </w:tcPr>
          <w:p w:rsidR="004729AD" w:rsidRPr="00D53266" w:rsidRDefault="004729AD" w:rsidP="004729AD">
            <w:pPr>
              <w:pStyle w:val="Tableheader"/>
              <w:spacing w:after="0"/>
              <w:jc w:val="left"/>
              <w:rPr>
                <w:color w:val="FFFFFF" w:themeColor="background1"/>
                <w:sz w:val="17"/>
                <w:szCs w:val="17"/>
              </w:rPr>
            </w:pPr>
            <w:r w:rsidRPr="00D53266">
              <w:rPr>
                <w:color w:val="FFFFFF" w:themeColor="background1"/>
                <w:sz w:val="17"/>
                <w:szCs w:val="17"/>
              </w:rPr>
              <w:t>Question</w:t>
            </w:r>
          </w:p>
        </w:tc>
        <w:tc>
          <w:tcPr>
            <w:tcW w:w="4961" w:type="dxa"/>
            <w:shd w:val="clear" w:color="auto" w:fill="5B9BD5" w:themeFill="accent5"/>
          </w:tcPr>
          <w:p w:rsidR="004729AD" w:rsidRPr="00D53266" w:rsidRDefault="004729AD" w:rsidP="004729AD">
            <w:pPr>
              <w:pStyle w:val="Tableheader"/>
              <w:spacing w:after="0"/>
              <w:jc w:val="left"/>
              <w:rPr>
                <w:color w:val="FFFFFF" w:themeColor="background1"/>
                <w:sz w:val="17"/>
                <w:szCs w:val="17"/>
              </w:rPr>
            </w:pPr>
            <w:r w:rsidRPr="00D53266">
              <w:rPr>
                <w:color w:val="FFFFFF" w:themeColor="background1"/>
                <w:sz w:val="17"/>
                <w:szCs w:val="17"/>
              </w:rPr>
              <w:t>Appraisal Evidence Requirements</w:t>
            </w:r>
          </w:p>
        </w:tc>
      </w:tr>
      <w:tr w:rsidR="004729AD" w:rsidRPr="004729AD" w:rsidTr="005809A5">
        <w:tc>
          <w:tcPr>
            <w:tcW w:w="444" w:type="dxa"/>
          </w:tcPr>
          <w:p w:rsidR="004729AD" w:rsidRPr="004729AD" w:rsidRDefault="004729AD" w:rsidP="004729AD">
            <w:pPr>
              <w:pStyle w:val="Tabletype"/>
              <w:jc w:val="left"/>
              <w:rPr>
                <w:b/>
                <w:sz w:val="17"/>
                <w:szCs w:val="17"/>
              </w:rPr>
            </w:pPr>
            <w:r w:rsidRPr="004729AD">
              <w:rPr>
                <w:b/>
                <w:sz w:val="17"/>
                <w:szCs w:val="17"/>
              </w:rPr>
              <w:t>8</w:t>
            </w:r>
          </w:p>
        </w:tc>
        <w:tc>
          <w:tcPr>
            <w:tcW w:w="3809" w:type="dxa"/>
          </w:tcPr>
          <w:p w:rsidR="004729AD" w:rsidRPr="004729AD" w:rsidRDefault="004729AD" w:rsidP="004729AD">
            <w:pPr>
              <w:pStyle w:val="Tabletype"/>
              <w:spacing w:after="0"/>
              <w:jc w:val="left"/>
              <w:rPr>
                <w:b/>
                <w:bCs/>
                <w:sz w:val="17"/>
                <w:szCs w:val="17"/>
              </w:rPr>
            </w:pPr>
            <w:r w:rsidRPr="004729AD">
              <w:rPr>
                <w:b/>
                <w:bCs/>
                <w:sz w:val="17"/>
                <w:szCs w:val="17"/>
              </w:rPr>
              <w:t>Complex Health Care</w:t>
            </w:r>
          </w:p>
          <w:p w:rsidR="004729AD" w:rsidRPr="004729AD" w:rsidRDefault="004729AD" w:rsidP="004729AD">
            <w:pPr>
              <w:pStyle w:val="Tabletype"/>
              <w:spacing w:after="0"/>
              <w:jc w:val="left"/>
              <w:rPr>
                <w:sz w:val="17"/>
                <w:szCs w:val="17"/>
              </w:rPr>
            </w:pPr>
            <w:r w:rsidRPr="004729AD">
              <w:rPr>
                <w:sz w:val="17"/>
                <w:szCs w:val="17"/>
              </w:rPr>
              <w:t>Care need: 15 complex health care procedures.</w:t>
            </w:r>
          </w:p>
          <w:p w:rsidR="004729AD" w:rsidRPr="004729AD" w:rsidRDefault="004729AD" w:rsidP="004729AD">
            <w:pPr>
              <w:pStyle w:val="Tabletype"/>
              <w:spacing w:after="0"/>
              <w:jc w:val="left"/>
              <w:rPr>
                <w:sz w:val="17"/>
                <w:szCs w:val="17"/>
              </w:rPr>
            </w:pPr>
            <w:r w:rsidRPr="004729AD">
              <w:rPr>
                <w:sz w:val="17"/>
                <w:szCs w:val="17"/>
              </w:rPr>
              <w:t>Measurement = complexity and frequency</w:t>
            </w:r>
          </w:p>
        </w:tc>
        <w:tc>
          <w:tcPr>
            <w:tcW w:w="4961" w:type="dxa"/>
          </w:tcPr>
          <w:p w:rsidR="004729AD" w:rsidRPr="004729AD" w:rsidRDefault="004729AD" w:rsidP="004729AD">
            <w:pPr>
              <w:pStyle w:val="Tabletype"/>
              <w:numPr>
                <w:ilvl w:val="0"/>
                <w:numId w:val="9"/>
              </w:numPr>
              <w:spacing w:after="0"/>
              <w:ind w:left="114" w:hanging="114"/>
              <w:jc w:val="left"/>
              <w:rPr>
                <w:sz w:val="17"/>
                <w:szCs w:val="17"/>
              </w:rPr>
            </w:pPr>
            <w:r w:rsidRPr="004729AD">
              <w:rPr>
                <w:sz w:val="17"/>
                <w:szCs w:val="17"/>
              </w:rPr>
              <w:t>Complex Health Care Procedures Checklist</w:t>
            </w:r>
          </w:p>
          <w:p w:rsidR="004729AD" w:rsidRPr="004729AD" w:rsidRDefault="004729AD" w:rsidP="004729AD">
            <w:pPr>
              <w:pStyle w:val="Tabletype"/>
              <w:numPr>
                <w:ilvl w:val="0"/>
                <w:numId w:val="9"/>
              </w:numPr>
              <w:spacing w:after="0"/>
              <w:ind w:left="114" w:hanging="114"/>
              <w:jc w:val="left"/>
              <w:rPr>
                <w:sz w:val="17"/>
                <w:szCs w:val="17"/>
              </w:rPr>
            </w:pPr>
            <w:r w:rsidRPr="004729AD">
              <w:rPr>
                <w:sz w:val="17"/>
                <w:szCs w:val="17"/>
              </w:rPr>
              <w:t>Diagnoses, assessments, directives and Records of Treatment as specified</w:t>
            </w:r>
          </w:p>
          <w:p w:rsidR="004729AD" w:rsidRPr="004729AD" w:rsidRDefault="004729AD" w:rsidP="004729AD">
            <w:pPr>
              <w:pStyle w:val="Tabletype"/>
              <w:numPr>
                <w:ilvl w:val="0"/>
                <w:numId w:val="9"/>
              </w:numPr>
              <w:spacing w:after="0"/>
              <w:ind w:left="114" w:hanging="114"/>
              <w:jc w:val="left"/>
              <w:rPr>
                <w:sz w:val="17"/>
                <w:szCs w:val="17"/>
              </w:rPr>
            </w:pPr>
            <w:r w:rsidRPr="004729AD">
              <w:rPr>
                <w:sz w:val="17"/>
                <w:szCs w:val="17"/>
              </w:rPr>
              <w:t>Palliative Care Claims mandatory re-appraisal</w:t>
            </w:r>
          </w:p>
        </w:tc>
      </w:tr>
      <w:tr w:rsidR="004729AD" w:rsidRPr="004729AD" w:rsidTr="005809A5">
        <w:tc>
          <w:tcPr>
            <w:tcW w:w="444" w:type="dxa"/>
          </w:tcPr>
          <w:p w:rsidR="004729AD" w:rsidRPr="004729AD" w:rsidRDefault="004729AD" w:rsidP="004729AD">
            <w:pPr>
              <w:pStyle w:val="Tabletype"/>
              <w:jc w:val="left"/>
              <w:rPr>
                <w:i/>
                <w:sz w:val="17"/>
                <w:szCs w:val="17"/>
              </w:rPr>
            </w:pPr>
            <w:r w:rsidRPr="004729AD">
              <w:rPr>
                <w:i/>
                <w:sz w:val="17"/>
                <w:szCs w:val="17"/>
              </w:rPr>
              <w:t>NA</w:t>
            </w:r>
          </w:p>
        </w:tc>
        <w:tc>
          <w:tcPr>
            <w:tcW w:w="3809" w:type="dxa"/>
          </w:tcPr>
          <w:p w:rsidR="004729AD" w:rsidRPr="004729AD" w:rsidRDefault="004729AD" w:rsidP="004729AD">
            <w:pPr>
              <w:pStyle w:val="Tabletype"/>
              <w:spacing w:after="0"/>
              <w:jc w:val="left"/>
              <w:rPr>
                <w:b/>
                <w:bCs/>
                <w:sz w:val="17"/>
                <w:szCs w:val="17"/>
              </w:rPr>
            </w:pPr>
            <w:r w:rsidRPr="004729AD">
              <w:rPr>
                <w:b/>
                <w:bCs/>
                <w:sz w:val="17"/>
                <w:szCs w:val="17"/>
              </w:rPr>
              <w:t>Requirement for any CHC Domain item claim:</w:t>
            </w:r>
          </w:p>
        </w:tc>
        <w:tc>
          <w:tcPr>
            <w:tcW w:w="4961" w:type="dxa"/>
          </w:tcPr>
          <w:p w:rsidR="004729AD" w:rsidRPr="004729AD" w:rsidRDefault="004729AD" w:rsidP="004729AD">
            <w:pPr>
              <w:pStyle w:val="Tabletype"/>
              <w:numPr>
                <w:ilvl w:val="0"/>
                <w:numId w:val="9"/>
              </w:numPr>
              <w:spacing w:after="0"/>
              <w:ind w:left="114" w:hanging="114"/>
              <w:jc w:val="left"/>
              <w:rPr>
                <w:sz w:val="17"/>
                <w:szCs w:val="17"/>
              </w:rPr>
            </w:pPr>
            <w:r w:rsidRPr="004729AD">
              <w:rPr>
                <w:sz w:val="17"/>
                <w:szCs w:val="17"/>
              </w:rPr>
              <w:t>3-monthly comprehensive health assessment (RN)</w:t>
            </w:r>
          </w:p>
        </w:tc>
      </w:tr>
    </w:tbl>
    <w:p w:rsidR="005809A5" w:rsidRDefault="005809A5" w:rsidP="005809A5">
      <w:r>
        <w:br w:type="page"/>
      </w:r>
    </w:p>
    <w:p w:rsidR="00A66738" w:rsidRPr="00C01041" w:rsidRDefault="00A66738" w:rsidP="00F849D4">
      <w:pPr>
        <w:pStyle w:val="Heading1-Chapters"/>
      </w:pPr>
      <w:bookmarkStart w:id="623" w:name="_Toc491426065"/>
      <w:bookmarkStart w:id="624" w:name="Ch09"/>
      <w:r w:rsidRPr="00C01041">
        <w:lastRenderedPageBreak/>
        <w:t>ACFI Funding Growth and Resident Acuity</w:t>
      </w:r>
      <w:bookmarkEnd w:id="617"/>
      <w:bookmarkEnd w:id="623"/>
    </w:p>
    <w:p w:rsidR="00980F62" w:rsidRDefault="004B0296" w:rsidP="008F1CA1">
      <w:pPr>
        <w:pStyle w:val="Heading2-Chapter9"/>
        <w:spacing w:before="120"/>
      </w:pPr>
      <w:bookmarkStart w:id="625" w:name="_Toc486600080"/>
      <w:bookmarkStart w:id="626" w:name="_Toc489386711"/>
      <w:bookmarkStart w:id="627" w:name="_Toc491426066"/>
      <w:bookmarkStart w:id="628" w:name="_Toc486600082"/>
      <w:bookmarkStart w:id="629" w:name="_Hlk489438180"/>
      <w:bookmarkEnd w:id="624"/>
      <w:r w:rsidRPr="005C4EEA">
        <w:t>Average ACFI Subsidy Growth Since Commencement</w:t>
      </w:r>
      <w:bookmarkEnd w:id="625"/>
      <w:bookmarkEnd w:id="626"/>
      <w:bookmarkEnd w:id="627"/>
    </w:p>
    <w:p w:rsidR="004B0296" w:rsidRDefault="004B0296" w:rsidP="004B0296">
      <w:pPr>
        <w:rPr>
          <w:lang w:eastAsia="en-AU"/>
        </w:rPr>
      </w:pPr>
      <w:r>
        <w:rPr>
          <w:lang w:eastAsia="en-AU"/>
        </w:rPr>
        <w:t xml:space="preserve">Average ACFI subsidy rates have grown significantly in recent years. </w:t>
      </w:r>
      <w:hyperlink w:anchor="Tab0901" w:history="1">
        <w:r w:rsidRPr="00995856">
          <w:rPr>
            <w:rStyle w:val="Hyperlink"/>
            <w:lang w:eastAsia="en-AU"/>
          </w:rPr>
          <w:t>Table 9.1</w:t>
        </w:r>
      </w:hyperlink>
      <w:r>
        <w:rPr>
          <w:lang w:eastAsia="en-AU"/>
        </w:rPr>
        <w:t xml:space="preserve"> shows the average subsidy by provider type as a proportion of </w:t>
      </w:r>
      <w:r w:rsidRPr="006B47AE">
        <w:rPr>
          <w:lang w:eastAsia="en-AU"/>
        </w:rPr>
        <w:t>the maximum</w:t>
      </w:r>
      <w:r>
        <w:rPr>
          <w:lang w:eastAsia="en-AU"/>
        </w:rPr>
        <w:t xml:space="preserve"> payment achievable, as well as a total across the four industry sectors.</w:t>
      </w:r>
      <w:r w:rsidRPr="006B47AE">
        <w:rPr>
          <w:lang w:eastAsia="en-AU"/>
        </w:rPr>
        <w:t xml:space="preserve"> </w:t>
      </w:r>
      <w:r>
        <w:rPr>
          <w:lang w:eastAsia="en-AU"/>
        </w:rPr>
        <w:t>The total average subsidy as a proportion of the maximum subsidy has grown from 55.1</w:t>
      </w:r>
      <w:r w:rsidR="0065091B">
        <w:rPr>
          <w:lang w:eastAsia="en-AU"/>
        </w:rPr>
        <w:t xml:space="preserve"> per cent</w:t>
      </w:r>
      <w:r>
        <w:rPr>
          <w:lang w:eastAsia="en-AU"/>
        </w:rPr>
        <w:t xml:space="preserve"> in </w:t>
      </w:r>
      <w:r w:rsidRPr="006B47AE">
        <w:rPr>
          <w:lang w:eastAsia="en-AU"/>
        </w:rPr>
        <w:t>2008 to 80.4</w:t>
      </w:r>
      <w:r w:rsidR="0065091B">
        <w:rPr>
          <w:lang w:eastAsia="en-AU"/>
        </w:rPr>
        <w:t xml:space="preserve"> per cent</w:t>
      </w:r>
      <w:r w:rsidRPr="006B47AE">
        <w:rPr>
          <w:lang w:eastAsia="en-AU"/>
        </w:rPr>
        <w:t xml:space="preserve"> in 2015-16</w:t>
      </w:r>
      <w:r>
        <w:rPr>
          <w:lang w:eastAsia="en-AU"/>
        </w:rPr>
        <w:t xml:space="preserve">. </w:t>
      </w:r>
      <w:r w:rsidRPr="006B47AE">
        <w:rPr>
          <w:lang w:eastAsia="en-AU"/>
        </w:rPr>
        <w:t xml:space="preserve">These estimates </w:t>
      </w:r>
      <w:r>
        <w:rPr>
          <w:lang w:eastAsia="en-AU"/>
        </w:rPr>
        <w:t xml:space="preserve">have been calculated using the ACFI data supplied by the Department </w:t>
      </w:r>
      <w:r w:rsidRPr="006B47AE">
        <w:rPr>
          <w:lang w:eastAsia="en-AU"/>
        </w:rPr>
        <w:t xml:space="preserve">in March 2017, </w:t>
      </w:r>
      <w:r>
        <w:rPr>
          <w:lang w:eastAsia="en-AU"/>
        </w:rPr>
        <w:t xml:space="preserve">and the subsidy rates applicable for </w:t>
      </w:r>
      <w:r w:rsidRPr="006B47AE">
        <w:rPr>
          <w:lang w:eastAsia="en-AU"/>
        </w:rPr>
        <w:t>resident</w:t>
      </w:r>
      <w:r>
        <w:rPr>
          <w:lang w:eastAsia="en-AU"/>
        </w:rPr>
        <w:t>s from</w:t>
      </w:r>
      <w:r w:rsidRPr="006B47AE">
        <w:rPr>
          <w:lang w:eastAsia="en-AU"/>
        </w:rPr>
        <w:t xml:space="preserve"> </w:t>
      </w:r>
      <w:r>
        <w:rPr>
          <w:lang w:eastAsia="en-AU"/>
        </w:rPr>
        <w:t>1 July 2016</w:t>
      </w:r>
      <w:r w:rsidRPr="006B47AE">
        <w:rPr>
          <w:lang w:eastAsia="en-AU"/>
        </w:rPr>
        <w:t xml:space="preserve">. </w:t>
      </w:r>
      <w:hyperlink w:anchor="Fig0901" w:history="1">
        <w:r w:rsidRPr="00411E89">
          <w:rPr>
            <w:rStyle w:val="Hyperlink"/>
            <w:lang w:eastAsia="en-AU"/>
          </w:rPr>
          <w:t>Figure 9.1</w:t>
        </w:r>
      </w:hyperlink>
      <w:r w:rsidRPr="006B47AE">
        <w:rPr>
          <w:lang w:eastAsia="en-AU"/>
        </w:rPr>
        <w:t xml:space="preserve"> graph</w:t>
      </w:r>
      <w:r>
        <w:rPr>
          <w:lang w:eastAsia="en-AU"/>
        </w:rPr>
        <w:t>ically represents</w:t>
      </w:r>
      <w:r w:rsidRPr="006B47AE">
        <w:rPr>
          <w:lang w:eastAsia="en-AU"/>
        </w:rPr>
        <w:t xml:space="preserve"> the proportions for charitable, community, </w:t>
      </w:r>
      <w:r>
        <w:rPr>
          <w:lang w:eastAsia="en-AU"/>
        </w:rPr>
        <w:t>government and private provider types</w:t>
      </w:r>
      <w:r w:rsidRPr="006B47AE">
        <w:rPr>
          <w:lang w:eastAsia="en-AU"/>
        </w:rPr>
        <w:t xml:space="preserve">. While private providers have consistently had the highest ACFI subsidy rates, </w:t>
      </w:r>
      <w:r>
        <w:rPr>
          <w:lang w:eastAsia="en-AU"/>
        </w:rPr>
        <w:t>(</w:t>
      </w:r>
      <w:r w:rsidRPr="006B47AE">
        <w:rPr>
          <w:lang w:eastAsia="en-AU"/>
        </w:rPr>
        <w:t xml:space="preserve">which </w:t>
      </w:r>
      <w:r>
        <w:rPr>
          <w:lang w:eastAsia="en-AU"/>
        </w:rPr>
        <w:t xml:space="preserve">may </w:t>
      </w:r>
      <w:r w:rsidRPr="006B47AE">
        <w:rPr>
          <w:lang w:eastAsia="en-AU"/>
        </w:rPr>
        <w:t>reflect the higher proportion of high care or nursing home type facilities in this category</w:t>
      </w:r>
      <w:r>
        <w:rPr>
          <w:lang w:eastAsia="en-AU"/>
        </w:rPr>
        <w:t>)</w:t>
      </w:r>
      <w:r w:rsidRPr="006B47AE">
        <w:rPr>
          <w:lang w:eastAsia="en-AU"/>
        </w:rPr>
        <w:t xml:space="preserve">, each of the </w:t>
      </w:r>
      <w:r>
        <w:rPr>
          <w:lang w:eastAsia="en-AU"/>
        </w:rPr>
        <w:t xml:space="preserve">provider types </w:t>
      </w:r>
      <w:r w:rsidRPr="006B47AE">
        <w:rPr>
          <w:lang w:eastAsia="en-AU"/>
        </w:rPr>
        <w:t xml:space="preserve">has had continuing </w:t>
      </w:r>
      <w:r>
        <w:rPr>
          <w:lang w:eastAsia="en-AU"/>
        </w:rPr>
        <w:t xml:space="preserve">consistent </w:t>
      </w:r>
      <w:r w:rsidRPr="006B47AE">
        <w:rPr>
          <w:lang w:eastAsia="en-AU"/>
        </w:rPr>
        <w:t xml:space="preserve">growth </w:t>
      </w:r>
      <w:r>
        <w:rPr>
          <w:lang w:eastAsia="en-AU"/>
        </w:rPr>
        <w:t>in the average subsidy as a proportion of the maximum subsidy</w:t>
      </w:r>
      <w:r w:rsidDel="00725AC6">
        <w:rPr>
          <w:lang w:eastAsia="en-AU"/>
        </w:rPr>
        <w:t xml:space="preserve"> </w:t>
      </w:r>
      <w:r w:rsidRPr="006B47AE">
        <w:rPr>
          <w:lang w:eastAsia="en-AU"/>
        </w:rPr>
        <w:t xml:space="preserve">since </w:t>
      </w:r>
      <w:r>
        <w:rPr>
          <w:lang w:eastAsia="en-AU"/>
        </w:rPr>
        <w:t xml:space="preserve">ACFI introduction in </w:t>
      </w:r>
      <w:r w:rsidRPr="006B47AE">
        <w:rPr>
          <w:lang w:eastAsia="en-AU"/>
        </w:rPr>
        <w:t>2008.</w:t>
      </w:r>
      <w:r>
        <w:rPr>
          <w:lang w:eastAsia="en-AU"/>
        </w:rPr>
        <w:t xml:space="preserve"> The 7-year growth rates shown in </w:t>
      </w:r>
      <w:hyperlink w:anchor="Tab0901" w:history="1">
        <w:r w:rsidRPr="00995856">
          <w:rPr>
            <w:rStyle w:val="Hyperlink"/>
            <w:lang w:eastAsia="en-AU"/>
          </w:rPr>
          <w:t>Table 9.1</w:t>
        </w:r>
      </w:hyperlink>
      <w:r>
        <w:rPr>
          <w:lang w:eastAsia="en-AU"/>
        </w:rPr>
        <w:t xml:space="preserve"> are the increases in proportions from 2008-09 to 2015-16, and the 1-year growth rates are the corresponding annual compound growth rates.</w:t>
      </w:r>
    </w:p>
    <w:p w:rsidR="002E1694" w:rsidRDefault="002E1694" w:rsidP="009748B4">
      <w:pPr>
        <w:pStyle w:val="Caption"/>
        <w:keepNext/>
        <w:spacing w:before="120"/>
      </w:pPr>
      <w:bookmarkStart w:id="630" w:name="_Toc495416845"/>
      <w:bookmarkStart w:id="631" w:name="Tab0901"/>
      <w:r>
        <w:t>Table</w:t>
      </w:r>
      <w:r w:rsidR="009748B4">
        <w:t xml:space="preserve"> 9.</w:t>
      </w:r>
      <w:r w:rsidR="009A3F5A">
        <w:fldChar w:fldCharType="begin"/>
      </w:r>
      <w:r w:rsidR="009A3F5A">
        <w:instrText xml:space="preserve"> SEQ Table_9. \* ARABIC </w:instrText>
      </w:r>
      <w:r w:rsidR="009A3F5A">
        <w:fldChar w:fldCharType="separate"/>
      </w:r>
      <w:r w:rsidR="00856E49">
        <w:rPr>
          <w:noProof/>
        </w:rPr>
        <w:t>1</w:t>
      </w:r>
      <w:r w:rsidR="009A3F5A">
        <w:rPr>
          <w:noProof/>
        </w:rPr>
        <w:fldChar w:fldCharType="end"/>
      </w:r>
      <w:r w:rsidR="009748B4">
        <w:t xml:space="preserve">: </w:t>
      </w:r>
      <w:r w:rsidR="009748B4" w:rsidRPr="009748B4">
        <w:t>Average subsidies for provider types as proportions of the maximum subsidy</w:t>
      </w:r>
      <w:bookmarkEnd w:id="630"/>
    </w:p>
    <w:tbl>
      <w:tblPr>
        <w:tblStyle w:val="ListTable3-Accent515"/>
        <w:tblW w:w="8225" w:type="dxa"/>
        <w:tblInd w:w="108" w:type="dxa"/>
        <w:tblBorders>
          <w:insideH w:val="single" w:sz="4" w:space="0" w:color="5B9BD5" w:themeColor="accent5"/>
          <w:insideV w:val="single" w:sz="4" w:space="0" w:color="5B9BD5" w:themeColor="accent5"/>
        </w:tblBorders>
        <w:tblLook w:val="04A0" w:firstRow="1" w:lastRow="0" w:firstColumn="1" w:lastColumn="0" w:noHBand="0" w:noVBand="1"/>
        <w:tblDescription w:val="Table 9.1 is a list of details that shows the growth of subsidies rates by provider type (charitable, community, government, private) from 2008-2009 to 2015-2016, as summarised in the text prior to this table. This table is to be read left to right, top to bottom."/>
      </w:tblPr>
      <w:tblGrid>
        <w:gridCol w:w="1705"/>
        <w:gridCol w:w="1530"/>
        <w:gridCol w:w="1280"/>
        <w:gridCol w:w="1370"/>
        <w:gridCol w:w="1260"/>
        <w:gridCol w:w="1080"/>
      </w:tblGrid>
      <w:tr w:rsidR="004B0296" w:rsidRPr="00633082" w:rsidTr="0063308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05" w:type="dxa"/>
            <w:tcBorders>
              <w:bottom w:val="none" w:sz="0" w:space="0" w:color="auto"/>
              <w:right w:val="none" w:sz="0" w:space="0" w:color="auto"/>
            </w:tcBorders>
            <w:noWrap/>
            <w:hideMark/>
          </w:tcPr>
          <w:bookmarkEnd w:id="631"/>
          <w:p w:rsidR="004B0296" w:rsidRPr="00633082" w:rsidRDefault="004B0296" w:rsidP="00DD6610">
            <w:pPr>
              <w:spacing w:after="0"/>
              <w:rPr>
                <w:rFonts w:ascii="Calibri" w:eastAsia="Times New Roman" w:hAnsi="Calibri" w:cs="Calibri"/>
                <w:sz w:val="20"/>
                <w:szCs w:val="20"/>
                <w:lang w:val="en-US"/>
              </w:rPr>
            </w:pPr>
            <w:r w:rsidRPr="00633082">
              <w:rPr>
                <w:rFonts w:ascii="Calibri" w:eastAsia="Times New Roman" w:hAnsi="Calibri" w:cs="Calibri"/>
                <w:sz w:val="20"/>
                <w:szCs w:val="20"/>
                <w:lang w:val="en-US"/>
              </w:rPr>
              <w:t>Year</w:t>
            </w:r>
          </w:p>
        </w:tc>
        <w:tc>
          <w:tcPr>
            <w:tcW w:w="1530" w:type="dxa"/>
            <w:noWrap/>
            <w:hideMark/>
          </w:tcPr>
          <w:p w:rsidR="004B0296" w:rsidRPr="00633082" w:rsidRDefault="004B0296" w:rsidP="00633082">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rPr>
            </w:pPr>
            <w:r w:rsidRPr="00633082">
              <w:rPr>
                <w:rFonts w:ascii="Calibri" w:eastAsia="Times New Roman" w:hAnsi="Calibri" w:cs="Calibri"/>
                <w:sz w:val="20"/>
                <w:szCs w:val="20"/>
                <w:lang w:val="en-US"/>
              </w:rPr>
              <w:t>Charitable</w:t>
            </w:r>
          </w:p>
        </w:tc>
        <w:tc>
          <w:tcPr>
            <w:tcW w:w="1280" w:type="dxa"/>
            <w:noWrap/>
            <w:hideMark/>
          </w:tcPr>
          <w:p w:rsidR="004B0296" w:rsidRPr="00633082" w:rsidRDefault="004B0296" w:rsidP="00633082">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rPr>
            </w:pPr>
            <w:r w:rsidRPr="00633082">
              <w:rPr>
                <w:rFonts w:ascii="Calibri" w:eastAsia="Times New Roman" w:hAnsi="Calibri" w:cs="Calibri"/>
                <w:sz w:val="20"/>
                <w:szCs w:val="20"/>
                <w:lang w:val="en-US"/>
              </w:rPr>
              <w:t>Community</w:t>
            </w:r>
          </w:p>
        </w:tc>
        <w:tc>
          <w:tcPr>
            <w:tcW w:w="1370" w:type="dxa"/>
            <w:noWrap/>
            <w:hideMark/>
          </w:tcPr>
          <w:p w:rsidR="004B0296" w:rsidRPr="00633082" w:rsidRDefault="004B0296" w:rsidP="00633082">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rPr>
            </w:pPr>
            <w:r w:rsidRPr="00633082">
              <w:rPr>
                <w:rFonts w:ascii="Calibri" w:eastAsia="Times New Roman" w:hAnsi="Calibri" w:cs="Calibri"/>
                <w:sz w:val="20"/>
                <w:szCs w:val="20"/>
                <w:lang w:val="en-US"/>
              </w:rPr>
              <w:t>Government</w:t>
            </w:r>
          </w:p>
        </w:tc>
        <w:tc>
          <w:tcPr>
            <w:tcW w:w="1260" w:type="dxa"/>
            <w:noWrap/>
            <w:hideMark/>
          </w:tcPr>
          <w:p w:rsidR="004B0296" w:rsidRPr="00633082" w:rsidRDefault="004B0296" w:rsidP="00633082">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rPr>
            </w:pPr>
            <w:r w:rsidRPr="00633082">
              <w:rPr>
                <w:rFonts w:ascii="Calibri" w:eastAsia="Times New Roman" w:hAnsi="Calibri" w:cs="Calibri"/>
                <w:sz w:val="20"/>
                <w:szCs w:val="20"/>
                <w:lang w:val="en-US"/>
              </w:rPr>
              <w:t>Private</w:t>
            </w:r>
          </w:p>
        </w:tc>
        <w:tc>
          <w:tcPr>
            <w:tcW w:w="1080" w:type="dxa"/>
            <w:noWrap/>
            <w:hideMark/>
          </w:tcPr>
          <w:p w:rsidR="004B0296" w:rsidRPr="00633082" w:rsidRDefault="004B0296" w:rsidP="00633082">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rPr>
            </w:pPr>
            <w:r w:rsidRPr="00633082">
              <w:rPr>
                <w:rFonts w:ascii="Calibri" w:eastAsia="Times New Roman" w:hAnsi="Calibri" w:cs="Calibri"/>
                <w:sz w:val="20"/>
                <w:szCs w:val="20"/>
                <w:lang w:val="en-US"/>
              </w:rPr>
              <w:t>Total</w:t>
            </w:r>
          </w:p>
        </w:tc>
      </w:tr>
      <w:tr w:rsidR="004B0296" w:rsidRPr="00633082" w:rsidTr="00633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bottom w:val="none" w:sz="0" w:space="0" w:color="auto"/>
              <w:right w:val="none" w:sz="0" w:space="0" w:color="auto"/>
            </w:tcBorders>
            <w:noWrap/>
            <w:hideMark/>
          </w:tcPr>
          <w:p w:rsidR="004B0296" w:rsidRPr="00633082" w:rsidRDefault="004B0296" w:rsidP="00DD6610">
            <w:pPr>
              <w:spacing w:after="0"/>
              <w:rPr>
                <w:rFonts w:ascii="Calibri" w:eastAsia="Times New Roman" w:hAnsi="Calibri" w:cs="Calibri"/>
                <w:color w:val="000000"/>
                <w:sz w:val="20"/>
                <w:szCs w:val="20"/>
                <w:lang w:val="en-US"/>
              </w:rPr>
            </w:pPr>
            <w:r w:rsidRPr="00633082">
              <w:rPr>
                <w:rFonts w:ascii="Calibri" w:eastAsia="Times New Roman" w:hAnsi="Calibri" w:cs="Calibri"/>
                <w:color w:val="000000"/>
                <w:sz w:val="20"/>
                <w:szCs w:val="20"/>
                <w:lang w:val="en-US"/>
              </w:rPr>
              <w:t>2008-09</w:t>
            </w:r>
          </w:p>
        </w:tc>
        <w:tc>
          <w:tcPr>
            <w:tcW w:w="1530" w:type="dxa"/>
            <w:tcBorders>
              <w:top w:val="none" w:sz="0" w:space="0" w:color="auto"/>
              <w:bottom w:val="none" w:sz="0" w:space="0" w:color="auto"/>
            </w:tcBorders>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33082">
              <w:rPr>
                <w:rFonts w:ascii="Calibri" w:eastAsia="Times New Roman" w:hAnsi="Calibri" w:cs="Calibri"/>
                <w:color w:val="000000"/>
                <w:sz w:val="20"/>
                <w:szCs w:val="20"/>
                <w:lang w:val="en-US"/>
              </w:rPr>
              <w:t>52.6%</w:t>
            </w:r>
          </w:p>
        </w:tc>
        <w:tc>
          <w:tcPr>
            <w:tcW w:w="1280" w:type="dxa"/>
            <w:tcBorders>
              <w:top w:val="none" w:sz="0" w:space="0" w:color="auto"/>
              <w:bottom w:val="none" w:sz="0" w:space="0" w:color="auto"/>
            </w:tcBorders>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33082">
              <w:rPr>
                <w:rFonts w:ascii="Calibri" w:eastAsia="Times New Roman" w:hAnsi="Calibri" w:cs="Calibri"/>
                <w:color w:val="000000"/>
                <w:sz w:val="20"/>
                <w:szCs w:val="20"/>
                <w:lang w:val="en-US"/>
              </w:rPr>
              <w:t>47.3%</w:t>
            </w:r>
          </w:p>
        </w:tc>
        <w:tc>
          <w:tcPr>
            <w:tcW w:w="1370" w:type="dxa"/>
            <w:tcBorders>
              <w:top w:val="none" w:sz="0" w:space="0" w:color="auto"/>
              <w:bottom w:val="none" w:sz="0" w:space="0" w:color="auto"/>
            </w:tcBorders>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33082">
              <w:rPr>
                <w:rFonts w:ascii="Calibri" w:eastAsia="Times New Roman" w:hAnsi="Calibri" w:cs="Calibri"/>
                <w:color w:val="000000"/>
                <w:sz w:val="20"/>
                <w:szCs w:val="20"/>
                <w:lang w:val="en-US"/>
              </w:rPr>
              <w:t>52.5%</w:t>
            </w:r>
          </w:p>
        </w:tc>
        <w:tc>
          <w:tcPr>
            <w:tcW w:w="1260" w:type="dxa"/>
            <w:tcBorders>
              <w:top w:val="none" w:sz="0" w:space="0" w:color="auto"/>
              <w:bottom w:val="none" w:sz="0" w:space="0" w:color="auto"/>
            </w:tcBorders>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33082">
              <w:rPr>
                <w:rFonts w:ascii="Calibri" w:eastAsia="Times New Roman" w:hAnsi="Calibri" w:cs="Calibri"/>
                <w:color w:val="000000"/>
                <w:sz w:val="20"/>
                <w:szCs w:val="20"/>
                <w:lang w:val="en-US"/>
              </w:rPr>
              <w:t>62.4%</w:t>
            </w:r>
          </w:p>
        </w:tc>
        <w:tc>
          <w:tcPr>
            <w:tcW w:w="1080" w:type="dxa"/>
            <w:tcBorders>
              <w:top w:val="none" w:sz="0" w:space="0" w:color="auto"/>
              <w:bottom w:val="none" w:sz="0" w:space="0" w:color="auto"/>
            </w:tcBorders>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val="en-US"/>
              </w:rPr>
            </w:pPr>
            <w:r w:rsidRPr="00633082">
              <w:rPr>
                <w:rFonts w:ascii="Calibri" w:eastAsia="Times New Roman" w:hAnsi="Calibri" w:cs="Calibri"/>
                <w:b/>
                <w:color w:val="000000"/>
                <w:sz w:val="20"/>
                <w:szCs w:val="20"/>
                <w:lang w:val="en-US"/>
              </w:rPr>
              <w:t>55.1%</w:t>
            </w:r>
          </w:p>
        </w:tc>
      </w:tr>
      <w:tr w:rsidR="004B0296" w:rsidRPr="00633082" w:rsidTr="00633082">
        <w:tc>
          <w:tcPr>
            <w:cnfStyle w:val="001000000000" w:firstRow="0" w:lastRow="0" w:firstColumn="1" w:lastColumn="0" w:oddVBand="0" w:evenVBand="0" w:oddHBand="0" w:evenHBand="0" w:firstRowFirstColumn="0" w:firstRowLastColumn="0" w:lastRowFirstColumn="0" w:lastRowLastColumn="0"/>
            <w:tcW w:w="1705" w:type="dxa"/>
            <w:tcBorders>
              <w:right w:val="none" w:sz="0" w:space="0" w:color="auto"/>
            </w:tcBorders>
            <w:noWrap/>
            <w:hideMark/>
          </w:tcPr>
          <w:p w:rsidR="004B0296" w:rsidRPr="00633082" w:rsidRDefault="004B0296" w:rsidP="00DD6610">
            <w:pPr>
              <w:spacing w:after="0"/>
              <w:rPr>
                <w:rFonts w:ascii="Calibri" w:eastAsia="Times New Roman" w:hAnsi="Calibri" w:cs="Calibri"/>
                <w:color w:val="000000"/>
                <w:sz w:val="20"/>
                <w:szCs w:val="20"/>
                <w:lang w:val="en-US"/>
              </w:rPr>
            </w:pPr>
            <w:r w:rsidRPr="00633082">
              <w:rPr>
                <w:rFonts w:ascii="Calibri" w:eastAsia="Times New Roman" w:hAnsi="Calibri" w:cs="Calibri"/>
                <w:color w:val="000000"/>
                <w:sz w:val="20"/>
                <w:szCs w:val="20"/>
                <w:lang w:val="en-US"/>
              </w:rPr>
              <w:t>2009-10</w:t>
            </w:r>
          </w:p>
        </w:tc>
        <w:tc>
          <w:tcPr>
            <w:tcW w:w="1530" w:type="dxa"/>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57.5%</w:t>
            </w:r>
          </w:p>
        </w:tc>
        <w:tc>
          <w:tcPr>
            <w:tcW w:w="1280" w:type="dxa"/>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50.9%</w:t>
            </w:r>
          </w:p>
        </w:tc>
        <w:tc>
          <w:tcPr>
            <w:tcW w:w="1370" w:type="dxa"/>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54.3%</w:t>
            </w:r>
          </w:p>
        </w:tc>
        <w:tc>
          <w:tcPr>
            <w:tcW w:w="1260" w:type="dxa"/>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66.6%</w:t>
            </w:r>
          </w:p>
        </w:tc>
        <w:tc>
          <w:tcPr>
            <w:tcW w:w="1080" w:type="dxa"/>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33082">
              <w:rPr>
                <w:rFonts w:ascii="Calibri" w:hAnsi="Calibri"/>
                <w:b/>
                <w:color w:val="000000"/>
                <w:sz w:val="20"/>
                <w:szCs w:val="20"/>
              </w:rPr>
              <w:t>59.5%</w:t>
            </w:r>
          </w:p>
        </w:tc>
      </w:tr>
      <w:tr w:rsidR="004B0296" w:rsidRPr="00633082" w:rsidTr="00633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bottom w:val="none" w:sz="0" w:space="0" w:color="auto"/>
              <w:right w:val="none" w:sz="0" w:space="0" w:color="auto"/>
            </w:tcBorders>
            <w:noWrap/>
            <w:hideMark/>
          </w:tcPr>
          <w:p w:rsidR="004B0296" w:rsidRPr="00633082" w:rsidRDefault="004B0296" w:rsidP="00DD6610">
            <w:pPr>
              <w:spacing w:after="0"/>
              <w:rPr>
                <w:rFonts w:ascii="Calibri" w:eastAsia="Times New Roman" w:hAnsi="Calibri" w:cs="Calibri"/>
                <w:color w:val="000000"/>
                <w:sz w:val="20"/>
                <w:szCs w:val="20"/>
                <w:lang w:val="en-US"/>
              </w:rPr>
            </w:pPr>
            <w:r w:rsidRPr="00633082">
              <w:rPr>
                <w:rFonts w:ascii="Calibri" w:eastAsia="Times New Roman" w:hAnsi="Calibri" w:cs="Calibri"/>
                <w:color w:val="000000"/>
                <w:sz w:val="20"/>
                <w:szCs w:val="20"/>
                <w:lang w:val="en-US"/>
              </w:rPr>
              <w:t>2010-11</w:t>
            </w:r>
          </w:p>
        </w:tc>
        <w:tc>
          <w:tcPr>
            <w:tcW w:w="1530" w:type="dxa"/>
            <w:tcBorders>
              <w:top w:val="none" w:sz="0" w:space="0" w:color="auto"/>
              <w:bottom w:val="none" w:sz="0" w:space="0" w:color="auto"/>
            </w:tcBorders>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62.6%</w:t>
            </w:r>
          </w:p>
        </w:tc>
        <w:tc>
          <w:tcPr>
            <w:tcW w:w="1280" w:type="dxa"/>
            <w:tcBorders>
              <w:top w:val="none" w:sz="0" w:space="0" w:color="auto"/>
              <w:bottom w:val="none" w:sz="0" w:space="0" w:color="auto"/>
            </w:tcBorders>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55.3%</w:t>
            </w:r>
          </w:p>
        </w:tc>
        <w:tc>
          <w:tcPr>
            <w:tcW w:w="1370" w:type="dxa"/>
            <w:tcBorders>
              <w:top w:val="none" w:sz="0" w:space="0" w:color="auto"/>
              <w:bottom w:val="none" w:sz="0" w:space="0" w:color="auto"/>
            </w:tcBorders>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57.4%</w:t>
            </w:r>
          </w:p>
        </w:tc>
        <w:tc>
          <w:tcPr>
            <w:tcW w:w="1260" w:type="dxa"/>
            <w:tcBorders>
              <w:top w:val="none" w:sz="0" w:space="0" w:color="auto"/>
              <w:bottom w:val="none" w:sz="0" w:space="0" w:color="auto"/>
            </w:tcBorders>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70.8%</w:t>
            </w:r>
          </w:p>
        </w:tc>
        <w:tc>
          <w:tcPr>
            <w:tcW w:w="1080" w:type="dxa"/>
            <w:tcBorders>
              <w:top w:val="none" w:sz="0" w:space="0" w:color="auto"/>
              <w:bottom w:val="none" w:sz="0" w:space="0" w:color="auto"/>
            </w:tcBorders>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33082">
              <w:rPr>
                <w:rFonts w:ascii="Calibri" w:hAnsi="Calibri"/>
                <w:b/>
                <w:color w:val="000000"/>
                <w:sz w:val="20"/>
                <w:szCs w:val="20"/>
              </w:rPr>
              <w:t>64.1%</w:t>
            </w:r>
          </w:p>
        </w:tc>
      </w:tr>
      <w:tr w:rsidR="004B0296" w:rsidRPr="00633082" w:rsidTr="00633082">
        <w:tc>
          <w:tcPr>
            <w:cnfStyle w:val="001000000000" w:firstRow="0" w:lastRow="0" w:firstColumn="1" w:lastColumn="0" w:oddVBand="0" w:evenVBand="0" w:oddHBand="0" w:evenHBand="0" w:firstRowFirstColumn="0" w:firstRowLastColumn="0" w:lastRowFirstColumn="0" w:lastRowLastColumn="0"/>
            <w:tcW w:w="1705" w:type="dxa"/>
            <w:tcBorders>
              <w:right w:val="none" w:sz="0" w:space="0" w:color="auto"/>
            </w:tcBorders>
            <w:noWrap/>
            <w:hideMark/>
          </w:tcPr>
          <w:p w:rsidR="004B0296" w:rsidRPr="00633082" w:rsidRDefault="004B0296" w:rsidP="00DD6610">
            <w:pPr>
              <w:spacing w:after="0"/>
              <w:rPr>
                <w:rFonts w:ascii="Calibri" w:eastAsia="Times New Roman" w:hAnsi="Calibri" w:cs="Calibri"/>
                <w:color w:val="000000"/>
                <w:sz w:val="20"/>
                <w:szCs w:val="20"/>
                <w:lang w:val="en-US"/>
              </w:rPr>
            </w:pPr>
            <w:r w:rsidRPr="00633082">
              <w:rPr>
                <w:rFonts w:ascii="Calibri" w:eastAsia="Times New Roman" w:hAnsi="Calibri" w:cs="Calibri"/>
                <w:color w:val="000000"/>
                <w:sz w:val="20"/>
                <w:szCs w:val="20"/>
                <w:lang w:val="en-US"/>
              </w:rPr>
              <w:t>2011-12</w:t>
            </w:r>
          </w:p>
        </w:tc>
        <w:tc>
          <w:tcPr>
            <w:tcW w:w="1530" w:type="dxa"/>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66.9%</w:t>
            </w:r>
          </w:p>
        </w:tc>
        <w:tc>
          <w:tcPr>
            <w:tcW w:w="1280" w:type="dxa"/>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59.2%</w:t>
            </w:r>
          </w:p>
        </w:tc>
        <w:tc>
          <w:tcPr>
            <w:tcW w:w="1370" w:type="dxa"/>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61.9%</w:t>
            </w:r>
          </w:p>
        </w:tc>
        <w:tc>
          <w:tcPr>
            <w:tcW w:w="1260" w:type="dxa"/>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74.6%</w:t>
            </w:r>
          </w:p>
        </w:tc>
        <w:tc>
          <w:tcPr>
            <w:tcW w:w="1080" w:type="dxa"/>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33082">
              <w:rPr>
                <w:rFonts w:ascii="Calibri" w:hAnsi="Calibri"/>
                <w:b/>
                <w:color w:val="000000"/>
                <w:sz w:val="20"/>
                <w:szCs w:val="20"/>
              </w:rPr>
              <w:t>68.2%</w:t>
            </w:r>
          </w:p>
        </w:tc>
      </w:tr>
      <w:tr w:rsidR="004B0296" w:rsidRPr="00633082" w:rsidTr="00633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bottom w:val="none" w:sz="0" w:space="0" w:color="auto"/>
              <w:right w:val="none" w:sz="0" w:space="0" w:color="auto"/>
            </w:tcBorders>
            <w:noWrap/>
            <w:hideMark/>
          </w:tcPr>
          <w:p w:rsidR="004B0296" w:rsidRPr="00633082" w:rsidRDefault="004B0296" w:rsidP="00DD6610">
            <w:pPr>
              <w:spacing w:after="0"/>
              <w:rPr>
                <w:rFonts w:ascii="Calibri" w:eastAsia="Times New Roman" w:hAnsi="Calibri" w:cs="Calibri"/>
                <w:color w:val="000000"/>
                <w:sz w:val="20"/>
                <w:szCs w:val="20"/>
                <w:lang w:val="en-US"/>
              </w:rPr>
            </w:pPr>
            <w:r w:rsidRPr="00633082">
              <w:rPr>
                <w:rFonts w:ascii="Calibri" w:eastAsia="Times New Roman" w:hAnsi="Calibri" w:cs="Calibri"/>
                <w:color w:val="000000"/>
                <w:sz w:val="20"/>
                <w:szCs w:val="20"/>
                <w:lang w:val="en-US"/>
              </w:rPr>
              <w:t>2012-13</w:t>
            </w:r>
          </w:p>
        </w:tc>
        <w:tc>
          <w:tcPr>
            <w:tcW w:w="1530" w:type="dxa"/>
            <w:tcBorders>
              <w:top w:val="none" w:sz="0" w:space="0" w:color="auto"/>
              <w:bottom w:val="none" w:sz="0" w:space="0" w:color="auto"/>
            </w:tcBorders>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68.4%</w:t>
            </w:r>
          </w:p>
        </w:tc>
        <w:tc>
          <w:tcPr>
            <w:tcW w:w="1280" w:type="dxa"/>
            <w:tcBorders>
              <w:top w:val="none" w:sz="0" w:space="0" w:color="auto"/>
              <w:bottom w:val="none" w:sz="0" w:space="0" w:color="auto"/>
            </w:tcBorders>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60.4%</w:t>
            </w:r>
          </w:p>
        </w:tc>
        <w:tc>
          <w:tcPr>
            <w:tcW w:w="1370" w:type="dxa"/>
            <w:tcBorders>
              <w:top w:val="none" w:sz="0" w:space="0" w:color="auto"/>
              <w:bottom w:val="none" w:sz="0" w:space="0" w:color="auto"/>
            </w:tcBorders>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62.7%</w:t>
            </w:r>
          </w:p>
        </w:tc>
        <w:tc>
          <w:tcPr>
            <w:tcW w:w="1260" w:type="dxa"/>
            <w:tcBorders>
              <w:top w:val="none" w:sz="0" w:space="0" w:color="auto"/>
              <w:bottom w:val="none" w:sz="0" w:space="0" w:color="auto"/>
            </w:tcBorders>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76.5%</w:t>
            </w:r>
          </w:p>
        </w:tc>
        <w:tc>
          <w:tcPr>
            <w:tcW w:w="1080" w:type="dxa"/>
            <w:tcBorders>
              <w:top w:val="none" w:sz="0" w:space="0" w:color="auto"/>
              <w:bottom w:val="none" w:sz="0" w:space="0" w:color="auto"/>
            </w:tcBorders>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33082">
              <w:rPr>
                <w:rFonts w:ascii="Calibri" w:hAnsi="Calibri"/>
                <w:b/>
                <w:color w:val="000000"/>
                <w:sz w:val="20"/>
                <w:szCs w:val="20"/>
              </w:rPr>
              <w:t>69.8%</w:t>
            </w:r>
          </w:p>
        </w:tc>
      </w:tr>
      <w:tr w:rsidR="004B0296" w:rsidRPr="00633082" w:rsidTr="00633082">
        <w:tc>
          <w:tcPr>
            <w:cnfStyle w:val="001000000000" w:firstRow="0" w:lastRow="0" w:firstColumn="1" w:lastColumn="0" w:oddVBand="0" w:evenVBand="0" w:oddHBand="0" w:evenHBand="0" w:firstRowFirstColumn="0" w:firstRowLastColumn="0" w:lastRowFirstColumn="0" w:lastRowLastColumn="0"/>
            <w:tcW w:w="1705" w:type="dxa"/>
            <w:tcBorders>
              <w:right w:val="none" w:sz="0" w:space="0" w:color="auto"/>
            </w:tcBorders>
            <w:noWrap/>
            <w:hideMark/>
          </w:tcPr>
          <w:p w:rsidR="004B0296" w:rsidRPr="00633082" w:rsidRDefault="004B0296" w:rsidP="00DD6610">
            <w:pPr>
              <w:spacing w:after="0"/>
              <w:rPr>
                <w:rFonts w:ascii="Calibri" w:eastAsia="Times New Roman" w:hAnsi="Calibri" w:cs="Calibri"/>
                <w:color w:val="000000"/>
                <w:sz w:val="20"/>
                <w:szCs w:val="20"/>
                <w:lang w:val="en-US"/>
              </w:rPr>
            </w:pPr>
            <w:r w:rsidRPr="00633082">
              <w:rPr>
                <w:rFonts w:ascii="Calibri" w:eastAsia="Times New Roman" w:hAnsi="Calibri" w:cs="Calibri"/>
                <w:color w:val="000000"/>
                <w:sz w:val="20"/>
                <w:szCs w:val="20"/>
                <w:lang w:val="en-US"/>
              </w:rPr>
              <w:t>2013-14</w:t>
            </w:r>
          </w:p>
        </w:tc>
        <w:tc>
          <w:tcPr>
            <w:tcW w:w="1530" w:type="dxa"/>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70.8%</w:t>
            </w:r>
          </w:p>
        </w:tc>
        <w:tc>
          <w:tcPr>
            <w:tcW w:w="1280" w:type="dxa"/>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62.7%</w:t>
            </w:r>
          </w:p>
        </w:tc>
        <w:tc>
          <w:tcPr>
            <w:tcW w:w="1370" w:type="dxa"/>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65.0%</w:t>
            </w:r>
          </w:p>
        </w:tc>
        <w:tc>
          <w:tcPr>
            <w:tcW w:w="1260" w:type="dxa"/>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78.4%</w:t>
            </w:r>
          </w:p>
        </w:tc>
        <w:tc>
          <w:tcPr>
            <w:tcW w:w="1080" w:type="dxa"/>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33082">
              <w:rPr>
                <w:rFonts w:ascii="Calibri" w:hAnsi="Calibri"/>
                <w:b/>
                <w:color w:val="000000"/>
                <w:sz w:val="20"/>
                <w:szCs w:val="20"/>
              </w:rPr>
              <w:t>72.1%</w:t>
            </w:r>
          </w:p>
        </w:tc>
      </w:tr>
      <w:tr w:rsidR="004B0296" w:rsidRPr="00633082" w:rsidTr="00633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bottom w:val="none" w:sz="0" w:space="0" w:color="auto"/>
              <w:right w:val="none" w:sz="0" w:space="0" w:color="auto"/>
            </w:tcBorders>
            <w:noWrap/>
            <w:hideMark/>
          </w:tcPr>
          <w:p w:rsidR="004B0296" w:rsidRPr="00633082" w:rsidRDefault="004B0296" w:rsidP="00DD6610">
            <w:pPr>
              <w:spacing w:after="0"/>
              <w:rPr>
                <w:rFonts w:ascii="Calibri" w:eastAsia="Times New Roman" w:hAnsi="Calibri" w:cs="Calibri"/>
                <w:color w:val="000000"/>
                <w:sz w:val="20"/>
                <w:szCs w:val="20"/>
                <w:lang w:val="en-US"/>
              </w:rPr>
            </w:pPr>
            <w:r w:rsidRPr="00633082">
              <w:rPr>
                <w:rFonts w:ascii="Calibri" w:eastAsia="Times New Roman" w:hAnsi="Calibri" w:cs="Calibri"/>
                <w:color w:val="000000"/>
                <w:sz w:val="20"/>
                <w:szCs w:val="20"/>
                <w:lang w:val="en-US"/>
              </w:rPr>
              <w:t>2014-15</w:t>
            </w:r>
          </w:p>
        </w:tc>
        <w:tc>
          <w:tcPr>
            <w:tcW w:w="1530" w:type="dxa"/>
            <w:tcBorders>
              <w:top w:val="none" w:sz="0" w:space="0" w:color="auto"/>
              <w:bottom w:val="none" w:sz="0" w:space="0" w:color="auto"/>
            </w:tcBorders>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75.2%</w:t>
            </w:r>
          </w:p>
        </w:tc>
        <w:tc>
          <w:tcPr>
            <w:tcW w:w="1280" w:type="dxa"/>
            <w:tcBorders>
              <w:top w:val="none" w:sz="0" w:space="0" w:color="auto"/>
              <w:bottom w:val="none" w:sz="0" w:space="0" w:color="auto"/>
            </w:tcBorders>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67.2%</w:t>
            </w:r>
          </w:p>
        </w:tc>
        <w:tc>
          <w:tcPr>
            <w:tcW w:w="1370" w:type="dxa"/>
            <w:tcBorders>
              <w:top w:val="none" w:sz="0" w:space="0" w:color="auto"/>
              <w:bottom w:val="none" w:sz="0" w:space="0" w:color="auto"/>
            </w:tcBorders>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67.5%</w:t>
            </w:r>
          </w:p>
        </w:tc>
        <w:tc>
          <w:tcPr>
            <w:tcW w:w="1260" w:type="dxa"/>
            <w:tcBorders>
              <w:top w:val="none" w:sz="0" w:space="0" w:color="auto"/>
              <w:bottom w:val="none" w:sz="0" w:space="0" w:color="auto"/>
            </w:tcBorders>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82.7%</w:t>
            </w:r>
          </w:p>
        </w:tc>
        <w:tc>
          <w:tcPr>
            <w:tcW w:w="1080" w:type="dxa"/>
            <w:tcBorders>
              <w:top w:val="none" w:sz="0" w:space="0" w:color="auto"/>
              <w:bottom w:val="none" w:sz="0" w:space="0" w:color="auto"/>
            </w:tcBorders>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33082">
              <w:rPr>
                <w:rFonts w:ascii="Calibri" w:hAnsi="Calibri"/>
                <w:b/>
                <w:color w:val="000000"/>
                <w:sz w:val="20"/>
                <w:szCs w:val="20"/>
              </w:rPr>
              <w:t>76.5%</w:t>
            </w:r>
          </w:p>
        </w:tc>
      </w:tr>
      <w:tr w:rsidR="004B0296" w:rsidRPr="00633082" w:rsidTr="00633082">
        <w:tc>
          <w:tcPr>
            <w:cnfStyle w:val="001000000000" w:firstRow="0" w:lastRow="0" w:firstColumn="1" w:lastColumn="0" w:oddVBand="0" w:evenVBand="0" w:oddHBand="0" w:evenHBand="0" w:firstRowFirstColumn="0" w:firstRowLastColumn="0" w:lastRowFirstColumn="0" w:lastRowLastColumn="0"/>
            <w:tcW w:w="1705" w:type="dxa"/>
            <w:tcBorders>
              <w:right w:val="none" w:sz="0" w:space="0" w:color="auto"/>
            </w:tcBorders>
            <w:noWrap/>
            <w:hideMark/>
          </w:tcPr>
          <w:p w:rsidR="004B0296" w:rsidRPr="00633082" w:rsidRDefault="004B0296" w:rsidP="00DD6610">
            <w:pPr>
              <w:spacing w:after="0"/>
              <w:rPr>
                <w:rFonts w:ascii="Calibri" w:eastAsia="Times New Roman" w:hAnsi="Calibri" w:cs="Calibri"/>
                <w:color w:val="000000"/>
                <w:sz w:val="20"/>
                <w:szCs w:val="20"/>
                <w:lang w:val="en-US"/>
              </w:rPr>
            </w:pPr>
            <w:r w:rsidRPr="00633082">
              <w:rPr>
                <w:rFonts w:ascii="Calibri" w:eastAsia="Times New Roman" w:hAnsi="Calibri" w:cs="Calibri"/>
                <w:color w:val="000000"/>
                <w:sz w:val="20"/>
                <w:szCs w:val="20"/>
                <w:lang w:val="en-US"/>
              </w:rPr>
              <w:t>2015-16</w:t>
            </w:r>
          </w:p>
        </w:tc>
        <w:tc>
          <w:tcPr>
            <w:tcW w:w="1530" w:type="dxa"/>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78.9%</w:t>
            </w:r>
          </w:p>
        </w:tc>
        <w:tc>
          <w:tcPr>
            <w:tcW w:w="1280" w:type="dxa"/>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71.9%</w:t>
            </w:r>
          </w:p>
        </w:tc>
        <w:tc>
          <w:tcPr>
            <w:tcW w:w="1370" w:type="dxa"/>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70.9%</w:t>
            </w:r>
          </w:p>
        </w:tc>
        <w:tc>
          <w:tcPr>
            <w:tcW w:w="1260" w:type="dxa"/>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33082">
              <w:rPr>
                <w:rFonts w:ascii="Calibri" w:hAnsi="Calibri"/>
                <w:color w:val="000000"/>
                <w:sz w:val="20"/>
                <w:szCs w:val="20"/>
              </w:rPr>
              <w:t>86.2%</w:t>
            </w:r>
          </w:p>
        </w:tc>
        <w:tc>
          <w:tcPr>
            <w:tcW w:w="1080" w:type="dxa"/>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33082">
              <w:rPr>
                <w:rFonts w:ascii="Calibri" w:hAnsi="Calibri"/>
                <w:b/>
                <w:color w:val="000000"/>
                <w:sz w:val="20"/>
                <w:szCs w:val="20"/>
              </w:rPr>
              <w:t>80.4%</w:t>
            </w:r>
          </w:p>
        </w:tc>
      </w:tr>
      <w:tr w:rsidR="004B0296" w:rsidRPr="00633082" w:rsidTr="000E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bottom w:val="none" w:sz="0" w:space="0" w:color="auto"/>
              <w:right w:val="none" w:sz="0" w:space="0" w:color="auto"/>
            </w:tcBorders>
            <w:shd w:val="clear" w:color="auto" w:fill="auto"/>
            <w:noWrap/>
            <w:hideMark/>
          </w:tcPr>
          <w:p w:rsidR="004B0296" w:rsidRPr="00633082" w:rsidRDefault="004B0296" w:rsidP="00DD6610">
            <w:pPr>
              <w:spacing w:after="0"/>
              <w:rPr>
                <w:rFonts w:ascii="Calibri" w:eastAsia="Times New Roman" w:hAnsi="Calibri" w:cs="Calibri"/>
                <w:color w:val="000000"/>
                <w:sz w:val="20"/>
                <w:szCs w:val="20"/>
                <w:lang w:val="en-US"/>
              </w:rPr>
            </w:pPr>
            <w:r w:rsidRPr="00633082">
              <w:rPr>
                <w:rFonts w:ascii="Calibri" w:eastAsia="Times New Roman" w:hAnsi="Calibri" w:cs="Calibri"/>
                <w:color w:val="000000"/>
                <w:sz w:val="20"/>
                <w:szCs w:val="20"/>
                <w:lang w:val="en-US"/>
              </w:rPr>
              <w:t>7-year growth</w:t>
            </w:r>
          </w:p>
        </w:tc>
        <w:tc>
          <w:tcPr>
            <w:tcW w:w="1530" w:type="dxa"/>
            <w:tcBorders>
              <w:top w:val="none" w:sz="0" w:space="0" w:color="auto"/>
              <w:bottom w:val="none" w:sz="0" w:space="0" w:color="auto"/>
            </w:tcBorders>
            <w:shd w:val="clear" w:color="auto" w:fill="auto"/>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rPr>
            </w:pPr>
            <w:r w:rsidRPr="00633082">
              <w:rPr>
                <w:rFonts w:ascii="Calibri" w:eastAsia="Times New Roman" w:hAnsi="Calibri" w:cs="Calibri"/>
                <w:b/>
                <w:bCs/>
                <w:color w:val="000000"/>
                <w:sz w:val="20"/>
                <w:szCs w:val="20"/>
                <w:lang w:val="en-US"/>
              </w:rPr>
              <w:t>49.9%</w:t>
            </w:r>
          </w:p>
        </w:tc>
        <w:tc>
          <w:tcPr>
            <w:tcW w:w="1280" w:type="dxa"/>
            <w:tcBorders>
              <w:top w:val="none" w:sz="0" w:space="0" w:color="auto"/>
              <w:bottom w:val="none" w:sz="0" w:space="0" w:color="auto"/>
            </w:tcBorders>
            <w:shd w:val="clear" w:color="auto" w:fill="auto"/>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rPr>
            </w:pPr>
            <w:r w:rsidRPr="00633082">
              <w:rPr>
                <w:rFonts w:ascii="Calibri" w:eastAsia="Times New Roman" w:hAnsi="Calibri" w:cs="Calibri"/>
                <w:b/>
                <w:bCs/>
                <w:color w:val="000000"/>
                <w:sz w:val="20"/>
                <w:szCs w:val="20"/>
                <w:lang w:val="en-US"/>
              </w:rPr>
              <w:t>52.0%</w:t>
            </w:r>
          </w:p>
        </w:tc>
        <w:tc>
          <w:tcPr>
            <w:tcW w:w="1370" w:type="dxa"/>
            <w:tcBorders>
              <w:top w:val="none" w:sz="0" w:space="0" w:color="auto"/>
              <w:bottom w:val="none" w:sz="0" w:space="0" w:color="auto"/>
            </w:tcBorders>
            <w:shd w:val="clear" w:color="auto" w:fill="auto"/>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rPr>
            </w:pPr>
            <w:r w:rsidRPr="00633082">
              <w:rPr>
                <w:rFonts w:ascii="Calibri" w:eastAsia="Times New Roman" w:hAnsi="Calibri" w:cs="Calibri"/>
                <w:b/>
                <w:bCs/>
                <w:color w:val="000000"/>
                <w:sz w:val="20"/>
                <w:szCs w:val="20"/>
                <w:lang w:val="en-US"/>
              </w:rPr>
              <w:t>35.1%</w:t>
            </w:r>
          </w:p>
        </w:tc>
        <w:tc>
          <w:tcPr>
            <w:tcW w:w="1260" w:type="dxa"/>
            <w:tcBorders>
              <w:top w:val="none" w:sz="0" w:space="0" w:color="auto"/>
              <w:bottom w:val="none" w:sz="0" w:space="0" w:color="auto"/>
            </w:tcBorders>
            <w:shd w:val="clear" w:color="auto" w:fill="auto"/>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rPr>
            </w:pPr>
            <w:r w:rsidRPr="00633082">
              <w:rPr>
                <w:rFonts w:ascii="Calibri" w:eastAsia="Times New Roman" w:hAnsi="Calibri" w:cs="Calibri"/>
                <w:b/>
                <w:bCs/>
                <w:color w:val="000000"/>
                <w:sz w:val="20"/>
                <w:szCs w:val="20"/>
                <w:lang w:val="en-US"/>
              </w:rPr>
              <w:t>38.1%</w:t>
            </w:r>
          </w:p>
        </w:tc>
        <w:tc>
          <w:tcPr>
            <w:tcW w:w="1080" w:type="dxa"/>
            <w:tcBorders>
              <w:top w:val="none" w:sz="0" w:space="0" w:color="auto"/>
              <w:bottom w:val="none" w:sz="0" w:space="0" w:color="auto"/>
            </w:tcBorders>
            <w:shd w:val="clear" w:color="auto" w:fill="auto"/>
            <w:noWrap/>
            <w:hideMark/>
          </w:tcPr>
          <w:p w:rsidR="004B0296" w:rsidRPr="0063308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rPr>
            </w:pPr>
            <w:r w:rsidRPr="00633082">
              <w:rPr>
                <w:rFonts w:ascii="Calibri" w:eastAsia="Times New Roman" w:hAnsi="Calibri" w:cs="Calibri"/>
                <w:b/>
                <w:bCs/>
                <w:color w:val="000000"/>
                <w:sz w:val="20"/>
                <w:szCs w:val="20"/>
                <w:lang w:val="en-US"/>
              </w:rPr>
              <w:t>45.9%</w:t>
            </w:r>
          </w:p>
        </w:tc>
      </w:tr>
      <w:tr w:rsidR="004B0296" w:rsidRPr="00633082" w:rsidTr="000E0727">
        <w:tc>
          <w:tcPr>
            <w:cnfStyle w:val="001000000000" w:firstRow="0" w:lastRow="0" w:firstColumn="1" w:lastColumn="0" w:oddVBand="0" w:evenVBand="0" w:oddHBand="0" w:evenHBand="0" w:firstRowFirstColumn="0" w:firstRowLastColumn="0" w:lastRowFirstColumn="0" w:lastRowLastColumn="0"/>
            <w:tcW w:w="1705" w:type="dxa"/>
            <w:tcBorders>
              <w:right w:val="none" w:sz="0" w:space="0" w:color="auto"/>
            </w:tcBorders>
            <w:shd w:val="clear" w:color="auto" w:fill="auto"/>
            <w:noWrap/>
            <w:hideMark/>
          </w:tcPr>
          <w:p w:rsidR="004B0296" w:rsidRPr="00633082" w:rsidRDefault="004B0296" w:rsidP="00DD6610">
            <w:pPr>
              <w:spacing w:after="0"/>
              <w:rPr>
                <w:rFonts w:ascii="Calibri" w:eastAsia="Times New Roman" w:hAnsi="Calibri" w:cs="Calibri"/>
                <w:color w:val="000000"/>
                <w:sz w:val="20"/>
                <w:szCs w:val="20"/>
                <w:lang w:val="en-US"/>
              </w:rPr>
            </w:pPr>
            <w:r w:rsidRPr="00633082">
              <w:rPr>
                <w:rFonts w:ascii="Calibri" w:eastAsia="Times New Roman" w:hAnsi="Calibri" w:cs="Calibri"/>
                <w:color w:val="000000"/>
                <w:sz w:val="20"/>
                <w:szCs w:val="20"/>
                <w:lang w:val="en-US"/>
              </w:rPr>
              <w:t>1-year growth</w:t>
            </w:r>
          </w:p>
        </w:tc>
        <w:tc>
          <w:tcPr>
            <w:tcW w:w="1530" w:type="dxa"/>
            <w:shd w:val="clear" w:color="auto" w:fill="auto"/>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rPr>
            </w:pPr>
            <w:r w:rsidRPr="00633082">
              <w:rPr>
                <w:rFonts w:ascii="Calibri" w:eastAsia="Times New Roman" w:hAnsi="Calibri" w:cs="Calibri"/>
                <w:b/>
                <w:bCs/>
                <w:color w:val="000000"/>
                <w:sz w:val="20"/>
                <w:szCs w:val="20"/>
                <w:lang w:val="en-US"/>
              </w:rPr>
              <w:t>6.0%</w:t>
            </w:r>
          </w:p>
        </w:tc>
        <w:tc>
          <w:tcPr>
            <w:tcW w:w="1280" w:type="dxa"/>
            <w:shd w:val="clear" w:color="auto" w:fill="auto"/>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rPr>
            </w:pPr>
            <w:r w:rsidRPr="00633082">
              <w:rPr>
                <w:rFonts w:ascii="Calibri" w:eastAsia="Times New Roman" w:hAnsi="Calibri" w:cs="Calibri"/>
                <w:b/>
                <w:bCs/>
                <w:color w:val="000000"/>
                <w:sz w:val="20"/>
                <w:szCs w:val="20"/>
                <w:lang w:val="en-US"/>
              </w:rPr>
              <w:t>6.2%</w:t>
            </w:r>
          </w:p>
        </w:tc>
        <w:tc>
          <w:tcPr>
            <w:tcW w:w="1370" w:type="dxa"/>
            <w:shd w:val="clear" w:color="auto" w:fill="auto"/>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rPr>
            </w:pPr>
            <w:r w:rsidRPr="00633082">
              <w:rPr>
                <w:rFonts w:ascii="Calibri" w:eastAsia="Times New Roman" w:hAnsi="Calibri" w:cs="Calibri"/>
                <w:b/>
                <w:bCs/>
                <w:color w:val="000000"/>
                <w:sz w:val="20"/>
                <w:szCs w:val="20"/>
                <w:lang w:val="en-US"/>
              </w:rPr>
              <w:t>4.4%</w:t>
            </w:r>
          </w:p>
        </w:tc>
        <w:tc>
          <w:tcPr>
            <w:tcW w:w="1260" w:type="dxa"/>
            <w:shd w:val="clear" w:color="auto" w:fill="auto"/>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rPr>
            </w:pPr>
            <w:r w:rsidRPr="00633082">
              <w:rPr>
                <w:rFonts w:ascii="Calibri" w:eastAsia="Times New Roman" w:hAnsi="Calibri" w:cs="Calibri"/>
                <w:b/>
                <w:bCs/>
                <w:color w:val="000000"/>
                <w:sz w:val="20"/>
                <w:szCs w:val="20"/>
                <w:lang w:val="en-US"/>
              </w:rPr>
              <w:t>4.7%</w:t>
            </w:r>
          </w:p>
        </w:tc>
        <w:tc>
          <w:tcPr>
            <w:tcW w:w="1080" w:type="dxa"/>
            <w:shd w:val="clear" w:color="auto" w:fill="auto"/>
            <w:noWrap/>
            <w:hideMark/>
          </w:tcPr>
          <w:p w:rsidR="004B0296" w:rsidRPr="0063308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rPr>
            </w:pPr>
            <w:r w:rsidRPr="00633082">
              <w:rPr>
                <w:rFonts w:ascii="Calibri" w:eastAsia="Times New Roman" w:hAnsi="Calibri" w:cs="Calibri"/>
                <w:b/>
                <w:bCs/>
                <w:color w:val="000000"/>
                <w:sz w:val="20"/>
                <w:szCs w:val="20"/>
                <w:lang w:val="en-US"/>
              </w:rPr>
              <w:t>5.5%</w:t>
            </w:r>
          </w:p>
        </w:tc>
      </w:tr>
    </w:tbl>
    <w:p w:rsidR="002E1694" w:rsidRDefault="009748B4" w:rsidP="009748B4">
      <w:pPr>
        <w:pStyle w:val="Caption"/>
        <w:keepNext/>
        <w:spacing w:before="120"/>
      </w:pPr>
      <w:bookmarkStart w:id="632" w:name="_Toc495416920"/>
      <w:r>
        <w:t>Figure 9.</w:t>
      </w:r>
      <w:r w:rsidR="009A3F5A">
        <w:fldChar w:fldCharType="begin"/>
      </w:r>
      <w:r w:rsidR="009A3F5A">
        <w:instrText xml:space="preserve"> SEQ Figure_9. \* ARABIC </w:instrText>
      </w:r>
      <w:r w:rsidR="009A3F5A">
        <w:fldChar w:fldCharType="separate"/>
      </w:r>
      <w:r w:rsidR="00856E49">
        <w:rPr>
          <w:noProof/>
        </w:rPr>
        <w:t>1</w:t>
      </w:r>
      <w:r w:rsidR="009A3F5A">
        <w:rPr>
          <w:noProof/>
        </w:rPr>
        <w:fldChar w:fldCharType="end"/>
      </w:r>
      <w:r>
        <w:t xml:space="preserve">: </w:t>
      </w:r>
      <w:r w:rsidRPr="009748B4">
        <w:t>Average subsidies for provider types as proportion of the maximum subsidy</w:t>
      </w:r>
      <w:bookmarkEnd w:id="632"/>
    </w:p>
    <w:p w:rsidR="008458CC" w:rsidRDefault="008458CC" w:rsidP="004B0296">
      <w:pPr>
        <w:spacing w:after="160" w:line="259" w:lineRule="auto"/>
        <w:rPr>
          <w:b/>
        </w:rPr>
      </w:pPr>
      <w:r>
        <w:rPr>
          <w:b/>
          <w:noProof/>
          <w:lang w:eastAsia="en-AU"/>
        </w:rPr>
        <w:drawing>
          <wp:inline distT="0" distB="0" distL="0" distR="0" wp14:anchorId="17DB0D07" wp14:editId="498F866E">
            <wp:extent cx="4104000" cy="2959200"/>
            <wp:effectExtent l="0" t="0" r="0" b="0"/>
            <wp:docPr id="233" name="Picture 233" descr="Figure 9.1 is a line graph illustrating the growth of subsidies rates by organisation type (charitable, community, government, private) from 2009 to 2016, as is shown by Table 9.1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04000" cy="2959200"/>
                    </a:xfrm>
                    <a:prstGeom prst="rect">
                      <a:avLst/>
                    </a:prstGeom>
                    <a:noFill/>
                  </pic:spPr>
                </pic:pic>
              </a:graphicData>
            </a:graphic>
          </wp:inline>
        </w:drawing>
      </w:r>
    </w:p>
    <w:p w:rsidR="004B0296" w:rsidRPr="005C4EEA" w:rsidRDefault="004B0296" w:rsidP="008F1CA1">
      <w:pPr>
        <w:pStyle w:val="Heading2-Chapter9"/>
      </w:pPr>
      <w:bookmarkStart w:id="633" w:name="_Toc486600081"/>
      <w:bookmarkStart w:id="634" w:name="_Toc489386712"/>
      <w:bookmarkStart w:id="635" w:name="_Toc491426067"/>
      <w:r w:rsidRPr="005C4EEA">
        <w:lastRenderedPageBreak/>
        <w:t>ACFI Items Showing Significant Growth</w:t>
      </w:r>
      <w:bookmarkEnd w:id="633"/>
      <w:bookmarkEnd w:id="634"/>
      <w:bookmarkEnd w:id="635"/>
    </w:p>
    <w:p w:rsidR="00980F62" w:rsidRDefault="004B0296" w:rsidP="004B0296">
      <w:r>
        <w:t>Examination of the data from the 2008-2016 period indicates that ACFI funding growth has been driven by several items, the most significant of which are two items covering pain management interventions in the CHC domain. Six checklist items in the ADL domain also contributed to the growth in ACFI funding.</w:t>
      </w:r>
    </w:p>
    <w:p w:rsidR="004B0296" w:rsidRDefault="00473246" w:rsidP="004B0296">
      <w:hyperlink w:anchor="Fig0902" w:history="1">
        <w:r w:rsidR="004B0296" w:rsidRPr="00411E89">
          <w:rPr>
            <w:rStyle w:val="Hyperlink"/>
          </w:rPr>
          <w:t>Figure 9.2</w:t>
        </w:r>
      </w:hyperlink>
      <w:r w:rsidR="004B0296">
        <w:t xml:space="preserve"> shows the growth in the daily ACFI care subsidies for the pain management items since the commencement of the ACFI system. To standardise the comparison of how the funding attributable to the pain management items has changed since 2008-09, the </w:t>
      </w:r>
      <w:r w:rsidR="004B0296" w:rsidRPr="00AF2AA7">
        <w:t>su</w:t>
      </w:r>
      <w:r w:rsidR="004B0296">
        <w:t>bsidy rates and rules applying from 1 July 2016</w:t>
      </w:r>
      <w:r w:rsidR="004B0296" w:rsidRPr="00AF2AA7">
        <w:t xml:space="preserve"> have been used. </w:t>
      </w:r>
      <w:r w:rsidR="004B0296">
        <w:t xml:space="preserve">These were applied to resident ACFI data at each 30 June, to estimate the subsidies payable with 1 July 2016 conditions, and then re-estimated omitting the pain management items. The differences are shown in </w:t>
      </w:r>
      <w:hyperlink w:anchor="Fig0902" w:history="1">
        <w:r w:rsidR="004B0296" w:rsidRPr="00411E89">
          <w:rPr>
            <w:rStyle w:val="Hyperlink"/>
          </w:rPr>
          <w:t>Figure 9.2</w:t>
        </w:r>
      </w:hyperlink>
      <w:r w:rsidR="004B0296">
        <w:t>.</w:t>
      </w:r>
    </w:p>
    <w:p w:rsidR="002E1694" w:rsidRDefault="00DF3488" w:rsidP="002E1694">
      <w:pPr>
        <w:pStyle w:val="Caption"/>
        <w:keepNext/>
        <w:jc w:val="both"/>
      </w:pPr>
      <w:bookmarkStart w:id="636" w:name="_Toc495416921"/>
      <w:r>
        <w:t>Figure 9.</w:t>
      </w:r>
      <w:r w:rsidR="009A3F5A">
        <w:fldChar w:fldCharType="begin"/>
      </w:r>
      <w:r w:rsidR="009A3F5A">
        <w:instrText xml:space="preserve"> SEQ Figure_9. \* ARABIC </w:instrText>
      </w:r>
      <w:r w:rsidR="009A3F5A">
        <w:fldChar w:fldCharType="separate"/>
      </w:r>
      <w:r w:rsidR="00856E49">
        <w:rPr>
          <w:noProof/>
        </w:rPr>
        <w:t>2</w:t>
      </w:r>
      <w:r w:rsidR="009A3F5A">
        <w:rPr>
          <w:noProof/>
        </w:rPr>
        <w:fldChar w:fldCharType="end"/>
      </w:r>
      <w:r>
        <w:t xml:space="preserve">: </w:t>
      </w:r>
      <w:r w:rsidRPr="00DF3488">
        <w:t>Daily subsidy growth in pain management items using July 2016 funding rates</w:t>
      </w:r>
      <w:bookmarkEnd w:id="636"/>
    </w:p>
    <w:p w:rsidR="008458CC" w:rsidRDefault="008458CC" w:rsidP="004B0296">
      <w:pPr>
        <w:spacing w:after="200"/>
        <w:rPr>
          <w:lang w:eastAsia="en-AU"/>
        </w:rPr>
      </w:pPr>
      <w:r>
        <w:rPr>
          <w:noProof/>
          <w:lang w:eastAsia="en-AU"/>
        </w:rPr>
        <w:drawing>
          <wp:inline distT="0" distB="0" distL="0" distR="0" wp14:anchorId="22250F57" wp14:editId="02CA4D3B">
            <wp:extent cx="5602605" cy="3279775"/>
            <wp:effectExtent l="0" t="0" r="0" b="0"/>
            <wp:docPr id="236" name="Picture 236" descr="Figure 9.2 is a bar graph illustrating the daily subsidy growth for pain management items in the Complex Health Care (CHC) domain from 2008-2009 to 2015-2016, as summaris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02605" cy="3279775"/>
                    </a:xfrm>
                    <a:prstGeom prst="rect">
                      <a:avLst/>
                    </a:prstGeom>
                    <a:noFill/>
                  </pic:spPr>
                </pic:pic>
              </a:graphicData>
            </a:graphic>
          </wp:inline>
        </w:drawing>
      </w:r>
    </w:p>
    <w:p w:rsidR="004B0296" w:rsidRDefault="004B0296" w:rsidP="004B0296">
      <w:r>
        <w:t xml:space="preserve">The six ADL domain items which have shown the largest increases in numbers of people rated at the highest level of need in the most recent six years are described in </w:t>
      </w:r>
      <w:hyperlink w:anchor="Tab0902" w:history="1">
        <w:r w:rsidRPr="00995856">
          <w:rPr>
            <w:rStyle w:val="Hyperlink"/>
          </w:rPr>
          <w:t>Table 9.2</w:t>
        </w:r>
      </w:hyperlink>
      <w:r>
        <w:t>. The 6-year compound growth rate to the highest care need level for these items are:</w:t>
      </w:r>
    </w:p>
    <w:p w:rsidR="004B0296" w:rsidRDefault="004B0296" w:rsidP="00151877">
      <w:pPr>
        <w:pStyle w:val="ListParagraph"/>
        <w:numPr>
          <w:ilvl w:val="0"/>
          <w:numId w:val="45"/>
        </w:numPr>
      </w:pPr>
      <w:r>
        <w:t>31.7</w:t>
      </w:r>
      <w:r w:rsidR="0065091B">
        <w:t xml:space="preserve"> per cent</w:t>
      </w:r>
      <w:r>
        <w:t xml:space="preserve"> Transfers (Mobility)</w:t>
      </w:r>
    </w:p>
    <w:p w:rsidR="004B0296" w:rsidRDefault="004B0296" w:rsidP="00151877">
      <w:pPr>
        <w:pStyle w:val="ListParagraph"/>
        <w:numPr>
          <w:ilvl w:val="0"/>
          <w:numId w:val="45"/>
        </w:numPr>
      </w:pPr>
      <w:r>
        <w:t>27.4</w:t>
      </w:r>
      <w:r w:rsidR="0065091B">
        <w:t xml:space="preserve"> per cent</w:t>
      </w:r>
      <w:r>
        <w:t xml:space="preserve"> Toilet Completion (Toileting)</w:t>
      </w:r>
    </w:p>
    <w:p w:rsidR="004B0296" w:rsidRDefault="004B0296" w:rsidP="00151877">
      <w:pPr>
        <w:pStyle w:val="ListParagraph"/>
        <w:numPr>
          <w:ilvl w:val="0"/>
          <w:numId w:val="45"/>
        </w:numPr>
      </w:pPr>
      <w:r>
        <w:t>26.0</w:t>
      </w:r>
      <w:r w:rsidR="0065091B">
        <w:t xml:space="preserve"> per cent</w:t>
      </w:r>
      <w:r>
        <w:t xml:space="preserve"> Locomotion (Mobility)</w:t>
      </w:r>
    </w:p>
    <w:p w:rsidR="004B0296" w:rsidRDefault="004B0296" w:rsidP="00151877">
      <w:pPr>
        <w:pStyle w:val="ListParagraph"/>
        <w:numPr>
          <w:ilvl w:val="0"/>
          <w:numId w:val="45"/>
        </w:numPr>
      </w:pPr>
      <w:r>
        <w:t>25.8</w:t>
      </w:r>
      <w:r w:rsidR="0065091B">
        <w:t xml:space="preserve"> per cent</w:t>
      </w:r>
      <w:r>
        <w:t xml:space="preserve"> Readiness to Eat (Nutrition)</w:t>
      </w:r>
    </w:p>
    <w:p w:rsidR="004B0296" w:rsidRDefault="004B0296" w:rsidP="00151877">
      <w:pPr>
        <w:pStyle w:val="ListParagraph"/>
        <w:numPr>
          <w:ilvl w:val="0"/>
          <w:numId w:val="45"/>
        </w:numPr>
      </w:pPr>
      <w:r>
        <w:t>24.2</w:t>
      </w:r>
      <w:r w:rsidR="0065091B">
        <w:t xml:space="preserve"> per cent</w:t>
      </w:r>
      <w:r>
        <w:t xml:space="preserve"> Urine Incontinence (Continence)</w:t>
      </w:r>
    </w:p>
    <w:p w:rsidR="00633082" w:rsidRDefault="004B0296" w:rsidP="00151877">
      <w:pPr>
        <w:pStyle w:val="ListParagraph"/>
        <w:numPr>
          <w:ilvl w:val="0"/>
          <w:numId w:val="45"/>
        </w:numPr>
      </w:pPr>
      <w:r>
        <w:t>22.9</w:t>
      </w:r>
      <w:r w:rsidR="0065091B">
        <w:t xml:space="preserve"> per cent</w:t>
      </w:r>
      <w:r>
        <w:t xml:space="preserve"> Use of Toilet (Toileting)</w:t>
      </w:r>
    </w:p>
    <w:p w:rsidR="00633082" w:rsidRDefault="00633082">
      <w:pPr>
        <w:spacing w:after="200"/>
        <w:jc w:val="left"/>
      </w:pPr>
      <w:r>
        <w:br w:type="page"/>
      </w:r>
    </w:p>
    <w:p w:rsidR="002E1694" w:rsidRDefault="00DF3488" w:rsidP="002E1694">
      <w:pPr>
        <w:pStyle w:val="Caption"/>
        <w:keepNext/>
      </w:pPr>
      <w:bookmarkStart w:id="637" w:name="_Toc495416846"/>
      <w:bookmarkStart w:id="638" w:name="Tab0902"/>
      <w:r>
        <w:lastRenderedPageBreak/>
        <w:t>Table 9.</w:t>
      </w:r>
      <w:r w:rsidR="009A3F5A">
        <w:fldChar w:fldCharType="begin"/>
      </w:r>
      <w:r w:rsidR="009A3F5A">
        <w:instrText xml:space="preserve"> SEQ Table_9. \* ARABIC </w:instrText>
      </w:r>
      <w:r w:rsidR="009A3F5A">
        <w:fldChar w:fldCharType="separate"/>
      </w:r>
      <w:r w:rsidR="00856E49">
        <w:rPr>
          <w:noProof/>
        </w:rPr>
        <w:t>2</w:t>
      </w:r>
      <w:r w:rsidR="009A3F5A">
        <w:rPr>
          <w:noProof/>
        </w:rPr>
        <w:fldChar w:fldCharType="end"/>
      </w:r>
      <w:r>
        <w:t xml:space="preserve">: </w:t>
      </w:r>
      <w:r w:rsidRPr="00DF3488">
        <w:t>ACFI ADL Domain Assistance Checklist Items showing growth</w:t>
      </w:r>
      <w:bookmarkEnd w:id="637"/>
    </w:p>
    <w:tbl>
      <w:tblPr>
        <w:tblStyle w:val="ListTable3-Accent515"/>
        <w:tblW w:w="9017"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9.2 is a list of percentages for the number of residents requiring full physical assistance for the activities of the activities of daily living (ADL) domain from 2010-2011 to 2015-2016, as summarised in the text prior to this table. This table is to be read left to right, top to bottom."/>
      </w:tblPr>
      <w:tblGrid>
        <w:gridCol w:w="1522"/>
        <w:gridCol w:w="1136"/>
        <w:gridCol w:w="1302"/>
        <w:gridCol w:w="1228"/>
        <w:gridCol w:w="1110"/>
        <w:gridCol w:w="1259"/>
        <w:gridCol w:w="1460"/>
      </w:tblGrid>
      <w:tr w:rsidR="00633082" w:rsidRPr="00434039" w:rsidTr="00E75CEC">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9017" w:type="dxa"/>
            <w:gridSpan w:val="7"/>
            <w:noWrap/>
          </w:tcPr>
          <w:bookmarkEnd w:id="638"/>
          <w:p w:rsidR="00633082" w:rsidRPr="00C615AA" w:rsidRDefault="00633082" w:rsidP="00633082">
            <w:pPr>
              <w:spacing w:after="0"/>
              <w:jc w:val="center"/>
              <w:rPr>
                <w:rFonts w:eastAsia="Times New Roman" w:cs="Arial"/>
                <w:sz w:val="22"/>
                <w:lang w:val="en-US"/>
              </w:rPr>
            </w:pPr>
            <w:r>
              <w:rPr>
                <w:rFonts w:eastAsia="Times New Roman" w:cs="Arial"/>
                <w:sz w:val="22"/>
                <w:lang w:val="en-US"/>
              </w:rPr>
              <w:t>Percentage of People A</w:t>
            </w:r>
            <w:r w:rsidRPr="00C615AA">
              <w:rPr>
                <w:rFonts w:eastAsia="Times New Roman" w:cs="Arial"/>
                <w:sz w:val="22"/>
                <w:lang w:val="en-US"/>
              </w:rPr>
              <w:t>ssessed as requiring Full Physical Assistance</w:t>
            </w:r>
          </w:p>
        </w:tc>
      </w:tr>
      <w:tr w:rsidR="004B0296" w:rsidRPr="00434039" w:rsidTr="000F0CD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22" w:type="dxa"/>
            <w:tcBorders>
              <w:top w:val="none" w:sz="0" w:space="0" w:color="auto"/>
              <w:bottom w:val="none" w:sz="0" w:space="0" w:color="auto"/>
              <w:right w:val="none" w:sz="0" w:space="0" w:color="auto"/>
            </w:tcBorders>
            <w:shd w:val="clear" w:color="auto" w:fill="DEEAF6" w:themeFill="accent5" w:themeFillTint="33"/>
            <w:noWrap/>
            <w:vAlign w:val="center"/>
            <w:hideMark/>
          </w:tcPr>
          <w:p w:rsidR="004B0296" w:rsidRPr="00F97AC2" w:rsidRDefault="004B0296" w:rsidP="00633082">
            <w:pPr>
              <w:spacing w:after="0"/>
              <w:jc w:val="left"/>
              <w:rPr>
                <w:rFonts w:eastAsia="Times New Roman" w:cs="Arial"/>
                <w:color w:val="000000"/>
                <w:sz w:val="22"/>
                <w:lang w:val="en-US"/>
              </w:rPr>
            </w:pPr>
            <w:r w:rsidRPr="00F97AC2">
              <w:rPr>
                <w:rFonts w:eastAsia="Times New Roman" w:cs="Arial"/>
                <w:color w:val="000000"/>
                <w:sz w:val="22"/>
                <w:lang w:val="en-US"/>
              </w:rPr>
              <w:t>Year</w:t>
            </w:r>
          </w:p>
        </w:tc>
        <w:tc>
          <w:tcPr>
            <w:cnfStyle w:val="000010000000" w:firstRow="0" w:lastRow="0" w:firstColumn="0" w:lastColumn="0" w:oddVBand="1" w:evenVBand="0" w:oddHBand="0" w:evenHBand="0" w:firstRowFirstColumn="0" w:firstRowLastColumn="0" w:lastRowFirstColumn="0" w:lastRowLastColumn="0"/>
            <w:tcW w:w="1136" w:type="dxa"/>
            <w:tcBorders>
              <w:top w:val="none" w:sz="0" w:space="0" w:color="auto"/>
              <w:left w:val="none" w:sz="0" w:space="0" w:color="auto"/>
              <w:bottom w:val="none" w:sz="0" w:space="0" w:color="auto"/>
              <w:right w:val="none" w:sz="0" w:space="0" w:color="auto"/>
            </w:tcBorders>
            <w:shd w:val="clear" w:color="auto" w:fill="DEEAF6" w:themeFill="accent5" w:themeFillTint="33"/>
            <w:noWrap/>
            <w:vAlign w:val="center"/>
            <w:hideMark/>
          </w:tcPr>
          <w:p w:rsidR="004B0296" w:rsidRPr="00C615AA" w:rsidRDefault="004B0296" w:rsidP="00633082">
            <w:pPr>
              <w:spacing w:after="0"/>
              <w:jc w:val="center"/>
              <w:rPr>
                <w:rFonts w:eastAsia="Times New Roman" w:cs="Arial"/>
                <w:b/>
                <w:color w:val="000000"/>
                <w:sz w:val="22"/>
                <w:lang w:val="en-US"/>
              </w:rPr>
            </w:pPr>
            <w:r w:rsidRPr="00C615AA">
              <w:rPr>
                <w:rFonts w:eastAsia="Times New Roman" w:cs="Arial"/>
                <w:b/>
                <w:color w:val="000000"/>
                <w:sz w:val="22"/>
                <w:lang w:val="en-US"/>
              </w:rPr>
              <w:t>Nutrition: Readiness to eat</w:t>
            </w:r>
          </w:p>
        </w:tc>
        <w:tc>
          <w:tcPr>
            <w:tcW w:w="1302" w:type="dxa"/>
            <w:tcBorders>
              <w:top w:val="none" w:sz="0" w:space="0" w:color="auto"/>
              <w:bottom w:val="none" w:sz="0" w:space="0" w:color="auto"/>
            </w:tcBorders>
            <w:shd w:val="clear" w:color="auto" w:fill="DEEAF6" w:themeFill="accent5" w:themeFillTint="33"/>
            <w:noWrap/>
            <w:vAlign w:val="center"/>
            <w:hideMark/>
          </w:tcPr>
          <w:p w:rsidR="004B0296" w:rsidRPr="00C615AA"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2"/>
                <w:lang w:val="en-US"/>
              </w:rPr>
            </w:pPr>
            <w:r w:rsidRPr="00C615AA">
              <w:rPr>
                <w:rFonts w:eastAsia="Times New Roman" w:cs="Arial"/>
                <w:b/>
                <w:color w:val="000000"/>
                <w:sz w:val="22"/>
                <w:lang w:val="en-US"/>
              </w:rPr>
              <w:t>Mobility: Transfers</w:t>
            </w:r>
          </w:p>
        </w:tc>
        <w:tc>
          <w:tcPr>
            <w:cnfStyle w:val="000010000000" w:firstRow="0" w:lastRow="0" w:firstColumn="0" w:lastColumn="0" w:oddVBand="1" w:evenVBand="0" w:oddHBand="0" w:evenHBand="0" w:firstRowFirstColumn="0" w:firstRowLastColumn="0" w:lastRowFirstColumn="0" w:lastRowLastColumn="0"/>
            <w:tcW w:w="1228" w:type="dxa"/>
            <w:tcBorders>
              <w:top w:val="none" w:sz="0" w:space="0" w:color="auto"/>
              <w:left w:val="none" w:sz="0" w:space="0" w:color="auto"/>
              <w:bottom w:val="none" w:sz="0" w:space="0" w:color="auto"/>
              <w:right w:val="none" w:sz="0" w:space="0" w:color="auto"/>
            </w:tcBorders>
            <w:shd w:val="clear" w:color="auto" w:fill="DEEAF6" w:themeFill="accent5" w:themeFillTint="33"/>
            <w:noWrap/>
            <w:vAlign w:val="center"/>
            <w:hideMark/>
          </w:tcPr>
          <w:p w:rsidR="004B0296" w:rsidRPr="00C615AA" w:rsidRDefault="004B0296" w:rsidP="00633082">
            <w:pPr>
              <w:spacing w:after="0"/>
              <w:jc w:val="center"/>
              <w:rPr>
                <w:rFonts w:eastAsia="Times New Roman" w:cs="Arial"/>
                <w:b/>
                <w:color w:val="000000"/>
                <w:sz w:val="22"/>
                <w:lang w:val="en-US"/>
              </w:rPr>
            </w:pPr>
            <w:r w:rsidRPr="00C615AA">
              <w:rPr>
                <w:rFonts w:eastAsia="Times New Roman" w:cs="Arial"/>
                <w:b/>
                <w:color w:val="000000"/>
                <w:sz w:val="22"/>
                <w:lang w:val="en-US"/>
              </w:rPr>
              <w:t>Mobility: Loco-motion</w:t>
            </w:r>
          </w:p>
        </w:tc>
        <w:tc>
          <w:tcPr>
            <w:tcW w:w="1110" w:type="dxa"/>
            <w:tcBorders>
              <w:top w:val="none" w:sz="0" w:space="0" w:color="auto"/>
              <w:bottom w:val="none" w:sz="0" w:space="0" w:color="auto"/>
            </w:tcBorders>
            <w:shd w:val="clear" w:color="auto" w:fill="DEEAF6" w:themeFill="accent5" w:themeFillTint="33"/>
            <w:noWrap/>
            <w:vAlign w:val="center"/>
            <w:hideMark/>
          </w:tcPr>
          <w:p w:rsidR="004B0296" w:rsidRPr="00C615AA"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2"/>
                <w:lang w:val="en-US"/>
              </w:rPr>
            </w:pPr>
            <w:r w:rsidRPr="00C615AA">
              <w:rPr>
                <w:rFonts w:eastAsia="Times New Roman" w:cs="Arial"/>
                <w:b/>
                <w:color w:val="000000"/>
                <w:sz w:val="22"/>
                <w:lang w:val="en-US"/>
              </w:rPr>
              <w:t>Toileting:</w:t>
            </w:r>
            <w:r w:rsidR="00633082">
              <w:rPr>
                <w:rFonts w:eastAsia="Times New Roman" w:cs="Arial"/>
                <w:b/>
                <w:color w:val="000000"/>
                <w:sz w:val="22"/>
                <w:lang w:val="en-US"/>
              </w:rPr>
              <w:t xml:space="preserve"> </w:t>
            </w:r>
            <w:r w:rsidRPr="00C615AA">
              <w:rPr>
                <w:rFonts w:eastAsia="Times New Roman" w:cs="Arial"/>
                <w:b/>
                <w:color w:val="000000"/>
                <w:sz w:val="22"/>
                <w:lang w:val="en-US"/>
              </w:rPr>
              <w:t>Toilet use</w:t>
            </w:r>
          </w:p>
        </w:tc>
        <w:tc>
          <w:tcPr>
            <w:cnfStyle w:val="000010000000" w:firstRow="0" w:lastRow="0" w:firstColumn="0" w:lastColumn="0" w:oddVBand="1" w:evenVBand="0" w:oddHBand="0" w:evenHBand="0" w:firstRowFirstColumn="0" w:firstRowLastColumn="0" w:lastRowFirstColumn="0" w:lastRowLastColumn="0"/>
            <w:tcW w:w="1259" w:type="dxa"/>
            <w:tcBorders>
              <w:top w:val="none" w:sz="0" w:space="0" w:color="auto"/>
              <w:left w:val="none" w:sz="0" w:space="0" w:color="auto"/>
              <w:bottom w:val="none" w:sz="0" w:space="0" w:color="auto"/>
              <w:right w:val="none" w:sz="0" w:space="0" w:color="auto"/>
            </w:tcBorders>
            <w:shd w:val="clear" w:color="auto" w:fill="DEEAF6" w:themeFill="accent5" w:themeFillTint="33"/>
            <w:noWrap/>
            <w:vAlign w:val="center"/>
            <w:hideMark/>
          </w:tcPr>
          <w:p w:rsidR="004B0296" w:rsidRPr="00C615AA" w:rsidRDefault="004B0296" w:rsidP="00633082">
            <w:pPr>
              <w:spacing w:after="0"/>
              <w:jc w:val="center"/>
              <w:rPr>
                <w:rFonts w:eastAsia="Times New Roman" w:cs="Arial"/>
                <w:b/>
                <w:color w:val="000000"/>
                <w:sz w:val="22"/>
                <w:lang w:val="en-US"/>
              </w:rPr>
            </w:pPr>
            <w:r w:rsidRPr="00C615AA">
              <w:rPr>
                <w:rFonts w:eastAsia="Times New Roman" w:cs="Arial"/>
                <w:b/>
                <w:color w:val="000000"/>
                <w:sz w:val="22"/>
                <w:lang w:val="en-US"/>
              </w:rPr>
              <w:t>Toileting:</w:t>
            </w:r>
            <w:r w:rsidR="00633082">
              <w:rPr>
                <w:rFonts w:eastAsia="Times New Roman" w:cs="Arial"/>
                <w:b/>
                <w:color w:val="000000"/>
                <w:sz w:val="22"/>
                <w:lang w:val="en-US"/>
              </w:rPr>
              <w:t xml:space="preserve"> </w:t>
            </w:r>
            <w:r w:rsidRPr="00C615AA">
              <w:rPr>
                <w:rFonts w:eastAsia="Times New Roman" w:cs="Arial"/>
                <w:b/>
                <w:color w:val="000000"/>
                <w:sz w:val="22"/>
                <w:lang w:val="en-US"/>
              </w:rPr>
              <w:t>Toilet completion</w:t>
            </w:r>
          </w:p>
        </w:tc>
        <w:tc>
          <w:tcPr>
            <w:tcW w:w="1460" w:type="dxa"/>
            <w:tcBorders>
              <w:top w:val="none" w:sz="0" w:space="0" w:color="auto"/>
              <w:bottom w:val="none" w:sz="0" w:space="0" w:color="auto"/>
            </w:tcBorders>
            <w:shd w:val="clear" w:color="auto" w:fill="DEEAF6" w:themeFill="accent5" w:themeFillTint="33"/>
            <w:noWrap/>
            <w:vAlign w:val="center"/>
            <w:hideMark/>
          </w:tcPr>
          <w:p w:rsidR="004B0296" w:rsidRPr="00C615AA"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2"/>
                <w:lang w:val="en-US"/>
              </w:rPr>
            </w:pPr>
            <w:r w:rsidRPr="00C615AA">
              <w:rPr>
                <w:rFonts w:eastAsia="Times New Roman" w:cs="Arial"/>
                <w:b/>
                <w:color w:val="000000"/>
                <w:sz w:val="22"/>
                <w:lang w:val="en-US"/>
              </w:rPr>
              <w:t>Continence:</w:t>
            </w:r>
            <w:r w:rsidR="00633082">
              <w:rPr>
                <w:rFonts w:eastAsia="Times New Roman" w:cs="Arial"/>
                <w:b/>
                <w:color w:val="000000"/>
                <w:sz w:val="22"/>
                <w:lang w:val="en-US"/>
              </w:rPr>
              <w:t xml:space="preserve"> </w:t>
            </w:r>
            <w:r w:rsidRPr="00C615AA">
              <w:rPr>
                <w:rFonts w:eastAsia="Times New Roman" w:cs="Arial"/>
                <w:b/>
                <w:color w:val="000000"/>
                <w:sz w:val="22"/>
                <w:lang w:val="en-US"/>
              </w:rPr>
              <w:t>Urine incontinence</w:t>
            </w:r>
          </w:p>
        </w:tc>
      </w:tr>
      <w:tr w:rsidR="004B0296" w:rsidRPr="00434039" w:rsidTr="00633082">
        <w:trPr>
          <w:trHeight w:val="285"/>
        </w:trPr>
        <w:tc>
          <w:tcPr>
            <w:cnfStyle w:val="001000000000" w:firstRow="0" w:lastRow="0" w:firstColumn="1" w:lastColumn="0" w:oddVBand="0" w:evenVBand="0" w:oddHBand="0" w:evenHBand="0" w:firstRowFirstColumn="0" w:firstRowLastColumn="0" w:lastRowFirstColumn="0" w:lastRowLastColumn="0"/>
            <w:tcW w:w="1522" w:type="dxa"/>
            <w:tcBorders>
              <w:right w:val="none" w:sz="0" w:space="0" w:color="auto"/>
            </w:tcBorders>
            <w:noWrap/>
            <w:hideMark/>
          </w:tcPr>
          <w:p w:rsidR="004B0296" w:rsidRPr="00F97AC2" w:rsidRDefault="004B0296" w:rsidP="00DD6610">
            <w:pPr>
              <w:spacing w:after="0"/>
              <w:rPr>
                <w:rFonts w:eastAsia="Times New Roman" w:cs="Arial"/>
                <w:color w:val="000000"/>
                <w:sz w:val="22"/>
                <w:lang w:val="en-US"/>
              </w:rPr>
            </w:pPr>
            <w:r w:rsidRPr="00F97AC2">
              <w:rPr>
                <w:rFonts w:eastAsia="Times New Roman" w:cs="Arial"/>
                <w:color w:val="000000"/>
                <w:sz w:val="22"/>
                <w:lang w:val="en-US"/>
              </w:rPr>
              <w:t>2010-11</w:t>
            </w:r>
          </w:p>
        </w:tc>
        <w:tc>
          <w:tcPr>
            <w:cnfStyle w:val="000010000000" w:firstRow="0" w:lastRow="0" w:firstColumn="0" w:lastColumn="0" w:oddVBand="1" w:evenVBand="0" w:oddHBand="0" w:evenHBand="0" w:firstRowFirstColumn="0" w:firstRowLastColumn="0" w:lastRowFirstColumn="0" w:lastRowLastColumn="0"/>
            <w:tcW w:w="1136" w:type="dxa"/>
            <w:tcBorders>
              <w:left w:val="none" w:sz="0" w:space="0" w:color="auto"/>
              <w:right w:val="none" w:sz="0" w:space="0" w:color="auto"/>
            </w:tcBorders>
            <w:noWrap/>
            <w:hideMark/>
          </w:tcPr>
          <w:p w:rsidR="004B0296" w:rsidRPr="00F97AC2" w:rsidRDefault="004B0296" w:rsidP="00633082">
            <w:pPr>
              <w:spacing w:after="0"/>
              <w:jc w:val="center"/>
              <w:rPr>
                <w:rFonts w:eastAsia="Times New Roman" w:cs="Arial"/>
                <w:color w:val="000000"/>
                <w:sz w:val="22"/>
                <w:lang w:val="en-US"/>
              </w:rPr>
            </w:pPr>
            <w:r>
              <w:rPr>
                <w:rFonts w:eastAsia="Times New Roman" w:cs="Arial"/>
                <w:color w:val="000000"/>
                <w:sz w:val="22"/>
                <w:lang w:val="en-US"/>
              </w:rPr>
              <w:t>64.1</w:t>
            </w:r>
            <w:r w:rsidRPr="00F97AC2">
              <w:rPr>
                <w:rFonts w:eastAsia="Times New Roman" w:cs="Arial"/>
                <w:color w:val="000000"/>
                <w:sz w:val="22"/>
                <w:lang w:val="en-US"/>
              </w:rPr>
              <w:t>%</w:t>
            </w:r>
          </w:p>
        </w:tc>
        <w:tc>
          <w:tcPr>
            <w:tcW w:w="1302" w:type="dxa"/>
            <w:noWrap/>
            <w:hideMark/>
          </w:tcPr>
          <w:p w:rsidR="004B0296" w:rsidRPr="00F97AC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en-US"/>
              </w:rPr>
            </w:pPr>
            <w:r w:rsidRPr="00F97AC2">
              <w:rPr>
                <w:rFonts w:eastAsia="Times New Roman" w:cs="Arial"/>
                <w:color w:val="000000"/>
                <w:sz w:val="22"/>
                <w:lang w:val="en-US"/>
              </w:rPr>
              <w:t>36.5%</w:t>
            </w:r>
          </w:p>
        </w:tc>
        <w:tc>
          <w:tcPr>
            <w:cnfStyle w:val="000010000000" w:firstRow="0" w:lastRow="0" w:firstColumn="0" w:lastColumn="0" w:oddVBand="1" w:evenVBand="0" w:oddHBand="0" w:evenHBand="0" w:firstRowFirstColumn="0" w:firstRowLastColumn="0" w:lastRowFirstColumn="0" w:lastRowLastColumn="0"/>
            <w:tcW w:w="1228" w:type="dxa"/>
            <w:tcBorders>
              <w:left w:val="none" w:sz="0" w:space="0" w:color="auto"/>
              <w:right w:val="none" w:sz="0" w:space="0" w:color="auto"/>
            </w:tcBorders>
            <w:noWrap/>
            <w:hideMark/>
          </w:tcPr>
          <w:p w:rsidR="004B0296" w:rsidRPr="00F97AC2" w:rsidRDefault="004B0296" w:rsidP="00633082">
            <w:pPr>
              <w:spacing w:after="0"/>
              <w:jc w:val="center"/>
              <w:rPr>
                <w:rFonts w:eastAsia="Times New Roman" w:cs="Arial"/>
                <w:color w:val="000000"/>
                <w:sz w:val="22"/>
                <w:lang w:val="en-US"/>
              </w:rPr>
            </w:pPr>
            <w:r>
              <w:rPr>
                <w:rFonts w:eastAsia="Times New Roman" w:cs="Arial"/>
                <w:color w:val="000000"/>
                <w:sz w:val="22"/>
                <w:lang w:val="en-US"/>
              </w:rPr>
              <w:t>46.7</w:t>
            </w:r>
            <w:r w:rsidRPr="00F97AC2">
              <w:rPr>
                <w:rFonts w:eastAsia="Times New Roman" w:cs="Arial"/>
                <w:color w:val="000000"/>
                <w:sz w:val="22"/>
                <w:lang w:val="en-US"/>
              </w:rPr>
              <w:t>%</w:t>
            </w:r>
          </w:p>
        </w:tc>
        <w:tc>
          <w:tcPr>
            <w:tcW w:w="1110" w:type="dxa"/>
            <w:noWrap/>
            <w:hideMark/>
          </w:tcPr>
          <w:p w:rsidR="004B0296" w:rsidRPr="00F97AC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en-US"/>
              </w:rPr>
            </w:pPr>
            <w:r>
              <w:rPr>
                <w:rFonts w:eastAsia="Times New Roman" w:cs="Arial"/>
                <w:color w:val="000000"/>
                <w:sz w:val="22"/>
                <w:lang w:val="en-US"/>
              </w:rPr>
              <w:t>58.4</w:t>
            </w:r>
            <w:r w:rsidRPr="00F97AC2">
              <w:rPr>
                <w:rFonts w:eastAsia="Times New Roman" w:cs="Arial"/>
                <w:color w:val="000000"/>
                <w:sz w:val="22"/>
                <w:lang w:val="en-US"/>
              </w:rPr>
              <w:t>%</w:t>
            </w:r>
          </w:p>
        </w:tc>
        <w:tc>
          <w:tcPr>
            <w:cnfStyle w:val="000010000000" w:firstRow="0" w:lastRow="0" w:firstColumn="0" w:lastColumn="0" w:oddVBand="1" w:evenVBand="0" w:oddHBand="0" w:evenHBand="0" w:firstRowFirstColumn="0" w:firstRowLastColumn="0" w:lastRowFirstColumn="0" w:lastRowLastColumn="0"/>
            <w:tcW w:w="1259" w:type="dxa"/>
            <w:tcBorders>
              <w:left w:val="none" w:sz="0" w:space="0" w:color="auto"/>
              <w:right w:val="none" w:sz="0" w:space="0" w:color="auto"/>
            </w:tcBorders>
            <w:noWrap/>
            <w:hideMark/>
          </w:tcPr>
          <w:p w:rsidR="004B0296" w:rsidRPr="00F97AC2" w:rsidRDefault="004B0296" w:rsidP="00633082">
            <w:pPr>
              <w:spacing w:after="0"/>
              <w:jc w:val="center"/>
              <w:rPr>
                <w:rFonts w:eastAsia="Times New Roman" w:cs="Arial"/>
                <w:color w:val="000000"/>
                <w:sz w:val="22"/>
                <w:lang w:val="en-US"/>
              </w:rPr>
            </w:pPr>
            <w:r w:rsidRPr="00F97AC2">
              <w:rPr>
                <w:rFonts w:eastAsia="Times New Roman" w:cs="Arial"/>
                <w:color w:val="000000"/>
                <w:sz w:val="22"/>
                <w:lang w:val="en-US"/>
              </w:rPr>
              <w:t>64.5%</w:t>
            </w:r>
          </w:p>
        </w:tc>
        <w:tc>
          <w:tcPr>
            <w:tcW w:w="1460" w:type="dxa"/>
            <w:noWrap/>
            <w:hideMark/>
          </w:tcPr>
          <w:p w:rsidR="004B0296" w:rsidRPr="00F97AC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en-US"/>
              </w:rPr>
            </w:pPr>
            <w:r>
              <w:rPr>
                <w:rFonts w:eastAsia="Times New Roman" w:cs="Arial"/>
                <w:color w:val="000000"/>
                <w:sz w:val="22"/>
                <w:lang w:val="en-US"/>
              </w:rPr>
              <w:t>58.3</w:t>
            </w:r>
            <w:r w:rsidRPr="00F97AC2">
              <w:rPr>
                <w:rFonts w:eastAsia="Times New Roman" w:cs="Arial"/>
                <w:color w:val="000000"/>
                <w:sz w:val="22"/>
                <w:lang w:val="en-US"/>
              </w:rPr>
              <w:t>%</w:t>
            </w:r>
          </w:p>
        </w:tc>
      </w:tr>
      <w:tr w:rsidR="004B0296" w:rsidRPr="00434039" w:rsidTr="0063308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22" w:type="dxa"/>
            <w:tcBorders>
              <w:top w:val="none" w:sz="0" w:space="0" w:color="auto"/>
              <w:bottom w:val="none" w:sz="0" w:space="0" w:color="auto"/>
              <w:right w:val="none" w:sz="0" w:space="0" w:color="auto"/>
            </w:tcBorders>
            <w:noWrap/>
            <w:hideMark/>
          </w:tcPr>
          <w:p w:rsidR="004B0296" w:rsidRPr="00F97AC2" w:rsidRDefault="004B0296" w:rsidP="00DD6610">
            <w:pPr>
              <w:spacing w:after="0"/>
              <w:rPr>
                <w:rFonts w:eastAsia="Times New Roman" w:cs="Arial"/>
                <w:color w:val="000000"/>
                <w:sz w:val="22"/>
                <w:lang w:val="en-US"/>
              </w:rPr>
            </w:pPr>
            <w:r w:rsidRPr="00F97AC2">
              <w:rPr>
                <w:rFonts w:eastAsia="Times New Roman" w:cs="Arial"/>
                <w:color w:val="000000"/>
                <w:sz w:val="22"/>
                <w:lang w:val="en-US"/>
              </w:rPr>
              <w:t>2011-12</w:t>
            </w:r>
          </w:p>
        </w:tc>
        <w:tc>
          <w:tcPr>
            <w:cnfStyle w:val="000010000000" w:firstRow="0" w:lastRow="0" w:firstColumn="0" w:lastColumn="0" w:oddVBand="1" w:evenVBand="0" w:oddHBand="0" w:evenHBand="0" w:firstRowFirstColumn="0" w:firstRowLastColumn="0" w:lastRowFirstColumn="0" w:lastRowLastColumn="0"/>
            <w:tcW w:w="1136" w:type="dxa"/>
            <w:tcBorders>
              <w:top w:val="none" w:sz="0" w:space="0" w:color="auto"/>
              <w:left w:val="none" w:sz="0" w:space="0" w:color="auto"/>
              <w:bottom w:val="none" w:sz="0" w:space="0" w:color="auto"/>
              <w:right w:val="none" w:sz="0" w:space="0" w:color="auto"/>
            </w:tcBorders>
            <w:noWrap/>
            <w:hideMark/>
          </w:tcPr>
          <w:p w:rsidR="004B0296" w:rsidRPr="00F97AC2" w:rsidRDefault="004B0296" w:rsidP="00633082">
            <w:pPr>
              <w:spacing w:after="0"/>
              <w:jc w:val="center"/>
              <w:rPr>
                <w:rFonts w:eastAsia="Times New Roman" w:cs="Arial"/>
                <w:color w:val="000000"/>
                <w:sz w:val="22"/>
                <w:lang w:val="en-US"/>
              </w:rPr>
            </w:pPr>
            <w:r>
              <w:rPr>
                <w:rFonts w:eastAsia="Times New Roman" w:cs="Arial"/>
                <w:color w:val="000000"/>
                <w:sz w:val="22"/>
                <w:lang w:val="en-US"/>
              </w:rPr>
              <w:t>68.1</w:t>
            </w:r>
            <w:r w:rsidRPr="00F97AC2">
              <w:rPr>
                <w:rFonts w:eastAsia="Times New Roman" w:cs="Arial"/>
                <w:color w:val="000000"/>
                <w:sz w:val="22"/>
                <w:lang w:val="en-US"/>
              </w:rPr>
              <w:t>%</w:t>
            </w:r>
          </w:p>
        </w:tc>
        <w:tc>
          <w:tcPr>
            <w:tcW w:w="1302" w:type="dxa"/>
            <w:tcBorders>
              <w:top w:val="none" w:sz="0" w:space="0" w:color="auto"/>
              <w:bottom w:val="none" w:sz="0" w:space="0" w:color="auto"/>
            </w:tcBorders>
            <w:noWrap/>
            <w:hideMark/>
          </w:tcPr>
          <w:p w:rsidR="004B0296" w:rsidRPr="00F97AC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en-US"/>
              </w:rPr>
            </w:pPr>
            <w:r>
              <w:rPr>
                <w:rFonts w:eastAsia="Times New Roman" w:cs="Arial"/>
                <w:color w:val="000000"/>
                <w:sz w:val="22"/>
                <w:lang w:val="en-US"/>
              </w:rPr>
              <w:t>38.5</w:t>
            </w:r>
            <w:r w:rsidRPr="00F97AC2">
              <w:rPr>
                <w:rFonts w:eastAsia="Times New Roman" w:cs="Arial"/>
                <w:color w:val="000000"/>
                <w:sz w:val="22"/>
                <w:lang w:val="en-US"/>
              </w:rPr>
              <w:t>%</w:t>
            </w:r>
          </w:p>
        </w:tc>
        <w:tc>
          <w:tcPr>
            <w:cnfStyle w:val="000010000000" w:firstRow="0" w:lastRow="0" w:firstColumn="0" w:lastColumn="0" w:oddVBand="1" w:evenVBand="0" w:oddHBand="0" w:evenHBand="0" w:firstRowFirstColumn="0" w:firstRowLastColumn="0" w:lastRowFirstColumn="0" w:lastRowLastColumn="0"/>
            <w:tcW w:w="1228" w:type="dxa"/>
            <w:tcBorders>
              <w:top w:val="none" w:sz="0" w:space="0" w:color="auto"/>
              <w:left w:val="none" w:sz="0" w:space="0" w:color="auto"/>
              <w:bottom w:val="none" w:sz="0" w:space="0" w:color="auto"/>
              <w:right w:val="none" w:sz="0" w:space="0" w:color="auto"/>
            </w:tcBorders>
            <w:noWrap/>
            <w:hideMark/>
          </w:tcPr>
          <w:p w:rsidR="004B0296" w:rsidRPr="00F97AC2" w:rsidRDefault="004B0296" w:rsidP="00633082">
            <w:pPr>
              <w:spacing w:after="0"/>
              <w:jc w:val="center"/>
              <w:rPr>
                <w:rFonts w:eastAsia="Times New Roman" w:cs="Arial"/>
                <w:color w:val="000000"/>
                <w:sz w:val="22"/>
                <w:lang w:val="en-US"/>
              </w:rPr>
            </w:pPr>
            <w:r>
              <w:rPr>
                <w:rFonts w:eastAsia="Times New Roman" w:cs="Arial"/>
                <w:color w:val="000000"/>
                <w:sz w:val="22"/>
                <w:lang w:val="en-US"/>
              </w:rPr>
              <w:t>48.7</w:t>
            </w:r>
            <w:r w:rsidRPr="00F97AC2">
              <w:rPr>
                <w:rFonts w:eastAsia="Times New Roman" w:cs="Arial"/>
                <w:color w:val="000000"/>
                <w:sz w:val="22"/>
                <w:lang w:val="en-US"/>
              </w:rPr>
              <w:t>%</w:t>
            </w:r>
          </w:p>
        </w:tc>
        <w:tc>
          <w:tcPr>
            <w:tcW w:w="1110" w:type="dxa"/>
            <w:tcBorders>
              <w:top w:val="none" w:sz="0" w:space="0" w:color="auto"/>
              <w:bottom w:val="none" w:sz="0" w:space="0" w:color="auto"/>
            </w:tcBorders>
            <w:noWrap/>
            <w:hideMark/>
          </w:tcPr>
          <w:p w:rsidR="004B0296" w:rsidRPr="00F97AC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en-US"/>
              </w:rPr>
            </w:pPr>
            <w:r>
              <w:rPr>
                <w:rFonts w:eastAsia="Times New Roman" w:cs="Arial"/>
                <w:color w:val="000000"/>
                <w:sz w:val="22"/>
                <w:lang w:val="en-US"/>
              </w:rPr>
              <w:t>61.3</w:t>
            </w:r>
            <w:r w:rsidRPr="00F97AC2">
              <w:rPr>
                <w:rFonts w:eastAsia="Times New Roman" w:cs="Arial"/>
                <w:color w:val="000000"/>
                <w:sz w:val="22"/>
                <w:lang w:val="en-US"/>
              </w:rPr>
              <w:t>%</w:t>
            </w:r>
          </w:p>
        </w:tc>
        <w:tc>
          <w:tcPr>
            <w:cnfStyle w:val="000010000000" w:firstRow="0" w:lastRow="0" w:firstColumn="0" w:lastColumn="0" w:oddVBand="1" w:evenVBand="0" w:oddHBand="0" w:evenHBand="0" w:firstRowFirstColumn="0" w:firstRowLastColumn="0" w:lastRowFirstColumn="0" w:lastRowLastColumn="0"/>
            <w:tcW w:w="1259" w:type="dxa"/>
            <w:tcBorders>
              <w:top w:val="none" w:sz="0" w:space="0" w:color="auto"/>
              <w:left w:val="none" w:sz="0" w:space="0" w:color="auto"/>
              <w:bottom w:val="none" w:sz="0" w:space="0" w:color="auto"/>
              <w:right w:val="none" w:sz="0" w:space="0" w:color="auto"/>
            </w:tcBorders>
            <w:noWrap/>
            <w:hideMark/>
          </w:tcPr>
          <w:p w:rsidR="004B0296" w:rsidRPr="00F97AC2" w:rsidRDefault="004B0296" w:rsidP="00633082">
            <w:pPr>
              <w:spacing w:after="0"/>
              <w:jc w:val="center"/>
              <w:rPr>
                <w:rFonts w:eastAsia="Times New Roman" w:cs="Arial"/>
                <w:color w:val="000000"/>
                <w:sz w:val="22"/>
                <w:lang w:val="en-US"/>
              </w:rPr>
            </w:pPr>
            <w:r>
              <w:rPr>
                <w:rFonts w:eastAsia="Times New Roman" w:cs="Arial"/>
                <w:color w:val="000000"/>
                <w:sz w:val="22"/>
                <w:lang w:val="en-US"/>
              </w:rPr>
              <w:t>68.4</w:t>
            </w:r>
            <w:r w:rsidRPr="00F97AC2">
              <w:rPr>
                <w:rFonts w:eastAsia="Times New Roman" w:cs="Arial"/>
                <w:color w:val="000000"/>
                <w:sz w:val="22"/>
                <w:lang w:val="en-US"/>
              </w:rPr>
              <w:t>%</w:t>
            </w:r>
          </w:p>
        </w:tc>
        <w:tc>
          <w:tcPr>
            <w:tcW w:w="1460" w:type="dxa"/>
            <w:tcBorders>
              <w:top w:val="none" w:sz="0" w:space="0" w:color="auto"/>
              <w:bottom w:val="none" w:sz="0" w:space="0" w:color="auto"/>
            </w:tcBorders>
            <w:noWrap/>
            <w:hideMark/>
          </w:tcPr>
          <w:p w:rsidR="004B0296" w:rsidRPr="00F97AC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en-US"/>
              </w:rPr>
            </w:pPr>
            <w:r>
              <w:rPr>
                <w:rFonts w:eastAsia="Times New Roman" w:cs="Arial"/>
                <w:color w:val="000000"/>
                <w:sz w:val="22"/>
                <w:lang w:val="en-US"/>
              </w:rPr>
              <w:t>60.9</w:t>
            </w:r>
            <w:r w:rsidRPr="00F97AC2">
              <w:rPr>
                <w:rFonts w:eastAsia="Times New Roman" w:cs="Arial"/>
                <w:color w:val="000000"/>
                <w:sz w:val="22"/>
                <w:lang w:val="en-US"/>
              </w:rPr>
              <w:t>%</w:t>
            </w:r>
          </w:p>
        </w:tc>
      </w:tr>
      <w:tr w:rsidR="004B0296" w:rsidRPr="00434039" w:rsidTr="00633082">
        <w:trPr>
          <w:trHeight w:val="285"/>
        </w:trPr>
        <w:tc>
          <w:tcPr>
            <w:cnfStyle w:val="001000000000" w:firstRow="0" w:lastRow="0" w:firstColumn="1" w:lastColumn="0" w:oddVBand="0" w:evenVBand="0" w:oddHBand="0" w:evenHBand="0" w:firstRowFirstColumn="0" w:firstRowLastColumn="0" w:lastRowFirstColumn="0" w:lastRowLastColumn="0"/>
            <w:tcW w:w="1522" w:type="dxa"/>
            <w:tcBorders>
              <w:right w:val="none" w:sz="0" w:space="0" w:color="auto"/>
            </w:tcBorders>
            <w:noWrap/>
            <w:hideMark/>
          </w:tcPr>
          <w:p w:rsidR="004B0296" w:rsidRPr="00F97AC2" w:rsidRDefault="004B0296" w:rsidP="00DD6610">
            <w:pPr>
              <w:spacing w:after="0"/>
              <w:rPr>
                <w:rFonts w:eastAsia="Times New Roman" w:cs="Arial"/>
                <w:color w:val="000000"/>
                <w:sz w:val="22"/>
                <w:lang w:val="en-US"/>
              </w:rPr>
            </w:pPr>
            <w:r w:rsidRPr="00F97AC2">
              <w:rPr>
                <w:rFonts w:eastAsia="Times New Roman" w:cs="Arial"/>
                <w:color w:val="000000"/>
                <w:sz w:val="22"/>
                <w:lang w:val="en-US"/>
              </w:rPr>
              <w:t>2012-13</w:t>
            </w:r>
          </w:p>
        </w:tc>
        <w:tc>
          <w:tcPr>
            <w:cnfStyle w:val="000010000000" w:firstRow="0" w:lastRow="0" w:firstColumn="0" w:lastColumn="0" w:oddVBand="1" w:evenVBand="0" w:oddHBand="0" w:evenHBand="0" w:firstRowFirstColumn="0" w:firstRowLastColumn="0" w:lastRowFirstColumn="0" w:lastRowLastColumn="0"/>
            <w:tcW w:w="1136" w:type="dxa"/>
            <w:tcBorders>
              <w:left w:val="none" w:sz="0" w:space="0" w:color="auto"/>
              <w:right w:val="none" w:sz="0" w:space="0" w:color="auto"/>
            </w:tcBorders>
            <w:noWrap/>
            <w:hideMark/>
          </w:tcPr>
          <w:p w:rsidR="004B0296" w:rsidRPr="00F97AC2" w:rsidRDefault="004B0296" w:rsidP="00633082">
            <w:pPr>
              <w:spacing w:after="0"/>
              <w:jc w:val="center"/>
              <w:rPr>
                <w:rFonts w:eastAsia="Times New Roman" w:cs="Arial"/>
                <w:color w:val="000000"/>
                <w:sz w:val="22"/>
                <w:lang w:val="en-US"/>
              </w:rPr>
            </w:pPr>
            <w:r>
              <w:rPr>
                <w:rFonts w:eastAsia="Times New Roman" w:cs="Arial"/>
                <w:color w:val="000000"/>
                <w:sz w:val="22"/>
                <w:lang w:val="en-US"/>
              </w:rPr>
              <w:t>70.1</w:t>
            </w:r>
            <w:r w:rsidRPr="00F97AC2">
              <w:rPr>
                <w:rFonts w:eastAsia="Times New Roman" w:cs="Arial"/>
                <w:color w:val="000000"/>
                <w:sz w:val="22"/>
                <w:lang w:val="en-US"/>
              </w:rPr>
              <w:t>%</w:t>
            </w:r>
          </w:p>
        </w:tc>
        <w:tc>
          <w:tcPr>
            <w:tcW w:w="1302" w:type="dxa"/>
            <w:noWrap/>
            <w:hideMark/>
          </w:tcPr>
          <w:p w:rsidR="004B0296" w:rsidRPr="00F97AC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en-US"/>
              </w:rPr>
            </w:pPr>
            <w:r w:rsidRPr="00F97AC2">
              <w:rPr>
                <w:rFonts w:eastAsia="Times New Roman" w:cs="Arial"/>
                <w:color w:val="000000"/>
                <w:sz w:val="22"/>
                <w:lang w:val="en-US"/>
              </w:rPr>
              <w:t>39.2%</w:t>
            </w:r>
          </w:p>
        </w:tc>
        <w:tc>
          <w:tcPr>
            <w:cnfStyle w:val="000010000000" w:firstRow="0" w:lastRow="0" w:firstColumn="0" w:lastColumn="0" w:oddVBand="1" w:evenVBand="0" w:oddHBand="0" w:evenHBand="0" w:firstRowFirstColumn="0" w:firstRowLastColumn="0" w:lastRowFirstColumn="0" w:lastRowLastColumn="0"/>
            <w:tcW w:w="1228" w:type="dxa"/>
            <w:tcBorders>
              <w:left w:val="none" w:sz="0" w:space="0" w:color="auto"/>
              <w:right w:val="none" w:sz="0" w:space="0" w:color="auto"/>
            </w:tcBorders>
            <w:noWrap/>
            <w:hideMark/>
          </w:tcPr>
          <w:p w:rsidR="004B0296" w:rsidRPr="00F97AC2" w:rsidRDefault="004B0296" w:rsidP="00633082">
            <w:pPr>
              <w:spacing w:after="0"/>
              <w:jc w:val="center"/>
              <w:rPr>
                <w:rFonts w:eastAsia="Times New Roman" w:cs="Arial"/>
                <w:color w:val="000000"/>
                <w:sz w:val="22"/>
                <w:lang w:val="en-US"/>
              </w:rPr>
            </w:pPr>
            <w:r>
              <w:rPr>
                <w:rFonts w:eastAsia="Times New Roman" w:cs="Arial"/>
                <w:color w:val="000000"/>
                <w:sz w:val="22"/>
                <w:lang w:val="en-US"/>
              </w:rPr>
              <w:t>49.6</w:t>
            </w:r>
            <w:r w:rsidRPr="00F97AC2">
              <w:rPr>
                <w:rFonts w:eastAsia="Times New Roman" w:cs="Arial"/>
                <w:color w:val="000000"/>
                <w:sz w:val="22"/>
                <w:lang w:val="en-US"/>
              </w:rPr>
              <w:t>%</w:t>
            </w:r>
          </w:p>
        </w:tc>
        <w:tc>
          <w:tcPr>
            <w:tcW w:w="1110" w:type="dxa"/>
            <w:noWrap/>
            <w:hideMark/>
          </w:tcPr>
          <w:p w:rsidR="004B0296" w:rsidRPr="00F97AC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en-US"/>
              </w:rPr>
            </w:pPr>
            <w:r>
              <w:rPr>
                <w:rFonts w:eastAsia="Times New Roman" w:cs="Arial"/>
                <w:color w:val="000000"/>
                <w:sz w:val="22"/>
                <w:lang w:val="en-US"/>
              </w:rPr>
              <w:t>62.5</w:t>
            </w:r>
            <w:r w:rsidRPr="00F97AC2">
              <w:rPr>
                <w:rFonts w:eastAsia="Times New Roman" w:cs="Arial"/>
                <w:color w:val="000000"/>
                <w:sz w:val="22"/>
                <w:lang w:val="en-US"/>
              </w:rPr>
              <w:t>%</w:t>
            </w:r>
          </w:p>
        </w:tc>
        <w:tc>
          <w:tcPr>
            <w:cnfStyle w:val="000010000000" w:firstRow="0" w:lastRow="0" w:firstColumn="0" w:lastColumn="0" w:oddVBand="1" w:evenVBand="0" w:oddHBand="0" w:evenHBand="0" w:firstRowFirstColumn="0" w:firstRowLastColumn="0" w:lastRowFirstColumn="0" w:lastRowLastColumn="0"/>
            <w:tcW w:w="1259" w:type="dxa"/>
            <w:tcBorders>
              <w:left w:val="none" w:sz="0" w:space="0" w:color="auto"/>
              <w:right w:val="none" w:sz="0" w:space="0" w:color="auto"/>
            </w:tcBorders>
            <w:noWrap/>
            <w:hideMark/>
          </w:tcPr>
          <w:p w:rsidR="004B0296" w:rsidRPr="00F97AC2" w:rsidRDefault="004B0296" w:rsidP="00633082">
            <w:pPr>
              <w:spacing w:after="0"/>
              <w:jc w:val="center"/>
              <w:rPr>
                <w:rFonts w:eastAsia="Times New Roman" w:cs="Arial"/>
                <w:color w:val="000000"/>
                <w:sz w:val="22"/>
                <w:lang w:val="en-US"/>
              </w:rPr>
            </w:pPr>
            <w:r>
              <w:rPr>
                <w:rFonts w:eastAsia="Times New Roman" w:cs="Arial"/>
                <w:color w:val="000000"/>
                <w:sz w:val="22"/>
                <w:lang w:val="en-US"/>
              </w:rPr>
              <w:t>70.3</w:t>
            </w:r>
            <w:r w:rsidRPr="00F97AC2">
              <w:rPr>
                <w:rFonts w:eastAsia="Times New Roman" w:cs="Arial"/>
                <w:color w:val="000000"/>
                <w:sz w:val="22"/>
                <w:lang w:val="en-US"/>
              </w:rPr>
              <w:t>%</w:t>
            </w:r>
          </w:p>
        </w:tc>
        <w:tc>
          <w:tcPr>
            <w:tcW w:w="1460" w:type="dxa"/>
            <w:noWrap/>
            <w:hideMark/>
          </w:tcPr>
          <w:p w:rsidR="004B0296" w:rsidRPr="00F97AC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en-US"/>
              </w:rPr>
            </w:pPr>
            <w:r>
              <w:rPr>
                <w:rFonts w:eastAsia="Times New Roman" w:cs="Arial"/>
                <w:color w:val="000000"/>
                <w:sz w:val="22"/>
                <w:lang w:val="en-US"/>
              </w:rPr>
              <w:t>62.2</w:t>
            </w:r>
            <w:r w:rsidRPr="00F97AC2">
              <w:rPr>
                <w:rFonts w:eastAsia="Times New Roman" w:cs="Arial"/>
                <w:color w:val="000000"/>
                <w:sz w:val="22"/>
                <w:lang w:val="en-US"/>
              </w:rPr>
              <w:t>%</w:t>
            </w:r>
          </w:p>
        </w:tc>
      </w:tr>
      <w:tr w:rsidR="004B0296" w:rsidRPr="00434039" w:rsidTr="0063308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22" w:type="dxa"/>
            <w:tcBorders>
              <w:top w:val="none" w:sz="0" w:space="0" w:color="auto"/>
              <w:bottom w:val="none" w:sz="0" w:space="0" w:color="auto"/>
              <w:right w:val="none" w:sz="0" w:space="0" w:color="auto"/>
            </w:tcBorders>
            <w:noWrap/>
            <w:hideMark/>
          </w:tcPr>
          <w:p w:rsidR="004B0296" w:rsidRPr="00F97AC2" w:rsidRDefault="004B0296" w:rsidP="00DD6610">
            <w:pPr>
              <w:spacing w:after="0"/>
              <w:rPr>
                <w:rFonts w:eastAsia="Times New Roman" w:cs="Arial"/>
                <w:color w:val="000000"/>
                <w:sz w:val="22"/>
                <w:lang w:val="en-US"/>
              </w:rPr>
            </w:pPr>
            <w:r w:rsidRPr="00F97AC2">
              <w:rPr>
                <w:rFonts w:eastAsia="Times New Roman" w:cs="Arial"/>
                <w:color w:val="000000"/>
                <w:sz w:val="22"/>
                <w:lang w:val="en-US"/>
              </w:rPr>
              <w:t>2013-14</w:t>
            </w:r>
          </w:p>
        </w:tc>
        <w:tc>
          <w:tcPr>
            <w:cnfStyle w:val="000010000000" w:firstRow="0" w:lastRow="0" w:firstColumn="0" w:lastColumn="0" w:oddVBand="1" w:evenVBand="0" w:oddHBand="0" w:evenHBand="0" w:firstRowFirstColumn="0" w:firstRowLastColumn="0" w:lastRowFirstColumn="0" w:lastRowLastColumn="0"/>
            <w:tcW w:w="1136" w:type="dxa"/>
            <w:tcBorders>
              <w:top w:val="none" w:sz="0" w:space="0" w:color="auto"/>
              <w:left w:val="none" w:sz="0" w:space="0" w:color="auto"/>
              <w:bottom w:val="none" w:sz="0" w:space="0" w:color="auto"/>
              <w:right w:val="none" w:sz="0" w:space="0" w:color="auto"/>
            </w:tcBorders>
            <w:noWrap/>
            <w:hideMark/>
          </w:tcPr>
          <w:p w:rsidR="004B0296" w:rsidRPr="00F97AC2" w:rsidRDefault="004B0296" w:rsidP="00633082">
            <w:pPr>
              <w:spacing w:after="0"/>
              <w:jc w:val="center"/>
              <w:rPr>
                <w:rFonts w:eastAsia="Times New Roman" w:cs="Arial"/>
                <w:color w:val="000000"/>
                <w:sz w:val="22"/>
                <w:lang w:val="en-US"/>
              </w:rPr>
            </w:pPr>
            <w:r>
              <w:rPr>
                <w:rFonts w:eastAsia="Times New Roman" w:cs="Arial"/>
                <w:color w:val="000000"/>
                <w:sz w:val="22"/>
                <w:lang w:val="en-US"/>
              </w:rPr>
              <w:t>72.7</w:t>
            </w:r>
            <w:r w:rsidRPr="00F97AC2">
              <w:rPr>
                <w:rFonts w:eastAsia="Times New Roman" w:cs="Arial"/>
                <w:color w:val="000000"/>
                <w:sz w:val="22"/>
                <w:lang w:val="en-US"/>
              </w:rPr>
              <w:t>%</w:t>
            </w:r>
          </w:p>
        </w:tc>
        <w:tc>
          <w:tcPr>
            <w:tcW w:w="1302" w:type="dxa"/>
            <w:tcBorders>
              <w:top w:val="none" w:sz="0" w:space="0" w:color="auto"/>
              <w:bottom w:val="none" w:sz="0" w:space="0" w:color="auto"/>
            </w:tcBorders>
            <w:noWrap/>
            <w:hideMark/>
          </w:tcPr>
          <w:p w:rsidR="004B0296" w:rsidRPr="00F97AC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en-US"/>
              </w:rPr>
            </w:pPr>
            <w:r w:rsidRPr="00F97AC2">
              <w:rPr>
                <w:rFonts w:eastAsia="Times New Roman" w:cs="Arial"/>
                <w:color w:val="000000"/>
                <w:sz w:val="22"/>
                <w:lang w:val="en-US"/>
              </w:rPr>
              <w:t>40.8%</w:t>
            </w:r>
          </w:p>
        </w:tc>
        <w:tc>
          <w:tcPr>
            <w:cnfStyle w:val="000010000000" w:firstRow="0" w:lastRow="0" w:firstColumn="0" w:lastColumn="0" w:oddVBand="1" w:evenVBand="0" w:oddHBand="0" w:evenHBand="0" w:firstRowFirstColumn="0" w:firstRowLastColumn="0" w:lastRowFirstColumn="0" w:lastRowLastColumn="0"/>
            <w:tcW w:w="1228" w:type="dxa"/>
            <w:tcBorders>
              <w:top w:val="none" w:sz="0" w:space="0" w:color="auto"/>
              <w:left w:val="none" w:sz="0" w:space="0" w:color="auto"/>
              <w:bottom w:val="none" w:sz="0" w:space="0" w:color="auto"/>
              <w:right w:val="none" w:sz="0" w:space="0" w:color="auto"/>
            </w:tcBorders>
            <w:noWrap/>
            <w:hideMark/>
          </w:tcPr>
          <w:p w:rsidR="004B0296" w:rsidRPr="00F97AC2" w:rsidRDefault="004B0296" w:rsidP="00633082">
            <w:pPr>
              <w:spacing w:after="0"/>
              <w:jc w:val="center"/>
              <w:rPr>
                <w:rFonts w:eastAsia="Times New Roman" w:cs="Arial"/>
                <w:color w:val="000000"/>
                <w:sz w:val="22"/>
                <w:lang w:val="en-US"/>
              </w:rPr>
            </w:pPr>
            <w:r>
              <w:rPr>
                <w:rFonts w:eastAsia="Times New Roman" w:cs="Arial"/>
                <w:color w:val="000000"/>
                <w:sz w:val="22"/>
                <w:lang w:val="en-US"/>
              </w:rPr>
              <w:t>51.2</w:t>
            </w:r>
            <w:r w:rsidRPr="00F97AC2">
              <w:rPr>
                <w:rFonts w:eastAsia="Times New Roman" w:cs="Arial"/>
                <w:color w:val="000000"/>
                <w:sz w:val="22"/>
                <w:lang w:val="en-US"/>
              </w:rPr>
              <w:t>%</w:t>
            </w:r>
          </w:p>
        </w:tc>
        <w:tc>
          <w:tcPr>
            <w:tcW w:w="1110" w:type="dxa"/>
            <w:tcBorders>
              <w:top w:val="none" w:sz="0" w:space="0" w:color="auto"/>
              <w:bottom w:val="none" w:sz="0" w:space="0" w:color="auto"/>
            </w:tcBorders>
            <w:noWrap/>
            <w:hideMark/>
          </w:tcPr>
          <w:p w:rsidR="004B0296" w:rsidRPr="00F97AC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en-US"/>
              </w:rPr>
            </w:pPr>
            <w:r>
              <w:rPr>
                <w:rFonts w:eastAsia="Times New Roman" w:cs="Arial"/>
                <w:color w:val="000000"/>
                <w:sz w:val="22"/>
                <w:lang w:val="en-US"/>
              </w:rPr>
              <w:t>64.4</w:t>
            </w:r>
            <w:r w:rsidRPr="00F97AC2">
              <w:rPr>
                <w:rFonts w:eastAsia="Times New Roman" w:cs="Arial"/>
                <w:color w:val="000000"/>
                <w:sz w:val="22"/>
                <w:lang w:val="en-US"/>
              </w:rPr>
              <w:t>%</w:t>
            </w:r>
          </w:p>
        </w:tc>
        <w:tc>
          <w:tcPr>
            <w:cnfStyle w:val="000010000000" w:firstRow="0" w:lastRow="0" w:firstColumn="0" w:lastColumn="0" w:oddVBand="1" w:evenVBand="0" w:oddHBand="0" w:evenHBand="0" w:firstRowFirstColumn="0" w:firstRowLastColumn="0" w:lastRowFirstColumn="0" w:lastRowLastColumn="0"/>
            <w:tcW w:w="1259" w:type="dxa"/>
            <w:tcBorders>
              <w:top w:val="none" w:sz="0" w:space="0" w:color="auto"/>
              <w:left w:val="none" w:sz="0" w:space="0" w:color="auto"/>
              <w:bottom w:val="none" w:sz="0" w:space="0" w:color="auto"/>
              <w:right w:val="none" w:sz="0" w:space="0" w:color="auto"/>
            </w:tcBorders>
            <w:noWrap/>
            <w:hideMark/>
          </w:tcPr>
          <w:p w:rsidR="004B0296" w:rsidRPr="00F97AC2" w:rsidRDefault="004B0296" w:rsidP="00633082">
            <w:pPr>
              <w:spacing w:after="0"/>
              <w:jc w:val="center"/>
              <w:rPr>
                <w:rFonts w:eastAsia="Times New Roman" w:cs="Arial"/>
                <w:color w:val="000000"/>
                <w:sz w:val="22"/>
                <w:lang w:val="en-US"/>
              </w:rPr>
            </w:pPr>
            <w:r>
              <w:rPr>
                <w:rFonts w:eastAsia="Times New Roman" w:cs="Arial"/>
                <w:color w:val="000000"/>
                <w:sz w:val="22"/>
                <w:lang w:val="en-US"/>
              </w:rPr>
              <w:t>73.2</w:t>
            </w:r>
            <w:r w:rsidRPr="00F97AC2">
              <w:rPr>
                <w:rFonts w:eastAsia="Times New Roman" w:cs="Arial"/>
                <w:color w:val="000000"/>
                <w:sz w:val="22"/>
                <w:lang w:val="en-US"/>
              </w:rPr>
              <w:t>%</w:t>
            </w:r>
          </w:p>
        </w:tc>
        <w:tc>
          <w:tcPr>
            <w:tcW w:w="1460" w:type="dxa"/>
            <w:tcBorders>
              <w:top w:val="none" w:sz="0" w:space="0" w:color="auto"/>
              <w:bottom w:val="none" w:sz="0" w:space="0" w:color="auto"/>
            </w:tcBorders>
            <w:noWrap/>
            <w:hideMark/>
          </w:tcPr>
          <w:p w:rsidR="004B0296" w:rsidRPr="00F97AC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en-US"/>
              </w:rPr>
            </w:pPr>
            <w:r>
              <w:rPr>
                <w:rFonts w:eastAsia="Times New Roman" w:cs="Arial"/>
                <w:color w:val="000000"/>
                <w:sz w:val="22"/>
                <w:lang w:val="en-US"/>
              </w:rPr>
              <w:t>64.5</w:t>
            </w:r>
            <w:r w:rsidRPr="00F97AC2">
              <w:rPr>
                <w:rFonts w:eastAsia="Times New Roman" w:cs="Arial"/>
                <w:color w:val="000000"/>
                <w:sz w:val="22"/>
                <w:lang w:val="en-US"/>
              </w:rPr>
              <w:t>%</w:t>
            </w:r>
          </w:p>
        </w:tc>
      </w:tr>
      <w:tr w:rsidR="004B0296" w:rsidRPr="00434039" w:rsidTr="00633082">
        <w:trPr>
          <w:trHeight w:val="285"/>
        </w:trPr>
        <w:tc>
          <w:tcPr>
            <w:cnfStyle w:val="001000000000" w:firstRow="0" w:lastRow="0" w:firstColumn="1" w:lastColumn="0" w:oddVBand="0" w:evenVBand="0" w:oddHBand="0" w:evenHBand="0" w:firstRowFirstColumn="0" w:firstRowLastColumn="0" w:lastRowFirstColumn="0" w:lastRowLastColumn="0"/>
            <w:tcW w:w="1522" w:type="dxa"/>
            <w:tcBorders>
              <w:right w:val="none" w:sz="0" w:space="0" w:color="auto"/>
            </w:tcBorders>
            <w:noWrap/>
            <w:hideMark/>
          </w:tcPr>
          <w:p w:rsidR="004B0296" w:rsidRPr="00F97AC2" w:rsidRDefault="004B0296" w:rsidP="00DD6610">
            <w:pPr>
              <w:spacing w:after="0"/>
              <w:rPr>
                <w:rFonts w:eastAsia="Times New Roman" w:cs="Arial"/>
                <w:color w:val="000000"/>
                <w:sz w:val="22"/>
                <w:lang w:val="en-US"/>
              </w:rPr>
            </w:pPr>
            <w:r w:rsidRPr="00F97AC2">
              <w:rPr>
                <w:rFonts w:eastAsia="Times New Roman" w:cs="Arial"/>
                <w:color w:val="000000"/>
                <w:sz w:val="22"/>
                <w:lang w:val="en-US"/>
              </w:rPr>
              <w:t>2014-15</w:t>
            </w:r>
          </w:p>
        </w:tc>
        <w:tc>
          <w:tcPr>
            <w:cnfStyle w:val="000010000000" w:firstRow="0" w:lastRow="0" w:firstColumn="0" w:lastColumn="0" w:oddVBand="1" w:evenVBand="0" w:oddHBand="0" w:evenHBand="0" w:firstRowFirstColumn="0" w:firstRowLastColumn="0" w:lastRowFirstColumn="0" w:lastRowLastColumn="0"/>
            <w:tcW w:w="1136" w:type="dxa"/>
            <w:tcBorders>
              <w:left w:val="none" w:sz="0" w:space="0" w:color="auto"/>
              <w:right w:val="none" w:sz="0" w:space="0" w:color="auto"/>
            </w:tcBorders>
            <w:noWrap/>
            <w:hideMark/>
          </w:tcPr>
          <w:p w:rsidR="004B0296" w:rsidRPr="00F97AC2" w:rsidRDefault="004B0296" w:rsidP="00633082">
            <w:pPr>
              <w:spacing w:after="0"/>
              <w:jc w:val="center"/>
              <w:rPr>
                <w:rFonts w:eastAsia="Times New Roman" w:cs="Arial"/>
                <w:color w:val="000000"/>
                <w:sz w:val="22"/>
                <w:lang w:val="en-US"/>
              </w:rPr>
            </w:pPr>
            <w:r>
              <w:rPr>
                <w:rFonts w:eastAsia="Times New Roman" w:cs="Arial"/>
                <w:color w:val="000000"/>
                <w:sz w:val="22"/>
                <w:lang w:val="en-US"/>
              </w:rPr>
              <w:t>76.7</w:t>
            </w:r>
            <w:r w:rsidRPr="00F97AC2">
              <w:rPr>
                <w:rFonts w:eastAsia="Times New Roman" w:cs="Arial"/>
                <w:color w:val="000000"/>
                <w:sz w:val="22"/>
                <w:lang w:val="en-US"/>
              </w:rPr>
              <w:t>%</w:t>
            </w:r>
          </w:p>
        </w:tc>
        <w:tc>
          <w:tcPr>
            <w:tcW w:w="1302" w:type="dxa"/>
            <w:noWrap/>
            <w:hideMark/>
          </w:tcPr>
          <w:p w:rsidR="004B0296" w:rsidRPr="00F97AC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en-US"/>
              </w:rPr>
            </w:pPr>
            <w:r>
              <w:rPr>
                <w:rFonts w:eastAsia="Times New Roman" w:cs="Arial"/>
                <w:color w:val="000000"/>
                <w:sz w:val="22"/>
                <w:lang w:val="en-US"/>
              </w:rPr>
              <w:t>44.0</w:t>
            </w:r>
            <w:r w:rsidRPr="00F97AC2">
              <w:rPr>
                <w:rFonts w:eastAsia="Times New Roman" w:cs="Arial"/>
                <w:color w:val="000000"/>
                <w:sz w:val="22"/>
                <w:lang w:val="en-US"/>
              </w:rPr>
              <w:t>%</w:t>
            </w:r>
          </w:p>
        </w:tc>
        <w:tc>
          <w:tcPr>
            <w:cnfStyle w:val="000010000000" w:firstRow="0" w:lastRow="0" w:firstColumn="0" w:lastColumn="0" w:oddVBand="1" w:evenVBand="0" w:oddHBand="0" w:evenHBand="0" w:firstRowFirstColumn="0" w:firstRowLastColumn="0" w:lastRowFirstColumn="0" w:lastRowLastColumn="0"/>
            <w:tcW w:w="1228" w:type="dxa"/>
            <w:tcBorders>
              <w:left w:val="none" w:sz="0" w:space="0" w:color="auto"/>
              <w:right w:val="none" w:sz="0" w:space="0" w:color="auto"/>
            </w:tcBorders>
            <w:noWrap/>
            <w:hideMark/>
          </w:tcPr>
          <w:p w:rsidR="004B0296" w:rsidRPr="00F97AC2" w:rsidRDefault="004B0296" w:rsidP="00633082">
            <w:pPr>
              <w:spacing w:after="0"/>
              <w:jc w:val="center"/>
              <w:rPr>
                <w:rFonts w:eastAsia="Times New Roman" w:cs="Arial"/>
                <w:color w:val="000000"/>
                <w:sz w:val="22"/>
                <w:lang w:val="en-US"/>
              </w:rPr>
            </w:pPr>
            <w:r>
              <w:rPr>
                <w:rFonts w:eastAsia="Times New Roman" w:cs="Arial"/>
                <w:color w:val="000000"/>
                <w:sz w:val="22"/>
                <w:lang w:val="en-US"/>
              </w:rPr>
              <w:t>54.7</w:t>
            </w:r>
            <w:r w:rsidRPr="00F97AC2">
              <w:rPr>
                <w:rFonts w:eastAsia="Times New Roman" w:cs="Arial"/>
                <w:color w:val="000000"/>
                <w:sz w:val="22"/>
                <w:lang w:val="en-US"/>
              </w:rPr>
              <w:t>%</w:t>
            </w:r>
          </w:p>
        </w:tc>
        <w:tc>
          <w:tcPr>
            <w:tcW w:w="1110" w:type="dxa"/>
            <w:noWrap/>
            <w:hideMark/>
          </w:tcPr>
          <w:p w:rsidR="004B0296" w:rsidRPr="00F97AC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en-US"/>
              </w:rPr>
            </w:pPr>
            <w:r>
              <w:rPr>
                <w:rFonts w:eastAsia="Times New Roman" w:cs="Arial"/>
                <w:color w:val="000000"/>
                <w:sz w:val="22"/>
                <w:lang w:val="en-US"/>
              </w:rPr>
              <w:t>67.8</w:t>
            </w:r>
            <w:r w:rsidRPr="00F97AC2">
              <w:rPr>
                <w:rFonts w:eastAsia="Times New Roman" w:cs="Arial"/>
                <w:color w:val="000000"/>
                <w:sz w:val="22"/>
                <w:lang w:val="en-US"/>
              </w:rPr>
              <w:t>%</w:t>
            </w:r>
          </w:p>
        </w:tc>
        <w:tc>
          <w:tcPr>
            <w:cnfStyle w:val="000010000000" w:firstRow="0" w:lastRow="0" w:firstColumn="0" w:lastColumn="0" w:oddVBand="1" w:evenVBand="0" w:oddHBand="0" w:evenHBand="0" w:firstRowFirstColumn="0" w:firstRowLastColumn="0" w:lastRowFirstColumn="0" w:lastRowLastColumn="0"/>
            <w:tcW w:w="1259" w:type="dxa"/>
            <w:tcBorders>
              <w:left w:val="none" w:sz="0" w:space="0" w:color="auto"/>
              <w:right w:val="none" w:sz="0" w:space="0" w:color="auto"/>
            </w:tcBorders>
            <w:noWrap/>
            <w:hideMark/>
          </w:tcPr>
          <w:p w:rsidR="004B0296" w:rsidRPr="00F97AC2" w:rsidRDefault="004B0296" w:rsidP="00633082">
            <w:pPr>
              <w:spacing w:after="0"/>
              <w:jc w:val="center"/>
              <w:rPr>
                <w:rFonts w:eastAsia="Times New Roman" w:cs="Arial"/>
                <w:color w:val="000000"/>
                <w:sz w:val="22"/>
                <w:lang w:val="en-US"/>
              </w:rPr>
            </w:pPr>
            <w:r>
              <w:rPr>
                <w:rFonts w:eastAsia="Times New Roman" w:cs="Arial"/>
                <w:color w:val="000000"/>
                <w:sz w:val="22"/>
                <w:lang w:val="en-US"/>
              </w:rPr>
              <w:t>77.9</w:t>
            </w:r>
            <w:r w:rsidRPr="00F97AC2">
              <w:rPr>
                <w:rFonts w:eastAsia="Times New Roman" w:cs="Arial"/>
                <w:color w:val="000000"/>
                <w:sz w:val="22"/>
                <w:lang w:val="en-US"/>
              </w:rPr>
              <w:t>%</w:t>
            </w:r>
          </w:p>
        </w:tc>
        <w:tc>
          <w:tcPr>
            <w:tcW w:w="1460" w:type="dxa"/>
            <w:noWrap/>
            <w:hideMark/>
          </w:tcPr>
          <w:p w:rsidR="004B0296" w:rsidRPr="00F97AC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en-US"/>
              </w:rPr>
            </w:pPr>
            <w:r>
              <w:rPr>
                <w:rFonts w:eastAsia="Times New Roman" w:cs="Arial"/>
                <w:color w:val="000000"/>
                <w:sz w:val="22"/>
                <w:lang w:val="en-US"/>
              </w:rPr>
              <w:t>68.6</w:t>
            </w:r>
            <w:r w:rsidRPr="00F97AC2">
              <w:rPr>
                <w:rFonts w:eastAsia="Times New Roman" w:cs="Arial"/>
                <w:color w:val="000000"/>
                <w:sz w:val="22"/>
                <w:lang w:val="en-US"/>
              </w:rPr>
              <w:t>%</w:t>
            </w:r>
          </w:p>
        </w:tc>
      </w:tr>
      <w:tr w:rsidR="004B0296" w:rsidRPr="00434039" w:rsidTr="0063308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22" w:type="dxa"/>
            <w:tcBorders>
              <w:top w:val="none" w:sz="0" w:space="0" w:color="auto"/>
              <w:bottom w:val="none" w:sz="0" w:space="0" w:color="auto"/>
              <w:right w:val="none" w:sz="0" w:space="0" w:color="auto"/>
            </w:tcBorders>
            <w:noWrap/>
            <w:hideMark/>
          </w:tcPr>
          <w:p w:rsidR="004B0296" w:rsidRPr="00F97AC2" w:rsidRDefault="004B0296" w:rsidP="00DD6610">
            <w:pPr>
              <w:spacing w:after="0"/>
              <w:rPr>
                <w:rFonts w:eastAsia="Times New Roman" w:cs="Arial"/>
                <w:color w:val="000000"/>
                <w:sz w:val="22"/>
                <w:lang w:val="en-US"/>
              </w:rPr>
            </w:pPr>
            <w:r w:rsidRPr="00F97AC2">
              <w:rPr>
                <w:rFonts w:eastAsia="Times New Roman" w:cs="Arial"/>
                <w:color w:val="000000"/>
                <w:sz w:val="22"/>
                <w:lang w:val="en-US"/>
              </w:rPr>
              <w:t>2015-16</w:t>
            </w:r>
          </w:p>
        </w:tc>
        <w:tc>
          <w:tcPr>
            <w:cnfStyle w:val="000010000000" w:firstRow="0" w:lastRow="0" w:firstColumn="0" w:lastColumn="0" w:oddVBand="1" w:evenVBand="0" w:oddHBand="0" w:evenHBand="0" w:firstRowFirstColumn="0" w:firstRowLastColumn="0" w:lastRowFirstColumn="0" w:lastRowLastColumn="0"/>
            <w:tcW w:w="1136" w:type="dxa"/>
            <w:tcBorders>
              <w:top w:val="none" w:sz="0" w:space="0" w:color="auto"/>
              <w:left w:val="none" w:sz="0" w:space="0" w:color="auto"/>
              <w:bottom w:val="none" w:sz="0" w:space="0" w:color="auto"/>
              <w:right w:val="none" w:sz="0" w:space="0" w:color="auto"/>
            </w:tcBorders>
            <w:noWrap/>
            <w:hideMark/>
          </w:tcPr>
          <w:p w:rsidR="004B0296" w:rsidRPr="00F97AC2" w:rsidRDefault="004B0296" w:rsidP="00633082">
            <w:pPr>
              <w:spacing w:after="0"/>
              <w:jc w:val="center"/>
              <w:rPr>
                <w:rFonts w:eastAsia="Times New Roman" w:cs="Arial"/>
                <w:color w:val="000000"/>
                <w:sz w:val="22"/>
                <w:lang w:val="en-US"/>
              </w:rPr>
            </w:pPr>
            <w:r w:rsidRPr="00F97AC2">
              <w:rPr>
                <w:rFonts w:eastAsia="Times New Roman" w:cs="Arial"/>
                <w:color w:val="000000"/>
                <w:sz w:val="22"/>
                <w:lang w:val="en-US"/>
              </w:rPr>
              <w:t>80.7%</w:t>
            </w:r>
          </w:p>
        </w:tc>
        <w:tc>
          <w:tcPr>
            <w:tcW w:w="1302" w:type="dxa"/>
            <w:tcBorders>
              <w:top w:val="none" w:sz="0" w:space="0" w:color="auto"/>
              <w:bottom w:val="none" w:sz="0" w:space="0" w:color="auto"/>
            </w:tcBorders>
            <w:noWrap/>
            <w:hideMark/>
          </w:tcPr>
          <w:p w:rsidR="004B0296" w:rsidRPr="00F97AC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en-US"/>
              </w:rPr>
            </w:pPr>
            <w:r>
              <w:rPr>
                <w:rFonts w:eastAsia="Times New Roman" w:cs="Arial"/>
                <w:color w:val="000000"/>
                <w:sz w:val="22"/>
                <w:lang w:val="en-US"/>
              </w:rPr>
              <w:t>48.0</w:t>
            </w:r>
            <w:r w:rsidRPr="00F97AC2">
              <w:rPr>
                <w:rFonts w:eastAsia="Times New Roman" w:cs="Arial"/>
                <w:color w:val="000000"/>
                <w:sz w:val="22"/>
                <w:lang w:val="en-US"/>
              </w:rPr>
              <w:t>%</w:t>
            </w:r>
          </w:p>
        </w:tc>
        <w:tc>
          <w:tcPr>
            <w:cnfStyle w:val="000010000000" w:firstRow="0" w:lastRow="0" w:firstColumn="0" w:lastColumn="0" w:oddVBand="1" w:evenVBand="0" w:oddHBand="0" w:evenHBand="0" w:firstRowFirstColumn="0" w:firstRowLastColumn="0" w:lastRowFirstColumn="0" w:lastRowLastColumn="0"/>
            <w:tcW w:w="1228" w:type="dxa"/>
            <w:tcBorders>
              <w:top w:val="none" w:sz="0" w:space="0" w:color="auto"/>
              <w:left w:val="none" w:sz="0" w:space="0" w:color="auto"/>
              <w:bottom w:val="none" w:sz="0" w:space="0" w:color="auto"/>
              <w:right w:val="none" w:sz="0" w:space="0" w:color="auto"/>
            </w:tcBorders>
            <w:noWrap/>
            <w:hideMark/>
          </w:tcPr>
          <w:p w:rsidR="004B0296" w:rsidRPr="00F97AC2" w:rsidRDefault="004B0296" w:rsidP="00633082">
            <w:pPr>
              <w:spacing w:after="0"/>
              <w:jc w:val="center"/>
              <w:rPr>
                <w:rFonts w:eastAsia="Times New Roman" w:cs="Arial"/>
                <w:color w:val="000000"/>
                <w:sz w:val="22"/>
                <w:lang w:val="en-US"/>
              </w:rPr>
            </w:pPr>
            <w:r>
              <w:rPr>
                <w:rFonts w:eastAsia="Times New Roman" w:cs="Arial"/>
                <w:color w:val="000000"/>
                <w:sz w:val="22"/>
                <w:lang w:val="en-US"/>
              </w:rPr>
              <w:t>58.9</w:t>
            </w:r>
            <w:r w:rsidRPr="00F97AC2">
              <w:rPr>
                <w:rFonts w:eastAsia="Times New Roman" w:cs="Arial"/>
                <w:color w:val="000000"/>
                <w:sz w:val="22"/>
                <w:lang w:val="en-US"/>
              </w:rPr>
              <w:t>%</w:t>
            </w:r>
          </w:p>
        </w:tc>
        <w:tc>
          <w:tcPr>
            <w:tcW w:w="1110" w:type="dxa"/>
            <w:tcBorders>
              <w:top w:val="none" w:sz="0" w:space="0" w:color="auto"/>
              <w:bottom w:val="none" w:sz="0" w:space="0" w:color="auto"/>
            </w:tcBorders>
            <w:noWrap/>
            <w:hideMark/>
          </w:tcPr>
          <w:p w:rsidR="004B0296" w:rsidRPr="00F97AC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en-US"/>
              </w:rPr>
            </w:pPr>
            <w:r w:rsidRPr="00F97AC2">
              <w:rPr>
                <w:rFonts w:eastAsia="Times New Roman" w:cs="Arial"/>
                <w:color w:val="000000"/>
                <w:sz w:val="22"/>
                <w:lang w:val="en-US"/>
              </w:rPr>
              <w:t>71.9%</w:t>
            </w:r>
          </w:p>
        </w:tc>
        <w:tc>
          <w:tcPr>
            <w:cnfStyle w:val="000010000000" w:firstRow="0" w:lastRow="0" w:firstColumn="0" w:lastColumn="0" w:oddVBand="1" w:evenVBand="0" w:oddHBand="0" w:evenHBand="0" w:firstRowFirstColumn="0" w:firstRowLastColumn="0" w:lastRowFirstColumn="0" w:lastRowLastColumn="0"/>
            <w:tcW w:w="1259" w:type="dxa"/>
            <w:tcBorders>
              <w:top w:val="none" w:sz="0" w:space="0" w:color="auto"/>
              <w:left w:val="none" w:sz="0" w:space="0" w:color="auto"/>
              <w:bottom w:val="none" w:sz="0" w:space="0" w:color="auto"/>
              <w:right w:val="none" w:sz="0" w:space="0" w:color="auto"/>
            </w:tcBorders>
            <w:noWrap/>
            <w:hideMark/>
          </w:tcPr>
          <w:p w:rsidR="004B0296" w:rsidRPr="00F97AC2" w:rsidRDefault="004B0296" w:rsidP="00633082">
            <w:pPr>
              <w:spacing w:after="0"/>
              <w:jc w:val="center"/>
              <w:rPr>
                <w:rFonts w:eastAsia="Times New Roman" w:cs="Arial"/>
                <w:color w:val="000000"/>
                <w:sz w:val="22"/>
                <w:lang w:val="en-US"/>
              </w:rPr>
            </w:pPr>
            <w:r>
              <w:rPr>
                <w:rFonts w:eastAsia="Times New Roman" w:cs="Arial"/>
                <w:color w:val="000000"/>
                <w:sz w:val="22"/>
                <w:lang w:val="en-US"/>
              </w:rPr>
              <w:t>82.1</w:t>
            </w:r>
            <w:r w:rsidRPr="00F97AC2">
              <w:rPr>
                <w:rFonts w:eastAsia="Times New Roman" w:cs="Arial"/>
                <w:color w:val="000000"/>
                <w:sz w:val="22"/>
                <w:lang w:val="en-US"/>
              </w:rPr>
              <w:t>%</w:t>
            </w:r>
          </w:p>
        </w:tc>
        <w:tc>
          <w:tcPr>
            <w:tcW w:w="1460" w:type="dxa"/>
            <w:tcBorders>
              <w:top w:val="none" w:sz="0" w:space="0" w:color="auto"/>
              <w:bottom w:val="none" w:sz="0" w:space="0" w:color="auto"/>
            </w:tcBorders>
            <w:noWrap/>
            <w:hideMark/>
          </w:tcPr>
          <w:p w:rsidR="004B0296" w:rsidRPr="00F97AC2" w:rsidRDefault="004B0296" w:rsidP="0063308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en-US"/>
              </w:rPr>
            </w:pPr>
            <w:r>
              <w:rPr>
                <w:rFonts w:eastAsia="Times New Roman" w:cs="Arial"/>
                <w:color w:val="000000"/>
                <w:sz w:val="22"/>
                <w:lang w:val="en-US"/>
              </w:rPr>
              <w:t>72.4</w:t>
            </w:r>
            <w:r w:rsidRPr="00F97AC2">
              <w:rPr>
                <w:rFonts w:eastAsia="Times New Roman" w:cs="Arial"/>
                <w:color w:val="000000"/>
                <w:sz w:val="22"/>
                <w:lang w:val="en-US"/>
              </w:rPr>
              <w:t>%</w:t>
            </w:r>
          </w:p>
        </w:tc>
      </w:tr>
      <w:tr w:rsidR="004B0296" w:rsidRPr="00434039" w:rsidTr="00751A15">
        <w:trPr>
          <w:trHeight w:val="285"/>
        </w:trPr>
        <w:tc>
          <w:tcPr>
            <w:cnfStyle w:val="001000000000" w:firstRow="0" w:lastRow="0" w:firstColumn="1" w:lastColumn="0" w:oddVBand="0" w:evenVBand="0" w:oddHBand="0" w:evenHBand="0" w:firstRowFirstColumn="0" w:firstRowLastColumn="0" w:lastRowFirstColumn="0" w:lastRowLastColumn="0"/>
            <w:tcW w:w="1522" w:type="dxa"/>
            <w:tcBorders>
              <w:right w:val="none" w:sz="0" w:space="0" w:color="auto"/>
            </w:tcBorders>
            <w:shd w:val="clear" w:color="auto" w:fill="auto"/>
            <w:noWrap/>
            <w:hideMark/>
          </w:tcPr>
          <w:p w:rsidR="004B0296" w:rsidRPr="00F97AC2" w:rsidRDefault="004B0296" w:rsidP="00633082">
            <w:pPr>
              <w:spacing w:after="0"/>
              <w:rPr>
                <w:rFonts w:eastAsia="Times New Roman" w:cs="Arial"/>
                <w:color w:val="000000"/>
                <w:sz w:val="22"/>
                <w:lang w:val="en-US"/>
              </w:rPr>
            </w:pPr>
            <w:r w:rsidRPr="00434039">
              <w:rPr>
                <w:rFonts w:eastAsia="Times New Roman" w:cs="Arial"/>
                <w:color w:val="000000"/>
                <w:sz w:val="22"/>
                <w:lang w:val="en-US"/>
              </w:rPr>
              <w:t xml:space="preserve">6-year </w:t>
            </w:r>
            <w:r>
              <w:rPr>
                <w:rFonts w:eastAsia="Times New Roman" w:cs="Arial"/>
                <w:color w:val="000000"/>
                <w:sz w:val="22"/>
                <w:lang w:val="en-US"/>
              </w:rPr>
              <w:t>growth</w:t>
            </w:r>
          </w:p>
        </w:tc>
        <w:tc>
          <w:tcPr>
            <w:cnfStyle w:val="000010000000" w:firstRow="0" w:lastRow="0" w:firstColumn="0" w:lastColumn="0" w:oddVBand="1" w:evenVBand="0" w:oddHBand="0" w:evenHBand="0" w:firstRowFirstColumn="0" w:firstRowLastColumn="0" w:lastRowFirstColumn="0" w:lastRowLastColumn="0"/>
            <w:tcW w:w="1136" w:type="dxa"/>
            <w:tcBorders>
              <w:left w:val="none" w:sz="0" w:space="0" w:color="auto"/>
              <w:right w:val="none" w:sz="0" w:space="0" w:color="auto"/>
            </w:tcBorders>
            <w:shd w:val="clear" w:color="auto" w:fill="auto"/>
            <w:noWrap/>
            <w:hideMark/>
          </w:tcPr>
          <w:p w:rsidR="004B0296" w:rsidRPr="00F97AC2" w:rsidRDefault="004B0296" w:rsidP="00633082">
            <w:pPr>
              <w:spacing w:after="0"/>
              <w:jc w:val="center"/>
              <w:rPr>
                <w:rFonts w:eastAsia="Times New Roman" w:cs="Arial"/>
                <w:b/>
                <w:color w:val="000000"/>
                <w:sz w:val="22"/>
                <w:lang w:val="en-US"/>
              </w:rPr>
            </w:pPr>
            <w:r w:rsidRPr="00F97AC2">
              <w:rPr>
                <w:rFonts w:eastAsia="Times New Roman" w:cs="Arial"/>
                <w:b/>
                <w:color w:val="000000"/>
                <w:sz w:val="22"/>
                <w:lang w:val="en-US"/>
              </w:rPr>
              <w:t>25.8%</w:t>
            </w:r>
          </w:p>
        </w:tc>
        <w:tc>
          <w:tcPr>
            <w:tcW w:w="1302" w:type="dxa"/>
            <w:shd w:val="clear" w:color="auto" w:fill="auto"/>
            <w:noWrap/>
            <w:hideMark/>
          </w:tcPr>
          <w:p w:rsidR="004B0296" w:rsidRPr="00F97AC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2"/>
                <w:lang w:val="en-US"/>
              </w:rPr>
            </w:pPr>
            <w:r w:rsidRPr="00F97AC2">
              <w:rPr>
                <w:rFonts w:eastAsia="Times New Roman" w:cs="Arial"/>
                <w:b/>
                <w:color w:val="000000"/>
                <w:sz w:val="22"/>
                <w:lang w:val="en-US"/>
              </w:rPr>
              <w:t>31.7%</w:t>
            </w:r>
          </w:p>
        </w:tc>
        <w:tc>
          <w:tcPr>
            <w:cnfStyle w:val="000010000000" w:firstRow="0" w:lastRow="0" w:firstColumn="0" w:lastColumn="0" w:oddVBand="1" w:evenVBand="0" w:oddHBand="0" w:evenHBand="0" w:firstRowFirstColumn="0" w:firstRowLastColumn="0" w:lastRowFirstColumn="0" w:lastRowLastColumn="0"/>
            <w:tcW w:w="1228" w:type="dxa"/>
            <w:tcBorders>
              <w:left w:val="none" w:sz="0" w:space="0" w:color="auto"/>
              <w:right w:val="none" w:sz="0" w:space="0" w:color="auto"/>
            </w:tcBorders>
            <w:shd w:val="clear" w:color="auto" w:fill="auto"/>
            <w:noWrap/>
            <w:hideMark/>
          </w:tcPr>
          <w:p w:rsidR="004B0296" w:rsidRPr="00F97AC2" w:rsidRDefault="004B0296" w:rsidP="00633082">
            <w:pPr>
              <w:spacing w:after="0"/>
              <w:jc w:val="center"/>
              <w:rPr>
                <w:rFonts w:eastAsia="Times New Roman" w:cs="Arial"/>
                <w:b/>
                <w:color w:val="000000"/>
                <w:sz w:val="22"/>
                <w:lang w:val="en-US"/>
              </w:rPr>
            </w:pPr>
            <w:r>
              <w:rPr>
                <w:rFonts w:eastAsia="Times New Roman" w:cs="Arial"/>
                <w:b/>
                <w:color w:val="000000"/>
                <w:sz w:val="22"/>
                <w:lang w:val="en-US"/>
              </w:rPr>
              <w:t>26.0</w:t>
            </w:r>
            <w:r w:rsidRPr="00F97AC2">
              <w:rPr>
                <w:rFonts w:eastAsia="Times New Roman" w:cs="Arial"/>
                <w:b/>
                <w:color w:val="000000"/>
                <w:sz w:val="22"/>
                <w:lang w:val="en-US"/>
              </w:rPr>
              <w:t>%</w:t>
            </w:r>
          </w:p>
        </w:tc>
        <w:tc>
          <w:tcPr>
            <w:tcW w:w="1110" w:type="dxa"/>
            <w:shd w:val="clear" w:color="auto" w:fill="auto"/>
            <w:noWrap/>
            <w:hideMark/>
          </w:tcPr>
          <w:p w:rsidR="004B0296" w:rsidRPr="00F97AC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2"/>
                <w:lang w:val="en-US"/>
              </w:rPr>
            </w:pPr>
            <w:r w:rsidRPr="00F97AC2">
              <w:rPr>
                <w:rFonts w:eastAsia="Times New Roman" w:cs="Arial"/>
                <w:b/>
                <w:color w:val="000000"/>
                <w:sz w:val="22"/>
                <w:lang w:val="en-US"/>
              </w:rPr>
              <w:t>22.9%</w:t>
            </w:r>
          </w:p>
        </w:tc>
        <w:tc>
          <w:tcPr>
            <w:cnfStyle w:val="000010000000" w:firstRow="0" w:lastRow="0" w:firstColumn="0" w:lastColumn="0" w:oddVBand="1" w:evenVBand="0" w:oddHBand="0" w:evenHBand="0" w:firstRowFirstColumn="0" w:firstRowLastColumn="0" w:lastRowFirstColumn="0" w:lastRowLastColumn="0"/>
            <w:tcW w:w="1259" w:type="dxa"/>
            <w:tcBorders>
              <w:left w:val="none" w:sz="0" w:space="0" w:color="auto"/>
              <w:right w:val="none" w:sz="0" w:space="0" w:color="auto"/>
            </w:tcBorders>
            <w:shd w:val="clear" w:color="auto" w:fill="auto"/>
            <w:noWrap/>
            <w:hideMark/>
          </w:tcPr>
          <w:p w:rsidR="004B0296" w:rsidRPr="00F97AC2" w:rsidRDefault="004B0296" w:rsidP="00633082">
            <w:pPr>
              <w:spacing w:after="0"/>
              <w:jc w:val="center"/>
              <w:rPr>
                <w:rFonts w:eastAsia="Times New Roman" w:cs="Arial"/>
                <w:b/>
                <w:color w:val="000000"/>
                <w:sz w:val="22"/>
                <w:lang w:val="en-US"/>
              </w:rPr>
            </w:pPr>
            <w:r w:rsidRPr="00F97AC2">
              <w:rPr>
                <w:rFonts w:eastAsia="Times New Roman" w:cs="Arial"/>
                <w:b/>
                <w:color w:val="000000"/>
                <w:sz w:val="22"/>
                <w:lang w:val="en-US"/>
              </w:rPr>
              <w:t>27.4%</w:t>
            </w:r>
          </w:p>
        </w:tc>
        <w:tc>
          <w:tcPr>
            <w:tcW w:w="1460" w:type="dxa"/>
            <w:shd w:val="clear" w:color="auto" w:fill="auto"/>
            <w:noWrap/>
            <w:hideMark/>
          </w:tcPr>
          <w:p w:rsidR="004B0296" w:rsidRPr="00F97AC2" w:rsidRDefault="004B0296" w:rsidP="0063308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2"/>
                <w:lang w:val="en-US"/>
              </w:rPr>
            </w:pPr>
            <w:r>
              <w:rPr>
                <w:rFonts w:eastAsia="Times New Roman" w:cs="Arial"/>
                <w:b/>
                <w:color w:val="000000"/>
                <w:sz w:val="22"/>
                <w:lang w:val="en-US"/>
              </w:rPr>
              <w:t>24.2</w:t>
            </w:r>
            <w:r w:rsidRPr="00F97AC2">
              <w:rPr>
                <w:rFonts w:eastAsia="Times New Roman" w:cs="Arial"/>
                <w:b/>
                <w:color w:val="000000"/>
                <w:sz w:val="22"/>
                <w:lang w:val="en-US"/>
              </w:rPr>
              <w:t>%</w:t>
            </w:r>
          </w:p>
        </w:tc>
      </w:tr>
    </w:tbl>
    <w:p w:rsidR="00354BD4" w:rsidRPr="008F1CA1" w:rsidRDefault="00354BD4" w:rsidP="008F1CA1">
      <w:pPr>
        <w:pStyle w:val="Heading2-Chapter9"/>
      </w:pPr>
      <w:bookmarkStart w:id="639" w:name="_Toc489386713"/>
      <w:bookmarkStart w:id="640" w:name="_Toc491426068"/>
      <w:bookmarkStart w:id="641" w:name="_Toc486600083"/>
      <w:bookmarkEnd w:id="628"/>
      <w:bookmarkEnd w:id="629"/>
      <w:r w:rsidRPr="008F1CA1">
        <w:t>ACFI Subsidy Growth Rates &amp; Relationship to Increases in Acuity</w:t>
      </w:r>
      <w:bookmarkEnd w:id="639"/>
      <w:bookmarkEnd w:id="640"/>
    </w:p>
    <w:p w:rsidR="00980F62" w:rsidRDefault="00354BD4" w:rsidP="00354BD4">
      <w:r>
        <w:rPr>
          <w:lang w:eastAsia="en-AU"/>
        </w:rPr>
        <w:t xml:space="preserve">One explanation for </w:t>
      </w:r>
      <w:r>
        <w:t xml:space="preserve">the higher than predicted growth in ACFI funding is related to possible increases in resident care needs. For example, </w:t>
      </w:r>
      <w:r>
        <w:rPr>
          <w:lang w:eastAsia="en-AU"/>
        </w:rPr>
        <w:t xml:space="preserve">“residents are going into facilities at a much more advanced age when their health conditions are far more acute” (participant at consultations). It is also </w:t>
      </w:r>
      <w:r>
        <w:t>possible that the increase in acuity and frailty of residents, as reflected in increased ACFI funding, is due to the success of community care programs at delaying the need for residential aged care. It is postulated that the consequence of this may be that residents could be sicker, older, frailer, and have shorter lengths of stay now than 8-10 years ago. To investigate these hypotheses, the data were analysed to examine mortality trends, LOS, average age and age at entry.</w:t>
      </w:r>
    </w:p>
    <w:p w:rsidR="00354BD4" w:rsidRPr="008F2D78" w:rsidRDefault="00354BD4" w:rsidP="00354BD4">
      <w:pPr>
        <w:rPr>
          <w:rStyle w:val="Strong"/>
        </w:rPr>
      </w:pPr>
      <w:r w:rsidRPr="008F2D78">
        <w:rPr>
          <w:rStyle w:val="Strong"/>
        </w:rPr>
        <w:t>Mortality changes give an approximate indication of care need changes</w:t>
      </w:r>
    </w:p>
    <w:p w:rsidR="00980F62" w:rsidRDefault="00354BD4" w:rsidP="00354BD4">
      <w:pPr>
        <w:rPr>
          <w:lang w:eastAsia="en-AU"/>
        </w:rPr>
      </w:pPr>
      <w:r w:rsidRPr="00B3150B">
        <w:rPr>
          <w:lang w:eastAsia="en-AU"/>
        </w:rPr>
        <w:t>Analyses of ACFI data, supplied by the National Aged Care Data Clearinghouse for research purposes, have shown that ACFI ADL and CHC domain values are strong predictors of mortality rates (Cumpston and Jukic, 2017).</w:t>
      </w:r>
    </w:p>
    <w:p w:rsidR="00980F62" w:rsidRDefault="00354BD4" w:rsidP="00354BD4">
      <w:pPr>
        <w:rPr>
          <w:lang w:eastAsia="en-AU"/>
        </w:rPr>
      </w:pPr>
      <w:bookmarkStart w:id="642" w:name="_Hlk489017111"/>
      <w:r w:rsidRPr="00B3150B">
        <w:rPr>
          <w:lang w:eastAsia="en-AU"/>
        </w:rPr>
        <w:t xml:space="preserve">Mortality rates are estimated by using the number of deaths in a facility reported in a financial year, divided by the mean number of residents in the year. </w:t>
      </w:r>
      <w:hyperlink w:anchor="Tab0903" w:history="1">
        <w:r w:rsidRPr="00995856">
          <w:rPr>
            <w:rStyle w:val="Hyperlink"/>
            <w:lang w:eastAsia="en-AU"/>
          </w:rPr>
          <w:t>Table 9.3</w:t>
        </w:r>
      </w:hyperlink>
      <w:r w:rsidRPr="00B3150B">
        <w:rPr>
          <w:lang w:eastAsia="en-AU"/>
        </w:rPr>
        <w:t xml:space="preserve"> and </w:t>
      </w:r>
      <w:hyperlink w:anchor="Fig0903" w:history="1">
        <w:r w:rsidRPr="00EA40C7">
          <w:rPr>
            <w:rStyle w:val="Hyperlink"/>
            <w:lang w:eastAsia="en-AU"/>
          </w:rPr>
          <w:t>Figure 9.3</w:t>
        </w:r>
      </w:hyperlink>
      <w:r w:rsidRPr="00B3150B">
        <w:rPr>
          <w:lang w:eastAsia="en-AU"/>
        </w:rPr>
        <w:t xml:space="preserve"> provide mortality rates by provider type over the six-year period, 2009-10 to 2015-16.</w:t>
      </w:r>
    </w:p>
    <w:bookmarkEnd w:id="642"/>
    <w:p w:rsidR="00E07AF4" w:rsidRDefault="00354BD4" w:rsidP="00385CEB">
      <w:pPr>
        <w:rPr>
          <w:lang w:eastAsia="en-AU"/>
        </w:rPr>
      </w:pPr>
      <w:r w:rsidRPr="00B3150B">
        <w:rPr>
          <w:lang w:eastAsia="en-AU"/>
        </w:rPr>
        <w:t>The mortality analysis is not definitive but is provided to give a general indication of trends.</w:t>
      </w:r>
      <w:r w:rsidR="007A576E">
        <w:rPr>
          <w:lang w:eastAsia="en-AU"/>
        </w:rPr>
        <w:t xml:space="preserve"> </w:t>
      </w:r>
      <w:r w:rsidRPr="00B3150B">
        <w:rPr>
          <w:lang w:eastAsia="en-AU"/>
        </w:rPr>
        <w:t>The mortality data will be impacted by the differential impact of resident</w:t>
      </w:r>
      <w:r>
        <w:rPr>
          <w:lang w:eastAsia="en-AU"/>
        </w:rPr>
        <w:t>’</w:t>
      </w:r>
      <w:r w:rsidRPr="00B3150B">
        <w:rPr>
          <w:lang w:eastAsia="en-AU"/>
        </w:rPr>
        <w:t>s end of life support being provided in the facility or hospital, as the analysis only counts deaths as recorded in the aged care facility.</w:t>
      </w:r>
    </w:p>
    <w:p w:rsidR="00E07AF4" w:rsidRDefault="00E07AF4">
      <w:pPr>
        <w:spacing w:after="200"/>
        <w:jc w:val="left"/>
        <w:rPr>
          <w:lang w:eastAsia="en-AU"/>
        </w:rPr>
      </w:pPr>
      <w:r>
        <w:rPr>
          <w:lang w:eastAsia="en-AU"/>
        </w:rPr>
        <w:br w:type="page"/>
      </w:r>
    </w:p>
    <w:p w:rsidR="002E1694" w:rsidRDefault="00DF3488" w:rsidP="002E1694">
      <w:pPr>
        <w:pStyle w:val="Caption"/>
        <w:keepNext/>
      </w:pPr>
      <w:bookmarkStart w:id="643" w:name="_Toc495416847"/>
      <w:bookmarkStart w:id="644" w:name="Tab0903"/>
      <w:r>
        <w:lastRenderedPageBreak/>
        <w:t>Table 9.</w:t>
      </w:r>
      <w:r w:rsidR="009A3F5A">
        <w:fldChar w:fldCharType="begin"/>
      </w:r>
      <w:r w:rsidR="009A3F5A">
        <w:instrText xml:space="preserve"> SEQ Table_9. \* ARABIC </w:instrText>
      </w:r>
      <w:r w:rsidR="009A3F5A">
        <w:fldChar w:fldCharType="separate"/>
      </w:r>
      <w:r w:rsidR="00856E49">
        <w:rPr>
          <w:noProof/>
        </w:rPr>
        <w:t>3</w:t>
      </w:r>
      <w:r w:rsidR="009A3F5A">
        <w:rPr>
          <w:noProof/>
        </w:rPr>
        <w:fldChar w:fldCharType="end"/>
      </w:r>
      <w:r>
        <w:t xml:space="preserve">: </w:t>
      </w:r>
      <w:r w:rsidRPr="00DF3488">
        <w:t>Mortality rates by provider type, 2009-10 to 2015-16</w:t>
      </w:r>
      <w:bookmarkEnd w:id="643"/>
    </w:p>
    <w:tbl>
      <w:tblPr>
        <w:tblStyle w:val="GridTable1Light-Accent11"/>
        <w:tblW w:w="7660"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able 9.3 is a list of percentages for the number of subsidy mortality rates by provider type (charitable, community, government, private) from 2009-2010 to 2015-2016, as summarised in the text prior to this table. This table is to be read left to right, top to bottom."/>
      </w:tblPr>
      <w:tblGrid>
        <w:gridCol w:w="1840"/>
        <w:gridCol w:w="1160"/>
        <w:gridCol w:w="1280"/>
        <w:gridCol w:w="1380"/>
        <w:gridCol w:w="1080"/>
        <w:gridCol w:w="920"/>
      </w:tblGrid>
      <w:tr w:rsidR="00E07AF4" w:rsidRPr="003837B9" w:rsidTr="00E07A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0" w:type="dxa"/>
            <w:shd w:val="clear" w:color="auto" w:fill="5B9BD5" w:themeFill="accent5"/>
            <w:noWrap/>
            <w:hideMark/>
          </w:tcPr>
          <w:bookmarkEnd w:id="644"/>
          <w:p w:rsidR="00E07AF4" w:rsidRPr="003837B9" w:rsidRDefault="00E07AF4" w:rsidP="00DD6610">
            <w:pPr>
              <w:spacing w:after="0"/>
              <w:rPr>
                <w:rFonts w:ascii="Calibri" w:eastAsia="Times New Roman" w:hAnsi="Calibri" w:cs="Times New Roman"/>
                <w:color w:val="FFFFFF" w:themeColor="background1"/>
                <w:sz w:val="22"/>
                <w:lang w:val="en-US"/>
              </w:rPr>
            </w:pPr>
            <w:r w:rsidRPr="003837B9">
              <w:rPr>
                <w:rFonts w:ascii="Calibri" w:eastAsia="Times New Roman" w:hAnsi="Calibri" w:cs="Times New Roman"/>
                <w:color w:val="FFFFFF" w:themeColor="background1"/>
                <w:sz w:val="22"/>
                <w:lang w:val="en-US"/>
              </w:rPr>
              <w:t>Year</w:t>
            </w:r>
          </w:p>
        </w:tc>
        <w:tc>
          <w:tcPr>
            <w:tcW w:w="1160" w:type="dxa"/>
            <w:shd w:val="clear" w:color="auto" w:fill="5B9BD5" w:themeFill="accent5"/>
            <w:noWrap/>
            <w:hideMark/>
          </w:tcPr>
          <w:p w:rsidR="00E07AF4" w:rsidRPr="003837B9" w:rsidRDefault="00E07AF4" w:rsidP="00E07AF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22"/>
                <w:lang w:val="en-US"/>
              </w:rPr>
            </w:pPr>
            <w:r w:rsidRPr="003837B9">
              <w:rPr>
                <w:rFonts w:ascii="Calibri" w:eastAsia="Times New Roman" w:hAnsi="Calibri" w:cs="Times New Roman"/>
                <w:color w:val="FFFFFF" w:themeColor="background1"/>
                <w:sz w:val="22"/>
                <w:lang w:val="en-US"/>
              </w:rPr>
              <w:t>Charitable</w:t>
            </w:r>
          </w:p>
        </w:tc>
        <w:tc>
          <w:tcPr>
            <w:tcW w:w="1280" w:type="dxa"/>
            <w:shd w:val="clear" w:color="auto" w:fill="5B9BD5" w:themeFill="accent5"/>
            <w:noWrap/>
            <w:hideMark/>
          </w:tcPr>
          <w:p w:rsidR="00E07AF4" w:rsidRPr="003837B9" w:rsidRDefault="00E07AF4" w:rsidP="00E07AF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22"/>
                <w:lang w:val="en-US"/>
              </w:rPr>
            </w:pPr>
            <w:r w:rsidRPr="003837B9">
              <w:rPr>
                <w:rFonts w:ascii="Calibri" w:eastAsia="Times New Roman" w:hAnsi="Calibri" w:cs="Times New Roman"/>
                <w:color w:val="FFFFFF" w:themeColor="background1"/>
                <w:sz w:val="22"/>
                <w:lang w:val="en-US"/>
              </w:rPr>
              <w:t>Community</w:t>
            </w:r>
          </w:p>
        </w:tc>
        <w:tc>
          <w:tcPr>
            <w:tcW w:w="1380" w:type="dxa"/>
            <w:shd w:val="clear" w:color="auto" w:fill="5B9BD5" w:themeFill="accent5"/>
            <w:noWrap/>
            <w:hideMark/>
          </w:tcPr>
          <w:p w:rsidR="00E07AF4" w:rsidRPr="003837B9" w:rsidRDefault="00E07AF4" w:rsidP="00E07AF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22"/>
                <w:lang w:val="en-US"/>
              </w:rPr>
            </w:pPr>
            <w:r w:rsidRPr="003837B9">
              <w:rPr>
                <w:rFonts w:ascii="Calibri" w:eastAsia="Times New Roman" w:hAnsi="Calibri" w:cs="Times New Roman"/>
                <w:color w:val="FFFFFF" w:themeColor="background1"/>
                <w:sz w:val="22"/>
                <w:lang w:val="en-US"/>
              </w:rPr>
              <w:t>Government</w:t>
            </w:r>
          </w:p>
        </w:tc>
        <w:tc>
          <w:tcPr>
            <w:tcW w:w="1080" w:type="dxa"/>
            <w:shd w:val="clear" w:color="auto" w:fill="5B9BD5" w:themeFill="accent5"/>
            <w:noWrap/>
            <w:hideMark/>
          </w:tcPr>
          <w:p w:rsidR="00E07AF4" w:rsidRPr="003837B9" w:rsidRDefault="00E07AF4" w:rsidP="00E07AF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22"/>
                <w:lang w:val="en-US"/>
              </w:rPr>
            </w:pPr>
            <w:r w:rsidRPr="003837B9">
              <w:rPr>
                <w:rFonts w:ascii="Calibri" w:eastAsia="Times New Roman" w:hAnsi="Calibri" w:cs="Times New Roman"/>
                <w:color w:val="FFFFFF" w:themeColor="background1"/>
                <w:sz w:val="22"/>
                <w:lang w:val="en-US"/>
              </w:rPr>
              <w:t>Private</w:t>
            </w:r>
          </w:p>
        </w:tc>
        <w:tc>
          <w:tcPr>
            <w:tcW w:w="920" w:type="dxa"/>
            <w:shd w:val="clear" w:color="auto" w:fill="5B9BD5" w:themeFill="accent5"/>
            <w:noWrap/>
            <w:hideMark/>
          </w:tcPr>
          <w:p w:rsidR="00E07AF4" w:rsidRPr="003837B9" w:rsidRDefault="00E07AF4" w:rsidP="00E07AF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22"/>
                <w:lang w:val="en-US"/>
              </w:rPr>
            </w:pPr>
            <w:r w:rsidRPr="003837B9">
              <w:rPr>
                <w:rFonts w:ascii="Calibri" w:eastAsia="Times New Roman" w:hAnsi="Calibri" w:cs="Times New Roman"/>
                <w:color w:val="FFFFFF" w:themeColor="background1"/>
                <w:sz w:val="22"/>
                <w:lang w:val="en-US"/>
              </w:rPr>
              <w:t>Total</w:t>
            </w:r>
          </w:p>
        </w:tc>
      </w:tr>
      <w:tr w:rsidR="00E07AF4" w:rsidRPr="00942750" w:rsidTr="00E07AF4">
        <w:tc>
          <w:tcPr>
            <w:cnfStyle w:val="001000000000" w:firstRow="0" w:lastRow="0" w:firstColumn="1" w:lastColumn="0" w:oddVBand="0" w:evenVBand="0" w:oddHBand="0" w:evenHBand="0" w:firstRowFirstColumn="0" w:firstRowLastColumn="0" w:lastRowFirstColumn="0" w:lastRowLastColumn="0"/>
            <w:tcW w:w="1840" w:type="dxa"/>
            <w:noWrap/>
            <w:hideMark/>
          </w:tcPr>
          <w:p w:rsidR="00E07AF4" w:rsidRPr="00942750" w:rsidRDefault="00E07AF4" w:rsidP="00DD6610">
            <w:pPr>
              <w:spacing w:after="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09-10</w:t>
            </w:r>
          </w:p>
        </w:tc>
        <w:tc>
          <w:tcPr>
            <w:tcW w:w="116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26.6%</w:t>
            </w:r>
          </w:p>
        </w:tc>
        <w:tc>
          <w:tcPr>
            <w:tcW w:w="128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25.5%</w:t>
            </w:r>
          </w:p>
        </w:tc>
        <w:tc>
          <w:tcPr>
            <w:tcW w:w="138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31.5%</w:t>
            </w:r>
          </w:p>
        </w:tc>
        <w:tc>
          <w:tcPr>
            <w:tcW w:w="108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33.6%</w:t>
            </w:r>
          </w:p>
        </w:tc>
        <w:tc>
          <w:tcPr>
            <w:tcW w:w="92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29.1%</w:t>
            </w:r>
          </w:p>
        </w:tc>
      </w:tr>
      <w:tr w:rsidR="00E07AF4" w:rsidRPr="00942750" w:rsidTr="00E07AF4">
        <w:tc>
          <w:tcPr>
            <w:cnfStyle w:val="001000000000" w:firstRow="0" w:lastRow="0" w:firstColumn="1" w:lastColumn="0" w:oddVBand="0" w:evenVBand="0" w:oddHBand="0" w:evenHBand="0" w:firstRowFirstColumn="0" w:firstRowLastColumn="0" w:lastRowFirstColumn="0" w:lastRowLastColumn="0"/>
            <w:tcW w:w="1840" w:type="dxa"/>
            <w:noWrap/>
            <w:hideMark/>
          </w:tcPr>
          <w:p w:rsidR="00E07AF4" w:rsidRPr="00942750" w:rsidRDefault="00E07AF4" w:rsidP="00DD6610">
            <w:pPr>
              <w:spacing w:after="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10-11</w:t>
            </w:r>
          </w:p>
        </w:tc>
        <w:tc>
          <w:tcPr>
            <w:tcW w:w="116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27.8%</w:t>
            </w:r>
          </w:p>
        </w:tc>
        <w:tc>
          <w:tcPr>
            <w:tcW w:w="128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26.9%</w:t>
            </w:r>
          </w:p>
        </w:tc>
        <w:tc>
          <w:tcPr>
            <w:tcW w:w="138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33.2%</w:t>
            </w:r>
          </w:p>
        </w:tc>
        <w:tc>
          <w:tcPr>
            <w:tcW w:w="108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34.2%</w:t>
            </w:r>
          </w:p>
        </w:tc>
        <w:tc>
          <w:tcPr>
            <w:tcW w:w="92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30.2%</w:t>
            </w:r>
          </w:p>
        </w:tc>
      </w:tr>
      <w:tr w:rsidR="00E07AF4" w:rsidRPr="00942750" w:rsidTr="00E07AF4">
        <w:tc>
          <w:tcPr>
            <w:cnfStyle w:val="001000000000" w:firstRow="0" w:lastRow="0" w:firstColumn="1" w:lastColumn="0" w:oddVBand="0" w:evenVBand="0" w:oddHBand="0" w:evenHBand="0" w:firstRowFirstColumn="0" w:firstRowLastColumn="0" w:lastRowFirstColumn="0" w:lastRowLastColumn="0"/>
            <w:tcW w:w="1840" w:type="dxa"/>
            <w:noWrap/>
            <w:hideMark/>
          </w:tcPr>
          <w:p w:rsidR="00E07AF4" w:rsidRPr="00942750" w:rsidRDefault="00E07AF4" w:rsidP="00DD6610">
            <w:pPr>
              <w:spacing w:after="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11-12</w:t>
            </w:r>
          </w:p>
        </w:tc>
        <w:tc>
          <w:tcPr>
            <w:tcW w:w="116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28.4%</w:t>
            </w:r>
          </w:p>
        </w:tc>
        <w:tc>
          <w:tcPr>
            <w:tcW w:w="128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28.2%</w:t>
            </w:r>
          </w:p>
        </w:tc>
        <w:tc>
          <w:tcPr>
            <w:tcW w:w="138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32.4%</w:t>
            </w:r>
          </w:p>
        </w:tc>
        <w:tc>
          <w:tcPr>
            <w:tcW w:w="108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33.9%</w:t>
            </w:r>
          </w:p>
        </w:tc>
        <w:tc>
          <w:tcPr>
            <w:tcW w:w="92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30.5%</w:t>
            </w:r>
          </w:p>
        </w:tc>
      </w:tr>
      <w:tr w:rsidR="00E07AF4" w:rsidRPr="00942750" w:rsidTr="00E07AF4">
        <w:tc>
          <w:tcPr>
            <w:cnfStyle w:val="001000000000" w:firstRow="0" w:lastRow="0" w:firstColumn="1" w:lastColumn="0" w:oddVBand="0" w:evenVBand="0" w:oddHBand="0" w:evenHBand="0" w:firstRowFirstColumn="0" w:firstRowLastColumn="0" w:lastRowFirstColumn="0" w:lastRowLastColumn="0"/>
            <w:tcW w:w="1840" w:type="dxa"/>
            <w:noWrap/>
            <w:hideMark/>
          </w:tcPr>
          <w:p w:rsidR="00E07AF4" w:rsidRPr="00942750" w:rsidRDefault="00E07AF4" w:rsidP="00DD6610">
            <w:pPr>
              <w:spacing w:after="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12-13</w:t>
            </w:r>
          </w:p>
        </w:tc>
        <w:tc>
          <w:tcPr>
            <w:tcW w:w="116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29.1%</w:t>
            </w:r>
          </w:p>
        </w:tc>
        <w:tc>
          <w:tcPr>
            <w:tcW w:w="128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28.7%</w:t>
            </w:r>
          </w:p>
        </w:tc>
        <w:tc>
          <w:tcPr>
            <w:tcW w:w="138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34.1%</w:t>
            </w:r>
          </w:p>
        </w:tc>
        <w:tc>
          <w:tcPr>
            <w:tcW w:w="108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34.6%</w:t>
            </w:r>
          </w:p>
        </w:tc>
        <w:tc>
          <w:tcPr>
            <w:tcW w:w="92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31.3%</w:t>
            </w:r>
          </w:p>
        </w:tc>
      </w:tr>
      <w:tr w:rsidR="00E07AF4" w:rsidRPr="00942750" w:rsidTr="00E07AF4">
        <w:tc>
          <w:tcPr>
            <w:cnfStyle w:val="001000000000" w:firstRow="0" w:lastRow="0" w:firstColumn="1" w:lastColumn="0" w:oddVBand="0" w:evenVBand="0" w:oddHBand="0" w:evenHBand="0" w:firstRowFirstColumn="0" w:firstRowLastColumn="0" w:lastRowFirstColumn="0" w:lastRowLastColumn="0"/>
            <w:tcW w:w="1840" w:type="dxa"/>
            <w:noWrap/>
            <w:hideMark/>
          </w:tcPr>
          <w:p w:rsidR="00E07AF4" w:rsidRPr="00942750" w:rsidRDefault="00E07AF4" w:rsidP="00DD6610">
            <w:pPr>
              <w:spacing w:after="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13-14</w:t>
            </w:r>
          </w:p>
        </w:tc>
        <w:tc>
          <w:tcPr>
            <w:tcW w:w="116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29.5%</w:t>
            </w:r>
          </w:p>
        </w:tc>
        <w:tc>
          <w:tcPr>
            <w:tcW w:w="128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28.2%</w:t>
            </w:r>
          </w:p>
        </w:tc>
        <w:tc>
          <w:tcPr>
            <w:tcW w:w="138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33.7%</w:t>
            </w:r>
          </w:p>
        </w:tc>
        <w:tc>
          <w:tcPr>
            <w:tcW w:w="108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33.4%</w:t>
            </w:r>
          </w:p>
        </w:tc>
        <w:tc>
          <w:tcPr>
            <w:tcW w:w="92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30.9%</w:t>
            </w:r>
          </w:p>
        </w:tc>
      </w:tr>
      <w:tr w:rsidR="00E07AF4" w:rsidRPr="00942750" w:rsidTr="00E07AF4">
        <w:tc>
          <w:tcPr>
            <w:cnfStyle w:val="001000000000" w:firstRow="0" w:lastRow="0" w:firstColumn="1" w:lastColumn="0" w:oddVBand="0" w:evenVBand="0" w:oddHBand="0" w:evenHBand="0" w:firstRowFirstColumn="0" w:firstRowLastColumn="0" w:lastRowFirstColumn="0" w:lastRowLastColumn="0"/>
            <w:tcW w:w="1840" w:type="dxa"/>
            <w:noWrap/>
            <w:hideMark/>
          </w:tcPr>
          <w:p w:rsidR="00E07AF4" w:rsidRPr="00942750" w:rsidRDefault="00E07AF4" w:rsidP="00DD6610">
            <w:pPr>
              <w:spacing w:after="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14-15</w:t>
            </w:r>
          </w:p>
        </w:tc>
        <w:tc>
          <w:tcPr>
            <w:tcW w:w="116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29.9%</w:t>
            </w:r>
          </w:p>
        </w:tc>
        <w:tc>
          <w:tcPr>
            <w:tcW w:w="128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29.6%</w:t>
            </w:r>
          </w:p>
        </w:tc>
        <w:tc>
          <w:tcPr>
            <w:tcW w:w="138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34.0%</w:t>
            </w:r>
          </w:p>
        </w:tc>
        <w:tc>
          <w:tcPr>
            <w:tcW w:w="108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34.1%</w:t>
            </w:r>
          </w:p>
        </w:tc>
        <w:tc>
          <w:tcPr>
            <w:tcW w:w="92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31.6%</w:t>
            </w:r>
          </w:p>
        </w:tc>
      </w:tr>
      <w:tr w:rsidR="00E07AF4" w:rsidRPr="00942750" w:rsidTr="00E07AF4">
        <w:tc>
          <w:tcPr>
            <w:cnfStyle w:val="001000000000" w:firstRow="0" w:lastRow="0" w:firstColumn="1" w:lastColumn="0" w:oddVBand="0" w:evenVBand="0" w:oddHBand="0" w:evenHBand="0" w:firstRowFirstColumn="0" w:firstRowLastColumn="0" w:lastRowFirstColumn="0" w:lastRowLastColumn="0"/>
            <w:tcW w:w="1840" w:type="dxa"/>
            <w:noWrap/>
            <w:hideMark/>
          </w:tcPr>
          <w:p w:rsidR="00E07AF4" w:rsidRPr="00942750" w:rsidRDefault="00E07AF4" w:rsidP="00DD6610">
            <w:pPr>
              <w:spacing w:after="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15-16</w:t>
            </w:r>
          </w:p>
        </w:tc>
        <w:tc>
          <w:tcPr>
            <w:tcW w:w="116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30.6%</w:t>
            </w:r>
          </w:p>
        </w:tc>
        <w:tc>
          <w:tcPr>
            <w:tcW w:w="128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30.6%</w:t>
            </w:r>
          </w:p>
        </w:tc>
        <w:tc>
          <w:tcPr>
            <w:tcW w:w="138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34.8%</w:t>
            </w:r>
          </w:p>
        </w:tc>
        <w:tc>
          <w:tcPr>
            <w:tcW w:w="108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33.1%</w:t>
            </w:r>
          </w:p>
        </w:tc>
        <w:tc>
          <w:tcPr>
            <w:tcW w:w="920" w:type="dxa"/>
            <w:noWrap/>
            <w:hideMark/>
          </w:tcPr>
          <w:p w:rsidR="00E07AF4" w:rsidRPr="00942750" w:rsidRDefault="00E07AF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31.7%</w:t>
            </w:r>
          </w:p>
        </w:tc>
      </w:tr>
      <w:tr w:rsidR="00354BD4" w:rsidRPr="00942750" w:rsidTr="003949D8">
        <w:tc>
          <w:tcPr>
            <w:cnfStyle w:val="001000000000" w:firstRow="0" w:lastRow="0" w:firstColumn="1" w:lastColumn="0" w:oddVBand="0" w:evenVBand="0" w:oddHBand="0" w:evenHBand="0" w:firstRowFirstColumn="0" w:firstRowLastColumn="0" w:lastRowFirstColumn="0" w:lastRowLastColumn="0"/>
            <w:tcW w:w="1840" w:type="dxa"/>
            <w:shd w:val="clear" w:color="auto" w:fill="auto"/>
            <w:noWrap/>
            <w:hideMark/>
          </w:tcPr>
          <w:p w:rsidR="00354BD4" w:rsidRPr="00942750" w:rsidRDefault="00354BD4" w:rsidP="00DD6610">
            <w:pPr>
              <w:spacing w:after="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6-year growth</w:t>
            </w:r>
          </w:p>
        </w:tc>
        <w:tc>
          <w:tcPr>
            <w:tcW w:w="1160" w:type="dxa"/>
            <w:shd w:val="clear" w:color="auto" w:fill="auto"/>
            <w:noWrap/>
            <w:hideMark/>
          </w:tcPr>
          <w:p w:rsidR="00354BD4" w:rsidRPr="00942750" w:rsidRDefault="00354BD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val="en-US"/>
              </w:rPr>
            </w:pPr>
            <w:r w:rsidRPr="00942750">
              <w:rPr>
                <w:rFonts w:ascii="Calibri" w:eastAsia="Times New Roman" w:hAnsi="Calibri" w:cs="Times New Roman"/>
                <w:b/>
                <w:bCs/>
                <w:color w:val="000000"/>
                <w:sz w:val="22"/>
                <w:lang w:val="en-US"/>
              </w:rPr>
              <w:t>15.0%</w:t>
            </w:r>
          </w:p>
        </w:tc>
        <w:tc>
          <w:tcPr>
            <w:tcW w:w="1280" w:type="dxa"/>
            <w:shd w:val="clear" w:color="auto" w:fill="auto"/>
            <w:noWrap/>
            <w:hideMark/>
          </w:tcPr>
          <w:p w:rsidR="00354BD4" w:rsidRPr="00942750" w:rsidRDefault="00354BD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val="en-US"/>
              </w:rPr>
            </w:pPr>
            <w:r w:rsidRPr="00942750">
              <w:rPr>
                <w:rFonts w:ascii="Calibri" w:eastAsia="Times New Roman" w:hAnsi="Calibri" w:cs="Times New Roman"/>
                <w:b/>
                <w:bCs/>
                <w:color w:val="000000"/>
                <w:sz w:val="22"/>
                <w:lang w:val="en-US"/>
              </w:rPr>
              <w:t>19.8%</w:t>
            </w:r>
          </w:p>
        </w:tc>
        <w:tc>
          <w:tcPr>
            <w:tcW w:w="1380" w:type="dxa"/>
            <w:shd w:val="clear" w:color="auto" w:fill="auto"/>
            <w:noWrap/>
            <w:hideMark/>
          </w:tcPr>
          <w:p w:rsidR="00354BD4" w:rsidRPr="00942750" w:rsidRDefault="00354BD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val="en-US"/>
              </w:rPr>
            </w:pPr>
            <w:r w:rsidRPr="00942750">
              <w:rPr>
                <w:rFonts w:ascii="Calibri" w:eastAsia="Times New Roman" w:hAnsi="Calibri" w:cs="Times New Roman"/>
                <w:b/>
                <w:bCs/>
                <w:color w:val="000000"/>
                <w:sz w:val="22"/>
                <w:lang w:val="en-US"/>
              </w:rPr>
              <w:t>10.4%</w:t>
            </w:r>
          </w:p>
        </w:tc>
        <w:tc>
          <w:tcPr>
            <w:tcW w:w="1080" w:type="dxa"/>
            <w:shd w:val="clear" w:color="auto" w:fill="auto"/>
            <w:noWrap/>
            <w:hideMark/>
          </w:tcPr>
          <w:p w:rsidR="00354BD4" w:rsidRPr="00942750" w:rsidRDefault="00354BD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val="en-US"/>
              </w:rPr>
            </w:pPr>
            <w:r w:rsidRPr="00942750">
              <w:rPr>
                <w:rFonts w:ascii="Calibri" w:eastAsia="Times New Roman" w:hAnsi="Calibri" w:cs="Times New Roman"/>
                <w:b/>
                <w:bCs/>
                <w:color w:val="000000"/>
                <w:sz w:val="22"/>
                <w:lang w:val="en-US"/>
              </w:rPr>
              <w:t>-1.4%</w:t>
            </w:r>
          </w:p>
        </w:tc>
        <w:tc>
          <w:tcPr>
            <w:tcW w:w="920" w:type="dxa"/>
            <w:shd w:val="clear" w:color="auto" w:fill="auto"/>
            <w:noWrap/>
            <w:hideMark/>
          </w:tcPr>
          <w:p w:rsidR="00354BD4" w:rsidRPr="00942750" w:rsidRDefault="00354BD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val="en-US"/>
              </w:rPr>
            </w:pPr>
            <w:r w:rsidRPr="00942750">
              <w:rPr>
                <w:rFonts w:ascii="Calibri" w:eastAsia="Times New Roman" w:hAnsi="Calibri" w:cs="Times New Roman"/>
                <w:b/>
                <w:bCs/>
                <w:color w:val="000000"/>
                <w:sz w:val="22"/>
                <w:lang w:val="en-US"/>
              </w:rPr>
              <w:t>9.1%</w:t>
            </w:r>
          </w:p>
        </w:tc>
      </w:tr>
      <w:tr w:rsidR="00354BD4" w:rsidRPr="00942750" w:rsidTr="003949D8">
        <w:tc>
          <w:tcPr>
            <w:cnfStyle w:val="001000000000" w:firstRow="0" w:lastRow="0" w:firstColumn="1" w:lastColumn="0" w:oddVBand="0" w:evenVBand="0" w:oddHBand="0" w:evenHBand="0" w:firstRowFirstColumn="0" w:firstRowLastColumn="0" w:lastRowFirstColumn="0" w:lastRowLastColumn="0"/>
            <w:tcW w:w="1840" w:type="dxa"/>
            <w:shd w:val="clear" w:color="auto" w:fill="auto"/>
            <w:noWrap/>
            <w:hideMark/>
          </w:tcPr>
          <w:p w:rsidR="00354BD4" w:rsidRPr="00942750" w:rsidRDefault="00354BD4" w:rsidP="00DD6610">
            <w:pPr>
              <w:spacing w:after="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7-year growth</w:t>
            </w:r>
          </w:p>
        </w:tc>
        <w:tc>
          <w:tcPr>
            <w:tcW w:w="1160" w:type="dxa"/>
            <w:shd w:val="clear" w:color="auto" w:fill="auto"/>
            <w:noWrap/>
            <w:hideMark/>
          </w:tcPr>
          <w:p w:rsidR="00354BD4" w:rsidRPr="00942750" w:rsidRDefault="00354BD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val="en-US"/>
              </w:rPr>
            </w:pPr>
            <w:r w:rsidRPr="00942750">
              <w:rPr>
                <w:rFonts w:ascii="Calibri" w:eastAsia="Times New Roman" w:hAnsi="Calibri" w:cs="Times New Roman"/>
                <w:b/>
                <w:bCs/>
                <w:color w:val="000000"/>
                <w:sz w:val="22"/>
                <w:lang w:val="en-US"/>
              </w:rPr>
              <w:t>17.7%</w:t>
            </w:r>
          </w:p>
        </w:tc>
        <w:tc>
          <w:tcPr>
            <w:tcW w:w="1280" w:type="dxa"/>
            <w:shd w:val="clear" w:color="auto" w:fill="auto"/>
            <w:noWrap/>
            <w:hideMark/>
          </w:tcPr>
          <w:p w:rsidR="00354BD4" w:rsidRPr="00942750" w:rsidRDefault="00354BD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val="en-US"/>
              </w:rPr>
            </w:pPr>
            <w:r w:rsidRPr="00942750">
              <w:rPr>
                <w:rFonts w:ascii="Calibri" w:eastAsia="Times New Roman" w:hAnsi="Calibri" w:cs="Times New Roman"/>
                <w:b/>
                <w:bCs/>
                <w:color w:val="000000"/>
                <w:sz w:val="22"/>
                <w:lang w:val="en-US"/>
              </w:rPr>
              <w:t>23.4%</w:t>
            </w:r>
          </w:p>
        </w:tc>
        <w:tc>
          <w:tcPr>
            <w:tcW w:w="1380" w:type="dxa"/>
            <w:shd w:val="clear" w:color="auto" w:fill="auto"/>
            <w:noWrap/>
            <w:hideMark/>
          </w:tcPr>
          <w:p w:rsidR="00354BD4" w:rsidRPr="00942750" w:rsidRDefault="00354BD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val="en-US"/>
              </w:rPr>
            </w:pPr>
            <w:r w:rsidRPr="00942750">
              <w:rPr>
                <w:rFonts w:ascii="Calibri" w:eastAsia="Times New Roman" w:hAnsi="Calibri" w:cs="Times New Roman"/>
                <w:b/>
                <w:bCs/>
                <w:color w:val="000000"/>
                <w:sz w:val="22"/>
                <w:lang w:val="en-US"/>
              </w:rPr>
              <w:t>12.3%</w:t>
            </w:r>
          </w:p>
        </w:tc>
        <w:tc>
          <w:tcPr>
            <w:tcW w:w="1080" w:type="dxa"/>
            <w:shd w:val="clear" w:color="auto" w:fill="auto"/>
            <w:noWrap/>
            <w:hideMark/>
          </w:tcPr>
          <w:p w:rsidR="00354BD4" w:rsidRPr="00942750" w:rsidRDefault="00354BD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val="en-US"/>
              </w:rPr>
            </w:pPr>
            <w:r w:rsidRPr="00942750">
              <w:rPr>
                <w:rFonts w:ascii="Calibri" w:eastAsia="Times New Roman" w:hAnsi="Calibri" w:cs="Times New Roman"/>
                <w:b/>
                <w:bCs/>
                <w:color w:val="000000"/>
                <w:sz w:val="22"/>
                <w:lang w:val="en-US"/>
              </w:rPr>
              <w:t>-1.6%</w:t>
            </w:r>
          </w:p>
        </w:tc>
        <w:tc>
          <w:tcPr>
            <w:tcW w:w="920" w:type="dxa"/>
            <w:shd w:val="clear" w:color="auto" w:fill="auto"/>
            <w:noWrap/>
            <w:hideMark/>
          </w:tcPr>
          <w:p w:rsidR="00354BD4" w:rsidRPr="00942750" w:rsidRDefault="00354BD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val="en-US"/>
              </w:rPr>
            </w:pPr>
            <w:r w:rsidRPr="00942750">
              <w:rPr>
                <w:rFonts w:ascii="Calibri" w:eastAsia="Times New Roman" w:hAnsi="Calibri" w:cs="Times New Roman"/>
                <w:b/>
                <w:bCs/>
                <w:color w:val="000000"/>
                <w:sz w:val="22"/>
                <w:lang w:val="en-US"/>
              </w:rPr>
              <w:t>10.7%</w:t>
            </w:r>
          </w:p>
        </w:tc>
      </w:tr>
      <w:tr w:rsidR="00354BD4" w:rsidRPr="00942750" w:rsidTr="003949D8">
        <w:tc>
          <w:tcPr>
            <w:cnfStyle w:val="001000000000" w:firstRow="0" w:lastRow="0" w:firstColumn="1" w:lastColumn="0" w:oddVBand="0" w:evenVBand="0" w:oddHBand="0" w:evenHBand="0" w:firstRowFirstColumn="0" w:firstRowLastColumn="0" w:lastRowFirstColumn="0" w:lastRowLastColumn="0"/>
            <w:tcW w:w="1840" w:type="dxa"/>
            <w:shd w:val="clear" w:color="auto" w:fill="auto"/>
            <w:noWrap/>
            <w:hideMark/>
          </w:tcPr>
          <w:p w:rsidR="00354BD4" w:rsidRPr="00942750" w:rsidRDefault="00354BD4" w:rsidP="00DD6610">
            <w:pPr>
              <w:spacing w:after="0"/>
              <w:rPr>
                <w:rFonts w:ascii="Calibri" w:eastAsia="Times New Roman" w:hAnsi="Calibri" w:cs="Times New Roman"/>
                <w:color w:val="000000"/>
                <w:sz w:val="22"/>
                <w:lang w:val="en-US"/>
              </w:rPr>
            </w:pPr>
            <w:r w:rsidRPr="00942750">
              <w:rPr>
                <w:rFonts w:ascii="Calibri" w:eastAsia="Times New Roman" w:hAnsi="Calibri" w:cs="Times New Roman"/>
                <w:color w:val="000000"/>
                <w:sz w:val="22"/>
                <w:lang w:val="en-US"/>
              </w:rPr>
              <w:t>1-year growth</w:t>
            </w:r>
          </w:p>
        </w:tc>
        <w:tc>
          <w:tcPr>
            <w:tcW w:w="1160" w:type="dxa"/>
            <w:shd w:val="clear" w:color="auto" w:fill="auto"/>
            <w:noWrap/>
            <w:hideMark/>
          </w:tcPr>
          <w:p w:rsidR="00354BD4" w:rsidRPr="00942750" w:rsidRDefault="00354BD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val="en-US"/>
              </w:rPr>
            </w:pPr>
            <w:r w:rsidRPr="00942750">
              <w:rPr>
                <w:rFonts w:ascii="Calibri" w:eastAsia="Times New Roman" w:hAnsi="Calibri" w:cs="Times New Roman"/>
                <w:b/>
                <w:bCs/>
                <w:color w:val="000000"/>
                <w:sz w:val="22"/>
                <w:lang w:val="en-US"/>
              </w:rPr>
              <w:t>2.4%</w:t>
            </w:r>
          </w:p>
        </w:tc>
        <w:tc>
          <w:tcPr>
            <w:tcW w:w="1280" w:type="dxa"/>
            <w:shd w:val="clear" w:color="auto" w:fill="auto"/>
            <w:noWrap/>
            <w:hideMark/>
          </w:tcPr>
          <w:p w:rsidR="00354BD4" w:rsidRPr="00942750" w:rsidRDefault="00354BD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val="en-US"/>
              </w:rPr>
            </w:pPr>
            <w:r w:rsidRPr="00942750">
              <w:rPr>
                <w:rFonts w:ascii="Calibri" w:eastAsia="Times New Roman" w:hAnsi="Calibri" w:cs="Times New Roman"/>
                <w:b/>
                <w:bCs/>
                <w:color w:val="000000"/>
                <w:sz w:val="22"/>
                <w:lang w:val="en-US"/>
              </w:rPr>
              <w:t>3.1%</w:t>
            </w:r>
          </w:p>
        </w:tc>
        <w:tc>
          <w:tcPr>
            <w:tcW w:w="1380" w:type="dxa"/>
            <w:shd w:val="clear" w:color="auto" w:fill="auto"/>
            <w:noWrap/>
            <w:hideMark/>
          </w:tcPr>
          <w:p w:rsidR="00354BD4" w:rsidRPr="00942750" w:rsidRDefault="00354BD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val="en-US"/>
              </w:rPr>
            </w:pPr>
            <w:r w:rsidRPr="00942750">
              <w:rPr>
                <w:rFonts w:ascii="Calibri" w:eastAsia="Times New Roman" w:hAnsi="Calibri" w:cs="Times New Roman"/>
                <w:b/>
                <w:bCs/>
                <w:color w:val="000000"/>
                <w:sz w:val="22"/>
                <w:lang w:val="en-US"/>
              </w:rPr>
              <w:t>1.7%</w:t>
            </w:r>
          </w:p>
        </w:tc>
        <w:tc>
          <w:tcPr>
            <w:tcW w:w="1080" w:type="dxa"/>
            <w:shd w:val="clear" w:color="auto" w:fill="auto"/>
            <w:noWrap/>
            <w:hideMark/>
          </w:tcPr>
          <w:p w:rsidR="00354BD4" w:rsidRPr="00942750" w:rsidRDefault="00354BD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val="en-US"/>
              </w:rPr>
            </w:pPr>
            <w:r w:rsidRPr="00942750">
              <w:rPr>
                <w:rFonts w:ascii="Calibri" w:eastAsia="Times New Roman" w:hAnsi="Calibri" w:cs="Times New Roman"/>
                <w:b/>
                <w:bCs/>
                <w:color w:val="000000"/>
                <w:sz w:val="22"/>
                <w:lang w:val="en-US"/>
              </w:rPr>
              <w:t>-0.2%</w:t>
            </w:r>
          </w:p>
        </w:tc>
        <w:tc>
          <w:tcPr>
            <w:tcW w:w="920" w:type="dxa"/>
            <w:shd w:val="clear" w:color="auto" w:fill="auto"/>
            <w:noWrap/>
            <w:hideMark/>
          </w:tcPr>
          <w:p w:rsidR="00354BD4" w:rsidRPr="00942750" w:rsidRDefault="00354BD4" w:rsidP="00E07AF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val="en-US"/>
              </w:rPr>
            </w:pPr>
            <w:r w:rsidRPr="00942750">
              <w:rPr>
                <w:rFonts w:ascii="Calibri" w:eastAsia="Times New Roman" w:hAnsi="Calibri" w:cs="Times New Roman"/>
                <w:b/>
                <w:bCs/>
                <w:color w:val="000000"/>
                <w:sz w:val="22"/>
                <w:lang w:val="en-US"/>
              </w:rPr>
              <w:t>1.5%</w:t>
            </w:r>
          </w:p>
        </w:tc>
      </w:tr>
    </w:tbl>
    <w:p w:rsidR="002E1694" w:rsidRDefault="00DF3488" w:rsidP="002E1694">
      <w:pPr>
        <w:pStyle w:val="Caption"/>
        <w:keepNext/>
        <w:jc w:val="both"/>
      </w:pPr>
      <w:bookmarkStart w:id="645" w:name="_Toc495416922"/>
      <w:r>
        <w:t>Figure 9.</w:t>
      </w:r>
      <w:r w:rsidR="009A3F5A">
        <w:fldChar w:fldCharType="begin"/>
      </w:r>
      <w:r w:rsidR="009A3F5A">
        <w:instrText xml:space="preserve"> SEQ Figure_9. \* ARABIC </w:instrText>
      </w:r>
      <w:r w:rsidR="009A3F5A">
        <w:fldChar w:fldCharType="separate"/>
      </w:r>
      <w:r w:rsidR="00856E49">
        <w:rPr>
          <w:noProof/>
        </w:rPr>
        <w:t>3</w:t>
      </w:r>
      <w:r w:rsidR="009A3F5A">
        <w:rPr>
          <w:noProof/>
        </w:rPr>
        <w:fldChar w:fldCharType="end"/>
      </w:r>
      <w:r>
        <w:t xml:space="preserve">: </w:t>
      </w:r>
      <w:r w:rsidRPr="00DF3488">
        <w:t>Mortality rates 2009-10 to 2015-16</w:t>
      </w:r>
      <w:bookmarkEnd w:id="645"/>
    </w:p>
    <w:p w:rsidR="001718E4" w:rsidRDefault="001718E4" w:rsidP="00354BD4">
      <w:pPr>
        <w:rPr>
          <w:lang w:eastAsia="en-AU"/>
        </w:rPr>
      </w:pPr>
      <w:r>
        <w:rPr>
          <w:noProof/>
          <w:lang w:eastAsia="en-AU"/>
        </w:rPr>
        <w:drawing>
          <wp:inline distT="0" distB="0" distL="0" distR="0" wp14:anchorId="260194FF" wp14:editId="25BDB5D6">
            <wp:extent cx="5547995" cy="2792095"/>
            <wp:effectExtent l="0" t="0" r="0" b="8255"/>
            <wp:docPr id="240" name="Picture 240" descr="Figure 9.3 is a line graph illustrating the percentage of subsidy mortality rates by provider type (charitable, community, government, private) from 2009-2010 to 2015-2016, as is noted in Table 9.3 (above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47995" cy="2792095"/>
                    </a:xfrm>
                    <a:prstGeom prst="rect">
                      <a:avLst/>
                    </a:prstGeom>
                    <a:noFill/>
                  </pic:spPr>
                </pic:pic>
              </a:graphicData>
            </a:graphic>
          </wp:inline>
        </w:drawing>
      </w:r>
    </w:p>
    <w:p w:rsidR="00354BD4" w:rsidRDefault="00354BD4" w:rsidP="003D74A2">
      <w:pPr>
        <w:rPr>
          <w:lang w:eastAsia="en-AU"/>
        </w:rPr>
      </w:pPr>
      <w:r>
        <w:rPr>
          <w:lang w:eastAsia="en-AU"/>
        </w:rPr>
        <w:t>Overall, mortality rates increased by 9.1</w:t>
      </w:r>
      <w:r w:rsidR="0065091B">
        <w:rPr>
          <w:lang w:eastAsia="en-AU"/>
        </w:rPr>
        <w:t xml:space="preserve"> per cent</w:t>
      </w:r>
      <w:r>
        <w:rPr>
          <w:lang w:eastAsia="en-AU"/>
        </w:rPr>
        <w:t xml:space="preserve"> over the 6 years. Allowing for another year of growth at the same rate, there is a 7-year mortality rate increase of approximately 10.7</w:t>
      </w:r>
      <w:r w:rsidR="0065091B">
        <w:rPr>
          <w:lang w:eastAsia="en-AU"/>
        </w:rPr>
        <w:t xml:space="preserve"> per cent</w:t>
      </w:r>
      <w:r>
        <w:rPr>
          <w:lang w:eastAsia="en-AU"/>
        </w:rPr>
        <w:t>.</w:t>
      </w:r>
    </w:p>
    <w:p w:rsidR="00354BD4" w:rsidRDefault="00354BD4" w:rsidP="003D74A2">
      <w:pPr>
        <w:rPr>
          <w:lang w:eastAsia="en-AU"/>
        </w:rPr>
      </w:pPr>
      <w:r>
        <w:rPr>
          <w:lang w:eastAsia="en-AU"/>
        </w:rPr>
        <w:t>Comparing this with the 45.9</w:t>
      </w:r>
      <w:r w:rsidR="0065091B">
        <w:rPr>
          <w:lang w:eastAsia="en-AU"/>
        </w:rPr>
        <w:t xml:space="preserve"> per cent</w:t>
      </w:r>
      <w:r>
        <w:rPr>
          <w:lang w:eastAsia="en-AU"/>
        </w:rPr>
        <w:t xml:space="preserve"> growth in average subsidies (see </w:t>
      </w:r>
      <w:hyperlink w:anchor="Tab0901" w:history="1">
        <w:r w:rsidRPr="005D345E">
          <w:rPr>
            <w:rStyle w:val="Hyperlink"/>
            <w:lang w:eastAsia="en-AU"/>
          </w:rPr>
          <w:t>Table 9.1</w:t>
        </w:r>
      </w:hyperlink>
      <w:r>
        <w:rPr>
          <w:lang w:eastAsia="en-AU"/>
        </w:rPr>
        <w:t>) suggests that it is possible that about 23</w:t>
      </w:r>
      <w:r w:rsidR="0065091B">
        <w:rPr>
          <w:lang w:eastAsia="en-AU"/>
        </w:rPr>
        <w:t xml:space="preserve"> per cent</w:t>
      </w:r>
      <w:r>
        <w:rPr>
          <w:lang w:eastAsia="en-AU"/>
        </w:rPr>
        <w:t xml:space="preserve"> of the total subsidy growth is due to increased frailty as indicated by mortality rates. While ACFI funding is growing, mortality rate changes account for only a small proportion of this growth.</w:t>
      </w:r>
    </w:p>
    <w:p w:rsidR="00980F62" w:rsidRDefault="00473246" w:rsidP="001718E4">
      <w:pPr>
        <w:rPr>
          <w:lang w:eastAsia="en-AU"/>
        </w:rPr>
      </w:pPr>
      <w:hyperlink w:anchor="Fig0904" w:history="1">
        <w:r w:rsidR="00354BD4" w:rsidRPr="00EA40C7">
          <w:rPr>
            <w:rStyle w:val="Hyperlink"/>
            <w:lang w:eastAsia="en-AU"/>
          </w:rPr>
          <w:t>Figure 9.4</w:t>
        </w:r>
      </w:hyperlink>
      <w:r w:rsidR="00354BD4" w:rsidRPr="00AA7FBB">
        <w:rPr>
          <w:lang w:eastAsia="en-AU"/>
        </w:rPr>
        <w:t xml:space="preserve"> shows the differences between subsidy growth rate and mort</w:t>
      </w:r>
      <w:r w:rsidR="00354BD4">
        <w:rPr>
          <w:lang w:eastAsia="en-AU"/>
        </w:rPr>
        <w:t>ality growth rate, for each secto</w:t>
      </w:r>
      <w:r w:rsidR="00354BD4" w:rsidRPr="00AA7FBB">
        <w:rPr>
          <w:lang w:eastAsia="en-AU"/>
        </w:rPr>
        <w:t xml:space="preserve">r, and </w:t>
      </w:r>
      <w:r w:rsidR="00354BD4">
        <w:rPr>
          <w:lang w:eastAsia="en-AU"/>
        </w:rPr>
        <w:t xml:space="preserve">overall </w:t>
      </w:r>
      <w:r w:rsidR="00354BD4" w:rsidRPr="00AA7FBB">
        <w:rPr>
          <w:lang w:eastAsia="en-AU"/>
        </w:rPr>
        <w:t>for the industry.</w:t>
      </w:r>
      <w:r w:rsidR="00354BD4">
        <w:rPr>
          <w:lang w:eastAsia="en-AU"/>
        </w:rPr>
        <w:t xml:space="preserve"> For the industry, the subsidy growth rate has been 46</w:t>
      </w:r>
      <w:r w:rsidR="0065091B">
        <w:rPr>
          <w:lang w:eastAsia="en-AU"/>
        </w:rPr>
        <w:t xml:space="preserve"> per cent</w:t>
      </w:r>
      <w:r w:rsidR="00354BD4">
        <w:rPr>
          <w:lang w:eastAsia="en-AU"/>
        </w:rPr>
        <w:t xml:space="preserve"> from 2008-09 to 2015-16, and the estimated mortality growth has been 11</w:t>
      </w:r>
      <w:r w:rsidR="0065091B">
        <w:rPr>
          <w:lang w:eastAsia="en-AU"/>
        </w:rPr>
        <w:t xml:space="preserve"> per cent</w:t>
      </w:r>
      <w:r w:rsidR="00354BD4">
        <w:rPr>
          <w:lang w:eastAsia="en-AU"/>
        </w:rPr>
        <w:t>, a difference of 35</w:t>
      </w:r>
      <w:r w:rsidR="0065091B">
        <w:rPr>
          <w:lang w:eastAsia="en-AU"/>
        </w:rPr>
        <w:t xml:space="preserve"> per cent</w:t>
      </w:r>
      <w:r w:rsidR="00354BD4">
        <w:rPr>
          <w:lang w:eastAsia="en-AU"/>
        </w:rPr>
        <w:t>.</w:t>
      </w:r>
    </w:p>
    <w:p w:rsidR="00E07AF4" w:rsidRDefault="00E07AF4">
      <w:pPr>
        <w:spacing w:after="200"/>
        <w:jc w:val="left"/>
        <w:rPr>
          <w:lang w:eastAsia="en-AU"/>
        </w:rPr>
      </w:pPr>
      <w:r>
        <w:rPr>
          <w:lang w:eastAsia="en-AU"/>
        </w:rPr>
        <w:br w:type="page"/>
      </w:r>
    </w:p>
    <w:p w:rsidR="002E1694" w:rsidRDefault="00693F35" w:rsidP="002E1694">
      <w:pPr>
        <w:pStyle w:val="Caption"/>
        <w:keepNext/>
        <w:jc w:val="both"/>
      </w:pPr>
      <w:bookmarkStart w:id="646" w:name="_Toc495416923"/>
      <w:r>
        <w:lastRenderedPageBreak/>
        <w:t>Figure 9.</w:t>
      </w:r>
      <w:r w:rsidR="009A3F5A">
        <w:fldChar w:fldCharType="begin"/>
      </w:r>
      <w:r w:rsidR="009A3F5A">
        <w:instrText xml:space="preserve"> SEQ Figure_9. \* ARABIC </w:instrText>
      </w:r>
      <w:r w:rsidR="009A3F5A">
        <w:fldChar w:fldCharType="separate"/>
      </w:r>
      <w:r w:rsidR="00856E49">
        <w:rPr>
          <w:noProof/>
        </w:rPr>
        <w:t>4</w:t>
      </w:r>
      <w:r w:rsidR="009A3F5A">
        <w:rPr>
          <w:noProof/>
        </w:rPr>
        <w:fldChar w:fldCharType="end"/>
      </w:r>
      <w:r>
        <w:t xml:space="preserve">: </w:t>
      </w:r>
      <w:r w:rsidRPr="00693F35">
        <w:t>Differences between subsidy growth rates and mortality growth rates</w:t>
      </w:r>
      <w:bookmarkEnd w:id="646"/>
    </w:p>
    <w:p w:rsidR="001718E4" w:rsidRPr="00627019" w:rsidRDefault="001718E4" w:rsidP="00354BD4">
      <w:pPr>
        <w:rPr>
          <w:b/>
          <w:lang w:eastAsia="en-AU"/>
        </w:rPr>
      </w:pPr>
      <w:r>
        <w:rPr>
          <w:b/>
          <w:noProof/>
          <w:lang w:eastAsia="en-AU"/>
        </w:rPr>
        <w:drawing>
          <wp:inline distT="0" distB="0" distL="0" distR="0" wp14:anchorId="79F589E3" wp14:editId="5BB7BDAD">
            <wp:extent cx="5517515" cy="2853055"/>
            <wp:effectExtent l="0" t="0" r="6985" b="4445"/>
            <wp:docPr id="242" name="Picture 242" descr="Figure 9.4 is a bar graph illustrating the difference of subsidy mortality rates by provider type (charitable, community, government, private) and the overall industry, as summaris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17515" cy="2853055"/>
                    </a:xfrm>
                    <a:prstGeom prst="rect">
                      <a:avLst/>
                    </a:prstGeom>
                    <a:noFill/>
                  </pic:spPr>
                </pic:pic>
              </a:graphicData>
            </a:graphic>
          </wp:inline>
        </w:drawing>
      </w:r>
    </w:p>
    <w:p w:rsidR="00980F62" w:rsidRDefault="00354BD4" w:rsidP="00872E39">
      <w:pPr>
        <w:pStyle w:val="Heading3-Chapter93"/>
      </w:pPr>
      <w:r w:rsidRPr="00E22C26">
        <w:t xml:space="preserve">Length of </w:t>
      </w:r>
      <w:r>
        <w:t>S</w:t>
      </w:r>
      <w:r w:rsidRPr="00E22C26">
        <w:t>tay Analysis</w:t>
      </w:r>
    </w:p>
    <w:p w:rsidR="00980F62" w:rsidRDefault="00354BD4" w:rsidP="003D74A2">
      <w:pPr>
        <w:rPr>
          <w:lang w:eastAsia="en-AU"/>
        </w:rPr>
      </w:pPr>
      <w:r>
        <w:rPr>
          <w:lang w:eastAsia="en-AU"/>
        </w:rPr>
        <w:t xml:space="preserve">This analysis has been undertaken to examine the relationship between LOS and </w:t>
      </w:r>
      <w:r>
        <w:t>growth in ACFI funding.</w:t>
      </w:r>
      <w:r w:rsidRPr="0013342D">
        <w:rPr>
          <w:lang w:eastAsia="en-AU"/>
        </w:rPr>
        <w:t xml:space="preserve"> The published </w:t>
      </w:r>
      <w:r>
        <w:rPr>
          <w:lang w:eastAsia="en-AU"/>
        </w:rPr>
        <w:t>LOS</w:t>
      </w:r>
      <w:r w:rsidRPr="0013342D">
        <w:rPr>
          <w:lang w:eastAsia="en-AU"/>
        </w:rPr>
        <w:t xml:space="preserve"> data </w:t>
      </w:r>
      <w:r>
        <w:rPr>
          <w:lang w:eastAsia="en-AU"/>
        </w:rPr>
        <w:t xml:space="preserve">has been compiled by AACS and has </w:t>
      </w:r>
      <w:r w:rsidRPr="0013342D">
        <w:rPr>
          <w:lang w:eastAsia="en-AU"/>
        </w:rPr>
        <w:t xml:space="preserve">come from a range of publications by the AIHW. </w:t>
      </w:r>
      <w:hyperlink w:anchor="Fig0905" w:history="1">
        <w:r w:rsidRPr="00EA40C7">
          <w:rPr>
            <w:rStyle w:val="Hyperlink"/>
            <w:lang w:eastAsia="en-AU"/>
          </w:rPr>
          <w:t>Figure 9.5</w:t>
        </w:r>
      </w:hyperlink>
      <w:r>
        <w:rPr>
          <w:lang w:eastAsia="en-AU"/>
        </w:rPr>
        <w:t xml:space="preserve"> shows that the average LOS has been steadily increasing since 2000 with a sharp increase evident from 2013.</w:t>
      </w:r>
    </w:p>
    <w:p w:rsidR="002E1694" w:rsidRDefault="00693F35" w:rsidP="002E1694">
      <w:pPr>
        <w:pStyle w:val="Caption"/>
        <w:keepNext/>
        <w:jc w:val="both"/>
      </w:pPr>
      <w:bookmarkStart w:id="647" w:name="_Toc495416924"/>
      <w:r>
        <w:t>Figure 9.</w:t>
      </w:r>
      <w:r w:rsidR="009A3F5A">
        <w:fldChar w:fldCharType="begin"/>
      </w:r>
      <w:r w:rsidR="009A3F5A">
        <w:instrText xml:space="preserve"> SEQ Figure_9. \* ARABIC </w:instrText>
      </w:r>
      <w:r w:rsidR="009A3F5A">
        <w:fldChar w:fldCharType="separate"/>
      </w:r>
      <w:r w:rsidR="00856E49">
        <w:rPr>
          <w:noProof/>
        </w:rPr>
        <w:t>5</w:t>
      </w:r>
      <w:r w:rsidR="009A3F5A">
        <w:rPr>
          <w:noProof/>
        </w:rPr>
        <w:fldChar w:fldCharType="end"/>
      </w:r>
      <w:r>
        <w:t xml:space="preserve">: </w:t>
      </w:r>
      <w:r w:rsidRPr="00693F35">
        <w:t>Average months of stay for all separations</w:t>
      </w:r>
      <w:bookmarkEnd w:id="647"/>
    </w:p>
    <w:p w:rsidR="001718E4" w:rsidRDefault="001718E4" w:rsidP="00354BD4">
      <w:pPr>
        <w:spacing w:line="240" w:lineRule="auto"/>
        <w:rPr>
          <w:lang w:eastAsia="en-AU"/>
        </w:rPr>
      </w:pPr>
      <w:r>
        <w:rPr>
          <w:noProof/>
          <w:lang w:eastAsia="en-AU"/>
        </w:rPr>
        <w:drawing>
          <wp:inline distT="0" distB="0" distL="0" distR="0" wp14:anchorId="32F48B90" wp14:editId="6A9AD47F">
            <wp:extent cx="5072380" cy="3560445"/>
            <wp:effectExtent l="0" t="0" r="0" b="1905"/>
            <wp:docPr id="244" name="Picture 244" descr="Figure 9.5 is a line graph illustrating the average lengths of stay (measured by months) between 2000-2015, as summaris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72380" cy="3560445"/>
                    </a:xfrm>
                    <a:prstGeom prst="rect">
                      <a:avLst/>
                    </a:prstGeom>
                    <a:noFill/>
                  </pic:spPr>
                </pic:pic>
              </a:graphicData>
            </a:graphic>
          </wp:inline>
        </w:drawing>
      </w:r>
    </w:p>
    <w:p w:rsidR="00980F62" w:rsidRDefault="00354BD4" w:rsidP="00385CEB">
      <w:pPr>
        <w:spacing w:after="160" w:line="259" w:lineRule="auto"/>
        <w:rPr>
          <w:b/>
          <w:lang w:eastAsia="en-AU"/>
        </w:rPr>
      </w:pPr>
      <w:r w:rsidRPr="00772139">
        <w:rPr>
          <w:rFonts w:cstheme="minorHAnsi"/>
          <w:sz w:val="20"/>
          <w:szCs w:val="20"/>
          <w:lang w:eastAsia="en-AU"/>
        </w:rPr>
        <w:t>Length of stay data compiled by AACS from range of publications by AIHW</w:t>
      </w:r>
    </w:p>
    <w:p w:rsidR="00E07AF4" w:rsidRDefault="00E07AF4">
      <w:pPr>
        <w:spacing w:after="200"/>
        <w:jc w:val="left"/>
        <w:rPr>
          <w:b/>
          <w:lang w:eastAsia="en-AU"/>
        </w:rPr>
      </w:pPr>
      <w:r>
        <w:rPr>
          <w:b/>
          <w:lang w:eastAsia="en-AU"/>
        </w:rPr>
        <w:br w:type="page"/>
      </w:r>
    </w:p>
    <w:p w:rsidR="00354BD4" w:rsidRDefault="00354BD4" w:rsidP="00872E39">
      <w:pPr>
        <w:pStyle w:val="Heading3-Chapter93"/>
      </w:pPr>
      <w:r>
        <w:lastRenderedPageBreak/>
        <w:t>Separations by Length of Stay</w:t>
      </w:r>
    </w:p>
    <w:p w:rsidR="00980F62" w:rsidRDefault="00354BD4" w:rsidP="00496448">
      <w:pPr>
        <w:rPr>
          <w:lang w:eastAsia="en-AU"/>
        </w:rPr>
      </w:pPr>
      <w:r w:rsidRPr="00EF1CA4">
        <w:rPr>
          <w:lang w:eastAsia="en-AU"/>
        </w:rPr>
        <w:t>A fu</w:t>
      </w:r>
      <w:r>
        <w:rPr>
          <w:lang w:eastAsia="en-AU"/>
        </w:rPr>
        <w:t xml:space="preserve">rther analysis was conducted to assess if there were cohort differences which may have been masked by the average LOS analysis described in </w:t>
      </w:r>
      <w:hyperlink w:anchor="Fig0905" w:history="1">
        <w:r w:rsidRPr="00EA40C7">
          <w:rPr>
            <w:rStyle w:val="Hyperlink"/>
            <w:lang w:eastAsia="en-AU"/>
          </w:rPr>
          <w:t>Figure 9.5</w:t>
        </w:r>
      </w:hyperlink>
      <w:r>
        <w:rPr>
          <w:lang w:eastAsia="en-AU"/>
        </w:rPr>
        <w:t>. Are residents now coming into residential aged care sicker and dying sooner than when the ACFI was first introduced in 2008?</w:t>
      </w:r>
    </w:p>
    <w:p w:rsidR="00980F62" w:rsidRDefault="00473246" w:rsidP="001718E4">
      <w:pPr>
        <w:rPr>
          <w:lang w:eastAsia="en-AU"/>
        </w:rPr>
      </w:pPr>
      <w:hyperlink w:anchor="Fig0906" w:history="1">
        <w:r w:rsidR="00354BD4" w:rsidRPr="001514EB">
          <w:rPr>
            <w:rStyle w:val="Hyperlink"/>
            <w:lang w:eastAsia="en-AU"/>
          </w:rPr>
          <w:t>Figure 9.6</w:t>
        </w:r>
      </w:hyperlink>
      <w:r w:rsidR="00354BD4">
        <w:rPr>
          <w:lang w:eastAsia="en-AU"/>
        </w:rPr>
        <w:t xml:space="preserve"> illustrates the outcome of the analysis which looked at separation trends by LOS sub groups from 2007-8 to 2014-15. The data show that the proportion of residents with shorter LOS has decreased, not increased in the up to three months separation cohorts. </w:t>
      </w:r>
      <w:r w:rsidR="00237A38">
        <w:rPr>
          <w:lang w:eastAsia="en-AU"/>
        </w:rPr>
        <w:br/>
      </w:r>
      <w:r w:rsidR="00354BD4">
        <w:rPr>
          <w:lang w:eastAsia="en-AU"/>
        </w:rPr>
        <w:t>It also can be seen that compared to 2007-8 the 7-year trend to 2014-15 is towards longer LOS.</w:t>
      </w:r>
    </w:p>
    <w:p w:rsidR="002E1694" w:rsidRDefault="00693F35" w:rsidP="00B03889">
      <w:pPr>
        <w:pStyle w:val="Caption"/>
        <w:keepNext/>
        <w:spacing w:before="120"/>
        <w:jc w:val="both"/>
      </w:pPr>
      <w:bookmarkStart w:id="648" w:name="_Toc495416925"/>
      <w:r>
        <w:t>Figure 9.</w:t>
      </w:r>
      <w:r w:rsidR="009A3F5A">
        <w:fldChar w:fldCharType="begin"/>
      </w:r>
      <w:r w:rsidR="009A3F5A">
        <w:instrText xml:space="preserve"> SEQ Figure_9. \* ARABIC </w:instrText>
      </w:r>
      <w:r w:rsidR="009A3F5A">
        <w:fldChar w:fldCharType="separate"/>
      </w:r>
      <w:r w:rsidR="00856E49">
        <w:rPr>
          <w:noProof/>
        </w:rPr>
        <w:t>6</w:t>
      </w:r>
      <w:r w:rsidR="009A3F5A">
        <w:rPr>
          <w:noProof/>
        </w:rPr>
        <w:fldChar w:fldCharType="end"/>
      </w:r>
      <w:r>
        <w:t xml:space="preserve">: </w:t>
      </w:r>
      <w:r w:rsidRPr="00693F35">
        <w:t>Separations by length of stay</w:t>
      </w:r>
      <w:bookmarkEnd w:id="648"/>
    </w:p>
    <w:p w:rsidR="001718E4" w:rsidRDefault="001718E4" w:rsidP="00354BD4">
      <w:pPr>
        <w:spacing w:after="200"/>
        <w:rPr>
          <w:szCs w:val="24"/>
          <w:lang w:eastAsia="en-AU"/>
        </w:rPr>
      </w:pPr>
      <w:r>
        <w:rPr>
          <w:noProof/>
          <w:szCs w:val="24"/>
          <w:lang w:eastAsia="en-AU"/>
        </w:rPr>
        <w:drawing>
          <wp:inline distT="0" distB="0" distL="0" distR="0" wp14:anchorId="50D70D63" wp14:editId="65297577">
            <wp:extent cx="5050800" cy="3240000"/>
            <wp:effectExtent l="0" t="0" r="0" b="0"/>
            <wp:docPr id="246" name="Picture 246" descr="Figure 9.6 is a bar graph illustrating the percentage of lengths of stay for 2007-2008 and 20014-2015, as summarised in the text prior to this image. The lengths of stay have been separated into seven categories:&#10;1. less than a month&#10;2. 1-3 months&#10;3. 3-6 months&#10;4. 6-12 months&#10;5. 1-2 years&#10;6. 2-5 years&#10;7. over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50800" cy="3240000"/>
                    </a:xfrm>
                    <a:prstGeom prst="rect">
                      <a:avLst/>
                    </a:prstGeom>
                    <a:noFill/>
                  </pic:spPr>
                </pic:pic>
              </a:graphicData>
            </a:graphic>
          </wp:inline>
        </w:drawing>
      </w:r>
    </w:p>
    <w:p w:rsidR="00980F62" w:rsidRDefault="00354BD4" w:rsidP="003D74A2">
      <w:pPr>
        <w:spacing w:after="200"/>
        <w:ind w:right="-188"/>
        <w:rPr>
          <w:rFonts w:ascii="Calibri" w:eastAsia="Times New Roman" w:hAnsi="Calibri" w:cs="Times New Roman"/>
          <w:color w:val="000000"/>
          <w:sz w:val="20"/>
          <w:szCs w:val="20"/>
          <w:lang w:val="en-US"/>
        </w:rPr>
      </w:pPr>
      <w:r w:rsidRPr="00A602D5">
        <w:rPr>
          <w:rFonts w:ascii="Calibri" w:eastAsia="Times New Roman" w:hAnsi="Calibri" w:cs="Times New Roman"/>
          <w:color w:val="000000"/>
          <w:sz w:val="20"/>
          <w:szCs w:val="20"/>
          <w:lang w:val="en-US"/>
        </w:rPr>
        <w:t xml:space="preserve">Separation durations for </w:t>
      </w:r>
      <w:r>
        <w:rPr>
          <w:rFonts w:ascii="Calibri" w:eastAsia="Times New Roman" w:hAnsi="Calibri" w:cs="Times New Roman"/>
          <w:color w:val="000000"/>
          <w:sz w:val="20"/>
          <w:szCs w:val="20"/>
          <w:lang w:val="en-US"/>
        </w:rPr>
        <w:t>20</w:t>
      </w:r>
      <w:r w:rsidRPr="00A602D5">
        <w:rPr>
          <w:rFonts w:ascii="Calibri" w:eastAsia="Times New Roman" w:hAnsi="Calibri" w:cs="Times New Roman"/>
          <w:color w:val="000000"/>
          <w:sz w:val="20"/>
          <w:szCs w:val="20"/>
          <w:lang w:val="en-US"/>
        </w:rPr>
        <w:t>07-08 are from Table 3.9 of "Residential aged care in Australia</w:t>
      </w:r>
      <w:r>
        <w:rPr>
          <w:rFonts w:ascii="Calibri" w:eastAsia="Times New Roman" w:hAnsi="Calibri" w:cs="Times New Roman"/>
          <w:color w:val="000000"/>
          <w:sz w:val="20"/>
          <w:szCs w:val="20"/>
          <w:lang w:val="en-US"/>
        </w:rPr>
        <w:t xml:space="preserve"> 2007-08 (AIHW 2009</w:t>
      </w:r>
      <w:r w:rsidRPr="00A602D5">
        <w:rPr>
          <w:rFonts w:ascii="Calibri" w:eastAsia="Times New Roman" w:hAnsi="Calibri" w:cs="Times New Roman"/>
          <w:color w:val="000000"/>
          <w:sz w:val="20"/>
          <w:szCs w:val="20"/>
          <w:lang w:val="en-US"/>
        </w:rPr>
        <w:t>)</w:t>
      </w:r>
      <w:r>
        <w:rPr>
          <w:rFonts w:ascii="Calibri" w:eastAsia="Times New Roman" w:hAnsi="Calibri" w:cs="Times New Roman"/>
          <w:color w:val="000000"/>
          <w:sz w:val="20"/>
          <w:szCs w:val="20"/>
          <w:lang w:val="en-US"/>
        </w:rPr>
        <w:t xml:space="preserve">. </w:t>
      </w:r>
      <w:r w:rsidRPr="00A602D5">
        <w:rPr>
          <w:rFonts w:ascii="Calibri" w:eastAsia="Times New Roman" w:hAnsi="Calibri" w:cs="Times New Roman"/>
          <w:color w:val="000000"/>
          <w:sz w:val="20"/>
          <w:szCs w:val="20"/>
          <w:lang w:val="en-US"/>
        </w:rPr>
        <w:t xml:space="preserve">Separation durations for </w:t>
      </w:r>
      <w:r>
        <w:rPr>
          <w:rFonts w:ascii="Calibri" w:eastAsia="Times New Roman" w:hAnsi="Calibri" w:cs="Times New Roman"/>
          <w:color w:val="000000"/>
          <w:sz w:val="20"/>
          <w:szCs w:val="20"/>
          <w:lang w:val="en-US"/>
        </w:rPr>
        <w:t>20</w:t>
      </w:r>
      <w:r w:rsidRPr="00A602D5">
        <w:rPr>
          <w:rFonts w:ascii="Calibri" w:eastAsia="Times New Roman" w:hAnsi="Calibri" w:cs="Times New Roman"/>
          <w:color w:val="000000"/>
          <w:sz w:val="20"/>
          <w:szCs w:val="20"/>
          <w:lang w:val="en-US"/>
        </w:rPr>
        <w:t>14-15 are from table S1.39 of "Residential aged care and home</w:t>
      </w:r>
      <w:r w:rsidRPr="007F21FB">
        <w:rPr>
          <w:rFonts w:ascii="Calibri" w:eastAsia="Times New Roman" w:hAnsi="Calibri" w:cs="Times New Roman"/>
          <w:color w:val="000000"/>
          <w:sz w:val="20"/>
          <w:szCs w:val="20"/>
          <w:lang w:val="en-US"/>
        </w:rPr>
        <w:t xml:space="preserve"> </w:t>
      </w:r>
      <w:r w:rsidRPr="00A602D5">
        <w:rPr>
          <w:rFonts w:ascii="Calibri" w:eastAsia="Times New Roman" w:hAnsi="Calibri" w:cs="Times New Roman"/>
          <w:color w:val="000000"/>
          <w:sz w:val="20"/>
          <w:szCs w:val="20"/>
          <w:lang w:val="en-US"/>
        </w:rPr>
        <w:t>care 2014–15"</w:t>
      </w:r>
    </w:p>
    <w:p w:rsidR="00980F62" w:rsidRDefault="00354BD4" w:rsidP="00872E39">
      <w:pPr>
        <w:pStyle w:val="Heading3-Chapter93"/>
      </w:pPr>
      <w:r>
        <w:t>Average Age at Entry</w:t>
      </w:r>
      <w:r w:rsidRPr="00E22C26">
        <w:t xml:space="preserve"> </w:t>
      </w:r>
      <w:r>
        <w:t>and Aged in Care</w:t>
      </w:r>
    </w:p>
    <w:p w:rsidR="00354BD4" w:rsidRDefault="00354BD4" w:rsidP="00496448">
      <w:pPr>
        <w:rPr>
          <w:lang w:eastAsia="en-AU"/>
        </w:rPr>
      </w:pPr>
      <w:r>
        <w:rPr>
          <w:lang w:eastAsia="en-AU"/>
        </w:rPr>
        <w:t>The a</w:t>
      </w:r>
      <w:r w:rsidRPr="00CE2E8F">
        <w:rPr>
          <w:lang w:eastAsia="en-AU"/>
        </w:rPr>
        <w:t xml:space="preserve">verage age at entry to residential </w:t>
      </w:r>
      <w:r>
        <w:rPr>
          <w:lang w:eastAsia="en-AU"/>
        </w:rPr>
        <w:t xml:space="preserve">aged </w:t>
      </w:r>
      <w:r w:rsidRPr="00CE2E8F">
        <w:rPr>
          <w:lang w:eastAsia="en-AU"/>
        </w:rPr>
        <w:t>care</w:t>
      </w:r>
      <w:r>
        <w:rPr>
          <w:lang w:eastAsia="en-AU"/>
        </w:rPr>
        <w:t xml:space="preserve"> and the average age of a resident in aged care from AIHW data sources are shown in </w:t>
      </w:r>
      <w:hyperlink w:anchor="Fig0907" w:history="1">
        <w:r w:rsidRPr="001514EB">
          <w:rPr>
            <w:rStyle w:val="Hyperlink"/>
            <w:lang w:eastAsia="en-AU"/>
          </w:rPr>
          <w:t>Figure 9.7</w:t>
        </w:r>
      </w:hyperlink>
      <w:r>
        <w:rPr>
          <w:lang w:eastAsia="en-AU"/>
        </w:rPr>
        <w:t xml:space="preserve">. The data between 2009 and 2014 show a 6-month (83.4 to 83.9 years) average </w:t>
      </w:r>
      <w:r w:rsidRPr="00CE2E8F">
        <w:rPr>
          <w:lang w:eastAsia="en-AU"/>
        </w:rPr>
        <w:t xml:space="preserve">increase </w:t>
      </w:r>
      <w:r>
        <w:rPr>
          <w:lang w:eastAsia="en-AU"/>
        </w:rPr>
        <w:t>in the age of a resident on admission to residential aged care and a similar 6-month increase in the average age of a resident over the same period.</w:t>
      </w:r>
    </w:p>
    <w:p w:rsidR="00980F62" w:rsidRDefault="00354BD4" w:rsidP="00496448">
      <w:pPr>
        <w:rPr>
          <w:lang w:eastAsia="en-AU"/>
        </w:rPr>
      </w:pPr>
      <w:r>
        <w:rPr>
          <w:lang w:eastAsia="en-AU"/>
        </w:rPr>
        <w:t>These small increases in age at admission and resident age are unlikely to be significantly impacting on</w:t>
      </w:r>
      <w:r w:rsidRPr="009E008A">
        <w:rPr>
          <w:lang w:eastAsia="en-AU"/>
        </w:rPr>
        <w:t xml:space="preserve"> </w:t>
      </w:r>
      <w:r>
        <w:rPr>
          <w:lang w:eastAsia="en-AU"/>
        </w:rPr>
        <w:t xml:space="preserve">resident acuity nor ACFI dependency ratings and therefore, increased age of residents as a possible explanation for </w:t>
      </w:r>
      <w:r>
        <w:t xml:space="preserve">growth in ACFI funding </w:t>
      </w:r>
      <w:r>
        <w:rPr>
          <w:lang w:eastAsia="en-AU"/>
        </w:rPr>
        <w:t>is not supported by the evidence.</w:t>
      </w:r>
    </w:p>
    <w:p w:rsidR="002E1694" w:rsidRDefault="00693F35" w:rsidP="002E1694">
      <w:pPr>
        <w:pStyle w:val="Caption"/>
        <w:keepNext/>
        <w:jc w:val="both"/>
      </w:pPr>
      <w:bookmarkStart w:id="649" w:name="_Toc495416926"/>
      <w:r>
        <w:t>Figure 9.</w:t>
      </w:r>
      <w:r w:rsidR="009A3F5A">
        <w:fldChar w:fldCharType="begin"/>
      </w:r>
      <w:r w:rsidR="009A3F5A">
        <w:instrText xml:space="preserve"> SEQ Figure_9. \* ARABIC </w:instrText>
      </w:r>
      <w:r w:rsidR="009A3F5A">
        <w:fldChar w:fldCharType="separate"/>
      </w:r>
      <w:r w:rsidR="00856E49">
        <w:rPr>
          <w:noProof/>
        </w:rPr>
        <w:t>7</w:t>
      </w:r>
      <w:r w:rsidR="009A3F5A">
        <w:rPr>
          <w:noProof/>
        </w:rPr>
        <w:fldChar w:fldCharType="end"/>
      </w:r>
      <w:r>
        <w:t>:</w:t>
      </w:r>
      <w:r w:rsidRPr="00693F35">
        <w:rPr>
          <w:rFonts w:asciiTheme="minorHAnsi" w:hAnsiTheme="minorHAnsi" w:cstheme="minorBidi"/>
          <w:b w:val="0"/>
          <w:iCs w:val="0"/>
          <w:szCs w:val="22"/>
          <w:lang w:eastAsia="en-AU"/>
        </w:rPr>
        <w:t xml:space="preserve"> </w:t>
      </w:r>
      <w:r w:rsidRPr="00693F35">
        <w:t>Average Age at Entry</w:t>
      </w:r>
      <w:bookmarkEnd w:id="649"/>
    </w:p>
    <w:p w:rsidR="001718E4" w:rsidRDefault="001718E4" w:rsidP="00354BD4">
      <w:pPr>
        <w:rPr>
          <w:b/>
          <w:lang w:eastAsia="en-AU"/>
        </w:rPr>
      </w:pPr>
      <w:r>
        <w:rPr>
          <w:b/>
          <w:noProof/>
          <w:lang w:eastAsia="en-AU"/>
        </w:rPr>
        <w:drawing>
          <wp:inline distT="0" distB="0" distL="0" distR="0" wp14:anchorId="028C42A8" wp14:editId="59E5D423">
            <wp:extent cx="5681980" cy="3469005"/>
            <wp:effectExtent l="0" t="0" r="0" b="0"/>
            <wp:docPr id="248" name="Picture 248" descr="Figure 9.7 is a line graph illustrating the average age at entry to residential aged care and the average age of a resident in residential aged care between 2009-2014, as summaris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81980" cy="3469005"/>
                    </a:xfrm>
                    <a:prstGeom prst="rect">
                      <a:avLst/>
                    </a:prstGeom>
                    <a:noFill/>
                  </pic:spPr>
                </pic:pic>
              </a:graphicData>
            </a:graphic>
          </wp:inline>
        </w:drawing>
      </w:r>
    </w:p>
    <w:p w:rsidR="00354BD4" w:rsidRDefault="00354BD4" w:rsidP="003D74A2">
      <w:pPr>
        <w:spacing w:after="240" w:line="240" w:lineRule="auto"/>
        <w:rPr>
          <w:rFonts w:ascii="Calibri" w:eastAsia="Times New Roman" w:hAnsi="Calibri" w:cs="Times New Roman"/>
          <w:color w:val="000000"/>
          <w:sz w:val="20"/>
          <w:szCs w:val="20"/>
          <w:lang w:val="en-US"/>
        </w:rPr>
      </w:pPr>
      <w:r w:rsidRPr="00702C36">
        <w:rPr>
          <w:rFonts w:ascii="Calibri" w:eastAsia="Times New Roman" w:hAnsi="Calibri" w:cs="Times New Roman"/>
          <w:color w:val="000000"/>
          <w:sz w:val="20"/>
          <w:szCs w:val="20"/>
          <w:lang w:val="en-US"/>
        </w:rPr>
        <w:t xml:space="preserve">Published admission data up to </w:t>
      </w:r>
      <w:r>
        <w:rPr>
          <w:rFonts w:ascii="Calibri" w:eastAsia="Times New Roman" w:hAnsi="Calibri" w:cs="Times New Roman"/>
          <w:color w:val="000000"/>
          <w:sz w:val="20"/>
          <w:szCs w:val="20"/>
          <w:lang w:val="en-US"/>
        </w:rPr>
        <w:t>20</w:t>
      </w:r>
      <w:r w:rsidRPr="00702C36">
        <w:rPr>
          <w:rFonts w:ascii="Calibri" w:eastAsia="Times New Roman" w:hAnsi="Calibri" w:cs="Times New Roman"/>
          <w:color w:val="000000"/>
          <w:sz w:val="20"/>
          <w:szCs w:val="20"/>
          <w:lang w:val="en-US"/>
        </w:rPr>
        <w:t xml:space="preserve">12-13, and resident data for </w:t>
      </w:r>
      <w:r>
        <w:rPr>
          <w:rFonts w:ascii="Calibri" w:eastAsia="Times New Roman" w:hAnsi="Calibri" w:cs="Times New Roman"/>
          <w:color w:val="000000"/>
          <w:sz w:val="20"/>
          <w:szCs w:val="20"/>
          <w:lang w:val="en-US"/>
        </w:rPr>
        <w:t>20</w:t>
      </w:r>
      <w:r w:rsidRPr="00702C36">
        <w:rPr>
          <w:rFonts w:ascii="Calibri" w:eastAsia="Times New Roman" w:hAnsi="Calibri" w:cs="Times New Roman"/>
          <w:color w:val="000000"/>
          <w:sz w:val="20"/>
          <w:szCs w:val="20"/>
          <w:lang w:val="en-US"/>
        </w:rPr>
        <w:t>08-09, were incompletely</w:t>
      </w:r>
      <w:r w:rsidRPr="00702C36">
        <w:rPr>
          <w:sz w:val="20"/>
          <w:szCs w:val="20"/>
          <w:lang w:eastAsia="en-AU"/>
        </w:rPr>
        <w:t xml:space="preserve"> </w:t>
      </w:r>
      <w:r w:rsidRPr="00702C36">
        <w:rPr>
          <w:rFonts w:ascii="Calibri" w:eastAsia="Times New Roman" w:hAnsi="Calibri" w:cs="Times New Roman"/>
          <w:color w:val="000000"/>
          <w:sz w:val="20"/>
          <w:szCs w:val="20"/>
          <w:lang w:val="en-US"/>
        </w:rPr>
        <w:t>subdivided by ages, so the age assumptions of the youngest and oldest groups were</w:t>
      </w:r>
      <w:r w:rsidRPr="00702C36">
        <w:rPr>
          <w:sz w:val="20"/>
          <w:szCs w:val="20"/>
          <w:lang w:eastAsia="en-AU"/>
        </w:rPr>
        <w:t xml:space="preserve"> </w:t>
      </w:r>
      <w:r w:rsidRPr="00702C36">
        <w:rPr>
          <w:rFonts w:ascii="Calibri" w:eastAsia="Times New Roman" w:hAnsi="Calibri" w:cs="Times New Roman"/>
          <w:color w:val="000000"/>
          <w:sz w:val="20"/>
          <w:szCs w:val="20"/>
          <w:lang w:val="en-US"/>
        </w:rPr>
        <w:t xml:space="preserve">based on those derived from </w:t>
      </w:r>
      <w:r>
        <w:rPr>
          <w:rFonts w:ascii="Calibri" w:eastAsia="Times New Roman" w:hAnsi="Calibri" w:cs="Times New Roman"/>
          <w:color w:val="000000"/>
          <w:sz w:val="20"/>
          <w:szCs w:val="20"/>
          <w:lang w:val="en-US"/>
        </w:rPr>
        <w:t>20</w:t>
      </w:r>
      <w:r w:rsidRPr="00702C36">
        <w:rPr>
          <w:rFonts w:ascii="Calibri" w:eastAsia="Times New Roman" w:hAnsi="Calibri" w:cs="Times New Roman"/>
          <w:color w:val="000000"/>
          <w:sz w:val="20"/>
          <w:szCs w:val="20"/>
          <w:lang w:val="en-US"/>
        </w:rPr>
        <w:t xml:space="preserve">13-14 for admissions, and from </w:t>
      </w:r>
      <w:r>
        <w:rPr>
          <w:rFonts w:ascii="Calibri" w:eastAsia="Times New Roman" w:hAnsi="Calibri" w:cs="Times New Roman"/>
          <w:color w:val="000000"/>
          <w:sz w:val="20"/>
          <w:szCs w:val="20"/>
          <w:lang w:val="en-US"/>
        </w:rPr>
        <w:t>20</w:t>
      </w:r>
      <w:r w:rsidRPr="00702C36">
        <w:rPr>
          <w:rFonts w:ascii="Calibri" w:eastAsia="Times New Roman" w:hAnsi="Calibri" w:cs="Times New Roman"/>
          <w:color w:val="000000"/>
          <w:sz w:val="20"/>
          <w:szCs w:val="20"/>
          <w:lang w:val="en-US"/>
        </w:rPr>
        <w:t>09-10 for residents. Where full subdivisions by age were available, the average age for each group was</w:t>
      </w:r>
      <w:r w:rsidRPr="00702C36">
        <w:rPr>
          <w:sz w:val="20"/>
          <w:szCs w:val="20"/>
          <w:lang w:eastAsia="en-AU"/>
        </w:rPr>
        <w:t xml:space="preserve"> </w:t>
      </w:r>
      <w:r w:rsidRPr="00702C36">
        <w:rPr>
          <w:rFonts w:ascii="Calibri" w:eastAsia="Times New Roman" w:hAnsi="Calibri" w:cs="Times New Roman"/>
          <w:color w:val="000000"/>
          <w:sz w:val="20"/>
          <w:szCs w:val="20"/>
          <w:lang w:val="en-US"/>
        </w:rPr>
        <w:t>assumed to be at the midpoint of the range.</w:t>
      </w:r>
    </w:p>
    <w:p w:rsidR="00354BD4" w:rsidRDefault="00354BD4" w:rsidP="00354BD4">
      <w:pPr>
        <w:rPr>
          <w:szCs w:val="24"/>
          <w:lang w:eastAsia="en-AU"/>
        </w:rPr>
      </w:pPr>
      <w:r>
        <w:rPr>
          <w:szCs w:val="24"/>
          <w:lang w:eastAsia="en-AU"/>
        </w:rPr>
        <w:t>Using published data</w:t>
      </w:r>
      <w:r w:rsidRPr="009562E2">
        <w:rPr>
          <w:szCs w:val="24"/>
          <w:lang w:eastAsia="en-AU"/>
        </w:rPr>
        <w:t xml:space="preserve">, </w:t>
      </w:r>
      <w:r>
        <w:rPr>
          <w:szCs w:val="24"/>
          <w:lang w:eastAsia="en-AU"/>
        </w:rPr>
        <w:t>it can be shown that:</w:t>
      </w:r>
    </w:p>
    <w:p w:rsidR="00980F62" w:rsidRDefault="00354BD4" w:rsidP="00557DB1">
      <w:pPr>
        <w:pStyle w:val="ListParagraph"/>
        <w:numPr>
          <w:ilvl w:val="0"/>
          <w:numId w:val="16"/>
        </w:numPr>
        <w:rPr>
          <w:szCs w:val="24"/>
          <w:lang w:eastAsia="en-AU"/>
        </w:rPr>
      </w:pPr>
      <w:r>
        <w:rPr>
          <w:lang w:eastAsia="en-AU"/>
        </w:rPr>
        <w:t>LOS</w:t>
      </w:r>
      <w:r w:rsidRPr="009562E2">
        <w:rPr>
          <w:lang w:eastAsia="en-AU"/>
        </w:rPr>
        <w:t xml:space="preserve"> has </w:t>
      </w:r>
      <w:r>
        <w:rPr>
          <w:lang w:eastAsia="en-AU"/>
        </w:rPr>
        <w:t xml:space="preserve">been at the least maintained and possibly increasing </w:t>
      </w:r>
      <w:r w:rsidRPr="009562E2">
        <w:rPr>
          <w:lang w:eastAsia="en-AU"/>
        </w:rPr>
        <w:t xml:space="preserve">over the past 15 years </w:t>
      </w:r>
      <w:r>
        <w:rPr>
          <w:lang w:eastAsia="en-AU"/>
        </w:rPr>
        <w:t>(</w:t>
      </w:r>
      <w:hyperlink w:anchor="Fig0905" w:history="1">
        <w:r w:rsidRPr="00EA40C7">
          <w:rPr>
            <w:rStyle w:val="Hyperlink"/>
            <w:lang w:eastAsia="en-AU"/>
          </w:rPr>
          <w:t>Figure 9.5</w:t>
        </w:r>
      </w:hyperlink>
      <w:r>
        <w:rPr>
          <w:lang w:eastAsia="en-AU"/>
        </w:rPr>
        <w:t xml:space="preserve">). </w:t>
      </w:r>
      <w:r>
        <w:rPr>
          <w:szCs w:val="24"/>
          <w:lang w:eastAsia="en-AU"/>
        </w:rPr>
        <w:t>T</w:t>
      </w:r>
      <w:r w:rsidRPr="00B5517C">
        <w:rPr>
          <w:szCs w:val="24"/>
          <w:lang w:eastAsia="en-AU"/>
        </w:rPr>
        <w:t xml:space="preserve">he average months of stay for all separations has consistently </w:t>
      </w:r>
      <w:r>
        <w:rPr>
          <w:szCs w:val="24"/>
          <w:lang w:eastAsia="en-AU"/>
        </w:rPr>
        <w:t>increased from 31.5 months in 1999-</w:t>
      </w:r>
      <w:r w:rsidRPr="00B5517C">
        <w:rPr>
          <w:szCs w:val="24"/>
          <w:lang w:eastAsia="en-AU"/>
        </w:rPr>
        <w:t>00 to 34.8 months in 20</w:t>
      </w:r>
      <w:r>
        <w:rPr>
          <w:szCs w:val="24"/>
          <w:lang w:eastAsia="en-AU"/>
        </w:rPr>
        <w:t>14-</w:t>
      </w:r>
      <w:r w:rsidRPr="00B5517C">
        <w:rPr>
          <w:szCs w:val="24"/>
          <w:lang w:eastAsia="en-AU"/>
        </w:rPr>
        <w:t>15.</w:t>
      </w:r>
    </w:p>
    <w:p w:rsidR="00980F62" w:rsidRDefault="00354BD4" w:rsidP="00557DB1">
      <w:pPr>
        <w:pStyle w:val="ListParagraph"/>
        <w:numPr>
          <w:ilvl w:val="0"/>
          <w:numId w:val="16"/>
        </w:numPr>
        <w:rPr>
          <w:szCs w:val="24"/>
          <w:lang w:eastAsia="en-AU"/>
        </w:rPr>
      </w:pPr>
      <w:r>
        <w:rPr>
          <w:szCs w:val="24"/>
          <w:lang w:eastAsia="en-AU"/>
        </w:rPr>
        <w:t>T</w:t>
      </w:r>
      <w:r w:rsidRPr="00B5517C">
        <w:rPr>
          <w:szCs w:val="24"/>
          <w:lang w:eastAsia="en-AU"/>
        </w:rPr>
        <w:t xml:space="preserve">here </w:t>
      </w:r>
      <w:r>
        <w:rPr>
          <w:szCs w:val="24"/>
          <w:lang w:eastAsia="en-AU"/>
        </w:rPr>
        <w:t xml:space="preserve">has been </w:t>
      </w:r>
      <w:r w:rsidRPr="00B5517C">
        <w:rPr>
          <w:szCs w:val="24"/>
          <w:lang w:eastAsia="en-AU"/>
        </w:rPr>
        <w:t xml:space="preserve">a </w:t>
      </w:r>
      <w:r>
        <w:rPr>
          <w:szCs w:val="24"/>
          <w:lang w:eastAsia="en-AU"/>
        </w:rPr>
        <w:t xml:space="preserve">very </w:t>
      </w:r>
      <w:r w:rsidRPr="00B5517C">
        <w:rPr>
          <w:szCs w:val="24"/>
          <w:lang w:eastAsia="en-AU"/>
        </w:rPr>
        <w:t xml:space="preserve">small increase in the age at entry to an aged care </w:t>
      </w:r>
      <w:r>
        <w:rPr>
          <w:szCs w:val="24"/>
          <w:lang w:eastAsia="en-AU"/>
        </w:rPr>
        <w:t>facility</w:t>
      </w:r>
      <w:r w:rsidRPr="00B5517C">
        <w:rPr>
          <w:szCs w:val="24"/>
          <w:lang w:eastAsia="en-AU"/>
        </w:rPr>
        <w:t xml:space="preserve"> in the last 6 years (83.4 years in 2008</w:t>
      </w:r>
      <w:r>
        <w:rPr>
          <w:szCs w:val="24"/>
          <w:lang w:eastAsia="en-AU"/>
        </w:rPr>
        <w:t>-9</w:t>
      </w:r>
      <w:r w:rsidRPr="00B5517C">
        <w:rPr>
          <w:szCs w:val="24"/>
          <w:lang w:eastAsia="en-AU"/>
        </w:rPr>
        <w:t>; 83.9 years in 2014</w:t>
      </w:r>
      <w:r>
        <w:rPr>
          <w:szCs w:val="24"/>
          <w:lang w:eastAsia="en-AU"/>
        </w:rPr>
        <w:t>-15</w:t>
      </w:r>
      <w:r w:rsidRPr="00B5517C">
        <w:rPr>
          <w:szCs w:val="24"/>
          <w:lang w:eastAsia="en-AU"/>
        </w:rPr>
        <w:t xml:space="preserve"> </w:t>
      </w:r>
      <w:r>
        <w:rPr>
          <w:szCs w:val="24"/>
          <w:lang w:eastAsia="en-AU"/>
        </w:rPr>
        <w:t xml:space="preserve">- </w:t>
      </w:r>
      <w:hyperlink w:anchor="Fig0907" w:history="1">
        <w:r w:rsidRPr="001514EB">
          <w:rPr>
            <w:rStyle w:val="Hyperlink"/>
            <w:szCs w:val="24"/>
            <w:lang w:eastAsia="en-AU"/>
          </w:rPr>
          <w:t>Figure 9.7</w:t>
        </w:r>
      </w:hyperlink>
      <w:r w:rsidRPr="00B5517C">
        <w:rPr>
          <w:szCs w:val="24"/>
          <w:lang w:eastAsia="en-AU"/>
        </w:rPr>
        <w:t>).</w:t>
      </w:r>
    </w:p>
    <w:p w:rsidR="00354BD4" w:rsidRPr="00B5517C" w:rsidRDefault="00354BD4" w:rsidP="00557DB1">
      <w:pPr>
        <w:pStyle w:val="ListParagraph"/>
        <w:numPr>
          <w:ilvl w:val="0"/>
          <w:numId w:val="16"/>
        </w:numPr>
        <w:rPr>
          <w:lang w:eastAsia="en-AU"/>
        </w:rPr>
      </w:pPr>
      <w:r w:rsidRPr="001514EB">
        <w:rPr>
          <w:szCs w:val="24"/>
          <w:lang w:eastAsia="en-AU"/>
        </w:rPr>
        <w:t xml:space="preserve">The age of residents in care has increased slightly (84.5 years to 85 years - </w:t>
      </w:r>
      <w:hyperlink w:anchor="Fig0907" w:history="1">
        <w:r w:rsidRPr="001514EB">
          <w:rPr>
            <w:rStyle w:val="Hyperlink"/>
            <w:szCs w:val="24"/>
            <w:lang w:eastAsia="en-AU"/>
          </w:rPr>
          <w:t>Figure 9.7</w:t>
        </w:r>
      </w:hyperlink>
      <w:r w:rsidR="000915F8" w:rsidRPr="001514EB">
        <w:rPr>
          <w:szCs w:val="24"/>
          <w:lang w:eastAsia="en-AU"/>
        </w:rPr>
        <w:t>).</w:t>
      </w:r>
    </w:p>
    <w:p w:rsidR="00980F62" w:rsidRDefault="00473246" w:rsidP="00557DB1">
      <w:pPr>
        <w:pStyle w:val="ListParagraph"/>
        <w:numPr>
          <w:ilvl w:val="0"/>
          <w:numId w:val="16"/>
        </w:numPr>
        <w:rPr>
          <w:lang w:eastAsia="en-AU"/>
        </w:rPr>
      </w:pPr>
      <w:hyperlink w:anchor="Fig0906" w:history="1">
        <w:r w:rsidR="00354BD4" w:rsidRPr="002D5589">
          <w:rPr>
            <w:rStyle w:val="Hyperlink"/>
            <w:lang w:eastAsia="en-AU"/>
          </w:rPr>
          <w:t>Figure 9.6</w:t>
        </w:r>
      </w:hyperlink>
      <w:r w:rsidR="00354BD4" w:rsidRPr="00772139">
        <w:rPr>
          <w:lang w:eastAsia="en-AU"/>
        </w:rPr>
        <w:t xml:space="preserve"> shows the distribution of </w:t>
      </w:r>
      <w:r w:rsidR="00354BD4">
        <w:rPr>
          <w:lang w:eastAsia="en-AU"/>
        </w:rPr>
        <w:t>LOS</w:t>
      </w:r>
      <w:r w:rsidR="00354BD4" w:rsidRPr="00772139">
        <w:rPr>
          <w:lang w:eastAsia="en-AU"/>
        </w:rPr>
        <w:t xml:space="preserve"> for separations in </w:t>
      </w:r>
      <w:r w:rsidR="00354BD4">
        <w:rPr>
          <w:lang w:eastAsia="en-AU"/>
        </w:rPr>
        <w:t>20</w:t>
      </w:r>
      <w:r w:rsidR="00354BD4" w:rsidRPr="00772139">
        <w:rPr>
          <w:lang w:eastAsia="en-AU"/>
        </w:rPr>
        <w:t xml:space="preserve">07-08 and </w:t>
      </w:r>
      <w:r w:rsidR="00354BD4">
        <w:rPr>
          <w:lang w:eastAsia="en-AU"/>
        </w:rPr>
        <w:t>20</w:t>
      </w:r>
      <w:r w:rsidR="00354BD4" w:rsidRPr="00772139">
        <w:rPr>
          <w:lang w:eastAsia="en-AU"/>
        </w:rPr>
        <w:t>14-15, from AIHW 200</w:t>
      </w:r>
      <w:r w:rsidR="00354BD4">
        <w:rPr>
          <w:lang w:eastAsia="en-AU"/>
        </w:rPr>
        <w:t>8-</w:t>
      </w:r>
      <w:r w:rsidR="00354BD4" w:rsidRPr="00772139">
        <w:rPr>
          <w:lang w:eastAsia="en-AU"/>
        </w:rPr>
        <w:t>9 and 20</w:t>
      </w:r>
      <w:r w:rsidR="00354BD4">
        <w:rPr>
          <w:lang w:eastAsia="en-AU"/>
        </w:rPr>
        <w:t>15-</w:t>
      </w:r>
      <w:r w:rsidR="00354BD4" w:rsidRPr="00772139">
        <w:rPr>
          <w:lang w:eastAsia="en-AU"/>
        </w:rPr>
        <w:t xml:space="preserve">16 data. The proportions at the two shortest durations decreased, and those at all the higher durations have increased. The proportion </w:t>
      </w:r>
      <w:r w:rsidR="00354BD4">
        <w:rPr>
          <w:lang w:eastAsia="en-AU"/>
        </w:rPr>
        <w:t>of residents l</w:t>
      </w:r>
      <w:r w:rsidR="00354BD4" w:rsidRPr="00772139">
        <w:rPr>
          <w:lang w:eastAsia="en-AU"/>
        </w:rPr>
        <w:t>eaving in less than 2 years has dropped from 53.3</w:t>
      </w:r>
      <w:r w:rsidR="0065091B">
        <w:rPr>
          <w:lang w:eastAsia="en-AU"/>
        </w:rPr>
        <w:t xml:space="preserve"> </w:t>
      </w:r>
      <w:r w:rsidR="00354BD4" w:rsidRPr="00772139">
        <w:rPr>
          <w:lang w:eastAsia="en-AU"/>
        </w:rPr>
        <w:t>to 50.9</w:t>
      </w:r>
      <w:r w:rsidR="0065091B">
        <w:rPr>
          <w:lang w:eastAsia="en-AU"/>
        </w:rPr>
        <w:t xml:space="preserve"> per cent</w:t>
      </w:r>
      <w:r w:rsidR="00354BD4" w:rsidRPr="00772139">
        <w:rPr>
          <w:lang w:eastAsia="en-AU"/>
        </w:rPr>
        <w:t xml:space="preserve">. </w:t>
      </w:r>
      <w:r w:rsidR="00354BD4">
        <w:rPr>
          <w:lang w:eastAsia="en-AU"/>
        </w:rPr>
        <w:t>Residents are tending to have increased LOS in aged care facilities.</w:t>
      </w:r>
    </w:p>
    <w:p w:rsidR="00980F62" w:rsidRDefault="00354BD4" w:rsidP="00354BD4">
      <w:pPr>
        <w:spacing w:after="160" w:line="259" w:lineRule="auto"/>
        <w:rPr>
          <w:szCs w:val="24"/>
          <w:lang w:eastAsia="en-AU"/>
        </w:rPr>
      </w:pPr>
      <w:r>
        <w:rPr>
          <w:szCs w:val="24"/>
          <w:lang w:eastAsia="en-AU"/>
        </w:rPr>
        <w:t>C</w:t>
      </w:r>
      <w:r w:rsidRPr="00CF341A">
        <w:rPr>
          <w:szCs w:val="24"/>
          <w:lang w:eastAsia="en-AU"/>
        </w:rPr>
        <w:t xml:space="preserve">urrent evidence indicates that residents are </w:t>
      </w:r>
      <w:r>
        <w:rPr>
          <w:szCs w:val="24"/>
          <w:lang w:eastAsia="en-AU"/>
        </w:rPr>
        <w:t xml:space="preserve">not </w:t>
      </w:r>
      <w:r w:rsidRPr="00CF341A">
        <w:rPr>
          <w:szCs w:val="24"/>
          <w:lang w:eastAsia="en-AU"/>
        </w:rPr>
        <w:t xml:space="preserve">much older, sicker or having shorter </w:t>
      </w:r>
      <w:r>
        <w:rPr>
          <w:szCs w:val="24"/>
          <w:lang w:eastAsia="en-AU"/>
        </w:rPr>
        <w:t>LOS</w:t>
      </w:r>
      <w:r w:rsidRPr="00CF341A">
        <w:rPr>
          <w:szCs w:val="24"/>
          <w:lang w:eastAsia="en-AU"/>
        </w:rPr>
        <w:t xml:space="preserve"> than was the case 10 years ago. The residential aged care population as a whole (there may be local effects) is not that dissimilar to the population that the ACFI was calibrated on in 2008 and </w:t>
      </w:r>
      <w:r>
        <w:rPr>
          <w:szCs w:val="24"/>
          <w:lang w:eastAsia="en-AU"/>
        </w:rPr>
        <w:t xml:space="preserve">while it is likely there will be incremental acuity increases in the years ahead, </w:t>
      </w:r>
      <w:r w:rsidRPr="00CF341A">
        <w:rPr>
          <w:szCs w:val="24"/>
          <w:lang w:eastAsia="en-AU"/>
        </w:rPr>
        <w:t>it is unlikely to change dramatically over the next 10 years.</w:t>
      </w:r>
    </w:p>
    <w:p w:rsidR="00980F62" w:rsidRDefault="00354BD4" w:rsidP="008F1CA1">
      <w:pPr>
        <w:pStyle w:val="Heading2-Chapter9"/>
      </w:pPr>
      <w:bookmarkStart w:id="650" w:name="_Toc489386714"/>
      <w:bookmarkStart w:id="651" w:name="_Toc491426069"/>
      <w:bookmarkStart w:id="652" w:name="_Toc486600085"/>
      <w:bookmarkEnd w:id="641"/>
      <w:r w:rsidRPr="005C4EEA">
        <w:t>Government Response to the ACFI Subsidy Growth Rates</w:t>
      </w:r>
      <w:bookmarkEnd w:id="650"/>
      <w:bookmarkEnd w:id="651"/>
    </w:p>
    <w:p w:rsidR="00354BD4" w:rsidRDefault="00354BD4" w:rsidP="00354BD4">
      <w:pPr>
        <w:rPr>
          <w:lang w:eastAsia="en-AU"/>
        </w:rPr>
      </w:pPr>
      <w:r>
        <w:rPr>
          <w:lang w:eastAsia="en-AU"/>
        </w:rPr>
        <w:t>Due to the higher than expected growth in ACFI funding claims over the past few years, the Government responded in two main ways:</w:t>
      </w:r>
    </w:p>
    <w:p w:rsidR="00980F62" w:rsidRDefault="00354BD4" w:rsidP="00151877">
      <w:pPr>
        <w:pStyle w:val="ListParagraph"/>
        <w:numPr>
          <w:ilvl w:val="0"/>
          <w:numId w:val="46"/>
        </w:numPr>
        <w:rPr>
          <w:lang w:eastAsia="en-AU"/>
        </w:rPr>
      </w:pPr>
      <w:r>
        <w:rPr>
          <w:lang w:eastAsia="en-AU"/>
        </w:rPr>
        <w:t>Revision of estimates of expenditure on residential aged care. At the 2015-16 Mid-Year Economic and Fiscal Outlook (MYEFO) and in the 2016-17 Budget, the residential aged care budget was increased by a total of $3.8 billion to 2019-20.</w:t>
      </w:r>
    </w:p>
    <w:p w:rsidR="00980F62" w:rsidRDefault="00354BD4" w:rsidP="00151877">
      <w:pPr>
        <w:pStyle w:val="ListParagraph"/>
        <w:numPr>
          <w:ilvl w:val="0"/>
          <w:numId w:val="46"/>
        </w:numPr>
        <w:rPr>
          <w:lang w:eastAsia="en-AU"/>
        </w:rPr>
      </w:pPr>
      <w:r>
        <w:rPr>
          <w:lang w:eastAsia="en-AU"/>
        </w:rPr>
        <w:t>Decision made to make changes to the ACFI to mitigate the growth and return the ACFI funding to ‘more sustainable levels’. It was decided the increase in ACFI claiming was most likely due to score maximisation and up-scoring by facilities.</w:t>
      </w:r>
    </w:p>
    <w:p w:rsidR="00354BD4" w:rsidRPr="00DD3AB7" w:rsidRDefault="00354BD4" w:rsidP="00354BD4">
      <w:pPr>
        <w:rPr>
          <w:rFonts w:cstheme="minorHAnsi"/>
          <w:lang w:val="en-US"/>
        </w:rPr>
      </w:pPr>
      <w:r>
        <w:rPr>
          <w:lang w:eastAsia="en-AU"/>
        </w:rPr>
        <w:t>The Government announced a range of measures at MYEFO and in the 2016-17 Budget which included</w:t>
      </w:r>
      <w:r>
        <w:rPr>
          <w:rFonts w:cstheme="minorHAnsi"/>
        </w:rPr>
        <w:t>:</w:t>
      </w:r>
    </w:p>
    <w:p w:rsidR="00354BD4" w:rsidRPr="003D74A2" w:rsidRDefault="00354BD4" w:rsidP="003D74A2">
      <w:pPr>
        <w:pStyle w:val="ListParagraph"/>
        <w:numPr>
          <w:ilvl w:val="0"/>
          <w:numId w:val="16"/>
        </w:numPr>
        <w:rPr>
          <w:lang w:eastAsia="en-AU"/>
        </w:rPr>
      </w:pPr>
      <w:r w:rsidRPr="003D74A2">
        <w:rPr>
          <w:lang w:eastAsia="en-AU"/>
        </w:rPr>
        <w:t>Half indexation of the CHC domain in the 2016-17 financial year only</w:t>
      </w:r>
      <w:r w:rsidR="00113B90" w:rsidRPr="003D74A2">
        <w:rPr>
          <w:lang w:eastAsia="en-AU"/>
        </w:rPr>
        <w:t>.</w:t>
      </w:r>
    </w:p>
    <w:p w:rsidR="00354BD4" w:rsidRPr="003D74A2" w:rsidRDefault="00354BD4" w:rsidP="003D74A2">
      <w:pPr>
        <w:pStyle w:val="ListParagraph"/>
        <w:numPr>
          <w:ilvl w:val="0"/>
          <w:numId w:val="16"/>
        </w:numPr>
        <w:rPr>
          <w:lang w:eastAsia="en-AU"/>
        </w:rPr>
      </w:pPr>
      <w:r w:rsidRPr="003D74A2">
        <w:rPr>
          <w:lang w:eastAsia="en-AU"/>
        </w:rPr>
        <w:t>Changes to CHC scoring matrix 1 July 2016 – 31 December 2016</w:t>
      </w:r>
      <w:r w:rsidR="00113B90" w:rsidRPr="003D74A2">
        <w:rPr>
          <w:lang w:eastAsia="en-AU"/>
        </w:rPr>
        <w:t>.</w:t>
      </w:r>
    </w:p>
    <w:p w:rsidR="00354BD4" w:rsidRPr="00DD3AB7" w:rsidRDefault="00354BD4" w:rsidP="00354BD4">
      <w:pPr>
        <w:spacing w:after="160" w:line="259" w:lineRule="auto"/>
        <w:rPr>
          <w:rFonts w:cstheme="minorHAnsi"/>
          <w:lang w:val="en-US"/>
        </w:rPr>
      </w:pPr>
      <w:r w:rsidRPr="00DD3AB7">
        <w:rPr>
          <w:rFonts w:cstheme="minorHAnsi"/>
        </w:rPr>
        <w:t xml:space="preserve">The changes effective from 1 January 2017 </w:t>
      </w:r>
      <w:r>
        <w:rPr>
          <w:rFonts w:cstheme="minorHAnsi"/>
        </w:rPr>
        <w:t>(</w:t>
      </w:r>
      <w:r w:rsidRPr="00DD3AB7">
        <w:rPr>
          <w:rFonts w:cstheme="minorHAnsi"/>
        </w:rPr>
        <w:t>updated in December 2016</w:t>
      </w:r>
      <w:r>
        <w:rPr>
          <w:rFonts w:cstheme="minorHAnsi"/>
        </w:rPr>
        <w:t>) were</w:t>
      </w:r>
      <w:r w:rsidRPr="00DD3AB7">
        <w:rPr>
          <w:rFonts w:cstheme="minorHAnsi"/>
        </w:rPr>
        <w:t>:</w:t>
      </w:r>
    </w:p>
    <w:p w:rsidR="00980F62" w:rsidRDefault="00354BD4" w:rsidP="003D74A2">
      <w:pPr>
        <w:pStyle w:val="ListParagraph"/>
        <w:numPr>
          <w:ilvl w:val="0"/>
          <w:numId w:val="16"/>
        </w:numPr>
        <w:ind w:left="357" w:hanging="357"/>
        <w:rPr>
          <w:lang w:eastAsia="en-AU"/>
        </w:rPr>
      </w:pPr>
      <w:r w:rsidRPr="003D74A2">
        <w:rPr>
          <w:lang w:eastAsia="en-AU"/>
        </w:rPr>
        <w:t>A re-designed CHC (ACFI 11 and 12) scoring matrix effective from 1 January 2017</w:t>
      </w:r>
      <w:r w:rsidR="00113B90" w:rsidRPr="003D74A2">
        <w:rPr>
          <w:lang w:eastAsia="en-AU"/>
        </w:rPr>
        <w:t>.</w:t>
      </w:r>
    </w:p>
    <w:p w:rsidR="00354BD4" w:rsidRPr="003D74A2" w:rsidRDefault="00354BD4" w:rsidP="003D74A2">
      <w:pPr>
        <w:pStyle w:val="ListParagraph"/>
        <w:numPr>
          <w:ilvl w:val="0"/>
          <w:numId w:val="16"/>
        </w:numPr>
        <w:ind w:left="357" w:hanging="357"/>
        <w:rPr>
          <w:lang w:eastAsia="en-AU"/>
        </w:rPr>
      </w:pPr>
      <w:r w:rsidRPr="003D74A2">
        <w:rPr>
          <w:lang w:eastAsia="en-AU"/>
        </w:rPr>
        <w:t>The Medication question (ACFI 11) modified to have three levels</w:t>
      </w:r>
      <w:r w:rsidR="00113B90" w:rsidRPr="003D74A2">
        <w:rPr>
          <w:lang w:eastAsia="en-AU"/>
        </w:rPr>
        <w:t>:</w:t>
      </w:r>
    </w:p>
    <w:p w:rsidR="00354BD4" w:rsidRPr="00D506EE" w:rsidRDefault="00354BD4" w:rsidP="003D74A2">
      <w:pPr>
        <w:spacing w:line="259" w:lineRule="auto"/>
        <w:ind w:left="709" w:hanging="284"/>
        <w:contextualSpacing/>
        <w:rPr>
          <w:rFonts w:cstheme="minorHAnsi"/>
          <w:lang w:val="en-US"/>
        </w:rPr>
      </w:pPr>
      <w:r w:rsidRPr="00DD3AB7">
        <w:rPr>
          <w:rFonts w:cstheme="minorHAnsi"/>
        </w:rPr>
        <w:t>(i) No assistance</w:t>
      </w:r>
      <w:r w:rsidR="00113B90">
        <w:rPr>
          <w:rFonts w:cstheme="minorHAnsi"/>
        </w:rPr>
        <w:t>.</w:t>
      </w:r>
    </w:p>
    <w:p w:rsidR="00354BD4" w:rsidRPr="00D506EE" w:rsidRDefault="00354BD4" w:rsidP="003D74A2">
      <w:pPr>
        <w:spacing w:line="259" w:lineRule="auto"/>
        <w:ind w:left="709" w:hanging="284"/>
        <w:contextualSpacing/>
        <w:rPr>
          <w:rFonts w:cstheme="minorHAnsi"/>
          <w:lang w:val="en-US"/>
        </w:rPr>
      </w:pPr>
      <w:r w:rsidRPr="00DD3AB7">
        <w:rPr>
          <w:rFonts w:cstheme="minorHAnsi"/>
        </w:rPr>
        <w:t>(ii) Assistance Needed</w:t>
      </w:r>
      <w:r w:rsidR="00113B90">
        <w:rPr>
          <w:rFonts w:cstheme="minorHAnsi"/>
        </w:rPr>
        <w:t>.</w:t>
      </w:r>
    </w:p>
    <w:p w:rsidR="00354BD4" w:rsidRPr="00DD3AB7" w:rsidRDefault="00354BD4" w:rsidP="003D74A2">
      <w:pPr>
        <w:spacing w:line="259" w:lineRule="auto"/>
        <w:ind w:left="709" w:hanging="284"/>
        <w:contextualSpacing/>
        <w:rPr>
          <w:rFonts w:cstheme="minorHAnsi"/>
          <w:lang w:val="en-US"/>
        </w:rPr>
      </w:pPr>
      <w:r w:rsidRPr="00DD3AB7">
        <w:rPr>
          <w:rFonts w:cstheme="minorHAnsi"/>
        </w:rPr>
        <w:t>(iii) Injections (subcutaneous, intramuscular, intravenous)</w:t>
      </w:r>
      <w:r>
        <w:rPr>
          <w:rFonts w:cstheme="minorHAnsi"/>
        </w:rPr>
        <w:t>.</w:t>
      </w:r>
    </w:p>
    <w:p w:rsidR="00354BD4" w:rsidRPr="003D74A2" w:rsidRDefault="00354BD4" w:rsidP="003D74A2">
      <w:pPr>
        <w:pStyle w:val="ListParagraph"/>
        <w:numPr>
          <w:ilvl w:val="0"/>
          <w:numId w:val="16"/>
        </w:numPr>
        <w:rPr>
          <w:lang w:eastAsia="en-AU"/>
        </w:rPr>
      </w:pPr>
      <w:r w:rsidRPr="003D74A2">
        <w:rPr>
          <w:lang w:eastAsia="en-AU"/>
        </w:rPr>
        <w:t>Some of the CHC questions (ACFI 12) were adjusted as follows:</w:t>
      </w:r>
    </w:p>
    <w:p w:rsidR="00354BD4" w:rsidRDefault="00354BD4" w:rsidP="00F02312">
      <w:pPr>
        <w:pStyle w:val="NormalWeb"/>
        <w:numPr>
          <w:ilvl w:val="0"/>
          <w:numId w:val="125"/>
        </w:numPr>
        <w:spacing w:before="0" w:beforeAutospacing="0" w:after="120" w:afterAutospacing="0"/>
        <w:ind w:left="714" w:hanging="357"/>
        <w:rPr>
          <w:rFonts w:asciiTheme="minorHAnsi" w:hAnsiTheme="minorHAnsi"/>
        </w:rPr>
      </w:pPr>
      <w:r>
        <w:rPr>
          <w:rFonts w:asciiTheme="minorHAnsi" w:hAnsiTheme="minorHAnsi"/>
        </w:rPr>
        <w:t>I</w:t>
      </w:r>
      <w:r w:rsidRPr="001E7835">
        <w:rPr>
          <w:rFonts w:asciiTheme="minorHAnsi" w:hAnsiTheme="minorHAnsi"/>
        </w:rPr>
        <w:t>tem 12.1</w:t>
      </w:r>
      <w:r>
        <w:rPr>
          <w:rFonts w:asciiTheme="minorHAnsi" w:hAnsiTheme="minorHAnsi"/>
        </w:rPr>
        <w:t xml:space="preserve"> - </w:t>
      </w:r>
      <w:r w:rsidRPr="001E7835">
        <w:rPr>
          <w:rFonts w:asciiTheme="minorHAnsi" w:hAnsiTheme="minorHAnsi"/>
        </w:rPr>
        <w:t>Blood pressure measurement</w:t>
      </w:r>
      <w:r>
        <w:rPr>
          <w:rFonts w:asciiTheme="minorHAnsi" w:hAnsiTheme="minorHAnsi"/>
          <w:i/>
        </w:rPr>
        <w:t xml:space="preserve"> -</w:t>
      </w:r>
      <w:r>
        <w:rPr>
          <w:rFonts w:asciiTheme="minorHAnsi" w:hAnsiTheme="minorHAnsi"/>
        </w:rPr>
        <w:t xml:space="preserve"> score reduced from 3 points to 1.</w:t>
      </w:r>
    </w:p>
    <w:p w:rsidR="00980F62" w:rsidRDefault="00354BD4" w:rsidP="00F02312">
      <w:pPr>
        <w:pStyle w:val="NormalWeb"/>
        <w:numPr>
          <w:ilvl w:val="0"/>
          <w:numId w:val="125"/>
        </w:numPr>
        <w:spacing w:before="0" w:beforeAutospacing="0" w:after="120" w:afterAutospacing="0"/>
        <w:ind w:left="714" w:hanging="357"/>
        <w:rPr>
          <w:rFonts w:asciiTheme="minorHAnsi" w:hAnsiTheme="minorHAnsi"/>
        </w:rPr>
      </w:pPr>
      <w:r w:rsidRPr="00FE4973">
        <w:rPr>
          <w:rFonts w:asciiTheme="minorHAnsi" w:hAnsiTheme="minorHAnsi"/>
        </w:rPr>
        <w:t>Item 12.4b</w:t>
      </w:r>
      <w:r>
        <w:rPr>
          <w:rFonts w:asciiTheme="minorHAnsi" w:hAnsiTheme="minorHAnsi"/>
        </w:rPr>
        <w:t xml:space="preserve"> - </w:t>
      </w:r>
      <w:r w:rsidRPr="00FE4973">
        <w:rPr>
          <w:rFonts w:asciiTheme="minorHAnsi" w:hAnsiTheme="minorHAnsi"/>
        </w:rPr>
        <w:t xml:space="preserve">Complex pain management by </w:t>
      </w:r>
      <w:r>
        <w:rPr>
          <w:rFonts w:asciiTheme="minorHAnsi" w:hAnsiTheme="minorHAnsi"/>
        </w:rPr>
        <w:t>AHP at least 4 days per week - a timing requirement was added requiring 80 minutes of delivery of one on one treatment on at least 4 days of the week.</w:t>
      </w:r>
    </w:p>
    <w:p w:rsidR="00980F62" w:rsidRDefault="00354BD4" w:rsidP="00F02312">
      <w:pPr>
        <w:pStyle w:val="NormalWeb"/>
        <w:numPr>
          <w:ilvl w:val="0"/>
          <w:numId w:val="125"/>
        </w:numPr>
        <w:spacing w:before="0" w:beforeAutospacing="0" w:after="120" w:afterAutospacing="0"/>
        <w:ind w:left="714" w:hanging="357"/>
        <w:rPr>
          <w:rFonts w:asciiTheme="minorHAnsi" w:eastAsiaTheme="minorHAnsi" w:hAnsiTheme="minorHAnsi" w:cstheme="minorHAnsi"/>
          <w:szCs w:val="22"/>
        </w:rPr>
      </w:pPr>
      <w:r w:rsidRPr="001E7835">
        <w:rPr>
          <w:rFonts w:asciiTheme="minorHAnsi" w:eastAsiaTheme="minorHAnsi" w:hAnsiTheme="minorHAnsi" w:cstheme="minorHAnsi"/>
          <w:szCs w:val="22"/>
        </w:rPr>
        <w:t>Item 12.12</w:t>
      </w:r>
      <w:r>
        <w:rPr>
          <w:rFonts w:asciiTheme="minorHAnsi" w:eastAsiaTheme="minorHAnsi" w:hAnsiTheme="minorHAnsi" w:cstheme="minorHAnsi"/>
          <w:szCs w:val="22"/>
        </w:rPr>
        <w:t xml:space="preserve"> - </w:t>
      </w:r>
      <w:r w:rsidRPr="001E7835">
        <w:rPr>
          <w:rFonts w:asciiTheme="minorHAnsi" w:eastAsiaTheme="minorHAnsi" w:hAnsiTheme="minorHAnsi" w:cstheme="minorHAnsi"/>
          <w:szCs w:val="22"/>
        </w:rPr>
        <w:t>Management of oedema, deep vein thrombosis, arthritic joints or chronic skin conditions by fitting of certain garments, bandages and dressings</w:t>
      </w:r>
      <w:r>
        <w:rPr>
          <w:rFonts w:asciiTheme="minorHAnsi" w:eastAsiaTheme="minorHAnsi" w:hAnsiTheme="minorHAnsi" w:cstheme="minorHAnsi"/>
          <w:szCs w:val="22"/>
        </w:rPr>
        <w:t xml:space="preserve">. </w:t>
      </w:r>
      <w:r w:rsidRPr="001E7835">
        <w:rPr>
          <w:rFonts w:asciiTheme="minorHAnsi" w:eastAsiaTheme="minorHAnsi" w:hAnsiTheme="minorHAnsi" w:cstheme="minorHAnsi"/>
          <w:szCs w:val="22"/>
        </w:rPr>
        <w:t>This item was split into two.</w:t>
      </w:r>
    </w:p>
    <w:p w:rsidR="00354BD4" w:rsidRDefault="00354BD4" w:rsidP="00F02312">
      <w:pPr>
        <w:pStyle w:val="NormalWeb"/>
        <w:numPr>
          <w:ilvl w:val="0"/>
          <w:numId w:val="125"/>
        </w:numPr>
        <w:spacing w:before="0" w:beforeAutospacing="0" w:after="120" w:afterAutospacing="0"/>
        <w:ind w:left="714" w:hanging="357"/>
        <w:rPr>
          <w:rFonts w:asciiTheme="minorHAnsi" w:eastAsiaTheme="minorHAnsi" w:hAnsiTheme="minorHAnsi" w:cstheme="minorHAnsi"/>
          <w:szCs w:val="22"/>
        </w:rPr>
      </w:pPr>
      <w:r>
        <w:rPr>
          <w:rFonts w:asciiTheme="minorHAnsi" w:eastAsiaTheme="minorHAnsi" w:hAnsiTheme="minorHAnsi" w:cstheme="minorHAnsi"/>
          <w:szCs w:val="22"/>
        </w:rPr>
        <w:t>1</w:t>
      </w:r>
      <w:r w:rsidRPr="001E7835">
        <w:rPr>
          <w:rFonts w:asciiTheme="minorHAnsi" w:eastAsiaTheme="minorHAnsi" w:hAnsiTheme="minorHAnsi" w:cstheme="minorHAnsi"/>
          <w:szCs w:val="22"/>
        </w:rPr>
        <w:t xml:space="preserve">2.12a the score was reduced from 3 points to 1 where the treatment </w:t>
      </w:r>
      <w:r>
        <w:rPr>
          <w:rFonts w:asciiTheme="minorHAnsi" w:eastAsiaTheme="minorHAnsi" w:hAnsiTheme="minorHAnsi" w:cstheme="minorHAnsi"/>
          <w:szCs w:val="22"/>
        </w:rPr>
        <w:t>was</w:t>
      </w:r>
      <w:r w:rsidRPr="001E7835">
        <w:rPr>
          <w:rFonts w:asciiTheme="minorHAnsi" w:eastAsiaTheme="minorHAnsi" w:hAnsiTheme="minorHAnsi" w:cstheme="minorHAnsi"/>
          <w:szCs w:val="22"/>
        </w:rPr>
        <w:t xml:space="preserve"> for the management of arthritic joints and oedema related to arthritis by the application of tubular and/or other elasticised support bandages</w:t>
      </w:r>
      <w:r>
        <w:rPr>
          <w:rFonts w:asciiTheme="minorHAnsi" w:eastAsiaTheme="minorHAnsi" w:hAnsiTheme="minorHAnsi" w:cstheme="minorHAnsi"/>
          <w:szCs w:val="22"/>
        </w:rPr>
        <w:t>.</w:t>
      </w:r>
    </w:p>
    <w:p w:rsidR="00354BD4" w:rsidRPr="00113B90" w:rsidRDefault="00354BD4" w:rsidP="00F02312">
      <w:pPr>
        <w:pStyle w:val="NormalWeb"/>
        <w:numPr>
          <w:ilvl w:val="0"/>
          <w:numId w:val="125"/>
        </w:numPr>
        <w:spacing w:before="0" w:beforeAutospacing="0" w:after="120" w:afterAutospacing="0"/>
        <w:ind w:left="714" w:hanging="357"/>
        <w:rPr>
          <w:rFonts w:asciiTheme="minorHAnsi" w:hAnsiTheme="minorHAnsi"/>
        </w:rPr>
      </w:pPr>
      <w:r w:rsidRPr="00113B90">
        <w:rPr>
          <w:rFonts w:asciiTheme="minorHAnsi" w:hAnsiTheme="minorHAnsi"/>
        </w:rPr>
        <w:t>12.12b remained at 3 points and covered management of non-arthritic oedema OR deep vein thrombosis by the fitting and removal of compression garments and/or compression bandages, OR chronic skin conditions by the application and removal of dry dressings and/or protective bandaging. Note: Tubular elasticised support bandages are not compression garments.</w:t>
      </w:r>
    </w:p>
    <w:p w:rsidR="00354BD4" w:rsidRPr="00CE6E57" w:rsidRDefault="00354BD4" w:rsidP="003D74A2">
      <w:pPr>
        <w:pStyle w:val="ListParagraph"/>
        <w:numPr>
          <w:ilvl w:val="0"/>
          <w:numId w:val="16"/>
        </w:numPr>
        <w:rPr>
          <w:lang w:eastAsia="en-AU"/>
        </w:rPr>
      </w:pPr>
      <w:bookmarkStart w:id="653" w:name="_Hlk489018024"/>
      <w:r>
        <w:rPr>
          <w:lang w:eastAsia="en-AU"/>
        </w:rPr>
        <w:t>An indexation pause was placed on all ACFI subsidies in 2017–18 and a 50 per cent indexation pause was placed on the CHC domain for 2018–19.</w:t>
      </w:r>
    </w:p>
    <w:bookmarkEnd w:id="653"/>
    <w:p w:rsidR="005809A5" w:rsidRDefault="005809A5">
      <w:pPr>
        <w:spacing w:after="200"/>
        <w:jc w:val="left"/>
        <w:rPr>
          <w:lang w:eastAsia="en-AU"/>
        </w:rPr>
      </w:pPr>
      <w:r>
        <w:rPr>
          <w:lang w:eastAsia="en-AU"/>
        </w:rPr>
        <w:br w:type="page"/>
      </w:r>
    </w:p>
    <w:p w:rsidR="00354BD4" w:rsidRDefault="00354BD4" w:rsidP="00354BD4">
      <w:pPr>
        <w:spacing w:after="0"/>
        <w:rPr>
          <w:lang w:eastAsia="en-AU"/>
        </w:rPr>
      </w:pPr>
      <w:r>
        <w:rPr>
          <w:lang w:eastAsia="en-AU"/>
        </w:rPr>
        <w:lastRenderedPageBreak/>
        <w:t>In addition, t</w:t>
      </w:r>
      <w:r w:rsidRPr="003522BD">
        <w:rPr>
          <w:lang w:eastAsia="en-AU"/>
        </w:rPr>
        <w:t>he Department has stated they will increas</w:t>
      </w:r>
      <w:r w:rsidR="00BA794A">
        <w:rPr>
          <w:lang w:eastAsia="en-AU"/>
        </w:rPr>
        <w:t>e</w:t>
      </w:r>
      <w:r w:rsidRPr="003522BD">
        <w:rPr>
          <w:lang w:eastAsia="en-AU"/>
        </w:rPr>
        <w:t xml:space="preserve"> the effectiveness of the</w:t>
      </w:r>
      <w:r>
        <w:rPr>
          <w:lang w:eastAsia="en-AU"/>
        </w:rPr>
        <w:t xml:space="preserve"> audit program. This will involve:</w:t>
      </w:r>
    </w:p>
    <w:p w:rsidR="00980F62" w:rsidRDefault="00354BD4" w:rsidP="003D74A2">
      <w:pPr>
        <w:pStyle w:val="ListParagraph"/>
        <w:numPr>
          <w:ilvl w:val="0"/>
          <w:numId w:val="16"/>
        </w:numPr>
        <w:rPr>
          <w:lang w:eastAsia="en-AU"/>
        </w:rPr>
      </w:pPr>
      <w:r>
        <w:rPr>
          <w:lang w:eastAsia="en-AU"/>
        </w:rPr>
        <w:t>F</w:t>
      </w:r>
      <w:r w:rsidRPr="003522BD">
        <w:rPr>
          <w:lang w:eastAsia="en-AU"/>
        </w:rPr>
        <w:t>ocus</w:t>
      </w:r>
      <w:r>
        <w:rPr>
          <w:lang w:eastAsia="en-AU"/>
        </w:rPr>
        <w:t>ing</w:t>
      </w:r>
      <w:r w:rsidRPr="003522BD">
        <w:rPr>
          <w:lang w:eastAsia="en-AU"/>
        </w:rPr>
        <w:t xml:space="preserve"> more of its compliance activities on high-risk providers</w:t>
      </w:r>
      <w:r w:rsidR="00BA794A">
        <w:rPr>
          <w:lang w:eastAsia="en-AU"/>
        </w:rPr>
        <w:t>.</w:t>
      </w:r>
    </w:p>
    <w:p w:rsidR="00354BD4" w:rsidRPr="003522BD" w:rsidRDefault="00354BD4" w:rsidP="003D74A2">
      <w:pPr>
        <w:pStyle w:val="ListParagraph"/>
        <w:numPr>
          <w:ilvl w:val="0"/>
          <w:numId w:val="16"/>
        </w:numPr>
        <w:rPr>
          <w:lang w:eastAsia="en-AU"/>
        </w:rPr>
      </w:pPr>
      <w:r w:rsidRPr="003522BD">
        <w:rPr>
          <w:lang w:eastAsia="en-AU"/>
        </w:rPr>
        <w:t>Carry</w:t>
      </w:r>
      <w:r>
        <w:rPr>
          <w:lang w:eastAsia="en-AU"/>
        </w:rPr>
        <w:t>ing</w:t>
      </w:r>
      <w:r w:rsidRPr="003522BD">
        <w:rPr>
          <w:lang w:eastAsia="en-AU"/>
        </w:rPr>
        <w:t xml:space="preserve"> out a more comprehensive review of a service’s claims where there is a higher risk of inaccurate claiming or there are concerns identified during an ACFI review</w:t>
      </w:r>
      <w:r w:rsidR="00BA794A">
        <w:rPr>
          <w:lang w:eastAsia="en-AU"/>
        </w:rPr>
        <w:t>.</w:t>
      </w:r>
    </w:p>
    <w:p w:rsidR="00354BD4" w:rsidRPr="003522BD" w:rsidRDefault="00354BD4" w:rsidP="003D74A2">
      <w:pPr>
        <w:pStyle w:val="ListParagraph"/>
        <w:numPr>
          <w:ilvl w:val="0"/>
          <w:numId w:val="16"/>
        </w:numPr>
        <w:rPr>
          <w:lang w:eastAsia="en-AU"/>
        </w:rPr>
      </w:pPr>
      <w:r w:rsidRPr="003522BD">
        <w:rPr>
          <w:lang w:eastAsia="en-AU"/>
        </w:rPr>
        <w:t xml:space="preserve">Including information from staff, care recipients or their nominated representatives, or observations of </w:t>
      </w:r>
      <w:r>
        <w:rPr>
          <w:lang w:eastAsia="en-AU"/>
        </w:rPr>
        <w:t>resident</w:t>
      </w:r>
      <w:r w:rsidRPr="003522BD">
        <w:rPr>
          <w:lang w:eastAsia="en-AU"/>
        </w:rPr>
        <w:t xml:space="preserve">s. This will include: </w:t>
      </w:r>
      <w:r>
        <w:rPr>
          <w:lang w:eastAsia="en-AU"/>
        </w:rPr>
        <w:t>O</w:t>
      </w:r>
      <w:r w:rsidRPr="003522BD">
        <w:rPr>
          <w:lang w:eastAsia="en-AU"/>
        </w:rPr>
        <w:t xml:space="preserve">bservation of residents/Interviewing an informant (staff or relative)/Interviewing a </w:t>
      </w:r>
      <w:r>
        <w:rPr>
          <w:lang w:eastAsia="en-AU"/>
        </w:rPr>
        <w:t>r</w:t>
      </w:r>
      <w:r w:rsidRPr="003522BD">
        <w:rPr>
          <w:lang w:eastAsia="en-AU"/>
        </w:rPr>
        <w:t xml:space="preserve">esident/Completing a Task Assessment with a </w:t>
      </w:r>
      <w:r>
        <w:rPr>
          <w:lang w:eastAsia="en-AU"/>
        </w:rPr>
        <w:t>r</w:t>
      </w:r>
      <w:r w:rsidRPr="003522BD">
        <w:rPr>
          <w:lang w:eastAsia="en-AU"/>
        </w:rPr>
        <w:t>esident</w:t>
      </w:r>
      <w:r w:rsidR="00BA794A">
        <w:rPr>
          <w:lang w:eastAsia="en-AU"/>
        </w:rPr>
        <w:t>.</w:t>
      </w:r>
    </w:p>
    <w:p w:rsidR="00354BD4" w:rsidRDefault="00354BD4" w:rsidP="003D74A2">
      <w:pPr>
        <w:pStyle w:val="ListParagraph"/>
        <w:numPr>
          <w:ilvl w:val="0"/>
          <w:numId w:val="16"/>
        </w:numPr>
        <w:rPr>
          <w:lang w:eastAsia="en-AU"/>
        </w:rPr>
      </w:pPr>
      <w:r w:rsidRPr="003522BD">
        <w:rPr>
          <w:lang w:eastAsia="en-AU"/>
        </w:rPr>
        <w:t>Auditing much earlier after the ACFI submission for the above</w:t>
      </w:r>
      <w:r>
        <w:rPr>
          <w:lang w:eastAsia="en-AU"/>
        </w:rPr>
        <w:t>.</w:t>
      </w:r>
    </w:p>
    <w:p w:rsidR="00980F62" w:rsidRDefault="00354BD4" w:rsidP="00354BD4">
      <w:pPr>
        <w:spacing w:after="0"/>
        <w:rPr>
          <w:lang w:eastAsia="en-AU"/>
        </w:rPr>
      </w:pPr>
      <w:r>
        <w:rPr>
          <w:lang w:eastAsia="en-AU"/>
        </w:rPr>
        <w:t>After the changes to the ACFI ratings, indexation removal and the increased audit program efforts are implemented, funding to the residential aged care sector is estimated to continue to grow in aggregate, but at a reduced rate, by an average 5.1 per cent per annum over the forward budget estimates.</w:t>
      </w:r>
    </w:p>
    <w:p w:rsidR="00354BD4" w:rsidRPr="005C4EEA" w:rsidRDefault="00354BD4" w:rsidP="008F1CA1">
      <w:pPr>
        <w:pStyle w:val="Heading2-Chapter9"/>
      </w:pPr>
      <w:bookmarkStart w:id="654" w:name="_Toc486600084"/>
      <w:bookmarkStart w:id="655" w:name="_Toc489386715"/>
      <w:bookmarkStart w:id="656" w:name="_Toc491426070"/>
      <w:r w:rsidRPr="005C4EEA">
        <w:t>Recent ACFI Changes and Impact on Growth</w:t>
      </w:r>
      <w:bookmarkEnd w:id="654"/>
      <w:bookmarkEnd w:id="655"/>
      <w:bookmarkEnd w:id="656"/>
    </w:p>
    <w:p w:rsidR="00980F62" w:rsidRDefault="00354BD4" w:rsidP="00354BD4">
      <w:r>
        <w:t xml:space="preserve">The recent ACFI changes implemented by the Department in the 2016 </w:t>
      </w:r>
      <w:r>
        <w:rPr>
          <w:lang w:eastAsia="en-AU"/>
        </w:rPr>
        <w:t xml:space="preserve">MYEFO </w:t>
      </w:r>
      <w:r>
        <w:t>have had an impact on ACFI funding growth. The latest Department ACFI Monitoring Report March 2017 (page 2), has charts showing the trends in daily average claims in the ACFI domains and overall monthly averages (</w:t>
      </w:r>
      <w:hyperlink w:anchor="Fig0908" w:history="1">
        <w:r w:rsidRPr="001514EB">
          <w:rPr>
            <w:rStyle w:val="Hyperlink"/>
          </w:rPr>
          <w:t>Figure 9.8</w:t>
        </w:r>
      </w:hyperlink>
      <w:r>
        <w:t>). It can be seen that the rate of increase has declined since both the July 2016 and January 2017 changes were applied. The impact of the changes that took effect from January 2017, including the auditing program changes, appear to be also having a dampening impact on average ACFI claims up until the end of March 2017 period.</w:t>
      </w:r>
    </w:p>
    <w:p w:rsidR="00980F62" w:rsidRDefault="00354BD4" w:rsidP="00354BD4">
      <w:r>
        <w:t>The available data from the April, May, June period in 2017 however shows that the level of ADL claims may be on the increase (</w:t>
      </w:r>
      <w:hyperlink w:anchor="Fig0909" w:history="1">
        <w:r w:rsidRPr="00E00E18">
          <w:rPr>
            <w:rStyle w:val="Hyperlink"/>
          </w:rPr>
          <w:t>Figure 9.9</w:t>
        </w:r>
      </w:hyperlink>
      <w:r>
        <w:t xml:space="preserve">; </w:t>
      </w:r>
      <w:hyperlink w:anchor="Tab0904" w:history="1">
        <w:r w:rsidRPr="00995856">
          <w:rPr>
            <w:rStyle w:val="Hyperlink"/>
          </w:rPr>
          <w:t>Table 9.4</w:t>
        </w:r>
      </w:hyperlink>
      <w:r>
        <w:t>), although these results should be treated with caution as they are preliminary and the sample size is small as the number of ACFI claims has reduced significantly since March 2017 (</w:t>
      </w:r>
      <w:hyperlink w:anchor="Fig0910" w:history="1">
        <w:r w:rsidRPr="00E00E18">
          <w:rPr>
            <w:rStyle w:val="Hyperlink"/>
          </w:rPr>
          <w:t>Figure 9.10</w:t>
        </w:r>
      </w:hyperlink>
      <w:r>
        <w:t>).</w:t>
      </w:r>
    </w:p>
    <w:p w:rsidR="00980F62" w:rsidRDefault="00354BD4" w:rsidP="00354BD4">
      <w:pPr>
        <w:rPr>
          <w:rStyle w:val="CaptionChar3"/>
          <w:b w:val="0"/>
        </w:rPr>
      </w:pPr>
      <w:r w:rsidRPr="00630A5B">
        <w:rPr>
          <w:rStyle w:val="CaptionChar3"/>
          <w:b w:val="0"/>
        </w:rPr>
        <w:t>Whatever the longer-term trends</w:t>
      </w:r>
      <w:r>
        <w:rPr>
          <w:rStyle w:val="CaptionChar3"/>
          <w:b w:val="0"/>
        </w:rPr>
        <w:t>,</w:t>
      </w:r>
      <w:r w:rsidRPr="00630A5B">
        <w:rPr>
          <w:rStyle w:val="CaptionChar3"/>
          <w:b w:val="0"/>
        </w:rPr>
        <w:t xml:space="preserve"> which may start to show an increase is emerging, the recent Department changes have impacted on provider behaviour in terms of the frequency of ACFI claims (mainly re-assessments) and the level of the claims.</w:t>
      </w:r>
    </w:p>
    <w:p w:rsidR="00354BD4" w:rsidRDefault="00354BD4" w:rsidP="00354BD4">
      <w:pPr>
        <w:spacing w:after="200"/>
        <w:rPr>
          <w:rStyle w:val="CaptionChar3"/>
        </w:rPr>
      </w:pPr>
      <w:r>
        <w:rPr>
          <w:rStyle w:val="CaptionChar3"/>
        </w:rPr>
        <w:br w:type="page"/>
      </w:r>
    </w:p>
    <w:p w:rsidR="002E1694" w:rsidRDefault="00693F35" w:rsidP="002E1694">
      <w:pPr>
        <w:pStyle w:val="Caption"/>
        <w:keepNext/>
        <w:jc w:val="both"/>
      </w:pPr>
      <w:bookmarkStart w:id="657" w:name="_Toc495416927"/>
      <w:r>
        <w:lastRenderedPageBreak/>
        <w:t>Figure 9.</w:t>
      </w:r>
      <w:r w:rsidR="009A3F5A">
        <w:fldChar w:fldCharType="begin"/>
      </w:r>
      <w:r w:rsidR="009A3F5A">
        <w:instrText xml:space="preserve"> SEQ Figure_9. \* ARABIC </w:instrText>
      </w:r>
      <w:r w:rsidR="009A3F5A">
        <w:fldChar w:fldCharType="separate"/>
      </w:r>
      <w:r w:rsidR="00856E49">
        <w:rPr>
          <w:noProof/>
        </w:rPr>
        <w:t>8</w:t>
      </w:r>
      <w:r w:rsidR="009A3F5A">
        <w:rPr>
          <w:noProof/>
        </w:rPr>
        <w:fldChar w:fldCharType="end"/>
      </w:r>
      <w:r>
        <w:t xml:space="preserve">: </w:t>
      </w:r>
      <w:r w:rsidRPr="00693F35">
        <w:t>Daily Average Cost per Day Trend by Month (2016-17) Dollars</w:t>
      </w:r>
      <w:bookmarkEnd w:id="657"/>
    </w:p>
    <w:p w:rsidR="00354BD4" w:rsidRDefault="00354BD4" w:rsidP="00354BD4">
      <w:pPr>
        <w:rPr>
          <w:rStyle w:val="BookTitle"/>
          <w:rFonts w:cs="Arial"/>
          <w:i w:val="0"/>
          <w:iCs w:val="0"/>
          <w:smallCaps w:val="0"/>
        </w:rPr>
      </w:pPr>
      <w:r>
        <w:rPr>
          <w:noProof/>
          <w:lang w:eastAsia="en-AU"/>
        </w:rPr>
        <w:drawing>
          <wp:inline distT="0" distB="0" distL="0" distR="0" wp14:anchorId="610829E4" wp14:editId="113C053E">
            <wp:extent cx="5731510" cy="3623945"/>
            <wp:effectExtent l="19050" t="19050" r="21590" b="14605"/>
            <wp:docPr id="14" name="Picture 14" descr="Figure 9.8 contains four line graphs that illustrate the trends in daily average claims for the aged care funding instrument (ACFI) per month from January 2016 to March 2017, as summarised in the text prior to this image. When viewing the graphs left to right, top to bottom:&#10;• the first graph illustrates the daily average claims (per month, from January 2016 to March 2017) for the activities of daily living (ADL) domain&#10;• the second graph illustrates the daily average claims (per month, from January 2016 to March 2017) for the behaviour (BEH) domain&#10;• the third graph illustrates the daily average claims (per month, from January 2016 to March 2017) for the complex health care (CHC) domain&#10;• the fourth graph illustrates the total of ACFI’s daily average claims (per month, from January 2016 to March 2017)."/>
            <wp:cNvGraphicFramePr/>
            <a:graphic xmlns:a="http://schemas.openxmlformats.org/drawingml/2006/main">
              <a:graphicData uri="http://schemas.openxmlformats.org/drawingml/2006/picture">
                <pic:pic xmlns:pic="http://schemas.openxmlformats.org/drawingml/2006/picture">
                  <pic:nvPicPr>
                    <pic:cNvPr id="2" name="Picture 2" descr="Jan-16: ADL $89.23, BEH $27.27, CHC $52.17, Monthly ACFI, $168.67&#10;Feb-16: ADL $89.45, BEH $27.33, CHC $52.45, Monthly ACFI, $169.23&#10;Mar-16: ADL $89.68, BEH $27.4, CHC $52.76, Monthly ACFI, $169.84&#10;Apr-16: ADL $89.91, BEH $27.46, CHC $53.01, Monthly ACFI, $170.38&#10;May-16: ADL $90.2, BEH $27.55, CHC $53.38, Monthly ACFI, $171.12&#10;Jun-16: ADL $90.86, BEH $27.76, CHC $54.15, Monthly ACFI, $172.76&#10;Jul-16: ADL $90.77, BEH $27.72, CHC $54.02, Monthly ACFI, $172.51&#10;Aug-16: ADL $90.84, BEH $27.72, CHC $53.97, Monthly ACFI, $172.53&#10;Sep-16: ADL $90.9, BEH $27.71, CHC $53.93, Monthly ACFI, $172.54&#10;Oct-16: ADL $90.89, BEH $27.69, CHC $53.88, Monthly ACFI, $172.46&#10;Nov-16: ADL $91.03, BEH $27.72, CHC $53.9, Monthly ACFI, $172.64&#10;Dec-16: ADL $91.29, BEH $27.78, CHC $54, Monthly ACFI, $173.07&#10;Jan-17: ADL $91.09, BEH $27.7, CHC $53.73, Monthly ACFI, $172.51&#10;Feb-17: ADL $91.07, BEH $27.67, CHC $53.46, Monthly ACFI, $172.2&#10;Mar-17: ADL $91.12, BEH $27.66, CHC $53.24, Monthly ACFI, $172.02&#10;"/>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1510" cy="3623945"/>
                    </a:xfrm>
                    <a:prstGeom prst="rect">
                      <a:avLst/>
                    </a:prstGeom>
                    <a:noFill/>
                    <a:ln>
                      <a:solidFill>
                        <a:schemeClr val="accent1"/>
                      </a:solidFill>
                    </a:ln>
                  </pic:spPr>
                </pic:pic>
              </a:graphicData>
            </a:graphic>
          </wp:inline>
        </w:drawing>
      </w:r>
    </w:p>
    <w:p w:rsidR="002E1694" w:rsidRDefault="00693F35" w:rsidP="002E1694">
      <w:pPr>
        <w:pStyle w:val="Caption"/>
        <w:keepNext/>
        <w:jc w:val="both"/>
      </w:pPr>
      <w:bookmarkStart w:id="658" w:name="_Toc495416928"/>
      <w:r>
        <w:t>Figure 9.</w:t>
      </w:r>
      <w:r w:rsidR="009A3F5A">
        <w:fldChar w:fldCharType="begin"/>
      </w:r>
      <w:r w:rsidR="009A3F5A">
        <w:instrText xml:space="preserve"> SEQ Figure_9. \* ARABIC </w:instrText>
      </w:r>
      <w:r w:rsidR="009A3F5A">
        <w:fldChar w:fldCharType="separate"/>
      </w:r>
      <w:r w:rsidR="00856E49">
        <w:rPr>
          <w:noProof/>
        </w:rPr>
        <w:t>9</w:t>
      </w:r>
      <w:r w:rsidR="009A3F5A">
        <w:rPr>
          <w:noProof/>
        </w:rPr>
        <w:fldChar w:fldCharType="end"/>
      </w:r>
      <w:r>
        <w:t xml:space="preserve">: </w:t>
      </w:r>
      <w:r w:rsidRPr="00693F35">
        <w:t>Average ACFI Domain Subsidy Claims from July 2015 to June 2017</w:t>
      </w:r>
      <w:bookmarkEnd w:id="658"/>
    </w:p>
    <w:p w:rsidR="001718E4" w:rsidRDefault="001718E4" w:rsidP="00354BD4">
      <w:pPr>
        <w:spacing w:after="200"/>
      </w:pPr>
      <w:r>
        <w:rPr>
          <w:noProof/>
          <w:lang w:eastAsia="en-AU"/>
        </w:rPr>
        <w:drawing>
          <wp:inline distT="0" distB="0" distL="0" distR="0" wp14:anchorId="46A1E733" wp14:editId="4C2F7AE6">
            <wp:extent cx="5749290" cy="4615180"/>
            <wp:effectExtent l="0" t="0" r="3810" b="0"/>
            <wp:docPr id="250" name="Picture 250" descr="Figure 9.9 is a line graph illustrating the average subsidy claims of the main domains (activities of daily living, behaviour and complex health care) for the aged care funding instrument (ACFI) from July 2015 to June 2017, as summaris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49290" cy="4615180"/>
                    </a:xfrm>
                    <a:prstGeom prst="rect">
                      <a:avLst/>
                    </a:prstGeom>
                    <a:noFill/>
                  </pic:spPr>
                </pic:pic>
              </a:graphicData>
            </a:graphic>
          </wp:inline>
        </w:drawing>
      </w:r>
    </w:p>
    <w:p w:rsidR="002E1694" w:rsidRDefault="002E1694" w:rsidP="002E1694">
      <w:pPr>
        <w:pStyle w:val="Caption"/>
        <w:keepNext/>
        <w:jc w:val="both"/>
      </w:pPr>
      <w:bookmarkStart w:id="659" w:name="_Toc495416929"/>
      <w:r>
        <w:lastRenderedPageBreak/>
        <w:t>F</w:t>
      </w:r>
      <w:r w:rsidR="00693F35">
        <w:t>igure 9.</w:t>
      </w:r>
      <w:r w:rsidR="009A3F5A">
        <w:fldChar w:fldCharType="begin"/>
      </w:r>
      <w:r w:rsidR="009A3F5A">
        <w:instrText xml:space="preserve"> SEQ Figure_9. \* ARABIC </w:instrText>
      </w:r>
      <w:r w:rsidR="009A3F5A">
        <w:fldChar w:fldCharType="separate"/>
      </w:r>
      <w:r w:rsidR="00856E49">
        <w:rPr>
          <w:noProof/>
        </w:rPr>
        <w:t>10</w:t>
      </w:r>
      <w:r w:rsidR="009A3F5A">
        <w:rPr>
          <w:noProof/>
        </w:rPr>
        <w:fldChar w:fldCharType="end"/>
      </w:r>
      <w:r w:rsidR="00693F35">
        <w:t xml:space="preserve">: </w:t>
      </w:r>
      <w:r w:rsidR="00693F35" w:rsidRPr="00693F35">
        <w:t>Number of ACFI Claims from July 2015 to June 2017</w:t>
      </w:r>
      <w:bookmarkEnd w:id="659"/>
    </w:p>
    <w:p w:rsidR="001718E4" w:rsidRDefault="001718E4" w:rsidP="00354BD4">
      <w:pPr>
        <w:spacing w:after="200"/>
      </w:pPr>
      <w:r>
        <w:rPr>
          <w:noProof/>
          <w:lang w:eastAsia="en-AU"/>
        </w:rPr>
        <w:drawing>
          <wp:inline distT="0" distB="0" distL="0" distR="0" wp14:anchorId="548AAE8F" wp14:editId="67577817">
            <wp:extent cx="5633085" cy="3127375"/>
            <wp:effectExtent l="0" t="0" r="5715" b="0"/>
            <wp:docPr id="252" name="Picture 252" descr="Figure 9.10 is a line graph illustrating the number of claims for the aged care funding instrument (ACFI) from July 2015 to June 2017, as summarised in the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33085" cy="3127375"/>
                    </a:xfrm>
                    <a:prstGeom prst="rect">
                      <a:avLst/>
                    </a:prstGeom>
                    <a:noFill/>
                  </pic:spPr>
                </pic:pic>
              </a:graphicData>
            </a:graphic>
          </wp:inline>
        </w:drawing>
      </w:r>
    </w:p>
    <w:p w:rsidR="002E1694" w:rsidRDefault="00693F35" w:rsidP="002E1694">
      <w:pPr>
        <w:pStyle w:val="Caption"/>
        <w:keepNext/>
      </w:pPr>
      <w:bookmarkStart w:id="660" w:name="_Toc495416848"/>
      <w:bookmarkStart w:id="661" w:name="Tab0904"/>
      <w:r>
        <w:t>Table 9.</w:t>
      </w:r>
      <w:r w:rsidR="009A3F5A">
        <w:fldChar w:fldCharType="begin"/>
      </w:r>
      <w:r w:rsidR="009A3F5A">
        <w:instrText xml:space="preserve"> SEQ Table_9. \* ARABIC </w:instrText>
      </w:r>
      <w:r w:rsidR="009A3F5A">
        <w:fldChar w:fldCharType="separate"/>
      </w:r>
      <w:r w:rsidR="00856E49">
        <w:rPr>
          <w:noProof/>
        </w:rPr>
        <w:t>4</w:t>
      </w:r>
      <w:r w:rsidR="009A3F5A">
        <w:rPr>
          <w:noProof/>
        </w:rPr>
        <w:fldChar w:fldCharType="end"/>
      </w:r>
      <w:r>
        <w:t xml:space="preserve">: </w:t>
      </w:r>
      <w:r w:rsidRPr="00693F35">
        <w:t>ACFI Appraisals (Assessments and Re-assessments)</w:t>
      </w:r>
      <w:bookmarkEnd w:id="660"/>
    </w:p>
    <w:tbl>
      <w:tblPr>
        <w:tblStyle w:val="ListTable3-Accent515"/>
        <w:tblW w:w="8175" w:type="dxa"/>
        <w:tblInd w:w="108" w:type="dxa"/>
        <w:tblBorders>
          <w:insideH w:val="single" w:sz="4" w:space="0" w:color="5B9BD5" w:themeColor="accent5"/>
          <w:insideV w:val="single" w:sz="4" w:space="0" w:color="5B9BD5" w:themeColor="accent5"/>
        </w:tblBorders>
        <w:tblLayout w:type="fixed"/>
        <w:tblLook w:val="00A0" w:firstRow="1" w:lastRow="0" w:firstColumn="1" w:lastColumn="0" w:noHBand="0" w:noVBand="0"/>
        <w:tblDescription w:val="Table 9.4 is a list of monthly subsidy amounts of the main domains (activities of daily living, behaviour and complex health care) and total from July 2015 to June 2017. This table is to be read left to right, top to bottom."/>
      </w:tblPr>
      <w:tblGrid>
        <w:gridCol w:w="993"/>
        <w:gridCol w:w="992"/>
        <w:gridCol w:w="1547"/>
        <w:gridCol w:w="1548"/>
        <w:gridCol w:w="1547"/>
        <w:gridCol w:w="1548"/>
      </w:tblGrid>
      <w:tr w:rsidR="00354BD4" w:rsidRPr="003767B5" w:rsidTr="00AC70F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993" w:type="dxa"/>
            <w:tcBorders>
              <w:bottom w:val="none" w:sz="0" w:space="0" w:color="auto"/>
              <w:right w:val="none" w:sz="0" w:space="0" w:color="auto"/>
            </w:tcBorders>
            <w:noWrap/>
            <w:hideMark/>
          </w:tcPr>
          <w:bookmarkEnd w:id="661"/>
          <w:p w:rsidR="00354BD4" w:rsidRPr="003767B5" w:rsidRDefault="00354BD4" w:rsidP="00DD6610">
            <w:pPr>
              <w:spacing w:after="0"/>
              <w:rPr>
                <w:rFonts w:ascii="Calibri" w:eastAsia="Times New Roman" w:hAnsi="Calibri" w:cs="Calibri"/>
                <w:sz w:val="20"/>
                <w:szCs w:val="20"/>
                <w:lang w:val="en-US"/>
              </w:rPr>
            </w:pPr>
            <w:r w:rsidRPr="003767B5">
              <w:rPr>
                <w:rFonts w:ascii="Calibri" w:eastAsia="Times New Roman" w:hAnsi="Calibri" w:cs="Calibri"/>
                <w:sz w:val="20"/>
                <w:szCs w:val="20"/>
                <w:lang w:val="en-US"/>
              </w:rPr>
              <w:t>Month</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sz w:val="20"/>
                <w:szCs w:val="20"/>
                <w:lang w:val="en-US"/>
              </w:rPr>
            </w:pPr>
            <w:r w:rsidRPr="003767B5">
              <w:rPr>
                <w:rFonts w:ascii="Calibri" w:eastAsia="Times New Roman" w:hAnsi="Calibri" w:cs="Calibri"/>
                <w:sz w:val="20"/>
                <w:szCs w:val="20"/>
                <w:lang w:val="en-US"/>
              </w:rPr>
              <w:t>Number</w:t>
            </w:r>
          </w:p>
        </w:tc>
        <w:tc>
          <w:tcPr>
            <w:tcW w:w="1547" w:type="dxa"/>
            <w:noWrap/>
            <w:hideMark/>
          </w:tcPr>
          <w:p w:rsidR="00354BD4" w:rsidRPr="003767B5" w:rsidRDefault="00354BD4" w:rsidP="00AC70FE">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rPr>
            </w:pPr>
            <w:r w:rsidRPr="003767B5">
              <w:rPr>
                <w:rFonts w:ascii="Calibri" w:eastAsia="Times New Roman" w:hAnsi="Calibri" w:cs="Calibri"/>
                <w:sz w:val="20"/>
                <w:szCs w:val="20"/>
                <w:lang w:val="en-US"/>
              </w:rPr>
              <w:t>Subsidy</w:t>
            </w:r>
            <w:r w:rsidRPr="003767B5">
              <w:rPr>
                <w:rFonts w:ascii="Calibri" w:eastAsia="Times New Roman" w:hAnsi="Calibri" w:cs="Calibri"/>
                <w:b w:val="0"/>
                <w:bCs w:val="0"/>
                <w:sz w:val="20"/>
                <w:szCs w:val="20"/>
                <w:lang w:val="en-US"/>
              </w:rPr>
              <w:t xml:space="preserve"> </w:t>
            </w:r>
            <w:r w:rsidRPr="003767B5">
              <w:rPr>
                <w:rFonts w:ascii="Calibri" w:eastAsia="Times New Roman" w:hAnsi="Calibri" w:cs="Calibri"/>
                <w:sz w:val="20"/>
                <w:szCs w:val="20"/>
                <w:lang w:val="en-US"/>
              </w:rPr>
              <w:t>ADL</w:t>
            </w:r>
            <w:r>
              <w:rPr>
                <w:rFonts w:ascii="Calibri" w:eastAsia="Times New Roman" w:hAnsi="Calibri" w:cs="Calibri"/>
                <w:sz w:val="20"/>
                <w:szCs w:val="20"/>
                <w:lang w:val="en-US"/>
              </w:rPr>
              <w:t xml:space="preserve"> $</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sz w:val="20"/>
                <w:szCs w:val="20"/>
                <w:lang w:val="en-US"/>
              </w:rPr>
            </w:pPr>
            <w:r w:rsidRPr="003767B5">
              <w:rPr>
                <w:rFonts w:ascii="Calibri" w:eastAsia="Times New Roman" w:hAnsi="Calibri" w:cs="Calibri"/>
                <w:sz w:val="20"/>
                <w:szCs w:val="20"/>
                <w:lang w:val="en-US"/>
              </w:rPr>
              <w:t>Subsidy</w:t>
            </w:r>
            <w:r w:rsidRPr="003767B5">
              <w:rPr>
                <w:rFonts w:ascii="Calibri" w:eastAsia="Times New Roman" w:hAnsi="Calibri" w:cs="Calibri"/>
                <w:b w:val="0"/>
                <w:bCs w:val="0"/>
                <w:sz w:val="20"/>
                <w:szCs w:val="20"/>
                <w:lang w:val="en-US"/>
              </w:rPr>
              <w:t xml:space="preserve"> </w:t>
            </w:r>
            <w:r w:rsidRPr="003767B5">
              <w:rPr>
                <w:rFonts w:ascii="Calibri" w:eastAsia="Times New Roman" w:hAnsi="Calibri" w:cs="Calibri"/>
                <w:sz w:val="20"/>
                <w:szCs w:val="20"/>
                <w:lang w:val="en-US"/>
              </w:rPr>
              <w:t>BEH</w:t>
            </w:r>
            <w:r>
              <w:rPr>
                <w:rFonts w:ascii="Calibri" w:eastAsia="Times New Roman" w:hAnsi="Calibri" w:cs="Calibri"/>
                <w:sz w:val="20"/>
                <w:szCs w:val="20"/>
                <w:lang w:val="en-US"/>
              </w:rPr>
              <w:t xml:space="preserve"> $</w:t>
            </w:r>
          </w:p>
        </w:tc>
        <w:tc>
          <w:tcPr>
            <w:tcW w:w="1547" w:type="dxa"/>
            <w:noWrap/>
            <w:hideMark/>
          </w:tcPr>
          <w:p w:rsidR="00354BD4" w:rsidRPr="003767B5" w:rsidRDefault="00354BD4" w:rsidP="00AC70FE">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rPr>
            </w:pPr>
            <w:r w:rsidRPr="003767B5">
              <w:rPr>
                <w:rFonts w:ascii="Calibri" w:eastAsia="Times New Roman" w:hAnsi="Calibri" w:cs="Calibri"/>
                <w:sz w:val="20"/>
                <w:szCs w:val="20"/>
                <w:lang w:val="en-US"/>
              </w:rPr>
              <w:t>Subsidy</w:t>
            </w:r>
            <w:r w:rsidRPr="003767B5">
              <w:rPr>
                <w:rFonts w:ascii="Calibri" w:eastAsia="Times New Roman" w:hAnsi="Calibri" w:cs="Calibri"/>
                <w:b w:val="0"/>
                <w:bCs w:val="0"/>
                <w:sz w:val="20"/>
                <w:szCs w:val="20"/>
                <w:lang w:val="en-US"/>
              </w:rPr>
              <w:t xml:space="preserve"> </w:t>
            </w:r>
            <w:r w:rsidRPr="003767B5">
              <w:rPr>
                <w:rFonts w:ascii="Calibri" w:eastAsia="Times New Roman" w:hAnsi="Calibri" w:cs="Calibri"/>
                <w:sz w:val="20"/>
                <w:szCs w:val="20"/>
                <w:lang w:val="en-US"/>
              </w:rPr>
              <w:t>CHC</w:t>
            </w:r>
            <w:r>
              <w:rPr>
                <w:rFonts w:ascii="Calibri" w:eastAsia="Times New Roman" w:hAnsi="Calibri" w:cs="Calibri"/>
                <w:sz w:val="20"/>
                <w:szCs w:val="20"/>
                <w:lang w:val="en-US"/>
              </w:rPr>
              <w:t xml:space="preserve"> $</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sz w:val="20"/>
                <w:szCs w:val="20"/>
                <w:lang w:val="en-US"/>
              </w:rPr>
            </w:pPr>
            <w:r w:rsidRPr="003767B5">
              <w:rPr>
                <w:rFonts w:ascii="Calibri" w:eastAsia="Times New Roman" w:hAnsi="Calibri" w:cs="Calibri"/>
                <w:sz w:val="20"/>
                <w:szCs w:val="20"/>
                <w:lang w:val="en-US"/>
              </w:rPr>
              <w:t>Subsidy</w:t>
            </w:r>
            <w:r w:rsidRPr="003767B5">
              <w:rPr>
                <w:rFonts w:ascii="Calibri" w:eastAsia="Times New Roman" w:hAnsi="Calibri" w:cs="Calibri"/>
                <w:b w:val="0"/>
                <w:bCs w:val="0"/>
                <w:sz w:val="20"/>
                <w:szCs w:val="20"/>
                <w:lang w:val="en-US"/>
              </w:rPr>
              <w:t xml:space="preserve"> </w:t>
            </w:r>
            <w:r w:rsidRPr="003767B5">
              <w:rPr>
                <w:rFonts w:ascii="Calibri" w:eastAsia="Times New Roman" w:hAnsi="Calibri" w:cs="Calibri"/>
                <w:sz w:val="20"/>
                <w:szCs w:val="20"/>
                <w:lang w:val="en-US"/>
              </w:rPr>
              <w:t>Total</w:t>
            </w:r>
            <w:r>
              <w:rPr>
                <w:rFonts w:ascii="Calibri" w:eastAsia="Times New Roman" w:hAnsi="Calibri" w:cs="Calibri"/>
                <w:sz w:val="20"/>
                <w:szCs w:val="20"/>
                <w:lang w:val="en-US"/>
              </w:rPr>
              <w:t xml:space="preserve"> $</w:t>
            </w:r>
          </w:p>
        </w:tc>
      </w:tr>
      <w:tr w:rsidR="00354BD4" w:rsidRPr="003767B5" w:rsidTr="00AC70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Jul-15</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12387</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91.57</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26.48</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53.67</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171.72</w:t>
            </w:r>
          </w:p>
        </w:tc>
      </w:tr>
      <w:tr w:rsidR="00354BD4" w:rsidRPr="003767B5" w:rsidTr="00AC70FE">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Aug-15</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12473</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91.50</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26.36</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53.75</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171.61</w:t>
            </w:r>
          </w:p>
        </w:tc>
      </w:tr>
      <w:tr w:rsidR="00354BD4" w:rsidRPr="003767B5" w:rsidTr="00AC70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Sep-15</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13509</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91.00</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26.43</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53.94</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171.36</w:t>
            </w:r>
          </w:p>
        </w:tc>
      </w:tr>
      <w:tr w:rsidR="00354BD4" w:rsidRPr="003767B5" w:rsidTr="00AC70FE">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Oct-15</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12456</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91.41</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26.43</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53.98</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171.82</w:t>
            </w:r>
          </w:p>
        </w:tc>
      </w:tr>
      <w:tr w:rsidR="00354BD4" w:rsidRPr="003767B5" w:rsidTr="00AC70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Nov-15</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11957</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91.71</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26.47</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54.12</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172.31</w:t>
            </w:r>
          </w:p>
        </w:tc>
      </w:tr>
      <w:tr w:rsidR="00354BD4" w:rsidRPr="003767B5" w:rsidTr="00AC70FE">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Dec-15</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12395</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91.10</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26.40</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53.94</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171.43</w:t>
            </w:r>
          </w:p>
        </w:tc>
      </w:tr>
      <w:tr w:rsidR="00354BD4" w:rsidRPr="003767B5" w:rsidTr="00AC70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Jan-16</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10339</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91.33</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26.10</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54.24</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171.66</w:t>
            </w:r>
          </w:p>
        </w:tc>
      </w:tr>
      <w:tr w:rsidR="00354BD4" w:rsidRPr="003767B5" w:rsidTr="00AC70FE">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Feb-16</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12005</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91.61</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26.70</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54.90</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173.21</w:t>
            </w:r>
          </w:p>
        </w:tc>
      </w:tr>
      <w:tr w:rsidR="00354BD4" w:rsidRPr="003767B5" w:rsidTr="00AC70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Mar-16</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12464</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91.86</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26.83</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54.86</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173.56</w:t>
            </w:r>
          </w:p>
        </w:tc>
      </w:tr>
      <w:tr w:rsidR="00354BD4" w:rsidRPr="003767B5" w:rsidTr="00AC70FE">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Apr-16</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11742</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92.39</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26.76</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55.03</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174.18</w:t>
            </w:r>
          </w:p>
        </w:tc>
      </w:tr>
      <w:tr w:rsidR="00354BD4" w:rsidRPr="003767B5" w:rsidTr="00AC70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May-16</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12732</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92.19</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26.93</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55.53</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174.65</w:t>
            </w:r>
          </w:p>
        </w:tc>
      </w:tr>
      <w:tr w:rsidR="00354BD4" w:rsidRPr="003767B5" w:rsidTr="00AC70FE">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Jun-16</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16384</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92.84</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27.50</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56.24</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176.58</w:t>
            </w:r>
          </w:p>
        </w:tc>
      </w:tr>
      <w:tr w:rsidR="00354BD4" w:rsidRPr="003767B5" w:rsidTr="00AC70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Jul-16</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8776</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92.86</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26.19</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52.06</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171.11</w:t>
            </w:r>
          </w:p>
        </w:tc>
      </w:tr>
      <w:tr w:rsidR="00354BD4" w:rsidRPr="003767B5" w:rsidTr="00AC70FE">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Aug-16</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11138</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92.34</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26.28</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52.34</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170.96</w:t>
            </w:r>
          </w:p>
        </w:tc>
      </w:tr>
      <w:tr w:rsidR="00354BD4" w:rsidRPr="003767B5" w:rsidTr="00AC70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Sep-16</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11514</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91.49</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26.05</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52.11</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169.65</w:t>
            </w:r>
          </w:p>
        </w:tc>
      </w:tr>
      <w:tr w:rsidR="00354BD4" w:rsidRPr="003767B5" w:rsidTr="00AC70FE">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Oct-16</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10773</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92.22</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26.31</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52.91</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171.44</w:t>
            </w:r>
          </w:p>
        </w:tc>
      </w:tr>
      <w:tr w:rsidR="00354BD4" w:rsidRPr="003767B5" w:rsidTr="00AC70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Nov-16</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11480</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92.01</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26.43</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52.65</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171.09</w:t>
            </w:r>
          </w:p>
        </w:tc>
      </w:tr>
      <w:tr w:rsidR="00354BD4" w:rsidRPr="003767B5" w:rsidTr="00AC70FE">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Dec-16</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13632</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92.27</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26.72</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53.14</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172.13</w:t>
            </w:r>
          </w:p>
        </w:tc>
      </w:tr>
      <w:tr w:rsidR="00354BD4" w:rsidRPr="003767B5" w:rsidTr="00AC70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Jan-17</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7709</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89.88</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25.12</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46.57</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161.57</w:t>
            </w:r>
          </w:p>
        </w:tc>
      </w:tr>
      <w:tr w:rsidR="00354BD4" w:rsidRPr="003767B5" w:rsidTr="00AC70FE">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Feb-17</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8506</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90.91</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25.79</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47.20</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163.90</w:t>
            </w:r>
          </w:p>
        </w:tc>
      </w:tr>
      <w:tr w:rsidR="00354BD4" w:rsidRPr="003767B5" w:rsidTr="00AC70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Mar-17</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9274</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92.18</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26.15</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48.30</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166.63</w:t>
            </w:r>
          </w:p>
        </w:tc>
      </w:tr>
      <w:tr w:rsidR="00354BD4" w:rsidRPr="003767B5" w:rsidTr="00AC70FE">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Apr-17</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4558</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95.13</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27.77</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50.76</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173.67</w:t>
            </w:r>
          </w:p>
        </w:tc>
      </w:tr>
      <w:tr w:rsidR="00354BD4" w:rsidRPr="003767B5" w:rsidTr="00AC70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May-17</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2251</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96.79</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28.95</w:t>
            </w:r>
          </w:p>
        </w:tc>
        <w:tc>
          <w:tcPr>
            <w:tcW w:w="1547" w:type="dxa"/>
            <w:tcBorders>
              <w:top w:val="none" w:sz="0" w:space="0" w:color="auto"/>
              <w:bottom w:val="none" w:sz="0" w:space="0" w:color="auto"/>
            </w:tcBorders>
            <w:noWrap/>
            <w:hideMark/>
          </w:tcPr>
          <w:p w:rsidR="00354BD4" w:rsidRPr="003767B5" w:rsidRDefault="00354BD4" w:rsidP="00AC70F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52.08</w:t>
            </w:r>
          </w:p>
        </w:tc>
        <w:tc>
          <w:tcPr>
            <w:cnfStyle w:val="000010000000" w:firstRow="0" w:lastRow="0" w:firstColumn="0" w:lastColumn="0" w:oddVBand="1"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177.82</w:t>
            </w:r>
          </w:p>
        </w:tc>
      </w:tr>
      <w:tr w:rsidR="00354BD4" w:rsidRPr="003767B5" w:rsidTr="00AC70FE">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354BD4" w:rsidRPr="003767B5" w:rsidRDefault="00354BD4" w:rsidP="00DD6610">
            <w:pPr>
              <w:spacing w:after="0"/>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Jun-17</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sidRPr="003767B5">
              <w:rPr>
                <w:rFonts w:ascii="Calibri" w:eastAsia="Times New Roman" w:hAnsi="Calibri" w:cs="Calibri"/>
                <w:color w:val="000000"/>
                <w:sz w:val="20"/>
                <w:szCs w:val="20"/>
                <w:lang w:val="en-US"/>
              </w:rPr>
              <w:t>75</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99.31</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27.12</w:t>
            </w:r>
          </w:p>
        </w:tc>
        <w:tc>
          <w:tcPr>
            <w:tcW w:w="1547" w:type="dxa"/>
            <w:noWrap/>
            <w:hideMark/>
          </w:tcPr>
          <w:p w:rsidR="00354BD4" w:rsidRPr="003767B5" w:rsidRDefault="00354BD4" w:rsidP="00AC70F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52.29</w:t>
            </w:r>
          </w:p>
        </w:tc>
        <w:tc>
          <w:tcPr>
            <w:cnfStyle w:val="000010000000" w:firstRow="0" w:lastRow="0" w:firstColumn="0" w:lastColumn="0" w:oddVBand="1" w:evenVBand="0" w:oddHBand="0" w:evenHBand="0" w:firstRowFirstColumn="0" w:firstRowLastColumn="0" w:lastRowFirstColumn="0" w:lastRowLastColumn="0"/>
            <w:tcW w:w="1548" w:type="dxa"/>
            <w:tcBorders>
              <w:left w:val="none" w:sz="0" w:space="0" w:color="auto"/>
              <w:right w:val="none" w:sz="0" w:space="0" w:color="auto"/>
            </w:tcBorders>
            <w:noWrap/>
            <w:hideMark/>
          </w:tcPr>
          <w:p w:rsidR="00354BD4" w:rsidRPr="003767B5" w:rsidRDefault="00354BD4" w:rsidP="00AC70FE">
            <w:pPr>
              <w:spacing w:after="0"/>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3767B5">
              <w:rPr>
                <w:rFonts w:ascii="Calibri" w:eastAsia="Times New Roman" w:hAnsi="Calibri" w:cs="Calibri"/>
                <w:color w:val="000000"/>
                <w:sz w:val="20"/>
                <w:szCs w:val="20"/>
                <w:lang w:val="en-US"/>
              </w:rPr>
              <w:t>178.72</w:t>
            </w:r>
          </w:p>
        </w:tc>
      </w:tr>
    </w:tbl>
    <w:p w:rsidR="00354BD4" w:rsidRDefault="00354BD4" w:rsidP="003D74A2">
      <w:r>
        <w:br w:type="page"/>
      </w:r>
    </w:p>
    <w:p w:rsidR="00354BD4" w:rsidRPr="005C4EEA" w:rsidRDefault="00354BD4" w:rsidP="008F1CA1">
      <w:pPr>
        <w:pStyle w:val="Heading2-Chapter9"/>
      </w:pPr>
      <w:bookmarkStart w:id="662" w:name="_Toc489386716"/>
      <w:bookmarkStart w:id="663" w:name="_Toc491426071"/>
      <w:bookmarkStart w:id="664" w:name="_Toc486600086"/>
      <w:bookmarkEnd w:id="618"/>
      <w:bookmarkEnd w:id="619"/>
      <w:bookmarkEnd w:id="652"/>
      <w:r w:rsidRPr="005C4EEA">
        <w:lastRenderedPageBreak/>
        <w:t>The Need to Address Funding Volatility and Set a Platform for the Future</w:t>
      </w:r>
      <w:bookmarkEnd w:id="662"/>
      <w:bookmarkEnd w:id="663"/>
    </w:p>
    <w:p w:rsidR="00980F62" w:rsidRDefault="00354BD4" w:rsidP="00354BD4">
      <w:pPr>
        <w:rPr>
          <w:lang w:eastAsia="en-AU"/>
        </w:rPr>
      </w:pPr>
      <w:r>
        <w:rPr>
          <w:lang w:eastAsia="en-AU"/>
        </w:rPr>
        <w:t>Funding volatility and the lack of predictability with the aged care forward budget estimates has been a major issue for both the Government and the Sector. Consultations with representatives of the sector have supported the notion that the rate of the ACFI care subsidy increases has been unsustainable and peak bodies agreed that some corrective action was needed. However, subsequent action by government to slow the growth have created uncertainty (e.g. will it happen again, soon?) producing a destabilised environment for aged care providers.</w:t>
      </w:r>
    </w:p>
    <w:p w:rsidR="00980F62" w:rsidRDefault="00354BD4" w:rsidP="00354BD4">
      <w:pPr>
        <w:rPr>
          <w:lang w:eastAsia="en-AU"/>
        </w:rPr>
      </w:pPr>
      <w:r>
        <w:rPr>
          <w:lang w:eastAsia="en-AU"/>
        </w:rPr>
        <w:t>Reductions in funding by government are often seen by the industry as summary reductions. Additionally, any action to cut funding tends to affect all providers, not just those that have benefited more from the increased subsidy income. This has the effect of creating a lack of confidence and trust which can then impact on future reforms where both parties need to play a constructive role.</w:t>
      </w:r>
    </w:p>
    <w:p w:rsidR="00354BD4" w:rsidRDefault="00354BD4" w:rsidP="00354BD4">
      <w:r w:rsidRPr="00445EF5">
        <w:rPr>
          <w:lang w:eastAsia="en-AU"/>
        </w:rPr>
        <w:t xml:space="preserve">For these reasons, it </w:t>
      </w:r>
      <w:r>
        <w:rPr>
          <w:lang w:eastAsia="en-AU"/>
        </w:rPr>
        <w:t>is</w:t>
      </w:r>
      <w:r w:rsidRPr="00445EF5">
        <w:rPr>
          <w:lang w:eastAsia="en-AU"/>
        </w:rPr>
        <w:t xml:space="preserve"> necessary to address the </w:t>
      </w:r>
      <w:r>
        <w:rPr>
          <w:lang w:eastAsia="en-AU"/>
        </w:rPr>
        <w:t xml:space="preserve">issue of funding volatility. As has been outlined </w:t>
      </w:r>
      <w:r w:rsidRPr="00A80AA7">
        <w:rPr>
          <w:lang w:eastAsia="en-AU"/>
        </w:rPr>
        <w:t>in Chapters 4, 5 6 and 7</w:t>
      </w:r>
      <w:r>
        <w:rPr>
          <w:lang w:eastAsia="en-AU"/>
        </w:rPr>
        <w:t>,</w:t>
      </w:r>
      <w:r w:rsidRPr="00A80AA7">
        <w:rPr>
          <w:lang w:eastAsia="en-AU"/>
        </w:rPr>
        <w:t xml:space="preserve"> the first step in this process is to build </w:t>
      </w:r>
      <w:r w:rsidRPr="00445EF5">
        <w:rPr>
          <w:lang w:eastAsia="en-AU"/>
        </w:rPr>
        <w:t xml:space="preserve">a stronger </w:t>
      </w:r>
      <w:r>
        <w:rPr>
          <w:lang w:eastAsia="en-AU"/>
        </w:rPr>
        <w:t xml:space="preserve">ACFI </w:t>
      </w:r>
      <w:r w:rsidRPr="00445EF5">
        <w:rPr>
          <w:lang w:eastAsia="en-AU"/>
        </w:rPr>
        <w:t xml:space="preserve">measurement model. </w:t>
      </w:r>
      <w:r w:rsidRPr="00445EF5">
        <w:t xml:space="preserve">While the ACFI changes described in the earlier chapters </w:t>
      </w:r>
      <w:r>
        <w:t xml:space="preserve">of this report </w:t>
      </w:r>
      <w:r w:rsidRPr="00445EF5">
        <w:t xml:space="preserve">will make the ACFI more contemporary, clearer in the question intent, more reliable and less susceptible to up scoring, experience from previous aged care funding tools introduced in Australia </w:t>
      </w:r>
      <w:r>
        <w:t xml:space="preserve">and internationally </w:t>
      </w:r>
      <w:r w:rsidRPr="00445EF5">
        <w:t>has shown that an improved scale alone</w:t>
      </w:r>
      <w:r>
        <w:t xml:space="preserve"> will only go part way to ensuring</w:t>
      </w:r>
      <w:r w:rsidRPr="00445EF5">
        <w:t xml:space="preserve"> the integrity of the system </w:t>
      </w:r>
      <w:r>
        <w:t>in the longer term.</w:t>
      </w:r>
    </w:p>
    <w:p w:rsidR="00980F62" w:rsidRDefault="00354BD4" w:rsidP="00354BD4">
      <w:pPr>
        <w:rPr>
          <w:lang w:eastAsia="en-AU"/>
        </w:rPr>
      </w:pPr>
      <w:r>
        <w:rPr>
          <w:lang w:eastAsia="en-AU"/>
        </w:rPr>
        <w:t>When funding is determined by a provider ‘self-assessment’, it is reasonable to expect that the incentive to maximise the funding overly influences the outcome and widespread up-scoring occurs.</w:t>
      </w:r>
    </w:p>
    <w:p w:rsidR="00980F62" w:rsidRDefault="00473246" w:rsidP="00354BD4">
      <w:pPr>
        <w:rPr>
          <w:lang w:eastAsia="en-AU"/>
        </w:rPr>
      </w:pPr>
      <w:hyperlink w:anchor="Ch10" w:history="1">
        <w:r w:rsidR="00354BD4" w:rsidRPr="00803F43">
          <w:rPr>
            <w:rStyle w:val="Hyperlink"/>
            <w:lang w:eastAsia="en-AU"/>
          </w:rPr>
          <w:t>Chapter 10</w:t>
        </w:r>
      </w:hyperlink>
      <w:r w:rsidR="00354BD4">
        <w:rPr>
          <w:lang w:eastAsia="en-AU"/>
        </w:rPr>
        <w:t xml:space="preserve"> reviews selected international aged care systems approaches to determining and setting funding.</w:t>
      </w:r>
    </w:p>
    <w:p w:rsidR="00354BD4" w:rsidRDefault="00473246" w:rsidP="00354BD4">
      <w:hyperlink w:anchor="Ch11" w:history="1">
        <w:r w:rsidR="00354BD4" w:rsidRPr="00803F43">
          <w:rPr>
            <w:rStyle w:val="Hyperlink"/>
            <w:lang w:eastAsia="en-AU"/>
          </w:rPr>
          <w:t>Chapter 11</w:t>
        </w:r>
      </w:hyperlink>
      <w:r w:rsidR="00354BD4">
        <w:rPr>
          <w:lang w:eastAsia="en-AU"/>
        </w:rPr>
        <w:t xml:space="preserve"> provides</w:t>
      </w:r>
      <w:r w:rsidR="00354BD4">
        <w:t xml:space="preserve"> options </w:t>
      </w:r>
      <w:r w:rsidR="00354BD4">
        <w:rPr>
          <w:lang w:eastAsia="en-AU"/>
        </w:rPr>
        <w:t>to consider for changes to the way assessment for funding is determined in Australian aged care facilities</w:t>
      </w:r>
      <w:r w:rsidR="00354BD4">
        <w:t>.</w:t>
      </w:r>
    </w:p>
    <w:p w:rsidR="00727EF2" w:rsidRDefault="00727EF2" w:rsidP="00354BD4">
      <w:pPr>
        <w:sectPr w:rsidR="00727EF2" w:rsidSect="00DF3488">
          <w:headerReference w:type="even" r:id="rId106"/>
          <w:footerReference w:type="even" r:id="rId107"/>
          <w:headerReference w:type="first" r:id="rId108"/>
          <w:type w:val="continuous"/>
          <w:pgSz w:w="11906" w:h="16838"/>
          <w:pgMar w:top="1440" w:right="1440" w:bottom="1440" w:left="1440" w:header="706" w:footer="672" w:gutter="0"/>
          <w:cols w:space="708"/>
          <w:docGrid w:linePitch="360"/>
        </w:sectPr>
      </w:pPr>
    </w:p>
    <w:p w:rsidR="004D38FE" w:rsidRPr="004D38FE" w:rsidRDefault="00354BD4" w:rsidP="004D38FE">
      <w:pPr>
        <w:rPr>
          <w:lang w:eastAsia="en-AU"/>
        </w:rPr>
      </w:pPr>
      <w:r w:rsidRPr="004D38FE">
        <w:rPr>
          <w:lang w:eastAsia="en-AU"/>
        </w:rPr>
        <w:br w:type="page"/>
      </w:r>
    </w:p>
    <w:p w:rsidR="00E70A74" w:rsidRPr="00C01041" w:rsidRDefault="00E70A74" w:rsidP="008F1CA1">
      <w:pPr>
        <w:pStyle w:val="Heading1-Chapters"/>
        <w:ind w:right="-613"/>
      </w:pPr>
      <w:bookmarkStart w:id="665" w:name="_Toc491426072"/>
      <w:bookmarkStart w:id="666" w:name="Ch10"/>
      <w:r w:rsidRPr="00C01041">
        <w:lastRenderedPageBreak/>
        <w:t xml:space="preserve">International and </w:t>
      </w:r>
      <w:r w:rsidR="00CD51D5" w:rsidRPr="00C01041">
        <w:t xml:space="preserve">local </w:t>
      </w:r>
      <w:r w:rsidRPr="00C01041">
        <w:t>Approaches to Determining and Auditing Residential Aged Care Funding</w:t>
      </w:r>
      <w:bookmarkEnd w:id="664"/>
      <w:bookmarkEnd w:id="665"/>
    </w:p>
    <w:p w:rsidR="00147D5F" w:rsidRDefault="00147D5F" w:rsidP="00D65C73">
      <w:pPr>
        <w:shd w:val="clear" w:color="auto" w:fill="DEEAF6" w:themeFill="accent5" w:themeFillTint="33"/>
      </w:pPr>
      <w:bookmarkStart w:id="667" w:name="_Toc486600088"/>
      <w:bookmarkEnd w:id="666"/>
      <w:r>
        <w:t>This Chapter discusses selected international approaches to determining and auditing residential aged care funding including and an analysis of the Australian review and audit model and the outcomes of the funding audit program.</w:t>
      </w:r>
    </w:p>
    <w:p w:rsidR="00147D5F" w:rsidRPr="008F1CA1" w:rsidRDefault="00147D5F" w:rsidP="008F1CA1">
      <w:pPr>
        <w:pStyle w:val="Heading2-Chapter10"/>
        <w:spacing w:before="200"/>
      </w:pPr>
      <w:bookmarkStart w:id="668" w:name="_Toc486600087"/>
      <w:bookmarkStart w:id="669" w:name="_Toc489386718"/>
      <w:bookmarkStart w:id="670" w:name="_Toc491426073"/>
      <w:r w:rsidRPr="008F1CA1">
        <w:t>International Approaches</w:t>
      </w:r>
      <w:bookmarkEnd w:id="668"/>
      <w:bookmarkEnd w:id="669"/>
      <w:bookmarkEnd w:id="670"/>
    </w:p>
    <w:p w:rsidR="00980F62" w:rsidRDefault="00147D5F" w:rsidP="003D74A2">
      <w:r>
        <w:t xml:space="preserve">The approaches to aged care funding in four countries (New Zealand (NZ), England, Canada, and the USA) are examined briefly in this section. These countries have broadly similar residential aged care systems to Australia and provide a context for the discussion on future approaches to the determination and validation of funding claims in Australia. This work is presented as an </w:t>
      </w:r>
      <w:r w:rsidRPr="00044147">
        <w:t>overview with specific focus on how care subsidy payments are determined and managed. More detailed descriptions of the approaches in these countries are provided in Tables 10.1 to 10.4.</w:t>
      </w:r>
    </w:p>
    <w:p w:rsidR="00980F62" w:rsidRDefault="00147D5F" w:rsidP="003D74A2">
      <w:r>
        <w:t>While it may seem superficially appealing to adopt an approach used in another country, on closer inspection it is apparent that each system is influenced by, and structured around, local historical circumstances which includes the funding system, community care system and the existing facility type models and infrastructure. There is no system internationally that is directly comparable or transferable to the Australian situation, although some relevant themes emerge.</w:t>
      </w:r>
    </w:p>
    <w:p w:rsidR="00147D5F" w:rsidRDefault="00147D5F" w:rsidP="00872E39">
      <w:pPr>
        <w:pStyle w:val="Heading3-Chapter101"/>
      </w:pPr>
      <w:r w:rsidRPr="00672FA2">
        <w:t>New Zealand (NZ)</w:t>
      </w:r>
    </w:p>
    <w:p w:rsidR="00147D5F" w:rsidRPr="00044147" w:rsidRDefault="00147D5F" w:rsidP="00872E39">
      <w:pPr>
        <w:pStyle w:val="Heading4-Chapter1011"/>
      </w:pPr>
      <w:r w:rsidRPr="003A55D6">
        <w:t>System description</w:t>
      </w:r>
    </w:p>
    <w:p w:rsidR="00147D5F" w:rsidRPr="006F33C6" w:rsidRDefault="00147D5F" w:rsidP="00147D5F">
      <w:pPr>
        <w:rPr>
          <w:szCs w:val="24"/>
        </w:rPr>
      </w:pPr>
      <w:r w:rsidRPr="006F33C6">
        <w:rPr>
          <w:szCs w:val="24"/>
        </w:rPr>
        <w:t>NZ has four types of residential care (</w:t>
      </w:r>
      <w:r w:rsidRPr="006F33C6">
        <w:rPr>
          <w:rFonts w:cstheme="minorHAnsi"/>
          <w:szCs w:val="24"/>
        </w:rPr>
        <w:t>rest home, continuing care, dementia care, psychogeriatric care)</w:t>
      </w:r>
      <w:r w:rsidRPr="006F33C6">
        <w:rPr>
          <w:szCs w:val="24"/>
        </w:rPr>
        <w:t xml:space="preserve"> with block funding attached to each in contrast to Australia’s ageing in place, single tier model. A residential care</w:t>
      </w:r>
      <w:r>
        <w:rPr>
          <w:szCs w:val="24"/>
        </w:rPr>
        <w:t xml:space="preserve"> provider</w:t>
      </w:r>
      <w:r w:rsidRPr="006F33C6">
        <w:rPr>
          <w:szCs w:val="24"/>
        </w:rPr>
        <w:t xml:space="preserve"> will often provide more than one level of care</w:t>
      </w:r>
      <w:r>
        <w:rPr>
          <w:szCs w:val="24"/>
        </w:rPr>
        <w:t xml:space="preserve"> but in different buildings</w:t>
      </w:r>
      <w:r w:rsidRPr="006F33C6">
        <w:rPr>
          <w:szCs w:val="24"/>
        </w:rPr>
        <w:t>.</w:t>
      </w:r>
    </w:p>
    <w:p w:rsidR="00147D5F" w:rsidRDefault="00147D5F" w:rsidP="00872E39">
      <w:pPr>
        <w:pStyle w:val="Heading4-Chapter1011"/>
      </w:pPr>
      <w:r w:rsidRPr="003A55D6">
        <w:t>Assessment:</w:t>
      </w:r>
    </w:p>
    <w:p w:rsidR="00980F62" w:rsidRDefault="00147D5F" w:rsidP="00147D5F">
      <w:pPr>
        <w:rPr>
          <w:rFonts w:cstheme="minorHAnsi"/>
          <w:szCs w:val="24"/>
        </w:rPr>
      </w:pPr>
      <w:r>
        <w:rPr>
          <w:szCs w:val="24"/>
        </w:rPr>
        <w:t>I</w:t>
      </w:r>
      <w:r>
        <w:rPr>
          <w:rFonts w:cstheme="minorHAnsi"/>
          <w:szCs w:val="24"/>
        </w:rPr>
        <w:t>f a</w:t>
      </w:r>
      <w:r w:rsidRPr="00154B1E">
        <w:rPr>
          <w:rFonts w:cstheme="minorHAnsi"/>
          <w:szCs w:val="24"/>
        </w:rPr>
        <w:t xml:space="preserve"> person </w:t>
      </w:r>
      <w:r>
        <w:rPr>
          <w:rFonts w:cstheme="minorHAnsi"/>
          <w:szCs w:val="24"/>
        </w:rPr>
        <w:t>is likely to need</w:t>
      </w:r>
      <w:r w:rsidRPr="00154B1E">
        <w:rPr>
          <w:rFonts w:cstheme="minorHAnsi"/>
          <w:szCs w:val="24"/>
        </w:rPr>
        <w:t xml:space="preserve"> residential care, </w:t>
      </w:r>
      <w:r>
        <w:rPr>
          <w:szCs w:val="24"/>
        </w:rPr>
        <w:t xml:space="preserve">the District Health Board’s (DHB) </w:t>
      </w:r>
      <w:r w:rsidRPr="00C34606">
        <w:rPr>
          <w:szCs w:val="24"/>
        </w:rPr>
        <w:t>Needs Assessment and Service Coordination (NASC) team</w:t>
      </w:r>
      <w:r w:rsidRPr="00154B1E">
        <w:rPr>
          <w:rFonts w:cstheme="minorHAnsi"/>
          <w:szCs w:val="24"/>
        </w:rPr>
        <w:t xml:space="preserve"> will </w:t>
      </w:r>
      <w:r>
        <w:rPr>
          <w:rFonts w:cstheme="minorHAnsi"/>
          <w:szCs w:val="24"/>
        </w:rPr>
        <w:t>use the community care assessment Community inter</w:t>
      </w:r>
      <w:r w:rsidRPr="00154B1E">
        <w:rPr>
          <w:rFonts w:cstheme="minorHAnsi"/>
          <w:szCs w:val="24"/>
        </w:rPr>
        <w:t xml:space="preserve">RAI </w:t>
      </w:r>
      <w:r>
        <w:rPr>
          <w:rFonts w:cstheme="minorHAnsi"/>
          <w:szCs w:val="24"/>
        </w:rPr>
        <w:t>(completed within the past 6 months) when determining the appropriate facility type. If the Community inter</w:t>
      </w:r>
      <w:r w:rsidRPr="00154B1E">
        <w:rPr>
          <w:rFonts w:cstheme="minorHAnsi"/>
          <w:szCs w:val="24"/>
        </w:rPr>
        <w:t xml:space="preserve">RAI is older than 6 months and the client is </w:t>
      </w:r>
      <w:r>
        <w:rPr>
          <w:rFonts w:cstheme="minorHAnsi"/>
          <w:szCs w:val="24"/>
        </w:rPr>
        <w:t>entering</w:t>
      </w:r>
      <w:r w:rsidRPr="00154B1E">
        <w:rPr>
          <w:rFonts w:cstheme="minorHAnsi"/>
          <w:szCs w:val="24"/>
        </w:rPr>
        <w:t xml:space="preserve"> care, the NASC Team will update</w:t>
      </w:r>
      <w:r>
        <w:rPr>
          <w:rFonts w:cstheme="minorHAnsi"/>
          <w:szCs w:val="24"/>
        </w:rPr>
        <w:t xml:space="preserve"> the Community inter</w:t>
      </w:r>
      <w:r w:rsidRPr="00154B1E">
        <w:rPr>
          <w:rFonts w:cstheme="minorHAnsi"/>
          <w:szCs w:val="24"/>
        </w:rPr>
        <w:t xml:space="preserve">RAI </w:t>
      </w:r>
      <w:r>
        <w:rPr>
          <w:rFonts w:cstheme="minorHAnsi"/>
          <w:szCs w:val="24"/>
        </w:rPr>
        <w:t>prior to admission</w:t>
      </w:r>
      <w:r w:rsidRPr="00154B1E">
        <w:rPr>
          <w:rFonts w:cstheme="minorHAnsi"/>
          <w:szCs w:val="24"/>
        </w:rPr>
        <w:t>.</w:t>
      </w:r>
      <w:r>
        <w:rPr>
          <w:rFonts w:cstheme="minorHAnsi"/>
          <w:szCs w:val="24"/>
        </w:rPr>
        <w:t xml:space="preserve"> The NASC determines the most appropriate level of care by matching care needs to the facility </w:t>
      </w:r>
      <w:r w:rsidRPr="00044147">
        <w:rPr>
          <w:rFonts w:cstheme="minorHAnsi"/>
          <w:szCs w:val="24"/>
        </w:rPr>
        <w:t>type</w:t>
      </w:r>
      <w:r>
        <w:rPr>
          <w:rFonts w:cstheme="minorHAnsi"/>
          <w:szCs w:val="24"/>
        </w:rPr>
        <w:t>,</w:t>
      </w:r>
      <w:r w:rsidRPr="00044147">
        <w:rPr>
          <w:rFonts w:cstheme="minorHAnsi"/>
          <w:szCs w:val="24"/>
        </w:rPr>
        <w:t xml:space="preserve"> which effectively sets the funding amount that will be received by the facility for the care provision</w:t>
      </w:r>
      <w:r>
        <w:rPr>
          <w:rFonts w:cstheme="minorHAnsi"/>
          <w:szCs w:val="24"/>
        </w:rPr>
        <w:t xml:space="preserve"> of residents of a particular type</w:t>
      </w:r>
      <w:r w:rsidRPr="00044147">
        <w:rPr>
          <w:rFonts w:cstheme="minorHAnsi"/>
          <w:szCs w:val="24"/>
        </w:rPr>
        <w:t>.</w:t>
      </w:r>
    </w:p>
    <w:p w:rsidR="00147D5F" w:rsidRPr="00044147" w:rsidRDefault="00147D5F" w:rsidP="00147D5F">
      <w:pPr>
        <w:rPr>
          <w:rFonts w:cstheme="minorHAnsi"/>
          <w:szCs w:val="24"/>
        </w:rPr>
      </w:pPr>
      <w:r w:rsidRPr="00044147">
        <w:rPr>
          <w:rFonts w:cstheme="minorHAnsi"/>
          <w:szCs w:val="24"/>
        </w:rPr>
        <w:t>A nurse assessor at the facility is required to complete the residential interRAI within 21 days of admission and updates are done at six-monthly intervals.</w:t>
      </w:r>
    </w:p>
    <w:p w:rsidR="00980F62" w:rsidRDefault="00147D5F" w:rsidP="00147D5F">
      <w:pPr>
        <w:rPr>
          <w:szCs w:val="24"/>
        </w:rPr>
      </w:pPr>
      <w:r w:rsidRPr="006F33C6">
        <w:rPr>
          <w:rFonts w:cstheme="minorHAnsi"/>
          <w:szCs w:val="24"/>
        </w:rPr>
        <w:lastRenderedPageBreak/>
        <w:t xml:space="preserve">The </w:t>
      </w:r>
      <w:r>
        <w:rPr>
          <w:rFonts w:cstheme="minorHAnsi"/>
          <w:szCs w:val="24"/>
        </w:rPr>
        <w:t xml:space="preserve">care facility </w:t>
      </w:r>
      <w:r w:rsidRPr="006F33C6">
        <w:rPr>
          <w:rFonts w:cstheme="minorHAnsi"/>
          <w:szCs w:val="24"/>
        </w:rPr>
        <w:t>can dispute NASC determinations of care level at entry and subsequently, but there are no defined links between interRAl assessments and care levels. T</w:t>
      </w:r>
      <w:r w:rsidRPr="006F33C6">
        <w:rPr>
          <w:szCs w:val="24"/>
        </w:rPr>
        <w:t>he interRAI home care assessment pre-entry can be compared with the interRAI long term care facility assessment when the person is admitted and assessed in the facility.</w:t>
      </w:r>
    </w:p>
    <w:p w:rsidR="00147D5F" w:rsidRPr="00044147" w:rsidRDefault="00147D5F" w:rsidP="00872E39">
      <w:pPr>
        <w:pStyle w:val="Heading4-Chapter1011"/>
      </w:pPr>
      <w:r w:rsidRPr="00044147">
        <w:t>Future considerations</w:t>
      </w:r>
    </w:p>
    <w:p w:rsidR="00147D5F" w:rsidRPr="00CA5E09" w:rsidRDefault="00147D5F" w:rsidP="00147D5F">
      <w:r>
        <w:rPr>
          <w:szCs w:val="24"/>
        </w:rPr>
        <w:t>It is thought by some that the introduction of interRAI into NZ residential care (</w:t>
      </w:r>
      <w:r w:rsidRPr="00044147">
        <w:rPr>
          <w:szCs w:val="24"/>
        </w:rPr>
        <w:t>NH Inter-RAI)</w:t>
      </w:r>
      <w:r>
        <w:rPr>
          <w:szCs w:val="24"/>
        </w:rPr>
        <w:t xml:space="preserve"> will accelerate the push to determine funding levels based on the interRAI resource utilization g</w:t>
      </w:r>
      <w:r w:rsidRPr="00B0074E">
        <w:rPr>
          <w:szCs w:val="24"/>
        </w:rPr>
        <w:t>roups</w:t>
      </w:r>
      <w:r>
        <w:rPr>
          <w:szCs w:val="24"/>
        </w:rPr>
        <w:t xml:space="preserve"> (RUGs) levels. If in future, a more targeted funding model is adopted in NZ and the facilities interRAI is used to inform on the residents funding level within a facility type, there will be reduced scope for ‘up-coding’ as the auditing model will have an external assessment reference point.</w:t>
      </w:r>
    </w:p>
    <w:p w:rsidR="00147D5F" w:rsidRPr="00044147" w:rsidRDefault="00147D5F" w:rsidP="00872E39">
      <w:pPr>
        <w:pStyle w:val="Heading4-Chapter1011"/>
      </w:pPr>
      <w:r w:rsidRPr="00044147">
        <w:t>Challenges of the model</w:t>
      </w:r>
    </w:p>
    <w:p w:rsidR="00980F62" w:rsidRDefault="00147D5F" w:rsidP="00147D5F">
      <w:pPr>
        <w:rPr>
          <w:szCs w:val="24"/>
        </w:rPr>
      </w:pPr>
      <w:r>
        <w:rPr>
          <w:szCs w:val="24"/>
        </w:rPr>
        <w:t xml:space="preserve">The block funding approach appears to provide a simple solution when compared to highly categorised funding models (e.g. RUGs Casemix, ACFI) which can lead to frequent resident care need reviews, placing a demand on the administration of the funding system. However, in this model, residents in each facility type are assumed to have homogenous care needs and associated resource requirements aligned to the staffing models. If not, they must move facilities when their care needs </w:t>
      </w:r>
      <w:r w:rsidRPr="006F33C6">
        <w:rPr>
          <w:szCs w:val="24"/>
        </w:rPr>
        <w:t>exceed what is provided by the facility</w:t>
      </w:r>
      <w:r>
        <w:rPr>
          <w:szCs w:val="24"/>
        </w:rPr>
        <w:t>. Importantly too, consumers prefer a home for life with the care they need rather than being moved around to fit the needs of the system.</w:t>
      </w:r>
    </w:p>
    <w:p w:rsidR="00980F62" w:rsidRDefault="00147D5F" w:rsidP="00147D5F">
      <w:pPr>
        <w:rPr>
          <w:szCs w:val="24"/>
        </w:rPr>
      </w:pPr>
      <w:r>
        <w:rPr>
          <w:szCs w:val="24"/>
        </w:rPr>
        <w:t>There has been some disquiet from providers who believe there is inadequate funding for those with higher care needs given facilities receive the same subsidy irrespective of the resident’s care needs requirements. Additionally, it may take longer to place a higher care needs person from hospital if the facility believes the persons care needs exceed the flat amount paid for the care provision.</w:t>
      </w:r>
    </w:p>
    <w:p w:rsidR="00980F62" w:rsidRDefault="00147D5F" w:rsidP="00872E39">
      <w:pPr>
        <w:pStyle w:val="Heading3-Chapter101"/>
      </w:pPr>
      <w:r w:rsidRPr="00672FA2">
        <w:t>England</w:t>
      </w:r>
    </w:p>
    <w:p w:rsidR="00147D5F" w:rsidRPr="003A55D6" w:rsidRDefault="00147D5F" w:rsidP="00872E39">
      <w:pPr>
        <w:pStyle w:val="Heading4-Chapter1012"/>
      </w:pPr>
      <w:r w:rsidRPr="003A55D6">
        <w:t>System description</w:t>
      </w:r>
    </w:p>
    <w:p w:rsidR="00147D5F" w:rsidRDefault="00147D5F" w:rsidP="00147D5F">
      <w:pPr>
        <w:rPr>
          <w:szCs w:val="24"/>
        </w:rPr>
      </w:pPr>
      <w:r>
        <w:rPr>
          <w:szCs w:val="24"/>
        </w:rPr>
        <w:t>Approaches to residential care funding in England have limited relevance to Australia as funding models vary and are based around the home types:</w:t>
      </w:r>
    </w:p>
    <w:p w:rsidR="00147D5F" w:rsidRPr="00561426" w:rsidRDefault="00147D5F" w:rsidP="00CA5E09">
      <w:pPr>
        <w:pStyle w:val="ListParagraph"/>
        <w:numPr>
          <w:ilvl w:val="0"/>
          <w:numId w:val="47"/>
        </w:numPr>
        <w:ind w:left="357" w:hanging="357"/>
        <w:rPr>
          <w:szCs w:val="24"/>
        </w:rPr>
      </w:pPr>
      <w:r>
        <w:rPr>
          <w:szCs w:val="24"/>
        </w:rPr>
        <w:t>R</w:t>
      </w:r>
      <w:r w:rsidRPr="0050231A">
        <w:rPr>
          <w:szCs w:val="24"/>
        </w:rPr>
        <w:t>esidential homes, which are primarily social care models providing board, lodging and personal care</w:t>
      </w:r>
    </w:p>
    <w:p w:rsidR="00147D5F" w:rsidRDefault="00147D5F" w:rsidP="00CA5E09">
      <w:pPr>
        <w:pStyle w:val="ListParagraph"/>
        <w:numPr>
          <w:ilvl w:val="0"/>
          <w:numId w:val="47"/>
        </w:numPr>
        <w:ind w:left="357" w:hanging="357"/>
        <w:rPr>
          <w:szCs w:val="24"/>
        </w:rPr>
      </w:pPr>
      <w:r>
        <w:rPr>
          <w:szCs w:val="24"/>
        </w:rPr>
        <w:t>N</w:t>
      </w:r>
      <w:r w:rsidRPr="0050231A">
        <w:rPr>
          <w:szCs w:val="24"/>
        </w:rPr>
        <w:t>ursing homes, which must have at least one qualified nurse to support residents with higher health and nursing care needs.</w:t>
      </w:r>
    </w:p>
    <w:p w:rsidR="00980F62" w:rsidRDefault="00147D5F" w:rsidP="00147D5F">
      <w:pPr>
        <w:rPr>
          <w:szCs w:val="24"/>
        </w:rPr>
      </w:pPr>
      <w:r w:rsidRPr="0050231A">
        <w:rPr>
          <w:szCs w:val="24"/>
        </w:rPr>
        <w:t>While homes get funded on a set fee per resident, nursing care aspects of care are determined by the NHS and can vary from resident to resident. There are t</w:t>
      </w:r>
      <w:r w:rsidRPr="00561426">
        <w:rPr>
          <w:szCs w:val="24"/>
        </w:rPr>
        <w:t xml:space="preserve">hree nursing care levels </w:t>
      </w:r>
      <w:r>
        <w:rPr>
          <w:szCs w:val="24"/>
        </w:rPr>
        <w:t>(</w:t>
      </w:r>
      <w:r w:rsidRPr="00561426">
        <w:rPr>
          <w:szCs w:val="24"/>
        </w:rPr>
        <w:t xml:space="preserve">based on 3 subjective classification levels) with </w:t>
      </w:r>
      <w:r>
        <w:rPr>
          <w:szCs w:val="24"/>
        </w:rPr>
        <w:t>National Health Service (</w:t>
      </w:r>
      <w:r w:rsidRPr="00561426">
        <w:rPr>
          <w:szCs w:val="24"/>
        </w:rPr>
        <w:t>NHS</w:t>
      </w:r>
      <w:r>
        <w:rPr>
          <w:szCs w:val="24"/>
        </w:rPr>
        <w:t>)</w:t>
      </w:r>
      <w:r w:rsidRPr="00561426">
        <w:rPr>
          <w:szCs w:val="24"/>
        </w:rPr>
        <w:t xml:space="preserve"> funding amounts based on complexity, stability, predictability, and risk.</w:t>
      </w:r>
    </w:p>
    <w:p w:rsidR="00147D5F" w:rsidRPr="004D795D" w:rsidRDefault="00147D5F" w:rsidP="00872E39">
      <w:pPr>
        <w:pStyle w:val="Heading4-Chapter1012"/>
      </w:pPr>
      <w:r w:rsidRPr="004D795D">
        <w:t>Assessment for residential care</w:t>
      </w:r>
    </w:p>
    <w:p w:rsidR="00980F62" w:rsidRDefault="00147D5F" w:rsidP="00147D5F">
      <w:pPr>
        <w:rPr>
          <w:szCs w:val="24"/>
        </w:rPr>
      </w:pPr>
      <w:r w:rsidRPr="0050231A">
        <w:rPr>
          <w:szCs w:val="24"/>
        </w:rPr>
        <w:t xml:space="preserve">Needs assessments pre-entry are conducted by </w:t>
      </w:r>
      <w:r>
        <w:rPr>
          <w:szCs w:val="24"/>
        </w:rPr>
        <w:t>External Assessor</w:t>
      </w:r>
      <w:r w:rsidRPr="0050231A">
        <w:rPr>
          <w:szCs w:val="24"/>
        </w:rPr>
        <w:t>s</w:t>
      </w:r>
      <w:r>
        <w:rPr>
          <w:szCs w:val="24"/>
        </w:rPr>
        <w:t xml:space="preserve"> such as </w:t>
      </w:r>
      <w:r w:rsidRPr="0050231A">
        <w:rPr>
          <w:szCs w:val="24"/>
        </w:rPr>
        <w:t xml:space="preserve">physicians, nurses, social workers or combinations of these forming ‘socio-medical’ teams. Assessors </w:t>
      </w:r>
      <w:r>
        <w:rPr>
          <w:szCs w:val="24"/>
        </w:rPr>
        <w:t>are</w:t>
      </w:r>
      <w:r w:rsidRPr="0050231A">
        <w:rPr>
          <w:szCs w:val="24"/>
        </w:rPr>
        <w:t xml:space="preserve"> usually independent from </w:t>
      </w:r>
      <w:r>
        <w:rPr>
          <w:szCs w:val="24"/>
        </w:rPr>
        <w:t>pro</w:t>
      </w:r>
      <w:r w:rsidRPr="0050231A">
        <w:rPr>
          <w:szCs w:val="24"/>
        </w:rPr>
        <w:t xml:space="preserve">viders, and may or may not be independent from the local </w:t>
      </w:r>
      <w:r w:rsidRPr="00EC7303">
        <w:rPr>
          <w:szCs w:val="24"/>
        </w:rPr>
        <w:t xml:space="preserve">health authority. There is no </w:t>
      </w:r>
      <w:r>
        <w:rPr>
          <w:szCs w:val="24"/>
        </w:rPr>
        <w:t xml:space="preserve">apparent </w:t>
      </w:r>
      <w:r w:rsidRPr="00EC7303">
        <w:rPr>
          <w:szCs w:val="24"/>
        </w:rPr>
        <w:t xml:space="preserve">auditing of </w:t>
      </w:r>
      <w:r>
        <w:rPr>
          <w:szCs w:val="24"/>
        </w:rPr>
        <w:t>the External Assessor’s</w:t>
      </w:r>
      <w:r w:rsidRPr="00EC7303">
        <w:rPr>
          <w:szCs w:val="24"/>
        </w:rPr>
        <w:t xml:space="preserve"> </w:t>
      </w:r>
      <w:r>
        <w:rPr>
          <w:szCs w:val="24"/>
        </w:rPr>
        <w:t xml:space="preserve">decision relating to </w:t>
      </w:r>
      <w:r w:rsidRPr="00EC7303">
        <w:rPr>
          <w:szCs w:val="24"/>
        </w:rPr>
        <w:t>nursing care level determination.</w:t>
      </w:r>
    </w:p>
    <w:p w:rsidR="00147D5F" w:rsidRDefault="00147D5F" w:rsidP="00872E39">
      <w:pPr>
        <w:pStyle w:val="Heading3-Chapter101"/>
      </w:pPr>
      <w:r w:rsidRPr="00545798">
        <w:t>Canada</w:t>
      </w:r>
    </w:p>
    <w:p w:rsidR="00980F62" w:rsidRDefault="00147D5F" w:rsidP="00147D5F">
      <w:pPr>
        <w:rPr>
          <w:szCs w:val="24"/>
        </w:rPr>
      </w:pPr>
      <w:r w:rsidRPr="00044147">
        <w:rPr>
          <w:szCs w:val="24"/>
        </w:rPr>
        <w:t xml:space="preserve">As an example of a </w:t>
      </w:r>
      <w:r w:rsidRPr="00545798">
        <w:rPr>
          <w:szCs w:val="24"/>
        </w:rPr>
        <w:t>Canad</w:t>
      </w:r>
      <w:r w:rsidRPr="00044147">
        <w:rPr>
          <w:szCs w:val="24"/>
        </w:rPr>
        <w:t>ian Prov</w:t>
      </w:r>
      <w:r>
        <w:rPr>
          <w:szCs w:val="24"/>
        </w:rPr>
        <w:t>i</w:t>
      </w:r>
      <w:r w:rsidRPr="00044147">
        <w:rPr>
          <w:szCs w:val="24"/>
        </w:rPr>
        <w:t xml:space="preserve">nce, </w:t>
      </w:r>
      <w:r w:rsidRPr="00545798">
        <w:rPr>
          <w:szCs w:val="24"/>
        </w:rPr>
        <w:t>Ontario uses RUG</w:t>
      </w:r>
      <w:r w:rsidRPr="00044147">
        <w:rPr>
          <w:szCs w:val="24"/>
        </w:rPr>
        <w:t>s</w:t>
      </w:r>
      <w:r w:rsidRPr="00545798">
        <w:rPr>
          <w:szCs w:val="24"/>
        </w:rPr>
        <w:t xml:space="preserve"> to determine the resident’s Casemix group. Casemix groups are determined </w:t>
      </w:r>
      <w:r w:rsidRPr="00471BC2">
        <w:rPr>
          <w:szCs w:val="24"/>
        </w:rPr>
        <w:t xml:space="preserve">by the coding of specific interRAI MDS items related to the amount of </w:t>
      </w:r>
      <w:r w:rsidRPr="00791201">
        <w:rPr>
          <w:szCs w:val="24"/>
        </w:rPr>
        <w:t>assistance the resident receives with ADL</w:t>
      </w:r>
      <w:r w:rsidRPr="00044147">
        <w:rPr>
          <w:szCs w:val="24"/>
        </w:rPr>
        <w:t>s</w:t>
      </w:r>
      <w:r w:rsidRPr="00545798">
        <w:rPr>
          <w:szCs w:val="24"/>
        </w:rPr>
        <w:t xml:space="preserve"> plus, to a lesser extent, selected treatments, health conditions, diagnoses, behaviour and </w:t>
      </w:r>
      <w:r w:rsidRPr="00044147">
        <w:rPr>
          <w:szCs w:val="24"/>
        </w:rPr>
        <w:t xml:space="preserve">cognitive status. While the aged care provider determines the resident RUG </w:t>
      </w:r>
      <w:r>
        <w:rPr>
          <w:szCs w:val="24"/>
        </w:rPr>
        <w:t xml:space="preserve">grouping </w:t>
      </w:r>
      <w:r w:rsidRPr="00044147">
        <w:rPr>
          <w:szCs w:val="24"/>
        </w:rPr>
        <w:t>post-entry via quarterly individual resident RUGs ADL assessments, the provider is not paid on a resident by resident basis. Payment is based on the annualised Casemix average (case mix index – CMI) which considers variations in resident care needs during the year as assessed by the RUGs assessment tool.</w:t>
      </w:r>
    </w:p>
    <w:p w:rsidR="00980F62" w:rsidRDefault="00147D5F" w:rsidP="00147D5F">
      <w:pPr>
        <w:rPr>
          <w:szCs w:val="24"/>
        </w:rPr>
      </w:pPr>
      <w:r w:rsidRPr="00044147">
        <w:rPr>
          <w:szCs w:val="24"/>
        </w:rPr>
        <w:t>In all l</w:t>
      </w:r>
      <w:r>
        <w:rPr>
          <w:szCs w:val="24"/>
        </w:rPr>
        <w:t>ong-term aged care environments</w:t>
      </w:r>
      <w:r w:rsidRPr="00044147">
        <w:rPr>
          <w:szCs w:val="24"/>
        </w:rPr>
        <w:t xml:space="preserve"> the ADL domain is the biggest driver of funding costs. Therapy minutes based on care provided is also a funding driver but this item is believed to be open to manipulation and is currently being reviewed</w:t>
      </w:r>
      <w:r>
        <w:rPr>
          <w:szCs w:val="24"/>
        </w:rPr>
        <w:t xml:space="preserve"> by the developers of the interRAI</w:t>
      </w:r>
      <w:r w:rsidRPr="00044147">
        <w:rPr>
          <w:szCs w:val="24"/>
        </w:rPr>
        <w:t xml:space="preserve">. </w:t>
      </w:r>
      <w:r>
        <w:rPr>
          <w:szCs w:val="24"/>
        </w:rPr>
        <w:t>T</w:t>
      </w:r>
      <w:r w:rsidRPr="00044147">
        <w:rPr>
          <w:szCs w:val="24"/>
        </w:rPr>
        <w:t xml:space="preserve">he need for therapy is extremely difficult to objectively determine, and relying on a therapist’s view on the amount of </w:t>
      </w:r>
      <w:r>
        <w:rPr>
          <w:szCs w:val="24"/>
        </w:rPr>
        <w:t xml:space="preserve">therapy </w:t>
      </w:r>
      <w:r w:rsidRPr="00044147">
        <w:rPr>
          <w:szCs w:val="24"/>
        </w:rPr>
        <w:t>ca</w:t>
      </w:r>
      <w:r>
        <w:rPr>
          <w:szCs w:val="24"/>
        </w:rPr>
        <w:t xml:space="preserve">re needed </w:t>
      </w:r>
      <w:r w:rsidRPr="00044147">
        <w:rPr>
          <w:szCs w:val="24"/>
        </w:rPr>
        <w:t>has proven problematic. Ontario is considering linking the therapy minutes to outcomes and benefits to residents.</w:t>
      </w:r>
    </w:p>
    <w:p w:rsidR="00147D5F" w:rsidRDefault="00147D5F" w:rsidP="00147D5F">
      <w:pPr>
        <w:rPr>
          <w:szCs w:val="24"/>
        </w:rPr>
      </w:pPr>
      <w:r w:rsidRPr="00044147">
        <w:rPr>
          <w:szCs w:val="24"/>
        </w:rPr>
        <w:t xml:space="preserve">As the aged care provider completes a ‘self-assessment’ for funding, there are extensive data checks and audit visits to validate the accuracy of RUGs MDS. Anecdotally, it is reported there is a relatively </w:t>
      </w:r>
      <w:r>
        <w:rPr>
          <w:szCs w:val="24"/>
        </w:rPr>
        <w:t>high level of over-claiming (</w:t>
      </w:r>
      <w:r w:rsidRPr="00044147">
        <w:rPr>
          <w:szCs w:val="24"/>
        </w:rPr>
        <w:t>15</w:t>
      </w:r>
      <w:r w:rsidR="0065091B">
        <w:rPr>
          <w:szCs w:val="24"/>
        </w:rPr>
        <w:t xml:space="preserve"> per cent</w:t>
      </w:r>
      <w:r w:rsidRPr="00044147">
        <w:rPr>
          <w:szCs w:val="24"/>
        </w:rPr>
        <w:t>). Penalties apply for inaccurate claiming</w:t>
      </w:r>
      <w:r w:rsidRPr="00471BC2">
        <w:rPr>
          <w:szCs w:val="24"/>
        </w:rPr>
        <w:t xml:space="preserve"> patterns.</w:t>
      </w:r>
    </w:p>
    <w:p w:rsidR="00147D5F" w:rsidRDefault="00147D5F" w:rsidP="00872E39">
      <w:pPr>
        <w:pStyle w:val="Heading3-Chapter101"/>
      </w:pPr>
      <w:r>
        <w:t>USA</w:t>
      </w:r>
    </w:p>
    <w:p w:rsidR="00980F62" w:rsidRDefault="00147D5F" w:rsidP="00147D5F">
      <w:pPr>
        <w:rPr>
          <w:szCs w:val="24"/>
        </w:rPr>
      </w:pPr>
      <w:r w:rsidRPr="00471BC2">
        <w:rPr>
          <w:szCs w:val="24"/>
        </w:rPr>
        <w:t xml:space="preserve">As is the case in Ontario, the aged care system in the USA uses an internal facility assessor to complete the interRAI MDS which </w:t>
      </w:r>
      <w:r>
        <w:rPr>
          <w:szCs w:val="24"/>
        </w:rPr>
        <w:t xml:space="preserve">classifies residents into distinct reimbursement groups through the </w:t>
      </w:r>
      <w:r w:rsidRPr="00471BC2">
        <w:rPr>
          <w:szCs w:val="24"/>
        </w:rPr>
        <w:t>produc</w:t>
      </w:r>
      <w:r>
        <w:rPr>
          <w:szCs w:val="24"/>
        </w:rPr>
        <w:t xml:space="preserve">tion of </w:t>
      </w:r>
      <w:r w:rsidRPr="00471BC2">
        <w:rPr>
          <w:szCs w:val="24"/>
        </w:rPr>
        <w:t>RUG</w:t>
      </w:r>
      <w:r w:rsidRPr="00044147">
        <w:rPr>
          <w:szCs w:val="24"/>
        </w:rPr>
        <w:t>s</w:t>
      </w:r>
      <w:r w:rsidRPr="00471BC2">
        <w:rPr>
          <w:szCs w:val="24"/>
        </w:rPr>
        <w:t xml:space="preserve"> </w:t>
      </w:r>
      <w:r w:rsidRPr="00044147">
        <w:rPr>
          <w:szCs w:val="24"/>
        </w:rPr>
        <w:t xml:space="preserve">classifications in the skilled nursing home environment. </w:t>
      </w:r>
      <w:r w:rsidRPr="00080365">
        <w:rPr>
          <w:szCs w:val="24"/>
        </w:rPr>
        <w:t>The funding groups are determined by the coding of specific interRAI MDS items related to the amount of assistance the resident receive</w:t>
      </w:r>
      <w:r>
        <w:rPr>
          <w:szCs w:val="24"/>
        </w:rPr>
        <w:t>s</w:t>
      </w:r>
      <w:r w:rsidRPr="00080365">
        <w:rPr>
          <w:szCs w:val="24"/>
        </w:rPr>
        <w:t xml:space="preserve"> with activities of daily living plus selected treatments.</w:t>
      </w:r>
    </w:p>
    <w:p w:rsidR="00980F62" w:rsidRDefault="00147D5F" w:rsidP="00147D5F">
      <w:pPr>
        <w:rPr>
          <w:szCs w:val="24"/>
        </w:rPr>
      </w:pPr>
      <w:r w:rsidRPr="00080365">
        <w:rPr>
          <w:szCs w:val="24"/>
        </w:rPr>
        <w:t>Payments to providers are made on a regular per resident basis</w:t>
      </w:r>
      <w:r>
        <w:rPr>
          <w:szCs w:val="24"/>
        </w:rPr>
        <w:t>,</w:t>
      </w:r>
      <w:r w:rsidRPr="00080365">
        <w:rPr>
          <w:szCs w:val="24"/>
        </w:rPr>
        <w:t xml:space="preserve"> unlike Ontario where a retrospective Casemix average is used from the previous year to determine payment in the current year. Facilities are paid a daily rate based on the resident</w:t>
      </w:r>
      <w:r w:rsidRPr="00044147">
        <w:rPr>
          <w:szCs w:val="24"/>
        </w:rPr>
        <w:t>’</w:t>
      </w:r>
      <w:r w:rsidRPr="00080365">
        <w:rPr>
          <w:szCs w:val="24"/>
        </w:rPr>
        <w:t>s RUG which determines the resident</w:t>
      </w:r>
      <w:r w:rsidRPr="00044147">
        <w:rPr>
          <w:szCs w:val="24"/>
        </w:rPr>
        <w:t>’</w:t>
      </w:r>
      <w:r w:rsidRPr="00080365">
        <w:rPr>
          <w:szCs w:val="24"/>
        </w:rPr>
        <w:t>s case mix classification. The Casemix classification is then associated with a payment level as determined by the local health department.</w:t>
      </w:r>
    </w:p>
    <w:p w:rsidR="00147D5F" w:rsidRDefault="00147D5F" w:rsidP="00147D5F">
      <w:pPr>
        <w:rPr>
          <w:szCs w:val="24"/>
        </w:rPr>
      </w:pPr>
      <w:r w:rsidRPr="00080365">
        <w:rPr>
          <w:szCs w:val="24"/>
        </w:rPr>
        <w:t>The interRAI covers a comprehensive range of domains</w:t>
      </w:r>
      <w:r>
        <w:rPr>
          <w:szCs w:val="24"/>
        </w:rPr>
        <w:t xml:space="preserve"> and is </w:t>
      </w:r>
      <w:r w:rsidRPr="00080365">
        <w:rPr>
          <w:szCs w:val="24"/>
        </w:rPr>
        <w:t>completed every 3-6 months</w:t>
      </w:r>
      <w:r>
        <w:rPr>
          <w:szCs w:val="24"/>
        </w:rPr>
        <w:t>.</w:t>
      </w:r>
      <w:r w:rsidRPr="00080365">
        <w:rPr>
          <w:szCs w:val="24"/>
        </w:rPr>
        <w:t xml:space="preserve"> To limit </w:t>
      </w:r>
      <w:r w:rsidRPr="00044147">
        <w:rPr>
          <w:szCs w:val="24"/>
        </w:rPr>
        <w:t xml:space="preserve">the potential for </w:t>
      </w:r>
      <w:r w:rsidRPr="00080365">
        <w:rPr>
          <w:szCs w:val="24"/>
        </w:rPr>
        <w:t xml:space="preserve">over-claiming </w:t>
      </w:r>
      <w:r w:rsidRPr="00044147">
        <w:rPr>
          <w:szCs w:val="24"/>
        </w:rPr>
        <w:t xml:space="preserve">when using the </w:t>
      </w:r>
      <w:r w:rsidRPr="00080365">
        <w:rPr>
          <w:szCs w:val="24"/>
        </w:rPr>
        <w:t>facility based self-assessment model, the various states have developed sophisticated audit models. An example of the Minnesota audit model used in the USA is provided below.</w:t>
      </w:r>
    </w:p>
    <w:p w:rsidR="00980F62" w:rsidRDefault="00CA5E09" w:rsidP="00107D28">
      <w:pPr>
        <w:shd w:val="clear" w:color="auto" w:fill="D9D9D9" w:themeFill="background1" w:themeFillShade="D9"/>
        <w:autoSpaceDE w:val="0"/>
        <w:autoSpaceDN w:val="0"/>
        <w:adjustRightInd w:val="0"/>
        <w:spacing w:before="240"/>
        <w:rPr>
          <w:rStyle w:val="Strong"/>
        </w:rPr>
      </w:pPr>
      <w:r w:rsidRPr="006E7AC9">
        <w:rPr>
          <w:rStyle w:val="Strong"/>
        </w:rPr>
        <w:t>Audits of the assessments used for Case Mix Classifications</w:t>
      </w:r>
    </w:p>
    <w:p w:rsidR="00980F62" w:rsidRDefault="00CA5E09" w:rsidP="00CA5E09">
      <w:pPr>
        <w:shd w:val="clear" w:color="auto" w:fill="D9D9D9" w:themeFill="background1" w:themeFillShade="D9"/>
        <w:autoSpaceDE w:val="0"/>
        <w:autoSpaceDN w:val="0"/>
        <w:adjustRightInd w:val="0"/>
        <w:rPr>
          <w:rFonts w:cstheme="minorHAnsi"/>
          <w:color w:val="000000"/>
          <w:szCs w:val="24"/>
          <w:lang w:val="en-US"/>
        </w:rPr>
      </w:pPr>
      <w:r w:rsidRPr="00CA5E09">
        <w:rPr>
          <w:rFonts w:cstheme="minorHAnsi"/>
          <w:color w:val="000000"/>
          <w:szCs w:val="24"/>
          <w:lang w:val="en-US"/>
        </w:rPr>
        <w:t>A percentage of MDS assessments used for Minnesota Case Mix Classifications are audited for accuracy by MDH staff. Audits may be performed through desk audits or on-site review. On site audits are unannounced and may include review of residents’ records, observations of residents, and interviews with residents, staff, and families. Residents may be reclassified if MDH staff determine that the resident was incorrectly classified. Within 15 working days of the audit completion, MDH will post electronic notices of the case mix classification for each resident whose case mix classification has changed subsequent to the audit.</w:t>
      </w:r>
    </w:p>
    <w:p w:rsidR="00CA5E09" w:rsidRPr="00CA5E09" w:rsidRDefault="00CA5E09" w:rsidP="00CA5E09">
      <w:pPr>
        <w:shd w:val="clear" w:color="auto" w:fill="D9D9D9" w:themeFill="background1" w:themeFillShade="D9"/>
        <w:autoSpaceDE w:val="0"/>
        <w:autoSpaceDN w:val="0"/>
        <w:adjustRightInd w:val="0"/>
        <w:rPr>
          <w:rFonts w:cstheme="minorHAnsi"/>
          <w:color w:val="000000"/>
          <w:szCs w:val="24"/>
          <w:lang w:val="en-US"/>
        </w:rPr>
      </w:pPr>
      <w:r w:rsidRPr="00CA5E09">
        <w:rPr>
          <w:rFonts w:cstheme="minorHAnsi"/>
          <w:color w:val="000000"/>
          <w:szCs w:val="24"/>
          <w:lang w:val="en-US"/>
        </w:rPr>
        <w:t>Audits consist of annual audits for all facilities or special audits if problems are noted with a facility’s completion and submission of MDS assessments. For example, a facility may be subject to a special audit if there is an atypical pattern of scoring MDS items, assessments are not being submitted, assessments are late, or a facility has a history of audit changes of 35 percent or greater. Depending on audit results, the sample of assessments being audited may be expanded up to 100%.</w:t>
      </w:r>
    </w:p>
    <w:p w:rsidR="00980F62" w:rsidRDefault="00CA5E09" w:rsidP="00CA5E09">
      <w:pPr>
        <w:shd w:val="clear" w:color="auto" w:fill="D9D9D9" w:themeFill="background1" w:themeFillShade="D9"/>
        <w:autoSpaceDE w:val="0"/>
        <w:autoSpaceDN w:val="0"/>
        <w:adjustRightInd w:val="0"/>
        <w:rPr>
          <w:rFonts w:cstheme="minorHAnsi"/>
          <w:color w:val="000000"/>
          <w:szCs w:val="24"/>
          <w:lang w:val="en-US"/>
        </w:rPr>
      </w:pPr>
      <w:r w:rsidRPr="00CA5E09">
        <w:rPr>
          <w:rFonts w:cstheme="minorHAnsi"/>
          <w:color w:val="000000"/>
          <w:szCs w:val="24"/>
          <w:lang w:val="en-US"/>
        </w:rPr>
        <w:t>Each facility shall be audited annually. If a facility has two successive audits with five percent or less percentage of change and the facility has not been the subject of a special audit in the past 36 months, the facility may be audited biannually. A stratified sample of 15 percent, with a minimum of ten assessments, of the most current assessments shall be selected for audit. If more than 20 percent of the RUG-IV classifications are changed the audit shall be expanded to a second 15 percent sample, with a minimum of ten assessments. If the total change between the first and second sample 35 percent, the commissioner may expand the audit to all of the remaining assessments.</w:t>
      </w:r>
    </w:p>
    <w:p w:rsidR="00980F62" w:rsidRDefault="00CA5E09" w:rsidP="00CA5E09">
      <w:pPr>
        <w:shd w:val="clear" w:color="auto" w:fill="D9D9D9" w:themeFill="background1" w:themeFillShade="D9"/>
        <w:autoSpaceDE w:val="0"/>
        <w:autoSpaceDN w:val="0"/>
        <w:adjustRightInd w:val="0"/>
        <w:rPr>
          <w:rFonts w:cstheme="minorHAnsi"/>
          <w:color w:val="000000"/>
          <w:szCs w:val="24"/>
          <w:lang w:val="en-US"/>
        </w:rPr>
      </w:pPr>
      <w:r w:rsidRPr="00CA5E09">
        <w:rPr>
          <w:rFonts w:cstheme="minorHAnsi"/>
          <w:color w:val="000000"/>
          <w:szCs w:val="24"/>
          <w:lang w:val="en-US"/>
        </w:rPr>
        <w:t>If a facility qualifies for an expanded audit, the commissioner may audit the facility again within six months. If a facility has two expanded audits within a 24-month period, that facility will be audited at least every six months for the next 18 months.</w:t>
      </w:r>
    </w:p>
    <w:p w:rsidR="00980F62" w:rsidRDefault="00CA5E09" w:rsidP="00CA5E09">
      <w:pPr>
        <w:shd w:val="clear" w:color="auto" w:fill="D9D9D9" w:themeFill="background1" w:themeFillShade="D9"/>
        <w:autoSpaceDE w:val="0"/>
        <w:autoSpaceDN w:val="0"/>
        <w:adjustRightInd w:val="0"/>
        <w:rPr>
          <w:rFonts w:cstheme="minorHAnsi"/>
          <w:color w:val="000000"/>
          <w:szCs w:val="24"/>
          <w:lang w:val="en-US"/>
        </w:rPr>
      </w:pPr>
      <w:r w:rsidRPr="00CA5E09">
        <w:rPr>
          <w:rFonts w:cstheme="minorHAnsi"/>
          <w:color w:val="000000"/>
          <w:szCs w:val="24"/>
          <w:lang w:val="en-US"/>
        </w:rPr>
        <w:t>The commissioner may conduct special audits if the commissioner determines that circumstances exist that could alter or affect the validity of case mix classifications of residents. These circumstances include, but are not limited to, the following:</w:t>
      </w:r>
    </w:p>
    <w:p w:rsidR="00980F62" w:rsidRDefault="00CA5E09" w:rsidP="005B7F01">
      <w:pPr>
        <w:pStyle w:val="ListParagraph"/>
        <w:numPr>
          <w:ilvl w:val="3"/>
          <w:numId w:val="172"/>
        </w:numPr>
        <w:shd w:val="clear" w:color="auto" w:fill="D9D9D9" w:themeFill="background1" w:themeFillShade="D9"/>
        <w:autoSpaceDE w:val="0"/>
        <w:autoSpaceDN w:val="0"/>
        <w:adjustRightInd w:val="0"/>
        <w:spacing w:after="0"/>
        <w:ind w:left="567" w:hanging="567"/>
        <w:contextualSpacing w:val="0"/>
        <w:rPr>
          <w:rFonts w:cstheme="minorHAnsi"/>
          <w:color w:val="000000"/>
          <w:szCs w:val="24"/>
          <w:lang w:val="en-US"/>
        </w:rPr>
      </w:pPr>
      <w:r w:rsidRPr="00CA5E09">
        <w:rPr>
          <w:rFonts w:cstheme="minorHAnsi"/>
          <w:color w:val="000000"/>
          <w:szCs w:val="24"/>
          <w:lang w:val="en-US"/>
        </w:rPr>
        <w:t>frequent changes in the administration or management of the facility;</w:t>
      </w:r>
    </w:p>
    <w:p w:rsidR="00980F62" w:rsidRDefault="00CA5E09" w:rsidP="005B7F01">
      <w:pPr>
        <w:pStyle w:val="ListParagraph"/>
        <w:numPr>
          <w:ilvl w:val="3"/>
          <w:numId w:val="172"/>
        </w:numPr>
        <w:shd w:val="clear" w:color="auto" w:fill="D9D9D9" w:themeFill="background1" w:themeFillShade="D9"/>
        <w:autoSpaceDE w:val="0"/>
        <w:autoSpaceDN w:val="0"/>
        <w:adjustRightInd w:val="0"/>
        <w:spacing w:after="0"/>
        <w:ind w:left="567" w:hanging="567"/>
        <w:contextualSpacing w:val="0"/>
        <w:rPr>
          <w:rFonts w:cstheme="minorHAnsi"/>
          <w:color w:val="000000"/>
          <w:szCs w:val="24"/>
          <w:lang w:val="en-US"/>
        </w:rPr>
      </w:pPr>
      <w:r w:rsidRPr="00CA5E09">
        <w:rPr>
          <w:rFonts w:cstheme="minorHAnsi"/>
          <w:color w:val="000000"/>
          <w:szCs w:val="24"/>
          <w:lang w:val="en-US"/>
        </w:rPr>
        <w:t>an unusually high percentage of residents in a specific case mix classification;</w:t>
      </w:r>
    </w:p>
    <w:p w:rsidR="00980F62" w:rsidRDefault="00CA5E09" w:rsidP="005B7F01">
      <w:pPr>
        <w:pStyle w:val="ListParagraph"/>
        <w:numPr>
          <w:ilvl w:val="3"/>
          <w:numId w:val="172"/>
        </w:numPr>
        <w:shd w:val="clear" w:color="auto" w:fill="D9D9D9" w:themeFill="background1" w:themeFillShade="D9"/>
        <w:autoSpaceDE w:val="0"/>
        <w:autoSpaceDN w:val="0"/>
        <w:adjustRightInd w:val="0"/>
        <w:spacing w:after="0"/>
        <w:ind w:left="567" w:hanging="567"/>
        <w:contextualSpacing w:val="0"/>
        <w:rPr>
          <w:rFonts w:cstheme="minorHAnsi"/>
          <w:color w:val="000000"/>
          <w:szCs w:val="24"/>
          <w:lang w:val="en-US"/>
        </w:rPr>
      </w:pPr>
      <w:r w:rsidRPr="00CA5E09">
        <w:rPr>
          <w:rFonts w:cstheme="minorHAnsi"/>
          <w:color w:val="000000"/>
          <w:szCs w:val="24"/>
          <w:lang w:val="en-US"/>
        </w:rPr>
        <w:t>a high frequency in the number of reconsideration requests received from a facility;</w:t>
      </w:r>
    </w:p>
    <w:p w:rsidR="00980F62" w:rsidRDefault="00CA5E09" w:rsidP="005B7F01">
      <w:pPr>
        <w:pStyle w:val="ListParagraph"/>
        <w:numPr>
          <w:ilvl w:val="3"/>
          <w:numId w:val="172"/>
        </w:numPr>
        <w:shd w:val="clear" w:color="auto" w:fill="D9D9D9" w:themeFill="background1" w:themeFillShade="D9"/>
        <w:autoSpaceDE w:val="0"/>
        <w:autoSpaceDN w:val="0"/>
        <w:adjustRightInd w:val="0"/>
        <w:spacing w:after="0"/>
        <w:ind w:left="567" w:hanging="567"/>
        <w:contextualSpacing w:val="0"/>
        <w:rPr>
          <w:rFonts w:cstheme="minorHAnsi"/>
          <w:color w:val="000000"/>
          <w:szCs w:val="24"/>
          <w:lang w:val="en-US"/>
        </w:rPr>
      </w:pPr>
      <w:r w:rsidRPr="00CA5E09">
        <w:rPr>
          <w:rFonts w:cstheme="minorHAnsi"/>
          <w:color w:val="000000"/>
          <w:szCs w:val="24"/>
          <w:lang w:val="en-US"/>
        </w:rPr>
        <w:t>frequent adjustments of case mix classifications as the result of reconsiderations or audits;</w:t>
      </w:r>
    </w:p>
    <w:p w:rsidR="00980F62" w:rsidRDefault="00CA5E09" w:rsidP="005B7F01">
      <w:pPr>
        <w:pStyle w:val="ListParagraph"/>
        <w:numPr>
          <w:ilvl w:val="3"/>
          <w:numId w:val="172"/>
        </w:numPr>
        <w:shd w:val="clear" w:color="auto" w:fill="D9D9D9" w:themeFill="background1" w:themeFillShade="D9"/>
        <w:autoSpaceDE w:val="0"/>
        <w:autoSpaceDN w:val="0"/>
        <w:adjustRightInd w:val="0"/>
        <w:spacing w:after="0"/>
        <w:ind w:left="567" w:hanging="567"/>
        <w:contextualSpacing w:val="0"/>
        <w:rPr>
          <w:rFonts w:cstheme="minorHAnsi"/>
          <w:color w:val="000000"/>
          <w:szCs w:val="24"/>
          <w:lang w:val="en-US"/>
        </w:rPr>
      </w:pPr>
      <w:r w:rsidRPr="00CA5E09">
        <w:rPr>
          <w:rFonts w:cstheme="minorHAnsi"/>
          <w:color w:val="000000"/>
          <w:szCs w:val="24"/>
          <w:lang w:val="en-US"/>
        </w:rPr>
        <w:t>a criminal indictment alleging provider fraud;</w:t>
      </w:r>
    </w:p>
    <w:p w:rsidR="00980F62" w:rsidRDefault="00CA5E09" w:rsidP="005B7F01">
      <w:pPr>
        <w:pStyle w:val="ListParagraph"/>
        <w:numPr>
          <w:ilvl w:val="3"/>
          <w:numId w:val="172"/>
        </w:numPr>
        <w:shd w:val="clear" w:color="auto" w:fill="D9D9D9" w:themeFill="background1" w:themeFillShade="D9"/>
        <w:autoSpaceDE w:val="0"/>
        <w:autoSpaceDN w:val="0"/>
        <w:adjustRightInd w:val="0"/>
        <w:spacing w:after="0"/>
        <w:ind w:left="567" w:hanging="567"/>
        <w:contextualSpacing w:val="0"/>
        <w:rPr>
          <w:rFonts w:cstheme="minorHAnsi"/>
          <w:color w:val="000000"/>
          <w:szCs w:val="24"/>
          <w:lang w:val="en-US"/>
        </w:rPr>
      </w:pPr>
      <w:r w:rsidRPr="00CA5E09">
        <w:rPr>
          <w:rFonts w:cstheme="minorHAnsi"/>
          <w:color w:val="000000"/>
          <w:szCs w:val="24"/>
          <w:lang w:val="en-US"/>
        </w:rPr>
        <w:t>other similar factors that relate to a facility's ability to conduct accurate assessments;</w:t>
      </w:r>
    </w:p>
    <w:p w:rsidR="00980F62" w:rsidRDefault="00CA5E09" w:rsidP="005B7F01">
      <w:pPr>
        <w:pStyle w:val="ListParagraph"/>
        <w:numPr>
          <w:ilvl w:val="3"/>
          <w:numId w:val="172"/>
        </w:numPr>
        <w:shd w:val="clear" w:color="auto" w:fill="D9D9D9" w:themeFill="background1" w:themeFillShade="D9"/>
        <w:autoSpaceDE w:val="0"/>
        <w:autoSpaceDN w:val="0"/>
        <w:adjustRightInd w:val="0"/>
        <w:spacing w:after="0"/>
        <w:ind w:left="567" w:hanging="567"/>
        <w:contextualSpacing w:val="0"/>
        <w:rPr>
          <w:rFonts w:cstheme="minorHAnsi"/>
          <w:color w:val="000000"/>
          <w:szCs w:val="24"/>
          <w:lang w:val="en-US"/>
        </w:rPr>
      </w:pPr>
      <w:r w:rsidRPr="00CA5E09">
        <w:rPr>
          <w:rFonts w:cstheme="minorHAnsi"/>
          <w:color w:val="000000"/>
          <w:szCs w:val="24"/>
          <w:lang w:val="en-US"/>
        </w:rPr>
        <w:t>an atypical pattern of scoring minimum data set items;</w:t>
      </w:r>
    </w:p>
    <w:p w:rsidR="00980F62" w:rsidRDefault="00CA5E09" w:rsidP="005B7F01">
      <w:pPr>
        <w:pStyle w:val="ListParagraph"/>
        <w:numPr>
          <w:ilvl w:val="3"/>
          <w:numId w:val="172"/>
        </w:numPr>
        <w:shd w:val="clear" w:color="auto" w:fill="D9D9D9" w:themeFill="background1" w:themeFillShade="D9"/>
        <w:autoSpaceDE w:val="0"/>
        <w:autoSpaceDN w:val="0"/>
        <w:adjustRightInd w:val="0"/>
        <w:spacing w:after="0"/>
        <w:ind w:left="567" w:hanging="567"/>
        <w:contextualSpacing w:val="0"/>
        <w:rPr>
          <w:rFonts w:cstheme="minorHAnsi"/>
          <w:color w:val="000000"/>
          <w:szCs w:val="24"/>
          <w:lang w:val="en-US"/>
        </w:rPr>
      </w:pPr>
      <w:r w:rsidRPr="00CA5E09">
        <w:rPr>
          <w:rFonts w:cstheme="minorHAnsi"/>
          <w:color w:val="000000"/>
          <w:szCs w:val="24"/>
          <w:lang w:val="en-US"/>
        </w:rPr>
        <w:t>non-submission of assessments;</w:t>
      </w:r>
    </w:p>
    <w:p w:rsidR="00980F62" w:rsidRDefault="00CA5E09" w:rsidP="005B7F01">
      <w:pPr>
        <w:pStyle w:val="ListParagraph"/>
        <w:numPr>
          <w:ilvl w:val="3"/>
          <w:numId w:val="172"/>
        </w:numPr>
        <w:shd w:val="clear" w:color="auto" w:fill="D9D9D9" w:themeFill="background1" w:themeFillShade="D9"/>
        <w:autoSpaceDE w:val="0"/>
        <w:autoSpaceDN w:val="0"/>
        <w:adjustRightInd w:val="0"/>
        <w:spacing w:after="0"/>
        <w:ind w:left="567" w:hanging="567"/>
        <w:contextualSpacing w:val="0"/>
        <w:rPr>
          <w:rFonts w:cstheme="minorHAnsi"/>
          <w:color w:val="000000"/>
          <w:szCs w:val="24"/>
          <w:lang w:val="en-US"/>
        </w:rPr>
      </w:pPr>
      <w:r w:rsidRPr="00CA5E09">
        <w:rPr>
          <w:rFonts w:cstheme="minorHAnsi"/>
          <w:color w:val="000000"/>
          <w:szCs w:val="24"/>
          <w:lang w:val="en-US"/>
        </w:rPr>
        <w:t>late submission of assessments; or</w:t>
      </w:r>
    </w:p>
    <w:p w:rsidR="00CA5E09" w:rsidRPr="00CA5E09" w:rsidRDefault="00CA5E09" w:rsidP="005B7F01">
      <w:pPr>
        <w:pStyle w:val="ListParagraph"/>
        <w:numPr>
          <w:ilvl w:val="3"/>
          <w:numId w:val="172"/>
        </w:numPr>
        <w:shd w:val="clear" w:color="auto" w:fill="D9D9D9" w:themeFill="background1" w:themeFillShade="D9"/>
        <w:autoSpaceDE w:val="0"/>
        <w:autoSpaceDN w:val="0"/>
        <w:adjustRightInd w:val="0"/>
        <w:spacing w:after="0"/>
        <w:ind w:left="567" w:hanging="567"/>
        <w:contextualSpacing w:val="0"/>
        <w:rPr>
          <w:rFonts w:cstheme="minorHAnsi"/>
          <w:color w:val="000000"/>
          <w:szCs w:val="24"/>
          <w:lang w:val="en-US"/>
        </w:rPr>
      </w:pPr>
      <w:r w:rsidRPr="00CA5E09">
        <w:rPr>
          <w:rFonts w:cstheme="minorHAnsi"/>
          <w:color w:val="000000"/>
          <w:szCs w:val="24"/>
          <w:lang w:val="en-US"/>
        </w:rPr>
        <w:t>a previous history of audit changes of 35 percent or greater.</w:t>
      </w:r>
    </w:p>
    <w:p w:rsidR="00980F62" w:rsidRDefault="00CA5E09" w:rsidP="005B7F01">
      <w:pPr>
        <w:shd w:val="clear" w:color="auto" w:fill="D9D9D9" w:themeFill="background1" w:themeFillShade="D9"/>
        <w:spacing w:before="120"/>
        <w:rPr>
          <w:szCs w:val="24"/>
        </w:rPr>
      </w:pPr>
      <w:r w:rsidRPr="00CA5E09">
        <w:rPr>
          <w:rFonts w:cstheme="minorHAnsi"/>
          <w:bCs/>
          <w:color w:val="000000"/>
          <w:szCs w:val="24"/>
          <w:lang w:val="en-US"/>
        </w:rPr>
        <w:t>(Case Mix Classification Manual for Nursing Facilities Case Mix Review. Minnesota Department of Health, June 2015, p24)</w:t>
      </w:r>
    </w:p>
    <w:p w:rsidR="00980F62" w:rsidRDefault="00147D5F" w:rsidP="008F1CA1">
      <w:pPr>
        <w:pStyle w:val="Heading2-Chapter10"/>
      </w:pPr>
      <w:bookmarkStart w:id="671" w:name="_Toc489386719"/>
      <w:bookmarkStart w:id="672" w:name="_Toc491426074"/>
      <w:bookmarkEnd w:id="667"/>
      <w:r w:rsidRPr="008878F0">
        <w:t>Learnings for Australia</w:t>
      </w:r>
      <w:bookmarkEnd w:id="671"/>
      <w:bookmarkEnd w:id="672"/>
    </w:p>
    <w:p w:rsidR="00980F62" w:rsidRDefault="00147D5F" w:rsidP="00147D5F">
      <w:pPr>
        <w:rPr>
          <w:szCs w:val="24"/>
        </w:rPr>
      </w:pPr>
      <w:r w:rsidRPr="008D4A82">
        <w:rPr>
          <w:szCs w:val="24"/>
        </w:rPr>
        <w:t xml:space="preserve">While the </w:t>
      </w:r>
      <w:r>
        <w:rPr>
          <w:szCs w:val="24"/>
        </w:rPr>
        <w:t xml:space="preserve">international </w:t>
      </w:r>
      <w:r w:rsidRPr="008D4A82">
        <w:rPr>
          <w:szCs w:val="24"/>
        </w:rPr>
        <w:t xml:space="preserve">systems reviewed have been developed to fit </w:t>
      </w:r>
      <w:r>
        <w:rPr>
          <w:szCs w:val="24"/>
        </w:rPr>
        <w:t xml:space="preserve">their </w:t>
      </w:r>
      <w:r w:rsidRPr="008D4A82">
        <w:rPr>
          <w:szCs w:val="24"/>
        </w:rPr>
        <w:t xml:space="preserve">local circumstances and have limited application to Australia, there </w:t>
      </w:r>
      <w:r>
        <w:rPr>
          <w:szCs w:val="24"/>
        </w:rPr>
        <w:t xml:space="preserve">are </w:t>
      </w:r>
      <w:r w:rsidRPr="008D4A82">
        <w:rPr>
          <w:szCs w:val="24"/>
        </w:rPr>
        <w:t>some consistent l</w:t>
      </w:r>
      <w:r>
        <w:rPr>
          <w:szCs w:val="24"/>
        </w:rPr>
        <w:t>e</w:t>
      </w:r>
      <w:r w:rsidRPr="008D4A82">
        <w:rPr>
          <w:szCs w:val="24"/>
        </w:rPr>
        <w:t xml:space="preserve">arnings that </w:t>
      </w:r>
      <w:r>
        <w:rPr>
          <w:szCs w:val="24"/>
        </w:rPr>
        <w:t>are</w:t>
      </w:r>
      <w:r w:rsidRPr="008D4A82">
        <w:rPr>
          <w:szCs w:val="24"/>
        </w:rPr>
        <w:t xml:space="preserve"> relevan</w:t>
      </w:r>
      <w:r>
        <w:rPr>
          <w:szCs w:val="24"/>
        </w:rPr>
        <w:t>t</w:t>
      </w:r>
      <w:r w:rsidRPr="008D4A82">
        <w:rPr>
          <w:szCs w:val="24"/>
        </w:rPr>
        <w:t xml:space="preserve"> to the future development of </w:t>
      </w:r>
      <w:r>
        <w:rPr>
          <w:szCs w:val="24"/>
        </w:rPr>
        <w:t xml:space="preserve">aged care funding systems </w:t>
      </w:r>
      <w:r w:rsidRPr="008D4A82">
        <w:rPr>
          <w:szCs w:val="24"/>
        </w:rPr>
        <w:t>in Australia.</w:t>
      </w:r>
    </w:p>
    <w:p w:rsidR="00147D5F" w:rsidRPr="008878F0" w:rsidRDefault="00147D5F" w:rsidP="008F1CA1">
      <w:pPr>
        <w:pStyle w:val="Heading3-Chapter102"/>
      </w:pPr>
      <w:r w:rsidRPr="008878F0">
        <w:t>Self-assessment</w:t>
      </w:r>
    </w:p>
    <w:p w:rsidR="00980F62" w:rsidRDefault="00147D5F" w:rsidP="00147D5F">
      <w:pPr>
        <w:rPr>
          <w:szCs w:val="24"/>
        </w:rPr>
      </w:pPr>
      <w:r>
        <w:rPr>
          <w:szCs w:val="24"/>
        </w:rPr>
        <w:t>I</w:t>
      </w:r>
      <w:r w:rsidRPr="008D4A82">
        <w:rPr>
          <w:szCs w:val="24"/>
        </w:rPr>
        <w:t>f the funding assessment is completed by facility staff (self-assessment)</w:t>
      </w:r>
      <w:r>
        <w:rPr>
          <w:szCs w:val="24"/>
        </w:rPr>
        <w:t>,</w:t>
      </w:r>
      <w:r w:rsidRPr="008D4A82">
        <w:rPr>
          <w:szCs w:val="24"/>
        </w:rPr>
        <w:t xml:space="preserve"> it is inevitable that there will be a</w:t>
      </w:r>
      <w:r>
        <w:rPr>
          <w:szCs w:val="24"/>
        </w:rPr>
        <w:t>n</w:t>
      </w:r>
      <w:r w:rsidRPr="008D4A82">
        <w:rPr>
          <w:szCs w:val="24"/>
        </w:rPr>
        <w:t xml:space="preserve"> incentive </w:t>
      </w:r>
      <w:r>
        <w:rPr>
          <w:szCs w:val="24"/>
        </w:rPr>
        <w:t>(even if sub-conscious) for up-scoring</w:t>
      </w:r>
      <w:r w:rsidRPr="008D4A82">
        <w:rPr>
          <w:szCs w:val="24"/>
        </w:rPr>
        <w:t xml:space="preserve"> the resident’s care need assessment. To counter this behaviour, </w:t>
      </w:r>
      <w:r>
        <w:rPr>
          <w:szCs w:val="24"/>
        </w:rPr>
        <w:t xml:space="preserve">and to ensure system costs do not grow beyond expectation, </w:t>
      </w:r>
      <w:r w:rsidRPr="008D4A82">
        <w:rPr>
          <w:szCs w:val="24"/>
        </w:rPr>
        <w:t>there must be a well-resourced and thorough auditing system with severe penalties</w:t>
      </w:r>
      <w:r>
        <w:rPr>
          <w:szCs w:val="24"/>
        </w:rPr>
        <w:t xml:space="preserve"> embedded.</w:t>
      </w:r>
      <w:r w:rsidRPr="008D4A82">
        <w:rPr>
          <w:szCs w:val="24"/>
        </w:rPr>
        <w:t xml:space="preserve"> The systems that show the least growth in funding due to provider </w:t>
      </w:r>
      <w:r>
        <w:rPr>
          <w:szCs w:val="24"/>
        </w:rPr>
        <w:t>‘</w:t>
      </w:r>
      <w:r w:rsidRPr="008D4A82">
        <w:rPr>
          <w:szCs w:val="24"/>
        </w:rPr>
        <w:t>up</w:t>
      </w:r>
      <w:r>
        <w:rPr>
          <w:szCs w:val="24"/>
        </w:rPr>
        <w:t>-</w:t>
      </w:r>
      <w:r w:rsidRPr="008D4A82">
        <w:rPr>
          <w:szCs w:val="24"/>
        </w:rPr>
        <w:t>scoring</w:t>
      </w:r>
      <w:r>
        <w:rPr>
          <w:szCs w:val="24"/>
        </w:rPr>
        <w:t>’</w:t>
      </w:r>
      <w:r w:rsidRPr="008D4A82">
        <w:rPr>
          <w:szCs w:val="24"/>
        </w:rPr>
        <w:t xml:space="preserve"> appear to have the most stringent and sophisticated monitoring and auditing models</w:t>
      </w:r>
      <w:r>
        <w:rPr>
          <w:szCs w:val="24"/>
        </w:rPr>
        <w:t xml:space="preserve"> (refer </w:t>
      </w:r>
      <w:r w:rsidRPr="008D4A82">
        <w:rPr>
          <w:szCs w:val="24"/>
        </w:rPr>
        <w:t xml:space="preserve">Minnesota </w:t>
      </w:r>
      <w:r>
        <w:rPr>
          <w:szCs w:val="24"/>
        </w:rPr>
        <w:t xml:space="preserve">assessment </w:t>
      </w:r>
      <w:r w:rsidRPr="008D4A82">
        <w:rPr>
          <w:szCs w:val="24"/>
        </w:rPr>
        <w:t>audit model).</w:t>
      </w:r>
      <w:r>
        <w:rPr>
          <w:szCs w:val="24"/>
        </w:rPr>
        <w:t xml:space="preserve"> This sophisticated approach has been used by many states in the USA to maintain funding control in their Case mix funding systems which rely on self-assessment by providers and are open to maximisation. Significant auditing resources are needed to monitor and regulate the systems.</w:t>
      </w:r>
    </w:p>
    <w:p w:rsidR="00147D5F" w:rsidRPr="008878F0" w:rsidRDefault="00147D5F" w:rsidP="00872E39">
      <w:pPr>
        <w:pStyle w:val="Heading3-Chapter102"/>
      </w:pPr>
      <w:r w:rsidRPr="008878F0">
        <w:t>External assessment - prior to facility admission</w:t>
      </w:r>
    </w:p>
    <w:p w:rsidR="00107D28" w:rsidRDefault="00147D5F" w:rsidP="00147D5F">
      <w:pPr>
        <w:rPr>
          <w:szCs w:val="24"/>
        </w:rPr>
      </w:pPr>
      <w:r>
        <w:rPr>
          <w:szCs w:val="24"/>
        </w:rPr>
        <w:t>Alternative a</w:t>
      </w:r>
      <w:r w:rsidRPr="008D4A82">
        <w:rPr>
          <w:szCs w:val="24"/>
        </w:rPr>
        <w:t xml:space="preserve">ssessment models </w:t>
      </w:r>
      <w:r>
        <w:rPr>
          <w:szCs w:val="24"/>
        </w:rPr>
        <w:t xml:space="preserve">rely on external assessment prior to facility admission to determine funding. These assessments must be </w:t>
      </w:r>
      <w:r w:rsidRPr="008D4A82">
        <w:rPr>
          <w:szCs w:val="24"/>
        </w:rPr>
        <w:t>as recent as possible</w:t>
      </w:r>
      <w:r>
        <w:rPr>
          <w:szCs w:val="24"/>
        </w:rPr>
        <w:t xml:space="preserve"> and based on assessed care need - not care to be provided</w:t>
      </w:r>
      <w:r w:rsidRPr="008D4A82">
        <w:rPr>
          <w:szCs w:val="24"/>
        </w:rPr>
        <w:t xml:space="preserve">. </w:t>
      </w:r>
      <w:r>
        <w:rPr>
          <w:szCs w:val="24"/>
        </w:rPr>
        <w:t xml:space="preserve">This approach </w:t>
      </w:r>
      <w:r w:rsidRPr="008D4A82">
        <w:rPr>
          <w:szCs w:val="24"/>
        </w:rPr>
        <w:t xml:space="preserve">will </w:t>
      </w:r>
      <w:r>
        <w:rPr>
          <w:szCs w:val="24"/>
        </w:rPr>
        <w:t xml:space="preserve">be most effective </w:t>
      </w:r>
      <w:r w:rsidRPr="008D4A82">
        <w:rPr>
          <w:szCs w:val="24"/>
        </w:rPr>
        <w:t>if the pre-entry and post</w:t>
      </w:r>
      <w:r>
        <w:rPr>
          <w:szCs w:val="24"/>
        </w:rPr>
        <w:t>-</w:t>
      </w:r>
      <w:r w:rsidRPr="008D4A82">
        <w:rPr>
          <w:szCs w:val="24"/>
        </w:rPr>
        <w:t>entry assessment tool is identical</w:t>
      </w:r>
      <w:r>
        <w:rPr>
          <w:szCs w:val="24"/>
        </w:rPr>
        <w:t xml:space="preserve">. This model </w:t>
      </w:r>
      <w:r w:rsidRPr="008D4A82">
        <w:rPr>
          <w:szCs w:val="24"/>
        </w:rPr>
        <w:t xml:space="preserve">allows for a single MDS </w:t>
      </w:r>
      <w:r>
        <w:rPr>
          <w:szCs w:val="24"/>
        </w:rPr>
        <w:t xml:space="preserve">to be used </w:t>
      </w:r>
      <w:r w:rsidRPr="008D4A82">
        <w:rPr>
          <w:szCs w:val="24"/>
        </w:rPr>
        <w:t xml:space="preserve">across community and residential care systems. </w:t>
      </w:r>
      <w:r>
        <w:rPr>
          <w:szCs w:val="24"/>
        </w:rPr>
        <w:t xml:space="preserve">This model also means </w:t>
      </w:r>
      <w:r w:rsidRPr="008D4A82">
        <w:rPr>
          <w:szCs w:val="24"/>
        </w:rPr>
        <w:t xml:space="preserve">that the facility can contest the rating </w:t>
      </w:r>
      <w:r>
        <w:rPr>
          <w:szCs w:val="24"/>
        </w:rPr>
        <w:t xml:space="preserve">(prior to admission) </w:t>
      </w:r>
      <w:r w:rsidRPr="008D4A82">
        <w:rPr>
          <w:szCs w:val="24"/>
        </w:rPr>
        <w:t xml:space="preserve">to allow for </w:t>
      </w:r>
      <w:r>
        <w:rPr>
          <w:szCs w:val="24"/>
        </w:rPr>
        <w:t>significant</w:t>
      </w:r>
      <w:r w:rsidRPr="008D4A82">
        <w:rPr>
          <w:szCs w:val="24"/>
        </w:rPr>
        <w:t xml:space="preserve"> changes in a resident’s care needs </w:t>
      </w:r>
      <w:r>
        <w:rPr>
          <w:szCs w:val="24"/>
        </w:rPr>
        <w:t xml:space="preserve">immediately </w:t>
      </w:r>
      <w:r w:rsidRPr="008D4A82">
        <w:rPr>
          <w:szCs w:val="24"/>
        </w:rPr>
        <w:t xml:space="preserve">after </w:t>
      </w:r>
      <w:r>
        <w:rPr>
          <w:szCs w:val="24"/>
        </w:rPr>
        <w:t>admission</w:t>
      </w:r>
      <w:r w:rsidRPr="008D4A82">
        <w:rPr>
          <w:szCs w:val="24"/>
        </w:rPr>
        <w:t>.</w:t>
      </w:r>
    </w:p>
    <w:p w:rsidR="00107D28" w:rsidRDefault="00107D28">
      <w:pPr>
        <w:spacing w:after="200"/>
        <w:jc w:val="left"/>
        <w:rPr>
          <w:szCs w:val="24"/>
        </w:rPr>
      </w:pPr>
      <w:r>
        <w:rPr>
          <w:szCs w:val="24"/>
        </w:rPr>
        <w:br w:type="page"/>
      </w:r>
    </w:p>
    <w:p w:rsidR="00147D5F" w:rsidRPr="004D795D" w:rsidRDefault="00147D5F" w:rsidP="00872E39">
      <w:pPr>
        <w:pStyle w:val="Heading3-Chapter102"/>
      </w:pPr>
      <w:r w:rsidRPr="004D795D">
        <w:lastRenderedPageBreak/>
        <w:t>Categorising facilities</w:t>
      </w:r>
    </w:p>
    <w:p w:rsidR="00980F62" w:rsidRDefault="00147D5F" w:rsidP="00147D5F">
      <w:pPr>
        <w:rPr>
          <w:szCs w:val="24"/>
        </w:rPr>
      </w:pPr>
      <w:r>
        <w:rPr>
          <w:szCs w:val="24"/>
        </w:rPr>
        <w:t>Some f</w:t>
      </w:r>
      <w:r w:rsidRPr="008D4A82">
        <w:rPr>
          <w:szCs w:val="24"/>
        </w:rPr>
        <w:t xml:space="preserve">unding systems </w:t>
      </w:r>
      <w:r>
        <w:rPr>
          <w:szCs w:val="24"/>
        </w:rPr>
        <w:t xml:space="preserve">approach the issue of funding aged care by </w:t>
      </w:r>
      <w:r w:rsidRPr="008D4A82">
        <w:rPr>
          <w:szCs w:val="24"/>
        </w:rPr>
        <w:t>reduc</w:t>
      </w:r>
      <w:r>
        <w:rPr>
          <w:szCs w:val="24"/>
        </w:rPr>
        <w:t xml:space="preserve">ing classification </w:t>
      </w:r>
      <w:r w:rsidRPr="008D4A82">
        <w:rPr>
          <w:szCs w:val="24"/>
        </w:rPr>
        <w:t xml:space="preserve">categories </w:t>
      </w:r>
      <w:r>
        <w:rPr>
          <w:szCs w:val="24"/>
        </w:rPr>
        <w:t xml:space="preserve">and </w:t>
      </w:r>
      <w:r w:rsidRPr="008D4A82">
        <w:rPr>
          <w:szCs w:val="24"/>
        </w:rPr>
        <w:t>promot</w:t>
      </w:r>
      <w:r>
        <w:rPr>
          <w:szCs w:val="24"/>
        </w:rPr>
        <w:t>ing</w:t>
      </w:r>
      <w:r w:rsidRPr="008D4A82">
        <w:rPr>
          <w:szCs w:val="24"/>
        </w:rPr>
        <w:t xml:space="preserve"> </w:t>
      </w:r>
      <w:r>
        <w:rPr>
          <w:szCs w:val="24"/>
        </w:rPr>
        <w:t>‘</w:t>
      </w:r>
      <w:r w:rsidRPr="008D4A82">
        <w:rPr>
          <w:szCs w:val="24"/>
        </w:rPr>
        <w:t>simplicity</w:t>
      </w:r>
      <w:r>
        <w:rPr>
          <w:szCs w:val="24"/>
        </w:rPr>
        <w:t xml:space="preserve">’ using block funding approaches. These models often rely on a system comprised of </w:t>
      </w:r>
      <w:r w:rsidRPr="008D4A82">
        <w:rPr>
          <w:szCs w:val="24"/>
        </w:rPr>
        <w:t>different residential facility types (e.g. low care; high care; dementia care) to allow for more homogenous care need groupings. Even with these approaches</w:t>
      </w:r>
      <w:r>
        <w:rPr>
          <w:szCs w:val="24"/>
        </w:rPr>
        <w:t xml:space="preserve">, there is pressure emerging </w:t>
      </w:r>
      <w:r w:rsidRPr="008D4A82">
        <w:rPr>
          <w:szCs w:val="24"/>
        </w:rPr>
        <w:t xml:space="preserve">to better target </w:t>
      </w:r>
      <w:r>
        <w:rPr>
          <w:szCs w:val="24"/>
        </w:rPr>
        <w:t xml:space="preserve">funding to residents within these facility types to better cover the cost of higher </w:t>
      </w:r>
      <w:r w:rsidRPr="008D4A82">
        <w:rPr>
          <w:szCs w:val="24"/>
        </w:rPr>
        <w:t>care need residents</w:t>
      </w:r>
      <w:r>
        <w:rPr>
          <w:szCs w:val="24"/>
        </w:rPr>
        <w:t xml:space="preserve"> and</w:t>
      </w:r>
      <w:r w:rsidRPr="008D4A82">
        <w:rPr>
          <w:szCs w:val="24"/>
        </w:rPr>
        <w:t xml:space="preserve"> to </w:t>
      </w:r>
      <w:r>
        <w:rPr>
          <w:szCs w:val="24"/>
        </w:rPr>
        <w:t>en</w:t>
      </w:r>
      <w:r w:rsidRPr="008D4A82">
        <w:rPr>
          <w:szCs w:val="24"/>
        </w:rPr>
        <w:t>sure those without financial resources but with high health care needs (e.g. in hospit</w:t>
      </w:r>
      <w:r>
        <w:rPr>
          <w:szCs w:val="24"/>
        </w:rPr>
        <w:t>al) can access residential care</w:t>
      </w:r>
      <w:r w:rsidRPr="008D4A82">
        <w:rPr>
          <w:szCs w:val="24"/>
        </w:rPr>
        <w:t xml:space="preserve"> in a timely manner</w:t>
      </w:r>
      <w:r>
        <w:rPr>
          <w:szCs w:val="24"/>
        </w:rPr>
        <w:t>.</w:t>
      </w:r>
    </w:p>
    <w:p w:rsidR="00147D5F" w:rsidRPr="004D795D" w:rsidRDefault="00147D5F" w:rsidP="00872E39">
      <w:pPr>
        <w:pStyle w:val="Heading3-Chapter102"/>
      </w:pPr>
      <w:r w:rsidRPr="004D795D">
        <w:t>Assessment tools and the determination of funding</w:t>
      </w:r>
    </w:p>
    <w:p w:rsidR="00147D5F" w:rsidRDefault="00147D5F" w:rsidP="00147D5F">
      <w:pPr>
        <w:rPr>
          <w:szCs w:val="24"/>
        </w:rPr>
      </w:pPr>
      <w:r>
        <w:rPr>
          <w:szCs w:val="24"/>
        </w:rPr>
        <w:t xml:space="preserve">We have not been able to identify any system internationally, </w:t>
      </w:r>
      <w:r w:rsidRPr="008D4A82">
        <w:rPr>
          <w:szCs w:val="24"/>
        </w:rPr>
        <w:t xml:space="preserve">that sets long term care or residential care funding based on an absolute assessment tool determination of dollars. The assessment tools are used to determine relativities across resident types and the health system </w:t>
      </w:r>
      <w:r>
        <w:rPr>
          <w:szCs w:val="24"/>
        </w:rPr>
        <w:t>then</w:t>
      </w:r>
      <w:r w:rsidRPr="008D4A82">
        <w:rPr>
          <w:szCs w:val="24"/>
        </w:rPr>
        <w:t xml:space="preserve"> determines how much funding will be distributed across the relative care need levels.</w:t>
      </w:r>
    </w:p>
    <w:p w:rsidR="00E70A74" w:rsidRDefault="00E70A74" w:rsidP="00E70A74">
      <w:pPr>
        <w:spacing w:after="160" w:line="259" w:lineRule="auto"/>
        <w:rPr>
          <w:szCs w:val="24"/>
        </w:rPr>
        <w:sectPr w:rsidR="00E70A74" w:rsidSect="00E70A74">
          <w:headerReference w:type="even" r:id="rId109"/>
          <w:footerReference w:type="even" r:id="rId110"/>
          <w:headerReference w:type="first" r:id="rId111"/>
          <w:type w:val="continuous"/>
          <w:pgSz w:w="11906" w:h="16838"/>
          <w:pgMar w:top="1440" w:right="1440" w:bottom="1440" w:left="1440" w:header="706" w:footer="706" w:gutter="0"/>
          <w:cols w:space="708"/>
          <w:docGrid w:linePitch="360"/>
        </w:sectPr>
      </w:pPr>
    </w:p>
    <w:p w:rsidR="0065582B" w:rsidRDefault="0065582B" w:rsidP="0065582B">
      <w:pPr>
        <w:pStyle w:val="Caption"/>
        <w:keepNext/>
      </w:pPr>
      <w:bookmarkStart w:id="673" w:name="_Toc495416854"/>
      <w:bookmarkStart w:id="674" w:name="Tab1001"/>
      <w:bookmarkStart w:id="675" w:name="_Toc486600089"/>
      <w:r>
        <w:lastRenderedPageBreak/>
        <w:t>Table 10.</w:t>
      </w:r>
      <w:r w:rsidR="009A3F5A">
        <w:fldChar w:fldCharType="begin"/>
      </w:r>
      <w:r w:rsidR="009A3F5A">
        <w:instrText xml:space="preserve"> SEQ Table_10. \* ARABIC </w:instrText>
      </w:r>
      <w:r w:rsidR="009A3F5A">
        <w:fldChar w:fldCharType="separate"/>
      </w:r>
      <w:r w:rsidR="00856E49">
        <w:rPr>
          <w:noProof/>
        </w:rPr>
        <w:t>1</w:t>
      </w:r>
      <w:r w:rsidR="009A3F5A">
        <w:rPr>
          <w:noProof/>
        </w:rPr>
        <w:fldChar w:fldCharType="end"/>
      </w:r>
      <w:r>
        <w:t xml:space="preserve">: </w:t>
      </w:r>
      <w:r w:rsidRPr="0065582B">
        <w:t>Most Relevant International Residential Care Systems – New Zealand</w:t>
      </w:r>
      <w:bookmarkEnd w:id="673"/>
    </w:p>
    <w:tbl>
      <w:tblPr>
        <w:tblW w:w="14034" w:type="dxa"/>
        <w:tblInd w:w="51"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left w:w="0" w:type="dxa"/>
          <w:right w:w="0" w:type="dxa"/>
        </w:tblCellMar>
        <w:tblLook w:val="0600" w:firstRow="0" w:lastRow="0" w:firstColumn="0" w:lastColumn="0" w:noHBand="1" w:noVBand="1"/>
        <w:tblDescription w:val="Table 10.1 is a list of details summarising the payment level determination, mandated care funding tool, care classification levels,  review of needs and auditing of funding claims for the New Zealand funding model, as summarised under heading 10.1 in the text prior to this table. This table is to be read left to right, top to bottom."/>
      </w:tblPr>
      <w:tblGrid>
        <w:gridCol w:w="1013"/>
        <w:gridCol w:w="3291"/>
        <w:gridCol w:w="2835"/>
        <w:gridCol w:w="2357"/>
        <w:gridCol w:w="2417"/>
        <w:gridCol w:w="2121"/>
      </w:tblGrid>
      <w:tr w:rsidR="00147D5F" w:rsidRPr="00CA5E09" w:rsidTr="00002DA7">
        <w:tc>
          <w:tcPr>
            <w:tcW w:w="1013" w:type="dxa"/>
            <w:shd w:val="clear" w:color="auto" w:fill="5B9BD5" w:themeFill="accent5"/>
            <w:tcMar>
              <w:top w:w="15" w:type="dxa"/>
              <w:left w:w="51" w:type="dxa"/>
              <w:bottom w:w="0" w:type="dxa"/>
              <w:right w:w="51" w:type="dxa"/>
            </w:tcMar>
            <w:vAlign w:val="center"/>
            <w:hideMark/>
          </w:tcPr>
          <w:bookmarkEnd w:id="674"/>
          <w:p w:rsidR="00147D5F" w:rsidRPr="00CA5E09" w:rsidRDefault="00147D5F" w:rsidP="00002DA7">
            <w:pPr>
              <w:spacing w:before="60" w:after="60" w:line="240" w:lineRule="auto"/>
              <w:jc w:val="left"/>
              <w:rPr>
                <w:rFonts w:eastAsia="Times New Roman" w:cstheme="minorHAnsi"/>
                <w:color w:val="FFFFFF" w:themeColor="background1"/>
                <w:sz w:val="22"/>
                <w:lang w:val="en-US"/>
              </w:rPr>
            </w:pPr>
            <w:r w:rsidRPr="00CA5E09">
              <w:rPr>
                <w:rFonts w:eastAsia="Times New Roman" w:cstheme="minorHAnsi"/>
                <w:b/>
                <w:bCs/>
                <w:color w:val="FFFFFF" w:themeColor="background1"/>
                <w:sz w:val="22"/>
              </w:rPr>
              <w:t>Country</w:t>
            </w:r>
          </w:p>
        </w:tc>
        <w:tc>
          <w:tcPr>
            <w:tcW w:w="3291" w:type="dxa"/>
            <w:shd w:val="clear" w:color="auto" w:fill="5B9BD5" w:themeFill="accent5"/>
            <w:tcMar>
              <w:top w:w="15" w:type="dxa"/>
              <w:left w:w="51" w:type="dxa"/>
              <w:bottom w:w="0" w:type="dxa"/>
              <w:right w:w="51" w:type="dxa"/>
            </w:tcMar>
            <w:vAlign w:val="center"/>
            <w:hideMark/>
          </w:tcPr>
          <w:p w:rsidR="00147D5F" w:rsidRPr="00CA5E09" w:rsidRDefault="00147D5F" w:rsidP="00002DA7">
            <w:pPr>
              <w:spacing w:before="60" w:after="60" w:line="240" w:lineRule="auto"/>
              <w:jc w:val="center"/>
              <w:rPr>
                <w:rFonts w:eastAsia="Times New Roman" w:cstheme="minorHAnsi"/>
                <w:color w:val="FFFFFF" w:themeColor="background1"/>
                <w:sz w:val="22"/>
                <w:lang w:val="en-US"/>
              </w:rPr>
            </w:pPr>
            <w:r w:rsidRPr="00CA5E09">
              <w:rPr>
                <w:rFonts w:eastAsia="Times New Roman" w:cstheme="minorHAnsi"/>
                <w:b/>
                <w:bCs/>
                <w:color w:val="FFFFFF" w:themeColor="background1"/>
                <w:sz w:val="22"/>
              </w:rPr>
              <w:t>Payment level determination</w:t>
            </w:r>
          </w:p>
        </w:tc>
        <w:tc>
          <w:tcPr>
            <w:tcW w:w="2835" w:type="dxa"/>
            <w:shd w:val="clear" w:color="auto" w:fill="5B9BD5" w:themeFill="accent5"/>
            <w:tcMar>
              <w:top w:w="15" w:type="dxa"/>
              <w:left w:w="51" w:type="dxa"/>
              <w:bottom w:w="0" w:type="dxa"/>
              <w:right w:w="51" w:type="dxa"/>
            </w:tcMar>
            <w:vAlign w:val="center"/>
          </w:tcPr>
          <w:p w:rsidR="00147D5F" w:rsidRPr="00CA5E09" w:rsidRDefault="00147D5F" w:rsidP="00002DA7">
            <w:pPr>
              <w:spacing w:before="60" w:after="60" w:line="240" w:lineRule="auto"/>
              <w:jc w:val="center"/>
              <w:rPr>
                <w:rFonts w:eastAsia="Times New Roman" w:cstheme="minorHAnsi"/>
                <w:color w:val="FFFFFF" w:themeColor="background1"/>
                <w:sz w:val="22"/>
                <w:lang w:val="en-US"/>
              </w:rPr>
            </w:pPr>
            <w:r w:rsidRPr="00CA5E09">
              <w:rPr>
                <w:rFonts w:eastAsia="Times New Roman" w:cstheme="minorHAnsi"/>
                <w:b/>
                <w:bCs/>
                <w:color w:val="FFFFFF" w:themeColor="background1"/>
                <w:sz w:val="22"/>
              </w:rPr>
              <w:t>Mandated Care funding tool</w:t>
            </w:r>
          </w:p>
        </w:tc>
        <w:tc>
          <w:tcPr>
            <w:tcW w:w="2357" w:type="dxa"/>
            <w:shd w:val="clear" w:color="auto" w:fill="5B9BD5" w:themeFill="accent5"/>
            <w:vAlign w:val="center"/>
          </w:tcPr>
          <w:p w:rsidR="00147D5F" w:rsidRPr="00CA5E09" w:rsidRDefault="00147D5F" w:rsidP="00002DA7">
            <w:pPr>
              <w:spacing w:before="60" w:after="60" w:line="240" w:lineRule="auto"/>
              <w:jc w:val="center"/>
              <w:rPr>
                <w:rFonts w:eastAsia="Times New Roman" w:cstheme="minorHAnsi"/>
                <w:color w:val="FFFFFF" w:themeColor="background1"/>
                <w:sz w:val="22"/>
                <w:lang w:val="en-US"/>
              </w:rPr>
            </w:pPr>
            <w:r w:rsidRPr="00CA5E09">
              <w:rPr>
                <w:rFonts w:eastAsia="Times New Roman" w:cstheme="minorHAnsi"/>
                <w:b/>
                <w:bCs/>
                <w:color w:val="FFFFFF" w:themeColor="background1"/>
                <w:sz w:val="22"/>
              </w:rPr>
              <w:t>Care Classification levels</w:t>
            </w:r>
          </w:p>
        </w:tc>
        <w:tc>
          <w:tcPr>
            <w:tcW w:w="2417" w:type="dxa"/>
            <w:shd w:val="clear" w:color="auto" w:fill="5B9BD5" w:themeFill="accent5"/>
            <w:tcMar>
              <w:top w:w="15" w:type="dxa"/>
              <w:left w:w="51" w:type="dxa"/>
              <w:bottom w:w="0" w:type="dxa"/>
              <w:right w:w="51" w:type="dxa"/>
            </w:tcMar>
            <w:vAlign w:val="center"/>
          </w:tcPr>
          <w:p w:rsidR="00147D5F" w:rsidRPr="00CA5E09" w:rsidRDefault="00147D5F" w:rsidP="00002DA7">
            <w:pPr>
              <w:spacing w:before="60" w:after="60" w:line="240" w:lineRule="auto"/>
              <w:jc w:val="center"/>
              <w:rPr>
                <w:rFonts w:eastAsia="Times New Roman" w:cstheme="minorHAnsi"/>
                <w:color w:val="FFFFFF" w:themeColor="background1"/>
                <w:sz w:val="22"/>
                <w:lang w:val="en-US"/>
              </w:rPr>
            </w:pPr>
            <w:r w:rsidRPr="00CA5E09">
              <w:rPr>
                <w:rFonts w:eastAsia="Times New Roman" w:cstheme="minorHAnsi"/>
                <w:b/>
                <w:bCs/>
                <w:color w:val="FFFFFF" w:themeColor="background1"/>
                <w:sz w:val="22"/>
              </w:rPr>
              <w:t>Review of needs</w:t>
            </w:r>
          </w:p>
        </w:tc>
        <w:tc>
          <w:tcPr>
            <w:tcW w:w="2121" w:type="dxa"/>
            <w:shd w:val="clear" w:color="auto" w:fill="5B9BD5" w:themeFill="accent5"/>
            <w:tcMar>
              <w:top w:w="15" w:type="dxa"/>
              <w:left w:w="51" w:type="dxa"/>
              <w:bottom w:w="0" w:type="dxa"/>
              <w:right w:w="51" w:type="dxa"/>
            </w:tcMar>
            <w:vAlign w:val="center"/>
          </w:tcPr>
          <w:p w:rsidR="00147D5F" w:rsidRPr="00CA5E09" w:rsidRDefault="00147D5F" w:rsidP="00002DA7">
            <w:pPr>
              <w:spacing w:before="60" w:after="60" w:line="240" w:lineRule="auto"/>
              <w:jc w:val="center"/>
              <w:rPr>
                <w:rFonts w:eastAsia="Times New Roman" w:cstheme="minorHAnsi"/>
                <w:b/>
                <w:color w:val="FFFFFF" w:themeColor="background1"/>
                <w:sz w:val="22"/>
                <w:lang w:val="en-US"/>
              </w:rPr>
            </w:pPr>
            <w:r w:rsidRPr="00CA5E09">
              <w:rPr>
                <w:rFonts w:eastAsia="Times New Roman" w:cstheme="minorHAnsi"/>
                <w:b/>
                <w:color w:val="FFFFFF" w:themeColor="background1"/>
                <w:sz w:val="22"/>
                <w:lang w:val="en-US"/>
              </w:rPr>
              <w:t>Auditing of Funding Claims</w:t>
            </w:r>
          </w:p>
        </w:tc>
      </w:tr>
      <w:tr w:rsidR="00147D5F" w:rsidRPr="00CA5E09" w:rsidTr="00002DA7">
        <w:tc>
          <w:tcPr>
            <w:tcW w:w="1013" w:type="dxa"/>
            <w:shd w:val="clear" w:color="auto" w:fill="auto"/>
            <w:tcMar>
              <w:top w:w="15" w:type="dxa"/>
              <w:left w:w="51" w:type="dxa"/>
              <w:bottom w:w="0" w:type="dxa"/>
              <w:right w:w="51" w:type="dxa"/>
            </w:tcMar>
          </w:tcPr>
          <w:p w:rsidR="00147D5F" w:rsidRPr="00CA5E09" w:rsidRDefault="00147D5F" w:rsidP="00936730">
            <w:pPr>
              <w:spacing w:line="240" w:lineRule="auto"/>
              <w:jc w:val="left"/>
              <w:rPr>
                <w:rFonts w:eastAsia="Times New Roman" w:cstheme="minorHAnsi"/>
                <w:sz w:val="22"/>
                <w:lang w:val="en-US"/>
              </w:rPr>
            </w:pPr>
            <w:r w:rsidRPr="00CA5E09">
              <w:rPr>
                <w:rFonts w:eastAsia="Times New Roman" w:cstheme="minorHAnsi"/>
                <w:b/>
                <w:bCs/>
                <w:color w:val="000000" w:themeColor="text1"/>
                <w:sz w:val="22"/>
              </w:rPr>
              <w:t>New Zealand</w:t>
            </w:r>
          </w:p>
        </w:tc>
        <w:tc>
          <w:tcPr>
            <w:tcW w:w="3291" w:type="dxa"/>
            <w:shd w:val="clear" w:color="auto" w:fill="auto"/>
            <w:tcMar>
              <w:top w:w="15" w:type="dxa"/>
              <w:left w:w="51" w:type="dxa"/>
              <w:bottom w:w="0" w:type="dxa"/>
              <w:right w:w="51" w:type="dxa"/>
            </w:tcMar>
          </w:tcPr>
          <w:p w:rsidR="00147D5F" w:rsidRPr="00CA5E09" w:rsidRDefault="00147D5F" w:rsidP="00936730">
            <w:pPr>
              <w:tabs>
                <w:tab w:val="left" w:pos="1507"/>
              </w:tabs>
              <w:spacing w:line="240" w:lineRule="auto"/>
              <w:jc w:val="left"/>
              <w:rPr>
                <w:rFonts w:eastAsia="Times New Roman" w:cstheme="minorHAnsi"/>
                <w:b/>
                <w:sz w:val="22"/>
                <w:lang w:val="en-US"/>
              </w:rPr>
            </w:pPr>
            <w:r w:rsidRPr="00CA5E09">
              <w:rPr>
                <w:rFonts w:eastAsia="Times New Roman" w:cstheme="minorHAnsi"/>
                <w:b/>
                <w:color w:val="000000" w:themeColor="text1"/>
                <w:sz w:val="22"/>
              </w:rPr>
              <w:t>Pre-entry – External Assessor</w:t>
            </w:r>
          </w:p>
          <w:p w:rsidR="00147D5F" w:rsidRPr="00CA5E09" w:rsidRDefault="00147D5F" w:rsidP="00936730">
            <w:pPr>
              <w:spacing w:line="240" w:lineRule="auto"/>
              <w:jc w:val="left"/>
              <w:rPr>
                <w:rFonts w:cstheme="minorHAnsi"/>
                <w:sz w:val="22"/>
              </w:rPr>
            </w:pPr>
            <w:r w:rsidRPr="00CA5E09">
              <w:rPr>
                <w:rFonts w:cstheme="minorHAnsi"/>
                <w:sz w:val="22"/>
              </w:rPr>
              <w:t>DHBs fund residential care.</w:t>
            </w:r>
          </w:p>
          <w:p w:rsidR="00147D5F" w:rsidRPr="00CA5E09" w:rsidRDefault="00147D5F" w:rsidP="00936730">
            <w:pPr>
              <w:spacing w:line="240" w:lineRule="auto"/>
              <w:jc w:val="left"/>
              <w:rPr>
                <w:rFonts w:cstheme="minorHAnsi"/>
                <w:sz w:val="22"/>
              </w:rPr>
            </w:pPr>
            <w:r w:rsidRPr="00CA5E09">
              <w:rPr>
                <w:rFonts w:cstheme="minorHAnsi"/>
                <w:sz w:val="22"/>
              </w:rPr>
              <w:t>DHBs determine the level of care needed by having NASC teams conducting assessments using the community inter-RAI. (Valid for 6-months).</w:t>
            </w:r>
          </w:p>
          <w:p w:rsidR="00980F62" w:rsidRDefault="00147D5F" w:rsidP="00936730">
            <w:pPr>
              <w:spacing w:line="240" w:lineRule="auto"/>
              <w:jc w:val="left"/>
              <w:rPr>
                <w:rFonts w:cstheme="minorHAnsi"/>
                <w:sz w:val="22"/>
              </w:rPr>
            </w:pPr>
            <w:r w:rsidRPr="00CA5E09">
              <w:rPr>
                <w:rFonts w:cstheme="minorHAnsi"/>
                <w:sz w:val="22"/>
              </w:rPr>
              <w:t>This model provides a transparent and consistent assessment approach.</w:t>
            </w:r>
          </w:p>
          <w:p w:rsidR="00147D5F" w:rsidRPr="00CA5E09" w:rsidRDefault="00147D5F" w:rsidP="00936730">
            <w:pPr>
              <w:tabs>
                <w:tab w:val="left" w:pos="1507"/>
              </w:tabs>
              <w:spacing w:line="240" w:lineRule="auto"/>
              <w:jc w:val="left"/>
              <w:rPr>
                <w:rFonts w:eastAsia="Times New Roman" w:cstheme="minorHAnsi"/>
                <w:bCs/>
                <w:color w:val="000000" w:themeColor="text1"/>
                <w:sz w:val="22"/>
              </w:rPr>
            </w:pPr>
            <w:r w:rsidRPr="00CA5E09">
              <w:rPr>
                <w:rFonts w:eastAsia="Times New Roman" w:cstheme="minorHAnsi"/>
                <w:bCs/>
                <w:color w:val="000000" w:themeColor="text1"/>
                <w:sz w:val="22"/>
              </w:rPr>
              <w:t>Assessments and judgement by NASC teams assigns resident to one of four care levels.</w:t>
            </w:r>
          </w:p>
          <w:p w:rsidR="00147D5F" w:rsidRPr="00CA5E09" w:rsidRDefault="00147D5F" w:rsidP="00936730">
            <w:pPr>
              <w:tabs>
                <w:tab w:val="left" w:pos="1507"/>
              </w:tabs>
              <w:spacing w:line="240" w:lineRule="auto"/>
              <w:jc w:val="left"/>
              <w:rPr>
                <w:rFonts w:eastAsia="Times New Roman" w:cstheme="minorHAnsi"/>
                <w:sz w:val="22"/>
                <w:lang w:val="en-US"/>
              </w:rPr>
            </w:pPr>
            <w:r w:rsidRPr="00CA5E09">
              <w:rPr>
                <w:rFonts w:eastAsia="Times New Roman" w:cstheme="minorHAnsi"/>
                <w:bCs/>
                <w:color w:val="000000" w:themeColor="text1"/>
                <w:sz w:val="22"/>
              </w:rPr>
              <w:t>Each care level attracts one flat payment amount.</w:t>
            </w:r>
          </w:p>
        </w:tc>
        <w:tc>
          <w:tcPr>
            <w:tcW w:w="2835" w:type="dxa"/>
            <w:shd w:val="clear" w:color="auto" w:fill="auto"/>
            <w:tcMar>
              <w:top w:w="15" w:type="dxa"/>
              <w:left w:w="51" w:type="dxa"/>
              <w:bottom w:w="0" w:type="dxa"/>
              <w:right w:w="51" w:type="dxa"/>
            </w:tcMar>
          </w:tcPr>
          <w:p w:rsidR="00147D5F" w:rsidRPr="00CA5E09" w:rsidRDefault="00147D5F" w:rsidP="00936730">
            <w:pPr>
              <w:spacing w:line="240" w:lineRule="auto"/>
              <w:jc w:val="left"/>
              <w:rPr>
                <w:rFonts w:eastAsia="Times New Roman" w:cstheme="minorHAnsi"/>
                <w:b/>
                <w:color w:val="000000" w:themeColor="text1"/>
                <w:sz w:val="22"/>
              </w:rPr>
            </w:pPr>
            <w:r w:rsidRPr="00CA5E09">
              <w:rPr>
                <w:rFonts w:eastAsia="Times New Roman" w:cstheme="minorHAnsi"/>
                <w:b/>
                <w:color w:val="000000" w:themeColor="text1"/>
                <w:sz w:val="22"/>
              </w:rPr>
              <w:t>None</w:t>
            </w:r>
          </w:p>
          <w:p w:rsidR="00147D5F" w:rsidRPr="00CA5E09" w:rsidRDefault="00147D5F" w:rsidP="00936730">
            <w:pPr>
              <w:spacing w:line="240" w:lineRule="auto"/>
              <w:jc w:val="left"/>
              <w:rPr>
                <w:rFonts w:eastAsia="Times New Roman" w:cstheme="minorHAnsi"/>
                <w:color w:val="000000" w:themeColor="text1"/>
                <w:sz w:val="22"/>
              </w:rPr>
            </w:pPr>
            <w:r w:rsidRPr="00CA5E09">
              <w:rPr>
                <w:rFonts w:eastAsia="Times New Roman" w:cstheme="minorHAnsi"/>
                <w:color w:val="000000" w:themeColor="text1"/>
                <w:sz w:val="22"/>
              </w:rPr>
              <w:t>interRAI is done pre and post entry.</w:t>
            </w:r>
          </w:p>
          <w:p w:rsidR="00147D5F" w:rsidRPr="00CA5E09" w:rsidRDefault="00147D5F" w:rsidP="00936730">
            <w:pPr>
              <w:spacing w:line="240" w:lineRule="auto"/>
              <w:jc w:val="left"/>
              <w:rPr>
                <w:rFonts w:eastAsia="Times New Roman" w:cstheme="minorHAnsi"/>
                <w:color w:val="000000" w:themeColor="text1"/>
                <w:sz w:val="22"/>
              </w:rPr>
            </w:pPr>
            <w:r w:rsidRPr="00CA5E09">
              <w:rPr>
                <w:rFonts w:eastAsia="Times New Roman" w:cstheme="minorHAnsi"/>
                <w:color w:val="000000" w:themeColor="text1"/>
                <w:sz w:val="22"/>
              </w:rPr>
              <w:t>interRAI used for MDS and to promote care planning not used for funding.</w:t>
            </w:r>
          </w:p>
          <w:p w:rsidR="00147D5F" w:rsidRPr="00CA5E09" w:rsidRDefault="00147D5F" w:rsidP="00936730">
            <w:pPr>
              <w:spacing w:line="240" w:lineRule="auto"/>
              <w:jc w:val="left"/>
              <w:rPr>
                <w:rFonts w:eastAsia="Times New Roman" w:cstheme="minorHAnsi"/>
                <w:color w:val="000000" w:themeColor="text1"/>
                <w:sz w:val="22"/>
              </w:rPr>
            </w:pPr>
            <w:r w:rsidRPr="00CA5E09">
              <w:rPr>
                <w:rFonts w:eastAsia="Times New Roman" w:cstheme="minorHAnsi"/>
                <w:color w:val="000000" w:themeColor="text1"/>
                <w:sz w:val="22"/>
              </w:rPr>
              <w:t>Considering using the facility completed interRAI – RUGs ADL but concerned it may increase payments due to inflated ratings</w:t>
            </w:r>
          </w:p>
          <w:p w:rsidR="00980F62" w:rsidRDefault="00147D5F" w:rsidP="00936730">
            <w:pPr>
              <w:spacing w:line="240" w:lineRule="auto"/>
              <w:jc w:val="left"/>
              <w:rPr>
                <w:rFonts w:eastAsia="Times New Roman" w:cstheme="minorHAnsi"/>
                <w:sz w:val="22"/>
                <w:lang w:val="en-US"/>
              </w:rPr>
            </w:pPr>
            <w:r w:rsidRPr="00CA5E09">
              <w:rPr>
                <w:rFonts w:eastAsia="Times New Roman" w:cstheme="minorHAnsi"/>
                <w:sz w:val="22"/>
                <w:lang w:val="en-US"/>
              </w:rPr>
              <w:t>Considering moving to interRAI and RUGs for not only needs but funding assessment.</w:t>
            </w:r>
          </w:p>
          <w:p w:rsidR="00147D5F" w:rsidRPr="00CA5E09" w:rsidRDefault="00147D5F" w:rsidP="00936730">
            <w:pPr>
              <w:spacing w:line="240" w:lineRule="auto"/>
              <w:jc w:val="left"/>
              <w:rPr>
                <w:rFonts w:eastAsia="Times New Roman" w:cstheme="minorHAnsi"/>
                <w:sz w:val="22"/>
                <w:lang w:val="en-US"/>
              </w:rPr>
            </w:pPr>
            <w:r w:rsidRPr="00CA5E09">
              <w:rPr>
                <w:rFonts w:eastAsia="Times New Roman" w:cstheme="minorHAnsi"/>
                <w:sz w:val="22"/>
                <w:lang w:val="en-US"/>
              </w:rPr>
              <w:t xml:space="preserve">Providers </w:t>
            </w:r>
            <w:r w:rsidRPr="00CA5E09">
              <w:rPr>
                <w:rFonts w:cstheme="minorHAnsi"/>
                <w:sz w:val="22"/>
              </w:rPr>
              <w:t>have indicated that the length of time to complete the interRAI assessments and the efforts to regularity repeat the assessments is a significant resource demand.</w:t>
            </w:r>
          </w:p>
        </w:tc>
        <w:tc>
          <w:tcPr>
            <w:tcW w:w="2357" w:type="dxa"/>
          </w:tcPr>
          <w:p w:rsidR="00147D5F" w:rsidRPr="00CA5E09" w:rsidRDefault="00147D5F" w:rsidP="00CA5E09">
            <w:pPr>
              <w:spacing w:line="240" w:lineRule="auto"/>
              <w:ind w:left="57"/>
              <w:jc w:val="left"/>
              <w:rPr>
                <w:rFonts w:cstheme="minorHAnsi"/>
                <w:sz w:val="22"/>
              </w:rPr>
            </w:pPr>
            <w:r w:rsidRPr="00CA5E09">
              <w:rPr>
                <w:rFonts w:cstheme="minorHAnsi"/>
                <w:b/>
                <w:sz w:val="22"/>
              </w:rPr>
              <w:t>Four facility classifications</w:t>
            </w:r>
            <w:r w:rsidRPr="00CA5E09">
              <w:rPr>
                <w:rFonts w:cstheme="minorHAnsi"/>
                <w:sz w:val="22"/>
              </w:rPr>
              <w:t xml:space="preserve"> and related funding types.</w:t>
            </w:r>
          </w:p>
          <w:p w:rsidR="00980F62" w:rsidRDefault="00147D5F" w:rsidP="00F02312">
            <w:pPr>
              <w:pStyle w:val="ListParagraph"/>
              <w:numPr>
                <w:ilvl w:val="1"/>
                <w:numId w:val="72"/>
              </w:numPr>
              <w:spacing w:line="240" w:lineRule="auto"/>
              <w:ind w:left="414" w:hanging="357"/>
              <w:jc w:val="left"/>
              <w:rPr>
                <w:rFonts w:cstheme="minorHAnsi"/>
                <w:sz w:val="22"/>
              </w:rPr>
            </w:pPr>
            <w:r w:rsidRPr="00CA5E09">
              <w:rPr>
                <w:rFonts w:cstheme="minorHAnsi"/>
                <w:sz w:val="22"/>
              </w:rPr>
              <w:t>Rest home</w:t>
            </w:r>
            <w:r w:rsidR="00A158EB" w:rsidRPr="00CA5E09">
              <w:rPr>
                <w:rFonts w:cstheme="minorHAnsi"/>
                <w:sz w:val="22"/>
              </w:rPr>
              <w:t>.</w:t>
            </w:r>
          </w:p>
          <w:p w:rsidR="00147D5F" w:rsidRPr="00CA5E09" w:rsidRDefault="00147D5F" w:rsidP="00F02312">
            <w:pPr>
              <w:pStyle w:val="ListParagraph"/>
              <w:numPr>
                <w:ilvl w:val="1"/>
                <w:numId w:val="72"/>
              </w:numPr>
              <w:spacing w:line="240" w:lineRule="auto"/>
              <w:ind w:left="414" w:hanging="357"/>
              <w:jc w:val="left"/>
              <w:rPr>
                <w:rFonts w:cstheme="minorHAnsi"/>
                <w:sz w:val="22"/>
              </w:rPr>
            </w:pPr>
            <w:r w:rsidRPr="00CA5E09">
              <w:rPr>
                <w:rFonts w:cstheme="minorHAnsi"/>
                <w:sz w:val="22"/>
              </w:rPr>
              <w:t>Hospital care</w:t>
            </w:r>
            <w:r w:rsidR="00A158EB" w:rsidRPr="00CA5E09">
              <w:rPr>
                <w:rFonts w:cstheme="minorHAnsi"/>
                <w:sz w:val="22"/>
              </w:rPr>
              <w:t>.</w:t>
            </w:r>
          </w:p>
          <w:p w:rsidR="00147D5F" w:rsidRPr="00CA5E09" w:rsidRDefault="00147D5F" w:rsidP="00F02312">
            <w:pPr>
              <w:pStyle w:val="ListParagraph"/>
              <w:numPr>
                <w:ilvl w:val="1"/>
                <w:numId w:val="72"/>
              </w:numPr>
              <w:spacing w:line="240" w:lineRule="auto"/>
              <w:ind w:left="414" w:hanging="357"/>
              <w:jc w:val="left"/>
              <w:rPr>
                <w:rFonts w:cstheme="minorHAnsi"/>
                <w:sz w:val="22"/>
              </w:rPr>
            </w:pPr>
            <w:r w:rsidRPr="00CA5E09">
              <w:rPr>
                <w:rFonts w:cstheme="minorHAnsi"/>
                <w:sz w:val="22"/>
              </w:rPr>
              <w:t>Specialist dementia care with locked unit accommodation.</w:t>
            </w:r>
          </w:p>
          <w:p w:rsidR="00147D5F" w:rsidRPr="00CA5E09" w:rsidRDefault="00147D5F" w:rsidP="00F02312">
            <w:pPr>
              <w:pStyle w:val="ListParagraph"/>
              <w:numPr>
                <w:ilvl w:val="1"/>
                <w:numId w:val="72"/>
              </w:numPr>
              <w:spacing w:line="240" w:lineRule="auto"/>
              <w:ind w:left="414" w:hanging="357"/>
              <w:jc w:val="left"/>
              <w:rPr>
                <w:rFonts w:cstheme="minorHAnsi"/>
                <w:sz w:val="22"/>
              </w:rPr>
            </w:pPr>
            <w:r w:rsidRPr="00CA5E09">
              <w:rPr>
                <w:rFonts w:cstheme="minorHAnsi"/>
                <w:sz w:val="22"/>
              </w:rPr>
              <w:t>Psychogeriatric care associated with hospital care.</w:t>
            </w:r>
          </w:p>
          <w:p w:rsidR="00147D5F" w:rsidRPr="00CA5E09" w:rsidRDefault="00147D5F" w:rsidP="00CA5E09">
            <w:pPr>
              <w:spacing w:line="240" w:lineRule="auto"/>
              <w:ind w:left="57"/>
              <w:jc w:val="left"/>
              <w:rPr>
                <w:rFonts w:eastAsia="Times New Roman" w:cstheme="minorHAnsi"/>
                <w:sz w:val="22"/>
                <w:lang w:val="en-US"/>
              </w:rPr>
            </w:pPr>
            <w:r w:rsidRPr="00CA5E09">
              <w:rPr>
                <w:rFonts w:cstheme="minorHAnsi"/>
                <w:sz w:val="22"/>
              </w:rPr>
              <w:t>interRAI completed on-line and DHB has access to all data.</w:t>
            </w:r>
          </w:p>
        </w:tc>
        <w:tc>
          <w:tcPr>
            <w:tcW w:w="2417" w:type="dxa"/>
            <w:shd w:val="clear" w:color="auto" w:fill="auto"/>
            <w:tcMar>
              <w:top w:w="15" w:type="dxa"/>
              <w:left w:w="51" w:type="dxa"/>
              <w:bottom w:w="0" w:type="dxa"/>
              <w:right w:w="51" w:type="dxa"/>
            </w:tcMar>
          </w:tcPr>
          <w:p w:rsidR="00980F62" w:rsidRDefault="00147D5F" w:rsidP="00936730">
            <w:pPr>
              <w:tabs>
                <w:tab w:val="left" w:pos="1507"/>
              </w:tabs>
              <w:spacing w:line="240" w:lineRule="auto"/>
              <w:jc w:val="left"/>
              <w:rPr>
                <w:rFonts w:eastAsia="Times New Roman" w:cstheme="minorHAnsi"/>
                <w:sz w:val="22"/>
                <w:lang w:val="en-US"/>
              </w:rPr>
            </w:pPr>
            <w:r w:rsidRPr="00CA5E09">
              <w:rPr>
                <w:rFonts w:eastAsia="Times New Roman" w:cstheme="minorHAnsi"/>
                <w:b/>
                <w:sz w:val="22"/>
              </w:rPr>
              <w:t>External Assessor</w:t>
            </w:r>
          </w:p>
          <w:p w:rsidR="00980F62" w:rsidRDefault="00147D5F" w:rsidP="00936730">
            <w:pPr>
              <w:spacing w:line="240" w:lineRule="auto"/>
              <w:jc w:val="left"/>
              <w:rPr>
                <w:rFonts w:cstheme="minorHAnsi"/>
                <w:sz w:val="22"/>
              </w:rPr>
            </w:pPr>
            <w:r w:rsidRPr="00CA5E09">
              <w:rPr>
                <w:rFonts w:cstheme="minorHAnsi"/>
                <w:sz w:val="22"/>
              </w:rPr>
              <w:t xml:space="preserve">Facility must complete NH inter-RAI within 21 days post admission and facility </w:t>
            </w:r>
            <w:r w:rsidRPr="00CA5E09">
              <w:rPr>
                <w:rFonts w:cstheme="minorHAnsi"/>
                <w:b/>
                <w:sz w:val="22"/>
              </w:rPr>
              <w:t>c</w:t>
            </w:r>
            <w:r w:rsidRPr="00CA5E09">
              <w:rPr>
                <w:rFonts w:cstheme="minorHAnsi"/>
                <w:sz w:val="22"/>
              </w:rPr>
              <w:t>an dispute the allocated home type level</w:t>
            </w:r>
            <w:r w:rsidR="00A158EB" w:rsidRPr="00CA5E09">
              <w:rPr>
                <w:rFonts w:cstheme="minorHAnsi"/>
                <w:sz w:val="22"/>
              </w:rPr>
              <w:t>.</w:t>
            </w:r>
          </w:p>
          <w:p w:rsidR="00147D5F" w:rsidRPr="00CA5E09" w:rsidRDefault="00147D5F" w:rsidP="00936730">
            <w:pPr>
              <w:spacing w:line="240" w:lineRule="auto"/>
              <w:jc w:val="left"/>
              <w:rPr>
                <w:rFonts w:cstheme="minorHAnsi"/>
                <w:sz w:val="22"/>
              </w:rPr>
            </w:pPr>
            <w:r w:rsidRPr="00CA5E09">
              <w:rPr>
                <w:rFonts w:cstheme="minorHAnsi"/>
                <w:sz w:val="22"/>
              </w:rPr>
              <w:t>Visit from an External Assessor determines decision.</w:t>
            </w:r>
          </w:p>
          <w:p w:rsidR="00147D5F" w:rsidRPr="00CA5E09" w:rsidRDefault="00147D5F" w:rsidP="00936730">
            <w:pPr>
              <w:tabs>
                <w:tab w:val="left" w:pos="1507"/>
              </w:tabs>
              <w:spacing w:line="240" w:lineRule="auto"/>
              <w:jc w:val="left"/>
              <w:rPr>
                <w:rFonts w:eastAsia="Times New Roman" w:cstheme="minorHAnsi"/>
                <w:sz w:val="22"/>
                <w:lang w:val="en-US"/>
              </w:rPr>
            </w:pPr>
            <w:r w:rsidRPr="00CA5E09">
              <w:rPr>
                <w:rFonts w:eastAsia="Times New Roman" w:cstheme="minorHAnsi"/>
                <w:sz w:val="22"/>
                <w:lang w:val="en-US"/>
              </w:rPr>
              <w:t>Facility asks for home type review using interRAI &amp; NASC determines outcome, may require visit. The decision to move to a higher-level care facility is made in consultation with facility staff.</w:t>
            </w:r>
          </w:p>
          <w:p w:rsidR="00147D5F" w:rsidRPr="00CA5E09" w:rsidRDefault="00147D5F" w:rsidP="00936730">
            <w:pPr>
              <w:tabs>
                <w:tab w:val="left" w:pos="1507"/>
              </w:tabs>
              <w:spacing w:line="240" w:lineRule="auto"/>
              <w:jc w:val="left"/>
              <w:rPr>
                <w:rFonts w:eastAsia="Times New Roman" w:cstheme="minorHAnsi"/>
                <w:sz w:val="22"/>
                <w:lang w:val="en-US"/>
              </w:rPr>
            </w:pPr>
            <w:r w:rsidRPr="00CA5E09">
              <w:rPr>
                <w:rFonts w:eastAsia="Times New Roman" w:cstheme="minorHAnsi"/>
                <w:sz w:val="22"/>
                <w:lang w:val="en-US"/>
              </w:rPr>
              <w:t xml:space="preserve">Higher care facilities are often on the same campus as lower level options. </w:t>
            </w:r>
          </w:p>
        </w:tc>
        <w:tc>
          <w:tcPr>
            <w:tcW w:w="2121" w:type="dxa"/>
            <w:shd w:val="clear" w:color="auto" w:fill="auto"/>
            <w:tcMar>
              <w:top w:w="15" w:type="dxa"/>
              <w:left w:w="51" w:type="dxa"/>
              <w:bottom w:w="0" w:type="dxa"/>
              <w:right w:w="51" w:type="dxa"/>
            </w:tcMar>
          </w:tcPr>
          <w:p w:rsidR="00147D5F" w:rsidRPr="00CA5E09" w:rsidRDefault="00147D5F" w:rsidP="00936730">
            <w:pPr>
              <w:tabs>
                <w:tab w:val="left" w:pos="1507"/>
              </w:tabs>
              <w:spacing w:line="240" w:lineRule="auto"/>
              <w:jc w:val="left"/>
              <w:rPr>
                <w:rFonts w:eastAsia="Times New Roman" w:cstheme="minorHAnsi"/>
                <w:b/>
                <w:sz w:val="22"/>
                <w:lang w:val="en-US"/>
              </w:rPr>
            </w:pPr>
            <w:r w:rsidRPr="00CA5E09">
              <w:rPr>
                <w:rFonts w:eastAsia="Times New Roman" w:cstheme="minorHAnsi"/>
                <w:b/>
                <w:sz w:val="22"/>
                <w:lang w:val="en-US"/>
              </w:rPr>
              <w:t>None</w:t>
            </w:r>
          </w:p>
          <w:p w:rsidR="00147D5F" w:rsidRPr="00CA5E09" w:rsidRDefault="00147D5F" w:rsidP="00936730">
            <w:pPr>
              <w:tabs>
                <w:tab w:val="left" w:pos="1507"/>
              </w:tabs>
              <w:spacing w:line="240" w:lineRule="auto"/>
              <w:jc w:val="left"/>
              <w:rPr>
                <w:rFonts w:eastAsia="Times New Roman" w:cstheme="minorHAnsi"/>
                <w:sz w:val="22"/>
                <w:lang w:val="en-US"/>
              </w:rPr>
            </w:pPr>
            <w:r w:rsidRPr="00CA5E09">
              <w:rPr>
                <w:rFonts w:eastAsia="Times New Roman" w:cstheme="minorHAnsi"/>
                <w:sz w:val="22"/>
                <w:lang w:val="en-US"/>
              </w:rPr>
              <w:t>Facility assessor requests review if resident has higher care need than facility type can manage.</w:t>
            </w:r>
          </w:p>
          <w:p w:rsidR="00147D5F" w:rsidRPr="00CA5E09" w:rsidRDefault="00147D5F" w:rsidP="00936730">
            <w:pPr>
              <w:tabs>
                <w:tab w:val="left" w:pos="1507"/>
              </w:tabs>
              <w:spacing w:line="240" w:lineRule="auto"/>
              <w:jc w:val="left"/>
              <w:rPr>
                <w:rFonts w:eastAsia="Times New Roman" w:cstheme="minorHAnsi"/>
                <w:sz w:val="22"/>
                <w:lang w:val="en-US"/>
              </w:rPr>
            </w:pPr>
            <w:r w:rsidRPr="00CA5E09">
              <w:rPr>
                <w:rFonts w:eastAsia="Times New Roman" w:cstheme="minorHAnsi"/>
                <w:sz w:val="22"/>
                <w:lang w:val="en-US"/>
              </w:rPr>
              <w:t>Local Health Body (DHB) - NASC assessor determines if move approved.</w:t>
            </w:r>
          </w:p>
        </w:tc>
      </w:tr>
    </w:tbl>
    <w:p w:rsidR="00147D5F" w:rsidRDefault="00147D5F" w:rsidP="003D74A2">
      <w:pPr>
        <w:rPr>
          <w:lang w:eastAsia="en-AU"/>
        </w:rPr>
      </w:pPr>
      <w:r>
        <w:rPr>
          <w:lang w:eastAsia="en-AU"/>
        </w:rPr>
        <w:br w:type="page"/>
      </w:r>
    </w:p>
    <w:p w:rsidR="0065582B" w:rsidRDefault="0065582B" w:rsidP="0065582B">
      <w:pPr>
        <w:pStyle w:val="Caption"/>
        <w:keepNext/>
      </w:pPr>
      <w:bookmarkStart w:id="676" w:name="_Toc495416855"/>
      <w:bookmarkStart w:id="677" w:name="Tab1002"/>
      <w:r>
        <w:lastRenderedPageBreak/>
        <w:t>Table 10.</w:t>
      </w:r>
      <w:r w:rsidR="009A3F5A">
        <w:fldChar w:fldCharType="begin"/>
      </w:r>
      <w:r w:rsidR="009A3F5A">
        <w:instrText xml:space="preserve"> SEQ Table_10. \* ARABIC </w:instrText>
      </w:r>
      <w:r w:rsidR="009A3F5A">
        <w:fldChar w:fldCharType="separate"/>
      </w:r>
      <w:r w:rsidR="00856E49">
        <w:rPr>
          <w:noProof/>
        </w:rPr>
        <w:t>2</w:t>
      </w:r>
      <w:r w:rsidR="009A3F5A">
        <w:rPr>
          <w:noProof/>
        </w:rPr>
        <w:fldChar w:fldCharType="end"/>
      </w:r>
      <w:r>
        <w:t xml:space="preserve">: </w:t>
      </w:r>
      <w:r w:rsidRPr="0065582B">
        <w:t>Most Relevant International Residential Care Systems – Canada</w:t>
      </w:r>
      <w:bookmarkEnd w:id="676"/>
    </w:p>
    <w:tbl>
      <w:tblPr>
        <w:tblW w:w="14034" w:type="dxa"/>
        <w:tblInd w:w="51"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left w:w="0" w:type="dxa"/>
          <w:right w:w="0" w:type="dxa"/>
        </w:tblCellMar>
        <w:tblLook w:val="0600" w:firstRow="0" w:lastRow="0" w:firstColumn="0" w:lastColumn="0" w:noHBand="1" w:noVBand="1"/>
        <w:tblDescription w:val="Table 10.2 is a list of details summarising the payment level determination, mandated care funding tool, care classification levels,  review of needs and auditing of funding claims for the Canadian funding model, as summarised under heading 10.1 in the text prior to this table. This table is to be read left to right, top to bottom."/>
      </w:tblPr>
      <w:tblGrid>
        <w:gridCol w:w="1053"/>
        <w:gridCol w:w="4759"/>
        <w:gridCol w:w="1701"/>
        <w:gridCol w:w="2351"/>
        <w:gridCol w:w="2173"/>
        <w:gridCol w:w="1997"/>
      </w:tblGrid>
      <w:tr w:rsidR="00147D5F" w:rsidRPr="00CA5E09" w:rsidTr="0065582B">
        <w:tc>
          <w:tcPr>
            <w:tcW w:w="1053" w:type="dxa"/>
            <w:shd w:val="clear" w:color="auto" w:fill="5B9BD5" w:themeFill="accent5"/>
            <w:tcMar>
              <w:top w:w="15" w:type="dxa"/>
              <w:left w:w="51" w:type="dxa"/>
              <w:bottom w:w="0" w:type="dxa"/>
              <w:right w:w="51" w:type="dxa"/>
            </w:tcMar>
            <w:vAlign w:val="center"/>
          </w:tcPr>
          <w:bookmarkEnd w:id="677"/>
          <w:p w:rsidR="00147D5F" w:rsidRPr="00CA5E09" w:rsidRDefault="00147D5F" w:rsidP="00002DA7">
            <w:pPr>
              <w:spacing w:before="60" w:after="60" w:line="240" w:lineRule="auto"/>
              <w:jc w:val="left"/>
              <w:rPr>
                <w:rFonts w:eastAsia="Times New Roman" w:cstheme="minorHAnsi"/>
                <w:b/>
                <w:bCs/>
                <w:color w:val="FFFFFF" w:themeColor="background1"/>
                <w:sz w:val="22"/>
              </w:rPr>
            </w:pPr>
            <w:r w:rsidRPr="00CA5E09">
              <w:rPr>
                <w:rFonts w:eastAsia="Times New Roman" w:cstheme="minorHAnsi"/>
                <w:b/>
                <w:bCs/>
                <w:color w:val="FFFFFF" w:themeColor="background1"/>
                <w:sz w:val="22"/>
              </w:rPr>
              <w:t>Country</w:t>
            </w:r>
          </w:p>
        </w:tc>
        <w:tc>
          <w:tcPr>
            <w:tcW w:w="4759" w:type="dxa"/>
            <w:shd w:val="clear" w:color="auto" w:fill="5B9BD5" w:themeFill="accent5"/>
            <w:tcMar>
              <w:top w:w="15" w:type="dxa"/>
              <w:left w:w="51" w:type="dxa"/>
              <w:bottom w:w="0" w:type="dxa"/>
              <w:right w:w="51" w:type="dxa"/>
            </w:tcMar>
            <w:vAlign w:val="center"/>
          </w:tcPr>
          <w:p w:rsidR="00147D5F" w:rsidRPr="00CA5E09" w:rsidRDefault="00147D5F" w:rsidP="00002DA7">
            <w:pPr>
              <w:tabs>
                <w:tab w:val="left" w:pos="1507"/>
              </w:tabs>
              <w:spacing w:before="60" w:after="60" w:line="240" w:lineRule="auto"/>
              <w:jc w:val="center"/>
              <w:rPr>
                <w:rFonts w:eastAsia="Times New Roman" w:cstheme="minorHAnsi"/>
                <w:b/>
                <w:bCs/>
                <w:color w:val="FFFFFF" w:themeColor="background1"/>
                <w:sz w:val="22"/>
              </w:rPr>
            </w:pPr>
            <w:r w:rsidRPr="00CA5E09">
              <w:rPr>
                <w:rFonts w:eastAsia="Times New Roman" w:cstheme="minorHAnsi"/>
                <w:b/>
                <w:bCs/>
                <w:color w:val="FFFFFF" w:themeColor="background1"/>
                <w:sz w:val="22"/>
              </w:rPr>
              <w:t>Payment level determination</w:t>
            </w:r>
          </w:p>
        </w:tc>
        <w:tc>
          <w:tcPr>
            <w:tcW w:w="1701" w:type="dxa"/>
            <w:shd w:val="clear" w:color="auto" w:fill="5B9BD5" w:themeFill="accent5"/>
            <w:tcMar>
              <w:top w:w="15" w:type="dxa"/>
              <w:left w:w="51" w:type="dxa"/>
              <w:bottom w:w="0" w:type="dxa"/>
              <w:right w:w="51" w:type="dxa"/>
            </w:tcMar>
            <w:vAlign w:val="center"/>
          </w:tcPr>
          <w:p w:rsidR="00147D5F" w:rsidRPr="00CA5E09" w:rsidRDefault="00147D5F" w:rsidP="00002DA7">
            <w:pPr>
              <w:tabs>
                <w:tab w:val="left" w:pos="1507"/>
              </w:tabs>
              <w:spacing w:before="60" w:after="60" w:line="240" w:lineRule="auto"/>
              <w:jc w:val="center"/>
              <w:rPr>
                <w:rFonts w:eastAsia="Times New Roman" w:cstheme="minorHAnsi"/>
                <w:b/>
                <w:bCs/>
                <w:color w:val="FFFFFF" w:themeColor="background1"/>
                <w:sz w:val="22"/>
              </w:rPr>
            </w:pPr>
            <w:r w:rsidRPr="00CA5E09">
              <w:rPr>
                <w:rFonts w:eastAsia="Times New Roman" w:cstheme="minorHAnsi"/>
                <w:b/>
                <w:bCs/>
                <w:color w:val="FFFFFF" w:themeColor="background1"/>
                <w:sz w:val="22"/>
              </w:rPr>
              <w:t>Mandated Care funding tool</w:t>
            </w:r>
          </w:p>
        </w:tc>
        <w:tc>
          <w:tcPr>
            <w:tcW w:w="2351" w:type="dxa"/>
            <w:shd w:val="clear" w:color="auto" w:fill="5B9BD5" w:themeFill="accent5"/>
            <w:tcMar>
              <w:top w:w="14" w:type="dxa"/>
              <w:left w:w="58" w:type="dxa"/>
              <w:right w:w="58" w:type="dxa"/>
            </w:tcMar>
            <w:vAlign w:val="center"/>
          </w:tcPr>
          <w:p w:rsidR="00147D5F" w:rsidRPr="00CA5E09" w:rsidRDefault="00147D5F" w:rsidP="00002DA7">
            <w:pPr>
              <w:tabs>
                <w:tab w:val="left" w:pos="1507"/>
              </w:tabs>
              <w:spacing w:before="60" w:after="60" w:line="240" w:lineRule="auto"/>
              <w:jc w:val="center"/>
              <w:rPr>
                <w:rFonts w:eastAsia="Times New Roman" w:cstheme="minorHAnsi"/>
                <w:b/>
                <w:bCs/>
                <w:color w:val="FFFFFF" w:themeColor="background1"/>
                <w:sz w:val="22"/>
              </w:rPr>
            </w:pPr>
            <w:r w:rsidRPr="00CA5E09">
              <w:rPr>
                <w:rFonts w:eastAsia="Times New Roman" w:cstheme="minorHAnsi"/>
                <w:b/>
                <w:bCs/>
                <w:color w:val="FFFFFF" w:themeColor="background1"/>
                <w:sz w:val="22"/>
              </w:rPr>
              <w:t>Care Classification levels</w:t>
            </w:r>
          </w:p>
        </w:tc>
        <w:tc>
          <w:tcPr>
            <w:tcW w:w="2173" w:type="dxa"/>
            <w:shd w:val="clear" w:color="auto" w:fill="5B9BD5" w:themeFill="accent5"/>
            <w:tcMar>
              <w:top w:w="15" w:type="dxa"/>
              <w:left w:w="51" w:type="dxa"/>
              <w:bottom w:w="0" w:type="dxa"/>
              <w:right w:w="51" w:type="dxa"/>
            </w:tcMar>
            <w:vAlign w:val="center"/>
          </w:tcPr>
          <w:p w:rsidR="00147D5F" w:rsidRPr="00CA5E09" w:rsidRDefault="00147D5F" w:rsidP="00002DA7">
            <w:pPr>
              <w:spacing w:before="60" w:after="60" w:line="240" w:lineRule="auto"/>
              <w:jc w:val="center"/>
              <w:rPr>
                <w:rFonts w:eastAsia="Times New Roman" w:cstheme="minorHAnsi"/>
                <w:b/>
                <w:bCs/>
                <w:color w:val="FFFFFF" w:themeColor="background1"/>
                <w:sz w:val="22"/>
              </w:rPr>
            </w:pPr>
            <w:r w:rsidRPr="00CA5E09">
              <w:rPr>
                <w:rFonts w:eastAsia="Times New Roman" w:cstheme="minorHAnsi"/>
                <w:b/>
                <w:bCs/>
                <w:color w:val="FFFFFF" w:themeColor="background1"/>
                <w:sz w:val="22"/>
              </w:rPr>
              <w:t>Review of needs</w:t>
            </w:r>
          </w:p>
        </w:tc>
        <w:tc>
          <w:tcPr>
            <w:tcW w:w="1997" w:type="dxa"/>
            <w:shd w:val="clear" w:color="auto" w:fill="5B9BD5" w:themeFill="accent5"/>
            <w:tcMar>
              <w:top w:w="15" w:type="dxa"/>
              <w:left w:w="51" w:type="dxa"/>
              <w:bottom w:w="0" w:type="dxa"/>
              <w:right w:w="51" w:type="dxa"/>
            </w:tcMar>
            <w:vAlign w:val="center"/>
          </w:tcPr>
          <w:p w:rsidR="00147D5F" w:rsidRPr="00CA5E09" w:rsidRDefault="00147D5F" w:rsidP="00002DA7">
            <w:pPr>
              <w:spacing w:before="60" w:after="60" w:line="240" w:lineRule="auto"/>
              <w:jc w:val="center"/>
              <w:rPr>
                <w:rFonts w:eastAsia="Times New Roman" w:cstheme="minorHAnsi"/>
                <w:b/>
                <w:bCs/>
                <w:color w:val="FFFFFF" w:themeColor="background1"/>
                <w:sz w:val="22"/>
              </w:rPr>
            </w:pPr>
            <w:r w:rsidRPr="00CA5E09">
              <w:rPr>
                <w:rFonts w:eastAsia="Times New Roman" w:cstheme="minorHAnsi"/>
                <w:b/>
                <w:bCs/>
                <w:color w:val="FFFFFF" w:themeColor="background1"/>
                <w:sz w:val="22"/>
              </w:rPr>
              <w:t>Auditing of Funding Claims</w:t>
            </w:r>
          </w:p>
        </w:tc>
      </w:tr>
      <w:tr w:rsidR="00147D5F" w:rsidRPr="00CA5E09" w:rsidTr="0065582B">
        <w:tc>
          <w:tcPr>
            <w:tcW w:w="1053" w:type="dxa"/>
            <w:shd w:val="clear" w:color="auto" w:fill="auto"/>
            <w:tcMar>
              <w:top w:w="15" w:type="dxa"/>
              <w:left w:w="51" w:type="dxa"/>
              <w:bottom w:w="0" w:type="dxa"/>
              <w:right w:w="51" w:type="dxa"/>
            </w:tcMar>
          </w:tcPr>
          <w:p w:rsidR="00147D5F" w:rsidRPr="00CA5E09" w:rsidRDefault="00147D5F" w:rsidP="00936730">
            <w:pPr>
              <w:spacing w:line="240" w:lineRule="auto"/>
              <w:jc w:val="left"/>
              <w:rPr>
                <w:rFonts w:eastAsia="Times New Roman" w:cstheme="minorHAnsi"/>
                <w:b/>
                <w:bCs/>
                <w:color w:val="000000" w:themeColor="text1"/>
                <w:sz w:val="22"/>
              </w:rPr>
            </w:pPr>
            <w:r w:rsidRPr="00CA5E09">
              <w:rPr>
                <w:rFonts w:eastAsia="Times New Roman" w:cstheme="minorHAnsi"/>
                <w:b/>
                <w:bCs/>
                <w:color w:val="000000" w:themeColor="text1"/>
                <w:sz w:val="22"/>
              </w:rPr>
              <w:t>Canada</w:t>
            </w:r>
          </w:p>
          <w:p w:rsidR="00147D5F" w:rsidRPr="00CA5E09" w:rsidRDefault="00147D5F" w:rsidP="00936730">
            <w:pPr>
              <w:spacing w:line="240" w:lineRule="auto"/>
              <w:jc w:val="left"/>
              <w:rPr>
                <w:rFonts w:eastAsia="Times New Roman" w:cstheme="minorHAnsi"/>
                <w:b/>
                <w:bCs/>
                <w:color w:val="000000" w:themeColor="text1"/>
                <w:sz w:val="22"/>
              </w:rPr>
            </w:pPr>
            <w:r w:rsidRPr="00CA5E09">
              <w:rPr>
                <w:rFonts w:eastAsia="Times New Roman" w:cstheme="minorHAnsi"/>
                <w:b/>
                <w:bCs/>
                <w:color w:val="000000" w:themeColor="text1"/>
                <w:sz w:val="22"/>
              </w:rPr>
              <w:t>(Varies across provinces)</w:t>
            </w:r>
          </w:p>
          <w:p w:rsidR="00147D5F" w:rsidRPr="00CA5E09" w:rsidRDefault="00147D5F" w:rsidP="00936730">
            <w:pPr>
              <w:spacing w:line="240" w:lineRule="auto"/>
              <w:jc w:val="left"/>
              <w:rPr>
                <w:rFonts w:eastAsia="Times New Roman" w:cstheme="minorHAnsi"/>
                <w:sz w:val="22"/>
                <w:lang w:val="en-US"/>
              </w:rPr>
            </w:pPr>
            <w:r w:rsidRPr="00CA5E09">
              <w:rPr>
                <w:rFonts w:eastAsia="Times New Roman" w:cstheme="minorHAnsi"/>
                <w:b/>
                <w:bCs/>
                <w:color w:val="000000" w:themeColor="text1"/>
                <w:sz w:val="22"/>
              </w:rPr>
              <w:t>Example based on Ontario.</w:t>
            </w:r>
          </w:p>
        </w:tc>
        <w:tc>
          <w:tcPr>
            <w:tcW w:w="4759" w:type="dxa"/>
            <w:shd w:val="clear" w:color="auto" w:fill="auto"/>
            <w:tcMar>
              <w:top w:w="15" w:type="dxa"/>
              <w:left w:w="51" w:type="dxa"/>
              <w:bottom w:w="0" w:type="dxa"/>
              <w:right w:w="51" w:type="dxa"/>
            </w:tcMar>
          </w:tcPr>
          <w:p w:rsidR="00147D5F" w:rsidRPr="00CA5E09" w:rsidRDefault="00147D5F" w:rsidP="00002DA7">
            <w:pPr>
              <w:tabs>
                <w:tab w:val="left" w:pos="1507"/>
              </w:tabs>
              <w:spacing w:after="100" w:line="240" w:lineRule="auto"/>
              <w:jc w:val="left"/>
              <w:rPr>
                <w:rFonts w:eastAsia="Times New Roman" w:cstheme="minorHAnsi"/>
                <w:b/>
                <w:color w:val="000000" w:themeColor="text1"/>
                <w:sz w:val="22"/>
              </w:rPr>
            </w:pPr>
            <w:r w:rsidRPr="00CA5E09">
              <w:rPr>
                <w:rFonts w:eastAsia="Times New Roman" w:cstheme="minorHAnsi"/>
                <w:b/>
                <w:color w:val="000000" w:themeColor="text1"/>
                <w:sz w:val="22"/>
              </w:rPr>
              <w:t>Internal – Facility Assessor Post-entry</w:t>
            </w:r>
          </w:p>
          <w:p w:rsidR="00147D5F" w:rsidRPr="00CA5E09" w:rsidRDefault="00147D5F" w:rsidP="00002DA7">
            <w:pPr>
              <w:tabs>
                <w:tab w:val="left" w:pos="1507"/>
              </w:tabs>
              <w:spacing w:after="100" w:line="240" w:lineRule="auto"/>
              <w:jc w:val="left"/>
              <w:rPr>
                <w:rFonts w:eastAsia="Times New Roman" w:cstheme="minorHAnsi"/>
                <w:color w:val="000000" w:themeColor="text1"/>
                <w:sz w:val="22"/>
              </w:rPr>
            </w:pPr>
            <w:r w:rsidRPr="00CA5E09">
              <w:rPr>
                <w:rFonts w:eastAsia="Times New Roman" w:cstheme="minorHAnsi"/>
                <w:color w:val="000000" w:themeColor="text1"/>
                <w:sz w:val="22"/>
              </w:rPr>
              <w:t>The Ministry of Health and local health care authority manage waiting lists and determine who is admitted to a facility. Clients on wait list must take first offer (could be 50km away) or go to the bottom of the list. When a place becomes available at a facility nearer their home/family, a further move can be approved. There are significant issues regarding the waiting times. The median waiting time is around 4 months, while those in hospital needing placement wait around 3 months.</w:t>
            </w:r>
          </w:p>
          <w:p w:rsidR="00980F62" w:rsidRDefault="00147D5F" w:rsidP="00002DA7">
            <w:pPr>
              <w:tabs>
                <w:tab w:val="left" w:pos="1507"/>
              </w:tabs>
              <w:spacing w:after="100" w:line="240" w:lineRule="auto"/>
              <w:jc w:val="left"/>
              <w:rPr>
                <w:rFonts w:eastAsia="Times New Roman" w:cstheme="minorHAnsi"/>
                <w:color w:val="000000" w:themeColor="text1"/>
                <w:sz w:val="22"/>
              </w:rPr>
            </w:pPr>
            <w:r w:rsidRPr="00CA5E09">
              <w:rPr>
                <w:rFonts w:eastAsia="Times New Roman" w:cstheme="minorHAnsi"/>
                <w:color w:val="000000" w:themeColor="text1"/>
                <w:sz w:val="22"/>
              </w:rPr>
              <w:t>Getting timely access to residential care has become a system issue which is being addressed by a new ‘home first’ program.</w:t>
            </w:r>
          </w:p>
          <w:p w:rsidR="00147D5F" w:rsidRPr="00CA5E09" w:rsidRDefault="00147D5F" w:rsidP="00002DA7">
            <w:pPr>
              <w:tabs>
                <w:tab w:val="left" w:pos="1507"/>
              </w:tabs>
              <w:spacing w:after="100" w:line="240" w:lineRule="auto"/>
              <w:jc w:val="left"/>
              <w:rPr>
                <w:rFonts w:eastAsia="Times New Roman" w:cstheme="minorHAnsi"/>
                <w:color w:val="000000" w:themeColor="text1"/>
                <w:sz w:val="22"/>
              </w:rPr>
            </w:pPr>
            <w:r w:rsidRPr="00CA5E09">
              <w:rPr>
                <w:rFonts w:eastAsia="Times New Roman" w:cstheme="minorHAnsi"/>
                <w:color w:val="000000" w:themeColor="text1"/>
                <w:sz w:val="22"/>
              </w:rPr>
              <w:t>RUGs groupings result from the case mix classification system. The groups are determined by the coding of specific interRAI MDS items related to the intensity of assistance the resident received with ADLs plus selected treatments, health conditions, diagnoses, behaviour and cognitive status.</w:t>
            </w:r>
          </w:p>
          <w:p w:rsidR="00147D5F" w:rsidRPr="00CA5E09" w:rsidRDefault="00147D5F" w:rsidP="00002DA7">
            <w:pPr>
              <w:tabs>
                <w:tab w:val="left" w:pos="1507"/>
              </w:tabs>
              <w:spacing w:after="80" w:line="240" w:lineRule="auto"/>
              <w:jc w:val="left"/>
              <w:rPr>
                <w:rFonts w:eastAsia="Times New Roman" w:cstheme="minorHAnsi"/>
                <w:sz w:val="22"/>
                <w:lang w:val="en-US"/>
              </w:rPr>
            </w:pPr>
            <w:r w:rsidRPr="00CA5E09">
              <w:rPr>
                <w:rFonts w:eastAsia="Times New Roman" w:cstheme="minorHAnsi"/>
                <w:color w:val="000000" w:themeColor="text1"/>
                <w:sz w:val="22"/>
              </w:rPr>
              <w:t xml:space="preserve">While the Aged Care Provider determines their overall funding post-entry via regular individual resident RUGs ADL determinations, the provider is not paid on a resident by resident basis. Payment is based on an annualised Casemix average (case mix index – CMI). </w:t>
            </w:r>
          </w:p>
        </w:tc>
        <w:tc>
          <w:tcPr>
            <w:tcW w:w="1701" w:type="dxa"/>
            <w:shd w:val="clear" w:color="auto" w:fill="auto"/>
            <w:tcMar>
              <w:top w:w="15" w:type="dxa"/>
              <w:left w:w="51" w:type="dxa"/>
              <w:bottom w:w="0" w:type="dxa"/>
              <w:right w:w="51" w:type="dxa"/>
            </w:tcMar>
          </w:tcPr>
          <w:p w:rsidR="00147D5F" w:rsidRPr="00CA5E09" w:rsidRDefault="00147D5F" w:rsidP="00936730">
            <w:pPr>
              <w:tabs>
                <w:tab w:val="left" w:pos="1507"/>
              </w:tabs>
              <w:spacing w:line="240" w:lineRule="auto"/>
              <w:jc w:val="left"/>
              <w:rPr>
                <w:rFonts w:eastAsia="Times New Roman" w:cstheme="minorHAnsi"/>
                <w:color w:val="000000" w:themeColor="text1"/>
                <w:sz w:val="22"/>
              </w:rPr>
            </w:pPr>
            <w:r w:rsidRPr="00CA5E09">
              <w:rPr>
                <w:rFonts w:eastAsia="Times New Roman" w:cstheme="minorHAnsi"/>
                <w:color w:val="000000" w:themeColor="text1"/>
                <w:sz w:val="22"/>
              </w:rPr>
              <w:t>interRAI – case mix results in RUGs used to determine funding group.</w:t>
            </w:r>
          </w:p>
          <w:p w:rsidR="00147D5F" w:rsidRPr="00CA5E09" w:rsidRDefault="00147D5F" w:rsidP="00936730">
            <w:pPr>
              <w:tabs>
                <w:tab w:val="left" w:pos="1507"/>
              </w:tabs>
              <w:spacing w:line="240" w:lineRule="auto"/>
              <w:jc w:val="left"/>
              <w:rPr>
                <w:rFonts w:eastAsia="Times New Roman" w:cstheme="minorHAnsi"/>
                <w:sz w:val="22"/>
                <w:lang w:val="en-US"/>
              </w:rPr>
            </w:pPr>
            <w:r w:rsidRPr="00CA5E09">
              <w:rPr>
                <w:rFonts w:eastAsia="Times New Roman" w:cstheme="minorHAnsi"/>
                <w:color w:val="000000" w:themeColor="text1"/>
                <w:sz w:val="22"/>
              </w:rPr>
              <w:t>Algorithms vary across provinces.</w:t>
            </w:r>
          </w:p>
        </w:tc>
        <w:tc>
          <w:tcPr>
            <w:tcW w:w="2351" w:type="dxa"/>
            <w:tcMar>
              <w:top w:w="14" w:type="dxa"/>
              <w:left w:w="58" w:type="dxa"/>
              <w:right w:w="58" w:type="dxa"/>
            </w:tcMar>
          </w:tcPr>
          <w:p w:rsidR="00147D5F" w:rsidRPr="00CA5E09" w:rsidRDefault="00147D5F" w:rsidP="00936730">
            <w:pPr>
              <w:tabs>
                <w:tab w:val="left" w:pos="1507"/>
              </w:tabs>
              <w:spacing w:line="240" w:lineRule="auto"/>
              <w:jc w:val="left"/>
              <w:rPr>
                <w:rFonts w:eastAsia="Times New Roman" w:cstheme="minorHAnsi"/>
                <w:color w:val="000000" w:themeColor="text1"/>
                <w:sz w:val="22"/>
              </w:rPr>
            </w:pPr>
            <w:r w:rsidRPr="00CA5E09">
              <w:rPr>
                <w:rFonts w:eastAsia="Times New Roman" w:cstheme="minorHAnsi"/>
                <w:color w:val="000000" w:themeColor="text1"/>
                <w:sz w:val="22"/>
              </w:rPr>
              <w:t>RUGs-ADL 44 Groupings</w:t>
            </w:r>
          </w:p>
          <w:p w:rsidR="00147D5F" w:rsidRPr="00CA5E09" w:rsidRDefault="00147D5F" w:rsidP="00936730">
            <w:pPr>
              <w:tabs>
                <w:tab w:val="left" w:pos="1507"/>
              </w:tabs>
              <w:spacing w:line="240" w:lineRule="auto"/>
              <w:jc w:val="left"/>
              <w:rPr>
                <w:rFonts w:eastAsia="Times New Roman" w:cstheme="minorHAnsi"/>
                <w:color w:val="000000" w:themeColor="text1"/>
                <w:sz w:val="22"/>
              </w:rPr>
            </w:pPr>
            <w:r w:rsidRPr="00CA5E09">
              <w:rPr>
                <w:rFonts w:eastAsia="Times New Roman" w:cstheme="minorHAnsi"/>
                <w:color w:val="000000" w:themeColor="text1"/>
                <w:sz w:val="22"/>
              </w:rPr>
              <w:t>Case Mix Design</w:t>
            </w:r>
          </w:p>
          <w:p w:rsidR="00147D5F" w:rsidRPr="00CA5E09" w:rsidRDefault="00147D5F" w:rsidP="00936730">
            <w:pPr>
              <w:tabs>
                <w:tab w:val="left" w:pos="1507"/>
              </w:tabs>
              <w:spacing w:line="240" w:lineRule="auto"/>
              <w:jc w:val="left"/>
              <w:rPr>
                <w:rFonts w:eastAsia="Times New Roman" w:cstheme="minorHAnsi"/>
                <w:color w:val="000000" w:themeColor="text1"/>
                <w:sz w:val="22"/>
              </w:rPr>
            </w:pPr>
            <w:r w:rsidRPr="00CA5E09">
              <w:rPr>
                <w:rFonts w:eastAsia="Times New Roman" w:cstheme="minorHAnsi"/>
                <w:color w:val="000000" w:themeColor="text1"/>
                <w:sz w:val="22"/>
              </w:rPr>
              <w:t>Yearly adjustments based on historical average yearly Casemix index.</w:t>
            </w:r>
          </w:p>
          <w:p w:rsidR="00147D5F" w:rsidRPr="00CA5E09" w:rsidRDefault="00147D5F" w:rsidP="00936730">
            <w:pPr>
              <w:tabs>
                <w:tab w:val="left" w:pos="1507"/>
              </w:tabs>
              <w:spacing w:line="240" w:lineRule="auto"/>
              <w:jc w:val="left"/>
              <w:rPr>
                <w:rFonts w:eastAsia="Times New Roman" w:cstheme="minorHAnsi"/>
                <w:color w:val="000000" w:themeColor="text1"/>
                <w:sz w:val="22"/>
              </w:rPr>
            </w:pPr>
            <w:r w:rsidRPr="00CA5E09">
              <w:rPr>
                <w:rFonts w:eastAsia="Times New Roman" w:cstheme="minorHAnsi"/>
                <w:color w:val="000000" w:themeColor="text1"/>
                <w:sz w:val="22"/>
              </w:rPr>
              <w:t>ADLs are the biggest driver of funding</w:t>
            </w:r>
            <w:r w:rsidR="00A158EB" w:rsidRPr="00CA5E09">
              <w:rPr>
                <w:rFonts w:eastAsia="Times New Roman" w:cstheme="minorHAnsi"/>
                <w:color w:val="000000" w:themeColor="text1"/>
                <w:sz w:val="22"/>
              </w:rPr>
              <w:t>.</w:t>
            </w:r>
          </w:p>
          <w:p w:rsidR="00980F62" w:rsidRDefault="00147D5F" w:rsidP="00936730">
            <w:pPr>
              <w:tabs>
                <w:tab w:val="left" w:pos="1507"/>
              </w:tabs>
              <w:spacing w:line="240" w:lineRule="auto"/>
              <w:jc w:val="left"/>
              <w:rPr>
                <w:rFonts w:eastAsia="Times New Roman" w:cstheme="minorHAnsi"/>
                <w:color w:val="000000" w:themeColor="text1"/>
                <w:sz w:val="22"/>
              </w:rPr>
            </w:pPr>
            <w:r w:rsidRPr="00CA5E09">
              <w:rPr>
                <w:rFonts w:eastAsia="Times New Roman" w:cstheme="minorHAnsi"/>
                <w:color w:val="000000" w:themeColor="text1"/>
                <w:sz w:val="22"/>
              </w:rPr>
              <w:t>Therapy minutes based on care provided, not outcomes.</w:t>
            </w:r>
          </w:p>
          <w:p w:rsidR="00147D5F" w:rsidRPr="00CA5E09" w:rsidRDefault="00147D5F" w:rsidP="00936730">
            <w:pPr>
              <w:tabs>
                <w:tab w:val="left" w:pos="1507"/>
              </w:tabs>
              <w:spacing w:line="240" w:lineRule="auto"/>
              <w:jc w:val="left"/>
              <w:rPr>
                <w:rFonts w:eastAsia="Times New Roman" w:cstheme="minorHAnsi"/>
                <w:sz w:val="22"/>
                <w:lang w:val="en-US"/>
              </w:rPr>
            </w:pPr>
            <w:r w:rsidRPr="00CA5E09">
              <w:rPr>
                <w:rFonts w:eastAsia="Times New Roman" w:cstheme="minorHAnsi"/>
                <w:color w:val="000000" w:themeColor="text1"/>
                <w:sz w:val="22"/>
              </w:rPr>
              <w:t>Therapy question under review due to inability to audit and lack of linkage to outcomes.</w:t>
            </w:r>
          </w:p>
        </w:tc>
        <w:tc>
          <w:tcPr>
            <w:tcW w:w="2173" w:type="dxa"/>
            <w:shd w:val="clear" w:color="auto" w:fill="auto"/>
            <w:tcMar>
              <w:top w:w="15" w:type="dxa"/>
              <w:left w:w="51" w:type="dxa"/>
              <w:bottom w:w="0" w:type="dxa"/>
              <w:right w:w="51" w:type="dxa"/>
            </w:tcMar>
          </w:tcPr>
          <w:p w:rsidR="00147D5F" w:rsidRPr="00CA5E09" w:rsidRDefault="00147D5F" w:rsidP="00936730">
            <w:pPr>
              <w:spacing w:line="240" w:lineRule="auto"/>
              <w:jc w:val="left"/>
              <w:rPr>
                <w:rFonts w:eastAsia="Times New Roman" w:cstheme="minorHAnsi"/>
                <w:b/>
                <w:sz w:val="22"/>
                <w:lang w:val="en-US"/>
              </w:rPr>
            </w:pPr>
            <w:r w:rsidRPr="00CA5E09">
              <w:rPr>
                <w:rFonts w:eastAsia="Times New Roman" w:cstheme="minorHAnsi"/>
                <w:b/>
                <w:sz w:val="22"/>
                <w:lang w:val="en-US"/>
              </w:rPr>
              <w:t>Facility Assessors</w:t>
            </w:r>
          </w:p>
          <w:p w:rsidR="00980F62" w:rsidRDefault="00147D5F" w:rsidP="00936730">
            <w:pPr>
              <w:tabs>
                <w:tab w:val="left" w:pos="1507"/>
              </w:tabs>
              <w:spacing w:line="240" w:lineRule="auto"/>
              <w:jc w:val="left"/>
              <w:rPr>
                <w:rFonts w:eastAsia="Times New Roman" w:cstheme="minorHAnsi"/>
                <w:color w:val="000000" w:themeColor="text1"/>
                <w:sz w:val="22"/>
              </w:rPr>
            </w:pPr>
            <w:r w:rsidRPr="00CA5E09">
              <w:rPr>
                <w:rFonts w:eastAsia="Times New Roman" w:cstheme="minorHAnsi"/>
                <w:color w:val="000000" w:themeColor="text1"/>
                <w:sz w:val="22"/>
              </w:rPr>
              <w:t>Facility assessors complete the interRAI quarterly on each resident to determine care needs.</w:t>
            </w:r>
          </w:p>
          <w:p w:rsidR="00147D5F" w:rsidRPr="00CA5E09" w:rsidRDefault="00147D5F" w:rsidP="00936730">
            <w:pPr>
              <w:tabs>
                <w:tab w:val="left" w:pos="1507"/>
              </w:tabs>
              <w:spacing w:line="240" w:lineRule="auto"/>
              <w:jc w:val="left"/>
              <w:rPr>
                <w:rFonts w:eastAsia="Times New Roman" w:cstheme="minorHAnsi"/>
                <w:sz w:val="22"/>
                <w:lang w:val="en-US"/>
              </w:rPr>
            </w:pPr>
            <w:r w:rsidRPr="00CA5E09">
              <w:rPr>
                <w:rFonts w:eastAsia="Times New Roman" w:cstheme="minorHAnsi"/>
                <w:color w:val="000000" w:themeColor="text1"/>
                <w:sz w:val="22"/>
              </w:rPr>
              <w:t xml:space="preserve">The funding groupings for each quarter are then averaged annually, to determine the Casemix average or index (CMI). The funding is then related to the variations in resident care needs and by implication resources, via these updated groupings. </w:t>
            </w:r>
          </w:p>
        </w:tc>
        <w:tc>
          <w:tcPr>
            <w:tcW w:w="1997" w:type="dxa"/>
            <w:shd w:val="clear" w:color="auto" w:fill="auto"/>
            <w:tcMar>
              <w:top w:w="15" w:type="dxa"/>
              <w:left w:w="51" w:type="dxa"/>
              <w:bottom w:w="0" w:type="dxa"/>
              <w:right w:w="51" w:type="dxa"/>
            </w:tcMar>
          </w:tcPr>
          <w:p w:rsidR="00147D5F" w:rsidRPr="00CA5E09" w:rsidRDefault="00147D5F" w:rsidP="00936730">
            <w:pPr>
              <w:spacing w:line="240" w:lineRule="auto"/>
              <w:jc w:val="left"/>
              <w:rPr>
                <w:rFonts w:eastAsia="Times New Roman" w:cstheme="minorHAnsi"/>
                <w:sz w:val="22"/>
                <w:lang w:val="en-US"/>
              </w:rPr>
            </w:pPr>
            <w:r w:rsidRPr="00CA5E09">
              <w:rPr>
                <w:rFonts w:eastAsia="Times New Roman" w:cstheme="minorHAnsi"/>
                <w:sz w:val="22"/>
                <w:lang w:val="en-US"/>
              </w:rPr>
              <w:t>Data checks and audit visits are undertaken to assess the accuracy of the RUGs MDS.</w:t>
            </w:r>
          </w:p>
          <w:p w:rsidR="00980F62" w:rsidRDefault="00147D5F" w:rsidP="00936730">
            <w:pPr>
              <w:spacing w:line="240" w:lineRule="auto"/>
              <w:jc w:val="left"/>
              <w:rPr>
                <w:rFonts w:eastAsia="Times New Roman" w:cstheme="minorHAnsi"/>
                <w:sz w:val="22"/>
                <w:lang w:val="en-US"/>
              </w:rPr>
            </w:pPr>
            <w:r w:rsidRPr="00CA5E09">
              <w:rPr>
                <w:rFonts w:eastAsia="Times New Roman" w:cstheme="minorHAnsi"/>
                <w:sz w:val="22"/>
                <w:lang w:val="en-US"/>
              </w:rPr>
              <w:t>Facility case managers need to account for claims and accuracy.</w:t>
            </w:r>
          </w:p>
          <w:p w:rsidR="00147D5F" w:rsidRPr="00CA5E09" w:rsidRDefault="00147D5F" w:rsidP="00936730">
            <w:pPr>
              <w:spacing w:line="240" w:lineRule="auto"/>
              <w:jc w:val="left"/>
              <w:rPr>
                <w:rFonts w:eastAsia="Times New Roman" w:cstheme="minorHAnsi"/>
                <w:sz w:val="22"/>
                <w:lang w:val="en-US"/>
              </w:rPr>
            </w:pPr>
            <w:r w:rsidRPr="00CA5E09">
              <w:rPr>
                <w:rFonts w:eastAsia="Times New Roman" w:cstheme="minorHAnsi"/>
                <w:sz w:val="22"/>
                <w:lang w:val="en-US"/>
              </w:rPr>
              <w:t xml:space="preserve">Penalties apply for inaccurate claiming patterns. </w:t>
            </w:r>
          </w:p>
        </w:tc>
      </w:tr>
    </w:tbl>
    <w:p w:rsidR="0065582B" w:rsidRDefault="0065582B" w:rsidP="0065582B">
      <w:pPr>
        <w:pStyle w:val="Caption"/>
        <w:keepNext/>
      </w:pPr>
      <w:bookmarkStart w:id="678" w:name="_Toc495416856"/>
      <w:bookmarkStart w:id="679" w:name="Tab1003"/>
      <w:r>
        <w:lastRenderedPageBreak/>
        <w:t>Table 10.</w:t>
      </w:r>
      <w:r w:rsidR="009A3F5A">
        <w:fldChar w:fldCharType="begin"/>
      </w:r>
      <w:r w:rsidR="009A3F5A">
        <w:instrText xml:space="preserve"> SEQ Table_10. \* ARABIC </w:instrText>
      </w:r>
      <w:r w:rsidR="009A3F5A">
        <w:fldChar w:fldCharType="separate"/>
      </w:r>
      <w:r w:rsidR="00856E49">
        <w:rPr>
          <w:noProof/>
        </w:rPr>
        <w:t>3</w:t>
      </w:r>
      <w:r w:rsidR="009A3F5A">
        <w:rPr>
          <w:noProof/>
        </w:rPr>
        <w:fldChar w:fldCharType="end"/>
      </w:r>
      <w:r>
        <w:t xml:space="preserve">: </w:t>
      </w:r>
      <w:r w:rsidRPr="0065582B">
        <w:t>Most Relevant International Residential Care Systems – United States of America (USA)</w:t>
      </w:r>
      <w:bookmarkEnd w:id="678"/>
    </w:p>
    <w:tbl>
      <w:tblPr>
        <w:tblW w:w="14034" w:type="dxa"/>
        <w:tblInd w:w="51"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shd w:val="clear" w:color="auto" w:fill="FFFFFF" w:themeFill="background1"/>
        <w:tblCellMar>
          <w:left w:w="0" w:type="dxa"/>
          <w:right w:w="0" w:type="dxa"/>
        </w:tblCellMar>
        <w:tblLook w:val="0600" w:firstRow="0" w:lastRow="0" w:firstColumn="0" w:lastColumn="0" w:noHBand="1" w:noVBand="1"/>
        <w:tblDescription w:val="Table 10.3 is a list of details summarising the payment level determination, mandated care funding tool, care classification levels,  review of needs and auditing of funding claims for the United States of America (USA) funding model, as summarised under heading 10.1 in the text prior to this table. This table is to be read left to right, top to bottom."/>
      </w:tblPr>
      <w:tblGrid>
        <w:gridCol w:w="1414"/>
        <w:gridCol w:w="3831"/>
        <w:gridCol w:w="2268"/>
        <w:gridCol w:w="2148"/>
        <w:gridCol w:w="1254"/>
        <w:gridCol w:w="3119"/>
      </w:tblGrid>
      <w:tr w:rsidR="00147D5F" w:rsidRPr="00CA5E09" w:rsidTr="00002DA7">
        <w:tc>
          <w:tcPr>
            <w:tcW w:w="1414" w:type="dxa"/>
            <w:shd w:val="clear" w:color="auto" w:fill="5B9BD5" w:themeFill="accent5"/>
            <w:tcMar>
              <w:top w:w="15" w:type="dxa"/>
              <w:left w:w="51" w:type="dxa"/>
              <w:bottom w:w="0" w:type="dxa"/>
              <w:right w:w="51" w:type="dxa"/>
            </w:tcMar>
            <w:vAlign w:val="center"/>
            <w:hideMark/>
          </w:tcPr>
          <w:bookmarkEnd w:id="679"/>
          <w:p w:rsidR="00147D5F" w:rsidRPr="00CA5E09" w:rsidRDefault="00147D5F" w:rsidP="00002DA7">
            <w:pPr>
              <w:spacing w:before="60" w:after="60" w:line="240" w:lineRule="auto"/>
              <w:jc w:val="left"/>
              <w:rPr>
                <w:rFonts w:eastAsia="Times New Roman" w:cstheme="minorHAnsi"/>
                <w:b/>
                <w:bCs/>
                <w:color w:val="FFFFFF" w:themeColor="background1"/>
                <w:sz w:val="22"/>
              </w:rPr>
            </w:pPr>
            <w:r w:rsidRPr="00CA5E09">
              <w:rPr>
                <w:rFonts w:eastAsia="Times New Roman" w:cstheme="minorHAnsi"/>
                <w:b/>
                <w:bCs/>
                <w:color w:val="FFFFFF" w:themeColor="background1"/>
                <w:sz w:val="22"/>
              </w:rPr>
              <w:t>Country</w:t>
            </w:r>
          </w:p>
        </w:tc>
        <w:tc>
          <w:tcPr>
            <w:tcW w:w="3831" w:type="dxa"/>
            <w:shd w:val="clear" w:color="auto" w:fill="5B9BD5" w:themeFill="accent5"/>
            <w:tcMar>
              <w:top w:w="15" w:type="dxa"/>
              <w:left w:w="51" w:type="dxa"/>
              <w:bottom w:w="0" w:type="dxa"/>
              <w:right w:w="51" w:type="dxa"/>
            </w:tcMar>
            <w:vAlign w:val="center"/>
          </w:tcPr>
          <w:p w:rsidR="00147D5F" w:rsidRPr="00CA5E09" w:rsidRDefault="00147D5F" w:rsidP="00002DA7">
            <w:pPr>
              <w:tabs>
                <w:tab w:val="left" w:pos="1507"/>
              </w:tabs>
              <w:spacing w:before="60" w:after="60" w:line="240" w:lineRule="auto"/>
              <w:jc w:val="center"/>
              <w:rPr>
                <w:rFonts w:eastAsia="Times New Roman" w:cstheme="minorHAnsi"/>
                <w:b/>
                <w:bCs/>
                <w:color w:val="FFFFFF" w:themeColor="background1"/>
                <w:sz w:val="22"/>
              </w:rPr>
            </w:pPr>
            <w:r w:rsidRPr="00CA5E09">
              <w:rPr>
                <w:rFonts w:eastAsia="Times New Roman" w:cstheme="minorHAnsi"/>
                <w:b/>
                <w:bCs/>
                <w:color w:val="FFFFFF" w:themeColor="background1"/>
                <w:sz w:val="22"/>
              </w:rPr>
              <w:t>Payment level determination</w:t>
            </w:r>
          </w:p>
        </w:tc>
        <w:tc>
          <w:tcPr>
            <w:tcW w:w="2268" w:type="dxa"/>
            <w:shd w:val="clear" w:color="auto" w:fill="5B9BD5" w:themeFill="accent5"/>
            <w:tcMar>
              <w:top w:w="15" w:type="dxa"/>
              <w:left w:w="51" w:type="dxa"/>
              <w:bottom w:w="0" w:type="dxa"/>
              <w:right w:w="51" w:type="dxa"/>
            </w:tcMar>
            <w:vAlign w:val="center"/>
          </w:tcPr>
          <w:p w:rsidR="00147D5F" w:rsidRPr="00CA5E09" w:rsidRDefault="00147D5F" w:rsidP="00002DA7">
            <w:pPr>
              <w:tabs>
                <w:tab w:val="left" w:pos="1507"/>
              </w:tabs>
              <w:spacing w:before="60" w:after="60" w:line="240" w:lineRule="auto"/>
              <w:jc w:val="center"/>
              <w:rPr>
                <w:rFonts w:eastAsia="Times New Roman" w:cstheme="minorHAnsi"/>
                <w:b/>
                <w:bCs/>
                <w:color w:val="FFFFFF" w:themeColor="background1"/>
                <w:sz w:val="22"/>
              </w:rPr>
            </w:pPr>
            <w:r w:rsidRPr="00CA5E09">
              <w:rPr>
                <w:rFonts w:eastAsia="Times New Roman" w:cstheme="minorHAnsi"/>
                <w:b/>
                <w:bCs/>
                <w:color w:val="FFFFFF" w:themeColor="background1"/>
                <w:sz w:val="22"/>
              </w:rPr>
              <w:t>Mandated Care funding tool</w:t>
            </w:r>
          </w:p>
        </w:tc>
        <w:tc>
          <w:tcPr>
            <w:tcW w:w="2148" w:type="dxa"/>
            <w:shd w:val="clear" w:color="auto" w:fill="5B9BD5" w:themeFill="accent5"/>
            <w:tcMar>
              <w:top w:w="14" w:type="dxa"/>
              <w:left w:w="58" w:type="dxa"/>
              <w:right w:w="58" w:type="dxa"/>
            </w:tcMar>
            <w:vAlign w:val="center"/>
          </w:tcPr>
          <w:p w:rsidR="00147D5F" w:rsidRPr="00CA5E09" w:rsidRDefault="00147D5F" w:rsidP="00002DA7">
            <w:pPr>
              <w:tabs>
                <w:tab w:val="left" w:pos="1507"/>
              </w:tabs>
              <w:spacing w:before="60" w:after="60" w:line="240" w:lineRule="auto"/>
              <w:jc w:val="center"/>
              <w:rPr>
                <w:rFonts w:eastAsia="Times New Roman" w:cstheme="minorHAnsi"/>
                <w:b/>
                <w:bCs/>
                <w:color w:val="FFFFFF" w:themeColor="background1"/>
                <w:sz w:val="22"/>
              </w:rPr>
            </w:pPr>
            <w:r w:rsidRPr="00CA5E09">
              <w:rPr>
                <w:rFonts w:eastAsia="Times New Roman" w:cstheme="minorHAnsi"/>
                <w:b/>
                <w:bCs/>
                <w:color w:val="FFFFFF" w:themeColor="background1"/>
                <w:sz w:val="22"/>
              </w:rPr>
              <w:t>Care Classification levels</w:t>
            </w:r>
          </w:p>
        </w:tc>
        <w:tc>
          <w:tcPr>
            <w:tcW w:w="1254" w:type="dxa"/>
            <w:shd w:val="clear" w:color="auto" w:fill="5B9BD5" w:themeFill="accent5"/>
            <w:tcMar>
              <w:top w:w="15" w:type="dxa"/>
              <w:left w:w="51" w:type="dxa"/>
              <w:bottom w:w="0" w:type="dxa"/>
              <w:right w:w="51" w:type="dxa"/>
            </w:tcMar>
            <w:vAlign w:val="center"/>
          </w:tcPr>
          <w:p w:rsidR="00147D5F" w:rsidRPr="00CA5E09" w:rsidRDefault="00147D5F" w:rsidP="00002DA7">
            <w:pPr>
              <w:tabs>
                <w:tab w:val="left" w:pos="1507"/>
              </w:tabs>
              <w:spacing w:before="60" w:after="60" w:line="240" w:lineRule="auto"/>
              <w:jc w:val="center"/>
              <w:rPr>
                <w:rFonts w:eastAsia="Times New Roman" w:cstheme="minorHAnsi"/>
                <w:b/>
                <w:bCs/>
                <w:color w:val="FFFFFF" w:themeColor="background1"/>
                <w:sz w:val="22"/>
              </w:rPr>
            </w:pPr>
            <w:r w:rsidRPr="00CA5E09">
              <w:rPr>
                <w:rFonts w:eastAsia="Times New Roman" w:cstheme="minorHAnsi"/>
                <w:b/>
                <w:bCs/>
                <w:color w:val="FFFFFF" w:themeColor="background1"/>
                <w:sz w:val="22"/>
              </w:rPr>
              <w:t>Review of needs</w:t>
            </w:r>
          </w:p>
        </w:tc>
        <w:tc>
          <w:tcPr>
            <w:tcW w:w="3119" w:type="dxa"/>
            <w:shd w:val="clear" w:color="auto" w:fill="5B9BD5" w:themeFill="accent5"/>
            <w:tcMar>
              <w:top w:w="15" w:type="dxa"/>
              <w:left w:w="51" w:type="dxa"/>
              <w:bottom w:w="0" w:type="dxa"/>
              <w:right w:w="51" w:type="dxa"/>
            </w:tcMar>
            <w:vAlign w:val="center"/>
          </w:tcPr>
          <w:p w:rsidR="00147D5F" w:rsidRPr="00CA5E09" w:rsidRDefault="00147D5F" w:rsidP="00002DA7">
            <w:pPr>
              <w:spacing w:before="60" w:after="60" w:line="240" w:lineRule="auto"/>
              <w:jc w:val="center"/>
              <w:rPr>
                <w:rFonts w:eastAsia="Times New Roman" w:cstheme="minorHAnsi"/>
                <w:b/>
                <w:bCs/>
                <w:color w:val="FFFFFF" w:themeColor="background1"/>
                <w:sz w:val="22"/>
              </w:rPr>
            </w:pPr>
            <w:r w:rsidRPr="00CA5E09">
              <w:rPr>
                <w:rFonts w:eastAsia="Times New Roman" w:cstheme="minorHAnsi"/>
                <w:b/>
                <w:bCs/>
                <w:color w:val="FFFFFF" w:themeColor="background1"/>
                <w:sz w:val="22"/>
              </w:rPr>
              <w:t>Auditing of Funding Claims</w:t>
            </w:r>
          </w:p>
        </w:tc>
      </w:tr>
      <w:tr w:rsidR="00147D5F" w:rsidRPr="00CA5E09" w:rsidTr="00002DA7">
        <w:tc>
          <w:tcPr>
            <w:tcW w:w="1414" w:type="dxa"/>
            <w:shd w:val="clear" w:color="auto" w:fill="FFFFFF" w:themeFill="background1"/>
            <w:tcMar>
              <w:top w:w="15" w:type="dxa"/>
              <w:left w:w="51" w:type="dxa"/>
              <w:bottom w:w="0" w:type="dxa"/>
              <w:right w:w="51" w:type="dxa"/>
            </w:tcMar>
            <w:hideMark/>
          </w:tcPr>
          <w:p w:rsidR="00147D5F" w:rsidRPr="00CA5E09" w:rsidRDefault="00147D5F" w:rsidP="00936730">
            <w:pPr>
              <w:spacing w:line="240" w:lineRule="auto"/>
              <w:jc w:val="left"/>
              <w:rPr>
                <w:rFonts w:eastAsia="Times New Roman" w:cstheme="minorHAnsi"/>
                <w:b/>
                <w:bCs/>
                <w:color w:val="000000" w:themeColor="text1"/>
                <w:sz w:val="22"/>
              </w:rPr>
            </w:pPr>
            <w:r w:rsidRPr="00CA5E09">
              <w:rPr>
                <w:rFonts w:eastAsia="Times New Roman" w:cstheme="minorHAnsi"/>
                <w:b/>
                <w:bCs/>
                <w:color w:val="000000" w:themeColor="text1"/>
                <w:sz w:val="22"/>
              </w:rPr>
              <w:t>USA</w:t>
            </w:r>
          </w:p>
          <w:p w:rsidR="00147D5F" w:rsidRPr="00CA5E09" w:rsidRDefault="00147D5F" w:rsidP="00936730">
            <w:pPr>
              <w:spacing w:line="240" w:lineRule="auto"/>
              <w:jc w:val="left"/>
              <w:rPr>
                <w:rFonts w:eastAsia="Times New Roman" w:cstheme="minorHAnsi"/>
                <w:b/>
                <w:bCs/>
                <w:color w:val="000000" w:themeColor="text1"/>
                <w:sz w:val="22"/>
              </w:rPr>
            </w:pPr>
            <w:r w:rsidRPr="00CA5E09">
              <w:rPr>
                <w:rFonts w:eastAsia="Times New Roman" w:cstheme="minorHAnsi"/>
                <w:b/>
                <w:bCs/>
                <w:color w:val="000000" w:themeColor="text1"/>
                <w:sz w:val="22"/>
              </w:rPr>
              <w:t>(variations across states)</w:t>
            </w:r>
          </w:p>
          <w:p w:rsidR="00147D5F" w:rsidRPr="00CA5E09" w:rsidRDefault="00147D5F" w:rsidP="00936730">
            <w:pPr>
              <w:spacing w:line="240" w:lineRule="auto"/>
              <w:jc w:val="left"/>
              <w:rPr>
                <w:rFonts w:eastAsia="Times New Roman" w:cstheme="minorHAnsi"/>
                <w:sz w:val="22"/>
                <w:lang w:val="en-US"/>
              </w:rPr>
            </w:pPr>
            <w:r w:rsidRPr="00CA5E09">
              <w:rPr>
                <w:rFonts w:eastAsia="Times New Roman" w:cstheme="minorHAnsi"/>
                <w:bCs/>
                <w:color w:val="000000" w:themeColor="text1"/>
                <w:sz w:val="22"/>
              </w:rPr>
              <w:t>Example based on approach used in Minnesota which is representative</w:t>
            </w:r>
            <w:r w:rsidRPr="00CA5E09">
              <w:rPr>
                <w:rFonts w:eastAsia="Times New Roman" w:cstheme="minorHAnsi"/>
                <w:b/>
                <w:bCs/>
                <w:color w:val="000000" w:themeColor="text1"/>
                <w:sz w:val="22"/>
              </w:rPr>
              <w:t xml:space="preserve"> </w:t>
            </w:r>
          </w:p>
        </w:tc>
        <w:tc>
          <w:tcPr>
            <w:tcW w:w="3831" w:type="dxa"/>
            <w:shd w:val="clear" w:color="auto" w:fill="FFFFFF" w:themeFill="background1"/>
            <w:tcMar>
              <w:top w:w="15" w:type="dxa"/>
              <w:left w:w="51" w:type="dxa"/>
              <w:bottom w:w="0" w:type="dxa"/>
              <w:right w:w="51" w:type="dxa"/>
            </w:tcMar>
          </w:tcPr>
          <w:p w:rsidR="00147D5F" w:rsidRPr="00CA5E09" w:rsidRDefault="00147D5F" w:rsidP="00936730">
            <w:pPr>
              <w:tabs>
                <w:tab w:val="left" w:pos="1507"/>
              </w:tabs>
              <w:spacing w:line="240" w:lineRule="auto"/>
              <w:jc w:val="left"/>
              <w:rPr>
                <w:rFonts w:eastAsia="Times New Roman" w:cstheme="minorHAnsi"/>
                <w:b/>
                <w:color w:val="000000" w:themeColor="text1"/>
                <w:sz w:val="22"/>
              </w:rPr>
            </w:pPr>
            <w:r w:rsidRPr="00CA5E09">
              <w:rPr>
                <w:rFonts w:eastAsia="Times New Roman" w:cstheme="minorHAnsi"/>
                <w:b/>
                <w:color w:val="000000" w:themeColor="text1"/>
                <w:sz w:val="22"/>
              </w:rPr>
              <w:t>Internal – Facility Assessor Post-entry</w:t>
            </w:r>
          </w:p>
          <w:p w:rsidR="00147D5F" w:rsidRPr="00CA5E09" w:rsidRDefault="00147D5F" w:rsidP="00936730">
            <w:pPr>
              <w:tabs>
                <w:tab w:val="left" w:pos="1507"/>
              </w:tabs>
              <w:spacing w:line="240" w:lineRule="auto"/>
              <w:jc w:val="left"/>
              <w:rPr>
                <w:rFonts w:cstheme="minorHAnsi"/>
                <w:sz w:val="22"/>
              </w:rPr>
            </w:pPr>
            <w:r w:rsidRPr="00CA5E09">
              <w:rPr>
                <w:rFonts w:eastAsia="Times New Roman" w:cstheme="minorHAnsi"/>
                <w:color w:val="000000" w:themeColor="text1"/>
                <w:sz w:val="22"/>
              </w:rPr>
              <w:t xml:space="preserve">The interRAI MDS produces RUGs classifications. There are 7 major groupings and 44 minor classifications. This description focuses on </w:t>
            </w:r>
            <w:r w:rsidRPr="00CA5E09">
              <w:rPr>
                <w:rFonts w:cstheme="minorHAnsi"/>
                <w:sz w:val="22"/>
              </w:rPr>
              <w:t>skilled nursing homes.</w:t>
            </w:r>
          </w:p>
          <w:p w:rsidR="00147D5F" w:rsidRPr="00CA5E09" w:rsidRDefault="00147D5F" w:rsidP="00936730">
            <w:pPr>
              <w:tabs>
                <w:tab w:val="left" w:pos="1507"/>
              </w:tabs>
              <w:spacing w:line="240" w:lineRule="auto"/>
              <w:jc w:val="left"/>
              <w:rPr>
                <w:rFonts w:eastAsia="Times New Roman" w:cstheme="minorHAnsi"/>
                <w:color w:val="000000" w:themeColor="text1"/>
                <w:sz w:val="22"/>
              </w:rPr>
            </w:pPr>
            <w:r w:rsidRPr="00CA5E09">
              <w:rPr>
                <w:rFonts w:eastAsia="Times New Roman" w:cstheme="minorHAnsi"/>
                <w:color w:val="000000" w:themeColor="text1"/>
                <w:sz w:val="22"/>
              </w:rPr>
              <w:t>Funding groups are determined by the coding of specific interRAI MDS items related to the amount of assistance the resident receives with ADLs plus selected treatments, health conditions, diagnoses, behaviour and cognitive status.</w:t>
            </w:r>
          </w:p>
          <w:p w:rsidR="00147D5F" w:rsidRPr="00CA5E09" w:rsidRDefault="00147D5F" w:rsidP="00936730">
            <w:pPr>
              <w:tabs>
                <w:tab w:val="left" w:pos="1507"/>
              </w:tabs>
              <w:spacing w:line="240" w:lineRule="auto"/>
              <w:jc w:val="left"/>
              <w:rPr>
                <w:rFonts w:eastAsia="Times New Roman" w:cstheme="minorHAnsi"/>
                <w:color w:val="000000" w:themeColor="text1"/>
                <w:sz w:val="22"/>
              </w:rPr>
            </w:pPr>
            <w:r w:rsidRPr="00CA5E09">
              <w:rPr>
                <w:rFonts w:eastAsia="Times New Roman" w:cstheme="minorHAnsi"/>
                <w:color w:val="000000" w:themeColor="text1"/>
                <w:sz w:val="22"/>
              </w:rPr>
              <w:t>RAI-&gt; RUGs ADL score has a range from 0-16 which is the main driver of funding determination.</w:t>
            </w:r>
          </w:p>
          <w:p w:rsidR="00980F62" w:rsidRDefault="00147D5F" w:rsidP="00936730">
            <w:pPr>
              <w:tabs>
                <w:tab w:val="left" w:pos="1507"/>
              </w:tabs>
              <w:spacing w:line="240" w:lineRule="auto"/>
              <w:jc w:val="left"/>
              <w:rPr>
                <w:rFonts w:eastAsia="Times New Roman" w:cstheme="minorHAnsi"/>
                <w:color w:val="000000" w:themeColor="text1"/>
                <w:sz w:val="22"/>
              </w:rPr>
            </w:pPr>
            <w:r w:rsidRPr="00CA5E09">
              <w:rPr>
                <w:rFonts w:eastAsia="Times New Roman" w:cstheme="minorHAnsi"/>
                <w:color w:val="000000" w:themeColor="text1"/>
                <w:sz w:val="22"/>
              </w:rPr>
              <w:t>Payments are made on a resident basis (unlike Ontario). Facilities are paid a daily rate based on the residents RUG grouping which determines the residents case mix classification. The Casemix index (CMI) is then associated with a payment level as determined by the local health department on a state by state basis.</w:t>
            </w:r>
          </w:p>
          <w:p w:rsidR="00147D5F" w:rsidRPr="00CA5E09" w:rsidRDefault="00147D5F" w:rsidP="00936730">
            <w:pPr>
              <w:tabs>
                <w:tab w:val="left" w:pos="1507"/>
              </w:tabs>
              <w:spacing w:line="240" w:lineRule="auto"/>
              <w:jc w:val="left"/>
              <w:rPr>
                <w:rFonts w:eastAsia="Times New Roman" w:cstheme="minorHAnsi"/>
                <w:sz w:val="22"/>
                <w:lang w:val="en-US"/>
              </w:rPr>
            </w:pPr>
            <w:r w:rsidRPr="00CA5E09">
              <w:rPr>
                <w:rFonts w:eastAsia="Times New Roman" w:cstheme="minorHAnsi"/>
                <w:color w:val="000000" w:themeColor="text1"/>
                <w:sz w:val="22"/>
              </w:rPr>
              <w:t>The CMI determines the relativities and not the specific funding associated with the groupings.</w:t>
            </w:r>
          </w:p>
        </w:tc>
        <w:tc>
          <w:tcPr>
            <w:tcW w:w="2268" w:type="dxa"/>
            <w:shd w:val="clear" w:color="auto" w:fill="FFFFFF" w:themeFill="background1"/>
            <w:tcMar>
              <w:top w:w="15" w:type="dxa"/>
              <w:left w:w="51" w:type="dxa"/>
              <w:bottom w:w="0" w:type="dxa"/>
              <w:right w:w="51" w:type="dxa"/>
            </w:tcMar>
          </w:tcPr>
          <w:p w:rsidR="00147D5F" w:rsidRPr="00CA5E09" w:rsidRDefault="00147D5F" w:rsidP="00936730">
            <w:pPr>
              <w:tabs>
                <w:tab w:val="left" w:pos="1507"/>
              </w:tabs>
              <w:spacing w:line="240" w:lineRule="auto"/>
              <w:jc w:val="left"/>
              <w:rPr>
                <w:rFonts w:eastAsia="Times New Roman" w:cstheme="minorHAnsi"/>
                <w:sz w:val="22"/>
                <w:lang w:val="en-US"/>
              </w:rPr>
            </w:pPr>
            <w:r w:rsidRPr="00CA5E09">
              <w:rPr>
                <w:rFonts w:eastAsia="Times New Roman" w:cstheme="minorHAnsi"/>
                <w:color w:val="000000" w:themeColor="text1"/>
                <w:sz w:val="22"/>
              </w:rPr>
              <w:t>interRAI</w:t>
            </w:r>
          </w:p>
          <w:p w:rsidR="00147D5F" w:rsidRPr="00CA5E09" w:rsidRDefault="00147D5F" w:rsidP="00936730">
            <w:pPr>
              <w:tabs>
                <w:tab w:val="left" w:pos="1507"/>
              </w:tabs>
              <w:spacing w:line="240" w:lineRule="auto"/>
              <w:jc w:val="left"/>
              <w:rPr>
                <w:rFonts w:eastAsia="Times New Roman" w:cstheme="minorHAnsi"/>
                <w:sz w:val="22"/>
                <w:lang w:val="en-US"/>
              </w:rPr>
            </w:pPr>
            <w:r w:rsidRPr="00CA5E09">
              <w:rPr>
                <w:rFonts w:eastAsia="Times New Roman" w:cstheme="minorHAnsi"/>
                <w:color w:val="000000" w:themeColor="text1"/>
                <w:sz w:val="22"/>
              </w:rPr>
              <w:t>RUGs III/IV</w:t>
            </w:r>
          </w:p>
          <w:p w:rsidR="00147D5F" w:rsidRPr="00CA5E09" w:rsidRDefault="00147D5F" w:rsidP="00936730">
            <w:pPr>
              <w:spacing w:line="240" w:lineRule="auto"/>
              <w:jc w:val="left"/>
              <w:rPr>
                <w:rFonts w:eastAsia="Times New Roman" w:cstheme="minorHAnsi"/>
                <w:color w:val="000000" w:themeColor="text1"/>
                <w:sz w:val="22"/>
              </w:rPr>
            </w:pPr>
            <w:r w:rsidRPr="00CA5E09">
              <w:rPr>
                <w:rFonts w:eastAsia="Times New Roman" w:cstheme="minorHAnsi"/>
                <w:color w:val="000000" w:themeColor="text1"/>
                <w:sz w:val="22"/>
              </w:rPr>
              <w:t>States have varying algorithm based models.</w:t>
            </w:r>
          </w:p>
          <w:p w:rsidR="00147D5F" w:rsidRPr="00CA5E09" w:rsidRDefault="00147D5F" w:rsidP="00936730">
            <w:pPr>
              <w:spacing w:line="240" w:lineRule="auto"/>
              <w:jc w:val="left"/>
              <w:rPr>
                <w:rFonts w:eastAsia="Times New Roman" w:cstheme="minorHAnsi"/>
                <w:sz w:val="22"/>
                <w:lang w:val="en-US"/>
              </w:rPr>
            </w:pPr>
            <w:r w:rsidRPr="00CA5E09">
              <w:rPr>
                <w:rFonts w:cstheme="minorHAnsi"/>
                <w:sz w:val="22"/>
              </w:rPr>
              <w:t xml:space="preserve">The Long-Term Care RAI (Resident Assessment Instrument) is completed by facility staff in skilled nursing homes across the USA. Tool used for residents that fit into the sub-acute or intermediate level of care through to residential care. The RAI produces a 108 item minimum data set data which is used for care planning. Funding data (RUGs III/iv) is extracted from the MDS. The funding level is determined by computer algorithm based on a case-mix funding method. </w:t>
            </w:r>
          </w:p>
        </w:tc>
        <w:tc>
          <w:tcPr>
            <w:tcW w:w="2148" w:type="dxa"/>
            <w:shd w:val="clear" w:color="auto" w:fill="FFFFFF" w:themeFill="background1"/>
            <w:tcMar>
              <w:top w:w="14" w:type="dxa"/>
              <w:left w:w="58" w:type="dxa"/>
              <w:right w:w="58" w:type="dxa"/>
            </w:tcMar>
          </w:tcPr>
          <w:p w:rsidR="00147D5F" w:rsidRPr="00CA5E09" w:rsidRDefault="00147D5F" w:rsidP="00936730">
            <w:pPr>
              <w:tabs>
                <w:tab w:val="left" w:pos="1507"/>
              </w:tabs>
              <w:spacing w:line="240" w:lineRule="auto"/>
              <w:jc w:val="left"/>
              <w:rPr>
                <w:rFonts w:eastAsia="Times New Roman" w:cstheme="minorHAnsi"/>
                <w:color w:val="000000" w:themeColor="text1"/>
                <w:sz w:val="22"/>
              </w:rPr>
            </w:pPr>
            <w:r w:rsidRPr="00CA5E09">
              <w:rPr>
                <w:rFonts w:eastAsia="Times New Roman" w:cstheme="minorHAnsi"/>
                <w:color w:val="000000" w:themeColor="text1"/>
                <w:sz w:val="22"/>
              </w:rPr>
              <w:t>RUGs 7 Major Groupings</w:t>
            </w:r>
          </w:p>
          <w:p w:rsidR="00147D5F" w:rsidRPr="00CA5E09" w:rsidRDefault="00147D5F" w:rsidP="00936730">
            <w:pPr>
              <w:tabs>
                <w:tab w:val="left" w:pos="1507"/>
              </w:tabs>
              <w:spacing w:line="240" w:lineRule="auto"/>
              <w:jc w:val="left"/>
              <w:rPr>
                <w:rFonts w:eastAsia="Times New Roman" w:cstheme="minorHAnsi"/>
                <w:color w:val="000000" w:themeColor="text1"/>
                <w:sz w:val="22"/>
              </w:rPr>
            </w:pPr>
            <w:r w:rsidRPr="00CA5E09">
              <w:rPr>
                <w:rFonts w:eastAsia="Times New Roman" w:cstheme="minorHAnsi"/>
                <w:color w:val="000000" w:themeColor="text1"/>
                <w:sz w:val="22"/>
              </w:rPr>
              <w:t>44 minor classifications.</w:t>
            </w:r>
          </w:p>
          <w:p w:rsidR="00147D5F" w:rsidRPr="00CA5E09" w:rsidRDefault="00147D5F" w:rsidP="00936730">
            <w:pPr>
              <w:tabs>
                <w:tab w:val="left" w:pos="1507"/>
              </w:tabs>
              <w:spacing w:line="240" w:lineRule="auto"/>
              <w:jc w:val="left"/>
              <w:rPr>
                <w:rFonts w:eastAsia="Times New Roman" w:cstheme="minorHAnsi"/>
                <w:color w:val="000000" w:themeColor="text1"/>
                <w:sz w:val="22"/>
              </w:rPr>
            </w:pPr>
            <w:r w:rsidRPr="00CA5E09">
              <w:rPr>
                <w:rFonts w:eastAsia="Times New Roman" w:cstheme="minorHAnsi"/>
                <w:color w:val="000000" w:themeColor="text1"/>
                <w:sz w:val="22"/>
              </w:rPr>
              <w:t>Different approaches but RAI-&gt; RUGs ADL score (0-16) plus additional modifiers</w:t>
            </w:r>
            <w:r w:rsidR="00A158EB" w:rsidRPr="00CA5E09">
              <w:rPr>
                <w:rFonts w:eastAsia="Times New Roman" w:cstheme="minorHAnsi"/>
                <w:color w:val="000000" w:themeColor="text1"/>
                <w:sz w:val="22"/>
              </w:rPr>
              <w:t>.</w:t>
            </w:r>
          </w:p>
          <w:p w:rsidR="00147D5F" w:rsidRPr="00CA5E09" w:rsidRDefault="00147D5F" w:rsidP="00936730">
            <w:pPr>
              <w:tabs>
                <w:tab w:val="left" w:pos="1507"/>
              </w:tabs>
              <w:spacing w:line="240" w:lineRule="auto"/>
              <w:jc w:val="left"/>
              <w:rPr>
                <w:rFonts w:eastAsia="Times New Roman" w:cstheme="minorHAnsi"/>
                <w:sz w:val="22"/>
                <w:lang w:val="en-US"/>
              </w:rPr>
            </w:pPr>
            <w:r w:rsidRPr="00CA5E09">
              <w:rPr>
                <w:rFonts w:eastAsia="Times New Roman" w:cstheme="minorHAnsi"/>
                <w:color w:val="000000" w:themeColor="text1"/>
                <w:sz w:val="22"/>
              </w:rPr>
              <w:t>Starting with the 108 items from the Resident Assessment Instrument for Long Term Care (RAI), the funding instrument (RUGs III/IV) extracts a smaller subset of items. Residents are classified into 1 of 7 major categories, and then further classified into 1 of 44 minor categories. The ADLs and therapy minutes underlie most classifications.</w:t>
            </w:r>
          </w:p>
        </w:tc>
        <w:tc>
          <w:tcPr>
            <w:tcW w:w="1254" w:type="dxa"/>
            <w:shd w:val="clear" w:color="auto" w:fill="FFFFFF" w:themeFill="background1"/>
            <w:tcMar>
              <w:top w:w="15" w:type="dxa"/>
              <w:left w:w="51" w:type="dxa"/>
              <w:bottom w:w="0" w:type="dxa"/>
              <w:right w:w="51" w:type="dxa"/>
            </w:tcMar>
          </w:tcPr>
          <w:p w:rsidR="00147D5F" w:rsidRPr="00CA5E09" w:rsidRDefault="00147D5F" w:rsidP="00936730">
            <w:pPr>
              <w:tabs>
                <w:tab w:val="left" w:pos="1507"/>
              </w:tabs>
              <w:spacing w:line="240" w:lineRule="auto"/>
              <w:jc w:val="left"/>
              <w:rPr>
                <w:rFonts w:eastAsia="Times New Roman" w:cstheme="minorHAnsi"/>
                <w:sz w:val="22"/>
                <w:lang w:val="en-US"/>
              </w:rPr>
            </w:pPr>
            <w:r w:rsidRPr="00CA5E09">
              <w:rPr>
                <w:rFonts w:eastAsia="Times New Roman" w:cstheme="minorHAnsi"/>
                <w:b/>
                <w:bCs/>
                <w:color w:val="000000" w:themeColor="text1"/>
                <w:sz w:val="22"/>
              </w:rPr>
              <w:t>Internal Assessor</w:t>
            </w:r>
          </w:p>
          <w:p w:rsidR="00147D5F" w:rsidRPr="00CA5E09" w:rsidRDefault="00147D5F" w:rsidP="00936730">
            <w:pPr>
              <w:tabs>
                <w:tab w:val="left" w:pos="1507"/>
              </w:tabs>
              <w:spacing w:line="240" w:lineRule="auto"/>
              <w:jc w:val="left"/>
              <w:rPr>
                <w:rFonts w:eastAsia="Times New Roman" w:cstheme="minorHAnsi"/>
                <w:sz w:val="22"/>
                <w:lang w:val="en-US"/>
              </w:rPr>
            </w:pPr>
            <w:r w:rsidRPr="00CA5E09">
              <w:rPr>
                <w:rFonts w:eastAsia="Times New Roman" w:cstheme="minorHAnsi"/>
                <w:color w:val="000000" w:themeColor="text1"/>
                <w:sz w:val="22"/>
              </w:rPr>
              <w:t>Nursing</w:t>
            </w:r>
            <w:r w:rsidR="00A158EB" w:rsidRPr="00CA5E09">
              <w:rPr>
                <w:rFonts w:eastAsia="Times New Roman" w:cstheme="minorHAnsi"/>
                <w:color w:val="000000" w:themeColor="text1"/>
                <w:sz w:val="22"/>
              </w:rPr>
              <w:t>.</w:t>
            </w:r>
          </w:p>
          <w:p w:rsidR="00147D5F" w:rsidRPr="00CA5E09" w:rsidRDefault="00147D5F" w:rsidP="00936730">
            <w:pPr>
              <w:tabs>
                <w:tab w:val="left" w:pos="1507"/>
              </w:tabs>
              <w:spacing w:line="240" w:lineRule="auto"/>
              <w:jc w:val="left"/>
              <w:rPr>
                <w:rFonts w:eastAsia="Times New Roman" w:cstheme="minorHAnsi"/>
                <w:sz w:val="22"/>
                <w:lang w:val="en-US"/>
              </w:rPr>
            </w:pPr>
            <w:r w:rsidRPr="00CA5E09">
              <w:rPr>
                <w:rFonts w:eastAsia="Times New Roman" w:cstheme="minorHAnsi"/>
                <w:color w:val="000000" w:themeColor="text1"/>
                <w:sz w:val="22"/>
              </w:rPr>
              <w:t>interRAI completed every 3-6 monthly</w:t>
            </w:r>
          </w:p>
        </w:tc>
        <w:tc>
          <w:tcPr>
            <w:tcW w:w="3119" w:type="dxa"/>
            <w:shd w:val="clear" w:color="auto" w:fill="FFFFFF" w:themeFill="background1"/>
            <w:tcMar>
              <w:top w:w="15" w:type="dxa"/>
              <w:left w:w="51" w:type="dxa"/>
              <w:bottom w:w="0" w:type="dxa"/>
              <w:right w:w="51" w:type="dxa"/>
            </w:tcMar>
          </w:tcPr>
          <w:p w:rsidR="00147D5F" w:rsidRPr="00CA5E09" w:rsidRDefault="00147D5F" w:rsidP="00936730">
            <w:pPr>
              <w:spacing w:line="240" w:lineRule="auto"/>
              <w:jc w:val="left"/>
              <w:rPr>
                <w:rFonts w:eastAsia="Times New Roman" w:cstheme="minorHAnsi"/>
                <w:b/>
                <w:sz w:val="22"/>
                <w:lang w:val="en-US"/>
              </w:rPr>
            </w:pPr>
            <w:r w:rsidRPr="00CA5E09">
              <w:rPr>
                <w:rFonts w:eastAsia="Times New Roman" w:cstheme="minorHAnsi"/>
                <w:b/>
                <w:sz w:val="22"/>
                <w:lang w:val="en-US"/>
              </w:rPr>
              <w:t>State Review Program</w:t>
            </w:r>
          </w:p>
          <w:p w:rsidR="00147D5F" w:rsidRPr="00CA5E09" w:rsidRDefault="00147D5F" w:rsidP="00936730">
            <w:pPr>
              <w:spacing w:line="240" w:lineRule="auto"/>
              <w:jc w:val="left"/>
              <w:rPr>
                <w:rFonts w:eastAsia="Times New Roman" w:cstheme="minorHAnsi"/>
                <w:sz w:val="22"/>
                <w:lang w:val="en-US"/>
              </w:rPr>
            </w:pPr>
            <w:r w:rsidRPr="00CA5E09">
              <w:rPr>
                <w:rFonts w:eastAsia="Times New Roman" w:cstheme="minorHAnsi"/>
                <w:sz w:val="22"/>
                <w:lang w:val="en-US"/>
              </w:rPr>
              <w:t>Claims subject to a sophisticated electronic review and visit based audit program to assess claims. Serious penalties are applied if the RUGs assessment is over estimated.</w:t>
            </w:r>
          </w:p>
          <w:p w:rsidR="00147D5F" w:rsidRPr="00CA5E09" w:rsidRDefault="00147D5F" w:rsidP="00936730">
            <w:pPr>
              <w:spacing w:line="240" w:lineRule="auto"/>
              <w:jc w:val="left"/>
              <w:rPr>
                <w:rFonts w:cstheme="minorHAnsi"/>
                <w:sz w:val="22"/>
              </w:rPr>
            </w:pPr>
            <w:r w:rsidRPr="00CA5E09">
              <w:rPr>
                <w:rFonts w:cstheme="minorHAnsi"/>
                <w:sz w:val="22"/>
              </w:rPr>
              <w:t>The interRAI which covers a comprehensive range of domains is completed every 3-6 months and is externally audited by review of the care documentation and interviews with staff, resident and family.</w:t>
            </w:r>
          </w:p>
          <w:p w:rsidR="00147D5F" w:rsidRPr="00CA5E09" w:rsidRDefault="00147D5F" w:rsidP="00936730">
            <w:pPr>
              <w:spacing w:line="240" w:lineRule="auto"/>
              <w:jc w:val="left"/>
              <w:rPr>
                <w:rFonts w:cstheme="minorHAnsi"/>
                <w:sz w:val="22"/>
              </w:rPr>
            </w:pPr>
            <w:r w:rsidRPr="00CA5E09">
              <w:rPr>
                <w:rFonts w:cstheme="minorHAnsi"/>
                <w:sz w:val="22"/>
              </w:rPr>
              <w:t>Case Mix Classifications are audited for accuracy by state health staff. Audits may be performed through desk audits or on site review. On site audits are unannounced and may include review of residents’ records, observations of residents, and interviews with residents, staff, and families.</w:t>
            </w:r>
          </w:p>
          <w:p w:rsidR="00147D5F" w:rsidRPr="00CA5E09" w:rsidRDefault="00147D5F" w:rsidP="00936730">
            <w:pPr>
              <w:spacing w:line="240" w:lineRule="auto"/>
              <w:jc w:val="left"/>
              <w:rPr>
                <w:rFonts w:eastAsia="Times New Roman" w:cstheme="minorHAnsi"/>
                <w:sz w:val="22"/>
                <w:lang w:val="en-US"/>
              </w:rPr>
            </w:pPr>
            <w:r w:rsidRPr="00CA5E09">
              <w:rPr>
                <w:rFonts w:cstheme="minorHAnsi"/>
                <w:sz w:val="22"/>
              </w:rPr>
              <w:t xml:space="preserve">Note: The approach used by Minnesota is detailed in section 10.2. </w:t>
            </w:r>
          </w:p>
        </w:tc>
      </w:tr>
    </w:tbl>
    <w:p w:rsidR="0065582B" w:rsidRDefault="0065582B" w:rsidP="0065582B">
      <w:pPr>
        <w:pStyle w:val="Caption"/>
        <w:keepNext/>
      </w:pPr>
      <w:bookmarkStart w:id="680" w:name="_Toc495416857"/>
      <w:bookmarkStart w:id="681" w:name="Tab1004"/>
      <w:r>
        <w:lastRenderedPageBreak/>
        <w:t>Table 10.</w:t>
      </w:r>
      <w:r w:rsidR="009A3F5A">
        <w:fldChar w:fldCharType="begin"/>
      </w:r>
      <w:r w:rsidR="009A3F5A">
        <w:instrText xml:space="preserve"> SEQ Table_10. \* ARABIC </w:instrText>
      </w:r>
      <w:r w:rsidR="009A3F5A">
        <w:fldChar w:fldCharType="separate"/>
      </w:r>
      <w:r w:rsidR="00856E49">
        <w:rPr>
          <w:noProof/>
        </w:rPr>
        <w:t>4</w:t>
      </w:r>
      <w:r w:rsidR="009A3F5A">
        <w:rPr>
          <w:noProof/>
        </w:rPr>
        <w:fldChar w:fldCharType="end"/>
      </w:r>
      <w:r>
        <w:t xml:space="preserve">: </w:t>
      </w:r>
      <w:r w:rsidRPr="0065582B">
        <w:t>Most Relevant International Residential Care Systems – England</w:t>
      </w:r>
      <w:bookmarkEnd w:id="680"/>
    </w:p>
    <w:tbl>
      <w:tblPr>
        <w:tblW w:w="14034" w:type="dxa"/>
        <w:tblInd w:w="51"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left w:w="0" w:type="dxa"/>
          <w:right w:w="0" w:type="dxa"/>
        </w:tblCellMar>
        <w:tblLook w:val="0600" w:firstRow="0" w:lastRow="0" w:firstColumn="0" w:lastColumn="0" w:noHBand="1" w:noVBand="1"/>
        <w:tblDescription w:val="Table 10.4 is a list of details summarising the payment level determination, mandated care funding tool, care classification levels,  review of needs and auditing of funding claims for the English funding model, as summarised under heading 10.1 in the text prior to this table. This table is to be read left to right, top to bottom."/>
      </w:tblPr>
      <w:tblGrid>
        <w:gridCol w:w="1013"/>
        <w:gridCol w:w="4657"/>
        <w:gridCol w:w="2552"/>
        <w:gridCol w:w="2449"/>
        <w:gridCol w:w="1095"/>
        <w:gridCol w:w="2268"/>
      </w:tblGrid>
      <w:tr w:rsidR="00147D5F" w:rsidRPr="00CA5E09" w:rsidTr="00002DA7">
        <w:tc>
          <w:tcPr>
            <w:tcW w:w="1013" w:type="dxa"/>
            <w:shd w:val="clear" w:color="auto" w:fill="5B9BD5" w:themeFill="accent5"/>
            <w:tcMar>
              <w:top w:w="15" w:type="dxa"/>
              <w:left w:w="51" w:type="dxa"/>
              <w:bottom w:w="0" w:type="dxa"/>
              <w:right w:w="51" w:type="dxa"/>
            </w:tcMar>
            <w:vAlign w:val="center"/>
            <w:hideMark/>
          </w:tcPr>
          <w:bookmarkEnd w:id="681"/>
          <w:p w:rsidR="00147D5F" w:rsidRPr="00CA5E09" w:rsidRDefault="00147D5F" w:rsidP="00002DA7">
            <w:pPr>
              <w:spacing w:before="60" w:after="60" w:line="240" w:lineRule="auto"/>
              <w:jc w:val="left"/>
              <w:rPr>
                <w:rFonts w:eastAsia="Times New Roman" w:cstheme="minorHAnsi"/>
                <w:b/>
                <w:bCs/>
                <w:color w:val="FFFFFF" w:themeColor="background1"/>
                <w:sz w:val="21"/>
                <w:szCs w:val="21"/>
              </w:rPr>
            </w:pPr>
            <w:r w:rsidRPr="00CA5E09">
              <w:rPr>
                <w:rFonts w:eastAsia="Times New Roman" w:cstheme="minorHAnsi"/>
                <w:b/>
                <w:bCs/>
                <w:color w:val="FFFFFF" w:themeColor="background1"/>
                <w:sz w:val="21"/>
                <w:szCs w:val="21"/>
              </w:rPr>
              <w:t>Country</w:t>
            </w:r>
          </w:p>
        </w:tc>
        <w:tc>
          <w:tcPr>
            <w:tcW w:w="4657" w:type="dxa"/>
            <w:shd w:val="clear" w:color="auto" w:fill="5B9BD5" w:themeFill="accent5"/>
            <w:tcMar>
              <w:top w:w="15" w:type="dxa"/>
              <w:left w:w="51" w:type="dxa"/>
              <w:bottom w:w="0" w:type="dxa"/>
              <w:right w:w="51" w:type="dxa"/>
            </w:tcMar>
            <w:vAlign w:val="center"/>
          </w:tcPr>
          <w:p w:rsidR="00147D5F" w:rsidRPr="00CA5E09" w:rsidRDefault="00147D5F" w:rsidP="00002DA7">
            <w:pPr>
              <w:tabs>
                <w:tab w:val="left" w:pos="1507"/>
              </w:tabs>
              <w:spacing w:before="60" w:after="60" w:line="240" w:lineRule="auto"/>
              <w:jc w:val="center"/>
              <w:rPr>
                <w:rFonts w:eastAsia="Times New Roman" w:cstheme="minorHAnsi"/>
                <w:b/>
                <w:color w:val="FFFFFF" w:themeColor="background1"/>
                <w:sz w:val="21"/>
                <w:szCs w:val="21"/>
              </w:rPr>
            </w:pPr>
            <w:r w:rsidRPr="00CA5E09">
              <w:rPr>
                <w:rFonts w:eastAsia="Times New Roman" w:cstheme="minorHAnsi"/>
                <w:b/>
                <w:color w:val="FFFFFF" w:themeColor="background1"/>
                <w:sz w:val="21"/>
                <w:szCs w:val="21"/>
              </w:rPr>
              <w:t>Payment level determination</w:t>
            </w:r>
          </w:p>
        </w:tc>
        <w:tc>
          <w:tcPr>
            <w:tcW w:w="2552" w:type="dxa"/>
            <w:shd w:val="clear" w:color="auto" w:fill="5B9BD5" w:themeFill="accent5"/>
            <w:tcMar>
              <w:top w:w="15" w:type="dxa"/>
              <w:left w:w="51" w:type="dxa"/>
              <w:bottom w:w="0" w:type="dxa"/>
              <w:right w:w="51" w:type="dxa"/>
            </w:tcMar>
            <w:vAlign w:val="center"/>
          </w:tcPr>
          <w:p w:rsidR="00147D5F" w:rsidRPr="00CA5E09" w:rsidRDefault="00147D5F" w:rsidP="00002DA7">
            <w:pPr>
              <w:tabs>
                <w:tab w:val="left" w:pos="1507"/>
              </w:tabs>
              <w:spacing w:before="60" w:after="60" w:line="240" w:lineRule="auto"/>
              <w:jc w:val="center"/>
              <w:rPr>
                <w:rFonts w:eastAsia="Times New Roman" w:cstheme="minorHAnsi"/>
                <w:b/>
                <w:color w:val="FFFFFF" w:themeColor="background1"/>
                <w:sz w:val="21"/>
                <w:szCs w:val="21"/>
              </w:rPr>
            </w:pPr>
            <w:r w:rsidRPr="00CA5E09">
              <w:rPr>
                <w:rFonts w:eastAsia="Times New Roman" w:cstheme="minorHAnsi"/>
                <w:b/>
                <w:color w:val="FFFFFF" w:themeColor="background1"/>
                <w:sz w:val="21"/>
                <w:szCs w:val="21"/>
              </w:rPr>
              <w:t>Mandated Care funding tool</w:t>
            </w:r>
          </w:p>
        </w:tc>
        <w:tc>
          <w:tcPr>
            <w:tcW w:w="2449" w:type="dxa"/>
            <w:shd w:val="clear" w:color="auto" w:fill="5B9BD5" w:themeFill="accent5"/>
            <w:tcMar>
              <w:top w:w="14" w:type="dxa"/>
              <w:left w:w="58" w:type="dxa"/>
              <w:right w:w="58" w:type="dxa"/>
            </w:tcMar>
            <w:vAlign w:val="center"/>
          </w:tcPr>
          <w:p w:rsidR="00147D5F" w:rsidRPr="00CA5E09" w:rsidRDefault="00147D5F" w:rsidP="00002DA7">
            <w:pPr>
              <w:spacing w:before="60" w:after="60" w:line="240" w:lineRule="auto"/>
              <w:jc w:val="center"/>
              <w:rPr>
                <w:rFonts w:cstheme="minorHAnsi"/>
                <w:b/>
                <w:color w:val="FFFFFF" w:themeColor="background1"/>
                <w:sz w:val="21"/>
                <w:szCs w:val="21"/>
              </w:rPr>
            </w:pPr>
            <w:r w:rsidRPr="00CA5E09">
              <w:rPr>
                <w:rFonts w:cstheme="minorHAnsi"/>
                <w:b/>
                <w:color w:val="FFFFFF" w:themeColor="background1"/>
                <w:sz w:val="21"/>
                <w:szCs w:val="21"/>
              </w:rPr>
              <w:t>Care Classification levels</w:t>
            </w:r>
          </w:p>
        </w:tc>
        <w:tc>
          <w:tcPr>
            <w:tcW w:w="1095" w:type="dxa"/>
            <w:shd w:val="clear" w:color="auto" w:fill="5B9BD5" w:themeFill="accent5"/>
            <w:tcMar>
              <w:top w:w="15" w:type="dxa"/>
              <w:left w:w="51" w:type="dxa"/>
              <w:bottom w:w="0" w:type="dxa"/>
              <w:right w:w="51" w:type="dxa"/>
            </w:tcMar>
            <w:vAlign w:val="center"/>
          </w:tcPr>
          <w:p w:rsidR="00147D5F" w:rsidRPr="00CA5E09" w:rsidRDefault="00147D5F" w:rsidP="00002DA7">
            <w:pPr>
              <w:tabs>
                <w:tab w:val="left" w:pos="1507"/>
              </w:tabs>
              <w:spacing w:before="60" w:after="60" w:line="240" w:lineRule="auto"/>
              <w:jc w:val="center"/>
              <w:rPr>
                <w:rFonts w:eastAsia="Times New Roman" w:cstheme="minorHAnsi"/>
                <w:b/>
                <w:bCs/>
                <w:color w:val="FFFFFF" w:themeColor="background1"/>
                <w:sz w:val="21"/>
                <w:szCs w:val="21"/>
              </w:rPr>
            </w:pPr>
            <w:r w:rsidRPr="00CA5E09">
              <w:rPr>
                <w:rFonts w:eastAsia="Times New Roman" w:cstheme="minorHAnsi"/>
                <w:b/>
                <w:bCs/>
                <w:color w:val="FFFFFF" w:themeColor="background1"/>
                <w:sz w:val="21"/>
                <w:szCs w:val="21"/>
              </w:rPr>
              <w:t>Review of needs</w:t>
            </w:r>
          </w:p>
        </w:tc>
        <w:tc>
          <w:tcPr>
            <w:tcW w:w="2268" w:type="dxa"/>
            <w:shd w:val="clear" w:color="auto" w:fill="5B9BD5" w:themeFill="accent5"/>
            <w:tcMar>
              <w:top w:w="15" w:type="dxa"/>
              <w:left w:w="51" w:type="dxa"/>
              <w:bottom w:w="0" w:type="dxa"/>
              <w:right w:w="51" w:type="dxa"/>
            </w:tcMar>
            <w:vAlign w:val="center"/>
          </w:tcPr>
          <w:p w:rsidR="00147D5F" w:rsidRPr="00CA5E09" w:rsidRDefault="00147D5F" w:rsidP="00002DA7">
            <w:pPr>
              <w:spacing w:before="60" w:after="60" w:line="240" w:lineRule="auto"/>
              <w:jc w:val="center"/>
              <w:rPr>
                <w:rFonts w:cstheme="minorHAnsi"/>
                <w:b/>
                <w:color w:val="FFFFFF" w:themeColor="background1"/>
                <w:sz w:val="21"/>
                <w:szCs w:val="21"/>
              </w:rPr>
            </w:pPr>
            <w:r w:rsidRPr="00CA5E09">
              <w:rPr>
                <w:rFonts w:cstheme="minorHAnsi"/>
                <w:b/>
                <w:color w:val="FFFFFF" w:themeColor="background1"/>
                <w:sz w:val="21"/>
                <w:szCs w:val="21"/>
              </w:rPr>
              <w:t>Auditing of Funding Claims</w:t>
            </w:r>
          </w:p>
        </w:tc>
      </w:tr>
      <w:tr w:rsidR="00147D5F" w:rsidRPr="00CA5E09" w:rsidTr="00002DA7">
        <w:tc>
          <w:tcPr>
            <w:tcW w:w="1013" w:type="dxa"/>
            <w:shd w:val="clear" w:color="auto" w:fill="FFFFFF" w:themeFill="background1"/>
            <w:tcMar>
              <w:top w:w="15" w:type="dxa"/>
              <w:left w:w="51" w:type="dxa"/>
              <w:bottom w:w="0" w:type="dxa"/>
              <w:right w:w="51" w:type="dxa"/>
            </w:tcMar>
            <w:hideMark/>
          </w:tcPr>
          <w:p w:rsidR="00147D5F" w:rsidRPr="00CA5E09" w:rsidRDefault="00147D5F" w:rsidP="00936730">
            <w:pPr>
              <w:spacing w:line="240" w:lineRule="auto"/>
              <w:jc w:val="left"/>
              <w:rPr>
                <w:rFonts w:eastAsia="Times New Roman" w:cstheme="minorHAnsi"/>
                <w:b/>
                <w:bCs/>
                <w:color w:val="000000" w:themeColor="text1"/>
                <w:sz w:val="21"/>
                <w:szCs w:val="21"/>
              </w:rPr>
            </w:pPr>
            <w:r w:rsidRPr="00CA5E09">
              <w:rPr>
                <w:rFonts w:eastAsia="Times New Roman" w:cstheme="minorHAnsi"/>
                <w:b/>
                <w:bCs/>
                <w:color w:val="000000" w:themeColor="text1"/>
                <w:sz w:val="21"/>
                <w:szCs w:val="21"/>
              </w:rPr>
              <w:t>England</w:t>
            </w:r>
          </w:p>
        </w:tc>
        <w:tc>
          <w:tcPr>
            <w:tcW w:w="4657" w:type="dxa"/>
            <w:shd w:val="clear" w:color="auto" w:fill="FFFFFF" w:themeFill="background1"/>
            <w:tcMar>
              <w:top w:w="15" w:type="dxa"/>
              <w:left w:w="51" w:type="dxa"/>
              <w:bottom w:w="0" w:type="dxa"/>
              <w:right w:w="51" w:type="dxa"/>
            </w:tcMar>
          </w:tcPr>
          <w:p w:rsidR="00147D5F" w:rsidRPr="00CA5E09" w:rsidRDefault="00147D5F" w:rsidP="00936730">
            <w:pPr>
              <w:tabs>
                <w:tab w:val="left" w:pos="1507"/>
              </w:tabs>
              <w:spacing w:line="240" w:lineRule="auto"/>
              <w:jc w:val="left"/>
              <w:rPr>
                <w:rFonts w:cstheme="minorHAnsi"/>
                <w:b/>
                <w:sz w:val="21"/>
                <w:szCs w:val="21"/>
              </w:rPr>
            </w:pPr>
            <w:r w:rsidRPr="00CA5E09">
              <w:rPr>
                <w:rFonts w:cstheme="minorHAnsi"/>
                <w:b/>
                <w:sz w:val="21"/>
                <w:szCs w:val="21"/>
              </w:rPr>
              <w:t>External Assessor - Pre-entry PCT/local, External assessor Case Manager</w:t>
            </w:r>
          </w:p>
          <w:p w:rsidR="00980F62" w:rsidRDefault="00147D5F" w:rsidP="00936730">
            <w:pPr>
              <w:tabs>
                <w:tab w:val="left" w:pos="1507"/>
              </w:tabs>
              <w:spacing w:line="240" w:lineRule="auto"/>
              <w:jc w:val="left"/>
              <w:rPr>
                <w:rFonts w:cstheme="minorHAnsi"/>
                <w:sz w:val="21"/>
                <w:szCs w:val="21"/>
              </w:rPr>
            </w:pPr>
            <w:r w:rsidRPr="00CA5E09">
              <w:rPr>
                <w:rFonts w:cstheme="minorHAnsi"/>
                <w:sz w:val="21"/>
                <w:szCs w:val="21"/>
              </w:rPr>
              <w:t>Homes are paid a flat fee as determined by local agreements.</w:t>
            </w:r>
          </w:p>
          <w:p w:rsidR="00980F62" w:rsidRDefault="00147D5F" w:rsidP="00936730">
            <w:pPr>
              <w:tabs>
                <w:tab w:val="left" w:pos="1507"/>
              </w:tabs>
              <w:spacing w:line="240" w:lineRule="auto"/>
              <w:jc w:val="left"/>
              <w:rPr>
                <w:rFonts w:cstheme="minorHAnsi"/>
                <w:sz w:val="21"/>
                <w:szCs w:val="21"/>
              </w:rPr>
            </w:pPr>
            <w:r w:rsidRPr="00CA5E09">
              <w:rPr>
                <w:rFonts w:cstheme="minorHAnsi"/>
                <w:sz w:val="21"/>
                <w:szCs w:val="21"/>
              </w:rPr>
              <w:t>Nursing Care is funded by the NHS in Nursing Homes based on individual resident needs.</w:t>
            </w:r>
          </w:p>
          <w:p w:rsidR="00147D5F" w:rsidRPr="00CA5E09" w:rsidRDefault="00147D5F" w:rsidP="00936730">
            <w:pPr>
              <w:tabs>
                <w:tab w:val="left" w:pos="1507"/>
              </w:tabs>
              <w:spacing w:line="240" w:lineRule="auto"/>
              <w:jc w:val="left"/>
              <w:rPr>
                <w:rFonts w:cstheme="minorHAnsi"/>
                <w:b/>
                <w:sz w:val="21"/>
                <w:szCs w:val="21"/>
              </w:rPr>
            </w:pPr>
            <w:r w:rsidRPr="00CA5E09">
              <w:rPr>
                <w:rFonts w:cstheme="minorHAnsi"/>
                <w:b/>
                <w:sz w:val="21"/>
                <w:szCs w:val="21"/>
              </w:rPr>
              <w:t>Eligibility</w:t>
            </w:r>
          </w:p>
          <w:p w:rsidR="00147D5F" w:rsidRPr="00CA5E09" w:rsidRDefault="00147D5F" w:rsidP="00936730">
            <w:pPr>
              <w:tabs>
                <w:tab w:val="left" w:pos="1507"/>
              </w:tabs>
              <w:spacing w:line="240" w:lineRule="auto"/>
              <w:jc w:val="left"/>
              <w:rPr>
                <w:rFonts w:cstheme="minorHAnsi"/>
                <w:sz w:val="21"/>
                <w:szCs w:val="21"/>
              </w:rPr>
            </w:pPr>
            <w:r w:rsidRPr="00CA5E09">
              <w:rPr>
                <w:rFonts w:cstheme="minorHAnsi"/>
                <w:sz w:val="21"/>
                <w:szCs w:val="21"/>
              </w:rPr>
              <w:t>If admission to LTC facility is a possibility, a multi-disciplinary assessment (e.g. old age mental health team) is undertaken to identify opportunities for rehabilitation and to reduce inappropriate admissions. A suitably trained registered nurse must be involved in any assessment that identifies nursing needs and in deciding the appropriate setting.</w:t>
            </w:r>
          </w:p>
          <w:p w:rsidR="00147D5F" w:rsidRPr="00CA5E09" w:rsidRDefault="00147D5F" w:rsidP="00936730">
            <w:pPr>
              <w:tabs>
                <w:tab w:val="left" w:pos="1507"/>
              </w:tabs>
              <w:spacing w:line="240" w:lineRule="auto"/>
              <w:jc w:val="left"/>
              <w:rPr>
                <w:rFonts w:cstheme="minorHAnsi"/>
                <w:sz w:val="21"/>
                <w:szCs w:val="21"/>
              </w:rPr>
            </w:pPr>
            <w:r w:rsidRPr="00CA5E09">
              <w:rPr>
                <w:rFonts w:cstheme="minorHAnsi"/>
                <w:sz w:val="21"/>
                <w:szCs w:val="21"/>
              </w:rPr>
              <w:t>Two main types of care facilities:</w:t>
            </w:r>
          </w:p>
          <w:p w:rsidR="00147D5F" w:rsidRPr="00CA5E09" w:rsidRDefault="00147D5F" w:rsidP="00936730">
            <w:pPr>
              <w:spacing w:line="240" w:lineRule="auto"/>
              <w:jc w:val="left"/>
              <w:rPr>
                <w:rFonts w:cstheme="minorHAnsi"/>
                <w:sz w:val="21"/>
                <w:szCs w:val="21"/>
              </w:rPr>
            </w:pPr>
            <w:r w:rsidRPr="00CA5E09">
              <w:rPr>
                <w:rFonts w:cstheme="minorHAnsi"/>
                <w:b/>
                <w:sz w:val="21"/>
                <w:szCs w:val="21"/>
              </w:rPr>
              <w:t>Residential homes</w:t>
            </w:r>
            <w:r w:rsidRPr="00CA5E09">
              <w:rPr>
                <w:rFonts w:cstheme="minorHAnsi"/>
                <w:sz w:val="21"/>
                <w:szCs w:val="21"/>
              </w:rPr>
              <w:t xml:space="preserve"> - primarily social care that provide board/lodging/personal care.</w:t>
            </w:r>
          </w:p>
          <w:p w:rsidR="00147D5F" w:rsidRPr="00CA5E09" w:rsidRDefault="00147D5F" w:rsidP="00936730">
            <w:pPr>
              <w:spacing w:line="240" w:lineRule="auto"/>
              <w:jc w:val="left"/>
              <w:rPr>
                <w:rFonts w:cstheme="minorHAnsi"/>
                <w:sz w:val="21"/>
                <w:szCs w:val="21"/>
              </w:rPr>
            </w:pPr>
            <w:r w:rsidRPr="00CA5E09">
              <w:rPr>
                <w:iCs/>
                <w:sz w:val="21"/>
                <w:szCs w:val="21"/>
              </w:rPr>
              <w:t xml:space="preserve">Aged care ‘adult social care’ is the responsibility of local governments. </w:t>
            </w:r>
            <w:r w:rsidRPr="00CA5E09">
              <w:rPr>
                <w:rFonts w:cstheme="minorHAnsi"/>
                <w:sz w:val="21"/>
                <w:szCs w:val="21"/>
              </w:rPr>
              <w:t>Local authority/PCT must provide a NH coordinator (budget manager) and Lead Nurse (advice on personal care).</w:t>
            </w:r>
          </w:p>
          <w:p w:rsidR="00147D5F" w:rsidRPr="00CA5E09" w:rsidRDefault="00147D5F" w:rsidP="00936730">
            <w:pPr>
              <w:tabs>
                <w:tab w:val="left" w:pos="1507"/>
              </w:tabs>
              <w:spacing w:line="240" w:lineRule="auto"/>
              <w:jc w:val="left"/>
              <w:rPr>
                <w:rFonts w:cstheme="minorHAnsi"/>
                <w:sz w:val="21"/>
                <w:szCs w:val="21"/>
              </w:rPr>
            </w:pPr>
            <w:r w:rsidRPr="00CA5E09">
              <w:rPr>
                <w:rFonts w:cstheme="minorHAnsi"/>
                <w:b/>
                <w:sz w:val="21"/>
                <w:szCs w:val="21"/>
              </w:rPr>
              <w:t>Nursing Homes</w:t>
            </w:r>
            <w:r w:rsidRPr="00CA5E09">
              <w:rPr>
                <w:rFonts w:cstheme="minorHAnsi"/>
                <w:sz w:val="21"/>
                <w:szCs w:val="21"/>
              </w:rPr>
              <w:t xml:space="preserve"> - must have 1 qualified nurse, residents more severe impairments (physically &amp; mentally).</w:t>
            </w:r>
          </w:p>
          <w:p w:rsidR="00147D5F" w:rsidRPr="00CA5E09" w:rsidRDefault="00147D5F" w:rsidP="00936730">
            <w:pPr>
              <w:spacing w:line="240" w:lineRule="auto"/>
              <w:jc w:val="left"/>
              <w:rPr>
                <w:rFonts w:cstheme="minorHAnsi"/>
                <w:sz w:val="21"/>
                <w:szCs w:val="21"/>
              </w:rPr>
            </w:pPr>
            <w:r w:rsidRPr="00CA5E09">
              <w:rPr>
                <w:rFonts w:cstheme="minorHAnsi"/>
                <w:sz w:val="21"/>
                <w:szCs w:val="21"/>
              </w:rPr>
              <w:t>NHS reimburse the nursing care element. Can claim costs of social care against client property /assets.</w:t>
            </w:r>
          </w:p>
        </w:tc>
        <w:tc>
          <w:tcPr>
            <w:tcW w:w="2552" w:type="dxa"/>
            <w:shd w:val="clear" w:color="auto" w:fill="FFFFFF" w:themeFill="background1"/>
            <w:tcMar>
              <w:top w:w="15" w:type="dxa"/>
              <w:left w:w="51" w:type="dxa"/>
              <w:bottom w:w="0" w:type="dxa"/>
              <w:right w:w="51" w:type="dxa"/>
            </w:tcMar>
          </w:tcPr>
          <w:p w:rsidR="00147D5F" w:rsidRPr="00CA5E09" w:rsidRDefault="00147D5F" w:rsidP="00936730">
            <w:pPr>
              <w:tabs>
                <w:tab w:val="left" w:pos="1507"/>
              </w:tabs>
              <w:spacing w:line="240" w:lineRule="auto"/>
              <w:jc w:val="left"/>
              <w:rPr>
                <w:rFonts w:cstheme="minorHAnsi"/>
                <w:b/>
                <w:sz w:val="21"/>
                <w:szCs w:val="21"/>
              </w:rPr>
            </w:pPr>
            <w:r w:rsidRPr="00CA5E09">
              <w:rPr>
                <w:rFonts w:cstheme="minorHAnsi"/>
                <w:b/>
                <w:sz w:val="21"/>
                <w:szCs w:val="21"/>
              </w:rPr>
              <w:t>None</w:t>
            </w:r>
          </w:p>
          <w:p w:rsidR="00147D5F" w:rsidRPr="00CA5E09" w:rsidRDefault="00147D5F" w:rsidP="00936730">
            <w:pPr>
              <w:tabs>
                <w:tab w:val="left" w:pos="1507"/>
              </w:tabs>
              <w:spacing w:line="240" w:lineRule="auto"/>
              <w:jc w:val="left"/>
              <w:rPr>
                <w:rFonts w:cstheme="minorHAnsi"/>
                <w:sz w:val="21"/>
                <w:szCs w:val="21"/>
              </w:rPr>
            </w:pPr>
            <w:r w:rsidRPr="00CA5E09">
              <w:rPr>
                <w:rFonts w:cstheme="minorHAnsi"/>
                <w:sz w:val="21"/>
                <w:szCs w:val="21"/>
              </w:rPr>
              <w:t>Various, single assessment instrument process and tools developed but not broadly implemented across England.</w:t>
            </w:r>
          </w:p>
          <w:p w:rsidR="00980F62" w:rsidRDefault="00147D5F" w:rsidP="00936730">
            <w:pPr>
              <w:spacing w:line="240" w:lineRule="auto"/>
              <w:jc w:val="left"/>
              <w:rPr>
                <w:iCs/>
                <w:sz w:val="21"/>
                <w:szCs w:val="21"/>
              </w:rPr>
            </w:pPr>
            <w:r w:rsidRPr="00CA5E09">
              <w:rPr>
                <w:iCs/>
                <w:sz w:val="21"/>
                <w:szCs w:val="21"/>
              </w:rPr>
              <w:t>Access to residential and home care services requires local authorities to conduct a needs assessment as well as a means test.</w:t>
            </w:r>
          </w:p>
          <w:p w:rsidR="00147D5F" w:rsidRPr="00CA5E09" w:rsidRDefault="00147D5F" w:rsidP="00936730">
            <w:pPr>
              <w:spacing w:line="240" w:lineRule="auto"/>
              <w:jc w:val="left"/>
              <w:rPr>
                <w:sz w:val="21"/>
                <w:szCs w:val="21"/>
              </w:rPr>
            </w:pPr>
            <w:r w:rsidRPr="00CA5E09">
              <w:rPr>
                <w:iCs/>
                <w:sz w:val="21"/>
                <w:szCs w:val="21"/>
              </w:rPr>
              <w:t>Services determined by the needs assessment may be directly provided by the local authority, commissioned by the local authority, delivered by joint agreements with the NHS, or be funded by a cash payment issued to the care recipient or their representative.</w:t>
            </w:r>
          </w:p>
          <w:p w:rsidR="00147D5F" w:rsidRPr="00CA5E09" w:rsidRDefault="00147D5F" w:rsidP="00936730">
            <w:pPr>
              <w:spacing w:line="240" w:lineRule="auto"/>
              <w:jc w:val="left"/>
              <w:rPr>
                <w:rFonts w:cstheme="minorHAnsi"/>
                <w:sz w:val="21"/>
                <w:szCs w:val="21"/>
              </w:rPr>
            </w:pPr>
            <w:r w:rsidRPr="00CA5E09">
              <w:rPr>
                <w:iCs/>
                <w:sz w:val="21"/>
                <w:szCs w:val="21"/>
              </w:rPr>
              <w:t xml:space="preserve">The needs assessment process is conducted by local governments and is not standardised. </w:t>
            </w:r>
          </w:p>
        </w:tc>
        <w:tc>
          <w:tcPr>
            <w:tcW w:w="2449" w:type="dxa"/>
            <w:shd w:val="clear" w:color="auto" w:fill="FFFFFF" w:themeFill="background1"/>
            <w:tcMar>
              <w:top w:w="14" w:type="dxa"/>
              <w:left w:w="58" w:type="dxa"/>
              <w:right w:w="58" w:type="dxa"/>
            </w:tcMar>
          </w:tcPr>
          <w:p w:rsidR="00980F62" w:rsidRDefault="00147D5F" w:rsidP="00936730">
            <w:pPr>
              <w:spacing w:line="240" w:lineRule="auto"/>
              <w:jc w:val="left"/>
              <w:rPr>
                <w:rFonts w:cstheme="minorHAnsi"/>
                <w:b/>
                <w:sz w:val="21"/>
                <w:szCs w:val="21"/>
              </w:rPr>
            </w:pPr>
            <w:r w:rsidRPr="00CA5E09">
              <w:rPr>
                <w:rFonts w:cstheme="minorHAnsi"/>
                <w:b/>
                <w:sz w:val="21"/>
                <w:szCs w:val="21"/>
              </w:rPr>
              <w:t>Residential homes</w:t>
            </w:r>
          </w:p>
          <w:p w:rsidR="00980F62" w:rsidRDefault="00147D5F" w:rsidP="00936730">
            <w:pPr>
              <w:spacing w:line="240" w:lineRule="auto"/>
              <w:jc w:val="left"/>
              <w:rPr>
                <w:rFonts w:cstheme="minorHAnsi"/>
                <w:sz w:val="21"/>
                <w:szCs w:val="21"/>
              </w:rPr>
            </w:pPr>
            <w:r w:rsidRPr="00CA5E09">
              <w:rPr>
                <w:rFonts w:cstheme="minorHAnsi"/>
                <w:sz w:val="21"/>
                <w:szCs w:val="21"/>
              </w:rPr>
              <w:t>Primarily social care that provide board/lodging/personal care.</w:t>
            </w:r>
          </w:p>
          <w:p w:rsidR="00147D5F" w:rsidRPr="00CA5E09" w:rsidRDefault="00147D5F" w:rsidP="00936730">
            <w:pPr>
              <w:spacing w:line="240" w:lineRule="auto"/>
              <w:jc w:val="left"/>
              <w:rPr>
                <w:rFonts w:cstheme="minorHAnsi"/>
                <w:b/>
                <w:sz w:val="21"/>
                <w:szCs w:val="21"/>
              </w:rPr>
            </w:pPr>
            <w:r w:rsidRPr="00CA5E09">
              <w:rPr>
                <w:rFonts w:cstheme="minorHAnsi"/>
                <w:b/>
                <w:sz w:val="21"/>
                <w:szCs w:val="21"/>
              </w:rPr>
              <w:t>Nursing Homes</w:t>
            </w:r>
          </w:p>
          <w:p w:rsidR="00147D5F" w:rsidRPr="00CA5E09" w:rsidRDefault="00147D5F" w:rsidP="00936730">
            <w:pPr>
              <w:spacing w:line="240" w:lineRule="auto"/>
              <w:jc w:val="left"/>
              <w:rPr>
                <w:rFonts w:cstheme="minorHAnsi"/>
                <w:sz w:val="21"/>
                <w:szCs w:val="21"/>
              </w:rPr>
            </w:pPr>
            <w:r w:rsidRPr="00CA5E09">
              <w:rPr>
                <w:rFonts w:cstheme="minorHAnsi"/>
                <w:sz w:val="21"/>
                <w:szCs w:val="21"/>
              </w:rPr>
              <w:t>Nursing Homes must have 1 qualified nurse, residents more severely impaired (physically &amp; mentally).</w:t>
            </w:r>
          </w:p>
          <w:p w:rsidR="00980F62" w:rsidRDefault="00147D5F" w:rsidP="00936730">
            <w:pPr>
              <w:spacing w:line="240" w:lineRule="auto"/>
              <w:jc w:val="left"/>
              <w:rPr>
                <w:rFonts w:cstheme="minorHAnsi"/>
                <w:sz w:val="21"/>
                <w:szCs w:val="21"/>
              </w:rPr>
            </w:pPr>
            <w:r w:rsidRPr="00CA5E09">
              <w:rPr>
                <w:rFonts w:cstheme="minorHAnsi"/>
                <w:sz w:val="21"/>
                <w:szCs w:val="21"/>
              </w:rPr>
              <w:t>Classification level determined by NHS.</w:t>
            </w:r>
          </w:p>
          <w:p w:rsidR="00980F62" w:rsidRDefault="00147D5F" w:rsidP="00936730">
            <w:pPr>
              <w:spacing w:line="240" w:lineRule="auto"/>
              <w:jc w:val="left"/>
              <w:rPr>
                <w:rFonts w:cstheme="minorHAnsi"/>
                <w:sz w:val="21"/>
                <w:szCs w:val="21"/>
              </w:rPr>
            </w:pPr>
            <w:r w:rsidRPr="00CA5E09">
              <w:rPr>
                <w:rFonts w:cstheme="minorHAnsi"/>
                <w:sz w:val="21"/>
                <w:szCs w:val="21"/>
              </w:rPr>
              <w:t>Three nursing care levels (no algorithm, based on 3 subjective classification levels) with funding amounts (based on complexity, stability, predictability, risk).</w:t>
            </w:r>
          </w:p>
          <w:p w:rsidR="00147D5F" w:rsidRPr="00CA5E09" w:rsidRDefault="00147D5F" w:rsidP="00936730">
            <w:pPr>
              <w:spacing w:line="240" w:lineRule="auto"/>
              <w:jc w:val="left"/>
              <w:rPr>
                <w:rFonts w:cstheme="minorHAnsi"/>
                <w:sz w:val="21"/>
                <w:szCs w:val="21"/>
              </w:rPr>
            </w:pPr>
            <w:r w:rsidRPr="00CA5E09">
              <w:rPr>
                <w:rFonts w:cstheme="minorHAnsi"/>
                <w:sz w:val="21"/>
                <w:szCs w:val="21"/>
              </w:rPr>
              <w:t>Four severity levels with no maximum funding amount attached.</w:t>
            </w:r>
            <w:r w:rsidR="00632841" w:rsidRPr="00CA5E09">
              <w:rPr>
                <w:rFonts w:cstheme="minorHAnsi"/>
                <w:sz w:val="21"/>
                <w:szCs w:val="21"/>
              </w:rPr>
              <w:t xml:space="preserve"> </w:t>
            </w:r>
          </w:p>
        </w:tc>
        <w:tc>
          <w:tcPr>
            <w:tcW w:w="1095" w:type="dxa"/>
            <w:shd w:val="clear" w:color="auto" w:fill="FFFFFF" w:themeFill="background1"/>
            <w:tcMar>
              <w:top w:w="15" w:type="dxa"/>
              <w:left w:w="51" w:type="dxa"/>
              <w:bottom w:w="0" w:type="dxa"/>
              <w:right w:w="51" w:type="dxa"/>
            </w:tcMar>
          </w:tcPr>
          <w:p w:rsidR="00147D5F" w:rsidRPr="00CA5E09" w:rsidRDefault="00147D5F" w:rsidP="00936730">
            <w:pPr>
              <w:tabs>
                <w:tab w:val="left" w:pos="1507"/>
              </w:tabs>
              <w:spacing w:line="240" w:lineRule="auto"/>
              <w:jc w:val="left"/>
              <w:rPr>
                <w:rFonts w:cstheme="minorHAnsi"/>
                <w:b/>
                <w:sz w:val="21"/>
                <w:szCs w:val="21"/>
              </w:rPr>
            </w:pPr>
            <w:r w:rsidRPr="00CA5E09">
              <w:rPr>
                <w:rFonts w:cstheme="minorHAnsi"/>
                <w:b/>
                <w:sz w:val="21"/>
                <w:szCs w:val="21"/>
              </w:rPr>
              <w:t>External Assessor</w:t>
            </w:r>
          </w:p>
          <w:p w:rsidR="00147D5F" w:rsidRPr="00CA5E09" w:rsidRDefault="00147D5F" w:rsidP="00936730">
            <w:pPr>
              <w:tabs>
                <w:tab w:val="left" w:pos="1507"/>
              </w:tabs>
              <w:spacing w:line="240" w:lineRule="auto"/>
              <w:jc w:val="left"/>
              <w:rPr>
                <w:rFonts w:cstheme="minorHAnsi"/>
                <w:sz w:val="21"/>
                <w:szCs w:val="21"/>
              </w:rPr>
            </w:pPr>
            <w:r w:rsidRPr="00CA5E09">
              <w:rPr>
                <w:rFonts w:cstheme="minorHAnsi"/>
                <w:sz w:val="21"/>
                <w:szCs w:val="21"/>
              </w:rPr>
              <w:t>PCT/local</w:t>
            </w:r>
          </w:p>
          <w:p w:rsidR="00147D5F" w:rsidRPr="00CA5E09" w:rsidRDefault="00147D5F" w:rsidP="00936730">
            <w:pPr>
              <w:tabs>
                <w:tab w:val="left" w:pos="1507"/>
              </w:tabs>
              <w:spacing w:line="240" w:lineRule="auto"/>
              <w:jc w:val="left"/>
              <w:rPr>
                <w:rFonts w:cstheme="minorHAnsi"/>
                <w:sz w:val="21"/>
                <w:szCs w:val="21"/>
              </w:rPr>
            </w:pPr>
            <w:r w:rsidRPr="00CA5E09">
              <w:rPr>
                <w:rFonts w:cstheme="minorHAnsi"/>
                <w:sz w:val="21"/>
                <w:szCs w:val="21"/>
              </w:rPr>
              <w:t>Regularly</w:t>
            </w:r>
          </w:p>
        </w:tc>
        <w:tc>
          <w:tcPr>
            <w:tcW w:w="2268" w:type="dxa"/>
            <w:shd w:val="clear" w:color="auto" w:fill="FFFFFF" w:themeFill="background1"/>
            <w:tcMar>
              <w:top w:w="15" w:type="dxa"/>
              <w:left w:w="51" w:type="dxa"/>
              <w:bottom w:w="0" w:type="dxa"/>
              <w:right w:w="51" w:type="dxa"/>
            </w:tcMar>
          </w:tcPr>
          <w:p w:rsidR="00980F62" w:rsidRDefault="00147D5F" w:rsidP="00936730">
            <w:pPr>
              <w:spacing w:line="240" w:lineRule="auto"/>
              <w:jc w:val="left"/>
              <w:rPr>
                <w:rFonts w:cstheme="minorHAnsi"/>
                <w:sz w:val="21"/>
                <w:szCs w:val="21"/>
              </w:rPr>
            </w:pPr>
            <w:r w:rsidRPr="00CA5E09">
              <w:rPr>
                <w:rFonts w:cstheme="minorHAnsi"/>
                <w:b/>
                <w:sz w:val="21"/>
                <w:szCs w:val="21"/>
              </w:rPr>
              <w:t>No auditing of External Assessor determination</w:t>
            </w:r>
            <w:r w:rsidRPr="00CA5E09">
              <w:rPr>
                <w:rFonts w:cstheme="minorHAnsi"/>
                <w:sz w:val="21"/>
                <w:szCs w:val="21"/>
              </w:rPr>
              <w:t xml:space="preserve"> of nursing care level determination.</w:t>
            </w:r>
          </w:p>
          <w:p w:rsidR="00147D5F" w:rsidRPr="00CA5E09" w:rsidRDefault="00147D5F" w:rsidP="00936730">
            <w:pPr>
              <w:spacing w:line="240" w:lineRule="auto"/>
              <w:jc w:val="left"/>
              <w:rPr>
                <w:rFonts w:cstheme="minorHAnsi"/>
                <w:sz w:val="21"/>
                <w:szCs w:val="21"/>
              </w:rPr>
            </w:pPr>
            <w:r w:rsidRPr="00CA5E09">
              <w:rPr>
                <w:rFonts w:cstheme="minorHAnsi"/>
                <w:sz w:val="21"/>
                <w:szCs w:val="21"/>
              </w:rPr>
              <w:t>Needs assessments are typically conducted by individual physicians, nurses, social workers or combinations of these forming ‘socio-medical’ teams. Assessors will usually be independent from providers, and may or may not be independent from the local authority.</w:t>
            </w:r>
          </w:p>
        </w:tc>
      </w:tr>
    </w:tbl>
    <w:p w:rsidR="00147D5F" w:rsidRDefault="00147D5F" w:rsidP="00147D5F">
      <w:pPr>
        <w:spacing w:after="160" w:line="259" w:lineRule="auto"/>
        <w:rPr>
          <w:color w:val="FF0000"/>
          <w:lang w:eastAsia="en-AU"/>
        </w:rPr>
        <w:sectPr w:rsidR="00147D5F" w:rsidSect="00A51750">
          <w:headerReference w:type="default" r:id="rId112"/>
          <w:footerReference w:type="default" r:id="rId113"/>
          <w:pgSz w:w="16838" w:h="11906" w:orient="landscape"/>
          <w:pgMar w:top="1440" w:right="1440" w:bottom="1440" w:left="1440" w:header="706" w:footer="706" w:gutter="0"/>
          <w:cols w:space="708"/>
          <w:docGrid w:linePitch="360"/>
        </w:sectPr>
      </w:pPr>
    </w:p>
    <w:p w:rsidR="00147D5F" w:rsidRPr="00294DB7" w:rsidRDefault="00147D5F" w:rsidP="008F1CA1">
      <w:pPr>
        <w:pStyle w:val="Heading2-Chapter10"/>
      </w:pPr>
      <w:bookmarkStart w:id="682" w:name="_Toc489386720"/>
      <w:bookmarkStart w:id="683" w:name="_Toc491426075"/>
      <w:bookmarkEnd w:id="675"/>
      <w:r w:rsidRPr="00294DB7">
        <w:lastRenderedPageBreak/>
        <w:t xml:space="preserve">The Current </w:t>
      </w:r>
      <w:r>
        <w:t xml:space="preserve">ACFI </w:t>
      </w:r>
      <w:r w:rsidRPr="00294DB7">
        <w:t xml:space="preserve">Review Program – Internal Assessment </w:t>
      </w:r>
      <w:r>
        <w:t>and</w:t>
      </w:r>
      <w:r w:rsidRPr="00294DB7">
        <w:t xml:space="preserve"> Departmental Audits</w:t>
      </w:r>
      <w:bookmarkEnd w:id="682"/>
      <w:bookmarkEnd w:id="683"/>
    </w:p>
    <w:p w:rsidR="00980F62" w:rsidRDefault="00147D5F" w:rsidP="00872E39">
      <w:pPr>
        <w:pStyle w:val="Heading3-Chapter103"/>
      </w:pPr>
      <w:bookmarkStart w:id="684" w:name="_Toc486600090"/>
      <w:bookmarkStart w:id="685" w:name="_Toc489386721"/>
      <w:r>
        <w:t>T</w:t>
      </w:r>
      <w:r w:rsidRPr="00935784">
        <w:t xml:space="preserve">he Current </w:t>
      </w:r>
      <w:r>
        <w:t xml:space="preserve">Australian Assessment and </w:t>
      </w:r>
      <w:r w:rsidRPr="00935784">
        <w:t>Audit Model</w:t>
      </w:r>
      <w:bookmarkEnd w:id="684"/>
      <w:bookmarkEnd w:id="685"/>
    </w:p>
    <w:p w:rsidR="00147D5F" w:rsidRPr="004D795D" w:rsidRDefault="00147D5F" w:rsidP="003D74A2">
      <w:r w:rsidRPr="004D795D">
        <w:t xml:space="preserve">Examination of international examples leads us back to the Australian situation. How are assessments </w:t>
      </w:r>
      <w:r>
        <w:t xml:space="preserve">currently </w:t>
      </w:r>
      <w:r w:rsidRPr="004D795D">
        <w:t xml:space="preserve">done </w:t>
      </w:r>
      <w:r>
        <w:t xml:space="preserve">in Australia </w:t>
      </w:r>
      <w:r w:rsidRPr="004D795D">
        <w:t>and how are audits conducted?</w:t>
      </w:r>
    </w:p>
    <w:p w:rsidR="00147D5F" w:rsidRPr="00F4275E" w:rsidRDefault="00147D5F" w:rsidP="00872E39">
      <w:pPr>
        <w:pStyle w:val="Heading4-Chapter1031"/>
      </w:pPr>
      <w:r>
        <w:t>Care Subsidy (Funding) Determination</w:t>
      </w:r>
    </w:p>
    <w:p w:rsidR="00147D5F" w:rsidRDefault="00147D5F" w:rsidP="003D74A2">
      <w:pPr>
        <w:rPr>
          <w:lang w:eastAsia="en-AU"/>
        </w:rPr>
      </w:pPr>
      <w:r>
        <w:rPr>
          <w:lang w:eastAsia="en-AU"/>
        </w:rPr>
        <w:t>Care subsidies for permanent aged care facility residents are determined by the provider completed ACFI. Aged care providers apply for resident classification from the Department of Human Services (Medicare Australia) after 28 days and within two months of a new resident’s admission. When an existing resident’s</w:t>
      </w:r>
      <w:r w:rsidRPr="00731898">
        <w:rPr>
          <w:lang w:eastAsia="en-AU"/>
        </w:rPr>
        <w:t xml:space="preserve"> </w:t>
      </w:r>
      <w:r>
        <w:rPr>
          <w:lang w:eastAsia="en-AU"/>
        </w:rPr>
        <w:t>care needs increase significantly, as measured by a two-category increase in their ACFI rating, the provider can submit another ACFI within 12 months of the current appraisal. For lower level increases in care needs (one category ACFI increases), the provider can submit an ACFI re-appraisal after a 12-month period. Approved providers are also required to do mandatory six-month appraisals for residents who have entered care from hospital or have had a two-category increase in their ACFI rating.</w:t>
      </w:r>
    </w:p>
    <w:p w:rsidR="00980F62" w:rsidRDefault="00147D5F" w:rsidP="003D74A2">
      <w:pPr>
        <w:rPr>
          <w:lang w:eastAsia="en-AU"/>
        </w:rPr>
      </w:pPr>
      <w:r>
        <w:rPr>
          <w:lang w:eastAsia="en-AU"/>
        </w:rPr>
        <w:t>Providers are paid from the applicable date (e.g. admission; re-appraisal start date) based on their internally completed, self-assessed ACFI claims, which are submitted to the Department. The Department can audit the submission with no set time frame, after the funding has been paid to the provider, via their review or audit program.</w:t>
      </w:r>
    </w:p>
    <w:p w:rsidR="00980F62" w:rsidRDefault="00147D5F" w:rsidP="00872E39">
      <w:pPr>
        <w:pStyle w:val="Heading4-Chapter1031"/>
      </w:pPr>
      <w:r w:rsidRPr="00F4275E">
        <w:t xml:space="preserve">Review </w:t>
      </w:r>
      <w:r>
        <w:t xml:space="preserve">or Audit </w:t>
      </w:r>
      <w:r w:rsidRPr="00F4275E">
        <w:t>Program</w:t>
      </w:r>
    </w:p>
    <w:p w:rsidR="00980F62" w:rsidRDefault="00147D5F" w:rsidP="003D74A2">
      <w:pPr>
        <w:rPr>
          <w:lang w:eastAsia="en-AU"/>
        </w:rPr>
      </w:pPr>
      <w:r w:rsidRPr="0008597C">
        <w:rPr>
          <w:lang w:eastAsia="en-AU"/>
        </w:rPr>
        <w:t xml:space="preserve">The Review Program was established </w:t>
      </w:r>
      <w:r>
        <w:rPr>
          <w:lang w:eastAsia="en-AU"/>
        </w:rPr>
        <w:t xml:space="preserve">to ensure that funding </w:t>
      </w:r>
      <w:r w:rsidRPr="0008597C">
        <w:rPr>
          <w:lang w:eastAsia="en-AU"/>
        </w:rPr>
        <w:t xml:space="preserve">appraisals were completed as per the Classification Principles (ACFI User Guide) and reflect the </w:t>
      </w:r>
      <w:r>
        <w:rPr>
          <w:lang w:eastAsia="en-AU"/>
        </w:rPr>
        <w:t xml:space="preserve">resident </w:t>
      </w:r>
      <w:r w:rsidRPr="0008597C">
        <w:rPr>
          <w:lang w:eastAsia="en-AU"/>
        </w:rPr>
        <w:t>care needs at the time of signing.</w:t>
      </w:r>
      <w:r>
        <w:rPr>
          <w:lang w:eastAsia="en-AU"/>
        </w:rPr>
        <w:t xml:space="preserve"> </w:t>
      </w:r>
      <w:r w:rsidRPr="0008597C">
        <w:rPr>
          <w:lang w:eastAsia="en-AU"/>
        </w:rPr>
        <w:t xml:space="preserve">Providers complete their resident appraisals using the ACFI User Guide and Answer Appraisal Pack. As the </w:t>
      </w:r>
      <w:r>
        <w:rPr>
          <w:lang w:eastAsia="en-AU"/>
        </w:rPr>
        <w:t>Department</w:t>
      </w:r>
      <w:r w:rsidRPr="0008597C">
        <w:rPr>
          <w:lang w:eastAsia="en-AU"/>
        </w:rPr>
        <w:t xml:space="preserve"> audit </w:t>
      </w:r>
      <w:r>
        <w:rPr>
          <w:lang w:eastAsia="en-AU"/>
        </w:rPr>
        <w:t>is supposed to cover</w:t>
      </w:r>
      <w:r w:rsidRPr="0008597C">
        <w:rPr>
          <w:lang w:eastAsia="en-AU"/>
        </w:rPr>
        <w:t xml:space="preserve"> only the period when the resident was appraised for their care requirements, providers need to make sure</w:t>
      </w:r>
      <w:r>
        <w:rPr>
          <w:lang w:eastAsia="en-AU"/>
        </w:rPr>
        <w:t>,</w:t>
      </w:r>
      <w:r w:rsidRPr="0008597C">
        <w:rPr>
          <w:lang w:eastAsia="en-AU"/>
        </w:rPr>
        <w:t xml:space="preserve"> either via their software system or paper documentation, that the specified materials for accountability and audit purposes are available.</w:t>
      </w:r>
    </w:p>
    <w:p w:rsidR="00980F62" w:rsidRDefault="00147D5F" w:rsidP="003D74A2">
      <w:pPr>
        <w:rPr>
          <w:rFonts w:cstheme="minorHAnsi"/>
          <w:szCs w:val="24"/>
        </w:rPr>
      </w:pPr>
      <w:r>
        <w:rPr>
          <w:rFonts w:cstheme="minorHAnsi"/>
          <w:szCs w:val="24"/>
        </w:rPr>
        <w:t xml:space="preserve">The Department ROs who conduct the audits check if the ACFI appraisal reflects the resident’s care needs at the time of ACFI appraisal submission. The methods used to conduct audits include checking the completeness and accuracy of the Answer Appraisal Pack and congruence between the ACFI appraisal documentation and clinical reports, assessment information, discussions with care staff, and observations and interviews with the resident. Downgrades result in retrospective funding reductions. </w:t>
      </w:r>
      <w:r w:rsidRPr="005432E5">
        <w:rPr>
          <w:rFonts w:cstheme="minorHAnsi"/>
          <w:szCs w:val="24"/>
        </w:rPr>
        <w:t>These reductions are backdated to the ACFI appraisal prior to the current classification change, which can result in a severe financial penalty.</w:t>
      </w:r>
    </w:p>
    <w:p w:rsidR="00980F62" w:rsidRDefault="00147D5F" w:rsidP="003D74A2">
      <w:pPr>
        <w:rPr>
          <w:rFonts w:cstheme="minorHAnsi"/>
          <w:szCs w:val="24"/>
        </w:rPr>
      </w:pPr>
      <w:r>
        <w:rPr>
          <w:rFonts w:cstheme="minorHAnsi"/>
          <w:szCs w:val="24"/>
        </w:rPr>
        <w:t>The</w:t>
      </w:r>
      <w:r w:rsidRPr="005C64B4">
        <w:rPr>
          <w:rFonts w:cstheme="minorHAnsi"/>
          <w:szCs w:val="24"/>
        </w:rPr>
        <w:t xml:space="preserve"> Review Program has both </w:t>
      </w:r>
      <w:r>
        <w:rPr>
          <w:rFonts w:cstheme="minorHAnsi"/>
          <w:szCs w:val="24"/>
        </w:rPr>
        <w:t xml:space="preserve">targeted and random </w:t>
      </w:r>
      <w:r w:rsidRPr="005C64B4">
        <w:rPr>
          <w:rFonts w:cstheme="minorHAnsi"/>
          <w:szCs w:val="24"/>
        </w:rPr>
        <w:t>components. The targeted component conside</w:t>
      </w:r>
      <w:r>
        <w:rPr>
          <w:rFonts w:cstheme="minorHAnsi"/>
          <w:szCs w:val="24"/>
        </w:rPr>
        <w:t xml:space="preserve">rs the </w:t>
      </w:r>
      <w:r w:rsidRPr="005C64B4">
        <w:rPr>
          <w:rFonts w:cstheme="minorHAnsi"/>
          <w:szCs w:val="24"/>
        </w:rPr>
        <w:t>classification</w:t>
      </w:r>
      <w:r>
        <w:rPr>
          <w:rFonts w:cstheme="minorHAnsi"/>
          <w:szCs w:val="24"/>
        </w:rPr>
        <w:t xml:space="preserve"> profiles</w:t>
      </w:r>
      <w:r w:rsidRPr="005C64B4">
        <w:rPr>
          <w:rFonts w:cstheme="minorHAnsi"/>
          <w:szCs w:val="24"/>
        </w:rPr>
        <w:t xml:space="preserve"> and review history of a </w:t>
      </w:r>
      <w:r>
        <w:rPr>
          <w:rFonts w:cstheme="minorHAnsi"/>
          <w:szCs w:val="24"/>
        </w:rPr>
        <w:t>provider</w:t>
      </w:r>
      <w:r w:rsidRPr="005C64B4">
        <w:rPr>
          <w:rFonts w:cstheme="minorHAnsi"/>
          <w:szCs w:val="24"/>
        </w:rPr>
        <w:t xml:space="preserve">. </w:t>
      </w:r>
      <w:r>
        <w:rPr>
          <w:rFonts w:cstheme="minorHAnsi"/>
          <w:szCs w:val="24"/>
        </w:rPr>
        <w:t xml:space="preserve">While the targeted review can cover the entire ACFI question set, in most instances it </w:t>
      </w:r>
      <w:r w:rsidRPr="005C64B4">
        <w:rPr>
          <w:rFonts w:cstheme="minorHAnsi"/>
          <w:szCs w:val="24"/>
        </w:rPr>
        <w:t>focus</w:t>
      </w:r>
      <w:r>
        <w:rPr>
          <w:rFonts w:cstheme="minorHAnsi"/>
          <w:szCs w:val="24"/>
        </w:rPr>
        <w:t>es</w:t>
      </w:r>
      <w:r w:rsidRPr="005C64B4">
        <w:rPr>
          <w:rFonts w:cstheme="minorHAnsi"/>
          <w:szCs w:val="24"/>
        </w:rPr>
        <w:t xml:space="preserve"> on particular questions or question sets at individual </w:t>
      </w:r>
      <w:r>
        <w:rPr>
          <w:rFonts w:cstheme="minorHAnsi"/>
          <w:szCs w:val="24"/>
        </w:rPr>
        <w:t>facilities</w:t>
      </w:r>
      <w:r w:rsidRPr="005C64B4">
        <w:rPr>
          <w:rFonts w:cstheme="minorHAnsi"/>
          <w:szCs w:val="24"/>
        </w:rPr>
        <w:t xml:space="preserve"> where previous full classification reviews have revealed possible systematic problems</w:t>
      </w:r>
      <w:r>
        <w:rPr>
          <w:rFonts w:cstheme="minorHAnsi"/>
          <w:szCs w:val="24"/>
        </w:rPr>
        <w:t>. The</w:t>
      </w:r>
      <w:r w:rsidRPr="005C64B4">
        <w:rPr>
          <w:rFonts w:cstheme="minorHAnsi"/>
          <w:szCs w:val="24"/>
        </w:rPr>
        <w:t xml:space="preserve"> random component </w:t>
      </w:r>
      <w:r>
        <w:rPr>
          <w:rFonts w:cstheme="minorHAnsi"/>
          <w:szCs w:val="24"/>
        </w:rPr>
        <w:t>is used to</w:t>
      </w:r>
      <w:r w:rsidRPr="005C64B4">
        <w:rPr>
          <w:rFonts w:cstheme="minorHAnsi"/>
          <w:szCs w:val="24"/>
        </w:rPr>
        <w:t xml:space="preserve"> monitor the effectiveness of the targeted reviews and to assist in the identification of systemic issues.</w:t>
      </w:r>
    </w:p>
    <w:p w:rsidR="00147D5F" w:rsidRPr="00107D28" w:rsidRDefault="00147D5F" w:rsidP="00872E39">
      <w:pPr>
        <w:pStyle w:val="Heading4-Chapter1031"/>
      </w:pPr>
      <w:r>
        <w:t>Review Officer (RO)</w:t>
      </w:r>
      <w:r w:rsidRPr="00585D15">
        <w:t xml:space="preserve"> Workforce</w:t>
      </w:r>
    </w:p>
    <w:p w:rsidR="00147D5F" w:rsidRPr="00585D15" w:rsidRDefault="00147D5F" w:rsidP="003D74A2">
      <w:r>
        <w:t xml:space="preserve">Traditionally, the role of a </w:t>
      </w:r>
      <w:r w:rsidRPr="00585D15">
        <w:t xml:space="preserve">RO has been undertaken by a Commonwealth Nursing Officer (CNO). In 2012, non-CNO staff were introduced to undertake ACFI reviews. While it is not a legislative or policy requirement that ROs are </w:t>
      </w:r>
      <w:r>
        <w:t>RNs</w:t>
      </w:r>
      <w:r w:rsidRPr="00585D15">
        <w:t xml:space="preserve">, it was initially considered beneficial to the implementation of the review program given the clinical nature of some ACFI questions. </w:t>
      </w:r>
      <w:r>
        <w:t xml:space="preserve">The </w:t>
      </w:r>
      <w:r>
        <w:rPr>
          <w:lang w:eastAsia="en-AU"/>
        </w:rPr>
        <w:t>Department</w:t>
      </w:r>
      <w:r>
        <w:t xml:space="preserve"> wished to broaden the professional background of ROs. In </w:t>
      </w:r>
      <w:r w:rsidRPr="00585D15">
        <w:t>August 2012</w:t>
      </w:r>
      <w:r>
        <w:t>,</w:t>
      </w:r>
      <w:r w:rsidRPr="00585D15">
        <w:t xml:space="preserve"> a trial </w:t>
      </w:r>
      <w:r>
        <w:t>of</w:t>
      </w:r>
      <w:r w:rsidRPr="00585D15">
        <w:t xml:space="preserve"> the use of non-CNO officers to undertake ACFI reviews was conducted</w:t>
      </w:r>
      <w:r>
        <w:t xml:space="preserve"> in Victoria</w:t>
      </w:r>
      <w:r w:rsidRPr="00585D15">
        <w:t xml:space="preserve">. The results from the trial </w:t>
      </w:r>
      <w:r>
        <w:t>showed</w:t>
      </w:r>
      <w:r w:rsidRPr="00585D15">
        <w:t xml:space="preserve"> that with clinical support, ROs without a clinical background were proficient in conducting the ACFI reviews.</w:t>
      </w:r>
      <w:r>
        <w:t xml:space="preserve"> Currently around 60</w:t>
      </w:r>
      <w:r w:rsidR="0065091B">
        <w:t xml:space="preserve"> per cent</w:t>
      </w:r>
      <w:r>
        <w:t xml:space="preserve"> of ROs are CNOs and 40</w:t>
      </w:r>
      <w:r w:rsidR="0065091B">
        <w:t xml:space="preserve"> per cent</w:t>
      </w:r>
      <w:r>
        <w:t xml:space="preserve"> non-CNOs. </w:t>
      </w:r>
      <w:r w:rsidRPr="00585D15">
        <w:t>ROs with a clinical background tend to approach audits with a clinical focus by devoting additional time to understand</w:t>
      </w:r>
      <w:r>
        <w:t>ing</w:t>
      </w:r>
      <w:r w:rsidRPr="00585D15">
        <w:t xml:space="preserve"> the impact of medical conditions on the que</w:t>
      </w:r>
      <w:r>
        <w:t xml:space="preserve">stion ratings. </w:t>
      </w:r>
      <w:r w:rsidRPr="00585D15">
        <w:t>Non-CNOs generally approach reviews from a stringent audit perspective, focusing on checking compliance aspects (for example the dates for various documentation) and requirements of the ACFI User Guide</w:t>
      </w:r>
      <w:r>
        <w:t xml:space="preserve"> and liaise </w:t>
      </w:r>
      <w:r w:rsidRPr="00585D15">
        <w:t>with their peers to clarify clinical</w:t>
      </w:r>
      <w:r>
        <w:t>ly</w:t>
      </w:r>
      <w:r w:rsidRPr="00585D15">
        <w:t>-based queries when required.</w:t>
      </w:r>
    </w:p>
    <w:p w:rsidR="00147D5F" w:rsidRPr="001711F6" w:rsidRDefault="00147D5F" w:rsidP="00C16758">
      <w:pPr>
        <w:pStyle w:val="Heading4-Chapter1031"/>
      </w:pPr>
      <w:bookmarkStart w:id="686" w:name="_Toc489386722"/>
      <w:bookmarkStart w:id="687" w:name="_Toc486600091"/>
      <w:r w:rsidRPr="001711F6">
        <w:t>Numbers of assessments and reviews since ACFI began</w:t>
      </w:r>
      <w:bookmarkEnd w:id="686"/>
    </w:p>
    <w:p w:rsidR="00980F62" w:rsidRDefault="00147D5F" w:rsidP="003D74A2">
      <w:pPr>
        <w:rPr>
          <w:lang w:eastAsia="en-AU"/>
        </w:rPr>
      </w:pPr>
      <w:r>
        <w:rPr>
          <w:lang w:eastAsia="en-AU"/>
        </w:rPr>
        <w:t xml:space="preserve">The number of ACFI appraisals and Department Reviews to June 2016 are shown in </w:t>
      </w:r>
      <w:hyperlink w:anchor="Tab1005" w:history="1">
        <w:r w:rsidRPr="00932DED">
          <w:rPr>
            <w:rStyle w:val="Hyperlink"/>
            <w:lang w:eastAsia="en-AU"/>
          </w:rPr>
          <w:t>Table 10.5</w:t>
        </w:r>
      </w:hyperlink>
      <w:r>
        <w:rPr>
          <w:lang w:eastAsia="en-AU"/>
        </w:rPr>
        <w:t xml:space="preserve"> based on data supplied for this project (refer </w:t>
      </w:r>
      <w:hyperlink w:anchor="Ch02" w:history="1">
        <w:r w:rsidRPr="00CF7AFA">
          <w:rPr>
            <w:rStyle w:val="Hyperlink"/>
            <w:lang w:eastAsia="en-AU"/>
          </w:rPr>
          <w:t>Chapter 2</w:t>
        </w:r>
      </w:hyperlink>
      <w:r>
        <w:rPr>
          <w:lang w:eastAsia="en-AU"/>
        </w:rPr>
        <w:t>).</w:t>
      </w:r>
      <w:r w:rsidR="007A576E">
        <w:rPr>
          <w:lang w:eastAsia="en-AU"/>
        </w:rPr>
        <w:t xml:space="preserve"> </w:t>
      </w:r>
      <w:r>
        <w:rPr>
          <w:lang w:eastAsia="en-AU"/>
        </w:rPr>
        <w:t>Appraisals</w:t>
      </w:r>
      <w:r w:rsidRPr="00377093">
        <w:rPr>
          <w:lang w:eastAsia="en-AU"/>
        </w:rPr>
        <w:t xml:space="preserve"> and </w:t>
      </w:r>
      <w:r>
        <w:rPr>
          <w:lang w:eastAsia="en-AU"/>
        </w:rPr>
        <w:t xml:space="preserve">Department </w:t>
      </w:r>
      <w:r w:rsidRPr="00377093">
        <w:rPr>
          <w:lang w:eastAsia="en-AU"/>
        </w:rPr>
        <w:t>reviews are shown by financial year, based on ACFI appraisal date.</w:t>
      </w:r>
      <w:r w:rsidR="007A576E">
        <w:rPr>
          <w:lang w:eastAsia="en-AU"/>
        </w:rPr>
        <w:t xml:space="preserve"> </w:t>
      </w:r>
      <w:r>
        <w:rPr>
          <w:lang w:eastAsia="en-AU"/>
        </w:rPr>
        <w:t>Data for 2017 are shown in italics to reflect they are incomplete. Provider submitted ACFI appraisals for any reason are included. D</w:t>
      </w:r>
      <w:bookmarkStart w:id="688" w:name="_Hlk489180531"/>
      <w:r>
        <w:rPr>
          <w:lang w:eastAsia="en-AU"/>
        </w:rPr>
        <w:t>epartment reviews exclude second reviews and Administrative Appeals Tribunal cases</w:t>
      </w:r>
      <w:bookmarkEnd w:id="688"/>
      <w:r>
        <w:rPr>
          <w:lang w:eastAsia="en-AU"/>
        </w:rPr>
        <w:t>.</w:t>
      </w:r>
      <w:r w:rsidRPr="00C37D48">
        <w:rPr>
          <w:lang w:eastAsia="en-AU"/>
        </w:rPr>
        <w:t xml:space="preserve"> </w:t>
      </w:r>
      <w:r>
        <w:rPr>
          <w:lang w:eastAsia="en-AU"/>
        </w:rPr>
        <w:t xml:space="preserve">The review rates in </w:t>
      </w:r>
      <w:hyperlink w:anchor="Tab1005" w:history="1">
        <w:r w:rsidRPr="00932DED">
          <w:rPr>
            <w:rStyle w:val="Hyperlink"/>
            <w:lang w:eastAsia="en-AU"/>
          </w:rPr>
          <w:t>Table 10.5</w:t>
        </w:r>
      </w:hyperlink>
      <w:r>
        <w:rPr>
          <w:lang w:eastAsia="en-AU"/>
        </w:rPr>
        <w:t xml:space="preserve"> and illustrated in </w:t>
      </w:r>
      <w:hyperlink w:anchor="Fig1001" w:history="1">
        <w:r w:rsidRPr="00E00E18">
          <w:rPr>
            <w:rStyle w:val="Hyperlink"/>
            <w:lang w:eastAsia="en-AU"/>
          </w:rPr>
          <w:t>Figure 10.1</w:t>
        </w:r>
      </w:hyperlink>
      <w:r>
        <w:rPr>
          <w:lang w:eastAsia="en-AU"/>
        </w:rPr>
        <w:t xml:space="preserve"> were calculated by dividing the number of Department reviews dated in a financial year by the numbers of provider ACFI appraisal start dates in the same financial year. Department reviews (audits) are on average done about 4 months after the ACFI appraisal start date.</w:t>
      </w:r>
    </w:p>
    <w:p w:rsidR="00147D5F" w:rsidRDefault="00147D5F" w:rsidP="00147D5F">
      <w:pPr>
        <w:spacing w:after="200"/>
        <w:rPr>
          <w:rFonts w:ascii="Calibri" w:hAnsi="Calibri" w:cs="Times New Roman"/>
          <w:b/>
          <w:iCs/>
          <w:szCs w:val="18"/>
          <w:lang w:eastAsia="en-AU"/>
        </w:rPr>
      </w:pPr>
      <w:bookmarkStart w:id="689" w:name="_Toc486600220"/>
      <w:bookmarkStart w:id="690" w:name="_Toc486605060"/>
      <w:bookmarkStart w:id="691" w:name="_Toc486605222"/>
      <w:r>
        <w:rPr>
          <w:lang w:eastAsia="en-AU"/>
        </w:rPr>
        <w:br w:type="page"/>
      </w:r>
    </w:p>
    <w:p w:rsidR="0065582B" w:rsidRDefault="0065582B" w:rsidP="0065582B">
      <w:pPr>
        <w:pStyle w:val="Caption"/>
        <w:keepNext/>
      </w:pPr>
      <w:bookmarkStart w:id="692" w:name="_Toc495416858"/>
      <w:bookmarkStart w:id="693" w:name="Tab1005"/>
      <w:bookmarkEnd w:id="689"/>
      <w:bookmarkEnd w:id="690"/>
      <w:bookmarkEnd w:id="691"/>
      <w:r>
        <w:lastRenderedPageBreak/>
        <w:t>Table 10.</w:t>
      </w:r>
      <w:r w:rsidR="009A3F5A">
        <w:fldChar w:fldCharType="begin"/>
      </w:r>
      <w:r w:rsidR="009A3F5A">
        <w:instrText xml:space="preserve"> SEQ Table_10. \* ARABIC </w:instrText>
      </w:r>
      <w:r w:rsidR="009A3F5A">
        <w:fldChar w:fldCharType="separate"/>
      </w:r>
      <w:r w:rsidR="00856E49">
        <w:rPr>
          <w:noProof/>
        </w:rPr>
        <w:t>5</w:t>
      </w:r>
      <w:r w:rsidR="009A3F5A">
        <w:rPr>
          <w:noProof/>
        </w:rPr>
        <w:fldChar w:fldCharType="end"/>
      </w:r>
      <w:r>
        <w:t xml:space="preserve">: </w:t>
      </w:r>
      <w:r w:rsidRPr="0065582B">
        <w:t>Numbers of ACFI appraisals and Department reviews (supplied ACFI data)</w:t>
      </w:r>
      <w:bookmarkEnd w:id="692"/>
    </w:p>
    <w:tbl>
      <w:tblPr>
        <w:tblStyle w:val="ListTable3-Accent515"/>
        <w:tblW w:w="5245"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10.5 is a list of the number of aged care funding instrument (ACFI) appraisals, Department of Health reviews and the review rates from 2008 to 2017, as summarised in the text prior to this table. This table is to be read left to right, top to bottom, noting the 2017 data is incomplete."/>
      </w:tblPr>
      <w:tblGrid>
        <w:gridCol w:w="993"/>
        <w:gridCol w:w="1417"/>
        <w:gridCol w:w="1620"/>
        <w:gridCol w:w="1215"/>
      </w:tblGrid>
      <w:tr w:rsidR="00147D5F" w:rsidRPr="006C547D" w:rsidTr="00873DD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993" w:type="dxa"/>
            <w:tcBorders>
              <w:bottom w:val="none" w:sz="0" w:space="0" w:color="auto"/>
              <w:right w:val="none" w:sz="0" w:space="0" w:color="auto"/>
            </w:tcBorders>
            <w:noWrap/>
            <w:hideMark/>
          </w:tcPr>
          <w:bookmarkEnd w:id="693"/>
          <w:p w:rsidR="00147D5F" w:rsidRPr="00985D19" w:rsidRDefault="00147D5F" w:rsidP="00873DDA">
            <w:pPr>
              <w:spacing w:after="0"/>
              <w:jc w:val="left"/>
              <w:rPr>
                <w:rFonts w:ascii="Calibri" w:eastAsia="Times New Roman" w:hAnsi="Calibri" w:cs="Calibri"/>
                <w:bCs w:val="0"/>
                <w:sz w:val="22"/>
                <w:lang w:val="en-US"/>
              </w:rPr>
            </w:pPr>
            <w:r w:rsidRPr="00985D19">
              <w:rPr>
                <w:rFonts w:ascii="Calibri" w:eastAsia="Times New Roman" w:hAnsi="Calibri" w:cs="Calibri"/>
                <w:bCs w:val="0"/>
                <w:sz w:val="22"/>
                <w:lang w:val="en-US"/>
              </w:rPr>
              <w:t>Year to 30 June</w:t>
            </w:r>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noWrap/>
            <w:hideMark/>
          </w:tcPr>
          <w:p w:rsidR="00147D5F" w:rsidRPr="00985D19" w:rsidRDefault="00147D5F" w:rsidP="00E75CEC">
            <w:pPr>
              <w:spacing w:after="0"/>
              <w:jc w:val="center"/>
              <w:rPr>
                <w:rFonts w:ascii="Calibri" w:eastAsia="Times New Roman" w:hAnsi="Calibri" w:cs="Calibri"/>
                <w:bCs w:val="0"/>
                <w:sz w:val="22"/>
                <w:lang w:val="en-US"/>
              </w:rPr>
            </w:pPr>
            <w:r>
              <w:rPr>
                <w:rFonts w:ascii="Calibri" w:eastAsia="Times New Roman" w:hAnsi="Calibri" w:cs="Calibri"/>
                <w:bCs w:val="0"/>
                <w:sz w:val="22"/>
                <w:lang w:val="en-US"/>
              </w:rPr>
              <w:t>ACFI Appraisals</w:t>
            </w:r>
          </w:p>
        </w:tc>
        <w:tc>
          <w:tcPr>
            <w:tcW w:w="1620" w:type="dxa"/>
            <w:noWrap/>
            <w:hideMark/>
          </w:tcPr>
          <w:p w:rsidR="00147D5F" w:rsidRPr="00985D19" w:rsidRDefault="00147D5F" w:rsidP="00E75CEC">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2"/>
                <w:lang w:val="en-US"/>
              </w:rPr>
            </w:pPr>
            <w:r>
              <w:rPr>
                <w:rFonts w:ascii="Calibri" w:eastAsia="Times New Roman" w:hAnsi="Calibri" w:cs="Calibri"/>
                <w:bCs w:val="0"/>
                <w:sz w:val="22"/>
                <w:lang w:val="en-US"/>
              </w:rPr>
              <w:t xml:space="preserve">Department </w:t>
            </w:r>
            <w:r w:rsidRPr="00985D19">
              <w:rPr>
                <w:rFonts w:ascii="Calibri" w:eastAsia="Times New Roman" w:hAnsi="Calibri" w:cs="Calibri"/>
                <w:bCs w:val="0"/>
                <w:sz w:val="22"/>
                <w:lang w:val="en-US"/>
              </w:rPr>
              <w:t>Reviews</w:t>
            </w:r>
          </w:p>
        </w:tc>
        <w:tc>
          <w:tcPr>
            <w:cnfStyle w:val="000010000000" w:firstRow="0" w:lastRow="0" w:firstColumn="0" w:lastColumn="0" w:oddVBand="1" w:evenVBand="0" w:oddHBand="0" w:evenHBand="0" w:firstRowFirstColumn="0" w:firstRowLastColumn="0" w:lastRowFirstColumn="0" w:lastRowLastColumn="0"/>
            <w:tcW w:w="1215" w:type="dxa"/>
            <w:tcBorders>
              <w:left w:val="none" w:sz="0" w:space="0" w:color="auto"/>
              <w:right w:val="none" w:sz="0" w:space="0" w:color="auto"/>
            </w:tcBorders>
            <w:noWrap/>
            <w:hideMark/>
          </w:tcPr>
          <w:p w:rsidR="00147D5F" w:rsidRPr="00985D19" w:rsidRDefault="00873DDA" w:rsidP="00E75CEC">
            <w:pPr>
              <w:spacing w:after="0"/>
              <w:jc w:val="center"/>
              <w:rPr>
                <w:rFonts w:ascii="Calibri" w:eastAsia="Times New Roman" w:hAnsi="Calibri" w:cs="Calibri"/>
                <w:bCs w:val="0"/>
                <w:sz w:val="22"/>
                <w:lang w:val="en-US"/>
              </w:rPr>
            </w:pPr>
            <w:r>
              <w:rPr>
                <w:rFonts w:ascii="Calibri" w:eastAsia="Times New Roman" w:hAnsi="Calibri" w:cs="Calibri"/>
                <w:bCs w:val="0"/>
                <w:sz w:val="22"/>
                <w:lang w:val="en-US"/>
              </w:rPr>
              <w:t>Review R</w:t>
            </w:r>
            <w:r w:rsidR="00147D5F" w:rsidRPr="00985D19">
              <w:rPr>
                <w:rFonts w:ascii="Calibri" w:eastAsia="Times New Roman" w:hAnsi="Calibri" w:cs="Calibri"/>
                <w:bCs w:val="0"/>
                <w:sz w:val="22"/>
                <w:lang w:val="en-US"/>
              </w:rPr>
              <w:t>ate</w:t>
            </w:r>
          </w:p>
        </w:tc>
      </w:tr>
      <w:tr w:rsidR="00147D5F" w:rsidRPr="006C547D" w:rsidTr="00873D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noWrap/>
            <w:hideMark/>
          </w:tcPr>
          <w:p w:rsidR="00147D5F" w:rsidRPr="006C547D" w:rsidRDefault="00147D5F" w:rsidP="00873DDA">
            <w:pPr>
              <w:spacing w:after="0"/>
              <w:jc w:val="left"/>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2008</w:t>
            </w: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noWrap/>
            <w:hideMark/>
          </w:tcPr>
          <w:p w:rsidR="00147D5F" w:rsidRPr="006C547D" w:rsidRDefault="00147D5F" w:rsidP="00E75CEC">
            <w:pPr>
              <w:spacing w:after="0"/>
              <w:jc w:val="center"/>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47,427</w:t>
            </w:r>
          </w:p>
        </w:tc>
        <w:tc>
          <w:tcPr>
            <w:tcW w:w="1620" w:type="dxa"/>
            <w:tcBorders>
              <w:top w:val="none" w:sz="0" w:space="0" w:color="auto"/>
              <w:bottom w:val="none" w:sz="0" w:space="0" w:color="auto"/>
            </w:tcBorders>
            <w:noWrap/>
            <w:hideMark/>
          </w:tcPr>
          <w:p w:rsidR="00147D5F" w:rsidRPr="006C547D" w:rsidRDefault="00873DDA" w:rsidP="00E75CE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Pr>
                <w:rFonts w:ascii="Calibri" w:eastAsia="Times New Roman" w:hAnsi="Calibri" w:cs="Calibri"/>
                <w:color w:val="000000"/>
                <w:sz w:val="22"/>
                <w:lang w:val="en-US"/>
              </w:rPr>
              <w:t>NA</w:t>
            </w:r>
          </w:p>
        </w:tc>
        <w:tc>
          <w:tcPr>
            <w:cnfStyle w:val="000010000000" w:firstRow="0" w:lastRow="0" w:firstColumn="0" w:lastColumn="0" w:oddVBand="1" w:evenVBand="0" w:oddHBand="0" w:evenHBand="0" w:firstRowFirstColumn="0" w:firstRowLastColumn="0" w:lastRowFirstColumn="0" w:lastRowLastColumn="0"/>
            <w:tcW w:w="1215" w:type="dxa"/>
            <w:tcBorders>
              <w:top w:val="none" w:sz="0" w:space="0" w:color="auto"/>
              <w:left w:val="none" w:sz="0" w:space="0" w:color="auto"/>
              <w:bottom w:val="none" w:sz="0" w:space="0" w:color="auto"/>
              <w:right w:val="none" w:sz="0" w:space="0" w:color="auto"/>
            </w:tcBorders>
            <w:noWrap/>
            <w:hideMark/>
          </w:tcPr>
          <w:p w:rsidR="00147D5F" w:rsidRPr="00873DDA" w:rsidRDefault="00873DDA" w:rsidP="00E75CEC">
            <w:pPr>
              <w:spacing w:after="0"/>
              <w:jc w:val="center"/>
              <w:rPr>
                <w:rFonts w:ascii="Calibri" w:eastAsia="Times New Roman" w:hAnsi="Calibri" w:cs="Calibri"/>
                <w:color w:val="000000"/>
                <w:sz w:val="22"/>
                <w:lang w:val="en-US"/>
              </w:rPr>
            </w:pPr>
            <w:r w:rsidRPr="00873DDA">
              <w:rPr>
                <w:rFonts w:ascii="Calibri" w:eastAsia="Times New Roman" w:hAnsi="Calibri" w:cs="Calibri"/>
                <w:color w:val="000000"/>
                <w:sz w:val="22"/>
                <w:lang w:val="en-US"/>
              </w:rPr>
              <w:t>NA</w:t>
            </w:r>
          </w:p>
        </w:tc>
      </w:tr>
      <w:tr w:rsidR="00147D5F" w:rsidRPr="006C547D" w:rsidTr="00873DDA">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147D5F" w:rsidRPr="006C547D" w:rsidRDefault="00147D5F" w:rsidP="00873DDA">
            <w:pPr>
              <w:spacing w:after="0"/>
              <w:jc w:val="left"/>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2009</w:t>
            </w:r>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noWrap/>
            <w:hideMark/>
          </w:tcPr>
          <w:p w:rsidR="00147D5F" w:rsidRPr="006C547D" w:rsidRDefault="00147D5F" w:rsidP="00E75CEC">
            <w:pPr>
              <w:spacing w:after="0"/>
              <w:jc w:val="center"/>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186,722</w:t>
            </w:r>
          </w:p>
        </w:tc>
        <w:tc>
          <w:tcPr>
            <w:tcW w:w="1620" w:type="dxa"/>
            <w:noWrap/>
            <w:hideMark/>
          </w:tcPr>
          <w:p w:rsidR="00147D5F" w:rsidRPr="006C547D" w:rsidRDefault="00147D5F" w:rsidP="00E75CEC">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7,480</w:t>
            </w:r>
          </w:p>
        </w:tc>
        <w:tc>
          <w:tcPr>
            <w:cnfStyle w:val="000010000000" w:firstRow="0" w:lastRow="0" w:firstColumn="0" w:lastColumn="0" w:oddVBand="1" w:evenVBand="0" w:oddHBand="0" w:evenHBand="0" w:firstRowFirstColumn="0" w:firstRowLastColumn="0" w:lastRowFirstColumn="0" w:lastRowLastColumn="0"/>
            <w:tcW w:w="1215" w:type="dxa"/>
            <w:tcBorders>
              <w:left w:val="none" w:sz="0" w:space="0" w:color="auto"/>
              <w:right w:val="none" w:sz="0" w:space="0" w:color="auto"/>
            </w:tcBorders>
            <w:noWrap/>
            <w:hideMark/>
          </w:tcPr>
          <w:p w:rsidR="00147D5F" w:rsidRPr="006C547D" w:rsidRDefault="00147D5F" w:rsidP="00E75CEC">
            <w:pPr>
              <w:spacing w:after="0"/>
              <w:jc w:val="center"/>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0.040</w:t>
            </w:r>
          </w:p>
        </w:tc>
      </w:tr>
      <w:tr w:rsidR="00147D5F" w:rsidRPr="006C547D" w:rsidTr="00873D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noWrap/>
            <w:hideMark/>
          </w:tcPr>
          <w:p w:rsidR="00147D5F" w:rsidRPr="006C547D" w:rsidRDefault="00147D5F" w:rsidP="00873DDA">
            <w:pPr>
              <w:spacing w:after="0"/>
              <w:jc w:val="left"/>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2010</w:t>
            </w: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noWrap/>
            <w:hideMark/>
          </w:tcPr>
          <w:p w:rsidR="00147D5F" w:rsidRPr="006C547D" w:rsidRDefault="00147D5F" w:rsidP="00E75CEC">
            <w:pPr>
              <w:spacing w:after="0"/>
              <w:jc w:val="center"/>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139,095</w:t>
            </w:r>
          </w:p>
        </w:tc>
        <w:tc>
          <w:tcPr>
            <w:tcW w:w="1620" w:type="dxa"/>
            <w:tcBorders>
              <w:top w:val="none" w:sz="0" w:space="0" w:color="auto"/>
              <w:bottom w:val="none" w:sz="0" w:space="0" w:color="auto"/>
            </w:tcBorders>
            <w:noWrap/>
            <w:hideMark/>
          </w:tcPr>
          <w:p w:rsidR="00147D5F" w:rsidRPr="006C547D" w:rsidRDefault="00147D5F" w:rsidP="00E75CE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23,411</w:t>
            </w:r>
          </w:p>
        </w:tc>
        <w:tc>
          <w:tcPr>
            <w:cnfStyle w:val="000010000000" w:firstRow="0" w:lastRow="0" w:firstColumn="0" w:lastColumn="0" w:oddVBand="1" w:evenVBand="0" w:oddHBand="0" w:evenHBand="0" w:firstRowFirstColumn="0" w:firstRowLastColumn="0" w:lastRowFirstColumn="0" w:lastRowLastColumn="0"/>
            <w:tcW w:w="1215" w:type="dxa"/>
            <w:tcBorders>
              <w:top w:val="none" w:sz="0" w:space="0" w:color="auto"/>
              <w:left w:val="none" w:sz="0" w:space="0" w:color="auto"/>
              <w:bottom w:val="none" w:sz="0" w:space="0" w:color="auto"/>
              <w:right w:val="none" w:sz="0" w:space="0" w:color="auto"/>
            </w:tcBorders>
            <w:noWrap/>
            <w:hideMark/>
          </w:tcPr>
          <w:p w:rsidR="00147D5F" w:rsidRPr="006C547D" w:rsidRDefault="00147D5F" w:rsidP="00E75CEC">
            <w:pPr>
              <w:spacing w:after="0"/>
              <w:jc w:val="center"/>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0.168</w:t>
            </w:r>
          </w:p>
        </w:tc>
      </w:tr>
      <w:tr w:rsidR="00147D5F" w:rsidRPr="006C547D" w:rsidTr="00873DDA">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147D5F" w:rsidRPr="006C547D" w:rsidRDefault="00147D5F" w:rsidP="00873DDA">
            <w:pPr>
              <w:spacing w:after="0"/>
              <w:jc w:val="left"/>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2011</w:t>
            </w:r>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noWrap/>
            <w:hideMark/>
          </w:tcPr>
          <w:p w:rsidR="00147D5F" w:rsidRPr="006C547D" w:rsidRDefault="00147D5F" w:rsidP="00E75CEC">
            <w:pPr>
              <w:spacing w:after="0"/>
              <w:jc w:val="center"/>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144,403</w:t>
            </w:r>
          </w:p>
        </w:tc>
        <w:tc>
          <w:tcPr>
            <w:tcW w:w="1620" w:type="dxa"/>
            <w:noWrap/>
            <w:hideMark/>
          </w:tcPr>
          <w:p w:rsidR="00147D5F" w:rsidRPr="006C547D" w:rsidRDefault="00147D5F" w:rsidP="00E75CEC">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23,063</w:t>
            </w:r>
          </w:p>
        </w:tc>
        <w:tc>
          <w:tcPr>
            <w:cnfStyle w:val="000010000000" w:firstRow="0" w:lastRow="0" w:firstColumn="0" w:lastColumn="0" w:oddVBand="1" w:evenVBand="0" w:oddHBand="0" w:evenHBand="0" w:firstRowFirstColumn="0" w:firstRowLastColumn="0" w:lastRowFirstColumn="0" w:lastRowLastColumn="0"/>
            <w:tcW w:w="1215" w:type="dxa"/>
            <w:tcBorders>
              <w:left w:val="none" w:sz="0" w:space="0" w:color="auto"/>
              <w:right w:val="none" w:sz="0" w:space="0" w:color="auto"/>
            </w:tcBorders>
            <w:noWrap/>
            <w:hideMark/>
          </w:tcPr>
          <w:p w:rsidR="00147D5F" w:rsidRPr="006C547D" w:rsidRDefault="00147D5F" w:rsidP="00E75CEC">
            <w:pPr>
              <w:spacing w:after="0"/>
              <w:jc w:val="center"/>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0.160</w:t>
            </w:r>
          </w:p>
        </w:tc>
      </w:tr>
      <w:tr w:rsidR="00147D5F" w:rsidRPr="006C547D" w:rsidTr="00873D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noWrap/>
            <w:hideMark/>
          </w:tcPr>
          <w:p w:rsidR="00147D5F" w:rsidRPr="006C547D" w:rsidRDefault="00147D5F" w:rsidP="00873DDA">
            <w:pPr>
              <w:spacing w:after="0"/>
              <w:jc w:val="left"/>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2012</w:t>
            </w: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noWrap/>
            <w:hideMark/>
          </w:tcPr>
          <w:p w:rsidR="00147D5F" w:rsidRPr="006C547D" w:rsidRDefault="00147D5F" w:rsidP="00E75CEC">
            <w:pPr>
              <w:spacing w:after="0"/>
              <w:jc w:val="center"/>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151,047</w:t>
            </w:r>
          </w:p>
        </w:tc>
        <w:tc>
          <w:tcPr>
            <w:tcW w:w="1620" w:type="dxa"/>
            <w:tcBorders>
              <w:top w:val="none" w:sz="0" w:space="0" w:color="auto"/>
              <w:bottom w:val="none" w:sz="0" w:space="0" w:color="auto"/>
            </w:tcBorders>
            <w:noWrap/>
            <w:hideMark/>
          </w:tcPr>
          <w:p w:rsidR="00147D5F" w:rsidRPr="006C547D" w:rsidRDefault="00147D5F" w:rsidP="00E75CE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18,806</w:t>
            </w:r>
          </w:p>
        </w:tc>
        <w:tc>
          <w:tcPr>
            <w:cnfStyle w:val="000010000000" w:firstRow="0" w:lastRow="0" w:firstColumn="0" w:lastColumn="0" w:oddVBand="1" w:evenVBand="0" w:oddHBand="0" w:evenHBand="0" w:firstRowFirstColumn="0" w:firstRowLastColumn="0" w:lastRowFirstColumn="0" w:lastRowLastColumn="0"/>
            <w:tcW w:w="1215" w:type="dxa"/>
            <w:tcBorders>
              <w:top w:val="none" w:sz="0" w:space="0" w:color="auto"/>
              <w:left w:val="none" w:sz="0" w:space="0" w:color="auto"/>
              <w:bottom w:val="none" w:sz="0" w:space="0" w:color="auto"/>
              <w:right w:val="none" w:sz="0" w:space="0" w:color="auto"/>
            </w:tcBorders>
            <w:noWrap/>
            <w:hideMark/>
          </w:tcPr>
          <w:p w:rsidR="00147D5F" w:rsidRPr="006C547D" w:rsidRDefault="00147D5F" w:rsidP="00E75CEC">
            <w:pPr>
              <w:spacing w:after="0"/>
              <w:jc w:val="center"/>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0.125</w:t>
            </w:r>
          </w:p>
        </w:tc>
      </w:tr>
      <w:tr w:rsidR="00147D5F" w:rsidRPr="006C547D" w:rsidTr="00873DDA">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147D5F" w:rsidRPr="006C547D" w:rsidRDefault="00147D5F" w:rsidP="00873DDA">
            <w:pPr>
              <w:spacing w:after="0"/>
              <w:jc w:val="left"/>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2013</w:t>
            </w:r>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noWrap/>
            <w:hideMark/>
          </w:tcPr>
          <w:p w:rsidR="00147D5F" w:rsidRPr="006C547D" w:rsidRDefault="00147D5F" w:rsidP="00E75CEC">
            <w:pPr>
              <w:spacing w:after="0"/>
              <w:jc w:val="center"/>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145,493</w:t>
            </w:r>
          </w:p>
        </w:tc>
        <w:tc>
          <w:tcPr>
            <w:tcW w:w="1620" w:type="dxa"/>
            <w:noWrap/>
            <w:hideMark/>
          </w:tcPr>
          <w:p w:rsidR="00147D5F" w:rsidRPr="006C547D" w:rsidRDefault="00147D5F" w:rsidP="00E75CEC">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21,549</w:t>
            </w:r>
          </w:p>
        </w:tc>
        <w:tc>
          <w:tcPr>
            <w:cnfStyle w:val="000010000000" w:firstRow="0" w:lastRow="0" w:firstColumn="0" w:lastColumn="0" w:oddVBand="1" w:evenVBand="0" w:oddHBand="0" w:evenHBand="0" w:firstRowFirstColumn="0" w:firstRowLastColumn="0" w:lastRowFirstColumn="0" w:lastRowLastColumn="0"/>
            <w:tcW w:w="1215" w:type="dxa"/>
            <w:tcBorders>
              <w:left w:val="none" w:sz="0" w:space="0" w:color="auto"/>
              <w:right w:val="none" w:sz="0" w:space="0" w:color="auto"/>
            </w:tcBorders>
            <w:noWrap/>
            <w:hideMark/>
          </w:tcPr>
          <w:p w:rsidR="00147D5F" w:rsidRPr="006C547D" w:rsidRDefault="00147D5F" w:rsidP="00E75CEC">
            <w:pPr>
              <w:spacing w:after="0"/>
              <w:jc w:val="center"/>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0.148</w:t>
            </w:r>
          </w:p>
        </w:tc>
      </w:tr>
      <w:tr w:rsidR="00147D5F" w:rsidRPr="006C547D" w:rsidTr="00873D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noWrap/>
            <w:hideMark/>
          </w:tcPr>
          <w:p w:rsidR="00147D5F" w:rsidRPr="006C547D" w:rsidRDefault="00147D5F" w:rsidP="00873DDA">
            <w:pPr>
              <w:spacing w:after="0"/>
              <w:jc w:val="left"/>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2014</w:t>
            </w: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noWrap/>
            <w:hideMark/>
          </w:tcPr>
          <w:p w:rsidR="00147D5F" w:rsidRPr="006C547D" w:rsidRDefault="00147D5F" w:rsidP="00E75CEC">
            <w:pPr>
              <w:spacing w:after="0"/>
              <w:jc w:val="center"/>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152,040</w:t>
            </w:r>
          </w:p>
        </w:tc>
        <w:tc>
          <w:tcPr>
            <w:tcW w:w="1620" w:type="dxa"/>
            <w:tcBorders>
              <w:top w:val="none" w:sz="0" w:space="0" w:color="auto"/>
              <w:bottom w:val="none" w:sz="0" w:space="0" w:color="auto"/>
            </w:tcBorders>
            <w:noWrap/>
            <w:hideMark/>
          </w:tcPr>
          <w:p w:rsidR="00147D5F" w:rsidRPr="006C547D" w:rsidRDefault="00147D5F" w:rsidP="00E75CE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19,880</w:t>
            </w:r>
          </w:p>
        </w:tc>
        <w:tc>
          <w:tcPr>
            <w:cnfStyle w:val="000010000000" w:firstRow="0" w:lastRow="0" w:firstColumn="0" w:lastColumn="0" w:oddVBand="1" w:evenVBand="0" w:oddHBand="0" w:evenHBand="0" w:firstRowFirstColumn="0" w:firstRowLastColumn="0" w:lastRowFirstColumn="0" w:lastRowLastColumn="0"/>
            <w:tcW w:w="1215" w:type="dxa"/>
            <w:tcBorders>
              <w:top w:val="none" w:sz="0" w:space="0" w:color="auto"/>
              <w:left w:val="none" w:sz="0" w:space="0" w:color="auto"/>
              <w:bottom w:val="none" w:sz="0" w:space="0" w:color="auto"/>
              <w:right w:val="none" w:sz="0" w:space="0" w:color="auto"/>
            </w:tcBorders>
            <w:noWrap/>
            <w:hideMark/>
          </w:tcPr>
          <w:p w:rsidR="00147D5F" w:rsidRPr="006C547D" w:rsidRDefault="00147D5F" w:rsidP="00E75CEC">
            <w:pPr>
              <w:spacing w:after="0"/>
              <w:jc w:val="center"/>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0.131</w:t>
            </w:r>
          </w:p>
        </w:tc>
      </w:tr>
      <w:tr w:rsidR="00147D5F" w:rsidRPr="006C547D" w:rsidTr="00873DDA">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147D5F" w:rsidRPr="006C547D" w:rsidRDefault="00147D5F" w:rsidP="00873DDA">
            <w:pPr>
              <w:spacing w:after="0"/>
              <w:jc w:val="left"/>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2015</w:t>
            </w:r>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noWrap/>
            <w:hideMark/>
          </w:tcPr>
          <w:p w:rsidR="00147D5F" w:rsidRPr="006C547D" w:rsidRDefault="00147D5F" w:rsidP="00E75CEC">
            <w:pPr>
              <w:spacing w:after="0"/>
              <w:jc w:val="center"/>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147,256</w:t>
            </w:r>
          </w:p>
        </w:tc>
        <w:tc>
          <w:tcPr>
            <w:tcW w:w="1620" w:type="dxa"/>
            <w:noWrap/>
            <w:hideMark/>
          </w:tcPr>
          <w:p w:rsidR="00147D5F" w:rsidRPr="006C547D" w:rsidRDefault="00147D5F" w:rsidP="00E75CEC">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20,609</w:t>
            </w:r>
          </w:p>
        </w:tc>
        <w:tc>
          <w:tcPr>
            <w:cnfStyle w:val="000010000000" w:firstRow="0" w:lastRow="0" w:firstColumn="0" w:lastColumn="0" w:oddVBand="1" w:evenVBand="0" w:oddHBand="0" w:evenHBand="0" w:firstRowFirstColumn="0" w:firstRowLastColumn="0" w:lastRowFirstColumn="0" w:lastRowLastColumn="0"/>
            <w:tcW w:w="1215" w:type="dxa"/>
            <w:tcBorders>
              <w:left w:val="none" w:sz="0" w:space="0" w:color="auto"/>
              <w:right w:val="none" w:sz="0" w:space="0" w:color="auto"/>
            </w:tcBorders>
            <w:noWrap/>
            <w:hideMark/>
          </w:tcPr>
          <w:p w:rsidR="00147D5F" w:rsidRPr="006C547D" w:rsidRDefault="00147D5F" w:rsidP="00E75CEC">
            <w:pPr>
              <w:spacing w:after="0"/>
              <w:jc w:val="center"/>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0.140</w:t>
            </w:r>
          </w:p>
        </w:tc>
      </w:tr>
      <w:tr w:rsidR="00147D5F" w:rsidRPr="006C547D" w:rsidTr="00873D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noWrap/>
            <w:hideMark/>
          </w:tcPr>
          <w:p w:rsidR="00147D5F" w:rsidRPr="006C547D" w:rsidRDefault="00147D5F" w:rsidP="00873DDA">
            <w:pPr>
              <w:spacing w:after="0"/>
              <w:jc w:val="left"/>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2016</w:t>
            </w: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noWrap/>
            <w:hideMark/>
          </w:tcPr>
          <w:p w:rsidR="00147D5F" w:rsidRPr="006C547D" w:rsidRDefault="00147D5F" w:rsidP="00E75CEC">
            <w:pPr>
              <w:spacing w:after="0"/>
              <w:jc w:val="center"/>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150,843</w:t>
            </w:r>
          </w:p>
        </w:tc>
        <w:tc>
          <w:tcPr>
            <w:tcW w:w="1620" w:type="dxa"/>
            <w:tcBorders>
              <w:top w:val="none" w:sz="0" w:space="0" w:color="auto"/>
              <w:bottom w:val="none" w:sz="0" w:space="0" w:color="auto"/>
            </w:tcBorders>
            <w:noWrap/>
            <w:hideMark/>
          </w:tcPr>
          <w:p w:rsidR="00147D5F" w:rsidRPr="006C547D" w:rsidRDefault="00147D5F" w:rsidP="00E75CE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15,713</w:t>
            </w:r>
          </w:p>
        </w:tc>
        <w:tc>
          <w:tcPr>
            <w:cnfStyle w:val="000010000000" w:firstRow="0" w:lastRow="0" w:firstColumn="0" w:lastColumn="0" w:oddVBand="1" w:evenVBand="0" w:oddHBand="0" w:evenHBand="0" w:firstRowFirstColumn="0" w:firstRowLastColumn="0" w:lastRowFirstColumn="0" w:lastRowLastColumn="0"/>
            <w:tcW w:w="1215" w:type="dxa"/>
            <w:tcBorders>
              <w:top w:val="none" w:sz="0" w:space="0" w:color="auto"/>
              <w:left w:val="none" w:sz="0" w:space="0" w:color="auto"/>
              <w:bottom w:val="none" w:sz="0" w:space="0" w:color="auto"/>
              <w:right w:val="none" w:sz="0" w:space="0" w:color="auto"/>
            </w:tcBorders>
            <w:noWrap/>
            <w:hideMark/>
          </w:tcPr>
          <w:p w:rsidR="00147D5F" w:rsidRPr="006C547D" w:rsidRDefault="00147D5F" w:rsidP="00E75CEC">
            <w:pPr>
              <w:spacing w:after="0"/>
              <w:jc w:val="center"/>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0.104</w:t>
            </w:r>
          </w:p>
        </w:tc>
      </w:tr>
      <w:tr w:rsidR="00147D5F" w:rsidRPr="006C547D" w:rsidTr="00873DDA">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147D5F" w:rsidRPr="006C547D" w:rsidRDefault="00147D5F" w:rsidP="00873DDA">
            <w:pPr>
              <w:spacing w:after="0"/>
              <w:jc w:val="left"/>
              <w:rPr>
                <w:rFonts w:ascii="Calibri" w:eastAsia="Times New Roman" w:hAnsi="Calibri" w:cs="Calibri"/>
                <w:color w:val="000000"/>
                <w:sz w:val="22"/>
                <w:lang w:val="en-US"/>
              </w:rPr>
            </w:pPr>
            <w:r w:rsidRPr="006C547D">
              <w:rPr>
                <w:rFonts w:ascii="Calibri" w:eastAsia="Times New Roman" w:hAnsi="Calibri" w:cs="Calibri"/>
                <w:color w:val="000000"/>
                <w:sz w:val="22"/>
                <w:lang w:val="en-US"/>
              </w:rPr>
              <w:t>2017</w:t>
            </w:r>
            <w:r w:rsidRPr="00F56780">
              <w:rPr>
                <w:rFonts w:ascii="Calibri" w:eastAsia="Times New Roman" w:hAnsi="Calibri" w:cs="Calibri"/>
                <w:color w:val="000000"/>
                <w:sz w:val="22"/>
                <w:vertAlign w:val="superscript"/>
                <w:lang w:val="en-US"/>
              </w:rPr>
              <w:t>1</w:t>
            </w:r>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noWrap/>
            <w:hideMark/>
          </w:tcPr>
          <w:p w:rsidR="00147D5F" w:rsidRPr="006C547D" w:rsidRDefault="00147D5F" w:rsidP="00E75CEC">
            <w:pPr>
              <w:spacing w:after="0"/>
              <w:jc w:val="center"/>
              <w:rPr>
                <w:rFonts w:ascii="Calibri" w:eastAsia="Times New Roman" w:hAnsi="Calibri" w:cs="Calibri"/>
                <w:i/>
                <w:iCs/>
                <w:color w:val="000000"/>
                <w:sz w:val="22"/>
                <w:lang w:val="en-US"/>
              </w:rPr>
            </w:pPr>
            <w:r w:rsidRPr="006C547D">
              <w:rPr>
                <w:rFonts w:ascii="Calibri" w:eastAsia="Times New Roman" w:hAnsi="Calibri" w:cs="Calibri"/>
                <w:i/>
                <w:iCs/>
                <w:color w:val="000000"/>
                <w:sz w:val="22"/>
                <w:lang w:val="en-US"/>
              </w:rPr>
              <w:t>99,686</w:t>
            </w:r>
          </w:p>
        </w:tc>
        <w:tc>
          <w:tcPr>
            <w:tcW w:w="1620" w:type="dxa"/>
            <w:noWrap/>
            <w:hideMark/>
          </w:tcPr>
          <w:p w:rsidR="00147D5F" w:rsidRPr="006C547D" w:rsidRDefault="00147D5F" w:rsidP="00E75CEC">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2"/>
                <w:lang w:val="en-US"/>
              </w:rPr>
            </w:pPr>
            <w:r w:rsidRPr="006C547D">
              <w:rPr>
                <w:rFonts w:ascii="Calibri" w:eastAsia="Times New Roman" w:hAnsi="Calibri" w:cs="Calibri"/>
                <w:i/>
                <w:iCs/>
                <w:color w:val="000000"/>
                <w:sz w:val="22"/>
                <w:lang w:val="en-US"/>
              </w:rPr>
              <w:t>7,632</w:t>
            </w:r>
          </w:p>
        </w:tc>
        <w:tc>
          <w:tcPr>
            <w:cnfStyle w:val="000010000000" w:firstRow="0" w:lastRow="0" w:firstColumn="0" w:lastColumn="0" w:oddVBand="1" w:evenVBand="0" w:oddHBand="0" w:evenHBand="0" w:firstRowFirstColumn="0" w:firstRowLastColumn="0" w:lastRowFirstColumn="0" w:lastRowLastColumn="0"/>
            <w:tcW w:w="1215" w:type="dxa"/>
            <w:tcBorders>
              <w:left w:val="none" w:sz="0" w:space="0" w:color="auto"/>
              <w:right w:val="none" w:sz="0" w:space="0" w:color="auto"/>
            </w:tcBorders>
            <w:noWrap/>
            <w:hideMark/>
          </w:tcPr>
          <w:p w:rsidR="00147D5F" w:rsidRPr="006C547D" w:rsidRDefault="00147D5F" w:rsidP="00E75CEC">
            <w:pPr>
              <w:spacing w:after="0"/>
              <w:jc w:val="center"/>
              <w:rPr>
                <w:rFonts w:ascii="Calibri" w:eastAsia="Times New Roman" w:hAnsi="Calibri" w:cs="Calibri"/>
                <w:i/>
                <w:iCs/>
                <w:color w:val="000000"/>
                <w:sz w:val="22"/>
                <w:lang w:val="en-US"/>
              </w:rPr>
            </w:pPr>
            <w:r w:rsidRPr="006C547D">
              <w:rPr>
                <w:rFonts w:ascii="Calibri" w:eastAsia="Times New Roman" w:hAnsi="Calibri" w:cs="Calibri"/>
                <w:i/>
                <w:iCs/>
                <w:color w:val="000000"/>
                <w:sz w:val="22"/>
                <w:lang w:val="en-US"/>
              </w:rPr>
              <w:t>0.077</w:t>
            </w:r>
          </w:p>
        </w:tc>
      </w:tr>
      <w:tr w:rsidR="00147D5F" w:rsidRPr="00E75CEC" w:rsidTr="00D70B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shd w:val="clear" w:color="auto" w:fill="auto"/>
            <w:noWrap/>
            <w:hideMark/>
          </w:tcPr>
          <w:p w:rsidR="00147D5F" w:rsidRPr="00E75CEC" w:rsidRDefault="00147D5F" w:rsidP="00873DDA">
            <w:pPr>
              <w:spacing w:after="0"/>
              <w:jc w:val="left"/>
              <w:rPr>
                <w:rFonts w:ascii="Calibri" w:eastAsia="Times New Roman" w:hAnsi="Calibri" w:cs="Calibri"/>
                <w:bCs w:val="0"/>
                <w:color w:val="000000"/>
                <w:sz w:val="22"/>
                <w:lang w:val="en-US"/>
              </w:rPr>
            </w:pPr>
            <w:r w:rsidRPr="00E75CEC">
              <w:rPr>
                <w:rFonts w:ascii="Calibri" w:eastAsia="Times New Roman" w:hAnsi="Calibri" w:cs="Calibri"/>
                <w:bCs w:val="0"/>
                <w:color w:val="000000"/>
                <w:sz w:val="22"/>
                <w:lang w:val="en-US"/>
              </w:rPr>
              <w:t>Total</w:t>
            </w: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shd w:val="clear" w:color="auto" w:fill="auto"/>
            <w:noWrap/>
            <w:hideMark/>
          </w:tcPr>
          <w:p w:rsidR="00147D5F" w:rsidRPr="00E75CEC" w:rsidRDefault="00147D5F" w:rsidP="00E75CEC">
            <w:pPr>
              <w:spacing w:after="0"/>
              <w:jc w:val="center"/>
              <w:rPr>
                <w:rFonts w:ascii="Calibri" w:eastAsia="Times New Roman" w:hAnsi="Calibri" w:cs="Calibri"/>
                <w:b/>
                <w:bCs/>
                <w:color w:val="000000"/>
                <w:sz w:val="22"/>
                <w:lang w:val="en-US"/>
              </w:rPr>
            </w:pPr>
            <w:r w:rsidRPr="00E75CEC">
              <w:rPr>
                <w:rFonts w:ascii="Calibri" w:eastAsia="Times New Roman" w:hAnsi="Calibri" w:cs="Calibri"/>
                <w:b/>
                <w:bCs/>
                <w:color w:val="000000"/>
                <w:sz w:val="22"/>
                <w:lang w:val="en-US"/>
              </w:rPr>
              <w:t>1,364,012</w:t>
            </w:r>
          </w:p>
        </w:tc>
        <w:tc>
          <w:tcPr>
            <w:tcW w:w="1620" w:type="dxa"/>
            <w:tcBorders>
              <w:top w:val="none" w:sz="0" w:space="0" w:color="auto"/>
              <w:bottom w:val="none" w:sz="0" w:space="0" w:color="auto"/>
            </w:tcBorders>
            <w:shd w:val="clear" w:color="auto" w:fill="auto"/>
            <w:noWrap/>
            <w:hideMark/>
          </w:tcPr>
          <w:p w:rsidR="00147D5F" w:rsidRPr="00E75CEC" w:rsidRDefault="00147D5F" w:rsidP="00E75CE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lang w:val="en-US"/>
              </w:rPr>
            </w:pPr>
            <w:r w:rsidRPr="00E75CEC">
              <w:rPr>
                <w:rFonts w:ascii="Calibri" w:eastAsia="Times New Roman" w:hAnsi="Calibri" w:cs="Calibri"/>
                <w:b/>
                <w:bCs/>
                <w:color w:val="000000"/>
                <w:sz w:val="22"/>
                <w:lang w:val="en-US"/>
              </w:rPr>
              <w:t>158,143</w:t>
            </w:r>
          </w:p>
        </w:tc>
        <w:tc>
          <w:tcPr>
            <w:cnfStyle w:val="000010000000" w:firstRow="0" w:lastRow="0" w:firstColumn="0" w:lastColumn="0" w:oddVBand="1" w:evenVBand="0" w:oddHBand="0" w:evenHBand="0" w:firstRowFirstColumn="0" w:firstRowLastColumn="0" w:lastRowFirstColumn="0" w:lastRowLastColumn="0"/>
            <w:tcW w:w="1215" w:type="dxa"/>
            <w:tcBorders>
              <w:top w:val="none" w:sz="0" w:space="0" w:color="auto"/>
              <w:left w:val="none" w:sz="0" w:space="0" w:color="auto"/>
              <w:bottom w:val="none" w:sz="0" w:space="0" w:color="auto"/>
              <w:right w:val="none" w:sz="0" w:space="0" w:color="auto"/>
            </w:tcBorders>
            <w:shd w:val="clear" w:color="auto" w:fill="auto"/>
            <w:noWrap/>
            <w:hideMark/>
          </w:tcPr>
          <w:p w:rsidR="00147D5F" w:rsidRPr="00E75CEC" w:rsidRDefault="00147D5F" w:rsidP="00E75CEC">
            <w:pPr>
              <w:spacing w:after="0"/>
              <w:jc w:val="center"/>
              <w:rPr>
                <w:rFonts w:ascii="Calibri" w:eastAsia="Times New Roman" w:hAnsi="Calibri" w:cs="Calibri"/>
                <w:b/>
                <w:bCs/>
                <w:color w:val="000000"/>
                <w:sz w:val="22"/>
                <w:lang w:val="en-US"/>
              </w:rPr>
            </w:pPr>
            <w:r w:rsidRPr="00E75CEC">
              <w:rPr>
                <w:rFonts w:ascii="Calibri" w:eastAsia="Times New Roman" w:hAnsi="Calibri" w:cs="Calibri"/>
                <w:b/>
                <w:bCs/>
                <w:color w:val="000000"/>
                <w:sz w:val="22"/>
                <w:lang w:val="en-US"/>
              </w:rPr>
              <w:t>0.116</w:t>
            </w:r>
          </w:p>
        </w:tc>
      </w:tr>
    </w:tbl>
    <w:p w:rsidR="00147D5F" w:rsidRPr="00873DDA" w:rsidRDefault="00147D5F" w:rsidP="003D74A2">
      <w:pPr>
        <w:spacing w:after="240" w:line="259" w:lineRule="auto"/>
        <w:rPr>
          <w:rFonts w:cstheme="minorHAnsi"/>
          <w:sz w:val="20"/>
        </w:rPr>
      </w:pPr>
      <w:r w:rsidRPr="00873DDA">
        <w:rPr>
          <w:rFonts w:cstheme="minorHAnsi"/>
          <w:b/>
          <w:sz w:val="20"/>
          <w:vertAlign w:val="superscript"/>
        </w:rPr>
        <w:t>1</w:t>
      </w:r>
      <w:r w:rsidRPr="00873DDA">
        <w:rPr>
          <w:rFonts w:cstheme="minorHAnsi"/>
          <w:sz w:val="20"/>
        </w:rPr>
        <w:t xml:space="preserve">Data </w:t>
      </w:r>
      <w:r w:rsidR="00873DDA">
        <w:rPr>
          <w:rFonts w:cstheme="minorHAnsi"/>
          <w:sz w:val="20"/>
        </w:rPr>
        <w:t xml:space="preserve">for 2017 is </w:t>
      </w:r>
      <w:r w:rsidRPr="00873DDA">
        <w:rPr>
          <w:rFonts w:cstheme="minorHAnsi"/>
          <w:sz w:val="20"/>
        </w:rPr>
        <w:t>incomplete</w:t>
      </w:r>
      <w:r w:rsidR="00873DDA">
        <w:rPr>
          <w:rFonts w:cstheme="minorHAnsi"/>
          <w:sz w:val="20"/>
        </w:rPr>
        <w:t>.</w:t>
      </w:r>
    </w:p>
    <w:p w:rsidR="0065582B" w:rsidRDefault="0065582B" w:rsidP="0065582B">
      <w:pPr>
        <w:pStyle w:val="Caption"/>
        <w:keepNext/>
        <w:jc w:val="both"/>
      </w:pPr>
      <w:r>
        <w:t>Figure 10.</w:t>
      </w:r>
      <w:r w:rsidR="009A3F5A">
        <w:fldChar w:fldCharType="begin"/>
      </w:r>
      <w:r w:rsidR="009A3F5A">
        <w:instrText xml:space="preserve"> SEQ Figure_10. \* ARABIC </w:instrText>
      </w:r>
      <w:r w:rsidR="009A3F5A">
        <w:fldChar w:fldCharType="separate"/>
      </w:r>
      <w:r w:rsidR="00856E49">
        <w:rPr>
          <w:noProof/>
        </w:rPr>
        <w:t>1</w:t>
      </w:r>
      <w:r w:rsidR="009A3F5A">
        <w:rPr>
          <w:noProof/>
        </w:rPr>
        <w:fldChar w:fldCharType="end"/>
      </w:r>
      <w:r>
        <w:t xml:space="preserve">: </w:t>
      </w:r>
      <w:r w:rsidRPr="0065582B">
        <w:t>Chart of Department review rates from 2009 - 2017</w:t>
      </w:r>
    </w:p>
    <w:p w:rsidR="001718E4" w:rsidRDefault="001718E4" w:rsidP="00147D5F">
      <w:pPr>
        <w:spacing w:after="160" w:line="259" w:lineRule="auto"/>
        <w:rPr>
          <w:rFonts w:cstheme="minorHAnsi"/>
          <w:szCs w:val="24"/>
        </w:rPr>
      </w:pPr>
      <w:r>
        <w:rPr>
          <w:rFonts w:cstheme="minorHAnsi"/>
          <w:noProof/>
          <w:szCs w:val="24"/>
          <w:lang w:eastAsia="en-AU"/>
        </w:rPr>
        <w:drawing>
          <wp:inline distT="0" distB="0" distL="0" distR="0" wp14:anchorId="21A709E3" wp14:editId="203302CA">
            <wp:extent cx="5749290" cy="3993515"/>
            <wp:effectExtent l="0" t="0" r="3810" b="6985"/>
            <wp:docPr id="254" name="Picture 254" descr="Figure 10.1 is a bar diagram illustrating the percentage of the Department of Health review rates from 2009 to 2017, as noted in Table 10.5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49290" cy="3993515"/>
                    </a:xfrm>
                    <a:prstGeom prst="rect">
                      <a:avLst/>
                    </a:prstGeom>
                    <a:noFill/>
                  </pic:spPr>
                </pic:pic>
              </a:graphicData>
            </a:graphic>
          </wp:inline>
        </w:drawing>
      </w:r>
    </w:p>
    <w:p w:rsidR="00147D5F" w:rsidRDefault="00147D5F" w:rsidP="003D74A2">
      <w:r>
        <w:br w:type="page"/>
      </w:r>
    </w:p>
    <w:p w:rsidR="00980F62" w:rsidRDefault="00147D5F" w:rsidP="00C16758">
      <w:pPr>
        <w:pStyle w:val="Heading3-Chapter103"/>
      </w:pPr>
      <w:bookmarkStart w:id="694" w:name="_Toc489386723"/>
      <w:r>
        <w:lastRenderedPageBreak/>
        <w:t xml:space="preserve">Impact of the </w:t>
      </w:r>
      <w:r w:rsidRPr="00935784">
        <w:t>Audit Model</w:t>
      </w:r>
      <w:bookmarkEnd w:id="687"/>
      <w:bookmarkEnd w:id="694"/>
    </w:p>
    <w:p w:rsidR="00147D5F" w:rsidRPr="008F1CA1" w:rsidRDefault="00147D5F" w:rsidP="008F1CA1">
      <w:pPr>
        <w:pStyle w:val="Heading4-Chapter1033"/>
      </w:pPr>
      <w:r w:rsidRPr="008F1CA1">
        <w:t>ACFI quarterly monitoring data since January 2016</w:t>
      </w:r>
    </w:p>
    <w:p w:rsidR="00147D5F" w:rsidRPr="00C61CA6" w:rsidRDefault="00147D5F" w:rsidP="00147D5F">
      <w:pPr>
        <w:rPr>
          <w:lang w:eastAsia="en-AU"/>
        </w:rPr>
      </w:pPr>
      <w:r w:rsidRPr="00C61CA6">
        <w:rPr>
          <w:lang w:eastAsia="en-AU"/>
        </w:rPr>
        <w:t xml:space="preserve">The Department review program is now targeted to facilities where up-scoring is more likely. For this reason, the outcomes of the reviews cannot be taken as indicative of potential outcomes if a more random approach was taken. Nevertheless, the review program results do show that the ACFI can be audited and downgrades are now recorded at a relatively high frequency when compared to the number of ACFIs reviewed. </w:t>
      </w:r>
      <w:hyperlink w:anchor="Tab1006" w:history="1">
        <w:r w:rsidRPr="00932DED">
          <w:rPr>
            <w:rStyle w:val="Hyperlink"/>
            <w:lang w:eastAsia="en-AU"/>
          </w:rPr>
          <w:t>Table 10.6</w:t>
        </w:r>
      </w:hyperlink>
      <w:r w:rsidRPr="00C61CA6">
        <w:rPr>
          <w:lang w:eastAsia="en-AU"/>
        </w:rPr>
        <w:t xml:space="preserve"> shows that the proportion of downgraded claims has almost doubled, from 13.2</w:t>
      </w:r>
      <w:r w:rsidR="0065091B">
        <w:rPr>
          <w:lang w:eastAsia="en-AU"/>
        </w:rPr>
        <w:t xml:space="preserve"> per cent</w:t>
      </w:r>
      <w:r w:rsidRPr="00C61CA6">
        <w:rPr>
          <w:lang w:eastAsia="en-AU"/>
        </w:rPr>
        <w:t xml:space="preserve"> in the 9 months from beginning of July 2015 to end of March 2016, to 25.2</w:t>
      </w:r>
      <w:r w:rsidR="0065091B">
        <w:rPr>
          <w:lang w:eastAsia="en-AU"/>
        </w:rPr>
        <w:t xml:space="preserve"> per cent</w:t>
      </w:r>
      <w:r w:rsidRPr="00C61CA6">
        <w:rPr>
          <w:lang w:eastAsia="en-AU"/>
        </w:rPr>
        <w:t xml:space="preserve"> in the 9 months from beginning April to e</w:t>
      </w:r>
      <w:r w:rsidR="00190072">
        <w:rPr>
          <w:lang w:eastAsia="en-AU"/>
        </w:rPr>
        <w:t xml:space="preserve">nd of December 2016. </w:t>
      </w:r>
      <w:hyperlink w:anchor="Fig1002" w:history="1">
        <w:r w:rsidR="00190072" w:rsidRPr="00E00E18">
          <w:rPr>
            <w:rStyle w:val="Hyperlink"/>
            <w:lang w:eastAsia="en-AU"/>
          </w:rPr>
          <w:t>Figure 10.2</w:t>
        </w:r>
      </w:hyperlink>
      <w:r w:rsidRPr="00C61CA6">
        <w:rPr>
          <w:lang w:eastAsia="en-AU"/>
        </w:rPr>
        <w:t xml:space="preserve"> illustrates the results from the quarterly review rates.</w:t>
      </w:r>
    </w:p>
    <w:p w:rsidR="0065582B" w:rsidRDefault="0065582B" w:rsidP="0065582B">
      <w:pPr>
        <w:pStyle w:val="Caption"/>
        <w:keepNext/>
      </w:pPr>
      <w:bookmarkStart w:id="695" w:name="_Toc495416859"/>
      <w:bookmarkStart w:id="696" w:name="Tab1006"/>
      <w:bookmarkStart w:id="697" w:name="_Toc486600219"/>
      <w:bookmarkStart w:id="698" w:name="_Toc486605059"/>
      <w:bookmarkStart w:id="699" w:name="_Toc486605221"/>
      <w:r>
        <w:t>Table 10.</w:t>
      </w:r>
      <w:r w:rsidR="009A3F5A">
        <w:fldChar w:fldCharType="begin"/>
      </w:r>
      <w:r w:rsidR="009A3F5A">
        <w:instrText xml:space="preserve"> SEQ Table_10. \* ARABIC </w:instrText>
      </w:r>
      <w:r w:rsidR="009A3F5A">
        <w:fldChar w:fldCharType="separate"/>
      </w:r>
      <w:r w:rsidR="00856E49">
        <w:rPr>
          <w:noProof/>
        </w:rPr>
        <w:t>6</w:t>
      </w:r>
      <w:r w:rsidR="009A3F5A">
        <w:rPr>
          <w:noProof/>
        </w:rPr>
        <w:fldChar w:fldCharType="end"/>
      </w:r>
      <w:r>
        <w:t xml:space="preserve">: </w:t>
      </w:r>
      <w:r w:rsidRPr="0065582B">
        <w:t>Chart of Department review rates from July 2015 to December 2016</w:t>
      </w:r>
      <w:bookmarkEnd w:id="695"/>
    </w:p>
    <w:tbl>
      <w:tblPr>
        <w:tblStyle w:val="ListTable3-Accent515"/>
        <w:tblW w:w="9364"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10.6 is a list of details that shows the quarterly number and percentage of reviews (downgraded, unchanged and upgraded) for 2015 to 2016. &#10;This table is to be read left to right, top to bottom, noting the quarterly periods are:&#10;1. July to September 2015&#10;2. October to December 2015&#10;3. January to March 2016&#10;4. April to June 2016&#10;5. July to September 2016&#10;6. October to December 2016&#10;plus a total of periods for:&#10;1. July 2016 to March 2016&#10;2. April 2016 to December 2016. "/>
      </w:tblPr>
      <w:tblGrid>
        <w:gridCol w:w="1355"/>
        <w:gridCol w:w="1286"/>
        <w:gridCol w:w="1328"/>
        <w:gridCol w:w="1154"/>
        <w:gridCol w:w="1154"/>
        <w:gridCol w:w="1034"/>
        <w:gridCol w:w="1150"/>
        <w:gridCol w:w="903"/>
      </w:tblGrid>
      <w:tr w:rsidR="004C559B" w:rsidRPr="004C559B" w:rsidTr="00040FB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55" w:type="dxa"/>
            <w:noWrap/>
            <w:vAlign w:val="center"/>
            <w:hideMark/>
          </w:tcPr>
          <w:bookmarkEnd w:id="696"/>
          <w:p w:rsidR="00147D5F" w:rsidRPr="004C559B" w:rsidRDefault="004C559B" w:rsidP="004C559B">
            <w:pPr>
              <w:spacing w:after="0"/>
              <w:jc w:val="left"/>
              <w:rPr>
                <w:rFonts w:ascii="Calibri" w:hAnsi="Calibri" w:cs="Calibri"/>
                <w:bCs w:val="0"/>
                <w:sz w:val="20"/>
                <w:szCs w:val="20"/>
              </w:rPr>
            </w:pPr>
            <w:r w:rsidRPr="004C559B">
              <w:rPr>
                <w:rFonts w:ascii="Calibri" w:hAnsi="Calibri" w:cs="Calibri"/>
                <w:bCs w:val="0"/>
                <w:sz w:val="20"/>
                <w:szCs w:val="20"/>
              </w:rPr>
              <w:t>Period</w:t>
            </w:r>
          </w:p>
        </w:tc>
        <w:tc>
          <w:tcPr>
            <w:cnfStyle w:val="000010000000" w:firstRow="0" w:lastRow="0" w:firstColumn="0" w:lastColumn="0" w:oddVBand="1" w:evenVBand="0" w:oddHBand="0" w:evenHBand="0" w:firstRowFirstColumn="0" w:firstRowLastColumn="0" w:lastRowFirstColumn="0" w:lastRowLastColumn="0"/>
            <w:tcW w:w="1286" w:type="dxa"/>
            <w:noWrap/>
            <w:hideMark/>
          </w:tcPr>
          <w:p w:rsidR="00147D5F" w:rsidRPr="004C559B" w:rsidRDefault="004C559B" w:rsidP="004C559B">
            <w:pPr>
              <w:spacing w:after="0"/>
              <w:jc w:val="center"/>
              <w:rPr>
                <w:rFonts w:ascii="Calibri" w:hAnsi="Calibri" w:cs="Calibri"/>
                <w:bCs w:val="0"/>
                <w:sz w:val="20"/>
                <w:szCs w:val="20"/>
              </w:rPr>
            </w:pPr>
            <w:r w:rsidRPr="004C559B">
              <w:rPr>
                <w:rFonts w:ascii="Calibri" w:hAnsi="Calibri" w:cs="Calibri"/>
                <w:sz w:val="20"/>
                <w:szCs w:val="20"/>
              </w:rPr>
              <w:t xml:space="preserve">Downgraded </w:t>
            </w:r>
            <w:r w:rsidR="00147D5F" w:rsidRPr="004C559B">
              <w:rPr>
                <w:rFonts w:ascii="Calibri" w:hAnsi="Calibri" w:cs="Calibri"/>
                <w:bCs w:val="0"/>
                <w:sz w:val="20"/>
                <w:szCs w:val="20"/>
              </w:rPr>
              <w:t>Reviews</w:t>
            </w:r>
          </w:p>
        </w:tc>
        <w:tc>
          <w:tcPr>
            <w:tcW w:w="1328" w:type="dxa"/>
            <w:noWrap/>
            <w:hideMark/>
          </w:tcPr>
          <w:p w:rsidR="00147D5F" w:rsidRPr="004C559B" w:rsidRDefault="004C559B" w:rsidP="004C559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4C559B">
              <w:rPr>
                <w:rFonts w:ascii="Calibri" w:hAnsi="Calibri" w:cs="Calibri"/>
                <w:sz w:val="20"/>
                <w:szCs w:val="20"/>
              </w:rPr>
              <w:t>Downgraded Percentage</w:t>
            </w:r>
          </w:p>
        </w:tc>
        <w:tc>
          <w:tcPr>
            <w:cnfStyle w:val="000010000000" w:firstRow="0" w:lastRow="0" w:firstColumn="0" w:lastColumn="0" w:oddVBand="1" w:evenVBand="0" w:oddHBand="0" w:evenHBand="0" w:firstRowFirstColumn="0" w:firstRowLastColumn="0" w:lastRowFirstColumn="0" w:lastRowLastColumn="0"/>
            <w:tcW w:w="1154" w:type="dxa"/>
            <w:noWrap/>
            <w:hideMark/>
          </w:tcPr>
          <w:p w:rsidR="00147D5F" w:rsidRPr="004C559B" w:rsidRDefault="004C559B" w:rsidP="004C559B">
            <w:pPr>
              <w:spacing w:after="0"/>
              <w:jc w:val="center"/>
              <w:rPr>
                <w:rFonts w:ascii="Calibri" w:hAnsi="Calibri" w:cs="Calibri"/>
                <w:bCs w:val="0"/>
                <w:sz w:val="20"/>
                <w:szCs w:val="20"/>
              </w:rPr>
            </w:pPr>
            <w:r w:rsidRPr="004C559B">
              <w:rPr>
                <w:rFonts w:ascii="Calibri" w:hAnsi="Calibri" w:cs="Calibri"/>
                <w:sz w:val="20"/>
                <w:szCs w:val="20"/>
              </w:rPr>
              <w:t xml:space="preserve">Unchanged </w:t>
            </w:r>
            <w:r w:rsidR="00147D5F" w:rsidRPr="004C559B">
              <w:rPr>
                <w:rFonts w:ascii="Calibri" w:hAnsi="Calibri" w:cs="Calibri"/>
                <w:bCs w:val="0"/>
                <w:sz w:val="20"/>
                <w:szCs w:val="20"/>
              </w:rPr>
              <w:t>Reviews</w:t>
            </w:r>
          </w:p>
        </w:tc>
        <w:tc>
          <w:tcPr>
            <w:tcW w:w="1154" w:type="dxa"/>
            <w:noWrap/>
            <w:hideMark/>
          </w:tcPr>
          <w:p w:rsidR="00147D5F" w:rsidRPr="004C559B" w:rsidRDefault="004C559B" w:rsidP="004C559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4C559B">
              <w:rPr>
                <w:rFonts w:ascii="Calibri" w:hAnsi="Calibri" w:cs="Calibri"/>
                <w:sz w:val="20"/>
                <w:szCs w:val="20"/>
              </w:rPr>
              <w:t>Unchanged Percentage</w:t>
            </w:r>
          </w:p>
        </w:tc>
        <w:tc>
          <w:tcPr>
            <w:cnfStyle w:val="000010000000" w:firstRow="0" w:lastRow="0" w:firstColumn="0" w:lastColumn="0" w:oddVBand="1" w:evenVBand="0" w:oddHBand="0" w:evenHBand="0" w:firstRowFirstColumn="0" w:firstRowLastColumn="0" w:lastRowFirstColumn="0" w:lastRowLastColumn="0"/>
            <w:tcW w:w="1034" w:type="dxa"/>
            <w:noWrap/>
            <w:hideMark/>
          </w:tcPr>
          <w:p w:rsidR="00147D5F" w:rsidRPr="004C559B" w:rsidRDefault="004C559B" w:rsidP="004C559B">
            <w:pPr>
              <w:spacing w:after="0"/>
              <w:jc w:val="center"/>
              <w:rPr>
                <w:rFonts w:ascii="Calibri" w:hAnsi="Calibri" w:cs="Calibri"/>
                <w:bCs w:val="0"/>
                <w:sz w:val="20"/>
                <w:szCs w:val="20"/>
              </w:rPr>
            </w:pPr>
            <w:r w:rsidRPr="004C559B">
              <w:rPr>
                <w:rFonts w:ascii="Calibri" w:hAnsi="Calibri" w:cs="Calibri"/>
                <w:sz w:val="20"/>
                <w:szCs w:val="20"/>
              </w:rPr>
              <w:t xml:space="preserve">Upgraded </w:t>
            </w:r>
            <w:r w:rsidR="00147D5F" w:rsidRPr="004C559B">
              <w:rPr>
                <w:rFonts w:ascii="Calibri" w:hAnsi="Calibri" w:cs="Calibri"/>
                <w:bCs w:val="0"/>
                <w:sz w:val="20"/>
                <w:szCs w:val="20"/>
              </w:rPr>
              <w:t>Reviews</w:t>
            </w:r>
          </w:p>
        </w:tc>
        <w:tc>
          <w:tcPr>
            <w:tcW w:w="1150" w:type="dxa"/>
            <w:noWrap/>
            <w:hideMark/>
          </w:tcPr>
          <w:p w:rsidR="00147D5F" w:rsidRPr="004C559B" w:rsidRDefault="004C559B" w:rsidP="004C559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4C559B">
              <w:rPr>
                <w:rFonts w:ascii="Calibri" w:hAnsi="Calibri" w:cs="Calibri"/>
                <w:sz w:val="20"/>
                <w:szCs w:val="20"/>
              </w:rPr>
              <w:t>Upgraded Percentage</w:t>
            </w:r>
          </w:p>
        </w:tc>
        <w:tc>
          <w:tcPr>
            <w:cnfStyle w:val="000010000000" w:firstRow="0" w:lastRow="0" w:firstColumn="0" w:lastColumn="0" w:oddVBand="1" w:evenVBand="0" w:oddHBand="0" w:evenHBand="0" w:firstRowFirstColumn="0" w:firstRowLastColumn="0" w:lastRowFirstColumn="0" w:lastRowLastColumn="0"/>
            <w:tcW w:w="903" w:type="dxa"/>
            <w:noWrap/>
            <w:vAlign w:val="center"/>
            <w:hideMark/>
          </w:tcPr>
          <w:p w:rsidR="004C559B" w:rsidRPr="004C559B" w:rsidRDefault="004C559B" w:rsidP="004C559B">
            <w:pPr>
              <w:spacing w:after="0"/>
              <w:jc w:val="center"/>
              <w:rPr>
                <w:rFonts w:ascii="Calibri" w:hAnsi="Calibri" w:cs="Calibri"/>
                <w:bCs w:val="0"/>
                <w:sz w:val="20"/>
                <w:szCs w:val="20"/>
              </w:rPr>
            </w:pPr>
            <w:r w:rsidRPr="004C559B">
              <w:rPr>
                <w:rFonts w:ascii="Calibri" w:hAnsi="Calibri" w:cs="Calibri"/>
                <w:sz w:val="20"/>
                <w:szCs w:val="20"/>
              </w:rPr>
              <w:t>Total</w:t>
            </w:r>
            <w:r>
              <w:rPr>
                <w:rFonts w:ascii="Calibri" w:hAnsi="Calibri" w:cs="Calibri"/>
                <w:sz w:val="20"/>
                <w:szCs w:val="20"/>
              </w:rPr>
              <w:t xml:space="preserve"> Reviews</w:t>
            </w:r>
          </w:p>
        </w:tc>
      </w:tr>
      <w:tr w:rsidR="004C559B" w:rsidRPr="004C559B" w:rsidTr="00ED1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dxa"/>
            <w:noWrap/>
            <w:hideMark/>
          </w:tcPr>
          <w:p w:rsidR="00147D5F" w:rsidRPr="004C559B" w:rsidRDefault="00147D5F" w:rsidP="00DD6610">
            <w:pPr>
              <w:spacing w:after="0"/>
              <w:rPr>
                <w:rFonts w:ascii="Calibri" w:hAnsi="Calibri" w:cs="Calibri"/>
                <w:color w:val="000000"/>
                <w:sz w:val="20"/>
                <w:szCs w:val="20"/>
              </w:rPr>
            </w:pPr>
            <w:r w:rsidRPr="004C559B">
              <w:rPr>
                <w:rFonts w:ascii="Calibri" w:hAnsi="Calibri" w:cs="Calibri"/>
                <w:color w:val="000000"/>
                <w:sz w:val="20"/>
                <w:szCs w:val="20"/>
              </w:rPr>
              <w:t>7/15-9/15</w:t>
            </w:r>
          </w:p>
        </w:tc>
        <w:tc>
          <w:tcPr>
            <w:cnfStyle w:val="000010000000" w:firstRow="0" w:lastRow="0" w:firstColumn="0" w:lastColumn="0" w:oddVBand="1" w:evenVBand="0" w:oddHBand="0" w:evenHBand="0" w:firstRowFirstColumn="0" w:firstRowLastColumn="0" w:lastRowFirstColumn="0" w:lastRowLastColumn="0"/>
            <w:tcW w:w="1286" w:type="dxa"/>
            <w:noWrap/>
            <w:hideMark/>
          </w:tcPr>
          <w:p w:rsidR="00147D5F" w:rsidRPr="004C559B" w:rsidRDefault="00147D5F" w:rsidP="004C559B">
            <w:pPr>
              <w:spacing w:after="0"/>
              <w:jc w:val="center"/>
              <w:rPr>
                <w:rFonts w:ascii="Calibri" w:hAnsi="Calibri" w:cs="Calibri"/>
                <w:color w:val="000000"/>
                <w:sz w:val="20"/>
                <w:szCs w:val="20"/>
              </w:rPr>
            </w:pPr>
            <w:r w:rsidRPr="004C559B">
              <w:rPr>
                <w:rFonts w:ascii="Calibri" w:hAnsi="Calibri" w:cs="Calibri"/>
                <w:color w:val="000000"/>
                <w:sz w:val="20"/>
                <w:szCs w:val="20"/>
              </w:rPr>
              <w:t>596</w:t>
            </w:r>
          </w:p>
        </w:tc>
        <w:tc>
          <w:tcPr>
            <w:tcW w:w="1328" w:type="dxa"/>
            <w:noWrap/>
            <w:hideMark/>
          </w:tcPr>
          <w:p w:rsidR="00147D5F" w:rsidRPr="004C559B" w:rsidRDefault="00147D5F" w:rsidP="004C55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0"/>
              </w:rPr>
            </w:pPr>
            <w:r w:rsidRPr="004C559B">
              <w:rPr>
                <w:rFonts w:ascii="Calibri" w:hAnsi="Calibri" w:cs="Calibri"/>
                <w:b/>
                <w:color w:val="000000"/>
                <w:sz w:val="20"/>
                <w:szCs w:val="20"/>
              </w:rPr>
              <w:t>13.9%</w:t>
            </w:r>
          </w:p>
        </w:tc>
        <w:tc>
          <w:tcPr>
            <w:cnfStyle w:val="000010000000" w:firstRow="0" w:lastRow="0" w:firstColumn="0" w:lastColumn="0" w:oddVBand="1" w:evenVBand="0" w:oddHBand="0" w:evenHBand="0" w:firstRowFirstColumn="0" w:firstRowLastColumn="0" w:lastRowFirstColumn="0" w:lastRowLastColumn="0"/>
            <w:tcW w:w="1154" w:type="dxa"/>
            <w:noWrap/>
            <w:hideMark/>
          </w:tcPr>
          <w:p w:rsidR="00147D5F" w:rsidRPr="004C559B" w:rsidRDefault="00147D5F" w:rsidP="004C559B">
            <w:pPr>
              <w:spacing w:after="0"/>
              <w:jc w:val="center"/>
              <w:rPr>
                <w:rFonts w:ascii="Calibri" w:hAnsi="Calibri" w:cs="Calibri"/>
                <w:color w:val="000000"/>
                <w:sz w:val="20"/>
                <w:szCs w:val="20"/>
              </w:rPr>
            </w:pPr>
            <w:r w:rsidRPr="004C559B">
              <w:rPr>
                <w:rFonts w:ascii="Calibri" w:hAnsi="Calibri" w:cs="Calibri"/>
                <w:color w:val="000000"/>
                <w:sz w:val="20"/>
                <w:szCs w:val="20"/>
              </w:rPr>
              <w:t>3634</w:t>
            </w:r>
          </w:p>
        </w:tc>
        <w:tc>
          <w:tcPr>
            <w:tcW w:w="1154" w:type="dxa"/>
            <w:noWrap/>
            <w:hideMark/>
          </w:tcPr>
          <w:p w:rsidR="00147D5F" w:rsidRPr="004C559B" w:rsidRDefault="00147D5F" w:rsidP="004C55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84.8%</w:t>
            </w:r>
          </w:p>
        </w:tc>
        <w:tc>
          <w:tcPr>
            <w:cnfStyle w:val="000010000000" w:firstRow="0" w:lastRow="0" w:firstColumn="0" w:lastColumn="0" w:oddVBand="1" w:evenVBand="0" w:oddHBand="0" w:evenHBand="0" w:firstRowFirstColumn="0" w:firstRowLastColumn="0" w:lastRowFirstColumn="0" w:lastRowLastColumn="0"/>
            <w:tcW w:w="1034" w:type="dxa"/>
            <w:noWrap/>
            <w:hideMark/>
          </w:tcPr>
          <w:p w:rsidR="00147D5F" w:rsidRPr="004C559B" w:rsidRDefault="00147D5F" w:rsidP="004C559B">
            <w:pPr>
              <w:spacing w:after="0"/>
              <w:jc w:val="center"/>
              <w:rPr>
                <w:rFonts w:ascii="Calibri" w:hAnsi="Calibri" w:cs="Calibri"/>
                <w:color w:val="000000"/>
                <w:sz w:val="20"/>
                <w:szCs w:val="20"/>
              </w:rPr>
            </w:pPr>
            <w:r w:rsidRPr="004C559B">
              <w:rPr>
                <w:rFonts w:ascii="Calibri" w:hAnsi="Calibri" w:cs="Calibri"/>
                <w:color w:val="000000"/>
                <w:sz w:val="20"/>
                <w:szCs w:val="20"/>
              </w:rPr>
              <w:t>53</w:t>
            </w:r>
          </w:p>
        </w:tc>
        <w:tc>
          <w:tcPr>
            <w:tcW w:w="1150" w:type="dxa"/>
            <w:noWrap/>
            <w:hideMark/>
          </w:tcPr>
          <w:p w:rsidR="00147D5F" w:rsidRPr="004C559B" w:rsidRDefault="00147D5F" w:rsidP="004C55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1.2%</w:t>
            </w:r>
          </w:p>
        </w:tc>
        <w:tc>
          <w:tcPr>
            <w:cnfStyle w:val="000010000000" w:firstRow="0" w:lastRow="0" w:firstColumn="0" w:lastColumn="0" w:oddVBand="1" w:evenVBand="0" w:oddHBand="0" w:evenHBand="0" w:firstRowFirstColumn="0" w:firstRowLastColumn="0" w:lastRowFirstColumn="0" w:lastRowLastColumn="0"/>
            <w:tcW w:w="903" w:type="dxa"/>
            <w:noWrap/>
            <w:hideMark/>
          </w:tcPr>
          <w:p w:rsidR="00147D5F" w:rsidRPr="004C559B" w:rsidRDefault="00147D5F" w:rsidP="004C559B">
            <w:pPr>
              <w:spacing w:after="0"/>
              <w:jc w:val="center"/>
              <w:rPr>
                <w:rFonts w:ascii="Calibri" w:hAnsi="Calibri" w:cs="Calibri"/>
                <w:b/>
                <w:color w:val="000000"/>
                <w:sz w:val="20"/>
                <w:szCs w:val="20"/>
              </w:rPr>
            </w:pPr>
            <w:r w:rsidRPr="004C559B">
              <w:rPr>
                <w:rFonts w:ascii="Calibri" w:hAnsi="Calibri" w:cs="Calibri"/>
                <w:b/>
                <w:color w:val="000000"/>
                <w:sz w:val="20"/>
                <w:szCs w:val="20"/>
              </w:rPr>
              <w:t>4283</w:t>
            </w:r>
          </w:p>
        </w:tc>
      </w:tr>
      <w:tr w:rsidR="004C559B" w:rsidRPr="004C559B" w:rsidTr="00ED12E5">
        <w:tc>
          <w:tcPr>
            <w:cnfStyle w:val="001000000000" w:firstRow="0" w:lastRow="0" w:firstColumn="1" w:lastColumn="0" w:oddVBand="0" w:evenVBand="0" w:oddHBand="0" w:evenHBand="0" w:firstRowFirstColumn="0" w:firstRowLastColumn="0" w:lastRowFirstColumn="0" w:lastRowLastColumn="0"/>
            <w:tcW w:w="1355" w:type="dxa"/>
            <w:noWrap/>
            <w:hideMark/>
          </w:tcPr>
          <w:p w:rsidR="00147D5F" w:rsidRPr="004C559B" w:rsidRDefault="00147D5F" w:rsidP="00DD6610">
            <w:pPr>
              <w:spacing w:after="0"/>
              <w:rPr>
                <w:rFonts w:ascii="Calibri" w:hAnsi="Calibri" w:cs="Calibri"/>
                <w:color w:val="000000"/>
                <w:sz w:val="20"/>
                <w:szCs w:val="20"/>
              </w:rPr>
            </w:pPr>
            <w:r w:rsidRPr="004C559B">
              <w:rPr>
                <w:rFonts w:ascii="Calibri" w:hAnsi="Calibri" w:cs="Calibri"/>
                <w:color w:val="000000"/>
                <w:sz w:val="20"/>
                <w:szCs w:val="20"/>
              </w:rPr>
              <w:t>10/15-12/15</w:t>
            </w:r>
          </w:p>
        </w:tc>
        <w:tc>
          <w:tcPr>
            <w:cnfStyle w:val="000010000000" w:firstRow="0" w:lastRow="0" w:firstColumn="0" w:lastColumn="0" w:oddVBand="1" w:evenVBand="0" w:oddHBand="0" w:evenHBand="0" w:firstRowFirstColumn="0" w:firstRowLastColumn="0" w:lastRowFirstColumn="0" w:lastRowLastColumn="0"/>
            <w:tcW w:w="1286" w:type="dxa"/>
            <w:noWrap/>
            <w:hideMark/>
          </w:tcPr>
          <w:p w:rsidR="00147D5F" w:rsidRPr="004C559B" w:rsidRDefault="00147D5F" w:rsidP="004C559B">
            <w:pPr>
              <w:spacing w:after="0"/>
              <w:jc w:val="center"/>
              <w:rPr>
                <w:rFonts w:ascii="Calibri" w:hAnsi="Calibri" w:cs="Calibri"/>
                <w:color w:val="000000"/>
                <w:sz w:val="20"/>
                <w:szCs w:val="20"/>
              </w:rPr>
            </w:pPr>
            <w:r w:rsidRPr="004C559B">
              <w:rPr>
                <w:rFonts w:ascii="Calibri" w:hAnsi="Calibri" w:cs="Calibri"/>
                <w:color w:val="000000"/>
                <w:sz w:val="20"/>
                <w:szCs w:val="20"/>
              </w:rPr>
              <w:t>623</w:t>
            </w:r>
          </w:p>
        </w:tc>
        <w:tc>
          <w:tcPr>
            <w:tcW w:w="1328" w:type="dxa"/>
            <w:noWrap/>
            <w:hideMark/>
          </w:tcPr>
          <w:p w:rsidR="00147D5F" w:rsidRPr="004C559B" w:rsidRDefault="00147D5F" w:rsidP="004C55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13.0%</w:t>
            </w:r>
          </w:p>
        </w:tc>
        <w:tc>
          <w:tcPr>
            <w:cnfStyle w:val="000010000000" w:firstRow="0" w:lastRow="0" w:firstColumn="0" w:lastColumn="0" w:oddVBand="1" w:evenVBand="0" w:oddHBand="0" w:evenHBand="0" w:firstRowFirstColumn="0" w:firstRowLastColumn="0" w:lastRowFirstColumn="0" w:lastRowLastColumn="0"/>
            <w:tcW w:w="1154" w:type="dxa"/>
            <w:noWrap/>
            <w:hideMark/>
          </w:tcPr>
          <w:p w:rsidR="00147D5F" w:rsidRPr="004C559B" w:rsidRDefault="00147D5F" w:rsidP="004C559B">
            <w:pPr>
              <w:spacing w:after="0"/>
              <w:jc w:val="center"/>
              <w:rPr>
                <w:rFonts w:ascii="Calibri" w:hAnsi="Calibri" w:cs="Calibri"/>
                <w:color w:val="000000"/>
                <w:sz w:val="20"/>
                <w:szCs w:val="20"/>
              </w:rPr>
            </w:pPr>
            <w:r w:rsidRPr="004C559B">
              <w:rPr>
                <w:rFonts w:ascii="Calibri" w:hAnsi="Calibri" w:cs="Calibri"/>
                <w:color w:val="000000"/>
                <w:sz w:val="20"/>
                <w:szCs w:val="20"/>
              </w:rPr>
              <w:t>4144</w:t>
            </w:r>
          </w:p>
        </w:tc>
        <w:tc>
          <w:tcPr>
            <w:tcW w:w="1154" w:type="dxa"/>
            <w:noWrap/>
            <w:hideMark/>
          </w:tcPr>
          <w:p w:rsidR="00147D5F" w:rsidRPr="004C559B" w:rsidRDefault="00147D5F" w:rsidP="004C55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86.3%</w:t>
            </w:r>
          </w:p>
        </w:tc>
        <w:tc>
          <w:tcPr>
            <w:cnfStyle w:val="000010000000" w:firstRow="0" w:lastRow="0" w:firstColumn="0" w:lastColumn="0" w:oddVBand="1" w:evenVBand="0" w:oddHBand="0" w:evenHBand="0" w:firstRowFirstColumn="0" w:firstRowLastColumn="0" w:lastRowFirstColumn="0" w:lastRowLastColumn="0"/>
            <w:tcW w:w="1034" w:type="dxa"/>
            <w:noWrap/>
            <w:hideMark/>
          </w:tcPr>
          <w:p w:rsidR="00147D5F" w:rsidRPr="004C559B" w:rsidRDefault="00147D5F" w:rsidP="004C559B">
            <w:pPr>
              <w:spacing w:after="0"/>
              <w:jc w:val="center"/>
              <w:rPr>
                <w:rFonts w:ascii="Calibri" w:hAnsi="Calibri" w:cs="Calibri"/>
                <w:color w:val="000000"/>
                <w:sz w:val="20"/>
                <w:szCs w:val="20"/>
              </w:rPr>
            </w:pPr>
            <w:r w:rsidRPr="004C559B">
              <w:rPr>
                <w:rFonts w:ascii="Calibri" w:hAnsi="Calibri" w:cs="Calibri"/>
                <w:color w:val="000000"/>
                <w:sz w:val="20"/>
                <w:szCs w:val="20"/>
              </w:rPr>
              <w:t>33</w:t>
            </w:r>
          </w:p>
        </w:tc>
        <w:tc>
          <w:tcPr>
            <w:tcW w:w="1150" w:type="dxa"/>
            <w:noWrap/>
            <w:hideMark/>
          </w:tcPr>
          <w:p w:rsidR="00147D5F" w:rsidRPr="004C559B" w:rsidRDefault="00147D5F" w:rsidP="004C55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0.7%</w:t>
            </w:r>
          </w:p>
        </w:tc>
        <w:tc>
          <w:tcPr>
            <w:cnfStyle w:val="000010000000" w:firstRow="0" w:lastRow="0" w:firstColumn="0" w:lastColumn="0" w:oddVBand="1" w:evenVBand="0" w:oddHBand="0" w:evenHBand="0" w:firstRowFirstColumn="0" w:firstRowLastColumn="0" w:lastRowFirstColumn="0" w:lastRowLastColumn="0"/>
            <w:tcW w:w="903" w:type="dxa"/>
            <w:noWrap/>
            <w:hideMark/>
          </w:tcPr>
          <w:p w:rsidR="00147D5F" w:rsidRPr="004C559B" w:rsidRDefault="00147D5F" w:rsidP="004C559B">
            <w:pPr>
              <w:spacing w:after="0"/>
              <w:jc w:val="center"/>
              <w:rPr>
                <w:rFonts w:ascii="Calibri" w:hAnsi="Calibri" w:cs="Calibri"/>
                <w:b/>
                <w:color w:val="000000"/>
                <w:sz w:val="20"/>
                <w:szCs w:val="20"/>
              </w:rPr>
            </w:pPr>
            <w:r w:rsidRPr="004C559B">
              <w:rPr>
                <w:rFonts w:ascii="Calibri" w:hAnsi="Calibri" w:cs="Calibri"/>
                <w:b/>
                <w:color w:val="000000"/>
                <w:sz w:val="20"/>
                <w:szCs w:val="20"/>
              </w:rPr>
              <w:t>4800</w:t>
            </w:r>
          </w:p>
        </w:tc>
      </w:tr>
      <w:tr w:rsidR="004C559B" w:rsidRPr="004C559B" w:rsidTr="00ED1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dxa"/>
            <w:noWrap/>
            <w:hideMark/>
          </w:tcPr>
          <w:p w:rsidR="00147D5F" w:rsidRPr="004C559B" w:rsidRDefault="00147D5F" w:rsidP="00DD6610">
            <w:pPr>
              <w:spacing w:after="0"/>
              <w:rPr>
                <w:rFonts w:ascii="Calibri" w:hAnsi="Calibri" w:cs="Calibri"/>
                <w:color w:val="000000"/>
                <w:sz w:val="20"/>
                <w:szCs w:val="20"/>
              </w:rPr>
            </w:pPr>
            <w:r w:rsidRPr="004C559B">
              <w:rPr>
                <w:rFonts w:ascii="Calibri" w:hAnsi="Calibri" w:cs="Calibri"/>
                <w:color w:val="000000"/>
                <w:sz w:val="20"/>
                <w:szCs w:val="20"/>
              </w:rPr>
              <w:t>1/16-3/16</w:t>
            </w:r>
          </w:p>
        </w:tc>
        <w:tc>
          <w:tcPr>
            <w:cnfStyle w:val="000010000000" w:firstRow="0" w:lastRow="0" w:firstColumn="0" w:lastColumn="0" w:oddVBand="1" w:evenVBand="0" w:oddHBand="0" w:evenHBand="0" w:firstRowFirstColumn="0" w:firstRowLastColumn="0" w:lastRowFirstColumn="0" w:lastRowLastColumn="0"/>
            <w:tcW w:w="1286" w:type="dxa"/>
            <w:noWrap/>
            <w:hideMark/>
          </w:tcPr>
          <w:p w:rsidR="00147D5F" w:rsidRPr="004C559B" w:rsidRDefault="00147D5F" w:rsidP="004C559B">
            <w:pPr>
              <w:spacing w:after="0"/>
              <w:jc w:val="center"/>
              <w:rPr>
                <w:rFonts w:ascii="Calibri" w:hAnsi="Calibri" w:cs="Calibri"/>
                <w:color w:val="000000"/>
                <w:sz w:val="20"/>
                <w:szCs w:val="20"/>
              </w:rPr>
            </w:pPr>
            <w:r w:rsidRPr="004C559B">
              <w:rPr>
                <w:rFonts w:ascii="Calibri" w:hAnsi="Calibri" w:cs="Calibri"/>
                <w:color w:val="000000"/>
                <w:sz w:val="20"/>
                <w:szCs w:val="20"/>
              </w:rPr>
              <w:t>367</w:t>
            </w:r>
          </w:p>
        </w:tc>
        <w:tc>
          <w:tcPr>
            <w:tcW w:w="1328" w:type="dxa"/>
            <w:noWrap/>
            <w:hideMark/>
          </w:tcPr>
          <w:p w:rsidR="00147D5F" w:rsidRPr="004C559B" w:rsidRDefault="00147D5F" w:rsidP="004C55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12.3%</w:t>
            </w:r>
          </w:p>
        </w:tc>
        <w:tc>
          <w:tcPr>
            <w:cnfStyle w:val="000010000000" w:firstRow="0" w:lastRow="0" w:firstColumn="0" w:lastColumn="0" w:oddVBand="1" w:evenVBand="0" w:oddHBand="0" w:evenHBand="0" w:firstRowFirstColumn="0" w:firstRowLastColumn="0" w:lastRowFirstColumn="0" w:lastRowLastColumn="0"/>
            <w:tcW w:w="1154" w:type="dxa"/>
            <w:noWrap/>
            <w:hideMark/>
          </w:tcPr>
          <w:p w:rsidR="00147D5F" w:rsidRPr="004C559B" w:rsidRDefault="00147D5F" w:rsidP="004C559B">
            <w:pPr>
              <w:spacing w:after="0"/>
              <w:jc w:val="center"/>
              <w:rPr>
                <w:rFonts w:ascii="Calibri" w:hAnsi="Calibri" w:cs="Calibri"/>
                <w:color w:val="000000"/>
                <w:sz w:val="20"/>
                <w:szCs w:val="20"/>
              </w:rPr>
            </w:pPr>
            <w:r w:rsidRPr="004C559B">
              <w:rPr>
                <w:rFonts w:ascii="Calibri" w:hAnsi="Calibri" w:cs="Calibri"/>
                <w:color w:val="000000"/>
                <w:sz w:val="20"/>
                <w:szCs w:val="20"/>
              </w:rPr>
              <w:t>2590</w:t>
            </w:r>
          </w:p>
        </w:tc>
        <w:tc>
          <w:tcPr>
            <w:tcW w:w="1154" w:type="dxa"/>
            <w:noWrap/>
            <w:hideMark/>
          </w:tcPr>
          <w:p w:rsidR="00147D5F" w:rsidRPr="004C559B" w:rsidRDefault="00147D5F" w:rsidP="004C55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87.0%</w:t>
            </w:r>
          </w:p>
        </w:tc>
        <w:tc>
          <w:tcPr>
            <w:cnfStyle w:val="000010000000" w:firstRow="0" w:lastRow="0" w:firstColumn="0" w:lastColumn="0" w:oddVBand="1" w:evenVBand="0" w:oddHBand="0" w:evenHBand="0" w:firstRowFirstColumn="0" w:firstRowLastColumn="0" w:lastRowFirstColumn="0" w:lastRowLastColumn="0"/>
            <w:tcW w:w="1034" w:type="dxa"/>
            <w:noWrap/>
            <w:hideMark/>
          </w:tcPr>
          <w:p w:rsidR="00147D5F" w:rsidRPr="004C559B" w:rsidRDefault="00147D5F" w:rsidP="004C559B">
            <w:pPr>
              <w:spacing w:after="0"/>
              <w:jc w:val="center"/>
              <w:rPr>
                <w:rFonts w:ascii="Calibri" w:hAnsi="Calibri" w:cs="Calibri"/>
                <w:color w:val="000000"/>
                <w:sz w:val="20"/>
                <w:szCs w:val="20"/>
              </w:rPr>
            </w:pPr>
            <w:r w:rsidRPr="004C559B">
              <w:rPr>
                <w:rFonts w:ascii="Calibri" w:hAnsi="Calibri" w:cs="Calibri"/>
                <w:color w:val="000000"/>
                <w:sz w:val="20"/>
                <w:szCs w:val="20"/>
              </w:rPr>
              <w:t>20</w:t>
            </w:r>
          </w:p>
        </w:tc>
        <w:tc>
          <w:tcPr>
            <w:tcW w:w="1150" w:type="dxa"/>
            <w:noWrap/>
            <w:hideMark/>
          </w:tcPr>
          <w:p w:rsidR="00147D5F" w:rsidRPr="004C559B" w:rsidRDefault="00147D5F" w:rsidP="004C55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0.7%</w:t>
            </w:r>
          </w:p>
        </w:tc>
        <w:tc>
          <w:tcPr>
            <w:cnfStyle w:val="000010000000" w:firstRow="0" w:lastRow="0" w:firstColumn="0" w:lastColumn="0" w:oddVBand="1" w:evenVBand="0" w:oddHBand="0" w:evenHBand="0" w:firstRowFirstColumn="0" w:firstRowLastColumn="0" w:lastRowFirstColumn="0" w:lastRowLastColumn="0"/>
            <w:tcW w:w="903" w:type="dxa"/>
            <w:noWrap/>
            <w:hideMark/>
          </w:tcPr>
          <w:p w:rsidR="00147D5F" w:rsidRPr="004C559B" w:rsidRDefault="00147D5F" w:rsidP="004C559B">
            <w:pPr>
              <w:spacing w:after="0"/>
              <w:jc w:val="center"/>
              <w:rPr>
                <w:rFonts w:ascii="Calibri" w:hAnsi="Calibri" w:cs="Calibri"/>
                <w:b/>
                <w:color w:val="000000"/>
                <w:sz w:val="20"/>
                <w:szCs w:val="20"/>
              </w:rPr>
            </w:pPr>
            <w:r w:rsidRPr="004C559B">
              <w:rPr>
                <w:rFonts w:ascii="Calibri" w:hAnsi="Calibri" w:cs="Calibri"/>
                <w:b/>
                <w:color w:val="000000"/>
                <w:sz w:val="20"/>
                <w:szCs w:val="20"/>
              </w:rPr>
              <w:t>2977</w:t>
            </w:r>
          </w:p>
        </w:tc>
      </w:tr>
      <w:tr w:rsidR="004C559B" w:rsidRPr="004C559B" w:rsidTr="00ED12E5">
        <w:tc>
          <w:tcPr>
            <w:cnfStyle w:val="001000000000" w:firstRow="0" w:lastRow="0" w:firstColumn="1" w:lastColumn="0" w:oddVBand="0" w:evenVBand="0" w:oddHBand="0" w:evenHBand="0" w:firstRowFirstColumn="0" w:firstRowLastColumn="0" w:lastRowFirstColumn="0" w:lastRowLastColumn="0"/>
            <w:tcW w:w="1355" w:type="dxa"/>
            <w:noWrap/>
            <w:hideMark/>
          </w:tcPr>
          <w:p w:rsidR="00147D5F" w:rsidRPr="004C559B" w:rsidRDefault="00147D5F" w:rsidP="00DD6610">
            <w:pPr>
              <w:spacing w:after="0"/>
              <w:rPr>
                <w:rFonts w:ascii="Calibri" w:hAnsi="Calibri" w:cs="Calibri"/>
                <w:color w:val="000000"/>
                <w:sz w:val="20"/>
                <w:szCs w:val="20"/>
              </w:rPr>
            </w:pPr>
            <w:r w:rsidRPr="004C559B">
              <w:rPr>
                <w:rFonts w:ascii="Calibri" w:hAnsi="Calibri" w:cs="Calibri"/>
                <w:color w:val="000000"/>
                <w:sz w:val="20"/>
                <w:szCs w:val="20"/>
              </w:rPr>
              <w:t>4/16-6/16</w:t>
            </w:r>
          </w:p>
        </w:tc>
        <w:tc>
          <w:tcPr>
            <w:cnfStyle w:val="000010000000" w:firstRow="0" w:lastRow="0" w:firstColumn="0" w:lastColumn="0" w:oddVBand="1" w:evenVBand="0" w:oddHBand="0" w:evenHBand="0" w:firstRowFirstColumn="0" w:firstRowLastColumn="0" w:lastRowFirstColumn="0" w:lastRowLastColumn="0"/>
            <w:tcW w:w="1286" w:type="dxa"/>
            <w:noWrap/>
            <w:hideMark/>
          </w:tcPr>
          <w:p w:rsidR="00147D5F" w:rsidRPr="004C559B" w:rsidRDefault="00147D5F" w:rsidP="004C559B">
            <w:pPr>
              <w:spacing w:after="0"/>
              <w:jc w:val="center"/>
              <w:rPr>
                <w:rFonts w:ascii="Calibri" w:hAnsi="Calibri" w:cs="Calibri"/>
                <w:color w:val="000000"/>
                <w:sz w:val="20"/>
                <w:szCs w:val="20"/>
              </w:rPr>
            </w:pPr>
            <w:r w:rsidRPr="004C559B">
              <w:rPr>
                <w:rFonts w:ascii="Calibri" w:hAnsi="Calibri" w:cs="Calibri"/>
                <w:color w:val="000000"/>
                <w:sz w:val="20"/>
                <w:szCs w:val="20"/>
              </w:rPr>
              <w:t>937</w:t>
            </w:r>
          </w:p>
        </w:tc>
        <w:tc>
          <w:tcPr>
            <w:tcW w:w="1328" w:type="dxa"/>
            <w:noWrap/>
            <w:hideMark/>
          </w:tcPr>
          <w:p w:rsidR="00147D5F" w:rsidRPr="004C559B" w:rsidRDefault="00147D5F" w:rsidP="004C55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26.3%</w:t>
            </w:r>
          </w:p>
        </w:tc>
        <w:tc>
          <w:tcPr>
            <w:cnfStyle w:val="000010000000" w:firstRow="0" w:lastRow="0" w:firstColumn="0" w:lastColumn="0" w:oddVBand="1" w:evenVBand="0" w:oddHBand="0" w:evenHBand="0" w:firstRowFirstColumn="0" w:firstRowLastColumn="0" w:lastRowFirstColumn="0" w:lastRowLastColumn="0"/>
            <w:tcW w:w="1154" w:type="dxa"/>
            <w:noWrap/>
            <w:hideMark/>
          </w:tcPr>
          <w:p w:rsidR="00147D5F" w:rsidRPr="004C559B" w:rsidRDefault="00147D5F" w:rsidP="004C559B">
            <w:pPr>
              <w:spacing w:after="0"/>
              <w:jc w:val="center"/>
              <w:rPr>
                <w:rFonts w:ascii="Calibri" w:hAnsi="Calibri" w:cs="Calibri"/>
                <w:color w:val="000000"/>
                <w:sz w:val="20"/>
                <w:szCs w:val="20"/>
              </w:rPr>
            </w:pPr>
            <w:r w:rsidRPr="004C559B">
              <w:rPr>
                <w:rFonts w:ascii="Calibri" w:hAnsi="Calibri" w:cs="Calibri"/>
                <w:color w:val="000000"/>
                <w:sz w:val="20"/>
                <w:szCs w:val="20"/>
              </w:rPr>
              <w:t>2602</w:t>
            </w:r>
          </w:p>
        </w:tc>
        <w:tc>
          <w:tcPr>
            <w:tcW w:w="1154" w:type="dxa"/>
            <w:noWrap/>
            <w:hideMark/>
          </w:tcPr>
          <w:p w:rsidR="00147D5F" w:rsidRPr="004C559B" w:rsidRDefault="00147D5F" w:rsidP="004C55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73.0%</w:t>
            </w:r>
          </w:p>
        </w:tc>
        <w:tc>
          <w:tcPr>
            <w:cnfStyle w:val="000010000000" w:firstRow="0" w:lastRow="0" w:firstColumn="0" w:lastColumn="0" w:oddVBand="1" w:evenVBand="0" w:oddHBand="0" w:evenHBand="0" w:firstRowFirstColumn="0" w:firstRowLastColumn="0" w:lastRowFirstColumn="0" w:lastRowLastColumn="0"/>
            <w:tcW w:w="1034" w:type="dxa"/>
            <w:noWrap/>
            <w:hideMark/>
          </w:tcPr>
          <w:p w:rsidR="00147D5F" w:rsidRPr="004C559B" w:rsidRDefault="00147D5F" w:rsidP="004C559B">
            <w:pPr>
              <w:spacing w:after="0"/>
              <w:jc w:val="center"/>
              <w:rPr>
                <w:rFonts w:ascii="Calibri" w:hAnsi="Calibri" w:cs="Calibri"/>
                <w:color w:val="000000"/>
                <w:sz w:val="20"/>
                <w:szCs w:val="20"/>
              </w:rPr>
            </w:pPr>
            <w:r w:rsidRPr="004C559B">
              <w:rPr>
                <w:rFonts w:ascii="Calibri" w:hAnsi="Calibri" w:cs="Calibri"/>
                <w:color w:val="000000"/>
                <w:sz w:val="20"/>
                <w:szCs w:val="20"/>
              </w:rPr>
              <w:t>27</w:t>
            </w:r>
          </w:p>
        </w:tc>
        <w:tc>
          <w:tcPr>
            <w:tcW w:w="1150" w:type="dxa"/>
            <w:noWrap/>
            <w:hideMark/>
          </w:tcPr>
          <w:p w:rsidR="00147D5F" w:rsidRPr="004C559B" w:rsidRDefault="00147D5F" w:rsidP="004C55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0.8%</w:t>
            </w:r>
          </w:p>
        </w:tc>
        <w:tc>
          <w:tcPr>
            <w:cnfStyle w:val="000010000000" w:firstRow="0" w:lastRow="0" w:firstColumn="0" w:lastColumn="0" w:oddVBand="1" w:evenVBand="0" w:oddHBand="0" w:evenHBand="0" w:firstRowFirstColumn="0" w:firstRowLastColumn="0" w:lastRowFirstColumn="0" w:lastRowLastColumn="0"/>
            <w:tcW w:w="903" w:type="dxa"/>
            <w:noWrap/>
            <w:hideMark/>
          </w:tcPr>
          <w:p w:rsidR="00147D5F" w:rsidRPr="004C559B" w:rsidRDefault="00147D5F" w:rsidP="004C559B">
            <w:pPr>
              <w:spacing w:after="0"/>
              <w:jc w:val="center"/>
              <w:rPr>
                <w:rFonts w:ascii="Calibri" w:hAnsi="Calibri" w:cs="Calibri"/>
                <w:b/>
                <w:color w:val="000000"/>
                <w:sz w:val="20"/>
                <w:szCs w:val="20"/>
              </w:rPr>
            </w:pPr>
            <w:r w:rsidRPr="004C559B">
              <w:rPr>
                <w:rFonts w:ascii="Calibri" w:hAnsi="Calibri" w:cs="Calibri"/>
                <w:b/>
                <w:color w:val="000000"/>
                <w:sz w:val="20"/>
                <w:szCs w:val="20"/>
              </w:rPr>
              <w:t>3566</w:t>
            </w:r>
          </w:p>
        </w:tc>
      </w:tr>
      <w:tr w:rsidR="004C559B" w:rsidRPr="004C559B" w:rsidTr="00ED1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dxa"/>
            <w:noWrap/>
            <w:hideMark/>
          </w:tcPr>
          <w:p w:rsidR="00147D5F" w:rsidRPr="004C559B" w:rsidRDefault="00147D5F" w:rsidP="00DD6610">
            <w:pPr>
              <w:spacing w:after="0"/>
              <w:rPr>
                <w:rFonts w:ascii="Calibri" w:hAnsi="Calibri" w:cs="Calibri"/>
                <w:color w:val="000000"/>
                <w:sz w:val="20"/>
                <w:szCs w:val="20"/>
              </w:rPr>
            </w:pPr>
            <w:r w:rsidRPr="004C559B">
              <w:rPr>
                <w:rFonts w:ascii="Calibri" w:hAnsi="Calibri" w:cs="Calibri"/>
                <w:color w:val="000000"/>
                <w:sz w:val="20"/>
                <w:szCs w:val="20"/>
              </w:rPr>
              <w:t>7/16-9/16</w:t>
            </w:r>
          </w:p>
        </w:tc>
        <w:tc>
          <w:tcPr>
            <w:cnfStyle w:val="000010000000" w:firstRow="0" w:lastRow="0" w:firstColumn="0" w:lastColumn="0" w:oddVBand="1" w:evenVBand="0" w:oddHBand="0" w:evenHBand="0" w:firstRowFirstColumn="0" w:firstRowLastColumn="0" w:lastRowFirstColumn="0" w:lastRowLastColumn="0"/>
            <w:tcW w:w="1286" w:type="dxa"/>
            <w:noWrap/>
            <w:hideMark/>
          </w:tcPr>
          <w:p w:rsidR="00147D5F" w:rsidRPr="004C559B" w:rsidRDefault="00147D5F" w:rsidP="004C559B">
            <w:pPr>
              <w:spacing w:after="0"/>
              <w:jc w:val="center"/>
              <w:rPr>
                <w:rFonts w:ascii="Calibri" w:hAnsi="Calibri" w:cs="Calibri"/>
                <w:color w:val="000000"/>
                <w:sz w:val="20"/>
                <w:szCs w:val="20"/>
              </w:rPr>
            </w:pPr>
            <w:r w:rsidRPr="004C559B">
              <w:rPr>
                <w:rFonts w:ascii="Calibri" w:hAnsi="Calibri" w:cs="Calibri"/>
                <w:color w:val="000000"/>
                <w:sz w:val="20"/>
                <w:szCs w:val="20"/>
              </w:rPr>
              <w:t>457</w:t>
            </w:r>
          </w:p>
        </w:tc>
        <w:tc>
          <w:tcPr>
            <w:tcW w:w="1328" w:type="dxa"/>
            <w:noWrap/>
            <w:hideMark/>
          </w:tcPr>
          <w:p w:rsidR="00147D5F" w:rsidRPr="004C559B" w:rsidRDefault="00147D5F" w:rsidP="004C55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20.7%</w:t>
            </w:r>
          </w:p>
        </w:tc>
        <w:tc>
          <w:tcPr>
            <w:cnfStyle w:val="000010000000" w:firstRow="0" w:lastRow="0" w:firstColumn="0" w:lastColumn="0" w:oddVBand="1" w:evenVBand="0" w:oddHBand="0" w:evenHBand="0" w:firstRowFirstColumn="0" w:firstRowLastColumn="0" w:lastRowFirstColumn="0" w:lastRowLastColumn="0"/>
            <w:tcW w:w="1154" w:type="dxa"/>
            <w:noWrap/>
            <w:hideMark/>
          </w:tcPr>
          <w:p w:rsidR="00147D5F" w:rsidRPr="004C559B" w:rsidRDefault="00147D5F" w:rsidP="004C559B">
            <w:pPr>
              <w:spacing w:after="0"/>
              <w:jc w:val="center"/>
              <w:rPr>
                <w:rFonts w:ascii="Calibri" w:hAnsi="Calibri" w:cs="Calibri"/>
                <w:color w:val="000000"/>
                <w:sz w:val="20"/>
                <w:szCs w:val="20"/>
              </w:rPr>
            </w:pPr>
            <w:r w:rsidRPr="004C559B">
              <w:rPr>
                <w:rFonts w:ascii="Calibri" w:hAnsi="Calibri" w:cs="Calibri"/>
                <w:color w:val="000000"/>
                <w:sz w:val="20"/>
                <w:szCs w:val="20"/>
              </w:rPr>
              <w:t>1725</w:t>
            </w:r>
          </w:p>
        </w:tc>
        <w:tc>
          <w:tcPr>
            <w:tcW w:w="1154" w:type="dxa"/>
            <w:noWrap/>
            <w:hideMark/>
          </w:tcPr>
          <w:p w:rsidR="00147D5F" w:rsidRPr="004C559B" w:rsidRDefault="00147D5F" w:rsidP="004C55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78.2%</w:t>
            </w:r>
          </w:p>
        </w:tc>
        <w:tc>
          <w:tcPr>
            <w:cnfStyle w:val="000010000000" w:firstRow="0" w:lastRow="0" w:firstColumn="0" w:lastColumn="0" w:oddVBand="1" w:evenVBand="0" w:oddHBand="0" w:evenHBand="0" w:firstRowFirstColumn="0" w:firstRowLastColumn="0" w:lastRowFirstColumn="0" w:lastRowLastColumn="0"/>
            <w:tcW w:w="1034" w:type="dxa"/>
            <w:noWrap/>
            <w:hideMark/>
          </w:tcPr>
          <w:p w:rsidR="00147D5F" w:rsidRPr="004C559B" w:rsidRDefault="00147D5F" w:rsidP="004C559B">
            <w:pPr>
              <w:spacing w:after="0"/>
              <w:jc w:val="center"/>
              <w:rPr>
                <w:rFonts w:ascii="Calibri" w:hAnsi="Calibri" w:cs="Calibri"/>
                <w:color w:val="000000"/>
                <w:sz w:val="20"/>
                <w:szCs w:val="20"/>
              </w:rPr>
            </w:pPr>
            <w:r w:rsidRPr="004C559B">
              <w:rPr>
                <w:rFonts w:ascii="Calibri" w:hAnsi="Calibri" w:cs="Calibri"/>
                <w:color w:val="000000"/>
                <w:sz w:val="20"/>
                <w:szCs w:val="20"/>
              </w:rPr>
              <w:t>25</w:t>
            </w:r>
          </w:p>
        </w:tc>
        <w:tc>
          <w:tcPr>
            <w:tcW w:w="1150" w:type="dxa"/>
            <w:noWrap/>
            <w:hideMark/>
          </w:tcPr>
          <w:p w:rsidR="00147D5F" w:rsidRPr="004C559B" w:rsidRDefault="00147D5F" w:rsidP="004C55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1.1%</w:t>
            </w:r>
          </w:p>
        </w:tc>
        <w:tc>
          <w:tcPr>
            <w:cnfStyle w:val="000010000000" w:firstRow="0" w:lastRow="0" w:firstColumn="0" w:lastColumn="0" w:oddVBand="1" w:evenVBand="0" w:oddHBand="0" w:evenHBand="0" w:firstRowFirstColumn="0" w:firstRowLastColumn="0" w:lastRowFirstColumn="0" w:lastRowLastColumn="0"/>
            <w:tcW w:w="903" w:type="dxa"/>
            <w:noWrap/>
            <w:hideMark/>
          </w:tcPr>
          <w:p w:rsidR="00147D5F" w:rsidRPr="004C559B" w:rsidRDefault="00147D5F" w:rsidP="004C559B">
            <w:pPr>
              <w:spacing w:after="0"/>
              <w:jc w:val="center"/>
              <w:rPr>
                <w:rFonts w:ascii="Calibri" w:hAnsi="Calibri" w:cs="Calibri"/>
                <w:b/>
                <w:color w:val="000000"/>
                <w:sz w:val="20"/>
                <w:szCs w:val="20"/>
              </w:rPr>
            </w:pPr>
            <w:r w:rsidRPr="004C559B">
              <w:rPr>
                <w:rFonts w:ascii="Calibri" w:hAnsi="Calibri" w:cs="Calibri"/>
                <w:b/>
                <w:color w:val="000000"/>
                <w:sz w:val="20"/>
                <w:szCs w:val="20"/>
              </w:rPr>
              <w:t>2207</w:t>
            </w:r>
          </w:p>
        </w:tc>
      </w:tr>
      <w:tr w:rsidR="004C559B" w:rsidRPr="004C559B" w:rsidTr="00ED12E5">
        <w:tc>
          <w:tcPr>
            <w:cnfStyle w:val="001000000000" w:firstRow="0" w:lastRow="0" w:firstColumn="1" w:lastColumn="0" w:oddVBand="0" w:evenVBand="0" w:oddHBand="0" w:evenHBand="0" w:firstRowFirstColumn="0" w:firstRowLastColumn="0" w:lastRowFirstColumn="0" w:lastRowLastColumn="0"/>
            <w:tcW w:w="1355" w:type="dxa"/>
            <w:noWrap/>
            <w:hideMark/>
          </w:tcPr>
          <w:p w:rsidR="00147D5F" w:rsidRPr="004C559B" w:rsidRDefault="00147D5F" w:rsidP="00DD6610">
            <w:pPr>
              <w:spacing w:after="0"/>
              <w:rPr>
                <w:rFonts w:ascii="Calibri" w:hAnsi="Calibri" w:cs="Calibri"/>
                <w:color w:val="000000"/>
                <w:sz w:val="20"/>
                <w:szCs w:val="20"/>
              </w:rPr>
            </w:pPr>
            <w:r w:rsidRPr="004C559B">
              <w:rPr>
                <w:rFonts w:ascii="Calibri" w:hAnsi="Calibri" w:cs="Calibri"/>
                <w:color w:val="000000"/>
                <w:sz w:val="20"/>
                <w:szCs w:val="20"/>
              </w:rPr>
              <w:t>10/16-12/16</w:t>
            </w:r>
          </w:p>
        </w:tc>
        <w:tc>
          <w:tcPr>
            <w:cnfStyle w:val="000010000000" w:firstRow="0" w:lastRow="0" w:firstColumn="0" w:lastColumn="0" w:oddVBand="1" w:evenVBand="0" w:oddHBand="0" w:evenHBand="0" w:firstRowFirstColumn="0" w:firstRowLastColumn="0" w:lastRowFirstColumn="0" w:lastRowLastColumn="0"/>
            <w:tcW w:w="1286" w:type="dxa"/>
            <w:noWrap/>
            <w:hideMark/>
          </w:tcPr>
          <w:p w:rsidR="00147D5F" w:rsidRPr="004C559B" w:rsidRDefault="00147D5F" w:rsidP="004C559B">
            <w:pPr>
              <w:spacing w:after="0"/>
              <w:jc w:val="center"/>
              <w:rPr>
                <w:rFonts w:ascii="Calibri" w:hAnsi="Calibri" w:cs="Calibri"/>
                <w:color w:val="000000"/>
                <w:sz w:val="20"/>
                <w:szCs w:val="20"/>
              </w:rPr>
            </w:pPr>
            <w:r w:rsidRPr="004C559B">
              <w:rPr>
                <w:rFonts w:ascii="Calibri" w:hAnsi="Calibri" w:cs="Calibri"/>
                <w:color w:val="000000"/>
                <w:sz w:val="20"/>
                <w:szCs w:val="20"/>
              </w:rPr>
              <w:t>763</w:t>
            </w:r>
          </w:p>
        </w:tc>
        <w:tc>
          <w:tcPr>
            <w:tcW w:w="1328" w:type="dxa"/>
            <w:noWrap/>
            <w:hideMark/>
          </w:tcPr>
          <w:p w:rsidR="00147D5F" w:rsidRPr="004C559B" w:rsidRDefault="00147D5F" w:rsidP="004C55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0"/>
              </w:rPr>
            </w:pPr>
            <w:r w:rsidRPr="004C559B">
              <w:rPr>
                <w:rFonts w:ascii="Calibri" w:hAnsi="Calibri" w:cs="Calibri"/>
                <w:b/>
                <w:color w:val="000000"/>
                <w:sz w:val="20"/>
                <w:szCs w:val="20"/>
              </w:rPr>
              <w:t>27.3%</w:t>
            </w:r>
          </w:p>
        </w:tc>
        <w:tc>
          <w:tcPr>
            <w:cnfStyle w:val="000010000000" w:firstRow="0" w:lastRow="0" w:firstColumn="0" w:lastColumn="0" w:oddVBand="1" w:evenVBand="0" w:oddHBand="0" w:evenHBand="0" w:firstRowFirstColumn="0" w:firstRowLastColumn="0" w:lastRowFirstColumn="0" w:lastRowLastColumn="0"/>
            <w:tcW w:w="1154" w:type="dxa"/>
            <w:noWrap/>
            <w:hideMark/>
          </w:tcPr>
          <w:p w:rsidR="00147D5F" w:rsidRPr="004C559B" w:rsidRDefault="00147D5F" w:rsidP="004C559B">
            <w:pPr>
              <w:spacing w:after="0"/>
              <w:jc w:val="center"/>
              <w:rPr>
                <w:rFonts w:ascii="Calibri" w:hAnsi="Calibri" w:cs="Calibri"/>
                <w:color w:val="000000"/>
                <w:sz w:val="20"/>
                <w:szCs w:val="20"/>
              </w:rPr>
            </w:pPr>
            <w:r w:rsidRPr="004C559B">
              <w:rPr>
                <w:rFonts w:ascii="Calibri" w:hAnsi="Calibri" w:cs="Calibri"/>
                <w:color w:val="000000"/>
                <w:sz w:val="20"/>
                <w:szCs w:val="20"/>
              </w:rPr>
              <w:t>2024</w:t>
            </w:r>
          </w:p>
        </w:tc>
        <w:tc>
          <w:tcPr>
            <w:tcW w:w="1154" w:type="dxa"/>
            <w:noWrap/>
            <w:hideMark/>
          </w:tcPr>
          <w:p w:rsidR="00147D5F" w:rsidRPr="004C559B" w:rsidRDefault="00147D5F" w:rsidP="004C55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72.3%</w:t>
            </w:r>
          </w:p>
        </w:tc>
        <w:tc>
          <w:tcPr>
            <w:cnfStyle w:val="000010000000" w:firstRow="0" w:lastRow="0" w:firstColumn="0" w:lastColumn="0" w:oddVBand="1" w:evenVBand="0" w:oddHBand="0" w:evenHBand="0" w:firstRowFirstColumn="0" w:firstRowLastColumn="0" w:lastRowFirstColumn="0" w:lastRowLastColumn="0"/>
            <w:tcW w:w="1034" w:type="dxa"/>
            <w:noWrap/>
            <w:hideMark/>
          </w:tcPr>
          <w:p w:rsidR="00147D5F" w:rsidRPr="004C559B" w:rsidRDefault="00147D5F" w:rsidP="004C559B">
            <w:pPr>
              <w:spacing w:after="0"/>
              <w:jc w:val="center"/>
              <w:rPr>
                <w:rFonts w:ascii="Calibri" w:hAnsi="Calibri" w:cs="Calibri"/>
                <w:color w:val="000000"/>
                <w:sz w:val="20"/>
                <w:szCs w:val="20"/>
              </w:rPr>
            </w:pPr>
            <w:r w:rsidRPr="004C559B">
              <w:rPr>
                <w:rFonts w:ascii="Calibri" w:hAnsi="Calibri" w:cs="Calibri"/>
                <w:color w:val="000000"/>
                <w:sz w:val="20"/>
                <w:szCs w:val="20"/>
              </w:rPr>
              <w:t>11</w:t>
            </w:r>
          </w:p>
        </w:tc>
        <w:tc>
          <w:tcPr>
            <w:tcW w:w="1150" w:type="dxa"/>
            <w:noWrap/>
            <w:hideMark/>
          </w:tcPr>
          <w:p w:rsidR="00147D5F" w:rsidRPr="004C559B" w:rsidRDefault="00147D5F" w:rsidP="004C55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0.4%</w:t>
            </w:r>
          </w:p>
        </w:tc>
        <w:tc>
          <w:tcPr>
            <w:cnfStyle w:val="000010000000" w:firstRow="0" w:lastRow="0" w:firstColumn="0" w:lastColumn="0" w:oddVBand="1" w:evenVBand="0" w:oddHBand="0" w:evenHBand="0" w:firstRowFirstColumn="0" w:firstRowLastColumn="0" w:lastRowFirstColumn="0" w:lastRowLastColumn="0"/>
            <w:tcW w:w="903" w:type="dxa"/>
            <w:noWrap/>
            <w:hideMark/>
          </w:tcPr>
          <w:p w:rsidR="00147D5F" w:rsidRPr="004C559B" w:rsidRDefault="00147D5F" w:rsidP="004C559B">
            <w:pPr>
              <w:spacing w:after="0"/>
              <w:jc w:val="center"/>
              <w:rPr>
                <w:rFonts w:ascii="Calibri" w:hAnsi="Calibri" w:cs="Calibri"/>
                <w:b/>
                <w:color w:val="000000"/>
                <w:sz w:val="20"/>
                <w:szCs w:val="20"/>
              </w:rPr>
            </w:pPr>
            <w:r w:rsidRPr="004C559B">
              <w:rPr>
                <w:rFonts w:ascii="Calibri" w:hAnsi="Calibri" w:cs="Calibri"/>
                <w:b/>
                <w:color w:val="000000"/>
                <w:sz w:val="20"/>
                <w:szCs w:val="20"/>
              </w:rPr>
              <w:t>2798</w:t>
            </w:r>
          </w:p>
        </w:tc>
      </w:tr>
      <w:tr w:rsidR="00ED12E5" w:rsidRPr="00ED12E5" w:rsidTr="00ED1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dxa"/>
            <w:shd w:val="clear" w:color="auto" w:fill="5B9BD5" w:themeFill="accent5"/>
            <w:noWrap/>
            <w:vAlign w:val="center"/>
          </w:tcPr>
          <w:p w:rsidR="00ED12E5" w:rsidRPr="00ED12E5" w:rsidRDefault="00ED12E5" w:rsidP="00ED12E5">
            <w:pPr>
              <w:spacing w:after="0"/>
              <w:jc w:val="left"/>
              <w:rPr>
                <w:rFonts w:ascii="Calibri" w:hAnsi="Calibri" w:cs="Calibri"/>
                <w:color w:val="FFFFFF" w:themeColor="background1"/>
                <w:sz w:val="20"/>
                <w:szCs w:val="20"/>
              </w:rPr>
            </w:pPr>
            <w:r>
              <w:rPr>
                <w:rFonts w:ascii="Calibri" w:hAnsi="Calibri" w:cs="Calibri"/>
                <w:color w:val="FFFFFF" w:themeColor="background1"/>
                <w:sz w:val="20"/>
                <w:szCs w:val="20"/>
              </w:rPr>
              <w:t>Total of Periods</w:t>
            </w:r>
          </w:p>
        </w:tc>
        <w:tc>
          <w:tcPr>
            <w:cnfStyle w:val="000010000000" w:firstRow="0" w:lastRow="0" w:firstColumn="0" w:lastColumn="0" w:oddVBand="1" w:evenVBand="0" w:oddHBand="0" w:evenHBand="0" w:firstRowFirstColumn="0" w:firstRowLastColumn="0" w:lastRowFirstColumn="0" w:lastRowLastColumn="0"/>
            <w:tcW w:w="1286" w:type="dxa"/>
            <w:shd w:val="clear" w:color="auto" w:fill="5B9BD5" w:themeFill="accent5"/>
            <w:noWrap/>
          </w:tcPr>
          <w:p w:rsidR="00ED12E5" w:rsidRPr="00ED12E5" w:rsidRDefault="00ED12E5" w:rsidP="004C559B">
            <w:pPr>
              <w:spacing w:after="0"/>
              <w:jc w:val="center"/>
              <w:rPr>
                <w:rFonts w:ascii="Calibri" w:hAnsi="Calibri" w:cs="Calibri"/>
                <w:b/>
                <w:color w:val="FFFFFF" w:themeColor="background1"/>
                <w:sz w:val="20"/>
                <w:szCs w:val="20"/>
              </w:rPr>
            </w:pPr>
            <w:r w:rsidRPr="00ED12E5">
              <w:rPr>
                <w:rFonts w:ascii="Calibri" w:hAnsi="Calibri" w:cs="Calibri"/>
                <w:b/>
                <w:bCs/>
                <w:color w:val="FFFFFF" w:themeColor="background1"/>
                <w:sz w:val="20"/>
                <w:szCs w:val="20"/>
              </w:rPr>
              <w:t>Downgraded Reviews</w:t>
            </w:r>
          </w:p>
        </w:tc>
        <w:tc>
          <w:tcPr>
            <w:tcW w:w="1328" w:type="dxa"/>
            <w:shd w:val="clear" w:color="auto" w:fill="5B9BD5" w:themeFill="accent5"/>
            <w:noWrap/>
          </w:tcPr>
          <w:p w:rsidR="00ED12E5" w:rsidRPr="00ED12E5" w:rsidRDefault="00ED12E5" w:rsidP="004C55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 w:val="20"/>
                <w:szCs w:val="20"/>
              </w:rPr>
            </w:pPr>
            <w:r w:rsidRPr="00ED12E5">
              <w:rPr>
                <w:rFonts w:ascii="Calibri" w:hAnsi="Calibri" w:cs="Calibri"/>
                <w:b/>
                <w:bCs/>
                <w:color w:val="FFFFFF" w:themeColor="background1"/>
                <w:sz w:val="20"/>
                <w:szCs w:val="20"/>
              </w:rPr>
              <w:t xml:space="preserve">Downgraded </w:t>
            </w:r>
            <w:r w:rsidRPr="00ED12E5">
              <w:rPr>
                <w:rFonts w:ascii="Calibri" w:hAnsi="Calibri" w:cs="Calibri"/>
                <w:b/>
                <w:color w:val="FFFFFF" w:themeColor="background1"/>
                <w:sz w:val="20"/>
                <w:szCs w:val="20"/>
              </w:rPr>
              <w:t>Percentage</w:t>
            </w:r>
          </w:p>
        </w:tc>
        <w:tc>
          <w:tcPr>
            <w:cnfStyle w:val="000010000000" w:firstRow="0" w:lastRow="0" w:firstColumn="0" w:lastColumn="0" w:oddVBand="1" w:evenVBand="0" w:oddHBand="0" w:evenHBand="0" w:firstRowFirstColumn="0" w:firstRowLastColumn="0" w:lastRowFirstColumn="0" w:lastRowLastColumn="0"/>
            <w:tcW w:w="1154" w:type="dxa"/>
            <w:shd w:val="clear" w:color="auto" w:fill="5B9BD5" w:themeFill="accent5"/>
            <w:noWrap/>
          </w:tcPr>
          <w:p w:rsidR="00ED12E5" w:rsidRPr="00ED12E5" w:rsidRDefault="00ED12E5" w:rsidP="004C559B">
            <w:pPr>
              <w:spacing w:after="0"/>
              <w:jc w:val="center"/>
              <w:rPr>
                <w:rFonts w:ascii="Calibri" w:hAnsi="Calibri" w:cs="Calibri"/>
                <w:b/>
                <w:color w:val="FFFFFF" w:themeColor="background1"/>
                <w:sz w:val="20"/>
                <w:szCs w:val="20"/>
              </w:rPr>
            </w:pPr>
            <w:r w:rsidRPr="00ED12E5">
              <w:rPr>
                <w:rFonts w:ascii="Calibri" w:hAnsi="Calibri" w:cs="Calibri"/>
                <w:b/>
                <w:bCs/>
                <w:color w:val="FFFFFF" w:themeColor="background1"/>
                <w:sz w:val="20"/>
                <w:szCs w:val="20"/>
              </w:rPr>
              <w:t>Unchanged Reviews</w:t>
            </w:r>
          </w:p>
        </w:tc>
        <w:tc>
          <w:tcPr>
            <w:tcW w:w="1154" w:type="dxa"/>
            <w:shd w:val="clear" w:color="auto" w:fill="5B9BD5" w:themeFill="accent5"/>
            <w:noWrap/>
          </w:tcPr>
          <w:p w:rsidR="00ED12E5" w:rsidRPr="00ED12E5" w:rsidRDefault="00ED12E5" w:rsidP="004C55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 w:val="20"/>
                <w:szCs w:val="20"/>
              </w:rPr>
            </w:pPr>
            <w:r w:rsidRPr="00ED12E5">
              <w:rPr>
                <w:rFonts w:ascii="Calibri" w:hAnsi="Calibri" w:cs="Calibri"/>
                <w:b/>
                <w:bCs/>
                <w:color w:val="FFFFFF" w:themeColor="background1"/>
                <w:sz w:val="20"/>
                <w:szCs w:val="20"/>
              </w:rPr>
              <w:t xml:space="preserve">Unchanged </w:t>
            </w:r>
            <w:r w:rsidRPr="00ED12E5">
              <w:rPr>
                <w:rFonts w:ascii="Calibri" w:hAnsi="Calibri" w:cs="Calibri"/>
                <w:b/>
                <w:color w:val="FFFFFF" w:themeColor="background1"/>
                <w:sz w:val="20"/>
                <w:szCs w:val="20"/>
              </w:rPr>
              <w:t>Percentage</w:t>
            </w:r>
          </w:p>
        </w:tc>
        <w:tc>
          <w:tcPr>
            <w:cnfStyle w:val="000010000000" w:firstRow="0" w:lastRow="0" w:firstColumn="0" w:lastColumn="0" w:oddVBand="1" w:evenVBand="0" w:oddHBand="0" w:evenHBand="0" w:firstRowFirstColumn="0" w:firstRowLastColumn="0" w:lastRowFirstColumn="0" w:lastRowLastColumn="0"/>
            <w:tcW w:w="1034" w:type="dxa"/>
            <w:shd w:val="clear" w:color="auto" w:fill="5B9BD5" w:themeFill="accent5"/>
            <w:noWrap/>
          </w:tcPr>
          <w:p w:rsidR="00ED12E5" w:rsidRPr="00ED12E5" w:rsidRDefault="00ED12E5" w:rsidP="004C559B">
            <w:pPr>
              <w:spacing w:after="0"/>
              <w:jc w:val="center"/>
              <w:rPr>
                <w:rFonts w:ascii="Calibri" w:hAnsi="Calibri" w:cs="Calibri"/>
                <w:b/>
                <w:color w:val="FFFFFF" w:themeColor="background1"/>
                <w:sz w:val="20"/>
                <w:szCs w:val="20"/>
              </w:rPr>
            </w:pPr>
            <w:r w:rsidRPr="00ED12E5">
              <w:rPr>
                <w:rFonts w:ascii="Calibri" w:hAnsi="Calibri" w:cs="Calibri"/>
                <w:b/>
                <w:bCs/>
                <w:color w:val="FFFFFF" w:themeColor="background1"/>
                <w:sz w:val="20"/>
                <w:szCs w:val="20"/>
              </w:rPr>
              <w:t>Upgraded Reviews</w:t>
            </w:r>
          </w:p>
        </w:tc>
        <w:tc>
          <w:tcPr>
            <w:tcW w:w="1150" w:type="dxa"/>
            <w:shd w:val="clear" w:color="auto" w:fill="5B9BD5" w:themeFill="accent5"/>
            <w:noWrap/>
          </w:tcPr>
          <w:p w:rsidR="00ED12E5" w:rsidRPr="00ED12E5" w:rsidRDefault="00ED12E5" w:rsidP="004C55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 w:val="20"/>
                <w:szCs w:val="20"/>
              </w:rPr>
            </w:pPr>
            <w:r w:rsidRPr="00ED12E5">
              <w:rPr>
                <w:rFonts w:ascii="Calibri" w:hAnsi="Calibri" w:cs="Calibri"/>
                <w:b/>
                <w:bCs/>
                <w:color w:val="FFFFFF" w:themeColor="background1"/>
                <w:sz w:val="20"/>
                <w:szCs w:val="20"/>
              </w:rPr>
              <w:t xml:space="preserve">Upgraded </w:t>
            </w:r>
            <w:r w:rsidRPr="00ED12E5">
              <w:rPr>
                <w:rFonts w:ascii="Calibri" w:hAnsi="Calibri" w:cs="Calibri"/>
                <w:b/>
                <w:color w:val="FFFFFF" w:themeColor="background1"/>
                <w:sz w:val="20"/>
                <w:szCs w:val="20"/>
              </w:rPr>
              <w:t>Percentage</w:t>
            </w:r>
          </w:p>
        </w:tc>
        <w:tc>
          <w:tcPr>
            <w:cnfStyle w:val="000010000000" w:firstRow="0" w:lastRow="0" w:firstColumn="0" w:lastColumn="0" w:oddVBand="1" w:evenVBand="0" w:oddHBand="0" w:evenHBand="0" w:firstRowFirstColumn="0" w:firstRowLastColumn="0" w:lastRowFirstColumn="0" w:lastRowLastColumn="0"/>
            <w:tcW w:w="903" w:type="dxa"/>
            <w:shd w:val="clear" w:color="auto" w:fill="5B9BD5" w:themeFill="accent5"/>
            <w:noWrap/>
            <w:vAlign w:val="center"/>
          </w:tcPr>
          <w:p w:rsidR="00ED12E5" w:rsidRPr="00ED12E5" w:rsidRDefault="00ED12E5" w:rsidP="004C559B">
            <w:pPr>
              <w:spacing w:after="0"/>
              <w:jc w:val="center"/>
              <w:rPr>
                <w:rFonts w:ascii="Calibri" w:hAnsi="Calibri" w:cs="Calibri"/>
                <w:b/>
                <w:color w:val="FFFFFF" w:themeColor="background1"/>
                <w:sz w:val="20"/>
                <w:szCs w:val="20"/>
              </w:rPr>
            </w:pPr>
            <w:r w:rsidRPr="00ED12E5">
              <w:rPr>
                <w:rFonts w:ascii="Calibri" w:hAnsi="Calibri" w:cs="Calibri"/>
                <w:b/>
                <w:bCs/>
                <w:color w:val="FFFFFF" w:themeColor="background1"/>
                <w:sz w:val="20"/>
                <w:szCs w:val="20"/>
              </w:rPr>
              <w:t>Total</w:t>
            </w:r>
            <w:r w:rsidRPr="00ED12E5">
              <w:rPr>
                <w:rFonts w:ascii="Calibri" w:hAnsi="Calibri" w:cs="Calibri"/>
                <w:b/>
                <w:color w:val="FFFFFF" w:themeColor="background1"/>
                <w:sz w:val="20"/>
                <w:szCs w:val="20"/>
              </w:rPr>
              <w:t xml:space="preserve"> Reviews</w:t>
            </w:r>
          </w:p>
        </w:tc>
      </w:tr>
      <w:tr w:rsidR="00ED12E5" w:rsidRPr="004C559B" w:rsidTr="00ED12E5">
        <w:tc>
          <w:tcPr>
            <w:cnfStyle w:val="001000000000" w:firstRow="0" w:lastRow="0" w:firstColumn="1" w:lastColumn="0" w:oddVBand="0" w:evenVBand="0" w:oddHBand="0" w:evenHBand="0" w:firstRowFirstColumn="0" w:firstRowLastColumn="0" w:lastRowFirstColumn="0" w:lastRowLastColumn="0"/>
            <w:tcW w:w="1355" w:type="dxa"/>
            <w:shd w:val="clear" w:color="auto" w:fill="auto"/>
            <w:noWrap/>
            <w:hideMark/>
          </w:tcPr>
          <w:p w:rsidR="00ED12E5" w:rsidRPr="004C559B" w:rsidRDefault="00ED12E5" w:rsidP="00DD6610">
            <w:pPr>
              <w:spacing w:after="0"/>
              <w:rPr>
                <w:rFonts w:ascii="Calibri" w:hAnsi="Calibri" w:cs="Calibri"/>
                <w:color w:val="000000"/>
                <w:sz w:val="20"/>
                <w:szCs w:val="20"/>
              </w:rPr>
            </w:pPr>
            <w:r w:rsidRPr="004C559B">
              <w:rPr>
                <w:rFonts w:ascii="Calibri" w:hAnsi="Calibri" w:cs="Calibri"/>
                <w:color w:val="000000"/>
                <w:sz w:val="20"/>
                <w:szCs w:val="20"/>
              </w:rPr>
              <w:t>7/15-3/16</w:t>
            </w:r>
          </w:p>
        </w:tc>
        <w:tc>
          <w:tcPr>
            <w:cnfStyle w:val="000010000000" w:firstRow="0" w:lastRow="0" w:firstColumn="0" w:lastColumn="0" w:oddVBand="1" w:evenVBand="0" w:oddHBand="0" w:evenHBand="0" w:firstRowFirstColumn="0" w:firstRowLastColumn="0" w:lastRowFirstColumn="0" w:lastRowLastColumn="0"/>
            <w:tcW w:w="1286" w:type="dxa"/>
            <w:shd w:val="clear" w:color="auto" w:fill="auto"/>
            <w:noWrap/>
            <w:hideMark/>
          </w:tcPr>
          <w:p w:rsidR="00ED12E5" w:rsidRPr="004C559B" w:rsidRDefault="00ED12E5" w:rsidP="004C559B">
            <w:pPr>
              <w:spacing w:after="0"/>
              <w:jc w:val="center"/>
              <w:rPr>
                <w:rFonts w:ascii="Calibri" w:hAnsi="Calibri" w:cs="Calibri"/>
                <w:color w:val="000000"/>
                <w:sz w:val="20"/>
                <w:szCs w:val="20"/>
              </w:rPr>
            </w:pPr>
            <w:r w:rsidRPr="004C559B">
              <w:rPr>
                <w:rFonts w:ascii="Calibri" w:hAnsi="Calibri" w:cs="Calibri"/>
                <w:color w:val="000000"/>
                <w:sz w:val="20"/>
                <w:szCs w:val="20"/>
              </w:rPr>
              <w:t>1586</w:t>
            </w:r>
          </w:p>
        </w:tc>
        <w:tc>
          <w:tcPr>
            <w:tcW w:w="1328" w:type="dxa"/>
            <w:shd w:val="clear" w:color="auto" w:fill="auto"/>
            <w:noWrap/>
            <w:hideMark/>
          </w:tcPr>
          <w:p w:rsidR="00ED12E5" w:rsidRPr="004C559B" w:rsidRDefault="00ED12E5" w:rsidP="004C55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13.2%</w:t>
            </w:r>
          </w:p>
        </w:tc>
        <w:tc>
          <w:tcPr>
            <w:cnfStyle w:val="000010000000" w:firstRow="0" w:lastRow="0" w:firstColumn="0" w:lastColumn="0" w:oddVBand="1" w:evenVBand="0" w:oddHBand="0" w:evenHBand="0" w:firstRowFirstColumn="0" w:firstRowLastColumn="0" w:lastRowFirstColumn="0" w:lastRowLastColumn="0"/>
            <w:tcW w:w="1154" w:type="dxa"/>
            <w:shd w:val="clear" w:color="auto" w:fill="auto"/>
            <w:noWrap/>
            <w:hideMark/>
          </w:tcPr>
          <w:p w:rsidR="00ED12E5" w:rsidRPr="004C559B" w:rsidRDefault="00ED12E5" w:rsidP="004C559B">
            <w:pPr>
              <w:spacing w:after="0"/>
              <w:jc w:val="center"/>
              <w:rPr>
                <w:rFonts w:ascii="Calibri" w:hAnsi="Calibri" w:cs="Calibri"/>
                <w:color w:val="000000"/>
                <w:sz w:val="20"/>
                <w:szCs w:val="20"/>
              </w:rPr>
            </w:pPr>
            <w:r w:rsidRPr="004C559B">
              <w:rPr>
                <w:rFonts w:ascii="Calibri" w:hAnsi="Calibri" w:cs="Calibri"/>
                <w:color w:val="000000"/>
                <w:sz w:val="20"/>
                <w:szCs w:val="20"/>
              </w:rPr>
              <w:t>10368</w:t>
            </w:r>
          </w:p>
        </w:tc>
        <w:tc>
          <w:tcPr>
            <w:tcW w:w="1154" w:type="dxa"/>
            <w:shd w:val="clear" w:color="auto" w:fill="auto"/>
            <w:noWrap/>
            <w:hideMark/>
          </w:tcPr>
          <w:p w:rsidR="00ED12E5" w:rsidRPr="004C559B" w:rsidRDefault="00ED12E5" w:rsidP="004C55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86.0%</w:t>
            </w:r>
          </w:p>
        </w:tc>
        <w:tc>
          <w:tcPr>
            <w:cnfStyle w:val="000010000000" w:firstRow="0" w:lastRow="0" w:firstColumn="0" w:lastColumn="0" w:oddVBand="1" w:evenVBand="0" w:oddHBand="0" w:evenHBand="0" w:firstRowFirstColumn="0" w:firstRowLastColumn="0" w:lastRowFirstColumn="0" w:lastRowLastColumn="0"/>
            <w:tcW w:w="1034" w:type="dxa"/>
            <w:shd w:val="clear" w:color="auto" w:fill="auto"/>
            <w:noWrap/>
            <w:hideMark/>
          </w:tcPr>
          <w:p w:rsidR="00ED12E5" w:rsidRPr="004C559B" w:rsidRDefault="00ED12E5" w:rsidP="004C559B">
            <w:pPr>
              <w:spacing w:after="0"/>
              <w:jc w:val="center"/>
              <w:rPr>
                <w:rFonts w:ascii="Calibri" w:hAnsi="Calibri" w:cs="Calibri"/>
                <w:color w:val="000000"/>
                <w:sz w:val="20"/>
                <w:szCs w:val="20"/>
              </w:rPr>
            </w:pPr>
            <w:r w:rsidRPr="004C559B">
              <w:rPr>
                <w:rFonts w:ascii="Calibri" w:hAnsi="Calibri" w:cs="Calibri"/>
                <w:color w:val="000000"/>
                <w:sz w:val="20"/>
                <w:szCs w:val="20"/>
              </w:rPr>
              <w:t>106</w:t>
            </w:r>
          </w:p>
        </w:tc>
        <w:tc>
          <w:tcPr>
            <w:tcW w:w="1150" w:type="dxa"/>
            <w:shd w:val="clear" w:color="auto" w:fill="auto"/>
            <w:noWrap/>
            <w:hideMark/>
          </w:tcPr>
          <w:p w:rsidR="00ED12E5" w:rsidRPr="004C559B" w:rsidRDefault="00ED12E5" w:rsidP="004C55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0.9%</w:t>
            </w:r>
          </w:p>
        </w:tc>
        <w:tc>
          <w:tcPr>
            <w:cnfStyle w:val="000010000000" w:firstRow="0" w:lastRow="0" w:firstColumn="0" w:lastColumn="0" w:oddVBand="1" w:evenVBand="0" w:oddHBand="0" w:evenHBand="0" w:firstRowFirstColumn="0" w:firstRowLastColumn="0" w:lastRowFirstColumn="0" w:lastRowLastColumn="0"/>
            <w:tcW w:w="903" w:type="dxa"/>
            <w:shd w:val="clear" w:color="auto" w:fill="auto"/>
            <w:noWrap/>
            <w:hideMark/>
          </w:tcPr>
          <w:p w:rsidR="00ED12E5" w:rsidRPr="004C559B" w:rsidRDefault="00ED12E5" w:rsidP="004C559B">
            <w:pPr>
              <w:spacing w:after="0"/>
              <w:jc w:val="center"/>
              <w:rPr>
                <w:rFonts w:ascii="Calibri" w:hAnsi="Calibri" w:cs="Calibri"/>
                <w:b/>
                <w:color w:val="000000"/>
                <w:sz w:val="20"/>
                <w:szCs w:val="20"/>
              </w:rPr>
            </w:pPr>
            <w:r w:rsidRPr="004C559B">
              <w:rPr>
                <w:rFonts w:ascii="Calibri" w:hAnsi="Calibri" w:cs="Calibri"/>
                <w:b/>
                <w:color w:val="000000"/>
                <w:sz w:val="20"/>
                <w:szCs w:val="20"/>
              </w:rPr>
              <w:t>12060</w:t>
            </w:r>
          </w:p>
        </w:tc>
      </w:tr>
      <w:tr w:rsidR="00ED12E5" w:rsidRPr="004C559B" w:rsidTr="00ED1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dxa"/>
            <w:shd w:val="clear" w:color="auto" w:fill="auto"/>
            <w:noWrap/>
            <w:hideMark/>
          </w:tcPr>
          <w:p w:rsidR="00ED12E5" w:rsidRPr="004C559B" w:rsidRDefault="00ED12E5" w:rsidP="00DD6610">
            <w:pPr>
              <w:spacing w:after="0"/>
              <w:rPr>
                <w:rFonts w:ascii="Calibri" w:hAnsi="Calibri" w:cs="Calibri"/>
                <w:color w:val="000000"/>
                <w:sz w:val="20"/>
                <w:szCs w:val="20"/>
              </w:rPr>
            </w:pPr>
            <w:r w:rsidRPr="004C559B">
              <w:rPr>
                <w:rFonts w:ascii="Calibri" w:hAnsi="Calibri" w:cs="Calibri"/>
                <w:color w:val="000000"/>
                <w:sz w:val="20"/>
                <w:szCs w:val="20"/>
              </w:rPr>
              <w:t>4/16-12/16</w:t>
            </w:r>
          </w:p>
        </w:tc>
        <w:tc>
          <w:tcPr>
            <w:cnfStyle w:val="000010000000" w:firstRow="0" w:lastRow="0" w:firstColumn="0" w:lastColumn="0" w:oddVBand="1" w:evenVBand="0" w:oddHBand="0" w:evenHBand="0" w:firstRowFirstColumn="0" w:firstRowLastColumn="0" w:lastRowFirstColumn="0" w:lastRowLastColumn="0"/>
            <w:tcW w:w="1286" w:type="dxa"/>
            <w:shd w:val="clear" w:color="auto" w:fill="auto"/>
            <w:noWrap/>
            <w:hideMark/>
          </w:tcPr>
          <w:p w:rsidR="00ED12E5" w:rsidRPr="004C559B" w:rsidRDefault="00ED12E5" w:rsidP="004C559B">
            <w:pPr>
              <w:spacing w:after="0"/>
              <w:jc w:val="center"/>
              <w:rPr>
                <w:rFonts w:ascii="Calibri" w:hAnsi="Calibri" w:cs="Calibri"/>
                <w:color w:val="000000"/>
                <w:sz w:val="20"/>
                <w:szCs w:val="20"/>
              </w:rPr>
            </w:pPr>
            <w:r w:rsidRPr="004C559B">
              <w:rPr>
                <w:rFonts w:ascii="Calibri" w:hAnsi="Calibri" w:cs="Calibri"/>
                <w:color w:val="000000"/>
                <w:sz w:val="20"/>
                <w:szCs w:val="20"/>
              </w:rPr>
              <w:t>2157</w:t>
            </w:r>
          </w:p>
        </w:tc>
        <w:tc>
          <w:tcPr>
            <w:tcW w:w="1328" w:type="dxa"/>
            <w:shd w:val="clear" w:color="auto" w:fill="auto"/>
            <w:noWrap/>
            <w:hideMark/>
          </w:tcPr>
          <w:p w:rsidR="00ED12E5" w:rsidRPr="004C559B" w:rsidRDefault="00ED12E5" w:rsidP="004C55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25.2%</w:t>
            </w:r>
          </w:p>
        </w:tc>
        <w:tc>
          <w:tcPr>
            <w:cnfStyle w:val="000010000000" w:firstRow="0" w:lastRow="0" w:firstColumn="0" w:lastColumn="0" w:oddVBand="1" w:evenVBand="0" w:oddHBand="0" w:evenHBand="0" w:firstRowFirstColumn="0" w:firstRowLastColumn="0" w:lastRowFirstColumn="0" w:lastRowLastColumn="0"/>
            <w:tcW w:w="1154" w:type="dxa"/>
            <w:shd w:val="clear" w:color="auto" w:fill="auto"/>
            <w:noWrap/>
            <w:hideMark/>
          </w:tcPr>
          <w:p w:rsidR="00ED12E5" w:rsidRPr="004C559B" w:rsidRDefault="00ED12E5" w:rsidP="004C559B">
            <w:pPr>
              <w:spacing w:after="0"/>
              <w:jc w:val="center"/>
              <w:rPr>
                <w:rFonts w:ascii="Calibri" w:hAnsi="Calibri" w:cs="Calibri"/>
                <w:color w:val="000000"/>
                <w:sz w:val="20"/>
                <w:szCs w:val="20"/>
              </w:rPr>
            </w:pPr>
            <w:r w:rsidRPr="004C559B">
              <w:rPr>
                <w:rFonts w:ascii="Calibri" w:hAnsi="Calibri" w:cs="Calibri"/>
                <w:color w:val="000000"/>
                <w:sz w:val="20"/>
                <w:szCs w:val="20"/>
              </w:rPr>
              <w:t>6351</w:t>
            </w:r>
          </w:p>
        </w:tc>
        <w:tc>
          <w:tcPr>
            <w:tcW w:w="1154" w:type="dxa"/>
            <w:shd w:val="clear" w:color="auto" w:fill="auto"/>
            <w:noWrap/>
            <w:hideMark/>
          </w:tcPr>
          <w:p w:rsidR="00ED12E5" w:rsidRPr="004C559B" w:rsidRDefault="00ED12E5" w:rsidP="004C55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74.1%</w:t>
            </w:r>
          </w:p>
        </w:tc>
        <w:tc>
          <w:tcPr>
            <w:cnfStyle w:val="000010000000" w:firstRow="0" w:lastRow="0" w:firstColumn="0" w:lastColumn="0" w:oddVBand="1" w:evenVBand="0" w:oddHBand="0" w:evenHBand="0" w:firstRowFirstColumn="0" w:firstRowLastColumn="0" w:lastRowFirstColumn="0" w:lastRowLastColumn="0"/>
            <w:tcW w:w="1034" w:type="dxa"/>
            <w:shd w:val="clear" w:color="auto" w:fill="auto"/>
            <w:noWrap/>
            <w:hideMark/>
          </w:tcPr>
          <w:p w:rsidR="00ED12E5" w:rsidRPr="004C559B" w:rsidRDefault="00ED12E5" w:rsidP="004C559B">
            <w:pPr>
              <w:spacing w:after="0"/>
              <w:jc w:val="center"/>
              <w:rPr>
                <w:rFonts w:ascii="Calibri" w:hAnsi="Calibri" w:cs="Calibri"/>
                <w:color w:val="000000"/>
                <w:sz w:val="20"/>
                <w:szCs w:val="20"/>
              </w:rPr>
            </w:pPr>
            <w:r w:rsidRPr="004C559B">
              <w:rPr>
                <w:rFonts w:ascii="Calibri" w:hAnsi="Calibri" w:cs="Calibri"/>
                <w:color w:val="000000"/>
                <w:sz w:val="20"/>
                <w:szCs w:val="20"/>
              </w:rPr>
              <w:t>63</w:t>
            </w:r>
          </w:p>
        </w:tc>
        <w:tc>
          <w:tcPr>
            <w:tcW w:w="1150" w:type="dxa"/>
            <w:shd w:val="clear" w:color="auto" w:fill="auto"/>
            <w:noWrap/>
            <w:hideMark/>
          </w:tcPr>
          <w:p w:rsidR="00ED12E5" w:rsidRPr="004C559B" w:rsidRDefault="00ED12E5" w:rsidP="004C55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C559B">
              <w:rPr>
                <w:rFonts w:ascii="Calibri" w:hAnsi="Calibri" w:cs="Calibri"/>
                <w:color w:val="000000"/>
                <w:sz w:val="20"/>
                <w:szCs w:val="20"/>
              </w:rPr>
              <w:t>0.7%</w:t>
            </w:r>
          </w:p>
        </w:tc>
        <w:tc>
          <w:tcPr>
            <w:cnfStyle w:val="000010000000" w:firstRow="0" w:lastRow="0" w:firstColumn="0" w:lastColumn="0" w:oddVBand="1" w:evenVBand="0" w:oddHBand="0" w:evenHBand="0" w:firstRowFirstColumn="0" w:firstRowLastColumn="0" w:lastRowFirstColumn="0" w:lastRowLastColumn="0"/>
            <w:tcW w:w="903" w:type="dxa"/>
            <w:shd w:val="clear" w:color="auto" w:fill="auto"/>
            <w:noWrap/>
            <w:hideMark/>
          </w:tcPr>
          <w:p w:rsidR="00ED12E5" w:rsidRPr="004C559B" w:rsidRDefault="00ED12E5" w:rsidP="004C559B">
            <w:pPr>
              <w:spacing w:after="0"/>
              <w:jc w:val="center"/>
              <w:rPr>
                <w:rFonts w:ascii="Calibri" w:hAnsi="Calibri" w:cs="Calibri"/>
                <w:b/>
                <w:color w:val="000000"/>
                <w:sz w:val="20"/>
                <w:szCs w:val="20"/>
              </w:rPr>
            </w:pPr>
            <w:r w:rsidRPr="004C559B">
              <w:rPr>
                <w:rFonts w:ascii="Calibri" w:hAnsi="Calibri" w:cs="Calibri"/>
                <w:b/>
                <w:color w:val="000000"/>
                <w:sz w:val="20"/>
                <w:szCs w:val="20"/>
              </w:rPr>
              <w:t>8571</w:t>
            </w:r>
          </w:p>
        </w:tc>
      </w:tr>
    </w:tbl>
    <w:p w:rsidR="00147D5F" w:rsidRPr="004F2747" w:rsidRDefault="00147D5F" w:rsidP="00EA6831">
      <w:pPr>
        <w:spacing w:before="240" w:line="259" w:lineRule="auto"/>
        <w:rPr>
          <w:rFonts w:cstheme="minorHAnsi"/>
          <w:color w:val="000000" w:themeColor="text1"/>
          <w:sz w:val="22"/>
        </w:rPr>
      </w:pPr>
      <w:r w:rsidRPr="004F2747">
        <w:rPr>
          <w:rFonts w:cstheme="minorHAnsi"/>
          <w:color w:val="000000" w:themeColor="text1"/>
          <w:sz w:val="22"/>
        </w:rPr>
        <w:t>Health ACFI Quarterly Reports for September quarter of 2015 to December quarter of 2016</w:t>
      </w:r>
    </w:p>
    <w:p w:rsidR="0065582B" w:rsidRDefault="0065582B" w:rsidP="0065582B">
      <w:pPr>
        <w:pStyle w:val="Caption"/>
        <w:keepNext/>
        <w:jc w:val="both"/>
      </w:pPr>
      <w:r>
        <w:t>Figure 10.</w:t>
      </w:r>
      <w:r w:rsidR="009A3F5A">
        <w:fldChar w:fldCharType="begin"/>
      </w:r>
      <w:r w:rsidR="009A3F5A">
        <w:instrText xml:space="preserve"> SEQ Figure_10. \* ARABIC </w:instrText>
      </w:r>
      <w:r w:rsidR="009A3F5A">
        <w:fldChar w:fldCharType="separate"/>
      </w:r>
      <w:r w:rsidR="00856E49">
        <w:rPr>
          <w:noProof/>
        </w:rPr>
        <w:t>2</w:t>
      </w:r>
      <w:r w:rsidR="009A3F5A">
        <w:rPr>
          <w:noProof/>
        </w:rPr>
        <w:fldChar w:fldCharType="end"/>
      </w:r>
      <w:r>
        <w:t xml:space="preserve">: </w:t>
      </w:r>
      <w:r w:rsidRPr="0065582B">
        <w:t>Chart of Department review rates from September 2015 to December 2016</w:t>
      </w:r>
    </w:p>
    <w:p w:rsidR="00147D5F" w:rsidRDefault="00045CA6" w:rsidP="001718E4">
      <w:pPr>
        <w:rPr>
          <w:rFonts w:ascii="Calibri" w:hAnsi="Calibri" w:cs="Times New Roman"/>
          <w:szCs w:val="18"/>
        </w:rPr>
      </w:pPr>
      <w:r>
        <w:rPr>
          <w:noProof/>
          <w:lang w:eastAsia="en-AU"/>
        </w:rPr>
        <w:drawing>
          <wp:inline distT="0" distB="0" distL="0" distR="0" wp14:anchorId="5FFEB122" wp14:editId="48DE5691">
            <wp:extent cx="5614670" cy="3127375"/>
            <wp:effectExtent l="0" t="0" r="5080" b="0"/>
            <wp:docPr id="258" name="Picture 258" descr="Figure 10.2 is a table that shows the percentage of downgraded reviews for the periods ending at September 2015, December 2015, March 2016, June 2016, September 2016 and December 2016), as noted in Table 10.6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14670" cy="3127375"/>
                    </a:xfrm>
                    <a:prstGeom prst="rect">
                      <a:avLst/>
                    </a:prstGeom>
                    <a:noFill/>
                  </pic:spPr>
                </pic:pic>
              </a:graphicData>
            </a:graphic>
          </wp:inline>
        </w:drawing>
      </w:r>
      <w:r w:rsidR="00147D5F">
        <w:br w:type="page"/>
      </w:r>
    </w:p>
    <w:p w:rsidR="00147D5F" w:rsidRDefault="00473246" w:rsidP="001718E4">
      <w:pPr>
        <w:rPr>
          <w:lang w:eastAsia="en-AU"/>
        </w:rPr>
      </w:pPr>
      <w:hyperlink w:anchor="Tab1007" w:history="1">
        <w:r w:rsidR="00147D5F" w:rsidRPr="00932DED">
          <w:rPr>
            <w:rStyle w:val="Hyperlink"/>
            <w:lang w:eastAsia="en-AU"/>
          </w:rPr>
          <w:t>Table 10.7</w:t>
        </w:r>
      </w:hyperlink>
      <w:r w:rsidR="00147D5F">
        <w:rPr>
          <w:lang w:eastAsia="en-AU"/>
        </w:rPr>
        <w:t xml:space="preserve"> shows the outcomes of reviews since the commencement of the ACFI system using the provided ACFI data.</w:t>
      </w:r>
      <w:r w:rsidR="007A576E">
        <w:rPr>
          <w:lang w:eastAsia="en-AU"/>
        </w:rPr>
        <w:t xml:space="preserve"> </w:t>
      </w:r>
      <w:r w:rsidR="00147D5F">
        <w:rPr>
          <w:lang w:eastAsia="en-AU"/>
        </w:rPr>
        <w:t>It will show slight deviations from the quarterly reports data discussed previously as the data source is different. The results of reviews since ACFI commencement are also pres</w:t>
      </w:r>
      <w:r w:rsidR="00190072">
        <w:rPr>
          <w:lang w:eastAsia="en-AU"/>
        </w:rPr>
        <w:t xml:space="preserve">ented graphically in </w:t>
      </w:r>
      <w:hyperlink w:anchor="Fig1003" w:history="1">
        <w:r w:rsidR="00190072" w:rsidRPr="00E00E18">
          <w:rPr>
            <w:rStyle w:val="Hyperlink"/>
            <w:lang w:eastAsia="en-AU"/>
          </w:rPr>
          <w:t>Figure 10.3</w:t>
        </w:r>
      </w:hyperlink>
      <w:r w:rsidR="00147D5F">
        <w:rPr>
          <w:lang w:eastAsia="en-AU"/>
        </w:rPr>
        <w:t>.</w:t>
      </w:r>
      <w:r w:rsidR="007A576E">
        <w:rPr>
          <w:lang w:eastAsia="en-AU"/>
        </w:rPr>
        <w:t xml:space="preserve"> </w:t>
      </w:r>
      <w:r w:rsidR="00147D5F">
        <w:rPr>
          <w:lang w:eastAsia="en-AU"/>
        </w:rPr>
        <w:t>This shows that the downgrade rate from reviews in 2016-17 is likely to be about 25</w:t>
      </w:r>
      <w:r w:rsidR="0065091B">
        <w:rPr>
          <w:lang w:eastAsia="en-AU"/>
        </w:rPr>
        <w:t xml:space="preserve"> per cent</w:t>
      </w:r>
      <w:r w:rsidR="00147D5F">
        <w:rPr>
          <w:lang w:eastAsia="en-AU"/>
        </w:rPr>
        <w:t>, compared with a historic average of around 16</w:t>
      </w:r>
      <w:r w:rsidR="0065091B">
        <w:rPr>
          <w:lang w:eastAsia="en-AU"/>
        </w:rPr>
        <w:t xml:space="preserve"> per cent</w:t>
      </w:r>
      <w:r w:rsidR="00147D5F">
        <w:rPr>
          <w:lang w:eastAsia="en-AU"/>
        </w:rPr>
        <w:t>.</w:t>
      </w:r>
    </w:p>
    <w:p w:rsidR="0065582B" w:rsidRDefault="0065582B" w:rsidP="0065582B">
      <w:pPr>
        <w:pStyle w:val="Caption"/>
        <w:keepNext/>
      </w:pPr>
      <w:bookmarkStart w:id="700" w:name="_Toc495416860"/>
      <w:bookmarkStart w:id="701" w:name="Tab1007"/>
      <w:bookmarkEnd w:id="697"/>
      <w:bookmarkEnd w:id="698"/>
      <w:bookmarkEnd w:id="699"/>
      <w:r>
        <w:t>Table 10.</w:t>
      </w:r>
      <w:r w:rsidR="009A3F5A">
        <w:fldChar w:fldCharType="begin"/>
      </w:r>
      <w:r w:rsidR="009A3F5A">
        <w:instrText xml:space="preserve"> SEQ Table_10. \* ARABIC </w:instrText>
      </w:r>
      <w:r w:rsidR="009A3F5A">
        <w:fldChar w:fldCharType="separate"/>
      </w:r>
      <w:r w:rsidR="00856E49">
        <w:rPr>
          <w:noProof/>
        </w:rPr>
        <w:t>7</w:t>
      </w:r>
      <w:r w:rsidR="009A3F5A">
        <w:rPr>
          <w:noProof/>
        </w:rPr>
        <w:fldChar w:fldCharType="end"/>
      </w:r>
      <w:r>
        <w:t xml:space="preserve">: </w:t>
      </w:r>
      <w:r w:rsidRPr="0065582B">
        <w:t>ACFI Review Statistics from 2009 to 2016</w:t>
      </w:r>
      <w:bookmarkEnd w:id="700"/>
    </w:p>
    <w:tbl>
      <w:tblPr>
        <w:tblStyle w:val="ListTable3-Accent515"/>
        <w:tblW w:w="9082"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10.7 is a list of yearly number and percentage of reviews (downgraded, unchanged and upgraded) for 2009 to 2017. This table is to be read left to right, top to bottom, noting the figures for 2017 are incomplete."/>
      </w:tblPr>
      <w:tblGrid>
        <w:gridCol w:w="993"/>
        <w:gridCol w:w="1286"/>
        <w:gridCol w:w="1286"/>
        <w:gridCol w:w="1154"/>
        <w:gridCol w:w="1154"/>
        <w:gridCol w:w="1073"/>
        <w:gridCol w:w="1150"/>
        <w:gridCol w:w="986"/>
      </w:tblGrid>
      <w:tr w:rsidR="00D063C6" w:rsidRPr="00D063C6" w:rsidTr="0065582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93" w:type="dxa"/>
            <w:noWrap/>
            <w:vAlign w:val="center"/>
            <w:hideMark/>
          </w:tcPr>
          <w:bookmarkEnd w:id="701"/>
          <w:p w:rsidR="00D063C6" w:rsidRPr="00D063C6" w:rsidRDefault="00D063C6" w:rsidP="00D063C6">
            <w:pPr>
              <w:spacing w:after="0"/>
              <w:jc w:val="left"/>
              <w:rPr>
                <w:rFonts w:ascii="Calibri" w:hAnsi="Calibri" w:cs="Calibri"/>
                <w:bCs w:val="0"/>
                <w:sz w:val="20"/>
                <w:szCs w:val="20"/>
              </w:rPr>
            </w:pPr>
            <w:r w:rsidRPr="00D063C6">
              <w:rPr>
                <w:rFonts w:ascii="Calibri" w:hAnsi="Calibri" w:cs="Calibri"/>
                <w:bCs w:val="0"/>
                <w:sz w:val="20"/>
                <w:szCs w:val="20"/>
              </w:rPr>
              <w:t>Year</w:t>
            </w:r>
            <w:r>
              <w:rPr>
                <w:rFonts w:ascii="Calibri" w:hAnsi="Calibri" w:cs="Calibri"/>
                <w:bCs w:val="0"/>
                <w:sz w:val="20"/>
                <w:szCs w:val="20"/>
              </w:rPr>
              <w:t xml:space="preserve"> to</w:t>
            </w:r>
            <w:r>
              <w:rPr>
                <w:rFonts w:ascii="Calibri" w:hAnsi="Calibri" w:cs="Calibri"/>
                <w:bCs w:val="0"/>
                <w:sz w:val="20"/>
                <w:szCs w:val="20"/>
              </w:rPr>
              <w:br/>
            </w:r>
            <w:r w:rsidRPr="00D063C6">
              <w:rPr>
                <w:rFonts w:ascii="Calibri" w:hAnsi="Calibri" w:cs="Calibri"/>
                <w:bCs w:val="0"/>
                <w:sz w:val="20"/>
                <w:szCs w:val="20"/>
              </w:rPr>
              <w:t>30 June</w:t>
            </w:r>
          </w:p>
        </w:tc>
        <w:tc>
          <w:tcPr>
            <w:cnfStyle w:val="000010000000" w:firstRow="0" w:lastRow="0" w:firstColumn="0" w:lastColumn="0" w:oddVBand="1" w:evenVBand="0" w:oddHBand="0" w:evenHBand="0" w:firstRowFirstColumn="0" w:firstRowLastColumn="0" w:lastRowFirstColumn="0" w:lastRowLastColumn="0"/>
            <w:tcW w:w="1286" w:type="dxa"/>
            <w:noWrap/>
            <w:hideMark/>
          </w:tcPr>
          <w:p w:rsidR="00D063C6" w:rsidRPr="00D063C6" w:rsidRDefault="00D063C6" w:rsidP="00D063C6">
            <w:pPr>
              <w:spacing w:after="0"/>
              <w:jc w:val="center"/>
              <w:rPr>
                <w:rFonts w:ascii="Calibri" w:hAnsi="Calibri" w:cs="Calibri"/>
                <w:bCs w:val="0"/>
                <w:sz w:val="20"/>
                <w:szCs w:val="20"/>
              </w:rPr>
            </w:pPr>
            <w:r w:rsidRPr="00D063C6">
              <w:rPr>
                <w:rFonts w:ascii="Calibri" w:hAnsi="Calibri" w:cs="Calibri"/>
                <w:sz w:val="20"/>
                <w:szCs w:val="20"/>
              </w:rPr>
              <w:t xml:space="preserve">Downgraded </w:t>
            </w:r>
            <w:r w:rsidRPr="00D063C6">
              <w:rPr>
                <w:rFonts w:ascii="Calibri" w:hAnsi="Calibri" w:cs="Calibri"/>
                <w:bCs w:val="0"/>
                <w:sz w:val="20"/>
                <w:szCs w:val="20"/>
              </w:rPr>
              <w:t>Reviews</w:t>
            </w:r>
          </w:p>
        </w:tc>
        <w:tc>
          <w:tcPr>
            <w:tcW w:w="1286" w:type="dxa"/>
            <w:noWrap/>
            <w:hideMark/>
          </w:tcPr>
          <w:p w:rsidR="00D063C6" w:rsidRPr="00D063C6" w:rsidRDefault="00D063C6" w:rsidP="00D063C6">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D063C6">
              <w:rPr>
                <w:rFonts w:ascii="Calibri" w:hAnsi="Calibri" w:cs="Calibri"/>
                <w:sz w:val="20"/>
                <w:szCs w:val="20"/>
              </w:rPr>
              <w:t>Downgraded Percentage</w:t>
            </w:r>
          </w:p>
        </w:tc>
        <w:tc>
          <w:tcPr>
            <w:cnfStyle w:val="000010000000" w:firstRow="0" w:lastRow="0" w:firstColumn="0" w:lastColumn="0" w:oddVBand="1" w:evenVBand="0" w:oddHBand="0" w:evenHBand="0" w:firstRowFirstColumn="0" w:firstRowLastColumn="0" w:lastRowFirstColumn="0" w:lastRowLastColumn="0"/>
            <w:tcW w:w="1154" w:type="dxa"/>
            <w:noWrap/>
            <w:hideMark/>
          </w:tcPr>
          <w:p w:rsidR="00D063C6" w:rsidRPr="00D063C6" w:rsidRDefault="00D063C6" w:rsidP="00D063C6">
            <w:pPr>
              <w:spacing w:after="0"/>
              <w:jc w:val="center"/>
              <w:rPr>
                <w:rFonts w:ascii="Calibri" w:hAnsi="Calibri" w:cs="Calibri"/>
                <w:bCs w:val="0"/>
                <w:sz w:val="20"/>
                <w:szCs w:val="20"/>
              </w:rPr>
            </w:pPr>
            <w:r w:rsidRPr="00D063C6">
              <w:rPr>
                <w:rFonts w:ascii="Calibri" w:hAnsi="Calibri" w:cs="Calibri"/>
                <w:sz w:val="20"/>
                <w:szCs w:val="20"/>
              </w:rPr>
              <w:t xml:space="preserve">Unchanged </w:t>
            </w:r>
            <w:r w:rsidRPr="00D063C6">
              <w:rPr>
                <w:rFonts w:ascii="Calibri" w:hAnsi="Calibri" w:cs="Calibri"/>
                <w:bCs w:val="0"/>
                <w:sz w:val="20"/>
                <w:szCs w:val="20"/>
              </w:rPr>
              <w:t>Reviews</w:t>
            </w:r>
          </w:p>
        </w:tc>
        <w:tc>
          <w:tcPr>
            <w:tcW w:w="1154" w:type="dxa"/>
            <w:noWrap/>
            <w:hideMark/>
          </w:tcPr>
          <w:p w:rsidR="00D063C6" w:rsidRPr="00D063C6" w:rsidRDefault="00D063C6" w:rsidP="00D063C6">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D063C6">
              <w:rPr>
                <w:rFonts w:ascii="Calibri" w:hAnsi="Calibri" w:cs="Calibri"/>
                <w:sz w:val="20"/>
                <w:szCs w:val="20"/>
              </w:rPr>
              <w:t>Unchanged Percentage</w:t>
            </w:r>
          </w:p>
        </w:tc>
        <w:tc>
          <w:tcPr>
            <w:cnfStyle w:val="000010000000" w:firstRow="0" w:lastRow="0" w:firstColumn="0" w:lastColumn="0" w:oddVBand="1" w:evenVBand="0" w:oddHBand="0" w:evenHBand="0" w:firstRowFirstColumn="0" w:firstRowLastColumn="0" w:lastRowFirstColumn="0" w:lastRowLastColumn="0"/>
            <w:tcW w:w="1073" w:type="dxa"/>
            <w:noWrap/>
            <w:hideMark/>
          </w:tcPr>
          <w:p w:rsidR="00D063C6" w:rsidRPr="00D063C6" w:rsidRDefault="00D063C6" w:rsidP="00D063C6">
            <w:pPr>
              <w:spacing w:after="0"/>
              <w:jc w:val="center"/>
              <w:rPr>
                <w:rFonts w:ascii="Calibri" w:hAnsi="Calibri" w:cs="Calibri"/>
                <w:bCs w:val="0"/>
                <w:sz w:val="20"/>
                <w:szCs w:val="20"/>
              </w:rPr>
            </w:pPr>
            <w:r w:rsidRPr="00D063C6">
              <w:rPr>
                <w:rFonts w:ascii="Calibri" w:hAnsi="Calibri" w:cs="Calibri"/>
                <w:sz w:val="20"/>
                <w:szCs w:val="20"/>
              </w:rPr>
              <w:t xml:space="preserve">Upgraded </w:t>
            </w:r>
            <w:r w:rsidRPr="00D063C6">
              <w:rPr>
                <w:rFonts w:ascii="Calibri" w:hAnsi="Calibri" w:cs="Calibri"/>
                <w:bCs w:val="0"/>
                <w:sz w:val="20"/>
                <w:szCs w:val="20"/>
              </w:rPr>
              <w:t>Reviews</w:t>
            </w:r>
          </w:p>
        </w:tc>
        <w:tc>
          <w:tcPr>
            <w:tcW w:w="1150" w:type="dxa"/>
            <w:noWrap/>
            <w:hideMark/>
          </w:tcPr>
          <w:p w:rsidR="00D063C6" w:rsidRPr="00D063C6" w:rsidRDefault="00D063C6" w:rsidP="00D063C6">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D063C6">
              <w:rPr>
                <w:rFonts w:ascii="Calibri" w:hAnsi="Calibri" w:cs="Calibri"/>
                <w:sz w:val="20"/>
                <w:szCs w:val="20"/>
              </w:rPr>
              <w:t>Upgraded Percentage</w:t>
            </w:r>
          </w:p>
        </w:tc>
        <w:tc>
          <w:tcPr>
            <w:cnfStyle w:val="000010000000" w:firstRow="0" w:lastRow="0" w:firstColumn="0" w:lastColumn="0" w:oddVBand="1" w:evenVBand="0" w:oddHBand="0" w:evenHBand="0" w:firstRowFirstColumn="0" w:firstRowLastColumn="0" w:lastRowFirstColumn="0" w:lastRowLastColumn="0"/>
            <w:tcW w:w="986" w:type="dxa"/>
            <w:noWrap/>
            <w:vAlign w:val="center"/>
            <w:hideMark/>
          </w:tcPr>
          <w:p w:rsidR="00D063C6" w:rsidRPr="00D063C6" w:rsidRDefault="00D063C6" w:rsidP="00D063C6">
            <w:pPr>
              <w:spacing w:after="0"/>
              <w:jc w:val="center"/>
              <w:rPr>
                <w:rFonts w:ascii="Calibri" w:hAnsi="Calibri" w:cs="Calibri"/>
                <w:bCs w:val="0"/>
                <w:sz w:val="20"/>
                <w:szCs w:val="20"/>
              </w:rPr>
            </w:pPr>
            <w:r w:rsidRPr="00D063C6">
              <w:rPr>
                <w:rFonts w:ascii="Calibri" w:hAnsi="Calibri" w:cs="Calibri"/>
                <w:sz w:val="20"/>
                <w:szCs w:val="20"/>
              </w:rPr>
              <w:t>Total Reviews</w:t>
            </w:r>
          </w:p>
        </w:tc>
      </w:tr>
      <w:tr w:rsidR="00147D5F" w:rsidRPr="00D063C6" w:rsidTr="006558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147D5F" w:rsidRPr="00D063C6" w:rsidRDefault="00147D5F" w:rsidP="00DD6610">
            <w:pPr>
              <w:spacing w:after="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2009</w:t>
            </w:r>
          </w:p>
        </w:tc>
        <w:tc>
          <w:tcPr>
            <w:cnfStyle w:val="000010000000" w:firstRow="0" w:lastRow="0" w:firstColumn="0" w:lastColumn="0" w:oddVBand="1" w:evenVBand="0" w:oddHBand="0" w:evenHBand="0" w:firstRowFirstColumn="0" w:firstRowLastColumn="0" w:lastRowFirstColumn="0" w:lastRowLastColumn="0"/>
            <w:tcW w:w="1286"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1094</w:t>
            </w:r>
          </w:p>
        </w:tc>
        <w:tc>
          <w:tcPr>
            <w:tcW w:w="1286" w:type="dxa"/>
            <w:noWrap/>
            <w:hideMark/>
          </w:tcPr>
          <w:p w:rsidR="00147D5F" w:rsidRPr="00D063C6" w:rsidRDefault="00147D5F" w:rsidP="00D063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14.6%</w:t>
            </w:r>
          </w:p>
        </w:tc>
        <w:tc>
          <w:tcPr>
            <w:cnfStyle w:val="000010000000" w:firstRow="0" w:lastRow="0" w:firstColumn="0" w:lastColumn="0" w:oddVBand="1" w:evenVBand="0" w:oddHBand="0" w:evenHBand="0" w:firstRowFirstColumn="0" w:firstRowLastColumn="0" w:lastRowFirstColumn="0" w:lastRowLastColumn="0"/>
            <w:tcW w:w="1154"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5961</w:t>
            </w:r>
          </w:p>
        </w:tc>
        <w:tc>
          <w:tcPr>
            <w:tcW w:w="1154" w:type="dxa"/>
            <w:noWrap/>
            <w:hideMark/>
          </w:tcPr>
          <w:p w:rsidR="00147D5F" w:rsidRPr="00D063C6" w:rsidRDefault="00147D5F" w:rsidP="00D063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79.7%</w:t>
            </w:r>
          </w:p>
        </w:tc>
        <w:tc>
          <w:tcPr>
            <w:cnfStyle w:val="000010000000" w:firstRow="0" w:lastRow="0" w:firstColumn="0" w:lastColumn="0" w:oddVBand="1" w:evenVBand="0" w:oddHBand="0" w:evenHBand="0" w:firstRowFirstColumn="0" w:firstRowLastColumn="0" w:lastRowFirstColumn="0" w:lastRowLastColumn="0"/>
            <w:tcW w:w="1073"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425</w:t>
            </w:r>
          </w:p>
        </w:tc>
        <w:tc>
          <w:tcPr>
            <w:tcW w:w="1150" w:type="dxa"/>
            <w:noWrap/>
            <w:hideMark/>
          </w:tcPr>
          <w:p w:rsidR="00147D5F" w:rsidRPr="00D063C6" w:rsidRDefault="00147D5F" w:rsidP="00D063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5.7%</w:t>
            </w:r>
          </w:p>
        </w:tc>
        <w:tc>
          <w:tcPr>
            <w:cnfStyle w:val="000010000000" w:firstRow="0" w:lastRow="0" w:firstColumn="0" w:lastColumn="0" w:oddVBand="1" w:evenVBand="0" w:oddHBand="0" w:evenHBand="0" w:firstRowFirstColumn="0" w:firstRowLastColumn="0" w:lastRowFirstColumn="0" w:lastRowLastColumn="0"/>
            <w:tcW w:w="986"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7480</w:t>
            </w:r>
          </w:p>
        </w:tc>
      </w:tr>
      <w:tr w:rsidR="00147D5F" w:rsidRPr="00D063C6" w:rsidTr="0065582B">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147D5F" w:rsidRPr="00D063C6" w:rsidRDefault="00147D5F" w:rsidP="00DD6610">
            <w:pPr>
              <w:spacing w:after="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2010</w:t>
            </w:r>
          </w:p>
        </w:tc>
        <w:tc>
          <w:tcPr>
            <w:cnfStyle w:val="000010000000" w:firstRow="0" w:lastRow="0" w:firstColumn="0" w:lastColumn="0" w:oddVBand="1" w:evenVBand="0" w:oddHBand="0" w:evenHBand="0" w:firstRowFirstColumn="0" w:firstRowLastColumn="0" w:lastRowFirstColumn="0" w:lastRowLastColumn="0"/>
            <w:tcW w:w="1286"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3811</w:t>
            </w:r>
          </w:p>
        </w:tc>
        <w:tc>
          <w:tcPr>
            <w:tcW w:w="1286" w:type="dxa"/>
            <w:noWrap/>
            <w:hideMark/>
          </w:tcPr>
          <w:p w:rsidR="00147D5F" w:rsidRPr="00D063C6" w:rsidRDefault="00147D5F" w:rsidP="00D063C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16.3%</w:t>
            </w:r>
          </w:p>
        </w:tc>
        <w:tc>
          <w:tcPr>
            <w:cnfStyle w:val="000010000000" w:firstRow="0" w:lastRow="0" w:firstColumn="0" w:lastColumn="0" w:oddVBand="1" w:evenVBand="0" w:oddHBand="0" w:evenHBand="0" w:firstRowFirstColumn="0" w:firstRowLastColumn="0" w:lastRowFirstColumn="0" w:lastRowLastColumn="0"/>
            <w:tcW w:w="1154"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18638</w:t>
            </w:r>
          </w:p>
        </w:tc>
        <w:tc>
          <w:tcPr>
            <w:tcW w:w="1154" w:type="dxa"/>
            <w:noWrap/>
            <w:hideMark/>
          </w:tcPr>
          <w:p w:rsidR="00147D5F" w:rsidRPr="00D063C6" w:rsidRDefault="00147D5F" w:rsidP="00D063C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79.6%</w:t>
            </w:r>
          </w:p>
        </w:tc>
        <w:tc>
          <w:tcPr>
            <w:cnfStyle w:val="000010000000" w:firstRow="0" w:lastRow="0" w:firstColumn="0" w:lastColumn="0" w:oddVBand="1" w:evenVBand="0" w:oddHBand="0" w:evenHBand="0" w:firstRowFirstColumn="0" w:firstRowLastColumn="0" w:lastRowFirstColumn="0" w:lastRowLastColumn="0"/>
            <w:tcW w:w="1073"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961</w:t>
            </w:r>
          </w:p>
        </w:tc>
        <w:tc>
          <w:tcPr>
            <w:tcW w:w="1150" w:type="dxa"/>
            <w:noWrap/>
            <w:hideMark/>
          </w:tcPr>
          <w:p w:rsidR="00147D5F" w:rsidRPr="00D063C6" w:rsidRDefault="00147D5F" w:rsidP="00D063C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4.1%</w:t>
            </w:r>
          </w:p>
        </w:tc>
        <w:tc>
          <w:tcPr>
            <w:cnfStyle w:val="000010000000" w:firstRow="0" w:lastRow="0" w:firstColumn="0" w:lastColumn="0" w:oddVBand="1" w:evenVBand="0" w:oddHBand="0" w:evenHBand="0" w:firstRowFirstColumn="0" w:firstRowLastColumn="0" w:lastRowFirstColumn="0" w:lastRowLastColumn="0"/>
            <w:tcW w:w="986"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23410</w:t>
            </w:r>
          </w:p>
        </w:tc>
      </w:tr>
      <w:tr w:rsidR="00147D5F" w:rsidRPr="00D063C6" w:rsidTr="006558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147D5F" w:rsidRPr="00D063C6" w:rsidRDefault="00147D5F" w:rsidP="00DD6610">
            <w:pPr>
              <w:spacing w:after="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2011</w:t>
            </w:r>
          </w:p>
        </w:tc>
        <w:tc>
          <w:tcPr>
            <w:cnfStyle w:val="000010000000" w:firstRow="0" w:lastRow="0" w:firstColumn="0" w:lastColumn="0" w:oddVBand="1" w:evenVBand="0" w:oddHBand="0" w:evenHBand="0" w:firstRowFirstColumn="0" w:firstRowLastColumn="0" w:lastRowFirstColumn="0" w:lastRowLastColumn="0"/>
            <w:tcW w:w="1286"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3866</w:t>
            </w:r>
          </w:p>
        </w:tc>
        <w:tc>
          <w:tcPr>
            <w:tcW w:w="1286" w:type="dxa"/>
            <w:noWrap/>
            <w:hideMark/>
          </w:tcPr>
          <w:p w:rsidR="00147D5F" w:rsidRPr="00D063C6" w:rsidRDefault="00147D5F" w:rsidP="00D063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16.8%</w:t>
            </w:r>
          </w:p>
        </w:tc>
        <w:tc>
          <w:tcPr>
            <w:cnfStyle w:val="000010000000" w:firstRow="0" w:lastRow="0" w:firstColumn="0" w:lastColumn="0" w:oddVBand="1" w:evenVBand="0" w:oddHBand="0" w:evenHBand="0" w:firstRowFirstColumn="0" w:firstRowLastColumn="0" w:lastRowFirstColumn="0" w:lastRowLastColumn="0"/>
            <w:tcW w:w="1154"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18393</w:t>
            </w:r>
          </w:p>
        </w:tc>
        <w:tc>
          <w:tcPr>
            <w:tcW w:w="1154" w:type="dxa"/>
            <w:noWrap/>
            <w:hideMark/>
          </w:tcPr>
          <w:p w:rsidR="00147D5F" w:rsidRPr="00D063C6" w:rsidRDefault="00147D5F" w:rsidP="00D063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79.8%</w:t>
            </w:r>
          </w:p>
        </w:tc>
        <w:tc>
          <w:tcPr>
            <w:cnfStyle w:val="000010000000" w:firstRow="0" w:lastRow="0" w:firstColumn="0" w:lastColumn="0" w:oddVBand="1" w:evenVBand="0" w:oddHBand="0" w:evenHBand="0" w:firstRowFirstColumn="0" w:firstRowLastColumn="0" w:lastRowFirstColumn="0" w:lastRowLastColumn="0"/>
            <w:tcW w:w="1073"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804</w:t>
            </w:r>
          </w:p>
        </w:tc>
        <w:tc>
          <w:tcPr>
            <w:tcW w:w="1150" w:type="dxa"/>
            <w:noWrap/>
            <w:hideMark/>
          </w:tcPr>
          <w:p w:rsidR="00147D5F" w:rsidRPr="00D063C6" w:rsidRDefault="00147D5F" w:rsidP="00D063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3.5%</w:t>
            </w:r>
          </w:p>
        </w:tc>
        <w:tc>
          <w:tcPr>
            <w:cnfStyle w:val="000010000000" w:firstRow="0" w:lastRow="0" w:firstColumn="0" w:lastColumn="0" w:oddVBand="1" w:evenVBand="0" w:oddHBand="0" w:evenHBand="0" w:firstRowFirstColumn="0" w:firstRowLastColumn="0" w:lastRowFirstColumn="0" w:lastRowLastColumn="0"/>
            <w:tcW w:w="986"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23063</w:t>
            </w:r>
          </w:p>
        </w:tc>
      </w:tr>
      <w:tr w:rsidR="00147D5F" w:rsidRPr="00D063C6" w:rsidTr="0065582B">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147D5F" w:rsidRPr="00D063C6" w:rsidRDefault="00147D5F" w:rsidP="00DD6610">
            <w:pPr>
              <w:spacing w:after="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2012</w:t>
            </w:r>
          </w:p>
        </w:tc>
        <w:tc>
          <w:tcPr>
            <w:cnfStyle w:val="000010000000" w:firstRow="0" w:lastRow="0" w:firstColumn="0" w:lastColumn="0" w:oddVBand="1" w:evenVBand="0" w:oddHBand="0" w:evenHBand="0" w:firstRowFirstColumn="0" w:firstRowLastColumn="0" w:lastRowFirstColumn="0" w:lastRowLastColumn="0"/>
            <w:tcW w:w="1286"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3433</w:t>
            </w:r>
          </w:p>
        </w:tc>
        <w:tc>
          <w:tcPr>
            <w:tcW w:w="1286" w:type="dxa"/>
            <w:noWrap/>
            <w:hideMark/>
          </w:tcPr>
          <w:p w:rsidR="00147D5F" w:rsidRPr="00D063C6" w:rsidRDefault="00147D5F" w:rsidP="00D063C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18.3%</w:t>
            </w:r>
          </w:p>
        </w:tc>
        <w:tc>
          <w:tcPr>
            <w:cnfStyle w:val="000010000000" w:firstRow="0" w:lastRow="0" w:firstColumn="0" w:lastColumn="0" w:oddVBand="1" w:evenVBand="0" w:oddHBand="0" w:evenHBand="0" w:firstRowFirstColumn="0" w:firstRowLastColumn="0" w:lastRowFirstColumn="0" w:lastRowLastColumn="0"/>
            <w:tcW w:w="1154"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14882</w:t>
            </w:r>
          </w:p>
        </w:tc>
        <w:tc>
          <w:tcPr>
            <w:tcW w:w="1154" w:type="dxa"/>
            <w:noWrap/>
            <w:hideMark/>
          </w:tcPr>
          <w:p w:rsidR="00147D5F" w:rsidRPr="00D063C6" w:rsidRDefault="00147D5F" w:rsidP="00D063C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79.1%</w:t>
            </w:r>
          </w:p>
        </w:tc>
        <w:tc>
          <w:tcPr>
            <w:cnfStyle w:val="000010000000" w:firstRow="0" w:lastRow="0" w:firstColumn="0" w:lastColumn="0" w:oddVBand="1" w:evenVBand="0" w:oddHBand="0" w:evenHBand="0" w:firstRowFirstColumn="0" w:firstRowLastColumn="0" w:lastRowFirstColumn="0" w:lastRowLastColumn="0"/>
            <w:tcW w:w="1073"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491</w:t>
            </w:r>
          </w:p>
        </w:tc>
        <w:tc>
          <w:tcPr>
            <w:tcW w:w="1150" w:type="dxa"/>
            <w:noWrap/>
            <w:hideMark/>
          </w:tcPr>
          <w:p w:rsidR="00147D5F" w:rsidRPr="00D063C6" w:rsidRDefault="00147D5F" w:rsidP="00D063C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2.6%</w:t>
            </w:r>
          </w:p>
        </w:tc>
        <w:tc>
          <w:tcPr>
            <w:cnfStyle w:val="000010000000" w:firstRow="0" w:lastRow="0" w:firstColumn="0" w:lastColumn="0" w:oddVBand="1" w:evenVBand="0" w:oddHBand="0" w:evenHBand="0" w:firstRowFirstColumn="0" w:firstRowLastColumn="0" w:lastRowFirstColumn="0" w:lastRowLastColumn="0"/>
            <w:tcW w:w="986"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18806</w:t>
            </w:r>
          </w:p>
        </w:tc>
      </w:tr>
      <w:tr w:rsidR="00147D5F" w:rsidRPr="00D063C6" w:rsidTr="006558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147D5F" w:rsidRPr="00D063C6" w:rsidRDefault="00147D5F" w:rsidP="00DD6610">
            <w:pPr>
              <w:spacing w:after="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2013</w:t>
            </w:r>
          </w:p>
        </w:tc>
        <w:tc>
          <w:tcPr>
            <w:cnfStyle w:val="000010000000" w:firstRow="0" w:lastRow="0" w:firstColumn="0" w:lastColumn="0" w:oddVBand="1" w:evenVBand="0" w:oddHBand="0" w:evenHBand="0" w:firstRowFirstColumn="0" w:firstRowLastColumn="0" w:lastRowFirstColumn="0" w:lastRowLastColumn="0"/>
            <w:tcW w:w="1286"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3417</w:t>
            </w:r>
          </w:p>
        </w:tc>
        <w:tc>
          <w:tcPr>
            <w:tcW w:w="1286" w:type="dxa"/>
            <w:noWrap/>
            <w:hideMark/>
          </w:tcPr>
          <w:p w:rsidR="00147D5F" w:rsidRPr="00D063C6" w:rsidRDefault="00147D5F" w:rsidP="00D063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15.9%</w:t>
            </w:r>
          </w:p>
        </w:tc>
        <w:tc>
          <w:tcPr>
            <w:cnfStyle w:val="000010000000" w:firstRow="0" w:lastRow="0" w:firstColumn="0" w:lastColumn="0" w:oddVBand="1" w:evenVBand="0" w:oddHBand="0" w:evenHBand="0" w:firstRowFirstColumn="0" w:firstRowLastColumn="0" w:lastRowFirstColumn="0" w:lastRowLastColumn="0"/>
            <w:tcW w:w="1154"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17777</w:t>
            </w:r>
          </w:p>
        </w:tc>
        <w:tc>
          <w:tcPr>
            <w:tcW w:w="1154" w:type="dxa"/>
            <w:noWrap/>
            <w:hideMark/>
          </w:tcPr>
          <w:p w:rsidR="00147D5F" w:rsidRPr="00D063C6" w:rsidRDefault="00147D5F" w:rsidP="00D063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82.5%</w:t>
            </w:r>
          </w:p>
        </w:tc>
        <w:tc>
          <w:tcPr>
            <w:cnfStyle w:val="000010000000" w:firstRow="0" w:lastRow="0" w:firstColumn="0" w:lastColumn="0" w:oddVBand="1" w:evenVBand="0" w:oddHBand="0" w:evenHBand="0" w:firstRowFirstColumn="0" w:firstRowLastColumn="0" w:lastRowFirstColumn="0" w:lastRowLastColumn="0"/>
            <w:tcW w:w="1073"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354</w:t>
            </w:r>
          </w:p>
        </w:tc>
        <w:tc>
          <w:tcPr>
            <w:tcW w:w="1150" w:type="dxa"/>
            <w:noWrap/>
            <w:hideMark/>
          </w:tcPr>
          <w:p w:rsidR="00147D5F" w:rsidRPr="00D063C6" w:rsidRDefault="00147D5F" w:rsidP="00D063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1.6%</w:t>
            </w:r>
          </w:p>
        </w:tc>
        <w:tc>
          <w:tcPr>
            <w:cnfStyle w:val="000010000000" w:firstRow="0" w:lastRow="0" w:firstColumn="0" w:lastColumn="0" w:oddVBand="1" w:evenVBand="0" w:oddHBand="0" w:evenHBand="0" w:firstRowFirstColumn="0" w:firstRowLastColumn="0" w:lastRowFirstColumn="0" w:lastRowLastColumn="0"/>
            <w:tcW w:w="986"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21548</w:t>
            </w:r>
          </w:p>
        </w:tc>
      </w:tr>
      <w:tr w:rsidR="00147D5F" w:rsidRPr="00D063C6" w:rsidTr="0065582B">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147D5F" w:rsidRPr="00D063C6" w:rsidRDefault="00147D5F" w:rsidP="00DD6610">
            <w:pPr>
              <w:spacing w:after="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2014</w:t>
            </w:r>
          </w:p>
        </w:tc>
        <w:tc>
          <w:tcPr>
            <w:cnfStyle w:val="000010000000" w:firstRow="0" w:lastRow="0" w:firstColumn="0" w:lastColumn="0" w:oddVBand="1" w:evenVBand="0" w:oddHBand="0" w:evenHBand="0" w:firstRowFirstColumn="0" w:firstRowLastColumn="0" w:lastRowFirstColumn="0" w:lastRowLastColumn="0"/>
            <w:tcW w:w="1286"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3396</w:t>
            </w:r>
          </w:p>
        </w:tc>
        <w:tc>
          <w:tcPr>
            <w:tcW w:w="1286" w:type="dxa"/>
            <w:noWrap/>
            <w:hideMark/>
          </w:tcPr>
          <w:p w:rsidR="00147D5F" w:rsidRPr="00D063C6" w:rsidRDefault="00147D5F" w:rsidP="00D063C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17.1%</w:t>
            </w:r>
          </w:p>
        </w:tc>
        <w:tc>
          <w:tcPr>
            <w:cnfStyle w:val="000010000000" w:firstRow="0" w:lastRow="0" w:firstColumn="0" w:lastColumn="0" w:oddVBand="1" w:evenVBand="0" w:oddHBand="0" w:evenHBand="0" w:firstRowFirstColumn="0" w:firstRowLastColumn="0" w:lastRowFirstColumn="0" w:lastRowLastColumn="0"/>
            <w:tcW w:w="1154"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16175</w:t>
            </w:r>
          </w:p>
        </w:tc>
        <w:tc>
          <w:tcPr>
            <w:tcW w:w="1154" w:type="dxa"/>
            <w:noWrap/>
            <w:hideMark/>
          </w:tcPr>
          <w:p w:rsidR="00147D5F" w:rsidRPr="00D063C6" w:rsidRDefault="00147D5F" w:rsidP="00D063C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81.4%</w:t>
            </w:r>
          </w:p>
        </w:tc>
        <w:tc>
          <w:tcPr>
            <w:cnfStyle w:val="000010000000" w:firstRow="0" w:lastRow="0" w:firstColumn="0" w:lastColumn="0" w:oddVBand="1" w:evenVBand="0" w:oddHBand="0" w:evenHBand="0" w:firstRowFirstColumn="0" w:firstRowLastColumn="0" w:lastRowFirstColumn="0" w:lastRowLastColumn="0"/>
            <w:tcW w:w="1073"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309</w:t>
            </w:r>
          </w:p>
        </w:tc>
        <w:tc>
          <w:tcPr>
            <w:tcW w:w="1150" w:type="dxa"/>
            <w:noWrap/>
            <w:hideMark/>
          </w:tcPr>
          <w:p w:rsidR="00147D5F" w:rsidRPr="00D063C6" w:rsidRDefault="00147D5F" w:rsidP="00D063C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1.6%</w:t>
            </w:r>
          </w:p>
        </w:tc>
        <w:tc>
          <w:tcPr>
            <w:cnfStyle w:val="000010000000" w:firstRow="0" w:lastRow="0" w:firstColumn="0" w:lastColumn="0" w:oddVBand="1" w:evenVBand="0" w:oddHBand="0" w:evenHBand="0" w:firstRowFirstColumn="0" w:firstRowLastColumn="0" w:lastRowFirstColumn="0" w:lastRowLastColumn="0"/>
            <w:tcW w:w="986"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19880</w:t>
            </w:r>
          </w:p>
        </w:tc>
      </w:tr>
      <w:tr w:rsidR="00147D5F" w:rsidRPr="00D063C6" w:rsidTr="006558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147D5F" w:rsidRPr="00D063C6" w:rsidRDefault="00147D5F" w:rsidP="00DD6610">
            <w:pPr>
              <w:spacing w:after="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2015</w:t>
            </w:r>
          </w:p>
        </w:tc>
        <w:tc>
          <w:tcPr>
            <w:cnfStyle w:val="000010000000" w:firstRow="0" w:lastRow="0" w:firstColumn="0" w:lastColumn="0" w:oddVBand="1" w:evenVBand="0" w:oddHBand="0" w:evenHBand="0" w:firstRowFirstColumn="0" w:firstRowLastColumn="0" w:lastRowFirstColumn="0" w:lastRowLastColumn="0"/>
            <w:tcW w:w="1286"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2471</w:t>
            </w:r>
          </w:p>
        </w:tc>
        <w:tc>
          <w:tcPr>
            <w:tcW w:w="1286" w:type="dxa"/>
            <w:noWrap/>
            <w:hideMark/>
          </w:tcPr>
          <w:p w:rsidR="00147D5F" w:rsidRPr="00D063C6" w:rsidRDefault="00147D5F" w:rsidP="00D063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12.0%</w:t>
            </w:r>
          </w:p>
        </w:tc>
        <w:tc>
          <w:tcPr>
            <w:cnfStyle w:val="000010000000" w:firstRow="0" w:lastRow="0" w:firstColumn="0" w:lastColumn="0" w:oddVBand="1" w:evenVBand="0" w:oddHBand="0" w:evenHBand="0" w:firstRowFirstColumn="0" w:firstRowLastColumn="0" w:lastRowFirstColumn="0" w:lastRowLastColumn="0"/>
            <w:tcW w:w="1154"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17925</w:t>
            </w:r>
          </w:p>
        </w:tc>
        <w:tc>
          <w:tcPr>
            <w:tcW w:w="1154" w:type="dxa"/>
            <w:noWrap/>
            <w:hideMark/>
          </w:tcPr>
          <w:p w:rsidR="00147D5F" w:rsidRPr="00D063C6" w:rsidRDefault="00147D5F" w:rsidP="00D063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87.0%</w:t>
            </w:r>
          </w:p>
        </w:tc>
        <w:tc>
          <w:tcPr>
            <w:cnfStyle w:val="000010000000" w:firstRow="0" w:lastRow="0" w:firstColumn="0" w:lastColumn="0" w:oddVBand="1" w:evenVBand="0" w:oddHBand="0" w:evenHBand="0" w:firstRowFirstColumn="0" w:firstRowLastColumn="0" w:lastRowFirstColumn="0" w:lastRowLastColumn="0"/>
            <w:tcW w:w="1073"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213</w:t>
            </w:r>
          </w:p>
        </w:tc>
        <w:tc>
          <w:tcPr>
            <w:tcW w:w="1150" w:type="dxa"/>
            <w:noWrap/>
            <w:hideMark/>
          </w:tcPr>
          <w:p w:rsidR="00147D5F" w:rsidRPr="00D063C6" w:rsidRDefault="00147D5F" w:rsidP="00D063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1.0%</w:t>
            </w:r>
          </w:p>
        </w:tc>
        <w:tc>
          <w:tcPr>
            <w:cnfStyle w:val="000010000000" w:firstRow="0" w:lastRow="0" w:firstColumn="0" w:lastColumn="0" w:oddVBand="1" w:evenVBand="0" w:oddHBand="0" w:evenHBand="0" w:firstRowFirstColumn="0" w:firstRowLastColumn="0" w:lastRowFirstColumn="0" w:lastRowLastColumn="0"/>
            <w:tcW w:w="986"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20609</w:t>
            </w:r>
          </w:p>
        </w:tc>
      </w:tr>
      <w:tr w:rsidR="00147D5F" w:rsidRPr="00D063C6" w:rsidTr="0065582B">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147D5F" w:rsidRPr="00D063C6" w:rsidRDefault="00147D5F" w:rsidP="00DD6610">
            <w:pPr>
              <w:spacing w:after="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2016</w:t>
            </w:r>
          </w:p>
        </w:tc>
        <w:tc>
          <w:tcPr>
            <w:cnfStyle w:val="000010000000" w:firstRow="0" w:lastRow="0" w:firstColumn="0" w:lastColumn="0" w:oddVBand="1" w:evenVBand="0" w:oddHBand="0" w:evenHBand="0" w:firstRowFirstColumn="0" w:firstRowLastColumn="0" w:lastRowFirstColumn="0" w:lastRowLastColumn="0"/>
            <w:tcW w:w="1286"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2516</w:t>
            </w:r>
          </w:p>
        </w:tc>
        <w:tc>
          <w:tcPr>
            <w:tcW w:w="1286" w:type="dxa"/>
            <w:noWrap/>
            <w:hideMark/>
          </w:tcPr>
          <w:p w:rsidR="00147D5F" w:rsidRPr="00D063C6" w:rsidRDefault="00147D5F" w:rsidP="00D063C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16.0%</w:t>
            </w:r>
          </w:p>
        </w:tc>
        <w:tc>
          <w:tcPr>
            <w:cnfStyle w:val="000010000000" w:firstRow="0" w:lastRow="0" w:firstColumn="0" w:lastColumn="0" w:oddVBand="1" w:evenVBand="0" w:oddHBand="0" w:evenHBand="0" w:firstRowFirstColumn="0" w:firstRowLastColumn="0" w:lastRowFirstColumn="0" w:lastRowLastColumn="0"/>
            <w:tcW w:w="1154"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13062</w:t>
            </w:r>
          </w:p>
        </w:tc>
        <w:tc>
          <w:tcPr>
            <w:tcW w:w="1154" w:type="dxa"/>
            <w:noWrap/>
            <w:hideMark/>
          </w:tcPr>
          <w:p w:rsidR="00147D5F" w:rsidRPr="00D063C6" w:rsidRDefault="00147D5F" w:rsidP="00D063C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83.1%</w:t>
            </w:r>
          </w:p>
        </w:tc>
        <w:tc>
          <w:tcPr>
            <w:cnfStyle w:val="000010000000" w:firstRow="0" w:lastRow="0" w:firstColumn="0" w:lastColumn="0" w:oddVBand="1" w:evenVBand="0" w:oddHBand="0" w:evenHBand="0" w:firstRowFirstColumn="0" w:firstRowLastColumn="0" w:lastRowFirstColumn="0" w:lastRowLastColumn="0"/>
            <w:tcW w:w="1073"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134</w:t>
            </w:r>
          </w:p>
        </w:tc>
        <w:tc>
          <w:tcPr>
            <w:tcW w:w="1150" w:type="dxa"/>
            <w:noWrap/>
            <w:hideMark/>
          </w:tcPr>
          <w:p w:rsidR="00147D5F" w:rsidRPr="00D063C6" w:rsidRDefault="00147D5F" w:rsidP="00D063C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0.9%</w:t>
            </w:r>
          </w:p>
        </w:tc>
        <w:tc>
          <w:tcPr>
            <w:cnfStyle w:val="000010000000" w:firstRow="0" w:lastRow="0" w:firstColumn="0" w:lastColumn="0" w:oddVBand="1" w:evenVBand="0" w:oddHBand="0" w:evenHBand="0" w:firstRowFirstColumn="0" w:firstRowLastColumn="0" w:lastRowFirstColumn="0" w:lastRowLastColumn="0"/>
            <w:tcW w:w="986"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15712</w:t>
            </w:r>
          </w:p>
        </w:tc>
      </w:tr>
      <w:tr w:rsidR="00147D5F" w:rsidRPr="00D063C6" w:rsidTr="006558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147D5F" w:rsidRPr="00D063C6" w:rsidRDefault="00147D5F" w:rsidP="00DD6610">
            <w:pPr>
              <w:spacing w:after="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2017</w:t>
            </w:r>
          </w:p>
        </w:tc>
        <w:tc>
          <w:tcPr>
            <w:cnfStyle w:val="000010000000" w:firstRow="0" w:lastRow="0" w:firstColumn="0" w:lastColumn="0" w:oddVBand="1" w:evenVBand="0" w:oddHBand="0" w:evenHBand="0" w:firstRowFirstColumn="0" w:firstRowLastColumn="0" w:lastRowFirstColumn="0" w:lastRowLastColumn="0"/>
            <w:tcW w:w="1286"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i/>
                <w:iCs/>
                <w:color w:val="000000"/>
                <w:sz w:val="20"/>
                <w:szCs w:val="20"/>
                <w:lang w:val="en-US"/>
              </w:rPr>
            </w:pPr>
            <w:r w:rsidRPr="00D063C6">
              <w:rPr>
                <w:rFonts w:ascii="Calibri" w:eastAsia="Times New Roman" w:hAnsi="Calibri" w:cs="Calibri"/>
                <w:i/>
                <w:iCs/>
                <w:color w:val="000000"/>
                <w:sz w:val="20"/>
                <w:szCs w:val="20"/>
                <w:lang w:val="en-US"/>
              </w:rPr>
              <w:t>1867</w:t>
            </w:r>
          </w:p>
        </w:tc>
        <w:tc>
          <w:tcPr>
            <w:tcW w:w="1286" w:type="dxa"/>
            <w:noWrap/>
            <w:hideMark/>
          </w:tcPr>
          <w:p w:rsidR="00147D5F" w:rsidRPr="00D063C6" w:rsidRDefault="00147D5F" w:rsidP="00D063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0"/>
                <w:szCs w:val="20"/>
                <w:lang w:val="en-US"/>
              </w:rPr>
            </w:pPr>
            <w:r w:rsidRPr="00D063C6">
              <w:rPr>
                <w:rFonts w:ascii="Calibri" w:eastAsia="Times New Roman" w:hAnsi="Calibri" w:cs="Calibri"/>
                <w:i/>
                <w:iCs/>
                <w:color w:val="000000"/>
                <w:sz w:val="20"/>
                <w:szCs w:val="20"/>
                <w:lang w:val="en-US"/>
              </w:rPr>
              <w:t>24.7%</w:t>
            </w:r>
          </w:p>
        </w:tc>
        <w:tc>
          <w:tcPr>
            <w:cnfStyle w:val="000010000000" w:firstRow="0" w:lastRow="0" w:firstColumn="0" w:lastColumn="0" w:oddVBand="1" w:evenVBand="0" w:oddHBand="0" w:evenHBand="0" w:firstRowFirstColumn="0" w:firstRowLastColumn="0" w:lastRowFirstColumn="0" w:lastRowLastColumn="0"/>
            <w:tcW w:w="1154"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i/>
                <w:iCs/>
                <w:color w:val="000000"/>
                <w:sz w:val="20"/>
                <w:szCs w:val="20"/>
                <w:lang w:val="en-US"/>
              </w:rPr>
            </w:pPr>
            <w:r w:rsidRPr="00D063C6">
              <w:rPr>
                <w:rFonts w:ascii="Calibri" w:eastAsia="Times New Roman" w:hAnsi="Calibri" w:cs="Calibri"/>
                <w:i/>
                <w:iCs/>
                <w:color w:val="000000"/>
                <w:sz w:val="20"/>
                <w:szCs w:val="20"/>
                <w:lang w:val="en-US"/>
              </w:rPr>
              <w:t>5590</w:t>
            </w:r>
          </w:p>
        </w:tc>
        <w:tc>
          <w:tcPr>
            <w:tcW w:w="1154" w:type="dxa"/>
            <w:noWrap/>
            <w:hideMark/>
          </w:tcPr>
          <w:p w:rsidR="00147D5F" w:rsidRPr="00D063C6" w:rsidRDefault="00147D5F" w:rsidP="00D063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0"/>
                <w:szCs w:val="20"/>
                <w:lang w:val="en-US"/>
              </w:rPr>
            </w:pPr>
            <w:r w:rsidRPr="00D063C6">
              <w:rPr>
                <w:rFonts w:ascii="Calibri" w:eastAsia="Times New Roman" w:hAnsi="Calibri" w:cs="Calibri"/>
                <w:i/>
                <w:iCs/>
                <w:color w:val="000000"/>
                <w:sz w:val="20"/>
                <w:szCs w:val="20"/>
                <w:lang w:val="en-US"/>
              </w:rPr>
              <w:t>73.8%</w:t>
            </w:r>
          </w:p>
        </w:tc>
        <w:tc>
          <w:tcPr>
            <w:cnfStyle w:val="000010000000" w:firstRow="0" w:lastRow="0" w:firstColumn="0" w:lastColumn="0" w:oddVBand="1" w:evenVBand="0" w:oddHBand="0" w:evenHBand="0" w:firstRowFirstColumn="0" w:firstRowLastColumn="0" w:lastRowFirstColumn="0" w:lastRowLastColumn="0"/>
            <w:tcW w:w="1073"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i/>
                <w:iCs/>
                <w:color w:val="000000"/>
                <w:sz w:val="20"/>
                <w:szCs w:val="20"/>
                <w:lang w:val="en-US"/>
              </w:rPr>
            </w:pPr>
            <w:r w:rsidRPr="00D063C6">
              <w:rPr>
                <w:rFonts w:ascii="Calibri" w:eastAsia="Times New Roman" w:hAnsi="Calibri" w:cs="Calibri"/>
                <w:i/>
                <w:iCs/>
                <w:color w:val="000000"/>
                <w:sz w:val="20"/>
                <w:szCs w:val="20"/>
                <w:lang w:val="en-US"/>
              </w:rPr>
              <w:t>113</w:t>
            </w:r>
          </w:p>
        </w:tc>
        <w:tc>
          <w:tcPr>
            <w:tcW w:w="1150" w:type="dxa"/>
            <w:noWrap/>
            <w:hideMark/>
          </w:tcPr>
          <w:p w:rsidR="00147D5F" w:rsidRPr="00D063C6" w:rsidRDefault="00147D5F" w:rsidP="00D063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0"/>
                <w:szCs w:val="20"/>
                <w:lang w:val="en-US"/>
              </w:rPr>
            </w:pPr>
            <w:r w:rsidRPr="00D063C6">
              <w:rPr>
                <w:rFonts w:ascii="Calibri" w:eastAsia="Times New Roman" w:hAnsi="Calibri" w:cs="Calibri"/>
                <w:i/>
                <w:iCs/>
                <w:color w:val="000000"/>
                <w:sz w:val="20"/>
                <w:szCs w:val="20"/>
                <w:lang w:val="en-US"/>
              </w:rPr>
              <w:t>1.5%</w:t>
            </w:r>
          </w:p>
        </w:tc>
        <w:tc>
          <w:tcPr>
            <w:cnfStyle w:val="000010000000" w:firstRow="0" w:lastRow="0" w:firstColumn="0" w:lastColumn="0" w:oddVBand="1" w:evenVBand="0" w:oddHBand="0" w:evenHBand="0" w:firstRowFirstColumn="0" w:firstRowLastColumn="0" w:lastRowFirstColumn="0" w:lastRowLastColumn="0"/>
            <w:tcW w:w="986"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i/>
                <w:iCs/>
                <w:color w:val="000000"/>
                <w:sz w:val="20"/>
                <w:szCs w:val="20"/>
                <w:lang w:val="en-US"/>
              </w:rPr>
            </w:pPr>
            <w:r w:rsidRPr="00D063C6">
              <w:rPr>
                <w:rFonts w:ascii="Calibri" w:eastAsia="Times New Roman" w:hAnsi="Calibri" w:cs="Calibri"/>
                <w:i/>
                <w:iCs/>
                <w:color w:val="000000"/>
                <w:sz w:val="20"/>
                <w:szCs w:val="20"/>
                <w:lang w:val="en-US"/>
              </w:rPr>
              <w:t>7570</w:t>
            </w:r>
          </w:p>
        </w:tc>
      </w:tr>
      <w:tr w:rsidR="00147D5F" w:rsidRPr="00D063C6" w:rsidTr="00D70BE5">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shd w:val="clear" w:color="auto" w:fill="auto"/>
            <w:noWrap/>
            <w:hideMark/>
          </w:tcPr>
          <w:p w:rsidR="00147D5F" w:rsidRPr="00D063C6" w:rsidRDefault="00147D5F" w:rsidP="00DD6610">
            <w:pPr>
              <w:spacing w:after="0"/>
              <w:rPr>
                <w:rFonts w:ascii="Calibri" w:eastAsia="Times New Roman" w:hAnsi="Calibri" w:cs="Calibri"/>
                <w:bCs w:val="0"/>
                <w:color w:val="000000"/>
                <w:sz w:val="20"/>
                <w:szCs w:val="20"/>
                <w:lang w:val="en-US"/>
              </w:rPr>
            </w:pPr>
            <w:r w:rsidRPr="00D063C6">
              <w:rPr>
                <w:rFonts w:ascii="Calibri" w:eastAsia="Times New Roman" w:hAnsi="Calibri" w:cs="Calibri"/>
                <w:bCs w:val="0"/>
                <w:color w:val="000000"/>
                <w:sz w:val="20"/>
                <w:szCs w:val="20"/>
                <w:lang w:val="en-US"/>
              </w:rPr>
              <w:t>Total</w:t>
            </w:r>
          </w:p>
        </w:tc>
        <w:tc>
          <w:tcPr>
            <w:cnfStyle w:val="000010000000" w:firstRow="0" w:lastRow="0" w:firstColumn="0" w:lastColumn="0" w:oddVBand="1" w:evenVBand="0" w:oddHBand="0" w:evenHBand="0" w:firstRowFirstColumn="0" w:firstRowLastColumn="0" w:lastRowFirstColumn="0" w:lastRowLastColumn="0"/>
            <w:tcW w:w="1286" w:type="dxa"/>
            <w:tcBorders>
              <w:left w:val="none" w:sz="0" w:space="0" w:color="auto"/>
              <w:right w:val="none" w:sz="0" w:space="0" w:color="auto"/>
            </w:tcBorders>
            <w:shd w:val="clear" w:color="auto" w:fill="auto"/>
            <w:noWrap/>
            <w:hideMark/>
          </w:tcPr>
          <w:p w:rsidR="00147D5F" w:rsidRPr="00D063C6" w:rsidRDefault="00147D5F" w:rsidP="00D063C6">
            <w:pPr>
              <w:spacing w:after="0"/>
              <w:jc w:val="center"/>
              <w:rPr>
                <w:rFonts w:ascii="Calibri" w:eastAsia="Times New Roman" w:hAnsi="Calibri" w:cs="Calibri"/>
                <w:b/>
                <w:bCs/>
                <w:color w:val="000000"/>
                <w:sz w:val="20"/>
                <w:szCs w:val="20"/>
                <w:lang w:val="en-US"/>
              </w:rPr>
            </w:pPr>
            <w:r w:rsidRPr="00D063C6">
              <w:rPr>
                <w:rFonts w:ascii="Calibri" w:eastAsia="Times New Roman" w:hAnsi="Calibri" w:cs="Calibri"/>
                <w:b/>
                <w:bCs/>
                <w:color w:val="000000"/>
                <w:sz w:val="20"/>
                <w:szCs w:val="20"/>
                <w:lang w:val="en-US"/>
              </w:rPr>
              <w:t>25871</w:t>
            </w:r>
          </w:p>
        </w:tc>
        <w:tc>
          <w:tcPr>
            <w:tcW w:w="1286" w:type="dxa"/>
            <w:shd w:val="clear" w:color="auto" w:fill="auto"/>
            <w:noWrap/>
            <w:hideMark/>
          </w:tcPr>
          <w:p w:rsidR="00147D5F" w:rsidRPr="00D063C6" w:rsidRDefault="00147D5F" w:rsidP="00D063C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rPr>
            </w:pPr>
            <w:r w:rsidRPr="00D063C6">
              <w:rPr>
                <w:rFonts w:ascii="Calibri" w:eastAsia="Times New Roman" w:hAnsi="Calibri" w:cs="Calibri"/>
                <w:b/>
                <w:bCs/>
                <w:color w:val="000000"/>
                <w:sz w:val="20"/>
                <w:szCs w:val="20"/>
                <w:lang w:val="en-US"/>
              </w:rPr>
              <w:t>16.4%</w:t>
            </w:r>
          </w:p>
        </w:tc>
        <w:tc>
          <w:tcPr>
            <w:cnfStyle w:val="000010000000" w:firstRow="0" w:lastRow="0" w:firstColumn="0" w:lastColumn="0" w:oddVBand="1" w:evenVBand="0" w:oddHBand="0" w:evenHBand="0" w:firstRowFirstColumn="0" w:firstRowLastColumn="0" w:lastRowFirstColumn="0" w:lastRowLastColumn="0"/>
            <w:tcW w:w="1154" w:type="dxa"/>
            <w:tcBorders>
              <w:left w:val="none" w:sz="0" w:space="0" w:color="auto"/>
              <w:right w:val="none" w:sz="0" w:space="0" w:color="auto"/>
            </w:tcBorders>
            <w:shd w:val="clear" w:color="auto" w:fill="auto"/>
            <w:noWrap/>
            <w:hideMark/>
          </w:tcPr>
          <w:p w:rsidR="00147D5F" w:rsidRPr="00D063C6" w:rsidRDefault="00147D5F" w:rsidP="00D063C6">
            <w:pPr>
              <w:spacing w:after="0"/>
              <w:jc w:val="center"/>
              <w:rPr>
                <w:rFonts w:ascii="Calibri" w:eastAsia="Times New Roman" w:hAnsi="Calibri" w:cs="Calibri"/>
                <w:b/>
                <w:bCs/>
                <w:color w:val="000000"/>
                <w:sz w:val="20"/>
                <w:szCs w:val="20"/>
                <w:lang w:val="en-US"/>
              </w:rPr>
            </w:pPr>
            <w:r w:rsidRPr="00D063C6">
              <w:rPr>
                <w:rFonts w:ascii="Calibri" w:eastAsia="Times New Roman" w:hAnsi="Calibri" w:cs="Calibri"/>
                <w:b/>
                <w:bCs/>
                <w:color w:val="000000"/>
                <w:sz w:val="20"/>
                <w:szCs w:val="20"/>
                <w:lang w:val="en-US"/>
              </w:rPr>
              <w:t>128403</w:t>
            </w:r>
          </w:p>
        </w:tc>
        <w:tc>
          <w:tcPr>
            <w:tcW w:w="1154" w:type="dxa"/>
            <w:shd w:val="clear" w:color="auto" w:fill="auto"/>
            <w:noWrap/>
            <w:hideMark/>
          </w:tcPr>
          <w:p w:rsidR="00147D5F" w:rsidRPr="00D063C6" w:rsidRDefault="00147D5F" w:rsidP="00D063C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rPr>
            </w:pPr>
            <w:r w:rsidRPr="00D063C6">
              <w:rPr>
                <w:rFonts w:ascii="Calibri" w:eastAsia="Times New Roman" w:hAnsi="Calibri" w:cs="Calibri"/>
                <w:b/>
                <w:bCs/>
                <w:color w:val="000000"/>
                <w:sz w:val="20"/>
                <w:szCs w:val="20"/>
                <w:lang w:val="en-US"/>
              </w:rPr>
              <w:t>81.2%</w:t>
            </w:r>
          </w:p>
        </w:tc>
        <w:tc>
          <w:tcPr>
            <w:cnfStyle w:val="000010000000" w:firstRow="0" w:lastRow="0" w:firstColumn="0" w:lastColumn="0" w:oddVBand="1" w:evenVBand="0" w:oddHBand="0" w:evenHBand="0" w:firstRowFirstColumn="0" w:firstRowLastColumn="0" w:lastRowFirstColumn="0" w:lastRowLastColumn="0"/>
            <w:tcW w:w="1073" w:type="dxa"/>
            <w:tcBorders>
              <w:left w:val="none" w:sz="0" w:space="0" w:color="auto"/>
              <w:right w:val="none" w:sz="0" w:space="0" w:color="auto"/>
            </w:tcBorders>
            <w:shd w:val="clear" w:color="auto" w:fill="auto"/>
            <w:noWrap/>
            <w:hideMark/>
          </w:tcPr>
          <w:p w:rsidR="00147D5F" w:rsidRPr="00D063C6" w:rsidRDefault="00147D5F" w:rsidP="00D063C6">
            <w:pPr>
              <w:spacing w:after="0"/>
              <w:jc w:val="center"/>
              <w:rPr>
                <w:rFonts w:ascii="Calibri" w:eastAsia="Times New Roman" w:hAnsi="Calibri" w:cs="Calibri"/>
                <w:b/>
                <w:bCs/>
                <w:color w:val="000000"/>
                <w:sz w:val="20"/>
                <w:szCs w:val="20"/>
                <w:lang w:val="en-US"/>
              </w:rPr>
            </w:pPr>
            <w:r w:rsidRPr="00D063C6">
              <w:rPr>
                <w:rFonts w:ascii="Calibri" w:eastAsia="Times New Roman" w:hAnsi="Calibri" w:cs="Calibri"/>
                <w:b/>
                <w:bCs/>
                <w:color w:val="000000"/>
                <w:sz w:val="20"/>
                <w:szCs w:val="20"/>
                <w:lang w:val="en-US"/>
              </w:rPr>
              <w:t>3804</w:t>
            </w:r>
          </w:p>
        </w:tc>
        <w:tc>
          <w:tcPr>
            <w:tcW w:w="1150" w:type="dxa"/>
            <w:shd w:val="clear" w:color="auto" w:fill="auto"/>
            <w:noWrap/>
            <w:hideMark/>
          </w:tcPr>
          <w:p w:rsidR="00147D5F" w:rsidRPr="00D063C6" w:rsidRDefault="00147D5F" w:rsidP="00D063C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rPr>
            </w:pPr>
            <w:r w:rsidRPr="00D063C6">
              <w:rPr>
                <w:rFonts w:ascii="Calibri" w:eastAsia="Times New Roman" w:hAnsi="Calibri" w:cs="Calibri"/>
                <w:b/>
                <w:bCs/>
                <w:color w:val="000000"/>
                <w:sz w:val="20"/>
                <w:szCs w:val="20"/>
                <w:lang w:val="en-US"/>
              </w:rPr>
              <w:t>2.4%</w:t>
            </w:r>
          </w:p>
        </w:tc>
        <w:tc>
          <w:tcPr>
            <w:cnfStyle w:val="000010000000" w:firstRow="0" w:lastRow="0" w:firstColumn="0" w:lastColumn="0" w:oddVBand="1" w:evenVBand="0" w:oddHBand="0" w:evenHBand="0" w:firstRowFirstColumn="0" w:firstRowLastColumn="0" w:lastRowFirstColumn="0" w:lastRowLastColumn="0"/>
            <w:tcW w:w="986" w:type="dxa"/>
            <w:tcBorders>
              <w:left w:val="none" w:sz="0" w:space="0" w:color="auto"/>
              <w:right w:val="none" w:sz="0" w:space="0" w:color="auto"/>
            </w:tcBorders>
            <w:shd w:val="clear" w:color="auto" w:fill="auto"/>
            <w:noWrap/>
            <w:hideMark/>
          </w:tcPr>
          <w:p w:rsidR="00147D5F" w:rsidRPr="00D063C6" w:rsidRDefault="00147D5F" w:rsidP="00D063C6">
            <w:pPr>
              <w:spacing w:after="0"/>
              <w:jc w:val="center"/>
              <w:rPr>
                <w:rFonts w:ascii="Calibri" w:eastAsia="Times New Roman" w:hAnsi="Calibri" w:cs="Calibri"/>
                <w:b/>
                <w:bCs/>
                <w:color w:val="000000"/>
                <w:sz w:val="20"/>
                <w:szCs w:val="20"/>
                <w:lang w:val="en-US"/>
              </w:rPr>
            </w:pPr>
            <w:r w:rsidRPr="00D063C6">
              <w:rPr>
                <w:rFonts w:ascii="Calibri" w:eastAsia="Times New Roman" w:hAnsi="Calibri" w:cs="Calibri"/>
                <w:b/>
                <w:bCs/>
                <w:color w:val="000000"/>
                <w:sz w:val="20"/>
                <w:szCs w:val="20"/>
                <w:lang w:val="en-US"/>
              </w:rPr>
              <w:t>158078</w:t>
            </w:r>
          </w:p>
        </w:tc>
      </w:tr>
      <w:tr w:rsidR="00147D5F" w:rsidRPr="00D063C6" w:rsidTr="006558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noWrap/>
            <w:hideMark/>
          </w:tcPr>
          <w:p w:rsidR="00147D5F" w:rsidRPr="00D063C6" w:rsidRDefault="00147D5F" w:rsidP="00DD6610">
            <w:pPr>
              <w:spacing w:after="0"/>
              <w:rPr>
                <w:rFonts w:ascii="Calibri" w:eastAsia="Times New Roman" w:hAnsi="Calibri" w:cs="Calibri"/>
                <w:color w:val="000000"/>
                <w:sz w:val="20"/>
                <w:szCs w:val="20"/>
                <w:lang w:val="en-US"/>
              </w:rPr>
            </w:pPr>
            <w:r w:rsidRPr="00D063C6">
              <w:rPr>
                <w:rFonts w:ascii="Calibri" w:eastAsia="Times New Roman" w:hAnsi="Calibri" w:cs="Calibri"/>
                <w:color w:val="000000"/>
                <w:sz w:val="20"/>
                <w:szCs w:val="20"/>
                <w:lang w:val="en-US"/>
              </w:rPr>
              <w:t>To 2016</w:t>
            </w:r>
          </w:p>
        </w:tc>
        <w:tc>
          <w:tcPr>
            <w:cnfStyle w:val="000010000000" w:firstRow="0" w:lastRow="0" w:firstColumn="0" w:lastColumn="0" w:oddVBand="1" w:evenVBand="0" w:oddHBand="0" w:evenHBand="0" w:firstRowFirstColumn="0" w:firstRowLastColumn="0" w:lastRowFirstColumn="0" w:lastRowLastColumn="0"/>
            <w:tcW w:w="1286"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b/>
                <w:color w:val="000000"/>
                <w:sz w:val="20"/>
                <w:szCs w:val="20"/>
                <w:lang w:val="en-US"/>
              </w:rPr>
            </w:pPr>
            <w:r w:rsidRPr="00D063C6">
              <w:rPr>
                <w:rFonts w:ascii="Calibri" w:eastAsia="Times New Roman" w:hAnsi="Calibri" w:cs="Calibri"/>
                <w:b/>
                <w:color w:val="000000"/>
                <w:sz w:val="20"/>
                <w:szCs w:val="20"/>
                <w:lang w:val="en-US"/>
              </w:rPr>
              <w:t>24004</w:t>
            </w:r>
          </w:p>
        </w:tc>
        <w:tc>
          <w:tcPr>
            <w:tcW w:w="1286" w:type="dxa"/>
            <w:noWrap/>
            <w:hideMark/>
          </w:tcPr>
          <w:p w:rsidR="00147D5F" w:rsidRPr="00D063C6" w:rsidRDefault="00147D5F" w:rsidP="00D063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val="en-US"/>
              </w:rPr>
            </w:pPr>
            <w:r w:rsidRPr="00D063C6">
              <w:rPr>
                <w:rFonts w:ascii="Calibri" w:eastAsia="Times New Roman" w:hAnsi="Calibri" w:cs="Calibri"/>
                <w:b/>
                <w:color w:val="000000"/>
                <w:sz w:val="20"/>
                <w:szCs w:val="20"/>
                <w:lang w:val="en-US"/>
              </w:rPr>
              <w:t>15.9%</w:t>
            </w:r>
          </w:p>
        </w:tc>
        <w:tc>
          <w:tcPr>
            <w:cnfStyle w:val="000010000000" w:firstRow="0" w:lastRow="0" w:firstColumn="0" w:lastColumn="0" w:oddVBand="1" w:evenVBand="0" w:oddHBand="0" w:evenHBand="0" w:firstRowFirstColumn="0" w:firstRowLastColumn="0" w:lastRowFirstColumn="0" w:lastRowLastColumn="0"/>
            <w:tcW w:w="1154"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b/>
                <w:color w:val="000000"/>
                <w:sz w:val="20"/>
                <w:szCs w:val="20"/>
                <w:lang w:val="en-US"/>
              </w:rPr>
            </w:pPr>
            <w:r w:rsidRPr="00D063C6">
              <w:rPr>
                <w:rFonts w:ascii="Calibri" w:eastAsia="Times New Roman" w:hAnsi="Calibri" w:cs="Calibri"/>
                <w:b/>
                <w:color w:val="000000"/>
                <w:sz w:val="20"/>
                <w:szCs w:val="20"/>
                <w:lang w:val="en-US"/>
              </w:rPr>
              <w:t>122813</w:t>
            </w:r>
          </w:p>
        </w:tc>
        <w:tc>
          <w:tcPr>
            <w:tcW w:w="1154" w:type="dxa"/>
            <w:noWrap/>
            <w:hideMark/>
          </w:tcPr>
          <w:p w:rsidR="00147D5F" w:rsidRPr="00D063C6" w:rsidRDefault="00147D5F" w:rsidP="00D063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val="en-US"/>
              </w:rPr>
            </w:pPr>
            <w:r w:rsidRPr="00D063C6">
              <w:rPr>
                <w:rFonts w:ascii="Calibri" w:eastAsia="Times New Roman" w:hAnsi="Calibri" w:cs="Calibri"/>
                <w:b/>
                <w:color w:val="000000"/>
                <w:sz w:val="20"/>
                <w:szCs w:val="20"/>
                <w:lang w:val="en-US"/>
              </w:rPr>
              <w:t>81.6%</w:t>
            </w:r>
          </w:p>
        </w:tc>
        <w:tc>
          <w:tcPr>
            <w:cnfStyle w:val="000010000000" w:firstRow="0" w:lastRow="0" w:firstColumn="0" w:lastColumn="0" w:oddVBand="1" w:evenVBand="0" w:oddHBand="0" w:evenHBand="0" w:firstRowFirstColumn="0" w:firstRowLastColumn="0" w:lastRowFirstColumn="0" w:lastRowLastColumn="0"/>
            <w:tcW w:w="1073"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b/>
                <w:color w:val="000000"/>
                <w:sz w:val="20"/>
                <w:szCs w:val="20"/>
                <w:lang w:val="en-US"/>
              </w:rPr>
            </w:pPr>
            <w:r w:rsidRPr="00D063C6">
              <w:rPr>
                <w:rFonts w:ascii="Calibri" w:eastAsia="Times New Roman" w:hAnsi="Calibri" w:cs="Calibri"/>
                <w:b/>
                <w:color w:val="000000"/>
                <w:sz w:val="20"/>
                <w:szCs w:val="20"/>
                <w:lang w:val="en-US"/>
              </w:rPr>
              <w:t>3691</w:t>
            </w:r>
          </w:p>
        </w:tc>
        <w:tc>
          <w:tcPr>
            <w:tcW w:w="1150" w:type="dxa"/>
            <w:noWrap/>
            <w:hideMark/>
          </w:tcPr>
          <w:p w:rsidR="00147D5F" w:rsidRPr="00D063C6" w:rsidRDefault="00147D5F" w:rsidP="00D063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val="en-US"/>
              </w:rPr>
            </w:pPr>
            <w:r w:rsidRPr="00D063C6">
              <w:rPr>
                <w:rFonts w:ascii="Calibri" w:eastAsia="Times New Roman" w:hAnsi="Calibri" w:cs="Calibri"/>
                <w:b/>
                <w:color w:val="000000"/>
                <w:sz w:val="20"/>
                <w:szCs w:val="20"/>
                <w:lang w:val="en-US"/>
              </w:rPr>
              <w:t>2.5%</w:t>
            </w:r>
          </w:p>
        </w:tc>
        <w:tc>
          <w:tcPr>
            <w:cnfStyle w:val="000010000000" w:firstRow="0" w:lastRow="0" w:firstColumn="0" w:lastColumn="0" w:oddVBand="1" w:evenVBand="0" w:oddHBand="0" w:evenHBand="0" w:firstRowFirstColumn="0" w:firstRowLastColumn="0" w:lastRowFirstColumn="0" w:lastRowLastColumn="0"/>
            <w:tcW w:w="986" w:type="dxa"/>
            <w:tcBorders>
              <w:left w:val="none" w:sz="0" w:space="0" w:color="auto"/>
              <w:right w:val="none" w:sz="0" w:space="0" w:color="auto"/>
            </w:tcBorders>
            <w:noWrap/>
            <w:hideMark/>
          </w:tcPr>
          <w:p w:rsidR="00147D5F" w:rsidRPr="00D063C6" w:rsidRDefault="00147D5F" w:rsidP="00D063C6">
            <w:pPr>
              <w:spacing w:after="0"/>
              <w:jc w:val="center"/>
              <w:rPr>
                <w:rFonts w:ascii="Calibri" w:eastAsia="Times New Roman" w:hAnsi="Calibri" w:cs="Calibri"/>
                <w:b/>
                <w:color w:val="000000"/>
                <w:sz w:val="20"/>
                <w:szCs w:val="20"/>
                <w:lang w:val="en-US"/>
              </w:rPr>
            </w:pPr>
            <w:r w:rsidRPr="00D063C6">
              <w:rPr>
                <w:rFonts w:ascii="Calibri" w:eastAsia="Times New Roman" w:hAnsi="Calibri" w:cs="Calibri"/>
                <w:b/>
                <w:color w:val="000000"/>
                <w:sz w:val="20"/>
                <w:szCs w:val="20"/>
                <w:lang w:val="en-US"/>
              </w:rPr>
              <w:t>150508</w:t>
            </w:r>
          </w:p>
        </w:tc>
      </w:tr>
    </w:tbl>
    <w:p w:rsidR="0065582B" w:rsidRDefault="0065582B" w:rsidP="0065582B">
      <w:pPr>
        <w:pStyle w:val="Caption"/>
        <w:keepNext/>
        <w:jc w:val="both"/>
      </w:pPr>
      <w:r>
        <w:t>Figure 10.</w:t>
      </w:r>
      <w:r w:rsidR="009A3F5A">
        <w:fldChar w:fldCharType="begin"/>
      </w:r>
      <w:r w:rsidR="009A3F5A">
        <w:instrText xml:space="preserve"> SEQ Figure_10. \* ARABIC </w:instrText>
      </w:r>
      <w:r w:rsidR="009A3F5A">
        <w:fldChar w:fldCharType="separate"/>
      </w:r>
      <w:r w:rsidR="00856E49">
        <w:rPr>
          <w:noProof/>
        </w:rPr>
        <w:t>3</w:t>
      </w:r>
      <w:r w:rsidR="009A3F5A">
        <w:rPr>
          <w:noProof/>
        </w:rPr>
        <w:fldChar w:fldCharType="end"/>
      </w:r>
      <w:r>
        <w:t xml:space="preserve">: </w:t>
      </w:r>
      <w:r w:rsidRPr="0065582B">
        <w:t>ACFI Review Statistics from 2009 to 2016</w:t>
      </w:r>
    </w:p>
    <w:p w:rsidR="00D063C6" w:rsidRDefault="00D063C6" w:rsidP="00147D5F">
      <w:pPr>
        <w:spacing w:after="160" w:line="259" w:lineRule="auto"/>
        <w:rPr>
          <w:rFonts w:cstheme="minorHAnsi"/>
          <w:szCs w:val="24"/>
        </w:rPr>
      </w:pPr>
      <w:r>
        <w:rPr>
          <w:rFonts w:cstheme="minorHAnsi"/>
          <w:noProof/>
          <w:szCs w:val="24"/>
          <w:lang w:eastAsia="en-AU"/>
        </w:rPr>
        <w:drawing>
          <wp:inline distT="0" distB="0" distL="0" distR="0" wp14:anchorId="14ABE420" wp14:editId="215B653C">
            <wp:extent cx="5663565" cy="3926205"/>
            <wp:effectExtent l="0" t="0" r="0" b="0"/>
            <wp:docPr id="230" name="Picture 230" descr="Figure 10.3 is a bar graph illustrating the yearly percentage of downgraded reviews for 2009 to 2017, as noted in Table 10.7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63565" cy="3926205"/>
                    </a:xfrm>
                    <a:prstGeom prst="rect">
                      <a:avLst/>
                    </a:prstGeom>
                    <a:noFill/>
                  </pic:spPr>
                </pic:pic>
              </a:graphicData>
            </a:graphic>
          </wp:inline>
        </w:drawing>
      </w:r>
    </w:p>
    <w:p w:rsidR="00980F62" w:rsidRDefault="00147D5F" w:rsidP="00C16758">
      <w:pPr>
        <w:pStyle w:val="Heading3-Chapter103"/>
      </w:pPr>
      <w:bookmarkStart w:id="702" w:name="_Toc486600092"/>
      <w:bookmarkStart w:id="703" w:name="_Toc489386724"/>
      <w:r>
        <w:lastRenderedPageBreak/>
        <w:t>Future of the</w:t>
      </w:r>
      <w:r w:rsidRPr="00935784">
        <w:t xml:space="preserve"> Current Audit </w:t>
      </w:r>
      <w:r>
        <w:t xml:space="preserve">Program </w:t>
      </w:r>
      <w:r w:rsidRPr="00935784">
        <w:t>Model</w:t>
      </w:r>
      <w:bookmarkEnd w:id="702"/>
      <w:bookmarkEnd w:id="703"/>
    </w:p>
    <w:p w:rsidR="00980F62" w:rsidRDefault="00147D5F" w:rsidP="00147D5F">
      <w:r>
        <w:t xml:space="preserve">The current review program model has been operating since the RCS was introduced. While the program has worked effectively in recent times, as can be seen from the results in </w:t>
      </w:r>
      <w:hyperlink w:anchor="Tab1006" w:history="1">
        <w:r w:rsidRPr="00932DED">
          <w:rPr>
            <w:rStyle w:val="Hyperlink"/>
          </w:rPr>
          <w:t>Table 10.6</w:t>
        </w:r>
      </w:hyperlink>
      <w:r>
        <w:t xml:space="preserve"> and 10.7, the key issues moving forward are its scalability as the industry grows and its ability to maintain funding growth in the years ahead, even given an improved, ‘much less open to gaming’ assessment tool. While some of the funding growth may have been due to increasing resident care needs, the Review Program has been slow to respond to the developing issues (e.g. progressive predicable increase in pain management claims – </w:t>
      </w:r>
      <w:hyperlink w:anchor="Fig0902" w:history="1">
        <w:r w:rsidRPr="00411E89">
          <w:rPr>
            <w:rStyle w:val="Hyperlink"/>
          </w:rPr>
          <w:t>Figure 9.2</w:t>
        </w:r>
      </w:hyperlink>
      <w:r>
        <w:t>) and for whatever reason, has not been scaled up to audit a sufficient number of ACFI submissions in a timely manner to provide a viable threat to those providers up scoring the ACFI claims.</w:t>
      </w:r>
    </w:p>
    <w:p w:rsidR="00147D5F" w:rsidRDefault="00147D5F" w:rsidP="00147D5F">
      <w:r>
        <w:t>Some of the issues are the result of:</w:t>
      </w:r>
    </w:p>
    <w:p w:rsidR="00147D5F" w:rsidRDefault="00147D5F" w:rsidP="00151877">
      <w:pPr>
        <w:pStyle w:val="ListParagraph"/>
        <w:numPr>
          <w:ilvl w:val="0"/>
          <w:numId w:val="48"/>
        </w:numPr>
      </w:pPr>
      <w:r>
        <w:t>Restrictions placed on the Departmental audit program in terms of numbers of audits possible per site</w:t>
      </w:r>
      <w:r w:rsidR="00671DEC">
        <w:t>.</w:t>
      </w:r>
    </w:p>
    <w:p w:rsidR="00980F62" w:rsidRDefault="00147D5F" w:rsidP="00151877">
      <w:pPr>
        <w:pStyle w:val="ListParagraph"/>
        <w:numPr>
          <w:ilvl w:val="0"/>
          <w:numId w:val="48"/>
        </w:numPr>
      </w:pPr>
      <w:r>
        <w:t>The penalties for mis</w:t>
      </w:r>
      <w:r w:rsidR="00FD1C59">
        <w:t>-</w:t>
      </w:r>
      <w:r>
        <w:t>claiming have been inadequate and have not provided sufficient deterrent to halt claim maximisation behaviour</w:t>
      </w:r>
      <w:r w:rsidR="00671DEC">
        <w:t>.</w:t>
      </w:r>
    </w:p>
    <w:p w:rsidR="00980F62" w:rsidRDefault="00147D5F" w:rsidP="00151877">
      <w:pPr>
        <w:pStyle w:val="ListParagraph"/>
        <w:numPr>
          <w:ilvl w:val="0"/>
          <w:numId w:val="48"/>
        </w:numPr>
      </w:pPr>
      <w:r>
        <w:t>The absence of sophisticated predictive modelling and use of sector IT clinical systems has also been an issue for the Review Program. Most international models that allow a facility self-assessment for funding are underpinned by sophisticated analytical models and extensive site audit processes to constrain funding increases, as far as possible, to changes in resident dependency.</w:t>
      </w:r>
    </w:p>
    <w:p w:rsidR="00147D5F" w:rsidRDefault="00147D5F" w:rsidP="00147D5F">
      <w:r>
        <w:t>International systems show that significant resources must be applied to maintain funding levels to reasonable growth if the providers conduct the assessment for funding.</w:t>
      </w:r>
      <w:r w:rsidR="007A576E">
        <w:t xml:space="preserve"> </w:t>
      </w:r>
      <w:r>
        <w:t xml:space="preserve">This is not a specific aged care problem as it also applies more generally to other areas such as hospital funding models using </w:t>
      </w:r>
      <w:r w:rsidR="00671DEC">
        <w:t>c</w:t>
      </w:r>
      <w:r>
        <w:t>ase mix approaches.</w:t>
      </w:r>
    </w:p>
    <w:p w:rsidR="00147D5F" w:rsidRDefault="00147D5F" w:rsidP="00147D5F">
      <w:pPr>
        <w:rPr>
          <w:lang w:eastAsia="en-AU"/>
        </w:rPr>
        <w:sectPr w:rsidR="00147D5F" w:rsidSect="00A51750">
          <w:headerReference w:type="default" r:id="rId117"/>
          <w:footerReference w:type="default" r:id="rId118"/>
          <w:pgSz w:w="11906" w:h="16838"/>
          <w:pgMar w:top="1440" w:right="1440" w:bottom="1440" w:left="1440" w:header="706" w:footer="706" w:gutter="0"/>
          <w:cols w:space="708"/>
          <w:docGrid w:linePitch="360"/>
        </w:sectPr>
      </w:pPr>
      <w:r>
        <w:rPr>
          <w:lang w:eastAsia="en-AU"/>
        </w:rPr>
        <w:t xml:space="preserve">The next chapter discusses options for an external assessment system for funding in Australia. </w:t>
      </w:r>
    </w:p>
    <w:p w:rsidR="00147D5F" w:rsidRDefault="00147D5F" w:rsidP="00147D5F">
      <w:pPr>
        <w:spacing w:after="200"/>
      </w:pPr>
      <w:r>
        <w:br w:type="page"/>
      </w:r>
    </w:p>
    <w:p w:rsidR="00BA236A" w:rsidRPr="00C01041" w:rsidRDefault="00BA236A" w:rsidP="00F849D4">
      <w:pPr>
        <w:pStyle w:val="Heading1-Chapters"/>
      </w:pPr>
      <w:bookmarkStart w:id="704" w:name="_Toc486280154"/>
      <w:bookmarkStart w:id="705" w:name="_Toc491426076"/>
      <w:bookmarkStart w:id="706" w:name="Ch11"/>
      <w:r w:rsidRPr="00C01041">
        <w:lastRenderedPageBreak/>
        <w:t>Options for Future Consideration</w:t>
      </w:r>
      <w:bookmarkEnd w:id="704"/>
      <w:bookmarkEnd w:id="705"/>
      <w:bookmarkEnd w:id="706"/>
    </w:p>
    <w:p w:rsidR="00147D5F" w:rsidRPr="00C94E27" w:rsidRDefault="00147D5F" w:rsidP="001329BD">
      <w:pPr>
        <w:pStyle w:val="Heading2-Chapter11"/>
      </w:pPr>
      <w:bookmarkStart w:id="707" w:name="_Toc486280155"/>
      <w:bookmarkStart w:id="708" w:name="_Toc489386726"/>
      <w:bookmarkStart w:id="709" w:name="_Toc491426077"/>
      <w:bookmarkStart w:id="710" w:name="_Toc486280161"/>
      <w:r w:rsidRPr="00BD14E8">
        <w:t>Introduction</w:t>
      </w:r>
      <w:bookmarkEnd w:id="707"/>
      <w:bookmarkEnd w:id="708"/>
      <w:bookmarkEnd w:id="709"/>
    </w:p>
    <w:p w:rsidR="00980F62" w:rsidRDefault="00147D5F" w:rsidP="00147D5F">
      <w:r>
        <w:t>While the current ACFI Review program has run effectively for the most part, the key issues moving forward are its scalability as the industry grows and its ability to maintain funding growth in the years ahead, even with an improved, ‘less open to gaming’ assessment tool.</w:t>
      </w:r>
    </w:p>
    <w:p w:rsidR="00980F62" w:rsidRDefault="00147D5F" w:rsidP="00147D5F">
      <w:pPr>
        <w:spacing w:after="160"/>
      </w:pPr>
      <w:r>
        <w:t xml:space="preserve">The current method of ensuring funding claims are accurate via Departmental audits is limited in scope, and funding growth due to </w:t>
      </w:r>
      <w:r w:rsidR="00933563">
        <w:t>optimisation</w:t>
      </w:r>
      <w:r>
        <w:t xml:space="preserve"> has proven difficult to contain. Funding growth beyond that articulated in the Department’s forward estimates means that regular action to cut the overall expenditure is a recurrent feature of the aged care environment. Also, providers, while benefiting from funding growth spurts, are consequently subject to government funding reductions that they believe are unfair, unpredictable and affecting business confidence and ultimately investment.</w:t>
      </w:r>
    </w:p>
    <w:p w:rsidR="00147D5F" w:rsidRPr="008C76D5" w:rsidRDefault="00147D5F" w:rsidP="001329BD">
      <w:pPr>
        <w:pStyle w:val="Heading2-Chapter11"/>
      </w:pPr>
      <w:bookmarkStart w:id="711" w:name="_Toc486280156"/>
      <w:bookmarkStart w:id="712" w:name="_Toc489386727"/>
      <w:bookmarkStart w:id="713" w:name="_Toc491426078"/>
      <w:r w:rsidRPr="008C76D5">
        <w:t xml:space="preserve">Suite of review/audit </w:t>
      </w:r>
      <w:bookmarkEnd w:id="711"/>
      <w:r>
        <w:t>activities</w:t>
      </w:r>
      <w:bookmarkEnd w:id="712"/>
      <w:bookmarkEnd w:id="713"/>
    </w:p>
    <w:p w:rsidR="00980F62" w:rsidRDefault="00147D5F" w:rsidP="00147D5F">
      <w:r w:rsidRPr="008C76D5">
        <w:t xml:space="preserve">A suite of recommended review/audit </w:t>
      </w:r>
      <w:r>
        <w:t>activities</w:t>
      </w:r>
      <w:r w:rsidRPr="008C76D5">
        <w:t xml:space="preserve"> will be discussed in the options presented in </w:t>
      </w:r>
      <w:r>
        <w:t xml:space="preserve">section 11.2 of </w:t>
      </w:r>
      <w:r w:rsidRPr="008C76D5">
        <w:t>this chapter</w:t>
      </w:r>
      <w:r>
        <w:t>. The following provides</w:t>
      </w:r>
      <w:r w:rsidRPr="008C76D5">
        <w:t xml:space="preserve"> a detailed description of the </w:t>
      </w:r>
      <w:r>
        <w:t>recommended activities</w:t>
      </w:r>
      <w:r w:rsidRPr="008C76D5">
        <w:t xml:space="preserve"> for reference purposes. The use of data analytics and, in future, e-audits will limit the number of site visits needed and allow the program to maintain flexibility and be scalable as the number of aged care beds continues to grow</w:t>
      </w:r>
      <w:r>
        <w:t xml:space="preserve"> over the next 10-15 years</w:t>
      </w:r>
      <w:r w:rsidRPr="008C76D5">
        <w:t>.</w:t>
      </w:r>
    </w:p>
    <w:p w:rsidR="00147D5F" w:rsidRPr="00DB3628" w:rsidRDefault="00147D5F" w:rsidP="003D158C">
      <w:pPr>
        <w:pStyle w:val="Heading3-Chapter112"/>
      </w:pPr>
      <w:r w:rsidRPr="00DB3628">
        <w:t>Data analytics</w:t>
      </w:r>
    </w:p>
    <w:p w:rsidR="00147D5F" w:rsidRDefault="00147D5F" w:rsidP="00147D5F">
      <w:pPr>
        <w:rPr>
          <w:szCs w:val="24"/>
        </w:rPr>
      </w:pPr>
      <w:r w:rsidRPr="008C76D5">
        <w:rPr>
          <w:szCs w:val="24"/>
        </w:rPr>
        <w:t>This process involves</w:t>
      </w:r>
      <w:r>
        <w:rPr>
          <w:szCs w:val="24"/>
        </w:rPr>
        <w:t xml:space="preserve"> comparisons between pre and post entry data and </w:t>
      </w:r>
      <w:r w:rsidRPr="008C76D5">
        <w:rPr>
          <w:szCs w:val="24"/>
        </w:rPr>
        <w:t>R-ACFI data analysis to identify inconsistent profiles and item patterns</w:t>
      </w:r>
      <w:r>
        <w:rPr>
          <w:szCs w:val="24"/>
        </w:rPr>
        <w:t xml:space="preserve"> within facilities and across provider services.</w:t>
      </w:r>
      <w:r w:rsidR="007A576E">
        <w:rPr>
          <w:szCs w:val="24"/>
        </w:rPr>
        <w:t xml:space="preserve"> </w:t>
      </w:r>
      <w:r>
        <w:rPr>
          <w:szCs w:val="24"/>
        </w:rPr>
        <w:t>It will involve:</w:t>
      </w:r>
    </w:p>
    <w:p w:rsidR="00147D5F" w:rsidRPr="00AB3944" w:rsidRDefault="00147D5F" w:rsidP="00151877">
      <w:pPr>
        <w:pStyle w:val="ListParagraph"/>
        <w:numPr>
          <w:ilvl w:val="0"/>
          <w:numId w:val="63"/>
        </w:numPr>
        <w:rPr>
          <w:szCs w:val="24"/>
        </w:rPr>
      </w:pPr>
      <w:r w:rsidRPr="008C76D5">
        <w:rPr>
          <w:szCs w:val="24"/>
        </w:rPr>
        <w:t xml:space="preserve">Comparison of pre-admission information from the NSAF, </w:t>
      </w:r>
      <w:r>
        <w:rPr>
          <w:szCs w:val="24"/>
        </w:rPr>
        <w:t xml:space="preserve">other sources such as medical records (e.g. </w:t>
      </w:r>
      <w:r w:rsidRPr="008C76D5">
        <w:rPr>
          <w:szCs w:val="24"/>
        </w:rPr>
        <w:t xml:space="preserve">the Comprehensive Medical </w:t>
      </w:r>
      <w:r>
        <w:rPr>
          <w:szCs w:val="24"/>
        </w:rPr>
        <w:t>Assessment</w:t>
      </w:r>
      <w:r w:rsidRPr="008C76D5">
        <w:rPr>
          <w:szCs w:val="24"/>
        </w:rPr>
        <w:t xml:space="preserve"> (CMA)</w:t>
      </w:r>
      <w:r w:rsidRPr="00AB3944">
        <w:rPr>
          <w:szCs w:val="24"/>
        </w:rPr>
        <w:t>) and R-ACFI if completed externally by the ACAT and comparison with the provider’s R-ACFI</w:t>
      </w:r>
      <w:r w:rsidR="00D9376A">
        <w:rPr>
          <w:szCs w:val="24"/>
        </w:rPr>
        <w:t>.</w:t>
      </w:r>
    </w:p>
    <w:p w:rsidR="00147D5F" w:rsidRPr="00AC7753" w:rsidRDefault="00147D5F" w:rsidP="00151877">
      <w:pPr>
        <w:pStyle w:val="ListParagraph"/>
        <w:numPr>
          <w:ilvl w:val="0"/>
          <w:numId w:val="63"/>
        </w:numPr>
        <w:rPr>
          <w:szCs w:val="24"/>
        </w:rPr>
      </w:pPr>
      <w:r w:rsidRPr="00AC7753">
        <w:rPr>
          <w:szCs w:val="24"/>
        </w:rPr>
        <w:t>R-ACFI data analysis to identify inconsistent profiles and item patterns</w:t>
      </w:r>
      <w:r w:rsidR="00D9376A">
        <w:rPr>
          <w:szCs w:val="24"/>
        </w:rPr>
        <w:t>.</w:t>
      </w:r>
    </w:p>
    <w:p w:rsidR="00147D5F" w:rsidRPr="00DB3628" w:rsidRDefault="00147D5F" w:rsidP="00C16758">
      <w:pPr>
        <w:pStyle w:val="Heading3-Chapter112"/>
      </w:pPr>
      <w:r>
        <w:t>Future r</w:t>
      </w:r>
      <w:r w:rsidRPr="00DB3628">
        <w:t>emote electronic audits - e-audits.</w:t>
      </w:r>
    </w:p>
    <w:p w:rsidR="00147D5F" w:rsidRPr="00AC7753" w:rsidRDefault="00147D5F" w:rsidP="00147D5F">
      <w:pPr>
        <w:rPr>
          <w:szCs w:val="24"/>
        </w:rPr>
      </w:pPr>
      <w:r>
        <w:rPr>
          <w:szCs w:val="24"/>
        </w:rPr>
        <w:t>C</w:t>
      </w:r>
      <w:r w:rsidRPr="00AC7753">
        <w:rPr>
          <w:szCs w:val="24"/>
        </w:rPr>
        <w:t xml:space="preserve">omprehensive electronic reviews of the resident’s clinical documentation </w:t>
      </w:r>
      <w:r>
        <w:rPr>
          <w:szCs w:val="24"/>
        </w:rPr>
        <w:t>should be considered for introduction in the next 5 years.</w:t>
      </w:r>
      <w:r w:rsidR="007A576E">
        <w:rPr>
          <w:szCs w:val="24"/>
        </w:rPr>
        <w:t xml:space="preserve"> </w:t>
      </w:r>
      <w:r>
        <w:rPr>
          <w:szCs w:val="24"/>
        </w:rPr>
        <w:t>These would include</w:t>
      </w:r>
      <w:r w:rsidRPr="00AC7753">
        <w:rPr>
          <w:szCs w:val="24"/>
        </w:rPr>
        <w:t>:</w:t>
      </w:r>
    </w:p>
    <w:p w:rsidR="00147D5F" w:rsidRDefault="00147D5F" w:rsidP="00151877">
      <w:pPr>
        <w:pStyle w:val="ListParagraph"/>
        <w:numPr>
          <w:ilvl w:val="0"/>
          <w:numId w:val="63"/>
        </w:numPr>
      </w:pPr>
      <w:r w:rsidRPr="008C76D5">
        <w:rPr>
          <w:rFonts w:eastAsia="Times New Roman" w:cs="Tahoma"/>
          <w:szCs w:val="24"/>
          <w:lang w:eastAsia="en-AU"/>
        </w:rPr>
        <w:t xml:space="preserve">Remote access to provider electronic clinical software system ‘partitioned sections’ to enable an e-Review. An e-Review will involve </w:t>
      </w:r>
      <w:r w:rsidRPr="008C76D5">
        <w:rPr>
          <w:szCs w:val="24"/>
        </w:rPr>
        <w:t xml:space="preserve">a detailed audit of the R-ACFI, including reviewing the nursing assessments, care plans, progress notes, GP notes and Allied Health notes to validate the provider </w:t>
      </w:r>
      <w:r w:rsidRPr="008C76D5">
        <w:t>claim</w:t>
      </w:r>
      <w:r w:rsidR="00D9376A">
        <w:t>.</w:t>
      </w:r>
    </w:p>
    <w:p w:rsidR="00147D5F" w:rsidRPr="008C76D5" w:rsidRDefault="00147D5F" w:rsidP="00151877">
      <w:pPr>
        <w:pStyle w:val="ListParagraph"/>
        <w:numPr>
          <w:ilvl w:val="0"/>
          <w:numId w:val="63"/>
        </w:numPr>
      </w:pPr>
      <w:r w:rsidRPr="008C76D5">
        <w:t>The Department Electronic Reviews may involve facilities providing additional information on request to support the claim</w:t>
      </w:r>
      <w:r w:rsidR="00D9376A">
        <w:t>.</w:t>
      </w:r>
    </w:p>
    <w:p w:rsidR="00147D5F" w:rsidRPr="008C76D5" w:rsidRDefault="00147D5F" w:rsidP="00151877">
      <w:pPr>
        <w:pStyle w:val="ListParagraph"/>
        <w:numPr>
          <w:ilvl w:val="0"/>
          <w:numId w:val="49"/>
        </w:numPr>
        <w:rPr>
          <w:color w:val="000000" w:themeColor="text1"/>
        </w:rPr>
      </w:pPr>
      <w:r w:rsidRPr="008C76D5">
        <w:rPr>
          <w:color w:val="000000" w:themeColor="text1"/>
        </w:rPr>
        <w:lastRenderedPageBreak/>
        <w:t xml:space="preserve">The </w:t>
      </w:r>
      <w:r w:rsidRPr="003A55D6">
        <w:rPr>
          <w:color w:val="000000" w:themeColor="text1"/>
        </w:rPr>
        <w:t>Department</w:t>
      </w:r>
      <w:r w:rsidRPr="008C76D5">
        <w:rPr>
          <w:color w:val="000000" w:themeColor="text1"/>
        </w:rPr>
        <w:t xml:space="preserve"> </w:t>
      </w:r>
      <w:r w:rsidRPr="003A55D6">
        <w:rPr>
          <w:color w:val="000000" w:themeColor="text1"/>
        </w:rPr>
        <w:t xml:space="preserve">comprehensive electronic reviews </w:t>
      </w:r>
      <w:r w:rsidRPr="008C76D5">
        <w:rPr>
          <w:color w:val="000000" w:themeColor="text1"/>
        </w:rPr>
        <w:t>may trigger a targeted on-site visit review program</w:t>
      </w:r>
      <w:r w:rsidR="00D9376A">
        <w:rPr>
          <w:color w:val="000000" w:themeColor="text1"/>
        </w:rPr>
        <w:t>.</w:t>
      </w:r>
    </w:p>
    <w:p w:rsidR="00147D5F" w:rsidRPr="008C76D5" w:rsidRDefault="00147D5F" w:rsidP="00147D5F">
      <w:r>
        <w:t xml:space="preserve">An electronic </w:t>
      </w:r>
      <w:r w:rsidRPr="008C76D5">
        <w:t>review option is not yet available but is a recommended development in several (</w:t>
      </w:r>
      <w:r>
        <w:t xml:space="preserve">possibly </w:t>
      </w:r>
      <w:r w:rsidRPr="008C76D5">
        <w:t>all</w:t>
      </w:r>
      <w:r>
        <w:t>)</w:t>
      </w:r>
      <w:r w:rsidRPr="008C76D5">
        <w:t xml:space="preserve"> of the options listed</w:t>
      </w:r>
      <w:r>
        <w:t>.</w:t>
      </w:r>
    </w:p>
    <w:p w:rsidR="00980F62" w:rsidRDefault="00147D5F" w:rsidP="00C16758">
      <w:pPr>
        <w:pStyle w:val="Heading3-Chapter112"/>
      </w:pPr>
      <w:r w:rsidRPr="00DB3628">
        <w:t>Site visits to review claims</w:t>
      </w:r>
    </w:p>
    <w:p w:rsidR="00147D5F" w:rsidRPr="008C76D5" w:rsidRDefault="00147D5F" w:rsidP="00151877">
      <w:pPr>
        <w:pStyle w:val="ListParagraph"/>
        <w:numPr>
          <w:ilvl w:val="0"/>
          <w:numId w:val="49"/>
        </w:numPr>
        <w:rPr>
          <w:color w:val="000000" w:themeColor="text1"/>
        </w:rPr>
      </w:pPr>
      <w:r w:rsidRPr="008C76D5">
        <w:t>Case by case audits - on-site R-ACFI reviews</w:t>
      </w:r>
      <w:r>
        <w:t>:</w:t>
      </w:r>
    </w:p>
    <w:p w:rsidR="00147D5F" w:rsidRPr="008C76D5" w:rsidRDefault="00147D5F" w:rsidP="00151877">
      <w:pPr>
        <w:pStyle w:val="ListParagraph"/>
        <w:numPr>
          <w:ilvl w:val="1"/>
          <w:numId w:val="49"/>
        </w:numPr>
        <w:ind w:left="720"/>
        <w:rPr>
          <w:color w:val="000000" w:themeColor="text1"/>
        </w:rPr>
      </w:pPr>
      <w:r w:rsidRPr="008C76D5">
        <w:t>These reviews will cover individual submissions as is currently the case. However, there will be new guidelines developed for in-provider reviews (</w:t>
      </w:r>
      <w:r w:rsidRPr="008C76D5">
        <w:rPr>
          <w:lang w:eastAsia="en-AU"/>
        </w:rPr>
        <w:t>assessed care need versus care provided and relevance to a review decision</w:t>
      </w:r>
      <w:r w:rsidRPr="008C76D5">
        <w:t xml:space="preserve">) to clarify the RO’s R-ACFI review protocols and the compliance aspect of their role. RO’s will focus on resident assessed care needs and assessment </w:t>
      </w:r>
      <w:r w:rsidRPr="008C76D5">
        <w:rPr>
          <w:color w:val="000000" w:themeColor="text1"/>
        </w:rPr>
        <w:t xml:space="preserve">accuracy but will not complete the resident assessments, unlike </w:t>
      </w:r>
      <w:r>
        <w:rPr>
          <w:color w:val="000000" w:themeColor="text1"/>
        </w:rPr>
        <w:t>Options 2 and 3 discussed later.</w:t>
      </w:r>
    </w:p>
    <w:p w:rsidR="00147D5F" w:rsidRPr="008C76D5" w:rsidRDefault="00147D5F" w:rsidP="00151877">
      <w:pPr>
        <w:pStyle w:val="ListParagraph"/>
        <w:numPr>
          <w:ilvl w:val="0"/>
          <w:numId w:val="49"/>
        </w:numPr>
        <w:rPr>
          <w:color w:val="000000" w:themeColor="text1"/>
        </w:rPr>
      </w:pPr>
      <w:r w:rsidRPr="008C76D5">
        <w:rPr>
          <w:color w:val="000000" w:themeColor="text1"/>
        </w:rPr>
        <w:t>A visit program may include:</w:t>
      </w:r>
    </w:p>
    <w:p w:rsidR="00147D5F" w:rsidRPr="008C76D5" w:rsidRDefault="00147D5F" w:rsidP="00151877">
      <w:pPr>
        <w:pStyle w:val="ListParagraph"/>
        <w:numPr>
          <w:ilvl w:val="1"/>
          <w:numId w:val="49"/>
        </w:numPr>
        <w:ind w:left="709" w:hanging="283"/>
        <w:rPr>
          <w:color w:val="000000" w:themeColor="text1"/>
        </w:rPr>
      </w:pPr>
      <w:r w:rsidRPr="008C76D5">
        <w:rPr>
          <w:color w:val="000000" w:themeColor="text1"/>
        </w:rPr>
        <w:t>a review of residents’ records (file notes, assessments, care plans etc.)</w:t>
      </w:r>
      <w:r w:rsidR="00D9376A">
        <w:rPr>
          <w:color w:val="000000" w:themeColor="text1"/>
        </w:rPr>
        <w:t>.</w:t>
      </w:r>
    </w:p>
    <w:p w:rsidR="00147D5F" w:rsidRPr="008C76D5" w:rsidRDefault="00147D5F" w:rsidP="00151877">
      <w:pPr>
        <w:pStyle w:val="ListParagraph"/>
        <w:numPr>
          <w:ilvl w:val="1"/>
          <w:numId w:val="49"/>
        </w:numPr>
        <w:ind w:left="709" w:hanging="283"/>
        <w:rPr>
          <w:color w:val="000000" w:themeColor="text1"/>
        </w:rPr>
      </w:pPr>
      <w:r w:rsidRPr="008C76D5">
        <w:rPr>
          <w:color w:val="000000" w:themeColor="text1"/>
        </w:rPr>
        <w:t>observations of residents</w:t>
      </w:r>
      <w:r w:rsidR="00D9376A">
        <w:rPr>
          <w:color w:val="000000" w:themeColor="text1"/>
        </w:rPr>
        <w:t>.</w:t>
      </w:r>
    </w:p>
    <w:p w:rsidR="00980F62" w:rsidRDefault="00147D5F" w:rsidP="00151877">
      <w:pPr>
        <w:pStyle w:val="ListParagraph"/>
        <w:numPr>
          <w:ilvl w:val="1"/>
          <w:numId w:val="49"/>
        </w:numPr>
        <w:ind w:left="709" w:hanging="283"/>
        <w:rPr>
          <w:color w:val="000000" w:themeColor="text1"/>
        </w:rPr>
      </w:pPr>
      <w:r w:rsidRPr="008C76D5">
        <w:rPr>
          <w:color w:val="000000" w:themeColor="text1"/>
        </w:rPr>
        <w:t xml:space="preserve">interviews with residents, staff, </w:t>
      </w:r>
      <w:r w:rsidRPr="008C76D5">
        <w:t>AHPs, GPs</w:t>
      </w:r>
      <w:r w:rsidRPr="008C76D5">
        <w:rPr>
          <w:color w:val="000000" w:themeColor="text1"/>
        </w:rPr>
        <w:t xml:space="preserve"> and families.</w:t>
      </w:r>
    </w:p>
    <w:p w:rsidR="00147D5F" w:rsidRPr="008C76D5" w:rsidRDefault="00147D5F" w:rsidP="00147D5F">
      <w:pPr>
        <w:pStyle w:val="ListParagraph"/>
        <w:ind w:left="0"/>
      </w:pPr>
      <w:r w:rsidRPr="008C76D5">
        <w:t>These data sources can be used to inform on the accuracy of the assessed need.</w:t>
      </w:r>
      <w:r>
        <w:t xml:space="preserve"> </w:t>
      </w:r>
      <w:r w:rsidRPr="008C76D5">
        <w:t>Incongruences noted during direct observation of the resident should be used as a flag for further investigations to check the accu</w:t>
      </w:r>
      <w:r w:rsidR="00590A57">
        <w:t>racy of the assessed care need.</w:t>
      </w:r>
    </w:p>
    <w:p w:rsidR="00980F62" w:rsidRDefault="00147D5F" w:rsidP="00C16758">
      <w:pPr>
        <w:pStyle w:val="Heading3-Chapter112"/>
      </w:pPr>
      <w:r w:rsidRPr="00DB3628">
        <w:t>Special Audits</w:t>
      </w:r>
    </w:p>
    <w:p w:rsidR="00147D5F" w:rsidRPr="008C76D5" w:rsidRDefault="00147D5F" w:rsidP="00151877">
      <w:pPr>
        <w:pStyle w:val="ListParagraph"/>
        <w:numPr>
          <w:ilvl w:val="0"/>
          <w:numId w:val="49"/>
        </w:numPr>
        <w:rPr>
          <w:sz w:val="22"/>
        </w:rPr>
      </w:pPr>
      <w:r w:rsidRPr="008C76D5">
        <w:t xml:space="preserve">This proposed new category of special audits will be introduced to broaden </w:t>
      </w:r>
      <w:r>
        <w:t>Department</w:t>
      </w:r>
      <w:r w:rsidRPr="008C76D5">
        <w:t xml:space="preserve"> Reviews beyond single or multiple R-ACFI submissions. The Department may conduct ‘special audits’ if circumstances exist that could alter or affect the validity of R-ACFI classifications for a cohort of residents. These circumstances will include, but are not limited to:</w:t>
      </w:r>
    </w:p>
    <w:p w:rsidR="00147D5F" w:rsidRPr="008C76D5" w:rsidRDefault="00147D5F" w:rsidP="00151877">
      <w:pPr>
        <w:pStyle w:val="ListParagraph"/>
        <w:numPr>
          <w:ilvl w:val="1"/>
          <w:numId w:val="49"/>
        </w:numPr>
        <w:ind w:left="709" w:hanging="283"/>
        <w:rPr>
          <w:color w:val="000000" w:themeColor="text1"/>
        </w:rPr>
      </w:pPr>
      <w:r w:rsidRPr="008C76D5">
        <w:rPr>
          <w:color w:val="000000" w:themeColor="text1"/>
        </w:rPr>
        <w:t>frequent changes in the administration or management of the provider</w:t>
      </w:r>
      <w:r w:rsidR="00D9376A">
        <w:rPr>
          <w:color w:val="000000" w:themeColor="text1"/>
        </w:rPr>
        <w:t>.</w:t>
      </w:r>
    </w:p>
    <w:p w:rsidR="00147D5F" w:rsidRPr="008C76D5" w:rsidRDefault="00147D5F" w:rsidP="00151877">
      <w:pPr>
        <w:pStyle w:val="ListParagraph"/>
        <w:numPr>
          <w:ilvl w:val="1"/>
          <w:numId w:val="49"/>
        </w:numPr>
        <w:ind w:left="709" w:hanging="283"/>
        <w:rPr>
          <w:color w:val="000000" w:themeColor="text1"/>
        </w:rPr>
      </w:pPr>
      <w:r w:rsidRPr="008C76D5">
        <w:rPr>
          <w:color w:val="000000" w:themeColor="text1"/>
        </w:rPr>
        <w:t>an unusually high percentage of residents in high R-ACFI classifications</w:t>
      </w:r>
      <w:r>
        <w:rPr>
          <w:color w:val="000000" w:themeColor="text1"/>
        </w:rPr>
        <w:t xml:space="preserve"> and,</w:t>
      </w:r>
      <w:r w:rsidRPr="008C76D5">
        <w:rPr>
          <w:color w:val="000000" w:themeColor="text1"/>
        </w:rPr>
        <w:t xml:space="preserve"> in particular</w:t>
      </w:r>
      <w:r>
        <w:rPr>
          <w:color w:val="000000" w:themeColor="text1"/>
        </w:rPr>
        <w:t>,</w:t>
      </w:r>
      <w:r w:rsidRPr="008C76D5">
        <w:rPr>
          <w:color w:val="000000" w:themeColor="text1"/>
        </w:rPr>
        <w:t xml:space="preserve"> a</w:t>
      </w:r>
      <w:r>
        <w:rPr>
          <w:color w:val="000000" w:themeColor="text1"/>
        </w:rPr>
        <w:t xml:space="preserve"> significant change in the long-</w:t>
      </w:r>
      <w:r w:rsidRPr="008C76D5">
        <w:rPr>
          <w:color w:val="000000" w:themeColor="text1"/>
        </w:rPr>
        <w:t>term average funding</w:t>
      </w:r>
      <w:r w:rsidR="00D9376A">
        <w:rPr>
          <w:color w:val="000000" w:themeColor="text1"/>
        </w:rPr>
        <w:t>.</w:t>
      </w:r>
    </w:p>
    <w:p w:rsidR="00147D5F" w:rsidRPr="008C76D5" w:rsidRDefault="00147D5F" w:rsidP="00151877">
      <w:pPr>
        <w:pStyle w:val="ListParagraph"/>
        <w:numPr>
          <w:ilvl w:val="1"/>
          <w:numId w:val="49"/>
        </w:numPr>
        <w:ind w:left="709" w:hanging="283"/>
        <w:rPr>
          <w:color w:val="000000" w:themeColor="text1"/>
        </w:rPr>
      </w:pPr>
      <w:r w:rsidRPr="008C76D5">
        <w:rPr>
          <w:color w:val="000000" w:themeColor="text1"/>
        </w:rPr>
        <w:t>frequent adjustments of R-ACFI classifications as the result of reconsiderations or audits</w:t>
      </w:r>
      <w:r w:rsidR="00D9376A">
        <w:rPr>
          <w:color w:val="000000" w:themeColor="text1"/>
        </w:rPr>
        <w:t>.</w:t>
      </w:r>
    </w:p>
    <w:p w:rsidR="00147D5F" w:rsidRPr="008C76D5" w:rsidRDefault="00147D5F" w:rsidP="00151877">
      <w:pPr>
        <w:pStyle w:val="ListParagraph"/>
        <w:numPr>
          <w:ilvl w:val="1"/>
          <w:numId w:val="49"/>
        </w:numPr>
        <w:ind w:left="709" w:hanging="283"/>
        <w:rPr>
          <w:color w:val="000000" w:themeColor="text1"/>
        </w:rPr>
      </w:pPr>
      <w:r w:rsidRPr="008C76D5">
        <w:rPr>
          <w:color w:val="000000" w:themeColor="text1"/>
        </w:rPr>
        <w:t>other similar factors that relate to a provider's ability to conduct accurate assessments</w:t>
      </w:r>
      <w:r w:rsidR="00D9376A">
        <w:rPr>
          <w:color w:val="000000" w:themeColor="text1"/>
        </w:rPr>
        <w:t>.</w:t>
      </w:r>
    </w:p>
    <w:p w:rsidR="00147D5F" w:rsidRPr="008C76D5" w:rsidRDefault="00147D5F" w:rsidP="00151877">
      <w:pPr>
        <w:pStyle w:val="ListParagraph"/>
        <w:numPr>
          <w:ilvl w:val="1"/>
          <w:numId w:val="49"/>
        </w:numPr>
        <w:ind w:left="709" w:hanging="283"/>
        <w:rPr>
          <w:color w:val="000000" w:themeColor="text1"/>
        </w:rPr>
      </w:pPr>
      <w:r w:rsidRPr="008C76D5">
        <w:rPr>
          <w:color w:val="000000" w:themeColor="text1"/>
        </w:rPr>
        <w:t>an atypical pattern of scoring R-ACFI assessment items on a significant proportion of residents</w:t>
      </w:r>
      <w:r w:rsidR="00D9376A">
        <w:rPr>
          <w:color w:val="000000" w:themeColor="text1"/>
        </w:rPr>
        <w:t>.</w:t>
      </w:r>
    </w:p>
    <w:p w:rsidR="00147D5F" w:rsidRPr="008C76D5" w:rsidRDefault="00147D5F" w:rsidP="00151877">
      <w:pPr>
        <w:pStyle w:val="ListParagraph"/>
        <w:numPr>
          <w:ilvl w:val="1"/>
          <w:numId w:val="49"/>
        </w:numPr>
        <w:ind w:left="709" w:hanging="283"/>
        <w:rPr>
          <w:color w:val="000000" w:themeColor="text1"/>
        </w:rPr>
      </w:pPr>
      <w:r w:rsidRPr="008C76D5">
        <w:rPr>
          <w:color w:val="000000" w:themeColor="text1"/>
        </w:rPr>
        <w:t>a previous history of Department audit changes in a</w:t>
      </w:r>
      <w:r>
        <w:rPr>
          <w:color w:val="000000" w:themeColor="text1"/>
        </w:rPr>
        <w:t xml:space="preserve"> </w:t>
      </w:r>
      <w:r w:rsidRPr="008C76D5">
        <w:rPr>
          <w:color w:val="000000" w:themeColor="text1"/>
        </w:rPr>
        <w:t>12</w:t>
      </w:r>
      <w:r>
        <w:rPr>
          <w:color w:val="000000" w:themeColor="text1"/>
        </w:rPr>
        <w:t>-</w:t>
      </w:r>
      <w:r w:rsidRPr="008C76D5">
        <w:rPr>
          <w:color w:val="000000" w:themeColor="text1"/>
        </w:rPr>
        <w:t>month period.</w:t>
      </w:r>
    </w:p>
    <w:p w:rsidR="00147D5F" w:rsidRDefault="00147D5F" w:rsidP="003D74A2">
      <w:bookmarkStart w:id="714" w:name="_Toc486280157"/>
      <w:r>
        <w:br w:type="page"/>
      </w:r>
    </w:p>
    <w:p w:rsidR="00147D5F" w:rsidRDefault="00147D5F" w:rsidP="001329BD">
      <w:pPr>
        <w:pStyle w:val="Heading2-Chapter11"/>
      </w:pPr>
      <w:bookmarkStart w:id="715" w:name="_Toc489386728"/>
      <w:bookmarkStart w:id="716" w:name="_Toc491426079"/>
      <w:bookmarkEnd w:id="710"/>
      <w:bookmarkEnd w:id="714"/>
      <w:r w:rsidRPr="00BD14E8">
        <w:lastRenderedPageBreak/>
        <w:t>New Model Options</w:t>
      </w:r>
      <w:r>
        <w:t xml:space="preserve"> </w:t>
      </w:r>
      <w:r w:rsidRPr="00AC7422">
        <w:t xml:space="preserve">for </w:t>
      </w:r>
      <w:r>
        <w:t xml:space="preserve">Funding Determination </w:t>
      </w:r>
      <w:r w:rsidRPr="00AC7422">
        <w:t xml:space="preserve">and </w:t>
      </w:r>
      <w:r>
        <w:t>Accountability</w:t>
      </w:r>
      <w:bookmarkEnd w:id="715"/>
      <w:bookmarkEnd w:id="716"/>
    </w:p>
    <w:p w:rsidR="00147D5F" w:rsidRDefault="00147D5F" w:rsidP="00147D5F">
      <w:r>
        <w:t>The following options are proposed to address the current issues with funding determination and allow for scalability in the future.</w:t>
      </w:r>
      <w:r w:rsidR="007A576E">
        <w:t xml:space="preserve"> </w:t>
      </w:r>
      <w:r>
        <w:t>Each option:</w:t>
      </w:r>
    </w:p>
    <w:p w:rsidR="00147D5F" w:rsidRDefault="00147D5F" w:rsidP="00F02312">
      <w:pPr>
        <w:pStyle w:val="ListParagraph"/>
        <w:numPr>
          <w:ilvl w:val="0"/>
          <w:numId w:val="126"/>
        </w:numPr>
      </w:pPr>
      <w:r>
        <w:t>Takes into account current issues</w:t>
      </w:r>
    </w:p>
    <w:p w:rsidR="00147D5F" w:rsidRDefault="00147D5F" w:rsidP="00F02312">
      <w:pPr>
        <w:pStyle w:val="ListParagraph"/>
        <w:numPr>
          <w:ilvl w:val="0"/>
          <w:numId w:val="126"/>
        </w:numPr>
      </w:pPr>
      <w:r>
        <w:t>Allows for future scalability</w:t>
      </w:r>
    </w:p>
    <w:p w:rsidR="00147D5F" w:rsidRPr="00962698" w:rsidRDefault="00147D5F" w:rsidP="00147D5F">
      <w:r>
        <w:t>Each of the proposed options will require a commitment to additional investment in people, IT and aged care systems. Option 2 will, in time, deliver a single assessment process for community and residential aged care clients</w:t>
      </w:r>
    </w:p>
    <w:p w:rsidR="00147D5F" w:rsidRPr="00DB3628" w:rsidRDefault="00147D5F" w:rsidP="00C16758">
      <w:pPr>
        <w:pStyle w:val="Heading3-Chapter113"/>
      </w:pPr>
      <w:bookmarkStart w:id="717" w:name="_Toc489386729"/>
      <w:r w:rsidRPr="00DB3628">
        <w:t xml:space="preserve">Option 1: </w:t>
      </w:r>
      <w:r>
        <w:t xml:space="preserve">Enhanced Department </w:t>
      </w:r>
      <w:r w:rsidRPr="00DB3628">
        <w:t>Audit Model (post entry)</w:t>
      </w:r>
      <w:bookmarkEnd w:id="717"/>
    </w:p>
    <w:p w:rsidR="00147D5F" w:rsidRDefault="00147D5F" w:rsidP="00147D5F">
      <w:r w:rsidRPr="00A95813">
        <w:t>This model</w:t>
      </w:r>
      <w:r>
        <w:t xml:space="preserve">, described in </w:t>
      </w:r>
      <w:hyperlink w:anchor="Tab1101" w:history="1">
        <w:r w:rsidRPr="00932DED">
          <w:rPr>
            <w:rStyle w:val="Hyperlink"/>
          </w:rPr>
          <w:t>Table 11.1</w:t>
        </w:r>
      </w:hyperlink>
      <w:r w:rsidRPr="00A95813">
        <w:t xml:space="preserve"> is based on the current </w:t>
      </w:r>
      <w:r>
        <w:t>Department</w:t>
      </w:r>
      <w:r w:rsidRPr="00A95813">
        <w:t xml:space="preserve"> audit approach</w:t>
      </w:r>
      <w:r>
        <w:t xml:space="preserve"> and further develops the review program</w:t>
      </w:r>
      <w:r w:rsidRPr="00A95813">
        <w:t xml:space="preserve">. </w:t>
      </w:r>
      <w:r>
        <w:t>This option</w:t>
      </w:r>
      <w:r>
        <w:rPr>
          <w:b/>
        </w:rPr>
        <w:t xml:space="preserve"> </w:t>
      </w:r>
      <w:r>
        <w:t xml:space="preserve">is designed to improve the effectiveness of the Department ACFI Review Program outcomes via data analytics, e-audits (when available), and site visits to </w:t>
      </w:r>
      <w:r w:rsidRPr="007B0DCD">
        <w:t>review claims while also giving more funding certainty to providers by placing a limit (12 months) on the time that claims can be subject to an audit.</w:t>
      </w:r>
    </w:p>
    <w:p w:rsidR="00147D5F" w:rsidRDefault="00147D5F" w:rsidP="00147D5F">
      <w:r>
        <w:t>The fundamental requirement with Option 1 is the completion of the R-ACFI in the NSAF when the Aged Care Assessment Team (ACAT) recommends residential aged care, as one of the options for a person’s future care. This R-ACFI will also need to be updated before admission to a RACF if it is older than 3 months.</w:t>
      </w:r>
    </w:p>
    <w:p w:rsidR="00980F62" w:rsidRDefault="00147D5F" w:rsidP="00147D5F">
      <w:r>
        <w:t>In this option the aged care provider</w:t>
      </w:r>
      <w:r w:rsidRPr="00F20EFA">
        <w:t xml:space="preserve"> comple</w:t>
      </w:r>
      <w:r>
        <w:t>tes</w:t>
      </w:r>
      <w:r w:rsidRPr="00F20EFA">
        <w:t xml:space="preserve"> </w:t>
      </w:r>
      <w:r>
        <w:t>the care needs assessment (e.g. R-ACFI)</w:t>
      </w:r>
      <w:r w:rsidRPr="00F20EFA">
        <w:t xml:space="preserve"> </w:t>
      </w:r>
      <w:r>
        <w:t xml:space="preserve">as is currently the case with the ACFI but </w:t>
      </w:r>
      <w:r w:rsidRPr="00914501">
        <w:t xml:space="preserve">all </w:t>
      </w:r>
      <w:r>
        <w:t>R-</w:t>
      </w:r>
      <w:r w:rsidRPr="00914501">
        <w:t>ACFI submissions</w:t>
      </w:r>
      <w:r>
        <w:t xml:space="preserve"> are reviewed at a number of</w:t>
      </w:r>
      <w:r w:rsidR="007A576E">
        <w:t xml:space="preserve"> </w:t>
      </w:r>
      <w:r>
        <w:t>levels (data analytics, comparison of the ACAT R-ACFI to the provider R-ACFI, e-audits (in future), and site visits to review claims).</w:t>
      </w:r>
    </w:p>
    <w:p w:rsidR="00147D5F" w:rsidRDefault="00147D5F" w:rsidP="00147D5F">
      <w:r>
        <w:t>Under this model, the Department will be required to conclude any audit review of a provider funding submission within 12 months of whichever is the more recent of:</w:t>
      </w:r>
    </w:p>
    <w:p w:rsidR="00980F62" w:rsidRDefault="00147D5F" w:rsidP="00F02312">
      <w:pPr>
        <w:pStyle w:val="ListParagraph"/>
        <w:numPr>
          <w:ilvl w:val="3"/>
          <w:numId w:val="173"/>
        </w:numPr>
        <w:ind w:left="357" w:hanging="357"/>
      </w:pPr>
      <w:r>
        <w:t>the appraisal start date or</w:t>
      </w:r>
    </w:p>
    <w:p w:rsidR="00147D5F" w:rsidRDefault="00147D5F" w:rsidP="00F02312">
      <w:pPr>
        <w:pStyle w:val="ListParagraph"/>
        <w:numPr>
          <w:ilvl w:val="3"/>
          <w:numId w:val="173"/>
        </w:numPr>
        <w:ind w:left="357" w:hanging="357"/>
      </w:pPr>
      <w:r>
        <w:t>the accepted Medicare received date.</w:t>
      </w:r>
    </w:p>
    <w:p w:rsidR="00980F62" w:rsidRDefault="00147D5F" w:rsidP="00147D5F">
      <w:r>
        <w:t>If there is no review within 12 months of submission, the facility’s submitted Medicare accepted funding submission will not be subject to audit.</w:t>
      </w:r>
    </w:p>
    <w:p w:rsidR="00147D5F" w:rsidRDefault="00147D5F" w:rsidP="00147D5F">
      <w:pPr>
        <w:spacing w:after="200"/>
        <w:rPr>
          <w:rFonts w:ascii="Calibri" w:hAnsi="Calibri" w:cs="Times New Roman"/>
          <w:b/>
          <w:iCs/>
          <w:szCs w:val="18"/>
        </w:rPr>
      </w:pPr>
      <w:bookmarkStart w:id="718" w:name="_Toc486605072"/>
      <w:bookmarkStart w:id="719" w:name="_Toc486605234"/>
      <w:r>
        <w:br w:type="page"/>
      </w:r>
    </w:p>
    <w:p w:rsidR="00CC0633" w:rsidRDefault="00CC21FA" w:rsidP="00CC0633">
      <w:pPr>
        <w:pStyle w:val="Caption"/>
        <w:keepNext/>
      </w:pPr>
      <w:bookmarkStart w:id="720" w:name="_Toc495416861"/>
      <w:bookmarkStart w:id="721" w:name="Tab1101"/>
      <w:bookmarkEnd w:id="718"/>
      <w:bookmarkEnd w:id="719"/>
      <w:r>
        <w:lastRenderedPageBreak/>
        <w:t>Table 11.</w:t>
      </w:r>
      <w:r w:rsidR="009A3F5A">
        <w:fldChar w:fldCharType="begin"/>
      </w:r>
      <w:r w:rsidR="009A3F5A">
        <w:instrText xml:space="preserve"> SEQ Table_11. \* ARABIC </w:instrText>
      </w:r>
      <w:r w:rsidR="009A3F5A">
        <w:fldChar w:fldCharType="separate"/>
      </w:r>
      <w:r w:rsidR="00856E49">
        <w:rPr>
          <w:noProof/>
        </w:rPr>
        <w:t>1</w:t>
      </w:r>
      <w:r w:rsidR="009A3F5A">
        <w:rPr>
          <w:noProof/>
        </w:rPr>
        <w:fldChar w:fldCharType="end"/>
      </w:r>
      <w:r>
        <w:t xml:space="preserve">: </w:t>
      </w:r>
      <w:r w:rsidRPr="00CC21FA">
        <w:t>Option 1 Summary – Modified Current Audit Model</w:t>
      </w:r>
      <w:bookmarkEnd w:id="720"/>
    </w:p>
    <w:tbl>
      <w:tblPr>
        <w:tblStyle w:val="CV12"/>
        <w:tblW w:w="0" w:type="auto"/>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able 11.1 is a list of details of the aspects for Option 1 (modifying the current assessment and audit arrangements), as summarised in the text prior to this table. This table is to be read left to right, top to bottom, noting the aspects have been divided into four headings:&#10;1. General&#10;2. for new residents&#10;3. for re-appraisals&#10;4. other."/>
      </w:tblPr>
      <w:tblGrid>
        <w:gridCol w:w="3209"/>
        <w:gridCol w:w="5699"/>
      </w:tblGrid>
      <w:tr w:rsidR="00147D5F" w:rsidRPr="003837B9" w:rsidTr="007F2ED6">
        <w:trPr>
          <w:tblHeader/>
        </w:trPr>
        <w:tc>
          <w:tcPr>
            <w:tcW w:w="3235" w:type="dxa"/>
            <w:shd w:val="clear" w:color="auto" w:fill="5B9BD5" w:themeFill="accent5"/>
          </w:tcPr>
          <w:bookmarkEnd w:id="721"/>
          <w:p w:rsidR="00147D5F" w:rsidRPr="003837B9" w:rsidRDefault="00036C41" w:rsidP="00303832">
            <w:pPr>
              <w:spacing w:after="0"/>
              <w:jc w:val="left"/>
              <w:rPr>
                <w:rFonts w:eastAsia="Times New Roman" w:cstheme="minorHAnsi"/>
                <w:b/>
                <w:color w:val="FFFFFF" w:themeColor="background1"/>
                <w:sz w:val="20"/>
                <w:szCs w:val="20"/>
                <w:lang w:eastAsia="en-AU"/>
              </w:rPr>
            </w:pPr>
            <w:r>
              <w:rPr>
                <w:rFonts w:eastAsia="Times New Roman" w:cstheme="minorHAnsi"/>
                <w:b/>
                <w:color w:val="FFFFFF" w:themeColor="background1"/>
                <w:sz w:val="20"/>
                <w:szCs w:val="20"/>
                <w:lang w:eastAsia="en-AU"/>
              </w:rPr>
              <w:t xml:space="preserve">General </w:t>
            </w:r>
            <w:r w:rsidR="00147D5F" w:rsidRPr="003837B9">
              <w:rPr>
                <w:rFonts w:eastAsia="Times New Roman" w:cstheme="minorHAnsi"/>
                <w:b/>
                <w:color w:val="FFFFFF" w:themeColor="background1"/>
                <w:sz w:val="20"/>
                <w:szCs w:val="20"/>
                <w:lang w:eastAsia="en-AU"/>
              </w:rPr>
              <w:t>Aspect</w:t>
            </w:r>
            <w:r>
              <w:rPr>
                <w:rFonts w:eastAsia="Times New Roman" w:cstheme="minorHAnsi"/>
                <w:b/>
                <w:color w:val="FFFFFF" w:themeColor="background1"/>
                <w:sz w:val="20"/>
                <w:szCs w:val="20"/>
                <w:lang w:eastAsia="en-AU"/>
              </w:rPr>
              <w:t>s</w:t>
            </w:r>
          </w:p>
        </w:tc>
        <w:tc>
          <w:tcPr>
            <w:tcW w:w="5760" w:type="dxa"/>
            <w:shd w:val="clear" w:color="auto" w:fill="5B9BD5" w:themeFill="accent5"/>
          </w:tcPr>
          <w:p w:rsidR="00147D5F" w:rsidRPr="003837B9" w:rsidRDefault="00203FC2" w:rsidP="00203FC2">
            <w:pPr>
              <w:spacing w:after="0"/>
              <w:jc w:val="left"/>
              <w:rPr>
                <w:rFonts w:eastAsia="Times New Roman" w:cstheme="minorHAnsi"/>
                <w:b/>
                <w:color w:val="FFFFFF" w:themeColor="background1"/>
                <w:sz w:val="20"/>
                <w:szCs w:val="20"/>
                <w:lang w:eastAsia="en-AU"/>
              </w:rPr>
            </w:pPr>
            <w:r>
              <w:rPr>
                <w:rFonts w:eastAsia="Times New Roman" w:cstheme="minorHAnsi"/>
                <w:b/>
                <w:color w:val="FFFFFF" w:themeColor="background1"/>
                <w:sz w:val="20"/>
                <w:szCs w:val="20"/>
                <w:lang w:eastAsia="en-AU"/>
              </w:rPr>
              <w:t>Details</w:t>
            </w:r>
          </w:p>
        </w:tc>
      </w:tr>
      <w:tr w:rsidR="00147D5F" w:rsidRPr="00432696" w:rsidTr="007F2ED6">
        <w:tc>
          <w:tcPr>
            <w:tcW w:w="3235" w:type="dxa"/>
          </w:tcPr>
          <w:p w:rsidR="00147D5F" w:rsidRPr="00432696" w:rsidRDefault="00147D5F" w:rsidP="00303832">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Funding Model</w:t>
            </w:r>
          </w:p>
        </w:tc>
        <w:tc>
          <w:tcPr>
            <w:tcW w:w="5760" w:type="dxa"/>
          </w:tcPr>
          <w:p w:rsidR="00147D5F" w:rsidRPr="00432696" w:rsidRDefault="00147D5F" w:rsidP="00303832">
            <w:pPr>
              <w:spacing w:after="0"/>
              <w:jc w:val="left"/>
              <w:rPr>
                <w:rFonts w:eastAsia="Times New Roman" w:cstheme="minorHAnsi"/>
                <w:sz w:val="20"/>
                <w:szCs w:val="20"/>
                <w:lang w:eastAsia="en-AU"/>
              </w:rPr>
            </w:pPr>
            <w:r w:rsidRPr="00432696">
              <w:rPr>
                <w:rFonts w:eastAsia="Times New Roman" w:cstheme="minorHAnsi"/>
                <w:sz w:val="20"/>
                <w:szCs w:val="20"/>
                <w:lang w:eastAsia="en-AU"/>
              </w:rPr>
              <w:t xml:space="preserve">Provider self </w:t>
            </w:r>
            <w:r>
              <w:rPr>
                <w:rFonts w:eastAsia="Times New Roman" w:cstheme="minorHAnsi"/>
                <w:sz w:val="20"/>
                <w:szCs w:val="20"/>
                <w:lang w:eastAsia="en-AU"/>
              </w:rPr>
              <w:t>–</w:t>
            </w:r>
            <w:r w:rsidRPr="00432696">
              <w:rPr>
                <w:rFonts w:eastAsia="Times New Roman" w:cstheme="minorHAnsi"/>
                <w:sz w:val="20"/>
                <w:szCs w:val="20"/>
                <w:lang w:eastAsia="en-AU"/>
              </w:rPr>
              <w:t>assessment</w:t>
            </w:r>
          </w:p>
        </w:tc>
      </w:tr>
      <w:tr w:rsidR="00147D5F" w:rsidRPr="00432696" w:rsidTr="007F2ED6">
        <w:tc>
          <w:tcPr>
            <w:tcW w:w="3235" w:type="dxa"/>
          </w:tcPr>
          <w:p w:rsidR="00147D5F" w:rsidRPr="00432696" w:rsidRDefault="00147D5F" w:rsidP="00303832">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New Resident - $ assess</w:t>
            </w:r>
          </w:p>
        </w:tc>
        <w:tc>
          <w:tcPr>
            <w:tcW w:w="5760" w:type="dxa"/>
          </w:tcPr>
          <w:p w:rsidR="00147D5F" w:rsidRPr="00432696" w:rsidRDefault="00147D5F" w:rsidP="00303832">
            <w:pPr>
              <w:spacing w:after="0"/>
              <w:jc w:val="left"/>
              <w:rPr>
                <w:rFonts w:eastAsia="Times New Roman" w:cstheme="minorHAnsi"/>
                <w:sz w:val="20"/>
                <w:szCs w:val="20"/>
                <w:lang w:eastAsia="en-AU"/>
              </w:rPr>
            </w:pPr>
            <w:r w:rsidRPr="00432696">
              <w:rPr>
                <w:rFonts w:eastAsia="Times New Roman" w:cstheme="minorHAnsi"/>
                <w:sz w:val="20"/>
                <w:szCs w:val="20"/>
                <w:lang w:eastAsia="en-AU"/>
              </w:rPr>
              <w:t>Facility</w:t>
            </w:r>
          </w:p>
        </w:tc>
      </w:tr>
      <w:tr w:rsidR="00147D5F" w:rsidRPr="00432696" w:rsidTr="007F2ED6">
        <w:tc>
          <w:tcPr>
            <w:tcW w:w="3235" w:type="dxa"/>
          </w:tcPr>
          <w:p w:rsidR="00147D5F" w:rsidRPr="00432696" w:rsidRDefault="00147D5F" w:rsidP="00303832">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ACAT changes?</w:t>
            </w:r>
          </w:p>
        </w:tc>
        <w:tc>
          <w:tcPr>
            <w:tcW w:w="5760" w:type="dxa"/>
            <w:shd w:val="clear" w:color="auto" w:fill="auto"/>
          </w:tcPr>
          <w:p w:rsidR="00147D5F" w:rsidRPr="00432696" w:rsidRDefault="00147D5F" w:rsidP="00303832">
            <w:pPr>
              <w:spacing w:after="0"/>
              <w:jc w:val="left"/>
              <w:rPr>
                <w:rFonts w:eastAsia="Times New Roman" w:cstheme="minorHAnsi"/>
                <w:sz w:val="20"/>
                <w:szCs w:val="20"/>
                <w:lang w:eastAsia="en-AU"/>
              </w:rPr>
            </w:pPr>
            <w:r w:rsidRPr="00432696">
              <w:rPr>
                <w:rFonts w:eastAsia="Times New Roman" w:cstheme="minorHAnsi"/>
                <w:sz w:val="20"/>
                <w:szCs w:val="20"/>
                <w:lang w:eastAsia="en-AU"/>
              </w:rPr>
              <w:t xml:space="preserve">Yes: 3 months </w:t>
            </w:r>
            <w:r>
              <w:rPr>
                <w:rFonts w:eastAsia="Times New Roman" w:cstheme="minorHAnsi"/>
                <w:sz w:val="20"/>
                <w:szCs w:val="20"/>
                <w:lang w:eastAsia="en-AU"/>
              </w:rPr>
              <w:t xml:space="preserve">validity </w:t>
            </w:r>
            <w:r w:rsidRPr="00432696">
              <w:rPr>
                <w:rFonts w:eastAsia="Times New Roman" w:cstheme="minorHAnsi"/>
                <w:sz w:val="20"/>
                <w:szCs w:val="20"/>
                <w:lang w:eastAsia="en-AU"/>
              </w:rPr>
              <w:t>R-ACFI pre-entry, no $ role</w:t>
            </w:r>
          </w:p>
        </w:tc>
      </w:tr>
      <w:tr w:rsidR="00147D5F" w:rsidRPr="00432696" w:rsidTr="007F2ED6">
        <w:tc>
          <w:tcPr>
            <w:tcW w:w="3235" w:type="dxa"/>
            <w:shd w:val="clear" w:color="auto" w:fill="auto"/>
          </w:tcPr>
          <w:p w:rsidR="00147D5F" w:rsidRPr="00432696" w:rsidRDefault="00147D5F" w:rsidP="00303832">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R-ACFI Users</w:t>
            </w:r>
          </w:p>
        </w:tc>
        <w:tc>
          <w:tcPr>
            <w:tcW w:w="5760" w:type="dxa"/>
            <w:shd w:val="clear" w:color="auto" w:fill="auto"/>
          </w:tcPr>
          <w:p w:rsidR="00147D5F" w:rsidRPr="00432696" w:rsidRDefault="00147D5F" w:rsidP="00303832">
            <w:pPr>
              <w:spacing w:after="0"/>
              <w:jc w:val="left"/>
              <w:rPr>
                <w:rFonts w:eastAsia="Times New Roman" w:cstheme="minorHAnsi"/>
                <w:sz w:val="20"/>
                <w:szCs w:val="20"/>
                <w:lang w:eastAsia="en-AU"/>
              </w:rPr>
            </w:pPr>
            <w:r w:rsidRPr="00432696">
              <w:rPr>
                <w:rFonts w:eastAsia="Times New Roman" w:cstheme="minorHAnsi"/>
                <w:sz w:val="20"/>
                <w:szCs w:val="20"/>
                <w:lang w:eastAsia="en-AU"/>
              </w:rPr>
              <w:t>ACAT &amp; Provider</w:t>
            </w:r>
          </w:p>
        </w:tc>
      </w:tr>
      <w:tr w:rsidR="00147D5F" w:rsidRPr="00432696" w:rsidTr="007F2ED6">
        <w:tc>
          <w:tcPr>
            <w:tcW w:w="3235" w:type="dxa"/>
            <w:shd w:val="clear" w:color="auto" w:fill="auto"/>
          </w:tcPr>
          <w:p w:rsidR="00147D5F" w:rsidRPr="00432696" w:rsidRDefault="00147D5F" w:rsidP="00303832">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Review by</w:t>
            </w:r>
          </w:p>
        </w:tc>
        <w:tc>
          <w:tcPr>
            <w:tcW w:w="5760" w:type="dxa"/>
            <w:shd w:val="clear" w:color="auto" w:fill="auto"/>
          </w:tcPr>
          <w:p w:rsidR="00147D5F" w:rsidRPr="00432696" w:rsidRDefault="00147D5F" w:rsidP="00303832">
            <w:pPr>
              <w:spacing w:after="0"/>
              <w:jc w:val="left"/>
              <w:rPr>
                <w:rFonts w:eastAsia="Times New Roman" w:cstheme="minorHAnsi"/>
                <w:sz w:val="20"/>
                <w:szCs w:val="20"/>
                <w:lang w:eastAsia="en-AU"/>
              </w:rPr>
            </w:pPr>
            <w:r w:rsidRPr="00432696">
              <w:rPr>
                <w:rFonts w:eastAsia="Times New Roman" w:cstheme="minorHAnsi"/>
                <w:sz w:val="20"/>
                <w:szCs w:val="20"/>
                <w:lang w:eastAsia="en-AU"/>
              </w:rPr>
              <w:t>Review Officers (RO)</w:t>
            </w:r>
          </w:p>
        </w:tc>
      </w:tr>
      <w:tr w:rsidR="00203FC2" w:rsidRPr="003837B9" w:rsidTr="007F2ED6">
        <w:tc>
          <w:tcPr>
            <w:tcW w:w="3235" w:type="dxa"/>
            <w:shd w:val="clear" w:color="auto" w:fill="5B9BD5" w:themeFill="accent5"/>
          </w:tcPr>
          <w:p w:rsidR="00203FC2" w:rsidRPr="003837B9" w:rsidRDefault="00036C41" w:rsidP="00303832">
            <w:pPr>
              <w:spacing w:after="0"/>
              <w:jc w:val="left"/>
              <w:rPr>
                <w:rFonts w:eastAsia="Times New Roman" w:cstheme="minorHAnsi"/>
                <w:b/>
                <w:color w:val="FFFFFF" w:themeColor="background1"/>
                <w:sz w:val="20"/>
                <w:szCs w:val="20"/>
                <w:lang w:eastAsia="en-AU"/>
              </w:rPr>
            </w:pPr>
            <w:r>
              <w:rPr>
                <w:rFonts w:eastAsia="Times New Roman" w:cstheme="minorHAnsi"/>
                <w:b/>
                <w:color w:val="FFFFFF" w:themeColor="background1"/>
                <w:sz w:val="20"/>
                <w:szCs w:val="20"/>
                <w:lang w:eastAsia="en-AU"/>
              </w:rPr>
              <w:t xml:space="preserve">Aspects for </w:t>
            </w:r>
            <w:r w:rsidR="00203FC2" w:rsidRPr="003837B9">
              <w:rPr>
                <w:rFonts w:eastAsia="Times New Roman" w:cstheme="minorHAnsi"/>
                <w:b/>
                <w:color w:val="FFFFFF" w:themeColor="background1"/>
                <w:sz w:val="20"/>
                <w:szCs w:val="20"/>
                <w:lang w:eastAsia="en-AU"/>
              </w:rPr>
              <w:t>New Residents</w:t>
            </w:r>
          </w:p>
        </w:tc>
        <w:tc>
          <w:tcPr>
            <w:tcW w:w="5760" w:type="dxa"/>
            <w:shd w:val="clear" w:color="auto" w:fill="5B9BD5" w:themeFill="accent5"/>
          </w:tcPr>
          <w:p w:rsidR="00203FC2" w:rsidRPr="003837B9" w:rsidRDefault="00203FC2" w:rsidP="00203FC2">
            <w:pPr>
              <w:spacing w:after="0"/>
              <w:jc w:val="left"/>
              <w:rPr>
                <w:rFonts w:eastAsia="Times New Roman" w:cstheme="minorHAnsi"/>
                <w:color w:val="FFFFFF" w:themeColor="background1"/>
                <w:sz w:val="20"/>
                <w:szCs w:val="20"/>
                <w:lang w:eastAsia="en-AU"/>
              </w:rPr>
            </w:pPr>
            <w:r>
              <w:rPr>
                <w:rFonts w:eastAsia="Times New Roman" w:cstheme="minorHAnsi"/>
                <w:b/>
                <w:color w:val="FFFFFF" w:themeColor="background1"/>
                <w:sz w:val="20"/>
                <w:szCs w:val="20"/>
                <w:lang w:eastAsia="en-AU"/>
              </w:rPr>
              <w:t>Details</w:t>
            </w:r>
          </w:p>
        </w:tc>
      </w:tr>
      <w:tr w:rsidR="00203FC2" w:rsidRPr="00432696" w:rsidTr="007F2ED6">
        <w:tc>
          <w:tcPr>
            <w:tcW w:w="3235" w:type="dxa"/>
          </w:tcPr>
          <w:p w:rsidR="00203FC2" w:rsidRPr="00432696" w:rsidRDefault="00203FC2" w:rsidP="00303832">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Funding Determination - review process</w:t>
            </w:r>
          </w:p>
        </w:tc>
        <w:tc>
          <w:tcPr>
            <w:tcW w:w="5760" w:type="dxa"/>
          </w:tcPr>
          <w:p w:rsidR="00203FC2" w:rsidRPr="00432696" w:rsidRDefault="00203FC2" w:rsidP="00303832">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 xml:space="preserve">Provider R-ACFI used for </w:t>
            </w:r>
            <w:r>
              <w:rPr>
                <w:rFonts w:eastAsia="Times New Roman" w:cstheme="minorHAnsi"/>
                <w:b/>
                <w:sz w:val="20"/>
                <w:szCs w:val="20"/>
                <w:lang w:eastAsia="en-AU"/>
              </w:rPr>
              <w:t xml:space="preserve">funding determination </w:t>
            </w:r>
            <w:r w:rsidRPr="00432696">
              <w:rPr>
                <w:rFonts w:eastAsia="Times New Roman" w:cstheme="minorHAnsi"/>
                <w:b/>
                <w:sz w:val="20"/>
                <w:szCs w:val="20"/>
                <w:lang w:eastAsia="en-AU"/>
              </w:rPr>
              <w:t>$</w:t>
            </w:r>
            <w:r>
              <w:rPr>
                <w:rFonts w:eastAsia="Times New Roman" w:cstheme="minorHAnsi"/>
                <w:b/>
                <w:sz w:val="20"/>
                <w:szCs w:val="20"/>
                <w:lang w:eastAsia="en-AU"/>
              </w:rPr>
              <w:t>s</w:t>
            </w:r>
          </w:p>
          <w:p w:rsidR="00203FC2" w:rsidRDefault="00203FC2" w:rsidP="00303832">
            <w:pPr>
              <w:spacing w:after="0"/>
              <w:jc w:val="left"/>
              <w:rPr>
                <w:rFonts w:eastAsia="Times New Roman" w:cstheme="minorHAnsi"/>
                <w:sz w:val="20"/>
                <w:szCs w:val="20"/>
                <w:lang w:eastAsia="en-AU"/>
              </w:rPr>
            </w:pPr>
            <w:r>
              <w:rPr>
                <w:rFonts w:eastAsia="Times New Roman" w:cstheme="minorHAnsi"/>
                <w:sz w:val="20"/>
                <w:szCs w:val="20"/>
                <w:lang w:eastAsia="en-AU"/>
              </w:rPr>
              <w:t xml:space="preserve">DoH </w:t>
            </w:r>
            <w:r w:rsidRPr="00432696">
              <w:rPr>
                <w:rFonts w:eastAsia="Times New Roman" w:cstheme="minorHAnsi"/>
                <w:sz w:val="20"/>
                <w:szCs w:val="20"/>
                <w:lang w:eastAsia="en-AU"/>
              </w:rPr>
              <w:t xml:space="preserve">validates 100% </w:t>
            </w:r>
            <w:r>
              <w:rPr>
                <w:rFonts w:eastAsia="Times New Roman" w:cstheme="minorHAnsi"/>
                <w:sz w:val="20"/>
                <w:szCs w:val="20"/>
                <w:lang w:eastAsia="en-AU"/>
              </w:rPr>
              <w:t xml:space="preserve">of claims </w:t>
            </w:r>
            <w:r w:rsidRPr="00432696">
              <w:rPr>
                <w:rFonts w:eastAsia="Times New Roman" w:cstheme="minorHAnsi"/>
                <w:sz w:val="20"/>
                <w:szCs w:val="20"/>
                <w:lang w:eastAsia="en-AU"/>
              </w:rPr>
              <w:t>using: Matching (ACAT/Provider)</w:t>
            </w:r>
            <w:r>
              <w:rPr>
                <w:rFonts w:eastAsia="Times New Roman" w:cstheme="minorHAnsi"/>
                <w:sz w:val="20"/>
                <w:szCs w:val="20"/>
                <w:lang w:eastAsia="en-AU"/>
              </w:rPr>
              <w:t xml:space="preserve"> R-ACFIs</w:t>
            </w:r>
            <w:r w:rsidRPr="00432696">
              <w:rPr>
                <w:rFonts w:eastAsia="Times New Roman" w:cstheme="minorHAnsi"/>
                <w:sz w:val="20"/>
                <w:szCs w:val="20"/>
                <w:lang w:eastAsia="en-AU"/>
              </w:rPr>
              <w:t xml:space="preserve">, </w:t>
            </w:r>
            <w:r>
              <w:rPr>
                <w:rFonts w:eastAsia="Times New Roman" w:cstheme="minorHAnsi"/>
                <w:sz w:val="20"/>
                <w:szCs w:val="20"/>
                <w:lang w:eastAsia="en-AU"/>
              </w:rPr>
              <w:t>d</w:t>
            </w:r>
            <w:r w:rsidRPr="00432696">
              <w:rPr>
                <w:rFonts w:eastAsia="Times New Roman" w:cstheme="minorHAnsi"/>
                <w:sz w:val="20"/>
                <w:szCs w:val="20"/>
                <w:lang w:eastAsia="en-AU"/>
              </w:rPr>
              <w:t xml:space="preserve">ata </w:t>
            </w:r>
            <w:r>
              <w:rPr>
                <w:rFonts w:eastAsia="Times New Roman" w:cstheme="minorHAnsi"/>
                <w:sz w:val="20"/>
                <w:szCs w:val="20"/>
                <w:lang w:eastAsia="en-AU"/>
              </w:rPr>
              <w:t>analysis</w:t>
            </w:r>
            <w:r w:rsidRPr="00432696">
              <w:rPr>
                <w:rFonts w:eastAsia="Times New Roman" w:cstheme="minorHAnsi"/>
                <w:sz w:val="20"/>
                <w:szCs w:val="20"/>
                <w:lang w:eastAsia="en-AU"/>
              </w:rPr>
              <w:t xml:space="preserve">, e-Audit, </w:t>
            </w:r>
            <w:r>
              <w:rPr>
                <w:rFonts w:eastAsia="Times New Roman" w:cstheme="minorHAnsi"/>
                <w:sz w:val="20"/>
                <w:szCs w:val="20"/>
                <w:lang w:eastAsia="en-AU"/>
              </w:rPr>
              <w:t>s</w:t>
            </w:r>
            <w:r w:rsidRPr="00432696">
              <w:rPr>
                <w:rFonts w:eastAsia="Times New Roman" w:cstheme="minorHAnsi"/>
                <w:sz w:val="20"/>
                <w:szCs w:val="20"/>
                <w:lang w:eastAsia="en-AU"/>
              </w:rPr>
              <w:t>ite visit</w:t>
            </w:r>
            <w:r>
              <w:rPr>
                <w:rFonts w:eastAsia="Times New Roman" w:cstheme="minorHAnsi"/>
                <w:sz w:val="20"/>
                <w:szCs w:val="20"/>
                <w:lang w:eastAsia="en-AU"/>
              </w:rPr>
              <w:t>s</w:t>
            </w:r>
            <w:r w:rsidRPr="00432696">
              <w:rPr>
                <w:rFonts w:eastAsia="Times New Roman" w:cstheme="minorHAnsi"/>
                <w:sz w:val="20"/>
                <w:szCs w:val="20"/>
                <w:lang w:eastAsia="en-AU"/>
              </w:rPr>
              <w:t>.</w:t>
            </w:r>
          </w:p>
          <w:p w:rsidR="00203FC2" w:rsidRPr="00F12A1A" w:rsidRDefault="00203FC2" w:rsidP="00303832">
            <w:pPr>
              <w:spacing w:after="0"/>
              <w:jc w:val="left"/>
              <w:rPr>
                <w:rFonts w:eastAsia="Times New Roman" w:cstheme="minorHAnsi"/>
                <w:b/>
                <w:sz w:val="20"/>
                <w:szCs w:val="20"/>
                <w:lang w:eastAsia="en-AU"/>
              </w:rPr>
            </w:pPr>
            <w:r>
              <w:rPr>
                <w:rFonts w:eastAsia="Times New Roman" w:cstheme="minorHAnsi"/>
                <w:b/>
                <w:sz w:val="20"/>
                <w:szCs w:val="20"/>
                <w:lang w:eastAsia="en-AU"/>
              </w:rPr>
              <w:t xml:space="preserve">RO audits </w:t>
            </w:r>
            <w:r w:rsidRPr="00F12A1A">
              <w:rPr>
                <w:rFonts w:eastAsia="Times New Roman" w:cstheme="minorHAnsi"/>
                <w:b/>
                <w:sz w:val="20"/>
                <w:szCs w:val="20"/>
                <w:lang w:eastAsia="en-AU"/>
              </w:rPr>
              <w:t xml:space="preserve">10% of </w:t>
            </w:r>
            <w:r>
              <w:rPr>
                <w:rFonts w:eastAsia="Times New Roman" w:cstheme="minorHAnsi"/>
                <w:b/>
                <w:sz w:val="20"/>
                <w:szCs w:val="20"/>
                <w:lang w:eastAsia="en-AU"/>
              </w:rPr>
              <w:t xml:space="preserve">R-ACFI </w:t>
            </w:r>
            <w:r w:rsidRPr="00F12A1A">
              <w:rPr>
                <w:rFonts w:eastAsia="Times New Roman" w:cstheme="minorHAnsi"/>
                <w:b/>
                <w:sz w:val="20"/>
                <w:szCs w:val="20"/>
                <w:lang w:eastAsia="en-AU"/>
              </w:rPr>
              <w:t>claims via site visit</w:t>
            </w:r>
            <w:r>
              <w:rPr>
                <w:rFonts w:eastAsia="Times New Roman" w:cstheme="minorHAnsi"/>
                <w:b/>
                <w:sz w:val="20"/>
                <w:szCs w:val="20"/>
                <w:lang w:eastAsia="en-AU"/>
              </w:rPr>
              <w:t xml:space="preserve"> </w:t>
            </w:r>
          </w:p>
        </w:tc>
      </w:tr>
      <w:tr w:rsidR="00203FC2" w:rsidRPr="00432696" w:rsidTr="007F2ED6">
        <w:tc>
          <w:tcPr>
            <w:tcW w:w="3235" w:type="dxa"/>
          </w:tcPr>
          <w:p w:rsidR="00203FC2" w:rsidRPr="00432696" w:rsidRDefault="00203FC2" w:rsidP="00303832">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Funding certainty &amp; Audits</w:t>
            </w:r>
          </w:p>
        </w:tc>
        <w:tc>
          <w:tcPr>
            <w:tcW w:w="5760" w:type="dxa"/>
          </w:tcPr>
          <w:p w:rsidR="00203FC2" w:rsidRPr="00432696" w:rsidRDefault="00203FC2" w:rsidP="00303832">
            <w:pPr>
              <w:spacing w:after="0"/>
              <w:jc w:val="left"/>
              <w:rPr>
                <w:rFonts w:eastAsia="Times New Roman" w:cstheme="minorHAnsi"/>
                <w:sz w:val="20"/>
                <w:szCs w:val="20"/>
                <w:lang w:eastAsia="en-AU"/>
              </w:rPr>
            </w:pPr>
            <w:r w:rsidRPr="00432696">
              <w:rPr>
                <w:rFonts w:eastAsia="Times New Roman" w:cstheme="minorHAnsi"/>
                <w:sz w:val="20"/>
                <w:szCs w:val="20"/>
                <w:lang w:eastAsia="en-AU"/>
              </w:rPr>
              <w:t>Audit:</w:t>
            </w:r>
            <w:r>
              <w:rPr>
                <w:rFonts w:eastAsia="Times New Roman" w:cstheme="minorHAnsi"/>
                <w:sz w:val="20"/>
                <w:szCs w:val="20"/>
                <w:lang w:eastAsia="en-AU"/>
              </w:rPr>
              <w:t xml:space="preserve"> </w:t>
            </w:r>
            <w:r w:rsidRPr="00432696">
              <w:rPr>
                <w:rFonts w:eastAsia="Times New Roman" w:cstheme="minorHAnsi"/>
                <w:sz w:val="20"/>
                <w:szCs w:val="20"/>
                <w:lang w:eastAsia="en-AU"/>
              </w:rPr>
              <w:t xml:space="preserve">restricted to </w:t>
            </w:r>
            <w:r>
              <w:rPr>
                <w:rFonts w:eastAsia="Times New Roman" w:cstheme="minorHAnsi"/>
                <w:sz w:val="20"/>
                <w:szCs w:val="20"/>
                <w:lang w:eastAsia="en-AU"/>
              </w:rPr>
              <w:t>12</w:t>
            </w:r>
            <w:r w:rsidRPr="00432696">
              <w:rPr>
                <w:rFonts w:eastAsia="Times New Roman" w:cstheme="minorHAnsi"/>
                <w:sz w:val="20"/>
                <w:szCs w:val="20"/>
                <w:lang w:eastAsia="en-AU"/>
              </w:rPr>
              <w:t xml:space="preserve"> months</w:t>
            </w:r>
          </w:p>
        </w:tc>
      </w:tr>
      <w:tr w:rsidR="00203FC2" w:rsidRPr="00432696" w:rsidTr="007F2ED6">
        <w:tc>
          <w:tcPr>
            <w:tcW w:w="3235" w:type="dxa"/>
          </w:tcPr>
          <w:p w:rsidR="00203FC2" w:rsidRPr="00432696" w:rsidRDefault="00203FC2" w:rsidP="00303832">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When full funding paid?</w:t>
            </w:r>
            <w:r>
              <w:rPr>
                <w:rFonts w:eastAsia="Times New Roman" w:cstheme="minorHAnsi"/>
                <w:b/>
                <w:sz w:val="20"/>
                <w:szCs w:val="20"/>
                <w:lang w:eastAsia="en-AU"/>
              </w:rPr>
              <w:t xml:space="preserve"> </w:t>
            </w:r>
          </w:p>
        </w:tc>
        <w:tc>
          <w:tcPr>
            <w:tcW w:w="5760" w:type="dxa"/>
          </w:tcPr>
          <w:p w:rsidR="00203FC2" w:rsidRPr="00432696" w:rsidRDefault="00203FC2" w:rsidP="00303832">
            <w:pPr>
              <w:spacing w:after="0"/>
              <w:jc w:val="left"/>
              <w:rPr>
                <w:rFonts w:eastAsia="Times New Roman" w:cstheme="minorHAnsi"/>
                <w:sz w:val="20"/>
                <w:szCs w:val="20"/>
                <w:lang w:eastAsia="en-AU"/>
              </w:rPr>
            </w:pPr>
            <w:r>
              <w:rPr>
                <w:rFonts w:eastAsia="Times New Roman" w:cstheme="minorHAnsi"/>
                <w:sz w:val="20"/>
                <w:szCs w:val="20"/>
                <w:lang w:eastAsia="en-AU"/>
              </w:rPr>
              <w:t>Within 2</w:t>
            </w:r>
            <w:r w:rsidRPr="00432696">
              <w:rPr>
                <w:rFonts w:eastAsia="Times New Roman" w:cstheme="minorHAnsi"/>
                <w:sz w:val="20"/>
                <w:szCs w:val="20"/>
                <w:lang w:eastAsia="en-AU"/>
              </w:rPr>
              <w:t xml:space="preserve"> months after admission </w:t>
            </w:r>
          </w:p>
        </w:tc>
      </w:tr>
      <w:tr w:rsidR="00203FC2" w:rsidRPr="00432696" w:rsidTr="007F2ED6">
        <w:tc>
          <w:tcPr>
            <w:tcW w:w="3235" w:type="dxa"/>
          </w:tcPr>
          <w:p w:rsidR="00203FC2" w:rsidRPr="00432696" w:rsidRDefault="00203FC2" w:rsidP="00303832">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Period RAC</w:t>
            </w:r>
            <w:r>
              <w:rPr>
                <w:rFonts w:eastAsia="Times New Roman" w:cstheme="minorHAnsi"/>
                <w:b/>
                <w:sz w:val="20"/>
                <w:szCs w:val="20"/>
                <w:lang w:eastAsia="en-AU"/>
              </w:rPr>
              <w:t>F</w:t>
            </w:r>
            <w:r w:rsidRPr="00432696">
              <w:rPr>
                <w:rFonts w:eastAsia="Times New Roman" w:cstheme="minorHAnsi"/>
                <w:b/>
                <w:sz w:val="20"/>
                <w:szCs w:val="20"/>
                <w:lang w:eastAsia="en-AU"/>
              </w:rPr>
              <w:t xml:space="preserve"> does R-ACFI</w:t>
            </w:r>
          </w:p>
        </w:tc>
        <w:tc>
          <w:tcPr>
            <w:tcW w:w="5760" w:type="dxa"/>
          </w:tcPr>
          <w:p w:rsidR="00203FC2" w:rsidRPr="00432696" w:rsidRDefault="00203FC2" w:rsidP="00303832">
            <w:pPr>
              <w:spacing w:after="0"/>
              <w:jc w:val="left"/>
              <w:rPr>
                <w:rFonts w:eastAsia="Times New Roman" w:cstheme="minorHAnsi"/>
                <w:sz w:val="20"/>
                <w:szCs w:val="20"/>
                <w:lang w:eastAsia="en-AU"/>
              </w:rPr>
            </w:pPr>
            <w:r>
              <w:rPr>
                <w:rFonts w:eastAsia="Times New Roman" w:cstheme="minorHAnsi"/>
                <w:sz w:val="20"/>
                <w:szCs w:val="20"/>
                <w:lang w:eastAsia="en-AU"/>
              </w:rPr>
              <w:t>Within 2</w:t>
            </w:r>
            <w:r w:rsidRPr="00432696">
              <w:rPr>
                <w:rFonts w:eastAsia="Times New Roman" w:cstheme="minorHAnsi"/>
                <w:sz w:val="20"/>
                <w:szCs w:val="20"/>
                <w:lang w:eastAsia="en-AU"/>
              </w:rPr>
              <w:t xml:space="preserve"> months</w:t>
            </w:r>
            <w:r>
              <w:rPr>
                <w:rFonts w:eastAsia="Times New Roman" w:cstheme="minorHAnsi"/>
                <w:sz w:val="20"/>
                <w:szCs w:val="20"/>
                <w:lang w:eastAsia="en-AU"/>
              </w:rPr>
              <w:t xml:space="preserve"> of admission </w:t>
            </w:r>
          </w:p>
        </w:tc>
      </w:tr>
      <w:tr w:rsidR="00203FC2" w:rsidRPr="003837B9" w:rsidTr="007F2ED6">
        <w:tc>
          <w:tcPr>
            <w:tcW w:w="3235" w:type="dxa"/>
            <w:shd w:val="clear" w:color="auto" w:fill="5B9BD5" w:themeFill="accent5"/>
          </w:tcPr>
          <w:p w:rsidR="00203FC2" w:rsidRPr="003837B9" w:rsidRDefault="00036C41" w:rsidP="00303832">
            <w:pPr>
              <w:spacing w:after="0"/>
              <w:jc w:val="left"/>
              <w:rPr>
                <w:rFonts w:eastAsia="Times New Roman" w:cstheme="minorHAnsi"/>
                <w:b/>
                <w:color w:val="FFFFFF" w:themeColor="background1"/>
                <w:sz w:val="20"/>
                <w:szCs w:val="20"/>
                <w:lang w:eastAsia="en-AU"/>
              </w:rPr>
            </w:pPr>
            <w:r>
              <w:rPr>
                <w:rFonts w:eastAsia="Times New Roman" w:cstheme="minorHAnsi"/>
                <w:b/>
                <w:color w:val="FFFFFF" w:themeColor="background1"/>
                <w:sz w:val="20"/>
                <w:szCs w:val="20"/>
                <w:lang w:eastAsia="en-AU"/>
              </w:rPr>
              <w:t xml:space="preserve">Aspects for </w:t>
            </w:r>
            <w:r w:rsidR="00203FC2" w:rsidRPr="003837B9">
              <w:rPr>
                <w:rFonts w:eastAsia="Times New Roman" w:cstheme="minorHAnsi"/>
                <w:b/>
                <w:color w:val="FFFFFF" w:themeColor="background1"/>
                <w:sz w:val="20"/>
                <w:szCs w:val="20"/>
                <w:lang w:eastAsia="en-AU"/>
              </w:rPr>
              <w:t>Re-appraisals</w:t>
            </w:r>
          </w:p>
        </w:tc>
        <w:tc>
          <w:tcPr>
            <w:tcW w:w="5760" w:type="dxa"/>
            <w:shd w:val="clear" w:color="auto" w:fill="5B9BD5" w:themeFill="accent5"/>
          </w:tcPr>
          <w:p w:rsidR="00203FC2" w:rsidRPr="003837B9" w:rsidRDefault="00203FC2" w:rsidP="00203FC2">
            <w:pPr>
              <w:spacing w:after="0"/>
              <w:jc w:val="left"/>
              <w:rPr>
                <w:rFonts w:eastAsia="Times New Roman" w:cstheme="minorHAnsi"/>
                <w:color w:val="FFFFFF" w:themeColor="background1"/>
                <w:sz w:val="20"/>
                <w:szCs w:val="20"/>
                <w:lang w:eastAsia="en-AU"/>
              </w:rPr>
            </w:pPr>
            <w:r>
              <w:rPr>
                <w:rFonts w:eastAsia="Times New Roman" w:cstheme="minorHAnsi"/>
                <w:b/>
                <w:color w:val="FFFFFF" w:themeColor="background1"/>
                <w:sz w:val="20"/>
                <w:szCs w:val="20"/>
                <w:lang w:eastAsia="en-AU"/>
              </w:rPr>
              <w:t>Details</w:t>
            </w:r>
          </w:p>
        </w:tc>
      </w:tr>
      <w:tr w:rsidR="00203FC2" w:rsidRPr="00432696" w:rsidTr="007F2ED6">
        <w:tc>
          <w:tcPr>
            <w:tcW w:w="3235" w:type="dxa"/>
          </w:tcPr>
          <w:p w:rsidR="00203FC2" w:rsidRPr="00432696" w:rsidRDefault="00203FC2" w:rsidP="00303832">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Funding Determination Process</w:t>
            </w:r>
          </w:p>
          <w:p w:rsidR="00203FC2" w:rsidRPr="00432696" w:rsidRDefault="00203FC2" w:rsidP="00303832">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 xml:space="preserve">R-ACFI less open to </w:t>
            </w:r>
            <w:r>
              <w:rPr>
                <w:rFonts w:eastAsia="Times New Roman" w:cstheme="minorHAnsi"/>
                <w:b/>
                <w:sz w:val="20"/>
                <w:szCs w:val="20"/>
                <w:lang w:eastAsia="en-AU"/>
              </w:rPr>
              <w:t>‘</w:t>
            </w:r>
            <w:r w:rsidRPr="00432696">
              <w:rPr>
                <w:rFonts w:eastAsia="Times New Roman" w:cstheme="minorHAnsi"/>
                <w:b/>
                <w:sz w:val="20"/>
                <w:szCs w:val="20"/>
                <w:lang w:eastAsia="en-AU"/>
              </w:rPr>
              <w:t>gaming</w:t>
            </w:r>
            <w:r>
              <w:rPr>
                <w:rFonts w:eastAsia="Times New Roman" w:cstheme="minorHAnsi"/>
                <w:b/>
                <w:sz w:val="20"/>
                <w:szCs w:val="20"/>
                <w:lang w:eastAsia="en-AU"/>
              </w:rPr>
              <w:t>’</w:t>
            </w:r>
            <w:r w:rsidRPr="00432696">
              <w:rPr>
                <w:rFonts w:eastAsia="Times New Roman" w:cstheme="minorHAnsi"/>
                <w:b/>
                <w:sz w:val="20"/>
                <w:szCs w:val="20"/>
                <w:lang w:eastAsia="en-AU"/>
              </w:rPr>
              <w:t>.</w:t>
            </w:r>
          </w:p>
        </w:tc>
        <w:tc>
          <w:tcPr>
            <w:tcW w:w="5760" w:type="dxa"/>
          </w:tcPr>
          <w:p w:rsidR="00203FC2" w:rsidRPr="00432696" w:rsidRDefault="00203FC2" w:rsidP="00303832">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 xml:space="preserve">Provider R-ACFI used for </w:t>
            </w:r>
            <w:r>
              <w:rPr>
                <w:rFonts w:eastAsia="Times New Roman" w:cstheme="minorHAnsi"/>
                <w:b/>
                <w:sz w:val="20"/>
                <w:szCs w:val="20"/>
                <w:lang w:eastAsia="en-AU"/>
              </w:rPr>
              <w:t xml:space="preserve">funding determination </w:t>
            </w:r>
            <w:r w:rsidRPr="00432696">
              <w:rPr>
                <w:rFonts w:eastAsia="Times New Roman" w:cstheme="minorHAnsi"/>
                <w:b/>
                <w:sz w:val="20"/>
                <w:szCs w:val="20"/>
                <w:lang w:eastAsia="en-AU"/>
              </w:rPr>
              <w:t>$</w:t>
            </w:r>
            <w:r>
              <w:rPr>
                <w:rFonts w:eastAsia="Times New Roman" w:cstheme="minorHAnsi"/>
                <w:b/>
                <w:sz w:val="20"/>
                <w:szCs w:val="20"/>
                <w:lang w:eastAsia="en-AU"/>
              </w:rPr>
              <w:t>s</w:t>
            </w:r>
          </w:p>
          <w:p w:rsidR="00203FC2" w:rsidRDefault="00203FC2" w:rsidP="00303832">
            <w:pPr>
              <w:spacing w:after="0"/>
              <w:jc w:val="left"/>
              <w:rPr>
                <w:rFonts w:eastAsia="Times New Roman" w:cstheme="minorHAnsi"/>
                <w:sz w:val="20"/>
                <w:szCs w:val="20"/>
                <w:lang w:eastAsia="en-AU"/>
              </w:rPr>
            </w:pPr>
            <w:r>
              <w:rPr>
                <w:rFonts w:eastAsia="Times New Roman" w:cstheme="minorHAnsi"/>
                <w:sz w:val="20"/>
                <w:szCs w:val="20"/>
                <w:lang w:eastAsia="en-AU"/>
              </w:rPr>
              <w:t xml:space="preserve">DoH validates claims </w:t>
            </w:r>
            <w:r w:rsidRPr="00432696">
              <w:rPr>
                <w:rFonts w:eastAsia="Times New Roman" w:cstheme="minorHAnsi"/>
                <w:sz w:val="20"/>
                <w:szCs w:val="20"/>
                <w:lang w:eastAsia="en-AU"/>
              </w:rPr>
              <w:t xml:space="preserve">after payment using: </w:t>
            </w:r>
            <w:r>
              <w:rPr>
                <w:rFonts w:eastAsia="Times New Roman" w:cstheme="minorHAnsi"/>
                <w:sz w:val="20"/>
                <w:szCs w:val="20"/>
                <w:lang w:eastAsia="en-AU"/>
              </w:rPr>
              <w:t>data analytics</w:t>
            </w:r>
            <w:r w:rsidRPr="00432696">
              <w:rPr>
                <w:rFonts w:eastAsia="Times New Roman" w:cstheme="minorHAnsi"/>
                <w:sz w:val="20"/>
                <w:szCs w:val="20"/>
                <w:lang w:eastAsia="en-AU"/>
              </w:rPr>
              <w:t>, e-</w:t>
            </w:r>
            <w:r>
              <w:rPr>
                <w:rFonts w:eastAsia="Times New Roman" w:cstheme="minorHAnsi"/>
                <w:sz w:val="20"/>
                <w:szCs w:val="20"/>
                <w:lang w:eastAsia="en-AU"/>
              </w:rPr>
              <w:t>a</w:t>
            </w:r>
            <w:r w:rsidRPr="00432696">
              <w:rPr>
                <w:rFonts w:eastAsia="Times New Roman" w:cstheme="minorHAnsi"/>
                <w:sz w:val="20"/>
                <w:szCs w:val="20"/>
                <w:lang w:eastAsia="en-AU"/>
              </w:rPr>
              <w:t xml:space="preserve">udit, </w:t>
            </w:r>
            <w:r>
              <w:rPr>
                <w:rFonts w:eastAsia="Times New Roman" w:cstheme="minorHAnsi"/>
                <w:sz w:val="20"/>
                <w:szCs w:val="20"/>
                <w:lang w:eastAsia="en-AU"/>
              </w:rPr>
              <w:t>site visit.</w:t>
            </w:r>
          </w:p>
          <w:p w:rsidR="00203FC2" w:rsidRPr="00F12A1A" w:rsidRDefault="00203FC2" w:rsidP="00303832">
            <w:pPr>
              <w:spacing w:after="0"/>
              <w:jc w:val="left"/>
              <w:rPr>
                <w:rFonts w:eastAsia="Times New Roman" w:cstheme="minorHAnsi"/>
                <w:b/>
                <w:sz w:val="20"/>
                <w:szCs w:val="20"/>
                <w:lang w:eastAsia="en-AU"/>
              </w:rPr>
            </w:pPr>
            <w:r>
              <w:rPr>
                <w:rFonts w:eastAsia="Times New Roman" w:cstheme="minorHAnsi"/>
                <w:b/>
                <w:sz w:val="20"/>
                <w:szCs w:val="20"/>
                <w:lang w:eastAsia="en-AU"/>
              </w:rPr>
              <w:t xml:space="preserve">RO audits </w:t>
            </w:r>
            <w:r w:rsidRPr="00F12A1A">
              <w:rPr>
                <w:rFonts w:eastAsia="Times New Roman" w:cstheme="minorHAnsi"/>
                <w:b/>
                <w:sz w:val="20"/>
                <w:szCs w:val="20"/>
                <w:lang w:eastAsia="en-AU"/>
              </w:rPr>
              <w:t xml:space="preserve">10% of </w:t>
            </w:r>
            <w:r>
              <w:rPr>
                <w:rFonts w:eastAsia="Times New Roman" w:cstheme="minorHAnsi"/>
                <w:b/>
                <w:sz w:val="20"/>
                <w:szCs w:val="20"/>
                <w:lang w:eastAsia="en-AU"/>
              </w:rPr>
              <w:t xml:space="preserve">R-ACFI </w:t>
            </w:r>
            <w:r w:rsidRPr="00F12A1A">
              <w:rPr>
                <w:rFonts w:eastAsia="Times New Roman" w:cstheme="minorHAnsi"/>
                <w:b/>
                <w:sz w:val="20"/>
                <w:szCs w:val="20"/>
                <w:lang w:eastAsia="en-AU"/>
              </w:rPr>
              <w:t>claims via site visit</w:t>
            </w:r>
          </w:p>
        </w:tc>
      </w:tr>
      <w:tr w:rsidR="00203FC2" w:rsidRPr="00432696" w:rsidTr="007F2ED6">
        <w:tc>
          <w:tcPr>
            <w:tcW w:w="3235" w:type="dxa"/>
          </w:tcPr>
          <w:p w:rsidR="00203FC2" w:rsidRPr="00432696" w:rsidRDefault="00203FC2" w:rsidP="00303832">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When full funding paid?</w:t>
            </w:r>
            <w:r>
              <w:rPr>
                <w:rFonts w:eastAsia="Times New Roman" w:cstheme="minorHAnsi"/>
                <w:b/>
                <w:sz w:val="20"/>
                <w:szCs w:val="20"/>
                <w:lang w:eastAsia="en-AU"/>
              </w:rPr>
              <w:t xml:space="preserve"> </w:t>
            </w:r>
          </w:p>
        </w:tc>
        <w:tc>
          <w:tcPr>
            <w:tcW w:w="5760" w:type="dxa"/>
          </w:tcPr>
          <w:p w:rsidR="00203FC2" w:rsidRPr="00432696" w:rsidRDefault="00203FC2" w:rsidP="00303832">
            <w:pPr>
              <w:spacing w:after="0"/>
              <w:jc w:val="left"/>
              <w:rPr>
                <w:rFonts w:eastAsia="Times New Roman" w:cstheme="minorHAnsi"/>
                <w:sz w:val="20"/>
                <w:szCs w:val="20"/>
                <w:lang w:eastAsia="en-AU"/>
              </w:rPr>
            </w:pPr>
            <w:r w:rsidRPr="00432696">
              <w:rPr>
                <w:rFonts w:eastAsia="Times New Roman" w:cstheme="minorHAnsi"/>
                <w:sz w:val="20"/>
                <w:szCs w:val="20"/>
                <w:lang w:eastAsia="en-AU"/>
              </w:rPr>
              <w:t>Immediate on submission but subject to audit</w:t>
            </w:r>
          </w:p>
        </w:tc>
      </w:tr>
      <w:tr w:rsidR="00203FC2" w:rsidRPr="00432696" w:rsidTr="007F2ED6">
        <w:tc>
          <w:tcPr>
            <w:tcW w:w="3235" w:type="dxa"/>
          </w:tcPr>
          <w:p w:rsidR="00203FC2" w:rsidRPr="00432696" w:rsidRDefault="00203FC2" w:rsidP="00303832">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Funding certainty &amp; Audit</w:t>
            </w:r>
          </w:p>
        </w:tc>
        <w:tc>
          <w:tcPr>
            <w:tcW w:w="5760" w:type="dxa"/>
          </w:tcPr>
          <w:p w:rsidR="00203FC2" w:rsidRPr="00432696" w:rsidRDefault="00203FC2" w:rsidP="00303832">
            <w:pPr>
              <w:spacing w:after="0"/>
              <w:jc w:val="left"/>
              <w:rPr>
                <w:rFonts w:eastAsia="Times New Roman" w:cstheme="minorHAnsi"/>
                <w:sz w:val="20"/>
                <w:szCs w:val="20"/>
                <w:lang w:eastAsia="en-AU"/>
              </w:rPr>
            </w:pPr>
            <w:r w:rsidRPr="00432696">
              <w:rPr>
                <w:rFonts w:eastAsia="Times New Roman" w:cstheme="minorHAnsi"/>
                <w:sz w:val="20"/>
                <w:szCs w:val="20"/>
                <w:lang w:eastAsia="en-AU"/>
              </w:rPr>
              <w:t>Audit</w:t>
            </w:r>
            <w:r>
              <w:rPr>
                <w:rFonts w:eastAsia="Times New Roman" w:cstheme="minorHAnsi"/>
                <w:sz w:val="20"/>
                <w:szCs w:val="20"/>
                <w:lang w:eastAsia="en-AU"/>
              </w:rPr>
              <w:t xml:space="preserve">: </w:t>
            </w:r>
            <w:r w:rsidRPr="00432696">
              <w:rPr>
                <w:rFonts w:eastAsia="Times New Roman" w:cstheme="minorHAnsi"/>
                <w:sz w:val="20"/>
                <w:szCs w:val="20"/>
                <w:lang w:eastAsia="en-AU"/>
              </w:rPr>
              <w:t xml:space="preserve">restricted to </w:t>
            </w:r>
            <w:r>
              <w:rPr>
                <w:rFonts w:eastAsia="Times New Roman" w:cstheme="minorHAnsi"/>
                <w:sz w:val="20"/>
                <w:szCs w:val="20"/>
                <w:lang w:eastAsia="en-AU"/>
              </w:rPr>
              <w:t>12</w:t>
            </w:r>
            <w:r w:rsidRPr="00432696">
              <w:rPr>
                <w:rFonts w:eastAsia="Times New Roman" w:cstheme="minorHAnsi"/>
                <w:sz w:val="20"/>
                <w:szCs w:val="20"/>
                <w:lang w:eastAsia="en-AU"/>
              </w:rPr>
              <w:t xml:space="preserve"> months</w:t>
            </w:r>
          </w:p>
        </w:tc>
      </w:tr>
      <w:tr w:rsidR="00203FC2" w:rsidRPr="003837B9" w:rsidTr="007F2ED6">
        <w:tc>
          <w:tcPr>
            <w:tcW w:w="3235" w:type="dxa"/>
            <w:shd w:val="clear" w:color="auto" w:fill="5B9BD5" w:themeFill="accent5"/>
          </w:tcPr>
          <w:p w:rsidR="00203FC2" w:rsidRPr="00203FC2" w:rsidRDefault="00203FC2" w:rsidP="00036C41">
            <w:pPr>
              <w:spacing w:after="0"/>
              <w:jc w:val="left"/>
              <w:rPr>
                <w:rFonts w:eastAsia="Times New Roman" w:cstheme="minorHAnsi"/>
                <w:b/>
                <w:color w:val="FFFFFF" w:themeColor="background1"/>
                <w:sz w:val="20"/>
                <w:szCs w:val="20"/>
                <w:lang w:eastAsia="en-AU"/>
              </w:rPr>
            </w:pPr>
            <w:r w:rsidRPr="00203FC2">
              <w:rPr>
                <w:rFonts w:eastAsia="Times New Roman" w:cstheme="minorHAnsi"/>
                <w:b/>
                <w:color w:val="FFFFFF" w:themeColor="background1"/>
                <w:sz w:val="20"/>
                <w:szCs w:val="20"/>
                <w:lang w:eastAsia="en-AU"/>
              </w:rPr>
              <w:t xml:space="preserve">Other </w:t>
            </w:r>
            <w:r w:rsidR="00036C41">
              <w:rPr>
                <w:rFonts w:eastAsia="Times New Roman" w:cstheme="minorHAnsi"/>
                <w:b/>
                <w:color w:val="FFFFFF" w:themeColor="background1"/>
                <w:sz w:val="20"/>
                <w:szCs w:val="20"/>
                <w:lang w:eastAsia="en-AU"/>
              </w:rPr>
              <w:t>Aspects</w:t>
            </w:r>
          </w:p>
        </w:tc>
        <w:tc>
          <w:tcPr>
            <w:tcW w:w="5760" w:type="dxa"/>
            <w:shd w:val="clear" w:color="auto" w:fill="5B9BD5" w:themeFill="accent5"/>
          </w:tcPr>
          <w:p w:rsidR="00203FC2" w:rsidRPr="003837B9" w:rsidRDefault="00203FC2" w:rsidP="00203FC2">
            <w:pPr>
              <w:spacing w:after="0"/>
              <w:jc w:val="left"/>
              <w:rPr>
                <w:rFonts w:eastAsia="Times New Roman" w:cstheme="minorHAnsi"/>
                <w:color w:val="FFFFFF" w:themeColor="background1"/>
                <w:sz w:val="20"/>
                <w:szCs w:val="20"/>
                <w:lang w:eastAsia="en-AU"/>
              </w:rPr>
            </w:pPr>
            <w:r>
              <w:rPr>
                <w:rFonts w:eastAsia="Times New Roman" w:cstheme="minorHAnsi"/>
                <w:b/>
                <w:color w:val="FFFFFF" w:themeColor="background1"/>
                <w:sz w:val="20"/>
                <w:szCs w:val="20"/>
                <w:lang w:eastAsia="en-AU"/>
              </w:rPr>
              <w:t>Details</w:t>
            </w:r>
          </w:p>
        </w:tc>
      </w:tr>
      <w:tr w:rsidR="00203FC2" w:rsidRPr="00432696" w:rsidTr="007F2ED6">
        <w:tc>
          <w:tcPr>
            <w:tcW w:w="3235" w:type="dxa"/>
          </w:tcPr>
          <w:p w:rsidR="00203FC2" w:rsidRPr="00432696" w:rsidRDefault="00203FC2" w:rsidP="00303832">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Method Used to Audit Funding</w:t>
            </w:r>
          </w:p>
        </w:tc>
        <w:tc>
          <w:tcPr>
            <w:tcW w:w="5760" w:type="dxa"/>
          </w:tcPr>
          <w:p w:rsidR="00203FC2" w:rsidRPr="00432696" w:rsidRDefault="00203FC2" w:rsidP="00303832">
            <w:pPr>
              <w:spacing w:after="0"/>
              <w:jc w:val="left"/>
              <w:rPr>
                <w:rFonts w:eastAsia="Times New Roman" w:cstheme="minorHAnsi"/>
                <w:sz w:val="20"/>
                <w:szCs w:val="20"/>
                <w:lang w:eastAsia="en-AU"/>
              </w:rPr>
            </w:pPr>
            <w:r w:rsidRPr="00432696">
              <w:rPr>
                <w:rFonts w:eastAsia="Times New Roman" w:cstheme="minorHAnsi"/>
                <w:sz w:val="20"/>
                <w:szCs w:val="20"/>
                <w:lang w:eastAsia="en-AU"/>
              </w:rPr>
              <w:t xml:space="preserve">Assessed care need + Care provided – </w:t>
            </w:r>
            <w:r>
              <w:rPr>
                <w:rFonts w:eastAsia="Times New Roman" w:cstheme="minorHAnsi"/>
                <w:sz w:val="20"/>
                <w:szCs w:val="20"/>
                <w:lang w:eastAsia="en-AU"/>
              </w:rPr>
              <w:t xml:space="preserve">Department </w:t>
            </w:r>
            <w:r w:rsidRPr="00432696">
              <w:rPr>
                <w:rFonts w:eastAsia="Times New Roman" w:cstheme="minorHAnsi"/>
                <w:sz w:val="20"/>
                <w:szCs w:val="20"/>
                <w:lang w:eastAsia="en-AU"/>
              </w:rPr>
              <w:t>Audits</w:t>
            </w:r>
          </w:p>
        </w:tc>
      </w:tr>
      <w:tr w:rsidR="00203FC2" w:rsidRPr="00432696" w:rsidTr="007F2ED6">
        <w:tc>
          <w:tcPr>
            <w:tcW w:w="3235" w:type="dxa"/>
          </w:tcPr>
          <w:p w:rsidR="00203FC2" w:rsidRPr="00432696" w:rsidRDefault="00203FC2" w:rsidP="00303832">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Sta</w:t>
            </w:r>
            <w:r>
              <w:rPr>
                <w:rFonts w:eastAsia="Times New Roman" w:cstheme="minorHAnsi"/>
                <w:b/>
                <w:sz w:val="20"/>
                <w:szCs w:val="20"/>
                <w:lang w:eastAsia="en-AU"/>
              </w:rPr>
              <w:t xml:space="preserve">bility of </w:t>
            </w:r>
            <w:r w:rsidRPr="00432696">
              <w:rPr>
                <w:rFonts w:eastAsia="Times New Roman" w:cstheme="minorHAnsi"/>
                <w:b/>
                <w:sz w:val="20"/>
                <w:szCs w:val="20"/>
                <w:lang w:eastAsia="en-AU"/>
              </w:rPr>
              <w:t>funding</w:t>
            </w:r>
          </w:p>
        </w:tc>
        <w:tc>
          <w:tcPr>
            <w:tcW w:w="5760" w:type="dxa"/>
          </w:tcPr>
          <w:p w:rsidR="00203FC2" w:rsidRPr="00432696" w:rsidRDefault="00203FC2" w:rsidP="00303832">
            <w:pPr>
              <w:spacing w:after="0"/>
              <w:jc w:val="left"/>
              <w:rPr>
                <w:rFonts w:eastAsia="Times New Roman" w:cstheme="minorHAnsi"/>
                <w:sz w:val="20"/>
                <w:szCs w:val="20"/>
                <w:lang w:eastAsia="en-AU"/>
              </w:rPr>
            </w:pPr>
            <w:r w:rsidRPr="00432696">
              <w:rPr>
                <w:rFonts w:eastAsia="Times New Roman" w:cstheme="minorHAnsi"/>
                <w:sz w:val="20"/>
                <w:szCs w:val="20"/>
                <w:lang w:eastAsia="en-AU"/>
              </w:rPr>
              <w:t>Medium</w:t>
            </w:r>
          </w:p>
        </w:tc>
      </w:tr>
    </w:tbl>
    <w:p w:rsidR="00147D5F" w:rsidRPr="00CD58D9" w:rsidRDefault="00147D5F" w:rsidP="00C16758">
      <w:pPr>
        <w:pStyle w:val="Heading4-Chapter1131"/>
      </w:pPr>
      <w:r w:rsidRPr="00CD58D9">
        <w:t>New Resident</w:t>
      </w:r>
      <w:r>
        <w:t>s</w:t>
      </w:r>
      <w:r w:rsidRPr="00CD58D9">
        <w:t xml:space="preserve"> </w:t>
      </w:r>
      <w:r>
        <w:t xml:space="preserve">- </w:t>
      </w:r>
      <w:r w:rsidRPr="00E76C8F">
        <w:t xml:space="preserve">Provider Self-Assessment &amp; </w:t>
      </w:r>
      <w:r>
        <w:t xml:space="preserve">Review Officer </w:t>
      </w:r>
      <w:r w:rsidRPr="00E76C8F">
        <w:t>Audits</w:t>
      </w:r>
    </w:p>
    <w:p w:rsidR="00147D5F" w:rsidRDefault="00147D5F" w:rsidP="00147D5F">
      <w:r w:rsidRPr="00B5410E">
        <w:t>This includes all appraisals</w:t>
      </w:r>
      <w:r>
        <w:t xml:space="preserve"> related to clients living in the community (including those coming from hospital, sub-acute or other supported residential locations). The following will apply:</w:t>
      </w:r>
    </w:p>
    <w:p w:rsidR="00147D5F" w:rsidRDefault="00147D5F" w:rsidP="00151877">
      <w:pPr>
        <w:pStyle w:val="ListParagraph"/>
        <w:numPr>
          <w:ilvl w:val="0"/>
          <w:numId w:val="53"/>
        </w:numPr>
        <w:ind w:left="357" w:hanging="357"/>
      </w:pPr>
      <w:r>
        <w:t>The provider will complete the R-ACFI after resident admission and submit within two months (as currently) to the Department for funding approval</w:t>
      </w:r>
      <w:r w:rsidR="0067343A">
        <w:t>.</w:t>
      </w:r>
    </w:p>
    <w:p w:rsidR="00980F62" w:rsidRDefault="00147D5F" w:rsidP="00151877">
      <w:pPr>
        <w:pStyle w:val="ListParagraph"/>
        <w:numPr>
          <w:ilvl w:val="0"/>
          <w:numId w:val="53"/>
        </w:numPr>
        <w:ind w:left="357" w:hanging="357"/>
      </w:pPr>
      <w:r>
        <w:t>The facilities funding submission will be paid from the appraisal start date (as currently)</w:t>
      </w:r>
      <w:r w:rsidR="0067343A">
        <w:t>.</w:t>
      </w:r>
    </w:p>
    <w:p w:rsidR="00147D5F" w:rsidRPr="007859D3" w:rsidRDefault="00473246" w:rsidP="00151877">
      <w:pPr>
        <w:pStyle w:val="ListParagraph"/>
        <w:numPr>
          <w:ilvl w:val="0"/>
          <w:numId w:val="53"/>
        </w:numPr>
        <w:ind w:left="357" w:hanging="357"/>
      </w:pPr>
      <w:hyperlink w:anchor="Tab1102" w:history="1">
        <w:r w:rsidR="00147D5F" w:rsidRPr="0041429A">
          <w:rPr>
            <w:rStyle w:val="Hyperlink"/>
          </w:rPr>
          <w:t>Table 11.2</w:t>
        </w:r>
      </w:hyperlink>
      <w:r w:rsidR="00147D5F" w:rsidRPr="007859D3">
        <w:t xml:space="preserve"> has a summary of the approach</w:t>
      </w:r>
      <w:r w:rsidR="0067343A">
        <w:t>.</w:t>
      </w:r>
    </w:p>
    <w:p w:rsidR="00980F62" w:rsidRDefault="00147D5F" w:rsidP="006B374E">
      <w:pPr>
        <w:spacing w:before="120" w:after="0"/>
        <w:rPr>
          <w:rStyle w:val="Strong"/>
        </w:rPr>
      </w:pPr>
      <w:r w:rsidRPr="004E5490">
        <w:rPr>
          <w:rStyle w:val="Strong"/>
        </w:rPr>
        <w:t>Modified Review Officer Audit Program</w:t>
      </w:r>
    </w:p>
    <w:p w:rsidR="00147D5F" w:rsidRPr="004E5490" w:rsidRDefault="00147D5F" w:rsidP="004E5490">
      <w:pPr>
        <w:pStyle w:val="ListParagraph"/>
        <w:numPr>
          <w:ilvl w:val="3"/>
          <w:numId w:val="222"/>
        </w:numPr>
        <w:spacing w:after="0"/>
        <w:ind w:left="357" w:hanging="357"/>
        <w:rPr>
          <w:rStyle w:val="Strong"/>
        </w:rPr>
      </w:pPr>
      <w:r w:rsidRPr="004E5490">
        <w:rPr>
          <w:rStyle w:val="Strong"/>
        </w:rPr>
        <w:t>Time-Frame Restrictions will lead to more funding certainty for providers</w:t>
      </w:r>
    </w:p>
    <w:p w:rsidR="00147D5F" w:rsidRDefault="00147D5F" w:rsidP="00F70DF6">
      <w:pPr>
        <w:spacing w:before="120" w:after="0"/>
      </w:pPr>
      <w:r>
        <w:t>The Department will conclude any audit review of a provider funding submission within 12 months of whichever is the more recent of the:</w:t>
      </w:r>
    </w:p>
    <w:p w:rsidR="00147D5F" w:rsidRDefault="00147D5F" w:rsidP="00F70DF6">
      <w:pPr>
        <w:pStyle w:val="ListParagraph"/>
        <w:numPr>
          <w:ilvl w:val="1"/>
          <w:numId w:val="52"/>
        </w:numPr>
        <w:spacing w:after="0"/>
        <w:ind w:left="1077" w:hanging="357"/>
        <w:contextualSpacing w:val="0"/>
      </w:pPr>
      <w:r>
        <w:t>Start date</w:t>
      </w:r>
      <w:r w:rsidR="006B374E">
        <w:t xml:space="preserve"> or</w:t>
      </w:r>
    </w:p>
    <w:p w:rsidR="00147D5F" w:rsidRDefault="00147D5F" w:rsidP="00F70DF6">
      <w:pPr>
        <w:pStyle w:val="ListParagraph"/>
        <w:numPr>
          <w:ilvl w:val="1"/>
          <w:numId w:val="52"/>
        </w:numPr>
        <w:spacing w:after="0"/>
        <w:ind w:left="1077" w:hanging="357"/>
        <w:contextualSpacing w:val="0"/>
      </w:pPr>
      <w:r>
        <w:t>Accepted Medicare received date.</w:t>
      </w:r>
    </w:p>
    <w:p w:rsidR="00980F62" w:rsidRDefault="00147D5F" w:rsidP="00F70DF6">
      <w:pPr>
        <w:spacing w:before="120"/>
      </w:pPr>
      <w:r>
        <w:t>For new admissions only (ii) will apply.</w:t>
      </w:r>
    </w:p>
    <w:p w:rsidR="00980F62" w:rsidRDefault="00147D5F" w:rsidP="00F70DF6">
      <w:pPr>
        <w:pStyle w:val="ListParagraph"/>
        <w:numPr>
          <w:ilvl w:val="0"/>
          <w:numId w:val="49"/>
        </w:numPr>
        <w:spacing w:after="0"/>
        <w:ind w:left="357" w:hanging="357"/>
        <w:contextualSpacing w:val="0"/>
      </w:pPr>
      <w:r>
        <w:t>If there has been no formal Department audit commenced within 12 months of the more recent of the:</w:t>
      </w:r>
    </w:p>
    <w:p w:rsidR="00147D5F" w:rsidRDefault="00147D5F" w:rsidP="00F70DF6">
      <w:pPr>
        <w:pStyle w:val="ListParagraph"/>
        <w:numPr>
          <w:ilvl w:val="1"/>
          <w:numId w:val="52"/>
        </w:numPr>
        <w:spacing w:after="0"/>
        <w:ind w:left="1077" w:hanging="357"/>
        <w:contextualSpacing w:val="0"/>
      </w:pPr>
      <w:r>
        <w:t>Appraisal start date or</w:t>
      </w:r>
    </w:p>
    <w:p w:rsidR="00980F62" w:rsidRDefault="00147D5F" w:rsidP="00F70DF6">
      <w:pPr>
        <w:pStyle w:val="ListParagraph"/>
        <w:numPr>
          <w:ilvl w:val="1"/>
          <w:numId w:val="52"/>
        </w:numPr>
        <w:spacing w:after="0"/>
        <w:ind w:left="1077" w:hanging="357"/>
        <w:contextualSpacing w:val="0"/>
      </w:pPr>
      <w:r>
        <w:t xml:space="preserve"> The accepted Medicare received date, the facilities submitted Medicare accepted funding submission will apply. There will be no further funding audits after this period.</w:t>
      </w:r>
    </w:p>
    <w:p w:rsidR="00147D5F" w:rsidRPr="004E5490" w:rsidRDefault="00147D5F" w:rsidP="004E5490">
      <w:pPr>
        <w:pStyle w:val="ListParagraph"/>
        <w:numPr>
          <w:ilvl w:val="3"/>
          <w:numId w:val="222"/>
        </w:numPr>
        <w:spacing w:after="0"/>
        <w:ind w:left="357" w:hanging="357"/>
        <w:rPr>
          <w:rStyle w:val="Strong"/>
        </w:rPr>
      </w:pPr>
      <w:r w:rsidRPr="004E5490">
        <w:rPr>
          <w:rStyle w:val="Strong"/>
        </w:rPr>
        <w:t>Validation of R-ACFI Claims</w:t>
      </w:r>
    </w:p>
    <w:p w:rsidR="00147D5F" w:rsidRPr="00F82CF3" w:rsidRDefault="00147D5F" w:rsidP="00151877">
      <w:pPr>
        <w:pStyle w:val="ListParagraph"/>
        <w:numPr>
          <w:ilvl w:val="0"/>
          <w:numId w:val="49"/>
        </w:numPr>
        <w:ind w:left="357" w:hanging="357"/>
      </w:pPr>
      <w:r w:rsidRPr="00F82CF3">
        <w:t xml:space="preserve">Every R-ACFI submission will be subject to some level of audit as described in </w:t>
      </w:r>
      <w:hyperlink w:anchor="Tab1102" w:history="1">
        <w:r w:rsidRPr="0041429A">
          <w:rPr>
            <w:rStyle w:val="Hyperlink"/>
          </w:rPr>
          <w:t>Table 11.2</w:t>
        </w:r>
      </w:hyperlink>
      <w:r w:rsidRPr="00F82CF3">
        <w:t xml:space="preserve">. The Department will use a variety of methods to </w:t>
      </w:r>
      <w:r>
        <w:t xml:space="preserve">at least at some level, </w:t>
      </w:r>
      <w:r w:rsidRPr="00F82CF3">
        <w:t>review 100</w:t>
      </w:r>
      <w:r w:rsidR="0065091B">
        <w:t xml:space="preserve"> per cent</w:t>
      </w:r>
      <w:r w:rsidRPr="00F82CF3">
        <w:t xml:space="preserve"> of R-ACFI submissions. Methods will include: </w:t>
      </w:r>
      <w:r>
        <w:t>Data analytics comparing</w:t>
      </w:r>
      <w:r w:rsidRPr="00F82CF3">
        <w:t xml:space="preserve"> </w:t>
      </w:r>
      <w:r>
        <w:t xml:space="preserve">the ACAT R-ACFI with the provider R-ACFI </w:t>
      </w:r>
      <w:r w:rsidRPr="00F82CF3">
        <w:t xml:space="preserve">which may </w:t>
      </w:r>
      <w:r>
        <w:t xml:space="preserve">lead to </w:t>
      </w:r>
      <w:r w:rsidRPr="00F82CF3">
        <w:rPr>
          <w:color w:val="000000" w:themeColor="text1"/>
        </w:rPr>
        <w:t>a targeted on-site visit review</w:t>
      </w:r>
      <w:r>
        <w:rPr>
          <w:color w:val="000000" w:themeColor="text1"/>
        </w:rPr>
        <w:t>s.</w:t>
      </w:r>
    </w:p>
    <w:p w:rsidR="00147D5F" w:rsidRPr="00A05708" w:rsidRDefault="00147D5F" w:rsidP="00C16758">
      <w:pPr>
        <w:pStyle w:val="Heading4-Chapter1131"/>
      </w:pPr>
      <w:r w:rsidRPr="00A05708">
        <w:t>Re-appraisal of Existing Residents - Provider Self-Assessment &amp; R</w:t>
      </w:r>
      <w:r>
        <w:t xml:space="preserve">eview </w:t>
      </w:r>
      <w:r w:rsidRPr="00A05708">
        <w:t>O</w:t>
      </w:r>
      <w:r>
        <w:t>fficer</w:t>
      </w:r>
      <w:r w:rsidRPr="00A05708">
        <w:t xml:space="preserve"> Audits</w:t>
      </w:r>
    </w:p>
    <w:p w:rsidR="00147D5F" w:rsidRPr="00F82CF3" w:rsidRDefault="00147D5F" w:rsidP="00147D5F">
      <w:r w:rsidRPr="00F82CF3">
        <w:t>This includes all re-appraisals of residents in the facility or residents that have transferred from one provider into another facility with a separate RACID. The following will apply:</w:t>
      </w:r>
    </w:p>
    <w:p w:rsidR="00147D5F" w:rsidRPr="00F70DF6" w:rsidRDefault="00147D5F" w:rsidP="00F70DF6">
      <w:pPr>
        <w:pStyle w:val="ListParagraph"/>
        <w:numPr>
          <w:ilvl w:val="3"/>
          <w:numId w:val="227"/>
        </w:numPr>
        <w:spacing w:before="120" w:after="0"/>
        <w:ind w:left="357" w:hanging="357"/>
        <w:contextualSpacing w:val="0"/>
        <w:rPr>
          <w:rStyle w:val="Strong"/>
        </w:rPr>
      </w:pPr>
      <w:r w:rsidRPr="00F70DF6">
        <w:rPr>
          <w:rStyle w:val="Strong"/>
        </w:rPr>
        <w:t>Re-Appraisal Rules</w:t>
      </w:r>
    </w:p>
    <w:p w:rsidR="00147D5F" w:rsidRPr="00F82CF3" w:rsidRDefault="00147D5F" w:rsidP="00F70DF6">
      <w:pPr>
        <w:pStyle w:val="ListParagraph"/>
        <w:numPr>
          <w:ilvl w:val="0"/>
          <w:numId w:val="53"/>
        </w:numPr>
        <w:spacing w:after="0"/>
        <w:ind w:left="357" w:hanging="357"/>
        <w:contextualSpacing w:val="0"/>
      </w:pPr>
      <w:r w:rsidRPr="00F82CF3">
        <w:t>There are fewer classification funding changes possible with the R-ACFI</w:t>
      </w:r>
      <w:r>
        <w:t xml:space="preserve"> (8)</w:t>
      </w:r>
      <w:r w:rsidRPr="00F82CF3">
        <w:t xml:space="preserve"> compared to the current ACFI</w:t>
      </w:r>
      <w:r>
        <w:t xml:space="preserve"> (9)</w:t>
      </w:r>
      <w:r w:rsidRPr="00F82CF3">
        <w:t xml:space="preserve"> and fewer funding levels (64 levels versus 48 levels). This will operate to give a more stable funding system, with fewer re-appraisal triggers, but still allow for encouragement to support higher care need residents.</w:t>
      </w:r>
    </w:p>
    <w:p w:rsidR="00980F62" w:rsidRDefault="00147D5F" w:rsidP="00F70DF6">
      <w:pPr>
        <w:pStyle w:val="ListParagraph"/>
        <w:numPr>
          <w:ilvl w:val="0"/>
          <w:numId w:val="52"/>
        </w:numPr>
        <w:spacing w:after="0"/>
        <w:ind w:left="357" w:hanging="357"/>
        <w:contextualSpacing w:val="0"/>
      </w:pPr>
      <w:r w:rsidRPr="00F82CF3">
        <w:t>A funding submission for re-appraisal may be made within the first 12 months if there is a two-domain category change in the existing R-ACFI.</w:t>
      </w:r>
    </w:p>
    <w:p w:rsidR="00147D5F" w:rsidRPr="00F82CF3" w:rsidRDefault="00147D5F" w:rsidP="00F70DF6">
      <w:pPr>
        <w:pStyle w:val="ListParagraph"/>
        <w:numPr>
          <w:ilvl w:val="0"/>
          <w:numId w:val="52"/>
        </w:numPr>
        <w:spacing w:after="0"/>
        <w:ind w:left="357" w:hanging="357"/>
        <w:contextualSpacing w:val="0"/>
      </w:pPr>
      <w:r w:rsidRPr="00F82CF3">
        <w:t>A funding submission for re-appraisal may be made after each 12</w:t>
      </w:r>
      <w:r>
        <w:t>-</w:t>
      </w:r>
      <w:r w:rsidRPr="00F82CF3">
        <w:t>months resident stay if there is a one domain category change in the existing R-ACFI.</w:t>
      </w:r>
    </w:p>
    <w:p w:rsidR="00147D5F" w:rsidRPr="00F70DF6" w:rsidRDefault="00147D5F" w:rsidP="00F70DF6">
      <w:pPr>
        <w:pStyle w:val="ListParagraph"/>
        <w:numPr>
          <w:ilvl w:val="3"/>
          <w:numId w:val="227"/>
        </w:numPr>
        <w:spacing w:before="120" w:after="0"/>
        <w:ind w:left="357" w:hanging="357"/>
        <w:contextualSpacing w:val="0"/>
        <w:rPr>
          <w:rStyle w:val="Strong"/>
        </w:rPr>
      </w:pPr>
      <w:r w:rsidRPr="00F70DF6">
        <w:rPr>
          <w:rStyle w:val="Strong"/>
        </w:rPr>
        <w:t xml:space="preserve"> Documentation and on-site Reviews</w:t>
      </w:r>
    </w:p>
    <w:p w:rsidR="00147D5F" w:rsidRPr="00F82CF3" w:rsidRDefault="00147D5F" w:rsidP="00147D5F">
      <w:pPr>
        <w:rPr>
          <w:szCs w:val="24"/>
        </w:rPr>
      </w:pPr>
      <w:r w:rsidRPr="00F82CF3">
        <w:t>T</w:t>
      </w:r>
      <w:r>
        <w:t xml:space="preserve">he department will review at some level </w:t>
      </w:r>
      <w:r w:rsidRPr="00F82CF3">
        <w:t xml:space="preserve">re-appraisal claims </w:t>
      </w:r>
      <w:r>
        <w:t>via data analysis</w:t>
      </w:r>
      <w:r w:rsidRPr="00F82CF3">
        <w:t xml:space="preserve"> or during a site visit. This will involve d</w:t>
      </w:r>
      <w:r w:rsidRPr="00F82CF3">
        <w:rPr>
          <w:szCs w:val="24"/>
        </w:rPr>
        <w:t>ata analytics and/or e-audit which may also involve facilities being requested to provide additional information to support the claim.</w:t>
      </w:r>
    </w:p>
    <w:p w:rsidR="00980F62" w:rsidRDefault="00147D5F" w:rsidP="00F70DF6">
      <w:pPr>
        <w:pStyle w:val="ListParagraph"/>
        <w:numPr>
          <w:ilvl w:val="3"/>
          <w:numId w:val="227"/>
        </w:numPr>
        <w:spacing w:after="0"/>
        <w:ind w:left="357" w:hanging="357"/>
        <w:rPr>
          <w:rStyle w:val="Strong"/>
        </w:rPr>
      </w:pPr>
      <w:r w:rsidRPr="00F70DF6">
        <w:rPr>
          <w:rStyle w:val="Strong"/>
        </w:rPr>
        <w:t>Time-Frame Restrictions</w:t>
      </w:r>
    </w:p>
    <w:p w:rsidR="00147D5F" w:rsidRPr="00F82CF3" w:rsidRDefault="00147D5F" w:rsidP="00147D5F">
      <w:r w:rsidRPr="00F82CF3">
        <w:t>It is expected that time frame restrictions will lead to more funding certainty for providers.</w:t>
      </w:r>
    </w:p>
    <w:p w:rsidR="00147D5F" w:rsidRPr="00F82CF3" w:rsidRDefault="00147D5F" w:rsidP="00F70DF6">
      <w:pPr>
        <w:pStyle w:val="ListParagraph"/>
        <w:numPr>
          <w:ilvl w:val="0"/>
          <w:numId w:val="52"/>
        </w:numPr>
        <w:spacing w:after="0"/>
        <w:ind w:left="357" w:hanging="357"/>
        <w:contextualSpacing w:val="0"/>
      </w:pPr>
      <w:r w:rsidRPr="00F82CF3">
        <w:t xml:space="preserve">The Department will complete any audit review of the re-appraisal funding submission within </w:t>
      </w:r>
      <w:r>
        <w:t>12</w:t>
      </w:r>
      <w:r w:rsidRPr="00F82CF3">
        <w:t xml:space="preserve"> months of whichever is the more recent of the:</w:t>
      </w:r>
    </w:p>
    <w:p w:rsidR="00147D5F" w:rsidRPr="00F82CF3" w:rsidRDefault="00147D5F" w:rsidP="00F70DF6">
      <w:pPr>
        <w:pStyle w:val="ListParagraph"/>
        <w:numPr>
          <w:ilvl w:val="1"/>
          <w:numId w:val="52"/>
        </w:numPr>
        <w:spacing w:after="0"/>
        <w:ind w:left="1077" w:hanging="357"/>
        <w:contextualSpacing w:val="0"/>
      </w:pPr>
      <w:r>
        <w:t>A</w:t>
      </w:r>
      <w:r w:rsidRPr="00F82CF3">
        <w:t>ppraisal start date</w:t>
      </w:r>
      <w:r w:rsidR="006B374E">
        <w:t xml:space="preserve"> or</w:t>
      </w:r>
    </w:p>
    <w:p w:rsidR="00980F62" w:rsidRDefault="00147D5F" w:rsidP="00F70DF6">
      <w:pPr>
        <w:pStyle w:val="ListParagraph"/>
        <w:numPr>
          <w:ilvl w:val="1"/>
          <w:numId w:val="52"/>
        </w:numPr>
        <w:spacing w:after="0"/>
        <w:ind w:left="1077" w:hanging="357"/>
        <w:contextualSpacing w:val="0"/>
      </w:pPr>
      <w:r>
        <w:t>A</w:t>
      </w:r>
      <w:r w:rsidRPr="00F82CF3">
        <w:t>ccepted Medicare received date.</w:t>
      </w:r>
    </w:p>
    <w:p w:rsidR="00980F62" w:rsidRDefault="00147D5F" w:rsidP="00F70DF6">
      <w:pPr>
        <w:pStyle w:val="ListParagraph"/>
        <w:numPr>
          <w:ilvl w:val="0"/>
          <w:numId w:val="52"/>
        </w:numPr>
        <w:spacing w:before="120" w:after="0"/>
        <w:ind w:left="357" w:hanging="357"/>
        <w:contextualSpacing w:val="0"/>
      </w:pPr>
      <w:r w:rsidRPr="00F82CF3">
        <w:t xml:space="preserve">If there has been no formal Department audit commenced within the </w:t>
      </w:r>
      <w:r>
        <w:t>12</w:t>
      </w:r>
      <w:r w:rsidRPr="00F82CF3">
        <w:t xml:space="preserve"> months period the providers funding submission will apply with no further funding audits applicable.</w:t>
      </w:r>
    </w:p>
    <w:p w:rsidR="00147D5F" w:rsidRPr="00F82CF3" w:rsidRDefault="00147D5F" w:rsidP="00147D5F">
      <w:pPr>
        <w:spacing w:after="160" w:line="259" w:lineRule="auto"/>
        <w:rPr>
          <w:sz w:val="28"/>
          <w:szCs w:val="28"/>
        </w:rPr>
      </w:pPr>
    </w:p>
    <w:p w:rsidR="00BA236A" w:rsidRPr="00F82CF3" w:rsidRDefault="00BA236A" w:rsidP="00BA236A">
      <w:pPr>
        <w:spacing w:after="160" w:line="259" w:lineRule="auto"/>
        <w:rPr>
          <w:sz w:val="28"/>
          <w:szCs w:val="28"/>
        </w:rPr>
        <w:sectPr w:rsidR="00BA236A" w:rsidRPr="00F82CF3" w:rsidSect="00BA236A">
          <w:headerReference w:type="even" r:id="rId119"/>
          <w:footerReference w:type="even" r:id="rId120"/>
          <w:headerReference w:type="first" r:id="rId121"/>
          <w:footerReference w:type="first" r:id="rId122"/>
          <w:type w:val="continuous"/>
          <w:pgSz w:w="11906" w:h="16838"/>
          <w:pgMar w:top="1440" w:right="1440" w:bottom="1440" w:left="1440" w:header="706" w:footer="706" w:gutter="0"/>
          <w:cols w:space="708"/>
          <w:docGrid w:linePitch="360"/>
        </w:sectPr>
      </w:pPr>
    </w:p>
    <w:p w:rsidR="00CC0633" w:rsidRDefault="00CC21FA" w:rsidP="00CC0633">
      <w:pPr>
        <w:pStyle w:val="Caption"/>
        <w:keepNext/>
      </w:pPr>
      <w:bookmarkStart w:id="722" w:name="_Toc495416862"/>
      <w:bookmarkStart w:id="723" w:name="_Toc486280163"/>
      <w:bookmarkStart w:id="724" w:name="_Hlk480490843"/>
      <w:bookmarkStart w:id="725" w:name="_Hlk480234239"/>
      <w:r>
        <w:lastRenderedPageBreak/>
        <w:t>Table 11.</w:t>
      </w:r>
      <w:r w:rsidR="009A3F5A">
        <w:fldChar w:fldCharType="begin"/>
      </w:r>
      <w:r w:rsidR="009A3F5A">
        <w:instrText xml:space="preserve"> SEQ Table_11. \* ARABIC </w:instrText>
      </w:r>
      <w:r w:rsidR="009A3F5A">
        <w:fldChar w:fldCharType="separate"/>
      </w:r>
      <w:r w:rsidR="00856E49">
        <w:rPr>
          <w:noProof/>
        </w:rPr>
        <w:t>2</w:t>
      </w:r>
      <w:r w:rsidR="009A3F5A">
        <w:rPr>
          <w:noProof/>
        </w:rPr>
        <w:fldChar w:fldCharType="end"/>
      </w:r>
      <w:r>
        <w:t xml:space="preserve">: </w:t>
      </w:r>
      <w:r w:rsidRPr="00CC21FA">
        <w:t>Option 1. Provider Self-Assessment and Modified Department Audit Model Summary</w:t>
      </w:r>
      <w:bookmarkEnd w:id="722"/>
    </w:p>
    <w:tbl>
      <w:tblPr>
        <w:tblW w:w="14215"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1E0" w:firstRow="1" w:lastRow="1" w:firstColumn="1" w:lastColumn="1" w:noHBand="0" w:noVBand="0"/>
        <w:tblDescription w:val="Table 11.2 is a list of details of the audit approach for Option 1, as summarised above. This table is to be read left to right, top to bottom, noting that NA stands for “not applicable”."/>
      </w:tblPr>
      <w:tblGrid>
        <w:gridCol w:w="2335"/>
        <w:gridCol w:w="9270"/>
        <w:gridCol w:w="1260"/>
        <w:gridCol w:w="1350"/>
      </w:tblGrid>
      <w:tr w:rsidR="00571656" w:rsidRPr="003837B9" w:rsidTr="00491D4C">
        <w:tc>
          <w:tcPr>
            <w:tcW w:w="2335" w:type="dxa"/>
            <w:shd w:val="clear" w:color="auto" w:fill="5B9BD5" w:themeFill="accent5"/>
            <w:vAlign w:val="center"/>
          </w:tcPr>
          <w:p w:rsidR="00571656" w:rsidRPr="004E38AB" w:rsidRDefault="004E38AB" w:rsidP="00491D4C">
            <w:pPr>
              <w:spacing w:after="0" w:line="240" w:lineRule="auto"/>
              <w:jc w:val="left"/>
              <w:rPr>
                <w:rFonts w:eastAsia="Times New Roman" w:cs="Tahoma"/>
                <w:b/>
                <w:color w:val="FFFFFF" w:themeColor="background1"/>
                <w:sz w:val="22"/>
                <w:lang w:eastAsia="en-AU"/>
              </w:rPr>
            </w:pPr>
            <w:r>
              <w:rPr>
                <w:rFonts w:eastAsia="Times New Roman" w:cs="Tahoma"/>
                <w:b/>
                <w:color w:val="FFFFFF" w:themeColor="background1"/>
                <w:sz w:val="22"/>
                <w:lang w:eastAsia="en-AU"/>
              </w:rPr>
              <w:t xml:space="preserve">Audit </w:t>
            </w:r>
            <w:r w:rsidR="00491D4C">
              <w:rPr>
                <w:rFonts w:eastAsia="Times New Roman" w:cs="Tahoma"/>
                <w:b/>
                <w:color w:val="FFFFFF" w:themeColor="background1"/>
                <w:sz w:val="22"/>
                <w:lang w:eastAsia="en-AU"/>
              </w:rPr>
              <w:t>Approach</w:t>
            </w:r>
          </w:p>
        </w:tc>
        <w:tc>
          <w:tcPr>
            <w:tcW w:w="9270" w:type="dxa"/>
            <w:shd w:val="clear" w:color="auto" w:fill="5B9BD5" w:themeFill="accent5"/>
            <w:vAlign w:val="center"/>
          </w:tcPr>
          <w:p w:rsidR="00571656" w:rsidRPr="003837B9" w:rsidRDefault="00571656" w:rsidP="00DD6610">
            <w:pPr>
              <w:spacing w:after="0" w:line="240" w:lineRule="auto"/>
              <w:jc w:val="center"/>
              <w:rPr>
                <w:rFonts w:eastAsia="Times New Roman" w:cs="Tahoma"/>
                <w:b/>
                <w:color w:val="FFFFFF" w:themeColor="background1"/>
                <w:sz w:val="22"/>
                <w:lang w:eastAsia="en-AU"/>
              </w:rPr>
            </w:pPr>
            <w:r w:rsidRPr="003837B9">
              <w:rPr>
                <w:rFonts w:eastAsia="Times New Roman" w:cs="Tahoma"/>
                <w:b/>
                <w:color w:val="FFFFFF" w:themeColor="background1"/>
                <w:sz w:val="22"/>
                <w:lang w:eastAsia="en-AU"/>
              </w:rPr>
              <w:t>Appraisal Types</w:t>
            </w:r>
          </w:p>
          <w:p w:rsidR="00980F62" w:rsidRDefault="00571656" w:rsidP="00DD6610">
            <w:pPr>
              <w:spacing w:after="0" w:line="240" w:lineRule="auto"/>
              <w:jc w:val="center"/>
              <w:rPr>
                <w:rFonts w:eastAsia="Times New Roman" w:cs="Tahoma"/>
                <w:color w:val="FFFFFF" w:themeColor="background1"/>
                <w:sz w:val="22"/>
                <w:lang w:eastAsia="en-AU"/>
              </w:rPr>
            </w:pPr>
            <w:r w:rsidRPr="003837B9">
              <w:rPr>
                <w:rFonts w:eastAsia="Times New Roman" w:cs="Tahoma"/>
                <w:color w:val="FFFFFF" w:themeColor="background1"/>
                <w:sz w:val="22"/>
                <w:lang w:eastAsia="en-AU"/>
              </w:rPr>
              <w:t>Entry Funding Appraisal / Mandatory 6-month re-appraisal</w:t>
            </w:r>
          </w:p>
          <w:p w:rsidR="00571656" w:rsidRPr="003837B9" w:rsidRDefault="00571656" w:rsidP="00DD6610">
            <w:pPr>
              <w:spacing w:after="0" w:line="240" w:lineRule="auto"/>
              <w:jc w:val="center"/>
              <w:rPr>
                <w:rFonts w:eastAsia="Times New Roman" w:cs="Tahoma"/>
                <w:b/>
                <w:color w:val="FFFFFF" w:themeColor="background1"/>
                <w:sz w:val="22"/>
                <w:lang w:eastAsia="en-AU"/>
              </w:rPr>
            </w:pPr>
            <w:r w:rsidRPr="003837B9">
              <w:rPr>
                <w:rFonts w:eastAsia="Times New Roman" w:cs="Tahoma"/>
                <w:color w:val="FFFFFF" w:themeColor="background1"/>
                <w:sz w:val="22"/>
                <w:lang w:eastAsia="en-AU"/>
              </w:rPr>
              <w:t>One category re-appraisal / Two category major re-appraisal</w:t>
            </w:r>
          </w:p>
        </w:tc>
        <w:tc>
          <w:tcPr>
            <w:tcW w:w="1260" w:type="dxa"/>
            <w:shd w:val="clear" w:color="auto" w:fill="5B9BD5" w:themeFill="accent5"/>
            <w:vAlign w:val="center"/>
          </w:tcPr>
          <w:p w:rsidR="00571656" w:rsidRPr="003837B9" w:rsidRDefault="00571656" w:rsidP="004E38AB">
            <w:pPr>
              <w:spacing w:after="0" w:line="240" w:lineRule="auto"/>
              <w:jc w:val="center"/>
              <w:rPr>
                <w:rFonts w:eastAsia="Times New Roman" w:cs="Tahoma"/>
                <w:b/>
                <w:color w:val="FFFFFF" w:themeColor="background1"/>
                <w:sz w:val="22"/>
                <w:lang w:eastAsia="en-AU"/>
              </w:rPr>
            </w:pPr>
            <w:r w:rsidRPr="003837B9">
              <w:rPr>
                <w:rFonts w:eastAsia="Times New Roman" w:cs="Tahoma"/>
                <w:b/>
                <w:color w:val="FFFFFF" w:themeColor="background1"/>
                <w:sz w:val="22"/>
                <w:lang w:eastAsia="en-AU"/>
              </w:rPr>
              <w:t>Review Outcomes</w:t>
            </w:r>
            <w:r w:rsidRPr="003837B9">
              <w:rPr>
                <w:rFonts w:eastAsia="Times New Roman" w:cs="Tahoma"/>
                <w:color w:val="FFFFFF" w:themeColor="background1"/>
                <w:sz w:val="22"/>
                <w:lang w:eastAsia="en-AU"/>
              </w:rPr>
              <w:t xml:space="preserve"> </w:t>
            </w:r>
            <w:r w:rsidRPr="003837B9">
              <w:rPr>
                <w:rFonts w:eastAsia="Times New Roman" w:cs="Tahoma"/>
                <w:b/>
                <w:color w:val="FFFFFF" w:themeColor="background1"/>
                <w:sz w:val="22"/>
                <w:lang w:eastAsia="en-AU"/>
              </w:rPr>
              <w:t>Agree</w:t>
            </w:r>
          </w:p>
        </w:tc>
        <w:tc>
          <w:tcPr>
            <w:tcW w:w="1350" w:type="dxa"/>
            <w:shd w:val="clear" w:color="auto" w:fill="5B9BD5" w:themeFill="accent5"/>
            <w:vAlign w:val="center"/>
          </w:tcPr>
          <w:p w:rsidR="00571656" w:rsidRPr="003837B9" w:rsidRDefault="00571656" w:rsidP="004E38AB">
            <w:pPr>
              <w:spacing w:after="0" w:line="240" w:lineRule="auto"/>
              <w:jc w:val="center"/>
              <w:rPr>
                <w:rFonts w:eastAsia="Times New Roman" w:cs="Tahoma"/>
                <w:b/>
                <w:color w:val="FFFFFF" w:themeColor="background1"/>
                <w:sz w:val="22"/>
                <w:lang w:eastAsia="en-AU"/>
              </w:rPr>
            </w:pPr>
            <w:r w:rsidRPr="003837B9">
              <w:rPr>
                <w:rFonts w:eastAsia="Times New Roman" w:cs="Tahoma"/>
                <w:b/>
                <w:color w:val="FFFFFF" w:themeColor="background1"/>
                <w:sz w:val="22"/>
                <w:lang w:eastAsia="en-AU"/>
              </w:rPr>
              <w:t>Review Outcomes</w:t>
            </w:r>
            <w:r w:rsidRPr="003837B9">
              <w:rPr>
                <w:rFonts w:eastAsia="Times New Roman" w:cs="Tahoma"/>
                <w:color w:val="FFFFFF" w:themeColor="background1"/>
                <w:sz w:val="22"/>
                <w:lang w:eastAsia="en-AU"/>
              </w:rPr>
              <w:t xml:space="preserve"> </w:t>
            </w:r>
            <w:r w:rsidRPr="003837B9">
              <w:rPr>
                <w:rFonts w:eastAsia="Times New Roman" w:cs="Tahoma"/>
                <w:b/>
                <w:color w:val="FFFFFF" w:themeColor="background1"/>
                <w:sz w:val="22"/>
                <w:lang w:eastAsia="en-AU"/>
              </w:rPr>
              <w:t>Disagree</w:t>
            </w:r>
          </w:p>
        </w:tc>
      </w:tr>
      <w:tr w:rsidR="004E38AB" w:rsidRPr="007E55BA" w:rsidTr="004E38AB">
        <w:tc>
          <w:tcPr>
            <w:tcW w:w="2335" w:type="dxa"/>
            <w:shd w:val="clear" w:color="auto" w:fill="auto"/>
          </w:tcPr>
          <w:p w:rsidR="004E38AB" w:rsidRPr="007E55BA" w:rsidRDefault="004E38AB" w:rsidP="004E38AB">
            <w:pPr>
              <w:spacing w:after="0" w:line="240" w:lineRule="auto"/>
              <w:jc w:val="left"/>
              <w:rPr>
                <w:rFonts w:eastAsia="Times New Roman" w:cs="Tahoma"/>
                <w:b/>
                <w:sz w:val="22"/>
                <w:lang w:eastAsia="en-AU"/>
              </w:rPr>
            </w:pPr>
            <w:r w:rsidRPr="007E55BA">
              <w:rPr>
                <w:rFonts w:eastAsia="Times New Roman" w:cs="Tahoma"/>
                <w:b/>
                <w:sz w:val="22"/>
                <w:lang w:eastAsia="en-AU"/>
              </w:rPr>
              <w:t>New Resident</w:t>
            </w:r>
          </w:p>
        </w:tc>
        <w:tc>
          <w:tcPr>
            <w:tcW w:w="9270" w:type="dxa"/>
          </w:tcPr>
          <w:p w:rsidR="004E38AB" w:rsidRPr="007E55BA" w:rsidRDefault="004E38AB" w:rsidP="004E38AB">
            <w:pPr>
              <w:spacing w:after="0" w:line="240" w:lineRule="auto"/>
              <w:jc w:val="left"/>
              <w:rPr>
                <w:rFonts w:eastAsia="Times New Roman" w:cs="Tahoma"/>
                <w:sz w:val="22"/>
                <w:lang w:eastAsia="en-AU"/>
              </w:rPr>
            </w:pPr>
            <w:r w:rsidRPr="007E55BA">
              <w:rPr>
                <w:rFonts w:eastAsia="Times New Roman" w:cs="Tahoma"/>
                <w:sz w:val="22"/>
                <w:lang w:eastAsia="en-AU"/>
              </w:rPr>
              <w:t>Provider completes R-ACFI and submits to Medicare</w:t>
            </w:r>
            <w:r>
              <w:rPr>
                <w:rFonts w:eastAsia="Times New Roman" w:cs="Tahoma"/>
                <w:sz w:val="22"/>
                <w:lang w:eastAsia="en-AU"/>
              </w:rPr>
              <w:t xml:space="preserve"> (current rules apply)</w:t>
            </w:r>
          </w:p>
        </w:tc>
        <w:tc>
          <w:tcPr>
            <w:tcW w:w="1260" w:type="dxa"/>
          </w:tcPr>
          <w:p w:rsidR="004E38AB" w:rsidRPr="004E38AB" w:rsidRDefault="004E38AB" w:rsidP="004E38AB">
            <w:pPr>
              <w:spacing w:after="0" w:line="240" w:lineRule="auto"/>
              <w:jc w:val="center"/>
              <w:rPr>
                <w:rFonts w:eastAsia="Times New Roman" w:cs="Tahoma"/>
                <w:i/>
                <w:sz w:val="22"/>
                <w:lang w:eastAsia="en-AU"/>
              </w:rPr>
            </w:pPr>
            <w:r w:rsidRPr="004E38AB">
              <w:rPr>
                <w:rFonts w:eastAsia="Times New Roman" w:cs="Tahoma"/>
                <w:i/>
                <w:sz w:val="22"/>
                <w:lang w:eastAsia="en-AU"/>
              </w:rPr>
              <w:t>NA</w:t>
            </w:r>
          </w:p>
        </w:tc>
        <w:tc>
          <w:tcPr>
            <w:tcW w:w="1350" w:type="dxa"/>
          </w:tcPr>
          <w:p w:rsidR="004E38AB" w:rsidRPr="007E55BA" w:rsidRDefault="004E38AB" w:rsidP="004E38AB">
            <w:pPr>
              <w:spacing w:after="0" w:line="240" w:lineRule="auto"/>
              <w:jc w:val="center"/>
              <w:rPr>
                <w:rFonts w:eastAsia="Times New Roman" w:cs="Tahoma"/>
                <w:sz w:val="22"/>
                <w:lang w:eastAsia="en-AU"/>
              </w:rPr>
            </w:pPr>
            <w:r w:rsidRPr="004E38AB">
              <w:rPr>
                <w:rFonts w:eastAsia="Times New Roman" w:cs="Tahoma"/>
                <w:i/>
                <w:sz w:val="22"/>
                <w:lang w:eastAsia="en-AU"/>
              </w:rPr>
              <w:t>NA</w:t>
            </w:r>
          </w:p>
        </w:tc>
      </w:tr>
      <w:tr w:rsidR="004E38AB" w:rsidRPr="007E55BA" w:rsidTr="004E38AB">
        <w:tc>
          <w:tcPr>
            <w:tcW w:w="2335" w:type="dxa"/>
            <w:shd w:val="clear" w:color="auto" w:fill="auto"/>
          </w:tcPr>
          <w:p w:rsidR="004E38AB" w:rsidRDefault="004E38AB" w:rsidP="004E38AB">
            <w:pPr>
              <w:spacing w:after="0" w:line="240" w:lineRule="auto"/>
              <w:jc w:val="left"/>
              <w:rPr>
                <w:rFonts w:eastAsia="Times New Roman" w:cs="Tahoma"/>
                <w:b/>
                <w:sz w:val="22"/>
                <w:lang w:eastAsia="en-AU"/>
              </w:rPr>
            </w:pPr>
            <w:r w:rsidRPr="007E55BA">
              <w:rPr>
                <w:rFonts w:eastAsia="Times New Roman" w:cs="Tahoma"/>
                <w:b/>
                <w:sz w:val="22"/>
                <w:lang w:eastAsia="en-AU"/>
              </w:rPr>
              <w:t>Validation Approach</w:t>
            </w:r>
          </w:p>
          <w:p w:rsidR="004E38AB" w:rsidRPr="007E55BA" w:rsidRDefault="004E38AB" w:rsidP="004E38AB">
            <w:pPr>
              <w:spacing w:after="0" w:line="240" w:lineRule="auto"/>
              <w:jc w:val="left"/>
              <w:rPr>
                <w:rFonts w:eastAsia="Times New Roman" w:cs="Tahoma"/>
                <w:sz w:val="22"/>
                <w:lang w:eastAsia="en-AU"/>
              </w:rPr>
            </w:pPr>
            <w:r w:rsidRPr="007E55BA">
              <w:rPr>
                <w:rFonts w:eastAsia="Times New Roman" w:cs="Tahoma"/>
                <w:sz w:val="22"/>
                <w:lang w:eastAsia="en-AU"/>
              </w:rPr>
              <w:t>Three tiered</w:t>
            </w:r>
          </w:p>
        </w:tc>
        <w:tc>
          <w:tcPr>
            <w:tcW w:w="9270" w:type="dxa"/>
          </w:tcPr>
          <w:p w:rsidR="004E38AB" w:rsidRDefault="004E38AB" w:rsidP="004E38AB">
            <w:pPr>
              <w:spacing w:after="0" w:line="240" w:lineRule="auto"/>
              <w:jc w:val="left"/>
              <w:rPr>
                <w:rFonts w:eastAsia="Times New Roman" w:cs="Tahoma"/>
                <w:sz w:val="22"/>
                <w:lang w:eastAsia="en-AU"/>
              </w:rPr>
            </w:pPr>
            <w:r>
              <w:rPr>
                <w:rFonts w:eastAsia="Times New Roman" w:cs="Tahoma"/>
                <w:sz w:val="22"/>
                <w:lang w:eastAsia="en-AU"/>
              </w:rPr>
              <w:t>Can only be applied for a period of 12 months. R-ACFIs not reviewed are automatically approved.</w:t>
            </w:r>
          </w:p>
          <w:p w:rsidR="00980F62" w:rsidRDefault="004E38AB" w:rsidP="004E38AB">
            <w:pPr>
              <w:spacing w:after="0" w:line="240" w:lineRule="auto"/>
              <w:jc w:val="left"/>
              <w:rPr>
                <w:rFonts w:eastAsia="Times New Roman" w:cs="Tahoma"/>
                <w:sz w:val="22"/>
                <w:lang w:eastAsia="en-AU"/>
              </w:rPr>
            </w:pPr>
            <w:r>
              <w:rPr>
                <w:rFonts w:eastAsia="Times New Roman" w:cs="Tahoma"/>
                <w:sz w:val="22"/>
                <w:lang w:eastAsia="en-AU"/>
              </w:rPr>
              <w:t>From most recent of:</w:t>
            </w:r>
          </w:p>
          <w:p w:rsidR="00980F62" w:rsidRDefault="004E38AB" w:rsidP="004E38AB">
            <w:pPr>
              <w:pStyle w:val="ListParagraph"/>
              <w:numPr>
                <w:ilvl w:val="0"/>
                <w:numId w:val="65"/>
              </w:numPr>
              <w:spacing w:after="0" w:line="240" w:lineRule="auto"/>
              <w:ind w:left="357" w:hanging="357"/>
              <w:jc w:val="left"/>
              <w:rPr>
                <w:rFonts w:eastAsia="Times New Roman" w:cs="Tahoma"/>
                <w:sz w:val="22"/>
                <w:lang w:eastAsia="en-AU"/>
              </w:rPr>
            </w:pPr>
            <w:r w:rsidRPr="00BD14E8">
              <w:rPr>
                <w:rFonts w:eastAsia="Times New Roman" w:cs="Tahoma"/>
                <w:sz w:val="22"/>
                <w:lang w:eastAsia="en-AU"/>
              </w:rPr>
              <w:t>R-ACFI appraisal start date or</w:t>
            </w:r>
          </w:p>
          <w:p w:rsidR="004E38AB" w:rsidRPr="007E55BA" w:rsidRDefault="004E38AB" w:rsidP="004E38AB">
            <w:pPr>
              <w:pStyle w:val="ListParagraph"/>
              <w:numPr>
                <w:ilvl w:val="0"/>
                <w:numId w:val="65"/>
              </w:numPr>
              <w:spacing w:after="0" w:line="240" w:lineRule="auto"/>
              <w:ind w:left="357" w:hanging="357"/>
              <w:jc w:val="left"/>
              <w:rPr>
                <w:rFonts w:eastAsia="Times New Roman" w:cs="Tahoma"/>
                <w:sz w:val="22"/>
                <w:lang w:eastAsia="en-AU"/>
              </w:rPr>
            </w:pPr>
            <w:r w:rsidRPr="00BD14E8">
              <w:rPr>
                <w:rFonts w:eastAsia="Times New Roman" w:cs="Tahoma"/>
                <w:sz w:val="22"/>
                <w:lang w:eastAsia="en-AU"/>
              </w:rPr>
              <w:t xml:space="preserve">R-ACFI submission to Medicare. </w:t>
            </w:r>
          </w:p>
        </w:tc>
        <w:tc>
          <w:tcPr>
            <w:tcW w:w="1260" w:type="dxa"/>
          </w:tcPr>
          <w:p w:rsidR="004E38AB" w:rsidRPr="007E55BA" w:rsidRDefault="004E38AB" w:rsidP="004E38AB">
            <w:pPr>
              <w:spacing w:after="0" w:line="240" w:lineRule="auto"/>
              <w:jc w:val="center"/>
              <w:rPr>
                <w:rFonts w:eastAsia="Times New Roman" w:cs="Tahoma"/>
                <w:sz w:val="22"/>
                <w:lang w:eastAsia="en-AU"/>
              </w:rPr>
            </w:pPr>
            <w:r w:rsidRPr="004E38AB">
              <w:rPr>
                <w:rFonts w:eastAsia="Times New Roman" w:cs="Tahoma"/>
                <w:i/>
                <w:sz w:val="22"/>
                <w:lang w:eastAsia="en-AU"/>
              </w:rPr>
              <w:t>NA</w:t>
            </w:r>
          </w:p>
        </w:tc>
        <w:tc>
          <w:tcPr>
            <w:tcW w:w="1350" w:type="dxa"/>
          </w:tcPr>
          <w:p w:rsidR="004E38AB" w:rsidRPr="007E55BA" w:rsidRDefault="004E38AB" w:rsidP="004E38AB">
            <w:pPr>
              <w:spacing w:after="0" w:line="240" w:lineRule="auto"/>
              <w:jc w:val="center"/>
              <w:rPr>
                <w:rFonts w:eastAsia="Times New Roman" w:cs="Tahoma"/>
                <w:sz w:val="22"/>
                <w:lang w:eastAsia="en-AU"/>
              </w:rPr>
            </w:pPr>
            <w:r w:rsidRPr="004E38AB">
              <w:rPr>
                <w:rFonts w:eastAsia="Times New Roman" w:cs="Tahoma"/>
                <w:i/>
                <w:sz w:val="22"/>
                <w:lang w:eastAsia="en-AU"/>
              </w:rPr>
              <w:t>NA</w:t>
            </w:r>
          </w:p>
        </w:tc>
      </w:tr>
      <w:tr w:rsidR="00571656" w:rsidRPr="007E55BA" w:rsidTr="004E38AB">
        <w:tc>
          <w:tcPr>
            <w:tcW w:w="2335" w:type="dxa"/>
            <w:shd w:val="clear" w:color="auto" w:fill="auto"/>
          </w:tcPr>
          <w:p w:rsidR="00571656" w:rsidRPr="007E55BA" w:rsidRDefault="00571656" w:rsidP="004E38AB">
            <w:pPr>
              <w:spacing w:after="0" w:line="240" w:lineRule="auto"/>
              <w:jc w:val="left"/>
              <w:rPr>
                <w:rFonts w:eastAsia="Times New Roman" w:cs="Tahoma"/>
                <w:b/>
                <w:sz w:val="22"/>
                <w:lang w:eastAsia="en-AU"/>
              </w:rPr>
            </w:pPr>
            <w:r w:rsidRPr="007E55BA">
              <w:rPr>
                <w:rFonts w:eastAsia="Times New Roman" w:cs="Tahoma"/>
                <w:b/>
                <w:sz w:val="22"/>
                <w:lang w:eastAsia="en-AU"/>
              </w:rPr>
              <w:t>Validation Level 1</w:t>
            </w:r>
          </w:p>
          <w:p w:rsidR="00571656" w:rsidRPr="007E55BA" w:rsidRDefault="00571656" w:rsidP="004E38AB">
            <w:pPr>
              <w:spacing w:after="0" w:line="240" w:lineRule="auto"/>
              <w:jc w:val="left"/>
              <w:rPr>
                <w:rFonts w:eastAsia="Times New Roman" w:cs="Tahoma"/>
                <w:sz w:val="22"/>
                <w:lang w:eastAsia="en-AU"/>
              </w:rPr>
            </w:pPr>
            <w:r w:rsidRPr="007E55BA">
              <w:rPr>
                <w:rFonts w:eastAsia="Times New Roman" w:cs="Tahoma"/>
                <w:sz w:val="22"/>
                <w:lang w:eastAsia="en-AU"/>
              </w:rPr>
              <w:t xml:space="preserve">Data </w:t>
            </w:r>
            <w:r>
              <w:rPr>
                <w:rFonts w:eastAsia="Times New Roman" w:cs="Tahoma"/>
                <w:sz w:val="22"/>
                <w:lang w:eastAsia="en-AU"/>
              </w:rPr>
              <w:t>Matching &amp; Algorithm Audits</w:t>
            </w:r>
          </w:p>
          <w:p w:rsidR="00571656" w:rsidRPr="007E55BA" w:rsidRDefault="00571656" w:rsidP="004E38AB">
            <w:pPr>
              <w:spacing w:after="0" w:line="240" w:lineRule="auto"/>
              <w:jc w:val="left"/>
              <w:rPr>
                <w:rFonts w:eastAsia="Times New Roman" w:cs="Tahoma"/>
                <w:b/>
                <w:sz w:val="22"/>
                <w:lang w:eastAsia="en-AU"/>
              </w:rPr>
            </w:pPr>
            <w:r w:rsidRPr="007E55BA">
              <w:rPr>
                <w:rFonts w:eastAsia="Times New Roman" w:cs="Tahoma"/>
                <w:b/>
                <w:sz w:val="22"/>
                <w:lang w:eastAsia="en-AU"/>
              </w:rPr>
              <w:t>Time requirement</w:t>
            </w:r>
          </w:p>
          <w:p w:rsidR="00571656" w:rsidRPr="007E55BA" w:rsidRDefault="00571656" w:rsidP="004E38AB">
            <w:pPr>
              <w:spacing w:after="0" w:line="240" w:lineRule="auto"/>
              <w:jc w:val="left"/>
              <w:rPr>
                <w:rFonts w:eastAsia="Times New Roman" w:cs="Tahoma"/>
                <w:b/>
                <w:sz w:val="22"/>
                <w:lang w:eastAsia="en-AU"/>
              </w:rPr>
            </w:pPr>
            <w:r w:rsidRPr="007E55BA">
              <w:rPr>
                <w:rFonts w:eastAsia="Times New Roman" w:cs="Tahoma"/>
                <w:sz w:val="22"/>
                <w:lang w:eastAsia="en-AU"/>
              </w:rPr>
              <w:t xml:space="preserve">computer program </w:t>
            </w:r>
          </w:p>
        </w:tc>
        <w:tc>
          <w:tcPr>
            <w:tcW w:w="9270" w:type="dxa"/>
          </w:tcPr>
          <w:p w:rsidR="00980F62" w:rsidRDefault="00571656" w:rsidP="00F02312">
            <w:pPr>
              <w:pStyle w:val="ListParagraph"/>
              <w:numPr>
                <w:ilvl w:val="2"/>
                <w:numId w:val="161"/>
              </w:numPr>
              <w:spacing w:after="0" w:line="240" w:lineRule="auto"/>
              <w:ind w:left="357" w:hanging="357"/>
              <w:jc w:val="left"/>
              <w:rPr>
                <w:rFonts w:eastAsia="Times New Roman" w:cs="Tahoma"/>
                <w:sz w:val="22"/>
                <w:lang w:eastAsia="en-AU"/>
              </w:rPr>
            </w:pPr>
            <w:r w:rsidRPr="004E38AB">
              <w:rPr>
                <w:rFonts w:eastAsia="Times New Roman" w:cs="Tahoma"/>
                <w:sz w:val="22"/>
                <w:lang w:eastAsia="en-AU"/>
              </w:rPr>
              <w:t>Basic data validation check</w:t>
            </w:r>
          </w:p>
          <w:p w:rsidR="00571656" w:rsidRPr="004E38AB" w:rsidRDefault="00571656" w:rsidP="00F02312">
            <w:pPr>
              <w:pStyle w:val="ListParagraph"/>
              <w:numPr>
                <w:ilvl w:val="2"/>
                <w:numId w:val="161"/>
              </w:numPr>
              <w:spacing w:after="0" w:line="240" w:lineRule="auto"/>
              <w:ind w:left="357" w:hanging="357"/>
              <w:jc w:val="left"/>
              <w:rPr>
                <w:rFonts w:eastAsia="Times New Roman" w:cs="Tahoma"/>
                <w:sz w:val="22"/>
                <w:lang w:eastAsia="en-AU"/>
              </w:rPr>
            </w:pPr>
            <w:r w:rsidRPr="004E38AB">
              <w:rPr>
                <w:rFonts w:eastAsia="Times New Roman" w:cs="Tahoma"/>
                <w:sz w:val="22"/>
                <w:lang w:eastAsia="en-AU"/>
              </w:rPr>
              <w:t>Data algorithm check</w:t>
            </w:r>
          </w:p>
          <w:p w:rsidR="00571656" w:rsidRPr="004E38AB" w:rsidRDefault="00571656" w:rsidP="00F02312">
            <w:pPr>
              <w:pStyle w:val="ListParagraph"/>
              <w:numPr>
                <w:ilvl w:val="0"/>
                <w:numId w:val="185"/>
              </w:numPr>
              <w:spacing w:after="0" w:line="240" w:lineRule="auto"/>
              <w:jc w:val="left"/>
              <w:rPr>
                <w:rFonts w:eastAsia="Times New Roman" w:cs="Tahoma"/>
                <w:sz w:val="22"/>
                <w:lang w:eastAsia="en-AU"/>
              </w:rPr>
            </w:pPr>
            <w:r w:rsidRPr="004E38AB">
              <w:rPr>
                <w:rFonts w:eastAsia="Times New Roman" w:cs="Tahoma"/>
                <w:sz w:val="22"/>
                <w:lang w:eastAsia="en-AU"/>
              </w:rPr>
              <w:t>checks facility R-ACFI against ACAT completed NSAF R-ACFI (new residents)</w:t>
            </w:r>
          </w:p>
          <w:p w:rsidR="00571656" w:rsidRPr="004E38AB" w:rsidRDefault="00571656" w:rsidP="00F02312">
            <w:pPr>
              <w:pStyle w:val="ListParagraph"/>
              <w:numPr>
                <w:ilvl w:val="0"/>
                <w:numId w:val="185"/>
              </w:numPr>
              <w:spacing w:after="0" w:line="240" w:lineRule="auto"/>
              <w:jc w:val="left"/>
              <w:rPr>
                <w:rFonts w:eastAsia="Times New Roman" w:cs="Tahoma"/>
                <w:sz w:val="22"/>
                <w:lang w:eastAsia="en-AU"/>
              </w:rPr>
            </w:pPr>
            <w:r w:rsidRPr="004E38AB">
              <w:rPr>
                <w:rFonts w:eastAsia="Times New Roman" w:cs="Tahoma"/>
                <w:sz w:val="22"/>
                <w:lang w:eastAsia="en-AU"/>
              </w:rPr>
              <w:t>applies current data modelling analytics and historical data to predict likely changes since NSAF R-ACFI was completed.</w:t>
            </w:r>
          </w:p>
        </w:tc>
        <w:tc>
          <w:tcPr>
            <w:tcW w:w="1260" w:type="dxa"/>
          </w:tcPr>
          <w:p w:rsidR="00571656" w:rsidRPr="007E55BA" w:rsidRDefault="00571656" w:rsidP="004E38AB">
            <w:pPr>
              <w:spacing w:after="0" w:line="240" w:lineRule="auto"/>
              <w:jc w:val="center"/>
              <w:rPr>
                <w:rFonts w:eastAsia="Times New Roman" w:cs="Tahoma"/>
                <w:sz w:val="22"/>
                <w:lang w:eastAsia="en-AU"/>
              </w:rPr>
            </w:pPr>
            <w:r w:rsidRPr="007E55BA">
              <w:rPr>
                <w:rFonts w:eastAsia="Times New Roman" w:cs="Tahoma"/>
                <w:sz w:val="22"/>
                <w:lang w:eastAsia="en-AU"/>
              </w:rPr>
              <w:t>Funding Approved</w:t>
            </w:r>
          </w:p>
        </w:tc>
        <w:tc>
          <w:tcPr>
            <w:tcW w:w="1350" w:type="dxa"/>
          </w:tcPr>
          <w:p w:rsidR="00571656" w:rsidRPr="007E55BA" w:rsidRDefault="00571656" w:rsidP="004E38AB">
            <w:pPr>
              <w:spacing w:after="0" w:line="240" w:lineRule="auto"/>
              <w:jc w:val="center"/>
              <w:rPr>
                <w:rFonts w:eastAsia="Times New Roman" w:cs="Tahoma"/>
                <w:sz w:val="22"/>
                <w:lang w:eastAsia="en-AU"/>
              </w:rPr>
            </w:pPr>
            <w:r w:rsidRPr="007E55BA">
              <w:rPr>
                <w:rFonts w:eastAsia="Times New Roman" w:cs="Tahoma"/>
                <w:sz w:val="22"/>
                <w:lang w:eastAsia="en-AU"/>
              </w:rPr>
              <w:t xml:space="preserve">Downgrade </w:t>
            </w:r>
            <w:r w:rsidRPr="007E55BA">
              <w:rPr>
                <w:rFonts w:eastAsia="Times New Roman" w:cs="Tahoma"/>
                <w:b/>
                <w:sz w:val="22"/>
                <w:lang w:eastAsia="en-AU"/>
              </w:rPr>
              <w:t>OR</w:t>
            </w:r>
          </w:p>
          <w:p w:rsidR="00571656" w:rsidRPr="007E55BA" w:rsidRDefault="00571656" w:rsidP="004E38AB">
            <w:pPr>
              <w:spacing w:after="0" w:line="240" w:lineRule="auto"/>
              <w:jc w:val="center"/>
              <w:rPr>
                <w:rFonts w:eastAsia="Times New Roman" w:cs="Tahoma"/>
                <w:sz w:val="22"/>
                <w:lang w:eastAsia="en-AU"/>
              </w:rPr>
            </w:pPr>
            <w:r w:rsidRPr="007E55BA">
              <w:rPr>
                <w:rFonts w:eastAsia="Times New Roman" w:cs="Tahoma"/>
                <w:sz w:val="22"/>
                <w:lang w:eastAsia="en-AU"/>
              </w:rPr>
              <w:t>Go to Validation Level 2/3</w:t>
            </w:r>
          </w:p>
        </w:tc>
      </w:tr>
      <w:tr w:rsidR="00571656" w:rsidRPr="007E55BA" w:rsidTr="004E38AB">
        <w:tc>
          <w:tcPr>
            <w:tcW w:w="2335" w:type="dxa"/>
            <w:shd w:val="clear" w:color="auto" w:fill="auto"/>
          </w:tcPr>
          <w:p w:rsidR="00571656" w:rsidRPr="007E55BA" w:rsidRDefault="00571656" w:rsidP="004E38AB">
            <w:pPr>
              <w:spacing w:after="0" w:line="240" w:lineRule="auto"/>
              <w:jc w:val="left"/>
              <w:rPr>
                <w:rFonts w:eastAsia="Times New Roman" w:cs="Tahoma"/>
                <w:b/>
                <w:sz w:val="22"/>
                <w:lang w:eastAsia="en-AU"/>
              </w:rPr>
            </w:pPr>
            <w:r w:rsidRPr="007E55BA">
              <w:rPr>
                <w:rFonts w:eastAsia="Times New Roman" w:cs="Tahoma"/>
                <w:b/>
                <w:sz w:val="22"/>
                <w:lang w:eastAsia="en-AU"/>
              </w:rPr>
              <w:t>Validation Level 2</w:t>
            </w:r>
          </w:p>
          <w:p w:rsidR="00571656" w:rsidRDefault="00571656" w:rsidP="004E38AB">
            <w:pPr>
              <w:spacing w:after="0" w:line="240" w:lineRule="auto"/>
              <w:jc w:val="left"/>
              <w:rPr>
                <w:rFonts w:eastAsia="Times New Roman" w:cs="Tahoma"/>
                <w:sz w:val="22"/>
                <w:lang w:eastAsia="en-AU"/>
              </w:rPr>
            </w:pPr>
            <w:r w:rsidRPr="007E55BA">
              <w:rPr>
                <w:rFonts w:eastAsia="Times New Roman" w:cs="Tahoma"/>
                <w:sz w:val="22"/>
                <w:lang w:eastAsia="en-AU"/>
              </w:rPr>
              <w:t>e-Review</w:t>
            </w:r>
          </w:p>
          <w:p w:rsidR="00571656" w:rsidRPr="007E55BA" w:rsidRDefault="00571656" w:rsidP="004E38AB">
            <w:pPr>
              <w:spacing w:after="0" w:line="240" w:lineRule="auto"/>
              <w:jc w:val="left"/>
              <w:rPr>
                <w:rFonts w:eastAsia="Times New Roman" w:cs="Tahoma"/>
                <w:b/>
                <w:sz w:val="22"/>
                <w:lang w:eastAsia="en-AU"/>
              </w:rPr>
            </w:pPr>
            <w:r>
              <w:rPr>
                <w:rFonts w:eastAsia="Times New Roman" w:cs="Tahoma"/>
                <w:sz w:val="22"/>
                <w:lang w:eastAsia="en-AU"/>
              </w:rPr>
              <w:t>(medium to longer term possibility)</w:t>
            </w:r>
            <w:r w:rsidRPr="007E55BA">
              <w:rPr>
                <w:rFonts w:eastAsia="Times New Roman" w:cs="Tahoma"/>
                <w:sz w:val="22"/>
                <w:lang w:eastAsia="en-AU"/>
              </w:rPr>
              <w:t xml:space="preserve"> </w:t>
            </w:r>
          </w:p>
        </w:tc>
        <w:tc>
          <w:tcPr>
            <w:tcW w:w="9270" w:type="dxa"/>
          </w:tcPr>
          <w:p w:rsidR="00571656" w:rsidRDefault="00571656" w:rsidP="004E38AB">
            <w:pPr>
              <w:spacing w:after="0" w:line="240" w:lineRule="auto"/>
              <w:jc w:val="left"/>
              <w:rPr>
                <w:rFonts w:eastAsia="Times New Roman" w:cs="Tahoma"/>
                <w:sz w:val="22"/>
                <w:lang w:eastAsia="en-AU"/>
              </w:rPr>
            </w:pPr>
            <w:r>
              <w:rPr>
                <w:rFonts w:eastAsia="Times New Roman" w:cs="Tahoma"/>
                <w:sz w:val="22"/>
                <w:lang w:eastAsia="en-AU"/>
              </w:rPr>
              <w:t>ROs</w:t>
            </w:r>
            <w:r w:rsidRPr="0018237F">
              <w:rPr>
                <w:rFonts w:eastAsia="Times New Roman" w:cs="Tahoma"/>
                <w:sz w:val="22"/>
                <w:lang w:eastAsia="en-AU"/>
              </w:rPr>
              <w:t xml:space="preserve"> use remote access to provider electronic clinical software system </w:t>
            </w:r>
            <w:r>
              <w:rPr>
                <w:rFonts w:eastAsia="Times New Roman" w:cs="Tahoma"/>
                <w:sz w:val="22"/>
                <w:lang w:eastAsia="en-AU"/>
              </w:rPr>
              <w:t>‘</w:t>
            </w:r>
            <w:r w:rsidRPr="0018237F">
              <w:rPr>
                <w:rFonts w:eastAsia="Times New Roman" w:cs="Tahoma"/>
                <w:sz w:val="22"/>
                <w:lang w:eastAsia="en-AU"/>
              </w:rPr>
              <w:t>partitioned sections</w:t>
            </w:r>
            <w:r>
              <w:rPr>
                <w:rFonts w:eastAsia="Times New Roman" w:cs="Tahoma"/>
                <w:sz w:val="22"/>
                <w:lang w:eastAsia="en-AU"/>
              </w:rPr>
              <w:t>’</w:t>
            </w:r>
            <w:r w:rsidRPr="0018237F">
              <w:rPr>
                <w:rFonts w:eastAsia="Times New Roman" w:cs="Tahoma"/>
                <w:sz w:val="22"/>
                <w:lang w:eastAsia="en-AU"/>
              </w:rPr>
              <w:t xml:space="preserve"> to conduct e-Review</w:t>
            </w:r>
            <w:r>
              <w:rPr>
                <w:rFonts w:eastAsia="Times New Roman" w:cs="Tahoma"/>
                <w:sz w:val="22"/>
                <w:lang w:eastAsia="en-AU"/>
              </w:rPr>
              <w:t>.</w:t>
            </w:r>
          </w:p>
          <w:p w:rsidR="00571656" w:rsidRPr="007E55BA" w:rsidRDefault="00571656" w:rsidP="004E38AB">
            <w:pPr>
              <w:spacing w:after="0" w:line="240" w:lineRule="auto"/>
              <w:jc w:val="left"/>
              <w:rPr>
                <w:rFonts w:eastAsia="Times New Roman" w:cs="Tahoma"/>
                <w:sz w:val="22"/>
                <w:lang w:eastAsia="en-AU"/>
              </w:rPr>
            </w:pPr>
            <w:r>
              <w:rPr>
                <w:sz w:val="22"/>
              </w:rPr>
              <w:t>ROs</w:t>
            </w:r>
            <w:r w:rsidRPr="0018237F">
              <w:rPr>
                <w:sz w:val="22"/>
              </w:rPr>
              <w:t xml:space="preserve"> document their findings and provide a report for providers which provide</w:t>
            </w:r>
            <w:r>
              <w:rPr>
                <w:sz w:val="22"/>
              </w:rPr>
              <w:t>s</w:t>
            </w:r>
            <w:r w:rsidRPr="0018237F">
              <w:rPr>
                <w:sz w:val="22"/>
              </w:rPr>
              <w:t xml:space="preserve"> the </w:t>
            </w:r>
            <w:r>
              <w:rPr>
                <w:sz w:val="22"/>
              </w:rPr>
              <w:t xml:space="preserve">rationale </w:t>
            </w:r>
            <w:r w:rsidRPr="0018237F">
              <w:rPr>
                <w:sz w:val="22"/>
              </w:rPr>
              <w:t>for the</w:t>
            </w:r>
            <w:r>
              <w:rPr>
                <w:sz w:val="22"/>
              </w:rPr>
              <w:t>ir</w:t>
            </w:r>
            <w:r w:rsidRPr="0018237F">
              <w:rPr>
                <w:sz w:val="22"/>
              </w:rPr>
              <w:t xml:space="preserve"> decision</w:t>
            </w:r>
            <w:r>
              <w:rPr>
                <w:sz w:val="22"/>
              </w:rPr>
              <w:t xml:space="preserve">s </w:t>
            </w:r>
          </w:p>
        </w:tc>
        <w:tc>
          <w:tcPr>
            <w:tcW w:w="1260" w:type="dxa"/>
          </w:tcPr>
          <w:p w:rsidR="00571656" w:rsidRPr="007E55BA" w:rsidRDefault="00571656" w:rsidP="004E38AB">
            <w:pPr>
              <w:spacing w:after="0" w:line="240" w:lineRule="auto"/>
              <w:jc w:val="center"/>
              <w:rPr>
                <w:rFonts w:eastAsia="Times New Roman" w:cs="Tahoma"/>
                <w:sz w:val="22"/>
                <w:lang w:eastAsia="en-AU"/>
              </w:rPr>
            </w:pPr>
            <w:r w:rsidRPr="007E55BA">
              <w:rPr>
                <w:rFonts w:eastAsia="Times New Roman" w:cs="Tahoma"/>
                <w:sz w:val="22"/>
                <w:lang w:eastAsia="en-AU"/>
              </w:rPr>
              <w:t>Funding Approved</w:t>
            </w:r>
          </w:p>
        </w:tc>
        <w:tc>
          <w:tcPr>
            <w:tcW w:w="1350" w:type="dxa"/>
          </w:tcPr>
          <w:p w:rsidR="00571656" w:rsidRPr="007E55BA" w:rsidRDefault="00571656" w:rsidP="004E38AB">
            <w:pPr>
              <w:spacing w:after="0" w:line="240" w:lineRule="auto"/>
              <w:jc w:val="center"/>
              <w:rPr>
                <w:rFonts w:eastAsia="Times New Roman" w:cs="Tahoma"/>
                <w:sz w:val="22"/>
                <w:lang w:eastAsia="en-AU"/>
              </w:rPr>
            </w:pPr>
            <w:r w:rsidRPr="007E55BA">
              <w:rPr>
                <w:rFonts w:eastAsia="Times New Roman" w:cs="Tahoma"/>
                <w:sz w:val="22"/>
                <w:lang w:eastAsia="en-AU"/>
              </w:rPr>
              <w:t xml:space="preserve">Downgrade </w:t>
            </w:r>
            <w:r w:rsidRPr="007E55BA">
              <w:rPr>
                <w:rFonts w:eastAsia="Times New Roman" w:cs="Tahoma"/>
                <w:b/>
                <w:sz w:val="22"/>
                <w:lang w:eastAsia="en-AU"/>
              </w:rPr>
              <w:t>OR</w:t>
            </w:r>
          </w:p>
          <w:p w:rsidR="00571656" w:rsidRPr="007E55BA" w:rsidRDefault="00571656" w:rsidP="004E38AB">
            <w:pPr>
              <w:spacing w:after="0" w:line="240" w:lineRule="auto"/>
              <w:jc w:val="center"/>
              <w:rPr>
                <w:rFonts w:eastAsia="Times New Roman" w:cs="Tahoma"/>
                <w:sz w:val="22"/>
                <w:lang w:eastAsia="en-AU"/>
              </w:rPr>
            </w:pPr>
            <w:r w:rsidRPr="007E55BA">
              <w:rPr>
                <w:rFonts w:eastAsia="Times New Roman" w:cs="Tahoma"/>
                <w:sz w:val="22"/>
                <w:lang w:eastAsia="en-AU"/>
              </w:rPr>
              <w:t>Possible Level 3</w:t>
            </w:r>
          </w:p>
        </w:tc>
      </w:tr>
      <w:tr w:rsidR="00571656" w:rsidRPr="007E55BA" w:rsidTr="004E38AB">
        <w:tc>
          <w:tcPr>
            <w:tcW w:w="2335" w:type="dxa"/>
            <w:shd w:val="clear" w:color="auto" w:fill="auto"/>
          </w:tcPr>
          <w:p w:rsidR="00571656" w:rsidRPr="007E55BA" w:rsidRDefault="00571656" w:rsidP="004E38AB">
            <w:pPr>
              <w:spacing w:after="0" w:line="240" w:lineRule="auto"/>
              <w:jc w:val="left"/>
              <w:rPr>
                <w:rFonts w:eastAsia="Times New Roman" w:cs="Tahoma"/>
                <w:b/>
                <w:sz w:val="22"/>
                <w:lang w:eastAsia="en-AU"/>
              </w:rPr>
            </w:pPr>
            <w:r w:rsidRPr="007E55BA">
              <w:rPr>
                <w:rFonts w:eastAsia="Times New Roman" w:cs="Tahoma"/>
                <w:b/>
                <w:sz w:val="22"/>
                <w:lang w:eastAsia="en-AU"/>
              </w:rPr>
              <w:t>Validation Level 3</w:t>
            </w:r>
          </w:p>
          <w:p w:rsidR="00571656" w:rsidRPr="007E55BA" w:rsidRDefault="00571656" w:rsidP="004E38AB">
            <w:pPr>
              <w:spacing w:after="0" w:line="240" w:lineRule="auto"/>
              <w:jc w:val="left"/>
              <w:rPr>
                <w:rFonts w:eastAsia="Times New Roman" w:cs="Tahoma"/>
                <w:b/>
                <w:sz w:val="22"/>
                <w:lang w:eastAsia="en-AU"/>
              </w:rPr>
            </w:pPr>
            <w:r>
              <w:rPr>
                <w:rFonts w:eastAsia="Times New Roman" w:cs="Tahoma"/>
                <w:sz w:val="22"/>
                <w:lang w:eastAsia="en-AU"/>
              </w:rPr>
              <w:t>RO</w:t>
            </w:r>
            <w:r w:rsidRPr="007E55BA">
              <w:rPr>
                <w:rFonts w:eastAsia="Times New Roman" w:cs="Tahoma"/>
                <w:sz w:val="22"/>
                <w:lang w:eastAsia="en-AU"/>
              </w:rPr>
              <w:t xml:space="preserve"> visit</w:t>
            </w:r>
          </w:p>
        </w:tc>
        <w:tc>
          <w:tcPr>
            <w:tcW w:w="9270" w:type="dxa"/>
          </w:tcPr>
          <w:p w:rsidR="00571656" w:rsidRDefault="00571656" w:rsidP="004E38AB">
            <w:pPr>
              <w:spacing w:after="0" w:line="240" w:lineRule="auto"/>
              <w:jc w:val="left"/>
              <w:rPr>
                <w:sz w:val="22"/>
              </w:rPr>
            </w:pPr>
            <w:r w:rsidRPr="007E55BA">
              <w:rPr>
                <w:sz w:val="22"/>
              </w:rPr>
              <w:t xml:space="preserve">New guidelines </w:t>
            </w:r>
            <w:r>
              <w:rPr>
                <w:sz w:val="22"/>
              </w:rPr>
              <w:t xml:space="preserve">need to be </w:t>
            </w:r>
            <w:r w:rsidRPr="007E55BA">
              <w:rPr>
                <w:sz w:val="22"/>
              </w:rPr>
              <w:t>developed for site reviews (</w:t>
            </w:r>
            <w:r w:rsidRPr="007E55BA">
              <w:rPr>
                <w:sz w:val="22"/>
                <w:lang w:eastAsia="en-AU"/>
              </w:rPr>
              <w:t>assessed care need vs care provided and relevance to a review decision</w:t>
            </w:r>
            <w:r w:rsidRPr="007E55BA">
              <w:rPr>
                <w:sz w:val="22"/>
              </w:rPr>
              <w:t>) to clarify</w:t>
            </w:r>
            <w:r>
              <w:rPr>
                <w:sz w:val="22"/>
              </w:rPr>
              <w:t>:</w:t>
            </w:r>
          </w:p>
          <w:p w:rsidR="00980F62" w:rsidRDefault="00571656" w:rsidP="004E38AB">
            <w:pPr>
              <w:pStyle w:val="ListParagraph"/>
              <w:numPr>
                <w:ilvl w:val="0"/>
                <w:numId w:val="66"/>
              </w:numPr>
              <w:spacing w:after="0" w:line="240" w:lineRule="auto"/>
              <w:ind w:left="357" w:hanging="357"/>
              <w:jc w:val="left"/>
              <w:rPr>
                <w:sz w:val="22"/>
              </w:rPr>
            </w:pPr>
            <w:r w:rsidRPr="00BD14E8">
              <w:rPr>
                <w:sz w:val="22"/>
              </w:rPr>
              <w:t>the ROs R-ACFI review protocols</w:t>
            </w:r>
          </w:p>
          <w:p w:rsidR="00980F62" w:rsidRDefault="00571656" w:rsidP="004E38AB">
            <w:pPr>
              <w:pStyle w:val="ListParagraph"/>
              <w:numPr>
                <w:ilvl w:val="0"/>
                <w:numId w:val="66"/>
              </w:numPr>
              <w:spacing w:after="0" w:line="240" w:lineRule="auto"/>
              <w:ind w:left="357" w:hanging="357"/>
              <w:jc w:val="left"/>
              <w:rPr>
                <w:sz w:val="22"/>
              </w:rPr>
            </w:pPr>
            <w:r w:rsidRPr="00BD14E8">
              <w:rPr>
                <w:sz w:val="22"/>
              </w:rPr>
              <w:t>compliance aspects of the RO role.</w:t>
            </w:r>
          </w:p>
          <w:p w:rsidR="00571656" w:rsidRDefault="00571656" w:rsidP="004E38AB">
            <w:pPr>
              <w:spacing w:after="0" w:line="240" w:lineRule="auto"/>
              <w:jc w:val="left"/>
              <w:rPr>
                <w:color w:val="000000" w:themeColor="text1"/>
                <w:sz w:val="22"/>
              </w:rPr>
            </w:pPr>
            <w:r w:rsidRPr="007E55BA">
              <w:rPr>
                <w:color w:val="000000" w:themeColor="text1"/>
                <w:sz w:val="22"/>
              </w:rPr>
              <w:t>A visit program may include</w:t>
            </w:r>
            <w:r>
              <w:rPr>
                <w:color w:val="000000" w:themeColor="text1"/>
                <w:sz w:val="22"/>
              </w:rPr>
              <w:t>:</w:t>
            </w:r>
          </w:p>
          <w:p w:rsidR="00980F62" w:rsidRDefault="00571656" w:rsidP="004E38AB">
            <w:pPr>
              <w:pStyle w:val="ListParagraph"/>
              <w:numPr>
                <w:ilvl w:val="0"/>
                <w:numId w:val="67"/>
              </w:numPr>
              <w:spacing w:after="0" w:line="240" w:lineRule="auto"/>
              <w:ind w:left="357" w:hanging="357"/>
              <w:jc w:val="left"/>
              <w:rPr>
                <w:color w:val="000000" w:themeColor="text1"/>
                <w:sz w:val="22"/>
              </w:rPr>
            </w:pPr>
            <w:r w:rsidRPr="00BD14E8">
              <w:rPr>
                <w:color w:val="000000" w:themeColor="text1"/>
                <w:sz w:val="22"/>
              </w:rPr>
              <w:t>review of residents’ records</w:t>
            </w:r>
          </w:p>
          <w:p w:rsidR="00571656" w:rsidRPr="00BD14E8" w:rsidRDefault="00571656" w:rsidP="004E38AB">
            <w:pPr>
              <w:pStyle w:val="ListParagraph"/>
              <w:numPr>
                <w:ilvl w:val="0"/>
                <w:numId w:val="67"/>
              </w:numPr>
              <w:spacing w:after="0" w:line="240" w:lineRule="auto"/>
              <w:ind w:left="357" w:hanging="357"/>
              <w:jc w:val="left"/>
              <w:rPr>
                <w:color w:val="000000" w:themeColor="text1"/>
                <w:sz w:val="22"/>
              </w:rPr>
            </w:pPr>
            <w:r w:rsidRPr="00BD14E8">
              <w:rPr>
                <w:color w:val="000000" w:themeColor="text1"/>
                <w:sz w:val="22"/>
              </w:rPr>
              <w:t>observations of residents</w:t>
            </w:r>
          </w:p>
          <w:p w:rsidR="00980F62" w:rsidRDefault="00571656" w:rsidP="004E38AB">
            <w:pPr>
              <w:pStyle w:val="ListParagraph"/>
              <w:numPr>
                <w:ilvl w:val="0"/>
                <w:numId w:val="67"/>
              </w:numPr>
              <w:spacing w:after="0" w:line="240" w:lineRule="auto"/>
              <w:ind w:left="357" w:hanging="357"/>
              <w:jc w:val="left"/>
              <w:rPr>
                <w:color w:val="000000" w:themeColor="text1"/>
                <w:sz w:val="22"/>
              </w:rPr>
            </w:pPr>
            <w:r w:rsidRPr="00BD14E8">
              <w:rPr>
                <w:color w:val="000000" w:themeColor="text1"/>
                <w:sz w:val="22"/>
              </w:rPr>
              <w:t>interviews with residents, staff, and families.</w:t>
            </w:r>
          </w:p>
          <w:p w:rsidR="00571656" w:rsidRPr="007E55BA" w:rsidRDefault="00571656" w:rsidP="004E38AB">
            <w:pPr>
              <w:spacing w:after="0" w:line="240" w:lineRule="auto"/>
              <w:jc w:val="left"/>
              <w:rPr>
                <w:rFonts w:eastAsia="Times New Roman" w:cs="Tahoma"/>
                <w:sz w:val="22"/>
                <w:lang w:eastAsia="en-AU"/>
              </w:rPr>
            </w:pPr>
            <w:r w:rsidRPr="007E55BA">
              <w:rPr>
                <w:color w:val="000000" w:themeColor="text1"/>
                <w:sz w:val="22"/>
              </w:rPr>
              <w:t>Incongruences noted during direct observation of the resident should be used as a flag for further investigations to check the accuracy of the assessed care need. Interviews with informants (residents, families, staff, AHPs, GPs) could be used to inform on the accuracy of the assessed need.</w:t>
            </w:r>
          </w:p>
        </w:tc>
        <w:tc>
          <w:tcPr>
            <w:tcW w:w="1260" w:type="dxa"/>
          </w:tcPr>
          <w:p w:rsidR="00571656" w:rsidRPr="007E55BA" w:rsidRDefault="00571656" w:rsidP="004E38AB">
            <w:pPr>
              <w:spacing w:after="0" w:line="240" w:lineRule="auto"/>
              <w:jc w:val="center"/>
              <w:rPr>
                <w:rFonts w:eastAsia="Times New Roman" w:cs="Tahoma"/>
                <w:sz w:val="22"/>
                <w:lang w:eastAsia="en-AU"/>
              </w:rPr>
            </w:pPr>
            <w:r w:rsidRPr="007E55BA">
              <w:rPr>
                <w:rFonts w:eastAsia="Times New Roman" w:cs="Tahoma"/>
                <w:sz w:val="22"/>
                <w:lang w:eastAsia="en-AU"/>
              </w:rPr>
              <w:t>Funding Approved</w:t>
            </w:r>
          </w:p>
        </w:tc>
        <w:tc>
          <w:tcPr>
            <w:tcW w:w="1350" w:type="dxa"/>
          </w:tcPr>
          <w:p w:rsidR="00571656" w:rsidRPr="007E55BA" w:rsidRDefault="00571656" w:rsidP="004E38AB">
            <w:pPr>
              <w:spacing w:after="0" w:line="240" w:lineRule="auto"/>
              <w:jc w:val="center"/>
              <w:rPr>
                <w:rFonts w:eastAsia="Times New Roman" w:cs="Tahoma"/>
                <w:sz w:val="22"/>
                <w:lang w:eastAsia="en-AU"/>
              </w:rPr>
            </w:pPr>
            <w:r w:rsidRPr="007E55BA">
              <w:rPr>
                <w:rFonts w:eastAsia="Times New Roman" w:cs="Tahoma"/>
                <w:sz w:val="22"/>
                <w:lang w:eastAsia="en-AU"/>
              </w:rPr>
              <w:t>Downgrade</w:t>
            </w:r>
          </w:p>
        </w:tc>
      </w:tr>
      <w:tr w:rsidR="00571656" w:rsidRPr="007E55BA" w:rsidTr="004E38AB">
        <w:tc>
          <w:tcPr>
            <w:tcW w:w="2335" w:type="dxa"/>
            <w:shd w:val="clear" w:color="auto" w:fill="auto"/>
          </w:tcPr>
          <w:p w:rsidR="00571656" w:rsidRPr="007E55BA" w:rsidRDefault="00571656" w:rsidP="004E38AB">
            <w:pPr>
              <w:spacing w:after="0" w:line="240" w:lineRule="auto"/>
              <w:jc w:val="left"/>
              <w:rPr>
                <w:rFonts w:eastAsia="Times New Roman" w:cs="Tahoma"/>
                <w:b/>
                <w:sz w:val="22"/>
                <w:lang w:eastAsia="en-AU"/>
              </w:rPr>
            </w:pPr>
            <w:r w:rsidRPr="007E55BA">
              <w:rPr>
                <w:rFonts w:eastAsia="Times New Roman" w:cs="Tahoma"/>
                <w:b/>
                <w:sz w:val="22"/>
                <w:lang w:eastAsia="en-AU"/>
              </w:rPr>
              <w:t>Appeal</w:t>
            </w:r>
            <w:r>
              <w:rPr>
                <w:rFonts w:eastAsia="Times New Roman" w:cs="Tahoma"/>
                <w:b/>
                <w:sz w:val="22"/>
                <w:lang w:eastAsia="en-AU"/>
              </w:rPr>
              <w:t>s</w:t>
            </w:r>
            <w:r w:rsidRPr="007E55BA">
              <w:rPr>
                <w:rFonts w:eastAsia="Times New Roman" w:cs="Tahoma"/>
                <w:b/>
                <w:sz w:val="22"/>
                <w:lang w:eastAsia="en-AU"/>
              </w:rPr>
              <w:t xml:space="preserve"> </w:t>
            </w:r>
          </w:p>
        </w:tc>
        <w:tc>
          <w:tcPr>
            <w:tcW w:w="11880" w:type="dxa"/>
            <w:gridSpan w:val="3"/>
          </w:tcPr>
          <w:p w:rsidR="00571656" w:rsidRPr="007E55BA" w:rsidRDefault="00571656" w:rsidP="004E38AB">
            <w:pPr>
              <w:spacing w:after="0" w:line="240" w:lineRule="auto"/>
              <w:jc w:val="center"/>
              <w:rPr>
                <w:rFonts w:eastAsia="Times New Roman" w:cs="Tahoma"/>
                <w:sz w:val="22"/>
                <w:lang w:eastAsia="en-AU"/>
              </w:rPr>
            </w:pPr>
            <w:r w:rsidRPr="007E55BA">
              <w:rPr>
                <w:rFonts w:eastAsia="Times New Roman" w:cs="Tahoma"/>
                <w:sz w:val="22"/>
                <w:lang w:eastAsia="en-AU"/>
              </w:rPr>
              <w:t xml:space="preserve">Provider can appeal </w:t>
            </w:r>
            <w:r>
              <w:rPr>
                <w:rFonts w:eastAsia="Times New Roman" w:cs="Tahoma"/>
                <w:sz w:val="22"/>
                <w:lang w:eastAsia="en-AU"/>
              </w:rPr>
              <w:t>as per current process to review outcome.</w:t>
            </w:r>
          </w:p>
        </w:tc>
      </w:tr>
    </w:tbl>
    <w:p w:rsidR="00571656" w:rsidRDefault="00571656" w:rsidP="00571656">
      <w:pPr>
        <w:spacing w:after="160" w:line="259" w:lineRule="auto"/>
        <w:rPr>
          <w:sz w:val="28"/>
          <w:szCs w:val="28"/>
        </w:rPr>
        <w:sectPr w:rsidR="00571656" w:rsidSect="00A51750">
          <w:headerReference w:type="default" r:id="rId123"/>
          <w:footerReference w:type="default" r:id="rId124"/>
          <w:pgSz w:w="16838" w:h="11906" w:orient="landscape"/>
          <w:pgMar w:top="1440" w:right="1440" w:bottom="1440" w:left="1440" w:header="706" w:footer="706" w:gutter="0"/>
          <w:cols w:space="708"/>
          <w:docGrid w:linePitch="360"/>
        </w:sectPr>
      </w:pPr>
    </w:p>
    <w:p w:rsidR="00571656" w:rsidRPr="00BD14E8" w:rsidRDefault="00571656" w:rsidP="00C16758">
      <w:pPr>
        <w:pStyle w:val="Heading3-Chapter113"/>
      </w:pPr>
      <w:bookmarkStart w:id="726" w:name="_Toc489386730"/>
      <w:bookmarkEnd w:id="723"/>
      <w:r w:rsidRPr="00BD14E8">
        <w:lastRenderedPageBreak/>
        <w:t>External Asses</w:t>
      </w:r>
      <w:r>
        <w:t>sor Models</w:t>
      </w:r>
      <w:bookmarkEnd w:id="726"/>
    </w:p>
    <w:p w:rsidR="00571656" w:rsidRPr="00C30FB1" w:rsidRDefault="00571656" w:rsidP="00C16758">
      <w:pPr>
        <w:pStyle w:val="Heading4-Chapter1132"/>
        <w:rPr>
          <w:rStyle w:val="Strong"/>
          <w:b/>
        </w:rPr>
      </w:pPr>
      <w:r w:rsidRPr="00C30FB1">
        <w:rPr>
          <w:rStyle w:val="Strong"/>
          <w:b/>
        </w:rPr>
        <w:t>Why are new models of External Assessment being considered?</w:t>
      </w:r>
    </w:p>
    <w:p w:rsidR="00980F62" w:rsidRDefault="00571656" w:rsidP="006B374E">
      <w:pPr>
        <w:rPr>
          <w:rFonts w:cstheme="minorHAnsi"/>
        </w:rPr>
      </w:pPr>
      <w:r>
        <w:t>The following tables cover the considerations and issues when considering External Assessment for providers (</w:t>
      </w:r>
      <w:hyperlink w:anchor="Tab1103" w:history="1">
        <w:r w:rsidRPr="0041429A">
          <w:rPr>
            <w:rStyle w:val="Hyperlink"/>
          </w:rPr>
          <w:t>Table 11.3</w:t>
        </w:r>
      </w:hyperlink>
      <w:r>
        <w:t>) and the Department (</w:t>
      </w:r>
      <w:hyperlink w:anchor="Tab1104" w:history="1">
        <w:r w:rsidRPr="0041429A">
          <w:rPr>
            <w:rStyle w:val="Hyperlink"/>
          </w:rPr>
          <w:t>Table 11.4</w:t>
        </w:r>
      </w:hyperlink>
      <w:r>
        <w:t>). The tables outline why, on balance, External</w:t>
      </w:r>
      <w:r w:rsidRPr="00A8526B">
        <w:t xml:space="preserve"> </w:t>
      </w:r>
      <w:r>
        <w:t xml:space="preserve">Assessment in at least part, is the longer-term solution to managing the interface between community and residential care. The External Assessment approach will also result in a funding environment that all parties can come to expect will be fair and predictable whilst allowing for a joint determination between the Department and the Aged Care Industry of acceptable </w:t>
      </w:r>
      <w:r w:rsidRPr="002A4773">
        <w:rPr>
          <w:rFonts w:cstheme="minorHAnsi"/>
        </w:rPr>
        <w:t>funding growth to meet the needs of the ageing population.</w:t>
      </w:r>
    </w:p>
    <w:p w:rsidR="00980F62" w:rsidRDefault="00571656" w:rsidP="006B374E">
      <w:pPr>
        <w:rPr>
          <w:rFonts w:cstheme="minorHAnsi"/>
          <w:szCs w:val="24"/>
        </w:rPr>
      </w:pPr>
      <w:r>
        <w:rPr>
          <w:rFonts w:cstheme="minorHAnsi"/>
          <w:szCs w:val="24"/>
        </w:rPr>
        <w:t>In the Option 2 modified ACAT model described later, all new residents (100</w:t>
      </w:r>
      <w:r w:rsidR="0065091B">
        <w:rPr>
          <w:rFonts w:cstheme="minorHAnsi"/>
          <w:szCs w:val="24"/>
        </w:rPr>
        <w:t xml:space="preserve"> per cent</w:t>
      </w:r>
      <w:r>
        <w:rPr>
          <w:rFonts w:cstheme="minorHAnsi"/>
          <w:szCs w:val="24"/>
        </w:rPr>
        <w:t>) will be assessed for funding by the External Assessor.</w:t>
      </w:r>
      <w:r w:rsidR="007A576E">
        <w:rPr>
          <w:rFonts w:cstheme="minorHAnsi"/>
          <w:szCs w:val="24"/>
        </w:rPr>
        <w:t xml:space="preserve"> </w:t>
      </w:r>
      <w:r>
        <w:rPr>
          <w:rFonts w:cstheme="minorHAnsi"/>
          <w:szCs w:val="24"/>
        </w:rPr>
        <w:t>For re-appraisals, the provider will submit the R-ACFI and be funded as currently but around 25 to 50</w:t>
      </w:r>
      <w:r w:rsidR="0065091B">
        <w:rPr>
          <w:rFonts w:cstheme="minorHAnsi"/>
          <w:szCs w:val="24"/>
        </w:rPr>
        <w:t xml:space="preserve"> per cent</w:t>
      </w:r>
      <w:r>
        <w:rPr>
          <w:rFonts w:cstheme="minorHAnsi"/>
          <w:szCs w:val="24"/>
        </w:rPr>
        <w:t xml:space="preserve"> of these re-appraisals will be re-assessed via a facility visit. The check by the External Assessor will be different from the current Departmental Audit model in that it will be an assessment review, not one based solely around care provided as indicated in documentation.</w:t>
      </w:r>
    </w:p>
    <w:p w:rsidR="00571656" w:rsidRDefault="00571656" w:rsidP="006B374E">
      <w:pPr>
        <w:rPr>
          <w:rFonts w:cstheme="minorHAnsi"/>
          <w:szCs w:val="24"/>
        </w:rPr>
      </w:pPr>
      <w:r>
        <w:rPr>
          <w:rFonts w:cstheme="minorHAnsi"/>
          <w:szCs w:val="24"/>
        </w:rPr>
        <w:t>With Option 3, which involves Specialist Assessment Agency (SAA) assessors, it is proposed that up to 100</w:t>
      </w:r>
      <w:r w:rsidR="0065091B">
        <w:rPr>
          <w:rFonts w:cstheme="minorHAnsi"/>
          <w:szCs w:val="24"/>
        </w:rPr>
        <w:t xml:space="preserve"> per cent</w:t>
      </w:r>
      <w:r>
        <w:rPr>
          <w:rFonts w:cstheme="minorHAnsi"/>
          <w:szCs w:val="24"/>
        </w:rPr>
        <w:t xml:space="preserve"> of new residents and 25</w:t>
      </w:r>
      <w:r w:rsidR="0065091B">
        <w:rPr>
          <w:rFonts w:cstheme="minorHAnsi"/>
          <w:szCs w:val="24"/>
        </w:rPr>
        <w:t xml:space="preserve"> </w:t>
      </w:r>
      <w:r>
        <w:rPr>
          <w:rFonts w:cstheme="minorHAnsi"/>
          <w:szCs w:val="24"/>
        </w:rPr>
        <w:t>to 50</w:t>
      </w:r>
      <w:r w:rsidR="0065091B">
        <w:rPr>
          <w:rFonts w:cstheme="minorHAnsi"/>
          <w:szCs w:val="24"/>
        </w:rPr>
        <w:t xml:space="preserve"> per cent</w:t>
      </w:r>
      <w:r>
        <w:rPr>
          <w:rFonts w:cstheme="minorHAnsi"/>
          <w:szCs w:val="24"/>
        </w:rPr>
        <w:t xml:space="preserve"> of re-appraised residents will be subjected to an External Assessor check, but only after the provider has assessed the resident and been funded via the R-ACFI.</w:t>
      </w:r>
      <w:r w:rsidR="007A576E">
        <w:rPr>
          <w:rFonts w:cstheme="minorHAnsi"/>
          <w:szCs w:val="24"/>
        </w:rPr>
        <w:t xml:space="preserve"> </w:t>
      </w:r>
      <w:r>
        <w:rPr>
          <w:rFonts w:cstheme="minorHAnsi"/>
          <w:szCs w:val="24"/>
        </w:rPr>
        <w:t>There is no pre-entry funding determination with this option. As for Option 2, the check by the SAA in Option 3 will be different from the current Departmental Audit model in that it will be an assessment review, not one based solely around care provided as indicated in documentation.</w:t>
      </w:r>
    </w:p>
    <w:p w:rsidR="00980F62" w:rsidRDefault="00571656" w:rsidP="006B374E">
      <w:pPr>
        <w:rPr>
          <w:rFonts w:cstheme="minorHAnsi"/>
          <w:szCs w:val="24"/>
        </w:rPr>
      </w:pPr>
      <w:r w:rsidRPr="00C703D7">
        <w:rPr>
          <w:rFonts w:cstheme="minorHAnsi"/>
          <w:szCs w:val="24"/>
        </w:rPr>
        <w:t>For both Option 2 and 3, External Assessor visits will be arranged for as soon as possibl</w:t>
      </w:r>
      <w:r>
        <w:rPr>
          <w:rFonts w:cstheme="minorHAnsi"/>
          <w:szCs w:val="24"/>
        </w:rPr>
        <w:t>e after the R-ACFI submission to reduce uncertainty with funding.</w:t>
      </w:r>
      <w:r w:rsidR="007A576E">
        <w:rPr>
          <w:rFonts w:cstheme="minorHAnsi"/>
          <w:szCs w:val="24"/>
        </w:rPr>
        <w:t xml:space="preserve"> </w:t>
      </w:r>
      <w:r>
        <w:rPr>
          <w:rFonts w:cstheme="minorHAnsi"/>
          <w:szCs w:val="24"/>
        </w:rPr>
        <w:t>However the External Assessor checks will not impact on the current Department payment rules.</w:t>
      </w:r>
    </w:p>
    <w:p w:rsidR="00571656" w:rsidRPr="00C30FB1" w:rsidRDefault="00571656" w:rsidP="00C16758">
      <w:pPr>
        <w:pStyle w:val="Heading4-Chapter1132"/>
        <w:rPr>
          <w:rStyle w:val="Strong"/>
          <w:b/>
        </w:rPr>
      </w:pPr>
      <w:r w:rsidRPr="00C30FB1">
        <w:rPr>
          <w:rStyle w:val="Strong"/>
          <w:b/>
        </w:rPr>
        <w:t>External Assessors Performance Monitoring</w:t>
      </w:r>
    </w:p>
    <w:p w:rsidR="00980F62" w:rsidRDefault="00571656" w:rsidP="006B374E">
      <w:r>
        <w:t>Given that the Department would bear the risk of the funding determinations, t</w:t>
      </w:r>
      <w:r w:rsidRPr="006C68A9">
        <w:t xml:space="preserve">he organisation managing the </w:t>
      </w:r>
      <w:r>
        <w:t>R-</w:t>
      </w:r>
      <w:r w:rsidRPr="006C68A9">
        <w:t xml:space="preserve">ACFI </w:t>
      </w:r>
      <w:r>
        <w:t>External Assessor</w:t>
      </w:r>
      <w:r w:rsidRPr="006C68A9">
        <w:t xml:space="preserve"> appraisals would </w:t>
      </w:r>
      <w:r>
        <w:t xml:space="preserve">need to </w:t>
      </w:r>
      <w:r w:rsidRPr="006C68A9">
        <w:t xml:space="preserve">be subjected to </w:t>
      </w:r>
      <w:r>
        <w:t xml:space="preserve">performance </w:t>
      </w:r>
      <w:r w:rsidRPr="006C68A9">
        <w:t xml:space="preserve">reviews to establish the </w:t>
      </w:r>
      <w:r>
        <w:t xml:space="preserve">accuracy and consistency </w:t>
      </w:r>
      <w:r w:rsidRPr="006C68A9">
        <w:t xml:space="preserve">of their </w:t>
      </w:r>
      <w:r>
        <w:t>External Assessor</w:t>
      </w:r>
      <w:r w:rsidRPr="006C68A9">
        <w:t>s</w:t>
      </w:r>
      <w:r>
        <w:t xml:space="preserve">. </w:t>
      </w:r>
      <w:r w:rsidRPr="006C68A9">
        <w:t xml:space="preserve">The performance reviews would be regularly completed on the assessment data to </w:t>
      </w:r>
      <w:r>
        <w:t xml:space="preserve">ascertain whether any </w:t>
      </w:r>
      <w:r w:rsidRPr="006C68A9">
        <w:t>assessors were systematically assessing at levels significantly different to the benchmark expectations established via data analysis at a system level</w:t>
      </w:r>
      <w:r>
        <w:t>.</w:t>
      </w:r>
    </w:p>
    <w:p w:rsidR="00571656" w:rsidRPr="006C68A9" w:rsidRDefault="00571656" w:rsidP="006B374E">
      <w:r w:rsidRPr="006C68A9">
        <w:t>Funding validation/assurance mechanisms would involve the audit of performance of assessors using a range of indicators</w:t>
      </w:r>
      <w:r>
        <w:t xml:space="preserve">. </w:t>
      </w:r>
      <w:r w:rsidRPr="006C68A9">
        <w:t>Assurance mechanisms should be designed so there was minimal impact on services</w:t>
      </w:r>
      <w:r>
        <w:t xml:space="preserve">. </w:t>
      </w:r>
      <w:r w:rsidRPr="006C68A9">
        <w:t xml:space="preserve">For example, if the </w:t>
      </w:r>
      <w:r>
        <w:t>External Assessor</w:t>
      </w:r>
      <w:r w:rsidRPr="006C68A9">
        <w:t xml:space="preserve"> consistently overestimated dependency for funding, the Commonwealth would not subsequently adjust the funding</w:t>
      </w:r>
      <w:r>
        <w:t xml:space="preserve"> but would bear the risk of this outcome. </w:t>
      </w:r>
      <w:r w:rsidRPr="006C68A9">
        <w:t>If there was systematic underestimation detected, business rules could give an opportunity for the provider to request a re-assessment.</w:t>
      </w:r>
    </w:p>
    <w:p w:rsidR="00CC0633" w:rsidRDefault="00CC21FA" w:rsidP="00CC0633">
      <w:pPr>
        <w:pStyle w:val="Caption"/>
        <w:keepNext/>
      </w:pPr>
      <w:bookmarkStart w:id="727" w:name="_Toc495416863"/>
      <w:bookmarkStart w:id="728" w:name="Tab1103"/>
      <w:r>
        <w:lastRenderedPageBreak/>
        <w:t>Table 11.</w:t>
      </w:r>
      <w:r w:rsidR="009A3F5A">
        <w:fldChar w:fldCharType="begin"/>
      </w:r>
      <w:r w:rsidR="009A3F5A">
        <w:instrText xml:space="preserve"> SEQ Table_11. \* ARABIC </w:instrText>
      </w:r>
      <w:r w:rsidR="009A3F5A">
        <w:fldChar w:fldCharType="separate"/>
      </w:r>
      <w:r w:rsidR="00856E49">
        <w:rPr>
          <w:noProof/>
        </w:rPr>
        <w:t>3</w:t>
      </w:r>
      <w:r w:rsidR="009A3F5A">
        <w:rPr>
          <w:noProof/>
        </w:rPr>
        <w:fldChar w:fldCharType="end"/>
      </w:r>
      <w:r>
        <w:t xml:space="preserve">: </w:t>
      </w:r>
      <w:r w:rsidRPr="00CC21FA">
        <w:t>External Assessment - Provider Considerations &amp; Issues</w:t>
      </w:r>
      <w:bookmarkEnd w:id="727"/>
    </w:p>
    <w:tbl>
      <w:tblPr>
        <w:tblW w:w="9175"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1E0" w:firstRow="1" w:lastRow="1" w:firstColumn="1" w:lastColumn="1" w:noHBand="0" w:noVBand="0"/>
        <w:tblDescription w:val="Table 11.3 is a list of provider and external funding assessments for the providers when considering external assessment under Option 1, as summarised  in the text prior to this table. This table is to be read left to right, top to bottom."/>
      </w:tblPr>
      <w:tblGrid>
        <w:gridCol w:w="2232"/>
        <w:gridCol w:w="3345"/>
        <w:gridCol w:w="3598"/>
      </w:tblGrid>
      <w:tr w:rsidR="00571656" w:rsidRPr="00036C41" w:rsidTr="007F2ED6">
        <w:tc>
          <w:tcPr>
            <w:tcW w:w="2232" w:type="dxa"/>
            <w:shd w:val="clear" w:color="auto" w:fill="5B9BD5" w:themeFill="accent5"/>
            <w:vAlign w:val="center"/>
          </w:tcPr>
          <w:bookmarkEnd w:id="728"/>
          <w:p w:rsidR="00571656" w:rsidRPr="00036C41" w:rsidRDefault="00571656" w:rsidP="007A66FB">
            <w:pPr>
              <w:spacing w:after="0" w:line="240" w:lineRule="auto"/>
              <w:jc w:val="left"/>
              <w:rPr>
                <w:rFonts w:eastAsia="Times New Roman" w:cs="Tahoma"/>
                <w:b/>
                <w:color w:val="FFFFFF" w:themeColor="background1"/>
                <w:sz w:val="21"/>
                <w:szCs w:val="21"/>
                <w:lang w:eastAsia="en-AU"/>
              </w:rPr>
            </w:pPr>
            <w:r w:rsidRPr="00036C41">
              <w:rPr>
                <w:rFonts w:eastAsia="Times New Roman" w:cs="Tahoma"/>
                <w:b/>
                <w:color w:val="FFFFFF" w:themeColor="background1"/>
                <w:sz w:val="21"/>
                <w:szCs w:val="21"/>
                <w:lang w:eastAsia="en-AU"/>
              </w:rPr>
              <w:t xml:space="preserve">Considerations </w:t>
            </w:r>
          </w:p>
        </w:tc>
        <w:tc>
          <w:tcPr>
            <w:tcW w:w="3345" w:type="dxa"/>
            <w:shd w:val="clear" w:color="auto" w:fill="5B9BD5" w:themeFill="accent5"/>
            <w:vAlign w:val="center"/>
          </w:tcPr>
          <w:p w:rsidR="00571656" w:rsidRPr="00036C41" w:rsidRDefault="00571656" w:rsidP="00DD6610">
            <w:pPr>
              <w:spacing w:after="0" w:line="240" w:lineRule="auto"/>
              <w:jc w:val="center"/>
              <w:rPr>
                <w:rFonts w:eastAsia="Times New Roman" w:cs="Tahoma"/>
                <w:b/>
                <w:color w:val="FFFFFF" w:themeColor="background1"/>
                <w:sz w:val="21"/>
                <w:szCs w:val="21"/>
                <w:lang w:eastAsia="en-AU"/>
              </w:rPr>
            </w:pPr>
            <w:r w:rsidRPr="00036C41">
              <w:rPr>
                <w:rFonts w:eastAsia="Times New Roman" w:cs="Tahoma"/>
                <w:b/>
                <w:color w:val="FFFFFF" w:themeColor="background1"/>
                <w:sz w:val="21"/>
                <w:szCs w:val="21"/>
                <w:lang w:eastAsia="en-AU"/>
              </w:rPr>
              <w:t>Provider Funding Assessment</w:t>
            </w:r>
          </w:p>
        </w:tc>
        <w:tc>
          <w:tcPr>
            <w:tcW w:w="3598" w:type="dxa"/>
            <w:shd w:val="clear" w:color="auto" w:fill="5B9BD5" w:themeFill="accent5"/>
            <w:vAlign w:val="center"/>
          </w:tcPr>
          <w:p w:rsidR="00571656" w:rsidRPr="00036C41" w:rsidRDefault="00571656" w:rsidP="00DD6610">
            <w:pPr>
              <w:spacing w:after="0" w:line="240" w:lineRule="auto"/>
              <w:jc w:val="center"/>
              <w:rPr>
                <w:rFonts w:eastAsia="Times New Roman" w:cs="Tahoma"/>
                <w:b/>
                <w:color w:val="FFFFFF" w:themeColor="background1"/>
                <w:sz w:val="21"/>
                <w:szCs w:val="21"/>
                <w:lang w:eastAsia="en-AU"/>
              </w:rPr>
            </w:pPr>
            <w:r w:rsidRPr="00036C41">
              <w:rPr>
                <w:rFonts w:eastAsia="Times New Roman" w:cs="Tahoma"/>
                <w:b/>
                <w:color w:val="FFFFFF" w:themeColor="background1"/>
                <w:sz w:val="21"/>
                <w:szCs w:val="21"/>
                <w:lang w:eastAsia="en-AU"/>
              </w:rPr>
              <w:t>External Funding (EA) Assessment</w:t>
            </w:r>
          </w:p>
        </w:tc>
      </w:tr>
      <w:tr w:rsidR="00571656" w:rsidRPr="00036C41" w:rsidTr="007F2ED6">
        <w:tc>
          <w:tcPr>
            <w:tcW w:w="2232" w:type="dxa"/>
          </w:tcPr>
          <w:p w:rsidR="00571656" w:rsidRPr="00036C41" w:rsidRDefault="00571656" w:rsidP="006B374E">
            <w:pPr>
              <w:spacing w:line="240" w:lineRule="auto"/>
              <w:jc w:val="left"/>
              <w:rPr>
                <w:rFonts w:eastAsia="Times New Roman" w:cs="Tahoma"/>
                <w:b/>
                <w:sz w:val="21"/>
                <w:szCs w:val="21"/>
                <w:lang w:eastAsia="en-AU"/>
              </w:rPr>
            </w:pPr>
            <w:r w:rsidRPr="00036C41">
              <w:rPr>
                <w:rFonts w:eastAsia="Times New Roman" w:cs="Tahoma"/>
                <w:b/>
                <w:sz w:val="21"/>
                <w:szCs w:val="21"/>
                <w:lang w:eastAsia="en-AU"/>
              </w:rPr>
              <w:t>Funding Certainty for Planning &amp; Financial Management</w:t>
            </w:r>
          </w:p>
        </w:tc>
        <w:tc>
          <w:tcPr>
            <w:tcW w:w="3345" w:type="dxa"/>
          </w:tcPr>
          <w:p w:rsidR="00571656" w:rsidRPr="00036C41" w:rsidRDefault="00571656" w:rsidP="007A66FB">
            <w:pPr>
              <w:spacing w:line="240" w:lineRule="auto"/>
              <w:jc w:val="center"/>
              <w:rPr>
                <w:rFonts w:eastAsia="Times New Roman" w:cs="Tahoma"/>
                <w:b/>
                <w:sz w:val="21"/>
                <w:szCs w:val="21"/>
                <w:lang w:eastAsia="en-AU"/>
              </w:rPr>
            </w:pPr>
            <w:r w:rsidRPr="00036C41">
              <w:rPr>
                <w:rFonts w:eastAsia="Times New Roman" w:cs="Tahoma"/>
                <w:b/>
                <w:sz w:val="21"/>
                <w:szCs w:val="21"/>
                <w:lang w:eastAsia="en-AU"/>
              </w:rPr>
              <w:t xml:space="preserve">No: </w:t>
            </w:r>
            <w:r w:rsidRPr="00036C41">
              <w:rPr>
                <w:rFonts w:eastAsia="Times New Roman" w:cs="Tahoma"/>
                <w:sz w:val="21"/>
                <w:szCs w:val="21"/>
                <w:lang w:eastAsia="en-AU"/>
              </w:rPr>
              <w:t>Given the ageing population, the growing number of residential care beds and the ‘bracket creep’ to the highest funding levels, accountability systems will be enhanced significantly with regular government funding ‘claw backs’. A well-resourced Government validation system will mean more ROs and more resident funding downgrades. A direct consequence of this will be ongoing funding uncertainty.</w:t>
            </w:r>
          </w:p>
        </w:tc>
        <w:tc>
          <w:tcPr>
            <w:tcW w:w="3598" w:type="dxa"/>
          </w:tcPr>
          <w:p w:rsidR="00571656" w:rsidRPr="00036C41" w:rsidRDefault="00571656" w:rsidP="007A66FB">
            <w:pPr>
              <w:spacing w:line="240" w:lineRule="auto"/>
              <w:jc w:val="center"/>
              <w:rPr>
                <w:rFonts w:eastAsia="Times New Roman" w:cs="Tahoma"/>
                <w:sz w:val="21"/>
                <w:szCs w:val="21"/>
                <w:lang w:eastAsia="en-AU"/>
              </w:rPr>
            </w:pPr>
            <w:r w:rsidRPr="00036C41">
              <w:rPr>
                <w:rFonts w:eastAsia="Times New Roman" w:cs="Tahoma"/>
                <w:b/>
                <w:sz w:val="21"/>
                <w:szCs w:val="21"/>
                <w:lang w:eastAsia="en-AU"/>
              </w:rPr>
              <w:t>Yes:</w:t>
            </w:r>
            <w:r w:rsidRPr="00036C41">
              <w:rPr>
                <w:rFonts w:eastAsia="Times New Roman" w:cs="Tahoma"/>
                <w:sz w:val="21"/>
                <w:szCs w:val="21"/>
                <w:lang w:eastAsia="en-AU"/>
              </w:rPr>
              <w:t xml:space="preserve"> The system gives certainty of funding. Once a provider accepts the prospective resident’s EA pre-entry funding rating in the ACAT Option 2; this level of funding is guaranteed until the next review or the provider requests a re-assessment.</w:t>
            </w:r>
          </w:p>
          <w:p w:rsidR="00571656" w:rsidRPr="00036C41" w:rsidRDefault="00571656" w:rsidP="007A66FB">
            <w:pPr>
              <w:spacing w:line="240" w:lineRule="auto"/>
              <w:jc w:val="center"/>
              <w:rPr>
                <w:rFonts w:eastAsia="Times New Roman" w:cs="Tahoma"/>
                <w:sz w:val="21"/>
                <w:szCs w:val="21"/>
                <w:lang w:eastAsia="en-AU"/>
              </w:rPr>
            </w:pPr>
            <w:r w:rsidRPr="00036C41">
              <w:rPr>
                <w:rFonts w:eastAsia="Times New Roman" w:cs="Tahoma"/>
                <w:sz w:val="21"/>
                <w:szCs w:val="21"/>
                <w:lang w:eastAsia="en-AU"/>
              </w:rPr>
              <w:t>The Department should have more confidence in the External Assessor’s rating and the system issues will be dealt with at this level, not the level of the provider.</w:t>
            </w:r>
          </w:p>
        </w:tc>
      </w:tr>
      <w:tr w:rsidR="00571656" w:rsidRPr="00036C41" w:rsidTr="007F2ED6">
        <w:tc>
          <w:tcPr>
            <w:tcW w:w="2232" w:type="dxa"/>
          </w:tcPr>
          <w:p w:rsidR="00571656" w:rsidRPr="00036C41" w:rsidRDefault="00571656" w:rsidP="006B374E">
            <w:pPr>
              <w:spacing w:line="240" w:lineRule="auto"/>
              <w:jc w:val="left"/>
              <w:rPr>
                <w:rFonts w:eastAsia="Times New Roman" w:cs="Tahoma"/>
                <w:b/>
                <w:sz w:val="21"/>
                <w:szCs w:val="21"/>
                <w:lang w:eastAsia="en-AU"/>
              </w:rPr>
            </w:pPr>
            <w:r w:rsidRPr="00036C41">
              <w:rPr>
                <w:rFonts w:eastAsia="Times New Roman" w:cs="Tahoma"/>
                <w:b/>
                <w:sz w:val="21"/>
                <w:szCs w:val="21"/>
                <w:lang w:eastAsia="en-AU"/>
              </w:rPr>
              <w:t xml:space="preserve">Ability to Conduct an Adequate Assessment for Funding Purposes &amp; Fund Resident Needs, Not Documentation. </w:t>
            </w:r>
          </w:p>
        </w:tc>
        <w:tc>
          <w:tcPr>
            <w:tcW w:w="3345" w:type="dxa"/>
          </w:tcPr>
          <w:p w:rsidR="00571656" w:rsidRPr="00036C41" w:rsidRDefault="00571656" w:rsidP="007A66FB">
            <w:pPr>
              <w:spacing w:line="240" w:lineRule="auto"/>
              <w:jc w:val="center"/>
              <w:rPr>
                <w:rFonts w:eastAsia="Times New Roman" w:cs="Tahoma"/>
                <w:b/>
                <w:sz w:val="21"/>
                <w:szCs w:val="21"/>
                <w:lang w:eastAsia="en-AU"/>
              </w:rPr>
            </w:pPr>
            <w:r w:rsidRPr="00036C41">
              <w:rPr>
                <w:rFonts w:eastAsia="Times New Roman" w:cs="Tahoma"/>
                <w:b/>
                <w:sz w:val="21"/>
                <w:szCs w:val="21"/>
                <w:lang w:eastAsia="en-AU"/>
              </w:rPr>
              <w:t>Inconsistent:</w:t>
            </w:r>
            <w:r w:rsidRPr="00036C41">
              <w:rPr>
                <w:rFonts w:eastAsia="Times New Roman" w:cs="Tahoma"/>
                <w:sz w:val="21"/>
                <w:szCs w:val="21"/>
                <w:lang w:eastAsia="en-AU"/>
              </w:rPr>
              <w:t xml:space="preserve"> Currently facilities that are less ‘skilled’ at appropriately completing required documentation receive lower funding even though the resident may have a significant care need requirement. The EA will base the system of funding around resident need, not the ability of the service to develop the best care documentation.</w:t>
            </w:r>
          </w:p>
        </w:tc>
        <w:tc>
          <w:tcPr>
            <w:tcW w:w="3598" w:type="dxa"/>
          </w:tcPr>
          <w:p w:rsidR="00571656" w:rsidRPr="00036C41" w:rsidRDefault="00571656" w:rsidP="007A66FB">
            <w:pPr>
              <w:spacing w:line="240" w:lineRule="auto"/>
              <w:jc w:val="center"/>
              <w:rPr>
                <w:rFonts w:eastAsia="Times New Roman" w:cs="Tahoma"/>
                <w:b/>
                <w:sz w:val="21"/>
                <w:szCs w:val="21"/>
                <w:lang w:eastAsia="en-AU"/>
              </w:rPr>
            </w:pPr>
            <w:r w:rsidRPr="00036C41">
              <w:rPr>
                <w:rFonts w:eastAsia="Times New Roman" w:cs="Tahoma"/>
                <w:b/>
                <w:sz w:val="21"/>
                <w:szCs w:val="21"/>
                <w:lang w:eastAsia="en-AU"/>
              </w:rPr>
              <w:t xml:space="preserve">Consistent: </w:t>
            </w:r>
            <w:r w:rsidRPr="00036C41">
              <w:rPr>
                <w:rFonts w:eastAsia="Times New Roman" w:cs="Tahoma"/>
                <w:sz w:val="21"/>
                <w:szCs w:val="21"/>
                <w:lang w:eastAsia="en-AU"/>
              </w:rPr>
              <w:t>All EAs will be trained to undertake/administer a standard set of assessments which would result in a consistent assessment approach of ‘assessing care required’ and facilitate the provision of information to the provider to assist with the development of care planning requirements.</w:t>
            </w:r>
          </w:p>
        </w:tc>
      </w:tr>
      <w:tr w:rsidR="00571656" w:rsidRPr="00036C41" w:rsidTr="007F2ED6">
        <w:tc>
          <w:tcPr>
            <w:tcW w:w="2232" w:type="dxa"/>
          </w:tcPr>
          <w:p w:rsidR="00571656" w:rsidRPr="00036C41" w:rsidRDefault="00571656" w:rsidP="006B374E">
            <w:pPr>
              <w:spacing w:line="240" w:lineRule="auto"/>
              <w:jc w:val="left"/>
              <w:rPr>
                <w:rFonts w:eastAsia="Times New Roman" w:cs="Tahoma"/>
                <w:sz w:val="21"/>
                <w:szCs w:val="21"/>
                <w:lang w:eastAsia="en-AU"/>
              </w:rPr>
            </w:pPr>
            <w:r w:rsidRPr="00036C41">
              <w:rPr>
                <w:rFonts w:eastAsia="Times New Roman" w:cs="Tahoma"/>
                <w:b/>
                <w:sz w:val="21"/>
                <w:szCs w:val="21"/>
                <w:lang w:eastAsia="en-AU"/>
              </w:rPr>
              <w:t>Documentation Required for Funding</w:t>
            </w:r>
            <w:r w:rsidR="007A576E" w:rsidRPr="00036C41">
              <w:rPr>
                <w:rFonts w:eastAsia="Times New Roman" w:cs="Tahoma"/>
                <w:b/>
                <w:sz w:val="21"/>
                <w:szCs w:val="21"/>
                <w:lang w:eastAsia="en-AU"/>
              </w:rPr>
              <w:t xml:space="preserve"> </w:t>
            </w:r>
          </w:p>
        </w:tc>
        <w:tc>
          <w:tcPr>
            <w:tcW w:w="3345" w:type="dxa"/>
          </w:tcPr>
          <w:p w:rsidR="00571656" w:rsidRPr="00036C41" w:rsidRDefault="00571656" w:rsidP="007A66FB">
            <w:pPr>
              <w:spacing w:line="240" w:lineRule="auto"/>
              <w:jc w:val="center"/>
              <w:rPr>
                <w:rFonts w:eastAsia="Times New Roman" w:cs="Tahoma"/>
                <w:b/>
                <w:sz w:val="21"/>
                <w:szCs w:val="21"/>
                <w:lang w:eastAsia="en-AU"/>
              </w:rPr>
            </w:pPr>
            <w:r w:rsidRPr="00036C41">
              <w:rPr>
                <w:rFonts w:eastAsia="Times New Roman" w:cs="Tahoma"/>
                <w:b/>
                <w:sz w:val="21"/>
                <w:szCs w:val="21"/>
                <w:lang w:eastAsia="en-AU"/>
              </w:rPr>
              <w:t xml:space="preserve">No change: </w:t>
            </w:r>
            <w:r w:rsidRPr="00036C41">
              <w:rPr>
                <w:rFonts w:eastAsia="Times New Roman" w:cs="Tahoma"/>
                <w:sz w:val="21"/>
                <w:szCs w:val="21"/>
                <w:lang w:eastAsia="en-AU"/>
              </w:rPr>
              <w:t>Documentation via the R-ACFI will be needed for new admissions and re-appraisals if the provider wishes to contest the EA funding determination.</w:t>
            </w:r>
          </w:p>
        </w:tc>
        <w:tc>
          <w:tcPr>
            <w:tcW w:w="3598" w:type="dxa"/>
          </w:tcPr>
          <w:p w:rsidR="00571656" w:rsidRPr="00036C41" w:rsidRDefault="00571656" w:rsidP="007A66FB">
            <w:pPr>
              <w:spacing w:line="240" w:lineRule="auto"/>
              <w:jc w:val="center"/>
              <w:rPr>
                <w:rFonts w:eastAsia="Times New Roman" w:cs="Tahoma"/>
                <w:b/>
                <w:sz w:val="21"/>
                <w:szCs w:val="21"/>
                <w:lang w:eastAsia="en-AU"/>
              </w:rPr>
            </w:pPr>
            <w:r w:rsidRPr="00036C41">
              <w:rPr>
                <w:rFonts w:eastAsia="Times New Roman" w:cs="Tahoma"/>
                <w:b/>
                <w:sz w:val="21"/>
                <w:szCs w:val="21"/>
                <w:lang w:eastAsia="en-AU"/>
              </w:rPr>
              <w:t>Yes</w:t>
            </w:r>
            <w:r w:rsidRPr="00036C41">
              <w:rPr>
                <w:rFonts w:eastAsia="Times New Roman" w:cs="Tahoma"/>
                <w:sz w:val="21"/>
                <w:szCs w:val="21"/>
                <w:lang w:eastAsia="en-AU"/>
              </w:rPr>
              <w:t>: EA will be required to fully document their assessment, which will be based on the R-ACFI. At present for ACAT assessors, not all NSAF items are completed.</w:t>
            </w:r>
          </w:p>
        </w:tc>
      </w:tr>
      <w:tr w:rsidR="00571656" w:rsidRPr="00036C41" w:rsidTr="007F2ED6">
        <w:tc>
          <w:tcPr>
            <w:tcW w:w="2232" w:type="dxa"/>
          </w:tcPr>
          <w:p w:rsidR="00571656" w:rsidRPr="00036C41" w:rsidRDefault="00571656" w:rsidP="006B374E">
            <w:pPr>
              <w:spacing w:line="240" w:lineRule="auto"/>
              <w:jc w:val="left"/>
              <w:rPr>
                <w:rFonts w:eastAsia="Times New Roman" w:cs="Tahoma"/>
                <w:b/>
                <w:sz w:val="21"/>
                <w:szCs w:val="21"/>
                <w:lang w:eastAsia="en-AU"/>
              </w:rPr>
            </w:pPr>
            <w:r w:rsidRPr="00036C41">
              <w:rPr>
                <w:rFonts w:eastAsia="Times New Roman" w:cs="Tahoma"/>
                <w:b/>
                <w:sz w:val="21"/>
                <w:szCs w:val="21"/>
                <w:lang w:eastAsia="en-AU"/>
              </w:rPr>
              <w:t>Disruption for Service if Funding Reduced After Departmental Reviews</w:t>
            </w:r>
          </w:p>
        </w:tc>
        <w:tc>
          <w:tcPr>
            <w:tcW w:w="3345" w:type="dxa"/>
          </w:tcPr>
          <w:p w:rsidR="00571656" w:rsidRPr="00036C41" w:rsidRDefault="00571656" w:rsidP="007A66FB">
            <w:pPr>
              <w:spacing w:line="240" w:lineRule="auto"/>
              <w:jc w:val="center"/>
              <w:rPr>
                <w:rFonts w:eastAsia="Times New Roman" w:cs="Tahoma"/>
                <w:b/>
                <w:sz w:val="21"/>
                <w:szCs w:val="21"/>
                <w:lang w:eastAsia="en-AU"/>
              </w:rPr>
            </w:pPr>
            <w:r w:rsidRPr="00036C41">
              <w:rPr>
                <w:rFonts w:eastAsia="Times New Roman" w:cs="Tahoma"/>
                <w:b/>
                <w:sz w:val="21"/>
                <w:szCs w:val="21"/>
                <w:lang w:eastAsia="en-AU"/>
              </w:rPr>
              <w:t xml:space="preserve">Highly disruptive: </w:t>
            </w:r>
            <w:r w:rsidRPr="00036C41">
              <w:rPr>
                <w:rFonts w:eastAsia="Times New Roman" w:cs="Tahoma"/>
                <w:sz w:val="21"/>
                <w:szCs w:val="21"/>
                <w:lang w:eastAsia="en-AU"/>
              </w:rPr>
              <w:t>The accountability system ‘claws back’ monies from facilities for inappropriate claims. Residents may be, to some extent, affected by this outcome as the provider must ‘pay back’ money it has already spent and staff hours and hence, care provision may be affected.</w:t>
            </w:r>
          </w:p>
        </w:tc>
        <w:tc>
          <w:tcPr>
            <w:tcW w:w="3598" w:type="dxa"/>
          </w:tcPr>
          <w:p w:rsidR="00571656" w:rsidRPr="00036C41" w:rsidRDefault="00571656" w:rsidP="007A66FB">
            <w:pPr>
              <w:spacing w:line="240" w:lineRule="auto"/>
              <w:jc w:val="center"/>
              <w:rPr>
                <w:rFonts w:eastAsia="Times New Roman" w:cs="Tahoma"/>
                <w:b/>
                <w:sz w:val="21"/>
                <w:szCs w:val="21"/>
                <w:lang w:eastAsia="en-AU"/>
              </w:rPr>
            </w:pPr>
            <w:r w:rsidRPr="00036C41">
              <w:rPr>
                <w:rFonts w:eastAsia="Times New Roman" w:cs="Tahoma"/>
                <w:b/>
                <w:sz w:val="21"/>
                <w:szCs w:val="21"/>
                <w:lang w:eastAsia="en-AU"/>
              </w:rPr>
              <w:t>Reduced:</w:t>
            </w:r>
            <w:r w:rsidRPr="00036C41">
              <w:rPr>
                <w:rFonts w:eastAsia="Times New Roman" w:cs="Tahoma"/>
                <w:sz w:val="21"/>
                <w:szCs w:val="21"/>
                <w:lang w:eastAsia="en-AU"/>
              </w:rPr>
              <w:t xml:space="preserve"> The EA model effectively eliminates this possibility as facilities will not lose money retrospectively and they will be certain of the funding once the EA has rated the resident.</w:t>
            </w:r>
          </w:p>
        </w:tc>
      </w:tr>
      <w:tr w:rsidR="00571656" w:rsidRPr="00036C41" w:rsidTr="007F2ED6">
        <w:tc>
          <w:tcPr>
            <w:tcW w:w="2232" w:type="dxa"/>
          </w:tcPr>
          <w:p w:rsidR="00571656" w:rsidRPr="00036C41" w:rsidRDefault="00571656" w:rsidP="006B374E">
            <w:pPr>
              <w:spacing w:line="240" w:lineRule="auto"/>
              <w:jc w:val="left"/>
              <w:rPr>
                <w:rFonts w:eastAsia="Times New Roman" w:cs="Tahoma"/>
                <w:b/>
                <w:sz w:val="21"/>
                <w:szCs w:val="21"/>
                <w:lang w:eastAsia="en-AU"/>
              </w:rPr>
            </w:pPr>
            <w:r w:rsidRPr="00036C41">
              <w:rPr>
                <w:rFonts w:eastAsia="Times New Roman" w:cs="Tahoma"/>
                <w:b/>
                <w:sz w:val="21"/>
                <w:szCs w:val="21"/>
                <w:lang w:eastAsia="en-AU"/>
              </w:rPr>
              <w:t>Pre-Admission Resident Care Needs Profile</w:t>
            </w:r>
          </w:p>
        </w:tc>
        <w:tc>
          <w:tcPr>
            <w:tcW w:w="3345" w:type="dxa"/>
          </w:tcPr>
          <w:p w:rsidR="00571656" w:rsidRPr="00036C41" w:rsidRDefault="00571656" w:rsidP="007A66FB">
            <w:pPr>
              <w:spacing w:line="240" w:lineRule="auto"/>
              <w:jc w:val="center"/>
              <w:rPr>
                <w:rFonts w:eastAsia="Times New Roman" w:cs="Tahoma"/>
                <w:b/>
                <w:sz w:val="21"/>
                <w:szCs w:val="21"/>
                <w:lang w:eastAsia="en-AU"/>
              </w:rPr>
            </w:pPr>
            <w:r w:rsidRPr="00036C41">
              <w:rPr>
                <w:rFonts w:eastAsia="Times New Roman" w:cs="Tahoma"/>
                <w:b/>
                <w:sz w:val="21"/>
                <w:szCs w:val="21"/>
                <w:lang w:eastAsia="en-AU"/>
              </w:rPr>
              <w:t>No:</w:t>
            </w:r>
            <w:r w:rsidRPr="00036C41">
              <w:rPr>
                <w:rFonts w:eastAsia="Times New Roman" w:cs="Tahoma"/>
                <w:sz w:val="21"/>
                <w:szCs w:val="21"/>
                <w:lang w:eastAsia="en-AU"/>
              </w:rPr>
              <w:t xml:space="preserve"> Facilities have limited information on the care needs of residents before admission.</w:t>
            </w:r>
          </w:p>
        </w:tc>
        <w:tc>
          <w:tcPr>
            <w:tcW w:w="3598" w:type="dxa"/>
          </w:tcPr>
          <w:p w:rsidR="00571656" w:rsidRPr="00036C41" w:rsidRDefault="00571656" w:rsidP="007A66FB">
            <w:pPr>
              <w:spacing w:line="240" w:lineRule="auto"/>
              <w:jc w:val="center"/>
              <w:rPr>
                <w:rFonts w:eastAsia="Times New Roman" w:cs="Tahoma"/>
                <w:sz w:val="21"/>
                <w:szCs w:val="21"/>
                <w:lang w:eastAsia="en-AU"/>
              </w:rPr>
            </w:pPr>
            <w:r w:rsidRPr="00036C41">
              <w:rPr>
                <w:rFonts w:eastAsia="Times New Roman" w:cs="Tahoma"/>
                <w:b/>
                <w:sz w:val="21"/>
                <w:szCs w:val="21"/>
                <w:lang w:eastAsia="en-AU"/>
              </w:rPr>
              <w:t>Yes:</w:t>
            </w:r>
            <w:r w:rsidRPr="00036C41">
              <w:rPr>
                <w:rFonts w:eastAsia="Times New Roman" w:cs="Tahoma"/>
                <w:sz w:val="21"/>
                <w:szCs w:val="21"/>
                <w:lang w:eastAsia="en-AU"/>
              </w:rPr>
              <w:t xml:space="preserve"> Facilities will have an easily accessible list of available residents with a completed assessment and funding allocation described. This will enable provider staff to better match their capabilities and staff skills and mix with the case type of the resident (e.g. person with dementia or behavioural issue).</w:t>
            </w:r>
          </w:p>
        </w:tc>
      </w:tr>
    </w:tbl>
    <w:p w:rsidR="00CC0633" w:rsidRDefault="00CC21FA" w:rsidP="00CC0633">
      <w:pPr>
        <w:pStyle w:val="Caption"/>
        <w:keepNext/>
      </w:pPr>
      <w:bookmarkStart w:id="729" w:name="_Toc495416864"/>
      <w:bookmarkStart w:id="730" w:name="Tab1104"/>
      <w:r>
        <w:lastRenderedPageBreak/>
        <w:t>Table 11.</w:t>
      </w:r>
      <w:r w:rsidR="009A3F5A">
        <w:fldChar w:fldCharType="begin"/>
      </w:r>
      <w:r w:rsidR="009A3F5A">
        <w:instrText xml:space="preserve"> SEQ Table_11. \* ARABIC </w:instrText>
      </w:r>
      <w:r w:rsidR="009A3F5A">
        <w:fldChar w:fldCharType="separate"/>
      </w:r>
      <w:r w:rsidR="00856E49">
        <w:rPr>
          <w:noProof/>
        </w:rPr>
        <w:t>4</w:t>
      </w:r>
      <w:r w:rsidR="009A3F5A">
        <w:rPr>
          <w:noProof/>
        </w:rPr>
        <w:fldChar w:fldCharType="end"/>
      </w:r>
      <w:r>
        <w:t xml:space="preserve">: </w:t>
      </w:r>
      <w:r w:rsidRPr="00CC21FA">
        <w:t>External Funding Determination – Departmental Considerations &amp; Issues</w:t>
      </w:r>
      <w:bookmarkEnd w:id="729"/>
    </w:p>
    <w:tbl>
      <w:tblPr>
        <w:tblW w:w="9214"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1E0" w:firstRow="1" w:lastRow="1" w:firstColumn="1" w:lastColumn="1" w:noHBand="0" w:noVBand="0"/>
        <w:tblDescription w:val="Table 11.4 is a list of determinations for provider and external assessment for the considerations and issues under Option 1, as summarised in the text prior to this table. This table is to be read left to right, top to bottom."/>
      </w:tblPr>
      <w:tblGrid>
        <w:gridCol w:w="2363"/>
        <w:gridCol w:w="3307"/>
        <w:gridCol w:w="3544"/>
      </w:tblGrid>
      <w:tr w:rsidR="00571656" w:rsidRPr="00C4770B" w:rsidTr="00C4770B">
        <w:trPr>
          <w:cantSplit/>
          <w:tblHeader/>
        </w:trPr>
        <w:tc>
          <w:tcPr>
            <w:tcW w:w="2363" w:type="dxa"/>
            <w:shd w:val="clear" w:color="auto" w:fill="5B9BD5" w:themeFill="accent5"/>
            <w:vAlign w:val="center"/>
          </w:tcPr>
          <w:bookmarkEnd w:id="730"/>
          <w:p w:rsidR="00571656" w:rsidRPr="00C4770B" w:rsidRDefault="00571656" w:rsidP="007A66FB">
            <w:pPr>
              <w:spacing w:after="0" w:line="240" w:lineRule="auto"/>
              <w:jc w:val="left"/>
              <w:rPr>
                <w:rFonts w:eastAsia="Times New Roman" w:cs="Tahoma"/>
                <w:b/>
                <w:color w:val="FFFFFF" w:themeColor="background1"/>
                <w:sz w:val="22"/>
                <w:lang w:eastAsia="en-AU"/>
              </w:rPr>
            </w:pPr>
            <w:r w:rsidRPr="00C4770B">
              <w:rPr>
                <w:rFonts w:eastAsia="Times New Roman" w:cs="Tahoma"/>
                <w:b/>
                <w:color w:val="FFFFFF" w:themeColor="background1"/>
                <w:sz w:val="22"/>
                <w:lang w:eastAsia="en-AU"/>
              </w:rPr>
              <w:t>Considerations and issues</w:t>
            </w:r>
          </w:p>
        </w:tc>
        <w:tc>
          <w:tcPr>
            <w:tcW w:w="3307" w:type="dxa"/>
            <w:shd w:val="clear" w:color="auto" w:fill="5B9BD5" w:themeFill="accent5"/>
            <w:vAlign w:val="center"/>
          </w:tcPr>
          <w:p w:rsidR="00571656" w:rsidRPr="00C4770B" w:rsidRDefault="00571656" w:rsidP="00DD6610">
            <w:pPr>
              <w:spacing w:after="0" w:line="240" w:lineRule="auto"/>
              <w:jc w:val="center"/>
              <w:rPr>
                <w:rFonts w:eastAsia="Times New Roman" w:cs="Tahoma"/>
                <w:b/>
                <w:color w:val="FFFFFF" w:themeColor="background1"/>
                <w:sz w:val="22"/>
                <w:lang w:eastAsia="en-AU"/>
              </w:rPr>
            </w:pPr>
            <w:r w:rsidRPr="00C4770B">
              <w:rPr>
                <w:rFonts w:eastAsia="Times New Roman" w:cs="Tahoma"/>
                <w:b/>
                <w:color w:val="FFFFFF" w:themeColor="background1"/>
                <w:sz w:val="22"/>
                <w:lang w:eastAsia="en-AU"/>
              </w:rPr>
              <w:t>Provider Self-Assessment for Funding</w:t>
            </w:r>
          </w:p>
        </w:tc>
        <w:tc>
          <w:tcPr>
            <w:tcW w:w="3544" w:type="dxa"/>
            <w:shd w:val="clear" w:color="auto" w:fill="5B9BD5" w:themeFill="accent5"/>
            <w:vAlign w:val="center"/>
          </w:tcPr>
          <w:p w:rsidR="00571656" w:rsidRPr="00C4770B" w:rsidRDefault="00571656" w:rsidP="00DD6610">
            <w:pPr>
              <w:spacing w:after="0" w:line="240" w:lineRule="auto"/>
              <w:jc w:val="center"/>
              <w:rPr>
                <w:rFonts w:eastAsia="Times New Roman" w:cs="Tahoma"/>
                <w:b/>
                <w:color w:val="FFFFFF" w:themeColor="background1"/>
                <w:sz w:val="22"/>
                <w:lang w:eastAsia="en-AU"/>
              </w:rPr>
            </w:pPr>
            <w:r w:rsidRPr="00C4770B">
              <w:rPr>
                <w:rFonts w:eastAsia="Times New Roman" w:cs="Tahoma"/>
                <w:b/>
                <w:color w:val="FFFFFF" w:themeColor="background1"/>
                <w:sz w:val="22"/>
                <w:lang w:eastAsia="en-AU"/>
              </w:rPr>
              <w:t>External Assessment (EA) for Funding</w:t>
            </w:r>
          </w:p>
        </w:tc>
      </w:tr>
      <w:tr w:rsidR="00571656" w:rsidRPr="00C4770B" w:rsidTr="00C4770B">
        <w:trPr>
          <w:cantSplit/>
        </w:trPr>
        <w:tc>
          <w:tcPr>
            <w:tcW w:w="2363" w:type="dxa"/>
          </w:tcPr>
          <w:p w:rsidR="00571656" w:rsidRPr="00C4770B" w:rsidRDefault="00571656" w:rsidP="006B374E">
            <w:pPr>
              <w:spacing w:line="240" w:lineRule="auto"/>
              <w:jc w:val="left"/>
              <w:rPr>
                <w:rFonts w:eastAsia="Times New Roman" w:cs="Tahoma"/>
                <w:b/>
                <w:sz w:val="22"/>
                <w:lang w:eastAsia="en-AU"/>
              </w:rPr>
            </w:pPr>
            <w:r w:rsidRPr="00C4770B">
              <w:rPr>
                <w:rFonts w:eastAsia="Times New Roman" w:cs="Tahoma"/>
                <w:b/>
                <w:sz w:val="22"/>
                <w:lang w:eastAsia="en-AU"/>
              </w:rPr>
              <w:t>Health Management of Residential Aged Care Sector Funding Growth Due to Non-Dependency Related Systematic Changes in Cost.</w:t>
            </w:r>
          </w:p>
        </w:tc>
        <w:tc>
          <w:tcPr>
            <w:tcW w:w="3307" w:type="dxa"/>
          </w:tcPr>
          <w:p w:rsidR="00571656" w:rsidRPr="00C4770B" w:rsidRDefault="00571656" w:rsidP="007A66FB">
            <w:pPr>
              <w:spacing w:line="240" w:lineRule="auto"/>
              <w:jc w:val="center"/>
              <w:rPr>
                <w:rFonts w:eastAsia="Times New Roman" w:cs="Tahoma"/>
                <w:b/>
                <w:sz w:val="22"/>
                <w:lang w:eastAsia="en-AU"/>
              </w:rPr>
            </w:pPr>
            <w:r w:rsidRPr="00C4770B">
              <w:rPr>
                <w:rFonts w:eastAsia="Times New Roman" w:cs="Tahoma"/>
                <w:b/>
                <w:sz w:val="22"/>
                <w:lang w:eastAsia="en-AU"/>
              </w:rPr>
              <w:t xml:space="preserve">Limited scope. </w:t>
            </w:r>
            <w:r w:rsidRPr="00C4770B">
              <w:rPr>
                <w:rFonts w:eastAsia="Times New Roman" w:cs="Tahoma"/>
                <w:sz w:val="22"/>
                <w:lang w:eastAsia="en-AU"/>
              </w:rPr>
              <w:t>Provider assessment relies on the accuracy of assessments and documentation as completed by providers. For example, only around 12,000 of a possible 230,000 ACFI appraisals were audited in 2016/17.</w:t>
            </w:r>
          </w:p>
        </w:tc>
        <w:tc>
          <w:tcPr>
            <w:tcW w:w="3544" w:type="dxa"/>
          </w:tcPr>
          <w:p w:rsidR="00571656" w:rsidRPr="00C4770B" w:rsidRDefault="00571656" w:rsidP="007A66FB">
            <w:pPr>
              <w:spacing w:line="240" w:lineRule="auto"/>
              <w:jc w:val="center"/>
              <w:rPr>
                <w:rFonts w:eastAsia="Times New Roman" w:cs="Tahoma"/>
                <w:b/>
                <w:sz w:val="22"/>
                <w:lang w:eastAsia="en-AU"/>
              </w:rPr>
            </w:pPr>
            <w:r w:rsidRPr="00C4770B">
              <w:rPr>
                <w:rFonts w:eastAsia="Times New Roman" w:cs="Tahoma"/>
                <w:b/>
                <w:sz w:val="22"/>
                <w:lang w:eastAsia="en-AU"/>
              </w:rPr>
              <w:t>Enhanced Scope:</w:t>
            </w:r>
            <w:r w:rsidRPr="00C4770B">
              <w:rPr>
                <w:rFonts w:eastAsia="Times New Roman" w:cs="Tahoma"/>
                <w:sz w:val="22"/>
                <w:lang w:eastAsia="en-AU"/>
              </w:rPr>
              <w:t xml:space="preserve"> The EAs will be trained, and be part of an external system that will be more easily monitored for consistency and quality. Focused training and the use of the same instrument nationally such as the R-ACFI will ensure a more consistent outcome that will not </w:t>
            </w:r>
            <w:r w:rsidR="00590A57" w:rsidRPr="00C4770B">
              <w:rPr>
                <w:rFonts w:eastAsia="Times New Roman" w:cs="Tahoma"/>
                <w:sz w:val="22"/>
                <w:lang w:eastAsia="en-AU"/>
              </w:rPr>
              <w:t xml:space="preserve">be </w:t>
            </w:r>
            <w:r w:rsidRPr="00C4770B">
              <w:rPr>
                <w:rFonts w:eastAsia="Times New Roman" w:cs="Tahoma"/>
                <w:sz w:val="22"/>
                <w:lang w:eastAsia="en-AU"/>
              </w:rPr>
              <w:t>affected by ‘self-assessment’ bias.</w:t>
            </w:r>
            <w:r w:rsidR="007A576E" w:rsidRPr="00C4770B">
              <w:rPr>
                <w:rFonts w:eastAsia="Times New Roman" w:cs="Tahoma"/>
                <w:sz w:val="22"/>
                <w:lang w:eastAsia="en-AU"/>
              </w:rPr>
              <w:t xml:space="preserve"> </w:t>
            </w:r>
            <w:r w:rsidRPr="00C4770B">
              <w:rPr>
                <w:rFonts w:eastAsia="Times New Roman" w:cs="Tahoma"/>
                <w:sz w:val="22"/>
                <w:lang w:eastAsia="en-AU"/>
              </w:rPr>
              <w:t>With EA models, all new funding appraisals are ‘checked’ before approval, unlike the current system where only a small sample of appraisals are reviewed and this is subsequent to the receipt of the funding.</w:t>
            </w:r>
          </w:p>
        </w:tc>
      </w:tr>
      <w:tr w:rsidR="00571656" w:rsidRPr="00C4770B" w:rsidTr="00C4770B">
        <w:trPr>
          <w:cantSplit/>
        </w:trPr>
        <w:tc>
          <w:tcPr>
            <w:tcW w:w="2363" w:type="dxa"/>
          </w:tcPr>
          <w:p w:rsidR="00571656" w:rsidRPr="00C4770B" w:rsidRDefault="00571656" w:rsidP="006B374E">
            <w:pPr>
              <w:spacing w:line="240" w:lineRule="auto"/>
              <w:jc w:val="left"/>
              <w:rPr>
                <w:rFonts w:eastAsia="Times New Roman" w:cs="Tahoma"/>
                <w:b/>
                <w:sz w:val="22"/>
                <w:lang w:eastAsia="en-AU"/>
              </w:rPr>
            </w:pPr>
            <w:r w:rsidRPr="00C4770B">
              <w:rPr>
                <w:rFonts w:eastAsia="Times New Roman" w:cs="Tahoma"/>
                <w:b/>
                <w:sz w:val="22"/>
                <w:lang w:eastAsia="en-AU"/>
              </w:rPr>
              <w:t>Residential Aged Care Global Budget Management – Managing High Risk Periods</w:t>
            </w:r>
          </w:p>
          <w:p w:rsidR="00571656" w:rsidRPr="00C4770B" w:rsidRDefault="00571656" w:rsidP="006B374E">
            <w:pPr>
              <w:spacing w:line="240" w:lineRule="auto"/>
              <w:jc w:val="left"/>
              <w:rPr>
                <w:rFonts w:eastAsia="Times New Roman" w:cs="Tahoma"/>
                <w:b/>
                <w:sz w:val="22"/>
                <w:lang w:eastAsia="en-AU"/>
              </w:rPr>
            </w:pPr>
            <w:r w:rsidRPr="00C4770B">
              <w:rPr>
                <w:rFonts w:eastAsia="Times New Roman" w:cs="Tahoma"/>
                <w:sz w:val="22"/>
                <w:lang w:eastAsia="en-AU"/>
              </w:rPr>
              <w:t>New pressures are likely to emerge with the surge in new beds built and available in the next 10 years.</w:t>
            </w:r>
          </w:p>
        </w:tc>
        <w:tc>
          <w:tcPr>
            <w:tcW w:w="3307" w:type="dxa"/>
          </w:tcPr>
          <w:p w:rsidR="00571656" w:rsidRPr="00C4770B" w:rsidRDefault="00571656" w:rsidP="007A66FB">
            <w:pPr>
              <w:spacing w:line="240" w:lineRule="auto"/>
              <w:jc w:val="center"/>
              <w:rPr>
                <w:rFonts w:eastAsia="Times New Roman" w:cs="Tahoma"/>
                <w:b/>
                <w:sz w:val="22"/>
                <w:lang w:eastAsia="en-AU"/>
              </w:rPr>
            </w:pPr>
            <w:r w:rsidRPr="00C4770B">
              <w:rPr>
                <w:rFonts w:eastAsia="Times New Roman" w:cs="Tahoma"/>
                <w:b/>
                <w:sz w:val="22"/>
                <w:lang w:eastAsia="en-AU"/>
              </w:rPr>
              <w:t>Limited ability:</w:t>
            </w:r>
            <w:r w:rsidR="007A576E" w:rsidRPr="00C4770B">
              <w:rPr>
                <w:rFonts w:eastAsia="Times New Roman" w:cs="Tahoma"/>
                <w:b/>
                <w:sz w:val="22"/>
                <w:lang w:eastAsia="en-AU"/>
              </w:rPr>
              <w:t xml:space="preserve"> </w:t>
            </w:r>
            <w:r w:rsidRPr="00C4770B">
              <w:rPr>
                <w:rFonts w:eastAsia="Times New Roman" w:cs="Tahoma"/>
                <w:sz w:val="22"/>
                <w:lang w:eastAsia="en-AU"/>
              </w:rPr>
              <w:t>With an unprecedented period of high bed growth and industry consolidation, it is essential that the monitoring and accountability systems are methodologically robust and scalable.</w:t>
            </w:r>
            <w:r w:rsidR="007A576E" w:rsidRPr="00C4770B">
              <w:rPr>
                <w:rFonts w:eastAsia="Times New Roman" w:cs="Tahoma"/>
                <w:sz w:val="22"/>
                <w:lang w:eastAsia="en-AU"/>
              </w:rPr>
              <w:t xml:space="preserve"> </w:t>
            </w:r>
            <w:r w:rsidRPr="00C4770B">
              <w:rPr>
                <w:rFonts w:eastAsia="Times New Roman" w:cs="Tahoma"/>
                <w:sz w:val="22"/>
                <w:lang w:eastAsia="en-AU"/>
              </w:rPr>
              <w:t>Given that there will be a significant increase in the number of beds as the baby boomers reach their 80’s in the 2020’s and together with a more professional, better managed industry, the margin for additional growth beyond the expected ‘dependency’ creep is considerable and unpredictable.</w:t>
            </w:r>
          </w:p>
        </w:tc>
        <w:tc>
          <w:tcPr>
            <w:tcW w:w="3544" w:type="dxa"/>
          </w:tcPr>
          <w:p w:rsidR="00571656" w:rsidRPr="00C4770B" w:rsidRDefault="00571656" w:rsidP="007A66FB">
            <w:pPr>
              <w:spacing w:line="240" w:lineRule="auto"/>
              <w:jc w:val="center"/>
              <w:rPr>
                <w:rFonts w:eastAsia="Times New Roman" w:cs="Tahoma"/>
                <w:b/>
                <w:sz w:val="22"/>
                <w:lang w:eastAsia="en-AU"/>
              </w:rPr>
            </w:pPr>
            <w:r w:rsidRPr="00C4770B">
              <w:rPr>
                <w:rFonts w:eastAsia="Times New Roman" w:cs="Tahoma"/>
                <w:b/>
                <w:sz w:val="22"/>
                <w:lang w:eastAsia="en-AU"/>
              </w:rPr>
              <w:t xml:space="preserve">Enhanced ability: </w:t>
            </w:r>
            <w:r w:rsidRPr="00C4770B">
              <w:rPr>
                <w:rFonts w:eastAsia="Times New Roman" w:cs="Tahoma"/>
                <w:sz w:val="22"/>
                <w:lang w:eastAsia="en-AU"/>
              </w:rPr>
              <w:t>As the population ages and the newly allocated residential care beds become available, the impact on the global residential care budget can be better monitored with the EA model.</w:t>
            </w:r>
          </w:p>
        </w:tc>
      </w:tr>
      <w:tr w:rsidR="00571656" w:rsidRPr="00C4770B" w:rsidTr="00C4770B">
        <w:trPr>
          <w:cantSplit/>
        </w:trPr>
        <w:tc>
          <w:tcPr>
            <w:tcW w:w="2363" w:type="dxa"/>
          </w:tcPr>
          <w:p w:rsidR="00571656" w:rsidRPr="00C4770B" w:rsidRDefault="00571656" w:rsidP="006B374E">
            <w:pPr>
              <w:spacing w:line="240" w:lineRule="auto"/>
              <w:jc w:val="left"/>
              <w:rPr>
                <w:rFonts w:eastAsia="Times New Roman" w:cs="Tahoma"/>
                <w:b/>
                <w:sz w:val="22"/>
                <w:lang w:eastAsia="en-AU"/>
              </w:rPr>
            </w:pPr>
            <w:r w:rsidRPr="00C4770B">
              <w:rPr>
                <w:rFonts w:eastAsia="Times New Roman" w:cs="Tahoma"/>
                <w:b/>
                <w:sz w:val="22"/>
                <w:lang w:eastAsia="en-AU"/>
              </w:rPr>
              <w:t>Commonwealth:</w:t>
            </w:r>
          </w:p>
          <w:p w:rsidR="00571656" w:rsidRPr="00C4770B" w:rsidRDefault="00571656" w:rsidP="006B374E">
            <w:pPr>
              <w:spacing w:line="240" w:lineRule="auto"/>
              <w:jc w:val="left"/>
              <w:rPr>
                <w:rFonts w:eastAsia="Times New Roman" w:cs="Tahoma"/>
                <w:b/>
                <w:sz w:val="22"/>
                <w:lang w:eastAsia="en-AU"/>
              </w:rPr>
            </w:pPr>
            <w:r w:rsidRPr="00C4770B">
              <w:rPr>
                <w:rFonts w:eastAsia="Times New Roman" w:cs="Tahoma"/>
                <w:b/>
                <w:sz w:val="22"/>
                <w:lang w:eastAsia="en-AU"/>
              </w:rPr>
              <w:t>Equity of Funding Outcomes</w:t>
            </w:r>
          </w:p>
        </w:tc>
        <w:tc>
          <w:tcPr>
            <w:tcW w:w="3307" w:type="dxa"/>
          </w:tcPr>
          <w:p w:rsidR="00571656" w:rsidRPr="00C4770B" w:rsidRDefault="00571656" w:rsidP="007A66FB">
            <w:pPr>
              <w:spacing w:line="240" w:lineRule="auto"/>
              <w:jc w:val="center"/>
              <w:rPr>
                <w:rFonts w:eastAsia="Times New Roman" w:cs="Tahoma"/>
                <w:b/>
                <w:sz w:val="22"/>
                <w:lang w:eastAsia="en-AU"/>
              </w:rPr>
            </w:pPr>
            <w:r w:rsidRPr="00C4770B">
              <w:rPr>
                <w:rFonts w:eastAsia="Times New Roman" w:cs="Tahoma"/>
                <w:b/>
                <w:sz w:val="22"/>
                <w:lang w:eastAsia="en-AU"/>
              </w:rPr>
              <w:t>Inconsistent:</w:t>
            </w:r>
            <w:r w:rsidR="007A576E" w:rsidRPr="00C4770B">
              <w:rPr>
                <w:rFonts w:eastAsia="Times New Roman" w:cs="Tahoma"/>
                <w:sz w:val="22"/>
                <w:lang w:eastAsia="en-AU"/>
              </w:rPr>
              <w:t xml:space="preserve"> </w:t>
            </w:r>
            <w:r w:rsidRPr="00C4770B">
              <w:rPr>
                <w:rFonts w:eastAsia="Times New Roman" w:cs="Tahoma"/>
                <w:sz w:val="22"/>
                <w:lang w:eastAsia="en-AU"/>
              </w:rPr>
              <w:t>Those organisations and providers with more resources and scale will generally better optimise their funding claims compared to fewer resources and scale.</w:t>
            </w:r>
          </w:p>
        </w:tc>
        <w:tc>
          <w:tcPr>
            <w:tcW w:w="3544" w:type="dxa"/>
          </w:tcPr>
          <w:p w:rsidR="00571656" w:rsidRPr="00C4770B" w:rsidRDefault="00571656" w:rsidP="007A66FB">
            <w:pPr>
              <w:spacing w:line="240" w:lineRule="auto"/>
              <w:jc w:val="center"/>
              <w:rPr>
                <w:rFonts w:eastAsia="Times New Roman" w:cs="Tahoma"/>
                <w:b/>
                <w:sz w:val="22"/>
                <w:lang w:eastAsia="en-AU"/>
              </w:rPr>
            </w:pPr>
            <w:r w:rsidRPr="00C4770B">
              <w:rPr>
                <w:rFonts w:eastAsia="Times New Roman" w:cs="Tahoma"/>
                <w:b/>
                <w:sz w:val="22"/>
                <w:lang w:eastAsia="en-AU"/>
              </w:rPr>
              <w:t>Fairer.</w:t>
            </w:r>
            <w:r w:rsidRPr="00C4770B">
              <w:rPr>
                <w:rFonts w:eastAsia="Times New Roman" w:cs="Tahoma"/>
                <w:sz w:val="22"/>
                <w:lang w:eastAsia="en-AU"/>
              </w:rPr>
              <w:t xml:space="preserve"> The Commonwealth can be more confident of the consistency and integrity of the funding determination across the country and the equity in the system. That is, providers with residents with similar care needs receive similar funding for care no matter their location.</w:t>
            </w:r>
          </w:p>
        </w:tc>
      </w:tr>
      <w:tr w:rsidR="00571656" w:rsidRPr="00C4770B" w:rsidTr="00C4770B">
        <w:trPr>
          <w:cantSplit/>
        </w:trPr>
        <w:tc>
          <w:tcPr>
            <w:tcW w:w="2363" w:type="dxa"/>
          </w:tcPr>
          <w:p w:rsidR="00571656" w:rsidRPr="00C4770B" w:rsidRDefault="00571656" w:rsidP="006B374E">
            <w:pPr>
              <w:spacing w:line="240" w:lineRule="auto"/>
              <w:jc w:val="left"/>
              <w:rPr>
                <w:rFonts w:eastAsia="Times New Roman" w:cs="Tahoma"/>
                <w:b/>
                <w:sz w:val="22"/>
                <w:lang w:eastAsia="en-AU"/>
              </w:rPr>
            </w:pPr>
            <w:r w:rsidRPr="00C4770B">
              <w:rPr>
                <w:rFonts w:eastAsia="Times New Roman" w:cs="Tahoma"/>
                <w:b/>
                <w:sz w:val="22"/>
                <w:lang w:eastAsia="en-AU"/>
              </w:rPr>
              <w:lastRenderedPageBreak/>
              <w:t>Disputation with The Aged Care Industry</w:t>
            </w:r>
          </w:p>
        </w:tc>
        <w:tc>
          <w:tcPr>
            <w:tcW w:w="3307" w:type="dxa"/>
          </w:tcPr>
          <w:p w:rsidR="00571656" w:rsidRPr="00C4770B" w:rsidRDefault="00571656" w:rsidP="007A66FB">
            <w:pPr>
              <w:spacing w:line="240" w:lineRule="auto"/>
              <w:jc w:val="center"/>
              <w:rPr>
                <w:rFonts w:eastAsia="Times New Roman" w:cs="Tahoma"/>
                <w:b/>
                <w:sz w:val="22"/>
                <w:lang w:eastAsia="en-AU"/>
              </w:rPr>
            </w:pPr>
            <w:r w:rsidRPr="00C4770B">
              <w:rPr>
                <w:rFonts w:eastAsia="Times New Roman" w:cs="Tahoma"/>
                <w:b/>
                <w:sz w:val="22"/>
                <w:lang w:eastAsia="en-AU"/>
              </w:rPr>
              <w:t>Worsening:</w:t>
            </w:r>
            <w:r w:rsidRPr="00C4770B">
              <w:rPr>
                <w:rFonts w:eastAsia="Times New Roman" w:cs="Tahoma"/>
                <w:sz w:val="22"/>
                <w:lang w:eastAsia="en-AU"/>
              </w:rPr>
              <w:t xml:space="preserve"> A more aggressive and comprehensive validation approach will inevitably lead to more disputation and distrust in the sector. Global budget growth beyond forward estimates may produce an over-reaction from the Department to pull the funding back into an ‘acceptable’ range.</w:t>
            </w:r>
          </w:p>
        </w:tc>
        <w:tc>
          <w:tcPr>
            <w:tcW w:w="3544" w:type="dxa"/>
          </w:tcPr>
          <w:p w:rsidR="00571656" w:rsidRPr="00C4770B" w:rsidRDefault="00571656" w:rsidP="007A66FB">
            <w:pPr>
              <w:spacing w:line="240" w:lineRule="auto"/>
              <w:jc w:val="center"/>
              <w:rPr>
                <w:rFonts w:eastAsia="Times New Roman" w:cs="Tahoma"/>
                <w:sz w:val="22"/>
                <w:lang w:eastAsia="en-AU"/>
              </w:rPr>
            </w:pPr>
            <w:r w:rsidRPr="00C4770B">
              <w:rPr>
                <w:rFonts w:eastAsia="Times New Roman" w:cs="Tahoma"/>
                <w:b/>
                <w:sz w:val="22"/>
                <w:lang w:eastAsia="en-AU"/>
              </w:rPr>
              <w:t>Improved:</w:t>
            </w:r>
            <w:r w:rsidRPr="00C4770B">
              <w:rPr>
                <w:rFonts w:eastAsia="Times New Roman" w:cs="Tahoma"/>
                <w:sz w:val="22"/>
                <w:lang w:eastAsia="en-AU"/>
              </w:rPr>
              <w:t xml:space="preserve"> The level of disputation with the industry will be significantly reduced as providers will be accepting or rejecting the allocated funding ‘upfront’ and funding certainty is achieved.</w:t>
            </w:r>
          </w:p>
          <w:p w:rsidR="00571656" w:rsidRPr="00C4770B" w:rsidRDefault="00571656" w:rsidP="007A66FB">
            <w:pPr>
              <w:spacing w:line="240" w:lineRule="auto"/>
              <w:jc w:val="center"/>
              <w:rPr>
                <w:rFonts w:eastAsia="Times New Roman" w:cs="Tahoma"/>
                <w:b/>
                <w:sz w:val="22"/>
                <w:lang w:eastAsia="en-AU"/>
              </w:rPr>
            </w:pPr>
            <w:r w:rsidRPr="00C4770B">
              <w:rPr>
                <w:rFonts w:eastAsia="Times New Roman" w:cs="Tahoma"/>
                <w:sz w:val="22"/>
                <w:lang w:eastAsia="en-AU"/>
              </w:rPr>
              <w:t>The Commonwealth bears the risk of the funding determinations by the EAs.</w:t>
            </w:r>
          </w:p>
        </w:tc>
      </w:tr>
      <w:tr w:rsidR="00571656" w:rsidRPr="00C4770B" w:rsidTr="00C4770B">
        <w:trPr>
          <w:cantSplit/>
        </w:trPr>
        <w:tc>
          <w:tcPr>
            <w:tcW w:w="2363" w:type="dxa"/>
          </w:tcPr>
          <w:p w:rsidR="00571656" w:rsidRPr="00C4770B" w:rsidRDefault="00571656" w:rsidP="006B374E">
            <w:pPr>
              <w:spacing w:line="240" w:lineRule="auto"/>
              <w:jc w:val="left"/>
              <w:rPr>
                <w:rFonts w:eastAsia="Times New Roman" w:cs="Tahoma"/>
                <w:b/>
                <w:sz w:val="22"/>
                <w:lang w:eastAsia="en-AU"/>
              </w:rPr>
            </w:pPr>
            <w:r w:rsidRPr="00C4770B">
              <w:rPr>
                <w:rFonts w:eastAsia="Times New Roman" w:cs="Tahoma"/>
                <w:b/>
                <w:sz w:val="22"/>
                <w:lang w:eastAsia="en-AU"/>
              </w:rPr>
              <w:t>Promotion of Synergies with Residential &amp; Community Care Packages</w:t>
            </w:r>
          </w:p>
        </w:tc>
        <w:tc>
          <w:tcPr>
            <w:tcW w:w="3307" w:type="dxa"/>
          </w:tcPr>
          <w:p w:rsidR="00571656" w:rsidRPr="00C4770B" w:rsidRDefault="00571656" w:rsidP="007A66FB">
            <w:pPr>
              <w:spacing w:line="240" w:lineRule="auto"/>
              <w:jc w:val="center"/>
              <w:rPr>
                <w:rFonts w:eastAsia="Times New Roman" w:cs="Tahoma"/>
                <w:b/>
                <w:sz w:val="22"/>
                <w:lang w:eastAsia="en-AU"/>
              </w:rPr>
            </w:pPr>
            <w:r w:rsidRPr="00C4770B">
              <w:rPr>
                <w:rFonts w:eastAsia="Times New Roman" w:cs="Tahoma"/>
                <w:b/>
                <w:sz w:val="22"/>
                <w:lang w:eastAsia="en-AU"/>
              </w:rPr>
              <w:t xml:space="preserve">Not possible: </w:t>
            </w:r>
            <w:r w:rsidRPr="00C4770B">
              <w:rPr>
                <w:rFonts w:eastAsia="Times New Roman" w:cs="Tahoma"/>
                <w:sz w:val="22"/>
                <w:lang w:eastAsia="en-AU"/>
              </w:rPr>
              <w:t>A comparison of what care funding a person would attract in residential care while still being supported by an aged care package or CHSP program is not possible if pre-admission R-ACFI not completed.</w:t>
            </w:r>
          </w:p>
        </w:tc>
        <w:tc>
          <w:tcPr>
            <w:tcW w:w="3544" w:type="dxa"/>
          </w:tcPr>
          <w:p w:rsidR="00571656" w:rsidRPr="00C4770B" w:rsidRDefault="00571656" w:rsidP="007A66FB">
            <w:pPr>
              <w:spacing w:line="240" w:lineRule="auto"/>
              <w:jc w:val="center"/>
              <w:rPr>
                <w:rFonts w:eastAsia="Times New Roman" w:cs="Tahoma"/>
                <w:b/>
                <w:sz w:val="22"/>
                <w:lang w:eastAsia="en-AU"/>
              </w:rPr>
            </w:pPr>
            <w:r w:rsidRPr="00C4770B">
              <w:rPr>
                <w:rFonts w:eastAsia="Times New Roman" w:cs="Tahoma"/>
                <w:b/>
                <w:sz w:val="22"/>
                <w:lang w:eastAsia="en-AU"/>
              </w:rPr>
              <w:t>Possible:</w:t>
            </w:r>
            <w:r w:rsidRPr="00C4770B">
              <w:rPr>
                <w:rFonts w:eastAsia="Times New Roman" w:cs="Tahoma"/>
                <w:sz w:val="22"/>
                <w:lang w:eastAsia="en-AU"/>
              </w:rPr>
              <w:t xml:space="preserve"> An EA model gives the opportunity to consolidate assessment and funding in high level community care programs and residential care. Also, direct comparison of R-ACFI payment and Community Care Package or CHSP funding possible as person living in the community but has an R-ACFI rating. This will give the basis for the single instrument model in community and residential care.</w:t>
            </w:r>
          </w:p>
        </w:tc>
      </w:tr>
      <w:tr w:rsidR="006B374E" w:rsidRPr="00C4770B" w:rsidTr="00C4770B">
        <w:trPr>
          <w:cantSplit/>
        </w:trPr>
        <w:tc>
          <w:tcPr>
            <w:tcW w:w="2363" w:type="dxa"/>
          </w:tcPr>
          <w:p w:rsidR="00571656" w:rsidRPr="00C4770B" w:rsidRDefault="00571656" w:rsidP="006B374E">
            <w:pPr>
              <w:spacing w:line="240" w:lineRule="auto"/>
              <w:jc w:val="left"/>
              <w:rPr>
                <w:rFonts w:eastAsia="Times New Roman" w:cs="Tahoma"/>
                <w:b/>
                <w:sz w:val="22"/>
                <w:lang w:eastAsia="en-AU"/>
              </w:rPr>
            </w:pPr>
            <w:r w:rsidRPr="00C4770B">
              <w:rPr>
                <w:rFonts w:eastAsia="Times New Roman" w:cs="Tahoma"/>
                <w:b/>
                <w:sz w:val="22"/>
                <w:lang w:eastAsia="en-AU"/>
              </w:rPr>
              <w:t>Macro Program Monitoring and Targeted Interventions</w:t>
            </w:r>
          </w:p>
        </w:tc>
        <w:tc>
          <w:tcPr>
            <w:tcW w:w="3307" w:type="dxa"/>
          </w:tcPr>
          <w:p w:rsidR="00571656" w:rsidRPr="00C4770B" w:rsidRDefault="00571656" w:rsidP="007A66FB">
            <w:pPr>
              <w:spacing w:line="240" w:lineRule="auto"/>
              <w:jc w:val="center"/>
              <w:rPr>
                <w:rFonts w:eastAsia="Times New Roman" w:cs="Tahoma"/>
                <w:b/>
                <w:sz w:val="22"/>
                <w:lang w:eastAsia="en-AU"/>
              </w:rPr>
            </w:pPr>
            <w:r w:rsidRPr="00C4770B">
              <w:rPr>
                <w:rFonts w:eastAsia="Times New Roman" w:cs="Tahoma"/>
                <w:b/>
                <w:sz w:val="22"/>
                <w:lang w:eastAsia="en-AU"/>
              </w:rPr>
              <w:t xml:space="preserve">Limited: </w:t>
            </w:r>
            <w:r w:rsidRPr="00C4770B">
              <w:rPr>
                <w:rFonts w:eastAsia="Times New Roman" w:cs="Tahoma"/>
                <w:sz w:val="22"/>
                <w:lang w:eastAsia="en-AU"/>
              </w:rPr>
              <w:t>The R-ACFI assessment information will be less consistent; provider assessors and the ability to rely on the data for global planning is more limited.</w:t>
            </w:r>
          </w:p>
        </w:tc>
        <w:tc>
          <w:tcPr>
            <w:tcW w:w="3544" w:type="dxa"/>
          </w:tcPr>
          <w:p w:rsidR="00571656" w:rsidRPr="00C4770B" w:rsidRDefault="00571656" w:rsidP="007A66FB">
            <w:pPr>
              <w:spacing w:line="240" w:lineRule="auto"/>
              <w:jc w:val="center"/>
              <w:rPr>
                <w:rFonts w:eastAsia="Times New Roman" w:cs="Tahoma"/>
                <w:sz w:val="22"/>
                <w:lang w:eastAsia="en-AU"/>
              </w:rPr>
            </w:pPr>
            <w:r w:rsidRPr="00C4770B">
              <w:rPr>
                <w:rFonts w:eastAsia="Times New Roman" w:cs="Tahoma"/>
                <w:b/>
                <w:sz w:val="22"/>
                <w:lang w:eastAsia="en-AU"/>
              </w:rPr>
              <w:t>Yes:</w:t>
            </w:r>
            <w:r w:rsidRPr="00C4770B">
              <w:rPr>
                <w:rFonts w:eastAsia="Times New Roman" w:cs="Tahoma"/>
                <w:sz w:val="22"/>
                <w:lang w:eastAsia="en-AU"/>
              </w:rPr>
              <w:t xml:space="preserve"> As the R-ACFI assessment is subject to multiple assessor input and will be more reliable, the Dept</w:t>
            </w:r>
            <w:r w:rsidR="00590A57" w:rsidRPr="00C4770B">
              <w:rPr>
                <w:rFonts w:eastAsia="Times New Roman" w:cs="Tahoma"/>
                <w:sz w:val="22"/>
                <w:lang w:eastAsia="en-AU"/>
              </w:rPr>
              <w:t>.</w:t>
            </w:r>
            <w:r w:rsidRPr="00C4770B">
              <w:rPr>
                <w:rFonts w:eastAsia="Times New Roman" w:cs="Tahoma"/>
                <w:sz w:val="22"/>
                <w:lang w:eastAsia="en-AU"/>
              </w:rPr>
              <w:t xml:space="preserve"> can accurately analyse disability trends &amp; compare residential and community care client profiles to measure unmet demand for aged care (also statutory obligation).</w:t>
            </w:r>
          </w:p>
          <w:p w:rsidR="00571656" w:rsidRPr="00C4770B" w:rsidRDefault="00571656" w:rsidP="007A66FB">
            <w:pPr>
              <w:spacing w:line="240" w:lineRule="auto"/>
              <w:jc w:val="center"/>
              <w:rPr>
                <w:rFonts w:eastAsia="Times New Roman" w:cs="Tahoma"/>
                <w:b/>
                <w:sz w:val="22"/>
                <w:lang w:eastAsia="en-AU"/>
              </w:rPr>
            </w:pPr>
            <w:r w:rsidRPr="00C4770B">
              <w:rPr>
                <w:rFonts w:eastAsia="Times New Roman" w:cs="Tahoma"/>
                <w:sz w:val="22"/>
                <w:lang w:eastAsia="en-AU"/>
              </w:rPr>
              <w:t>It will also enable accurate monitoring of the changes in care needs over time in the community and residential care populations and give information to drive research to inform government planning.</w:t>
            </w:r>
          </w:p>
        </w:tc>
      </w:tr>
    </w:tbl>
    <w:p w:rsidR="00A07239" w:rsidRDefault="00571656" w:rsidP="006B374E">
      <w:r>
        <w:br w:type="page"/>
      </w:r>
    </w:p>
    <w:p w:rsidR="00571656" w:rsidRPr="00CD2081" w:rsidRDefault="00571656" w:rsidP="00CD2081">
      <w:pPr>
        <w:pStyle w:val="Heading3-Chapter113"/>
      </w:pPr>
      <w:bookmarkStart w:id="731" w:name="_Toc489386731"/>
      <w:r w:rsidRPr="00CD2081">
        <w:lastRenderedPageBreak/>
        <w:t>Option 2 - External Assessment using a Modified ACAT System</w:t>
      </w:r>
      <w:bookmarkEnd w:id="731"/>
    </w:p>
    <w:p w:rsidR="00571656" w:rsidRPr="00472F85" w:rsidRDefault="00571656" w:rsidP="00C16758">
      <w:pPr>
        <w:pStyle w:val="Heading4-Chapter1133"/>
      </w:pPr>
      <w:r w:rsidRPr="00472F85">
        <w:t>Background – Aged Care Assessment Program</w:t>
      </w:r>
    </w:p>
    <w:p w:rsidR="00980F62" w:rsidRDefault="00571656" w:rsidP="00BB011E">
      <w:r w:rsidRPr="00A673A0">
        <w:t xml:space="preserve">The Australian Government </w:t>
      </w:r>
      <w:r>
        <w:t>uses</w:t>
      </w:r>
      <w:r w:rsidRPr="00A673A0">
        <w:t xml:space="preserve"> state and territory governments to manage and administer the Aged Care Assessment Program (ACAP)</w:t>
      </w:r>
      <w:r>
        <w:t>. The ACAP has an extensive geographic coverage across all states and territories</w:t>
      </w:r>
      <w:r w:rsidRPr="00A673A0">
        <w:t xml:space="preserve"> </w:t>
      </w:r>
      <w:r>
        <w:t xml:space="preserve">with </w:t>
      </w:r>
      <w:r w:rsidRPr="00A673A0">
        <w:t>80 ACATs</w:t>
      </w:r>
      <w:r>
        <w:t xml:space="preserve"> operating at a cost of $114.3 million </w:t>
      </w:r>
      <w:r w:rsidRPr="00A673A0">
        <w:t xml:space="preserve">to deliver </w:t>
      </w:r>
      <w:r w:rsidRPr="00742F10">
        <w:t xml:space="preserve">192,087 assessments nationally </w:t>
      </w:r>
      <w:r>
        <w:t>in 2016-17.</w:t>
      </w:r>
    </w:p>
    <w:p w:rsidR="00980F62" w:rsidRDefault="00571656" w:rsidP="00BB011E">
      <w:r>
        <w:t xml:space="preserve">The </w:t>
      </w:r>
      <w:r w:rsidRPr="00742F10">
        <w:t xml:space="preserve">ACATs </w:t>
      </w:r>
      <w:r>
        <w:t xml:space="preserve">use a </w:t>
      </w:r>
      <w:r w:rsidRPr="00742F10">
        <w:t>national</w:t>
      </w:r>
      <w:r>
        <w:t xml:space="preserve"> system to record </w:t>
      </w:r>
      <w:r w:rsidRPr="00742F10">
        <w:t xml:space="preserve">referrals and provide assessments for clients with complex needs using the </w:t>
      </w:r>
      <w:r>
        <w:t>NSAF (</w:t>
      </w:r>
      <w:r w:rsidRPr="006B374E">
        <w:rPr>
          <w:i/>
        </w:rPr>
        <w:t>2015-16 Report on the Operation of the Aged Care Act</w:t>
      </w:r>
      <w:r w:rsidR="006B374E">
        <w:rPr>
          <w:i/>
        </w:rPr>
        <w:t> </w:t>
      </w:r>
      <w:r w:rsidRPr="006B374E">
        <w:rPr>
          <w:i/>
        </w:rPr>
        <w:t>1997</w:t>
      </w:r>
      <w:r w:rsidRPr="00742F10">
        <w:t>)</w:t>
      </w:r>
      <w:r>
        <w:t>.</w:t>
      </w:r>
    </w:p>
    <w:p w:rsidR="00036C41" w:rsidRPr="00723793" w:rsidRDefault="00036C41" w:rsidP="00036C41">
      <w:pPr>
        <w:pStyle w:val="BodyText"/>
        <w:shd w:val="clear" w:color="auto" w:fill="D9D9D9" w:themeFill="background1" w:themeFillShade="D9"/>
        <w:spacing w:before="0"/>
        <w:rPr>
          <w:rFonts w:asciiTheme="minorHAnsi" w:eastAsiaTheme="minorHAnsi" w:hAnsiTheme="minorHAnsi" w:cstheme="minorBidi"/>
          <w:i/>
          <w:szCs w:val="22"/>
          <w:lang w:eastAsia="en-US"/>
        </w:rPr>
      </w:pPr>
      <w:r>
        <w:rPr>
          <w:rFonts w:asciiTheme="minorHAnsi" w:eastAsiaTheme="minorHAnsi" w:hAnsiTheme="minorHAnsi" w:cstheme="minorBidi"/>
          <w:i/>
          <w:szCs w:val="22"/>
          <w:lang w:eastAsia="en-US"/>
        </w:rPr>
        <w:t>‘</w:t>
      </w:r>
      <w:r w:rsidRPr="00723793">
        <w:rPr>
          <w:rFonts w:asciiTheme="minorHAnsi" w:eastAsiaTheme="minorHAnsi" w:hAnsiTheme="minorHAnsi" w:cstheme="minorBidi"/>
          <w:i/>
          <w:szCs w:val="22"/>
          <w:lang w:eastAsia="en-US"/>
        </w:rPr>
        <w:t>ACATs comprehensively assess the care needs of older people and assist them to access services most appropriate to meet those needs. This includes approving the person as eligible for Australian Government subsidised aged care services under the Aged Care Act 1997 such as for residential aged care, home care and/or flexible care services. If a person has been assessed as eligible for a particular level of home care package, but there are none available, the person can be offered a lower-level package as an interim measure, until a higher level package is available.</w:t>
      </w:r>
      <w:r>
        <w:rPr>
          <w:rFonts w:asciiTheme="minorHAnsi" w:eastAsiaTheme="minorHAnsi" w:hAnsiTheme="minorHAnsi" w:cstheme="minorBidi"/>
          <w:i/>
          <w:szCs w:val="22"/>
          <w:lang w:eastAsia="en-US"/>
        </w:rPr>
        <w:t xml:space="preserve">’ </w:t>
      </w:r>
      <w:r w:rsidRPr="00BD14E8">
        <w:rPr>
          <w:rFonts w:asciiTheme="minorHAnsi" w:eastAsiaTheme="minorHAnsi" w:hAnsiTheme="minorHAnsi" w:cstheme="minorBidi"/>
          <w:i/>
          <w:szCs w:val="22"/>
          <w:lang w:eastAsia="en-US"/>
        </w:rPr>
        <w:t>Commonwealth of Australia Department of Health. (2016)</w:t>
      </w:r>
    </w:p>
    <w:p w:rsidR="00036C41" w:rsidRDefault="00036C41" w:rsidP="00036C41">
      <w:pPr>
        <w:shd w:val="clear" w:color="auto" w:fill="D9D9D9" w:themeFill="background1" w:themeFillShade="D9"/>
        <w:rPr>
          <w:i/>
        </w:rPr>
      </w:pPr>
      <w:r>
        <w:rPr>
          <w:i/>
        </w:rPr>
        <w:t>‘</w:t>
      </w:r>
      <w:r w:rsidRPr="00723793">
        <w:rPr>
          <w:i/>
        </w:rPr>
        <w:t>From early 2016, all ACATs transitioned to using the My Aged Care system to conduct assessments and approvals and make referrals to services or to service provider waitlists. Aged care service providers are also able to receive these referrals through the My Aged Care system.</w:t>
      </w:r>
      <w:r>
        <w:rPr>
          <w:i/>
        </w:rPr>
        <w:t>’</w:t>
      </w:r>
      <w:r w:rsidRPr="00723793">
        <w:rPr>
          <w:i/>
        </w:rPr>
        <w:t xml:space="preserve"> </w:t>
      </w:r>
      <w:r w:rsidRPr="00CD3B3F">
        <w:rPr>
          <w:i/>
        </w:rPr>
        <w:t>Commonwealth of Australia Department of Health</w:t>
      </w:r>
      <w:r>
        <w:rPr>
          <w:i/>
        </w:rPr>
        <w:t>.</w:t>
      </w:r>
      <w:r w:rsidRPr="00CD3B3F">
        <w:rPr>
          <w:i/>
        </w:rPr>
        <w:t xml:space="preserve"> (2016)</w:t>
      </w:r>
      <w:r>
        <w:rPr>
          <w:i/>
        </w:rPr>
        <w:t>.</w:t>
      </w:r>
    </w:p>
    <w:p w:rsidR="00571656" w:rsidRPr="002A4773" w:rsidRDefault="00571656" w:rsidP="00C16758">
      <w:pPr>
        <w:pStyle w:val="Heading4-Chapter1133"/>
      </w:pPr>
      <w:bookmarkStart w:id="732" w:name="_Toc486280164"/>
      <w:bookmarkStart w:id="733" w:name="_Toc486604907"/>
      <w:r w:rsidRPr="002A4773">
        <w:t>Considerations and Issues using ACATs as the External Assessor for Residential Aged Care</w:t>
      </w:r>
      <w:bookmarkEnd w:id="732"/>
      <w:bookmarkEnd w:id="733"/>
    </w:p>
    <w:p w:rsidR="00980F62" w:rsidRDefault="00571656" w:rsidP="00040FBB">
      <w:r>
        <w:t>The ACATs are considered a logical provider of external assessment services for persons likely to transition to residential aged care given:</w:t>
      </w:r>
    </w:p>
    <w:p w:rsidR="00571656" w:rsidRPr="00E56375" w:rsidRDefault="00571656" w:rsidP="002C331F">
      <w:pPr>
        <w:spacing w:before="200" w:after="0"/>
        <w:rPr>
          <w:rStyle w:val="Strong"/>
        </w:rPr>
      </w:pPr>
      <w:bookmarkStart w:id="734" w:name="_Toc486280165"/>
      <w:bookmarkStart w:id="735" w:name="_Toc486604908"/>
      <w:r w:rsidRPr="00E56375">
        <w:rPr>
          <w:rStyle w:val="Strong"/>
        </w:rPr>
        <w:t>ACAT Staff Skills and Background</w:t>
      </w:r>
      <w:bookmarkEnd w:id="734"/>
      <w:bookmarkEnd w:id="735"/>
    </w:p>
    <w:p w:rsidR="00571656" w:rsidRPr="006B374E" w:rsidRDefault="00571656" w:rsidP="006B374E">
      <w:r w:rsidRPr="006B374E">
        <w:t>A successful implementation of the External Assessor approach will require the availability of suitably qualified assessors at all local levels. Ideally, the External Assessor should have the following skills and experience:</w:t>
      </w:r>
    </w:p>
    <w:p w:rsidR="00571656" w:rsidRPr="005E39A5" w:rsidRDefault="00571656" w:rsidP="002A12A2">
      <w:pPr>
        <w:pStyle w:val="ListBullet2"/>
        <w:numPr>
          <w:ilvl w:val="0"/>
          <w:numId w:val="60"/>
        </w:numPr>
        <w:ind w:left="357" w:hanging="357"/>
        <w:rPr>
          <w:rFonts w:asciiTheme="minorHAnsi" w:hAnsiTheme="minorHAnsi" w:cs="Tahoma"/>
        </w:rPr>
      </w:pPr>
      <w:r w:rsidRPr="005E39A5">
        <w:rPr>
          <w:rFonts w:asciiTheme="minorHAnsi" w:hAnsiTheme="minorHAnsi" w:cs="Tahoma"/>
        </w:rPr>
        <w:t>Experience, knowledge and skills with older persons care issues</w:t>
      </w:r>
      <w:r>
        <w:rPr>
          <w:rFonts w:asciiTheme="minorHAnsi" w:hAnsiTheme="minorHAnsi" w:cs="Tahoma"/>
        </w:rPr>
        <w:t>.</w:t>
      </w:r>
    </w:p>
    <w:p w:rsidR="00571656" w:rsidRPr="005E39A5" w:rsidRDefault="00571656" w:rsidP="002A12A2">
      <w:pPr>
        <w:pStyle w:val="ListBullet2"/>
        <w:numPr>
          <w:ilvl w:val="0"/>
          <w:numId w:val="60"/>
        </w:numPr>
        <w:ind w:left="357" w:hanging="357"/>
        <w:rPr>
          <w:rFonts w:asciiTheme="minorHAnsi" w:hAnsiTheme="minorHAnsi" w:cs="Tahoma"/>
        </w:rPr>
      </w:pPr>
      <w:r w:rsidRPr="005E39A5">
        <w:rPr>
          <w:rFonts w:asciiTheme="minorHAnsi" w:hAnsiTheme="minorHAnsi" w:cs="Tahoma"/>
        </w:rPr>
        <w:t>Cultural sensitivity, communication and interpersonal skills</w:t>
      </w:r>
      <w:r>
        <w:rPr>
          <w:rFonts w:asciiTheme="minorHAnsi" w:hAnsiTheme="minorHAnsi" w:cs="Tahoma"/>
        </w:rPr>
        <w:t>.</w:t>
      </w:r>
    </w:p>
    <w:p w:rsidR="00571656" w:rsidRPr="005E39A5" w:rsidRDefault="00571656" w:rsidP="002A12A2">
      <w:pPr>
        <w:pStyle w:val="ListBullet2"/>
        <w:numPr>
          <w:ilvl w:val="0"/>
          <w:numId w:val="60"/>
        </w:numPr>
        <w:ind w:left="357" w:hanging="357"/>
        <w:rPr>
          <w:rFonts w:asciiTheme="minorHAnsi" w:hAnsiTheme="minorHAnsi" w:cs="Tahoma"/>
        </w:rPr>
      </w:pPr>
      <w:r>
        <w:rPr>
          <w:rFonts w:asciiTheme="minorHAnsi" w:hAnsiTheme="minorHAnsi" w:cs="Tahoma"/>
        </w:rPr>
        <w:t>P</w:t>
      </w:r>
      <w:r w:rsidRPr="005E39A5">
        <w:rPr>
          <w:rFonts w:asciiTheme="minorHAnsi" w:hAnsiTheme="minorHAnsi" w:cs="Tahoma"/>
        </w:rPr>
        <w:t>ositive view on ageing</w:t>
      </w:r>
      <w:r>
        <w:rPr>
          <w:rFonts w:asciiTheme="minorHAnsi" w:hAnsiTheme="minorHAnsi" w:cs="Tahoma"/>
        </w:rPr>
        <w:t>.</w:t>
      </w:r>
    </w:p>
    <w:p w:rsidR="00571656" w:rsidRPr="005E39A5" w:rsidRDefault="00571656" w:rsidP="002A12A2">
      <w:pPr>
        <w:pStyle w:val="ListBullet2"/>
        <w:numPr>
          <w:ilvl w:val="0"/>
          <w:numId w:val="60"/>
        </w:numPr>
        <w:ind w:left="357" w:hanging="357"/>
        <w:rPr>
          <w:rFonts w:asciiTheme="minorHAnsi" w:hAnsiTheme="minorHAnsi" w:cs="Tahoma"/>
        </w:rPr>
      </w:pPr>
      <w:r w:rsidRPr="005E39A5">
        <w:rPr>
          <w:rFonts w:asciiTheme="minorHAnsi" w:hAnsiTheme="minorHAnsi" w:cs="Tahoma"/>
        </w:rPr>
        <w:t>Tertiary trained health professionals</w:t>
      </w:r>
      <w:r>
        <w:rPr>
          <w:rFonts w:asciiTheme="minorHAnsi" w:hAnsiTheme="minorHAnsi" w:cs="Tahoma"/>
        </w:rPr>
        <w:t xml:space="preserve"> - Registered Nurses and Allied Health Professionals.</w:t>
      </w:r>
    </w:p>
    <w:p w:rsidR="00571656" w:rsidRPr="005E39A5" w:rsidRDefault="00571656" w:rsidP="002A12A2">
      <w:pPr>
        <w:pStyle w:val="ListBullet2"/>
        <w:numPr>
          <w:ilvl w:val="0"/>
          <w:numId w:val="60"/>
        </w:numPr>
        <w:ind w:left="357" w:hanging="357"/>
        <w:rPr>
          <w:rFonts w:asciiTheme="minorHAnsi" w:hAnsiTheme="minorHAnsi" w:cs="Tahoma"/>
        </w:rPr>
      </w:pPr>
      <w:r w:rsidRPr="005E39A5">
        <w:rPr>
          <w:rFonts w:asciiTheme="minorHAnsi" w:hAnsiTheme="minorHAnsi" w:cs="Tahoma"/>
        </w:rPr>
        <w:t>Training in the assessment process</w:t>
      </w:r>
      <w:r>
        <w:rPr>
          <w:rFonts w:asciiTheme="minorHAnsi" w:hAnsiTheme="minorHAnsi" w:cs="Tahoma"/>
        </w:rPr>
        <w:t>.</w:t>
      </w:r>
    </w:p>
    <w:p w:rsidR="00980F62" w:rsidRDefault="00571656" w:rsidP="002A12A2">
      <w:pPr>
        <w:pStyle w:val="ListBullet2"/>
        <w:numPr>
          <w:ilvl w:val="0"/>
          <w:numId w:val="60"/>
        </w:numPr>
        <w:ind w:left="357" w:hanging="357"/>
        <w:rPr>
          <w:rFonts w:asciiTheme="minorHAnsi" w:hAnsiTheme="minorHAnsi" w:cs="Tahoma"/>
        </w:rPr>
      </w:pPr>
      <w:r w:rsidRPr="005E39A5">
        <w:rPr>
          <w:rFonts w:asciiTheme="minorHAnsi" w:hAnsiTheme="minorHAnsi" w:cs="Tahoma"/>
        </w:rPr>
        <w:t>Train</w:t>
      </w:r>
      <w:r>
        <w:rPr>
          <w:rFonts w:asciiTheme="minorHAnsi" w:hAnsiTheme="minorHAnsi" w:cs="Tahoma"/>
        </w:rPr>
        <w:t>ing in the audit process.</w:t>
      </w:r>
    </w:p>
    <w:p w:rsidR="00571656" w:rsidRPr="005E39A5" w:rsidRDefault="00571656" w:rsidP="002A12A2">
      <w:pPr>
        <w:pStyle w:val="ListBullet2"/>
        <w:numPr>
          <w:ilvl w:val="0"/>
          <w:numId w:val="60"/>
        </w:numPr>
        <w:ind w:left="357" w:hanging="357"/>
        <w:rPr>
          <w:rFonts w:asciiTheme="minorHAnsi" w:hAnsiTheme="minorHAnsi" w:cs="Tahoma"/>
        </w:rPr>
      </w:pPr>
      <w:r w:rsidRPr="005E39A5">
        <w:rPr>
          <w:rFonts w:asciiTheme="minorHAnsi" w:hAnsiTheme="minorHAnsi" w:cs="Tahoma"/>
        </w:rPr>
        <w:t>Commitment to on-going learning, skill development and review of practices</w:t>
      </w:r>
      <w:r>
        <w:rPr>
          <w:rFonts w:asciiTheme="minorHAnsi" w:hAnsiTheme="minorHAnsi" w:cs="Tahoma"/>
        </w:rPr>
        <w:t>.</w:t>
      </w:r>
    </w:p>
    <w:p w:rsidR="00571656" w:rsidRPr="005E39A5" w:rsidRDefault="00571656" w:rsidP="002A12A2">
      <w:pPr>
        <w:pStyle w:val="ListBullet2"/>
        <w:numPr>
          <w:ilvl w:val="0"/>
          <w:numId w:val="60"/>
        </w:numPr>
        <w:ind w:left="357" w:hanging="357"/>
        <w:rPr>
          <w:rFonts w:asciiTheme="minorHAnsi" w:hAnsiTheme="minorHAnsi" w:cs="Tahoma"/>
        </w:rPr>
      </w:pPr>
      <w:r w:rsidRPr="005E39A5">
        <w:rPr>
          <w:rFonts w:asciiTheme="minorHAnsi" w:hAnsiTheme="minorHAnsi" w:cs="Tahoma"/>
        </w:rPr>
        <w:t>Understanding of IT system requirements</w:t>
      </w:r>
      <w:r>
        <w:rPr>
          <w:rFonts w:asciiTheme="minorHAnsi" w:hAnsiTheme="minorHAnsi" w:cs="Tahoma"/>
        </w:rPr>
        <w:t>.</w:t>
      </w:r>
    </w:p>
    <w:p w:rsidR="00571656" w:rsidRDefault="00571656" w:rsidP="006B374E">
      <w:r>
        <w:t>The ACAT program does have staff that fulfil these criteria as:</w:t>
      </w:r>
    </w:p>
    <w:p w:rsidR="00571656" w:rsidRDefault="00571656" w:rsidP="002A12A2">
      <w:pPr>
        <w:pStyle w:val="ListBullet2"/>
        <w:numPr>
          <w:ilvl w:val="0"/>
          <w:numId w:val="59"/>
        </w:numPr>
        <w:ind w:left="357" w:hanging="357"/>
        <w:rPr>
          <w:rFonts w:asciiTheme="minorHAnsi" w:hAnsiTheme="minorHAnsi" w:cs="Tahoma"/>
        </w:rPr>
      </w:pPr>
      <w:r>
        <w:rPr>
          <w:rFonts w:asciiTheme="minorHAnsi" w:hAnsiTheme="minorHAnsi" w:cs="Tahoma"/>
        </w:rPr>
        <w:lastRenderedPageBreak/>
        <w:t>M</w:t>
      </w:r>
      <w:r w:rsidRPr="005E39A5">
        <w:rPr>
          <w:rFonts w:asciiTheme="minorHAnsi" w:hAnsiTheme="minorHAnsi" w:cs="Tahoma"/>
        </w:rPr>
        <w:t xml:space="preserve">ost </w:t>
      </w:r>
      <w:r>
        <w:rPr>
          <w:rFonts w:asciiTheme="minorHAnsi" w:hAnsiTheme="minorHAnsi" w:cs="Tahoma"/>
        </w:rPr>
        <w:t xml:space="preserve">teams </w:t>
      </w:r>
      <w:r w:rsidRPr="005E39A5">
        <w:rPr>
          <w:rFonts w:asciiTheme="minorHAnsi" w:hAnsiTheme="minorHAnsi" w:cs="Tahoma"/>
        </w:rPr>
        <w:t xml:space="preserve">have </w:t>
      </w:r>
      <w:r>
        <w:rPr>
          <w:rFonts w:asciiTheme="minorHAnsi" w:hAnsiTheme="minorHAnsi" w:cs="Tahoma"/>
        </w:rPr>
        <w:t xml:space="preserve">registered health professionals </w:t>
      </w:r>
      <w:r w:rsidRPr="005E39A5">
        <w:rPr>
          <w:rFonts w:asciiTheme="minorHAnsi" w:hAnsiTheme="minorHAnsi" w:cs="Tahoma"/>
        </w:rPr>
        <w:t xml:space="preserve">that are competent at assessment and would need only basic training to attain </w:t>
      </w:r>
      <w:r>
        <w:rPr>
          <w:rFonts w:asciiTheme="minorHAnsi" w:hAnsiTheme="minorHAnsi" w:cs="Tahoma"/>
        </w:rPr>
        <w:t>an R-ACFI ‘</w:t>
      </w:r>
      <w:r w:rsidRPr="005E39A5">
        <w:rPr>
          <w:rFonts w:asciiTheme="minorHAnsi" w:hAnsiTheme="minorHAnsi" w:cs="Tahoma"/>
        </w:rPr>
        <w:t>accredited</w:t>
      </w:r>
      <w:r>
        <w:rPr>
          <w:rFonts w:asciiTheme="minorHAnsi" w:hAnsiTheme="minorHAnsi" w:cs="Tahoma"/>
        </w:rPr>
        <w:t>’</w:t>
      </w:r>
      <w:r w:rsidRPr="005E39A5">
        <w:rPr>
          <w:rFonts w:asciiTheme="minorHAnsi" w:hAnsiTheme="minorHAnsi" w:cs="Tahoma"/>
        </w:rPr>
        <w:t xml:space="preserve"> </w:t>
      </w:r>
      <w:r>
        <w:rPr>
          <w:rFonts w:asciiTheme="minorHAnsi" w:hAnsiTheme="minorHAnsi" w:cs="Tahoma"/>
        </w:rPr>
        <w:t xml:space="preserve">assessor </w:t>
      </w:r>
      <w:r w:rsidRPr="005E39A5">
        <w:rPr>
          <w:rFonts w:asciiTheme="minorHAnsi" w:hAnsiTheme="minorHAnsi" w:cs="Tahoma"/>
        </w:rPr>
        <w:t>status</w:t>
      </w:r>
      <w:r>
        <w:rPr>
          <w:rFonts w:asciiTheme="minorHAnsi" w:hAnsiTheme="minorHAnsi" w:cs="Tahoma"/>
        </w:rPr>
        <w:t>. ACAT staff appropriate for the External Assessor role would include medical practitioners, RNS and AHPs.</w:t>
      </w:r>
    </w:p>
    <w:p w:rsidR="00980F62" w:rsidRDefault="00571656" w:rsidP="002A12A2">
      <w:pPr>
        <w:pStyle w:val="ListBullet2"/>
        <w:numPr>
          <w:ilvl w:val="0"/>
          <w:numId w:val="59"/>
        </w:numPr>
        <w:ind w:left="357" w:hanging="357"/>
        <w:rPr>
          <w:rFonts w:asciiTheme="minorHAnsi" w:hAnsiTheme="minorHAnsi" w:cs="Tahoma"/>
        </w:rPr>
      </w:pPr>
      <w:r>
        <w:rPr>
          <w:rFonts w:asciiTheme="minorHAnsi" w:hAnsiTheme="minorHAnsi" w:cs="Tahoma"/>
        </w:rPr>
        <w:t>ACAT staff will be completing resident assessment using evidence based tools. ACAT staff, tertiary trained registered health professionals are skilled in assessment and are familiar with the residential care environment.</w:t>
      </w:r>
    </w:p>
    <w:p w:rsidR="00980F62" w:rsidRDefault="00571656" w:rsidP="002A12A2">
      <w:pPr>
        <w:pStyle w:val="BodyText"/>
        <w:numPr>
          <w:ilvl w:val="0"/>
          <w:numId w:val="59"/>
        </w:numPr>
        <w:spacing w:before="0" w:after="60"/>
        <w:ind w:left="357" w:hanging="357"/>
        <w:rPr>
          <w:rFonts w:asciiTheme="minorHAnsi" w:eastAsiaTheme="minorHAnsi" w:hAnsiTheme="minorHAnsi" w:cstheme="minorBidi"/>
          <w:szCs w:val="22"/>
          <w:lang w:eastAsia="en-US"/>
        </w:rPr>
      </w:pPr>
      <w:r w:rsidRPr="005E39A5">
        <w:rPr>
          <w:rFonts w:asciiTheme="minorHAnsi" w:hAnsiTheme="minorHAnsi" w:cs="Tahoma"/>
        </w:rPr>
        <w:t xml:space="preserve">ACAT staff have proven </w:t>
      </w:r>
      <w:r>
        <w:rPr>
          <w:rFonts w:asciiTheme="minorHAnsi" w:hAnsiTheme="minorHAnsi" w:cs="Tahoma"/>
        </w:rPr>
        <w:t xml:space="preserve">in an earlier national trial </w:t>
      </w:r>
      <w:r w:rsidRPr="005E39A5">
        <w:rPr>
          <w:rFonts w:asciiTheme="minorHAnsi" w:hAnsiTheme="minorHAnsi" w:cs="Tahoma"/>
        </w:rPr>
        <w:t xml:space="preserve">that the ACFI assessment task is within their existing capability </w:t>
      </w:r>
      <w:r>
        <w:rPr>
          <w:rFonts w:asciiTheme="minorHAnsi" w:hAnsiTheme="minorHAnsi" w:cs="Tahoma"/>
        </w:rPr>
        <w:t>and</w:t>
      </w:r>
      <w:r w:rsidRPr="005E39A5">
        <w:rPr>
          <w:rFonts w:asciiTheme="minorHAnsi" w:hAnsiTheme="minorHAnsi" w:cs="Tahoma"/>
        </w:rPr>
        <w:t xml:space="preserve"> they already complete a dependency profile for their assessments in residential and community care contexts</w:t>
      </w:r>
      <w:r>
        <w:rPr>
          <w:rFonts w:asciiTheme="minorHAnsi" w:hAnsiTheme="minorHAnsi" w:cs="Tahoma"/>
        </w:rPr>
        <w:t xml:space="preserve"> (refer previous section)</w:t>
      </w:r>
      <w:r w:rsidRPr="005E39A5">
        <w:rPr>
          <w:rFonts w:asciiTheme="minorHAnsi" w:hAnsiTheme="minorHAnsi" w:cs="Tahoma"/>
        </w:rPr>
        <w:t>.</w:t>
      </w:r>
    </w:p>
    <w:p w:rsidR="00571656" w:rsidRPr="00E56375" w:rsidRDefault="00571656" w:rsidP="002C331F">
      <w:pPr>
        <w:spacing w:before="200" w:after="0"/>
        <w:rPr>
          <w:rStyle w:val="Strong"/>
        </w:rPr>
      </w:pPr>
      <w:bookmarkStart w:id="736" w:name="_Toc137020648"/>
      <w:bookmarkStart w:id="737" w:name="_Toc486280166"/>
      <w:bookmarkStart w:id="738" w:name="_Toc486604909"/>
      <w:bookmarkStart w:id="739" w:name="_Toc137020647"/>
      <w:r w:rsidRPr="00E56375">
        <w:rPr>
          <w:rStyle w:val="Strong"/>
        </w:rPr>
        <w:t>Extension of Current Functions</w:t>
      </w:r>
      <w:bookmarkEnd w:id="736"/>
      <w:bookmarkEnd w:id="737"/>
      <w:bookmarkEnd w:id="738"/>
    </w:p>
    <w:p w:rsidR="00571656" w:rsidRDefault="00571656" w:rsidP="002A12A2">
      <w:pPr>
        <w:pStyle w:val="BodyText"/>
        <w:numPr>
          <w:ilvl w:val="0"/>
          <w:numId w:val="59"/>
        </w:numPr>
        <w:spacing w:before="0" w:after="60"/>
        <w:ind w:left="357" w:hanging="357"/>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ACAT staff currently determine individuals’ eligibility for differing levels of home care packages. An extension of this role to residential care funding determination would be an efficient way to deliver the EA model.</w:t>
      </w:r>
    </w:p>
    <w:p w:rsidR="00571656" w:rsidRDefault="00571656" w:rsidP="002A12A2">
      <w:pPr>
        <w:pStyle w:val="ListBullet2"/>
        <w:numPr>
          <w:ilvl w:val="0"/>
          <w:numId w:val="59"/>
        </w:numPr>
        <w:ind w:left="357" w:hanging="357"/>
        <w:rPr>
          <w:rFonts w:asciiTheme="minorHAnsi" w:hAnsiTheme="minorHAnsi" w:cs="Tahoma"/>
        </w:rPr>
      </w:pPr>
      <w:r w:rsidRPr="005E39A5">
        <w:rPr>
          <w:rFonts w:asciiTheme="minorHAnsi" w:hAnsiTheme="minorHAnsi" w:cs="Tahoma"/>
        </w:rPr>
        <w:t xml:space="preserve">The </w:t>
      </w:r>
      <w:r>
        <w:rPr>
          <w:rFonts w:asciiTheme="minorHAnsi" w:hAnsiTheme="minorHAnsi" w:cs="Tahoma"/>
        </w:rPr>
        <w:t xml:space="preserve">R-ACFI </w:t>
      </w:r>
      <w:r w:rsidRPr="005E39A5">
        <w:rPr>
          <w:rFonts w:asciiTheme="minorHAnsi" w:hAnsiTheme="minorHAnsi" w:cs="Tahoma"/>
        </w:rPr>
        <w:t xml:space="preserve">funding instrument </w:t>
      </w:r>
      <w:r>
        <w:rPr>
          <w:rFonts w:asciiTheme="minorHAnsi" w:hAnsiTheme="minorHAnsi" w:cs="Tahoma"/>
        </w:rPr>
        <w:t xml:space="preserve">provides </w:t>
      </w:r>
      <w:r w:rsidRPr="005E39A5">
        <w:rPr>
          <w:rFonts w:asciiTheme="minorHAnsi" w:hAnsiTheme="minorHAnsi" w:cs="Tahoma"/>
        </w:rPr>
        <w:t xml:space="preserve">a mechanism for </w:t>
      </w:r>
      <w:r>
        <w:rPr>
          <w:rFonts w:asciiTheme="minorHAnsi" w:hAnsiTheme="minorHAnsi" w:cs="Tahoma"/>
        </w:rPr>
        <w:t xml:space="preserve">improved </w:t>
      </w:r>
      <w:r w:rsidRPr="005E39A5">
        <w:rPr>
          <w:rFonts w:asciiTheme="minorHAnsi" w:hAnsiTheme="minorHAnsi" w:cs="Tahoma"/>
        </w:rPr>
        <w:t>consistency in ACAT recommendations for residential aged care</w:t>
      </w:r>
      <w:r>
        <w:rPr>
          <w:rFonts w:asciiTheme="minorHAnsi" w:hAnsiTheme="minorHAnsi" w:cs="Tahoma"/>
        </w:rPr>
        <w:t>,</w:t>
      </w:r>
      <w:r w:rsidRPr="005E39A5">
        <w:rPr>
          <w:rFonts w:asciiTheme="minorHAnsi" w:hAnsiTheme="minorHAnsi" w:cs="Tahoma"/>
        </w:rPr>
        <w:t xml:space="preserve"> including the level of care that is appropriate</w:t>
      </w:r>
      <w:r>
        <w:rPr>
          <w:rFonts w:asciiTheme="minorHAnsi" w:hAnsiTheme="minorHAnsi" w:cs="Tahoma"/>
        </w:rPr>
        <w:t>,</w:t>
      </w:r>
      <w:r w:rsidRPr="005E39A5">
        <w:rPr>
          <w:rFonts w:asciiTheme="minorHAnsi" w:hAnsiTheme="minorHAnsi" w:cs="Tahoma"/>
        </w:rPr>
        <w:t xml:space="preserve"> by providing a comprehensive assessment and appraisal system that could support both eligibility testing and funding assessment.</w:t>
      </w:r>
    </w:p>
    <w:p w:rsidR="00980F62" w:rsidRDefault="00571656" w:rsidP="002A12A2">
      <w:pPr>
        <w:pStyle w:val="ListBullet2"/>
        <w:numPr>
          <w:ilvl w:val="0"/>
          <w:numId w:val="59"/>
        </w:numPr>
        <w:ind w:left="357" w:hanging="357"/>
        <w:rPr>
          <w:rFonts w:asciiTheme="minorHAnsi" w:hAnsiTheme="minorHAnsi" w:cs="Tahoma"/>
        </w:rPr>
      </w:pPr>
      <w:r>
        <w:rPr>
          <w:rFonts w:asciiTheme="minorHAnsi" w:hAnsiTheme="minorHAnsi" w:cs="Tahoma"/>
        </w:rPr>
        <w:t>The workload increase associated with the ACAT reassessment activity will</w:t>
      </w:r>
      <w:r w:rsidRPr="000D11C2">
        <w:rPr>
          <w:rFonts w:asciiTheme="minorHAnsi" w:hAnsiTheme="minorHAnsi" w:cs="Tahoma"/>
        </w:rPr>
        <w:t xml:space="preserve"> require extra </w:t>
      </w:r>
      <w:r>
        <w:rPr>
          <w:rFonts w:asciiTheme="minorHAnsi" w:hAnsiTheme="minorHAnsi" w:cs="Tahoma"/>
        </w:rPr>
        <w:t>resources.</w:t>
      </w:r>
    </w:p>
    <w:p w:rsidR="00571656" w:rsidRPr="00071906" w:rsidRDefault="00571656" w:rsidP="002C331F">
      <w:pPr>
        <w:spacing w:before="200" w:after="0"/>
        <w:rPr>
          <w:rStyle w:val="Strong"/>
        </w:rPr>
      </w:pPr>
      <w:bookmarkStart w:id="740" w:name="_Toc486280167"/>
      <w:bookmarkStart w:id="741" w:name="_Toc486604910"/>
      <w:r w:rsidRPr="00071906">
        <w:rPr>
          <w:rStyle w:val="Strong"/>
        </w:rPr>
        <w:t>ACAT Infrastructure</w:t>
      </w:r>
      <w:bookmarkEnd w:id="739"/>
      <w:bookmarkEnd w:id="740"/>
      <w:bookmarkEnd w:id="741"/>
    </w:p>
    <w:p w:rsidR="00571656" w:rsidRPr="005E39A5" w:rsidRDefault="00571656" w:rsidP="006B374E">
      <w:r>
        <w:t xml:space="preserve">The ACAT program has a wide national geographic spread and is </w:t>
      </w:r>
      <w:r w:rsidRPr="005E39A5">
        <w:t>generally available across Australia</w:t>
      </w:r>
      <w:r>
        <w:t xml:space="preserve">. </w:t>
      </w:r>
      <w:r w:rsidRPr="005E39A5">
        <w:t>In regions where access to the ACAT is limited, the ACAT would supervise and support local assessors (all assessors would need to be trained</w:t>
      </w:r>
      <w:r>
        <w:t>, supervised and accredited by the regional ACAT</w:t>
      </w:r>
      <w:r w:rsidRPr="005E39A5">
        <w:t>)</w:t>
      </w:r>
      <w:r>
        <w:t>.</w:t>
      </w:r>
    </w:p>
    <w:p w:rsidR="00571656" w:rsidRPr="002A12A2" w:rsidRDefault="00571656" w:rsidP="002C331F">
      <w:pPr>
        <w:spacing w:before="200" w:after="0"/>
        <w:rPr>
          <w:rStyle w:val="Strong"/>
        </w:rPr>
      </w:pPr>
      <w:bookmarkStart w:id="742" w:name="_Toc486280168"/>
      <w:bookmarkStart w:id="743" w:name="_Toc486604911"/>
      <w:r w:rsidRPr="002A12A2">
        <w:rPr>
          <w:rStyle w:val="Strong"/>
        </w:rPr>
        <w:t>Time between R-ACFI External Assessment for Funding and Residential Placement</w:t>
      </w:r>
      <w:bookmarkEnd w:id="742"/>
      <w:bookmarkEnd w:id="743"/>
    </w:p>
    <w:p w:rsidR="00571656" w:rsidRPr="00990C3E" w:rsidRDefault="00571656" w:rsidP="006B374E">
      <w:pPr>
        <w:rPr>
          <w:rFonts w:cs="Tahoma"/>
        </w:rPr>
      </w:pPr>
      <w:r>
        <w:t xml:space="preserve">One of the major concerns for aged care providers regarding ACAT external assessment for funding has been that the ACAT assessment is often ‘out of date’ and therefore possibly inaccurate. </w:t>
      </w:r>
      <w:r w:rsidRPr="00990C3E">
        <w:t xml:space="preserve">The recent report on the Operation of the Aged Care Act 1997, </w:t>
      </w:r>
      <w:r>
        <w:t>Department of Health</w:t>
      </w:r>
      <w:r w:rsidRPr="00990C3E">
        <w:t xml:space="preserve"> (p 88)</w:t>
      </w:r>
      <w:r>
        <w:t xml:space="preserve"> showed</w:t>
      </w:r>
      <w:r w:rsidRPr="00990C3E">
        <w:t>:</w:t>
      </w:r>
    </w:p>
    <w:p w:rsidR="00980F62" w:rsidRDefault="00571656" w:rsidP="002A12A2">
      <w:pPr>
        <w:pStyle w:val="ListParagraph"/>
        <w:numPr>
          <w:ilvl w:val="0"/>
          <w:numId w:val="61"/>
        </w:numPr>
        <w:spacing w:after="60" w:line="240" w:lineRule="auto"/>
        <w:ind w:left="357" w:hanging="357"/>
        <w:contextualSpacing w:val="0"/>
      </w:pPr>
      <w:r w:rsidRPr="00990C3E">
        <w:t>26</w:t>
      </w:r>
      <w:r w:rsidR="0065091B">
        <w:t xml:space="preserve"> per cent</w:t>
      </w:r>
      <w:r w:rsidRPr="00990C3E">
        <w:t xml:space="preserve"> of new entrants to permanent residential care enter</w:t>
      </w:r>
      <w:r>
        <w:t>ed</w:t>
      </w:r>
      <w:r w:rsidRPr="00990C3E">
        <w:t xml:space="preserve"> less than 1 month after an ACAT assessment</w:t>
      </w:r>
      <w:r>
        <w:t>.</w:t>
      </w:r>
    </w:p>
    <w:p w:rsidR="00980F62" w:rsidRDefault="00571656" w:rsidP="002A12A2">
      <w:pPr>
        <w:pStyle w:val="ListParagraph"/>
        <w:numPr>
          <w:ilvl w:val="0"/>
          <w:numId w:val="61"/>
        </w:numPr>
        <w:spacing w:after="60" w:line="240" w:lineRule="auto"/>
        <w:ind w:left="357" w:hanging="357"/>
        <w:contextualSpacing w:val="0"/>
      </w:pPr>
      <w:r w:rsidRPr="00990C3E">
        <w:t>52</w:t>
      </w:r>
      <w:r w:rsidR="0065091B">
        <w:t xml:space="preserve"> per cent</w:t>
      </w:r>
      <w:r w:rsidRPr="00990C3E">
        <w:t xml:space="preserve"> of new entrants to permanent residential care enter within less than 3</w:t>
      </w:r>
      <w:r w:rsidR="00237A38">
        <w:t> </w:t>
      </w:r>
      <w:r w:rsidRPr="00990C3E">
        <w:t>months after an ACAT assessment</w:t>
      </w:r>
      <w:r>
        <w:t>.</w:t>
      </w:r>
    </w:p>
    <w:p w:rsidR="00571656" w:rsidRPr="00990C3E" w:rsidRDefault="00571656" w:rsidP="005809A5">
      <w:pPr>
        <w:pStyle w:val="ListParagraph"/>
        <w:numPr>
          <w:ilvl w:val="0"/>
          <w:numId w:val="61"/>
        </w:numPr>
        <w:spacing w:line="240" w:lineRule="auto"/>
        <w:ind w:left="357" w:hanging="357"/>
        <w:contextualSpacing w:val="0"/>
      </w:pPr>
      <w:r w:rsidRPr="00990C3E">
        <w:t>74.3</w:t>
      </w:r>
      <w:r w:rsidR="0065091B">
        <w:t xml:space="preserve"> per cent</w:t>
      </w:r>
      <w:r w:rsidRPr="00990C3E">
        <w:t xml:space="preserve"> of new entrants to permanent residential care enter within less than 9</w:t>
      </w:r>
      <w:r w:rsidR="00237A38">
        <w:t> </w:t>
      </w:r>
      <w:r w:rsidRPr="00990C3E">
        <w:t>months after an ACAT assessment in 2015-16</w:t>
      </w:r>
      <w:r>
        <w:t>.</w:t>
      </w:r>
    </w:p>
    <w:p w:rsidR="00571656" w:rsidRDefault="00571656" w:rsidP="006B374E">
      <w:r w:rsidRPr="00834FF6">
        <w:t xml:space="preserve">While these findings show that ACAT assessments </w:t>
      </w:r>
      <w:r>
        <w:t xml:space="preserve">are generally undertaken within months of an admission to residential aged care, </w:t>
      </w:r>
      <w:r w:rsidRPr="00834FF6">
        <w:t xml:space="preserve">new rules will </w:t>
      </w:r>
      <w:r>
        <w:t xml:space="preserve">ensure providers have confidence that the ACAT </w:t>
      </w:r>
      <w:r w:rsidRPr="00834FF6">
        <w:t xml:space="preserve">assessment </w:t>
      </w:r>
      <w:r>
        <w:t>reflects client care needs and is less than 3 months old.</w:t>
      </w:r>
      <w:r w:rsidRPr="00834FF6">
        <w:t xml:space="preserve"> The rules would mean that an ACAT R-ACFI and approval for residential care would lapse after 3</w:t>
      </w:r>
      <w:r w:rsidR="00237A38">
        <w:t> </w:t>
      </w:r>
      <w:r w:rsidRPr="00834FF6">
        <w:t>months</w:t>
      </w:r>
      <w:r>
        <w:t>,</w:t>
      </w:r>
      <w:r w:rsidRPr="00834FF6">
        <w:t xml:space="preserve"> and the client would need to have another ACAT assessment pre-entry </w:t>
      </w:r>
      <w:r>
        <w:t xml:space="preserve">or occasionally post entry </w:t>
      </w:r>
      <w:r w:rsidRPr="00834FF6">
        <w:lastRenderedPageBreak/>
        <w:t>(</w:t>
      </w:r>
      <w:r>
        <w:t>e.g. in respite, emergency placement</w:t>
      </w:r>
      <w:r w:rsidRPr="00834FF6">
        <w:t>) before residential care was approved</w:t>
      </w:r>
      <w:r>
        <w:t xml:space="preserve">. </w:t>
      </w:r>
      <w:r w:rsidRPr="00834FF6">
        <w:t>This approach would:</w:t>
      </w:r>
    </w:p>
    <w:p w:rsidR="00571656" w:rsidRPr="00834FF6" w:rsidRDefault="00571656" w:rsidP="002A12A2">
      <w:pPr>
        <w:pStyle w:val="ListNumber"/>
        <w:numPr>
          <w:ilvl w:val="0"/>
          <w:numId w:val="62"/>
        </w:numPr>
        <w:spacing w:after="60"/>
        <w:ind w:left="357" w:hanging="357"/>
        <w:rPr>
          <w:rFonts w:asciiTheme="minorHAnsi" w:hAnsiTheme="minorHAnsi" w:cs="Tahoma"/>
        </w:rPr>
      </w:pPr>
      <w:r>
        <w:rPr>
          <w:rFonts w:asciiTheme="minorHAnsi" w:hAnsiTheme="minorHAnsi" w:cs="Tahoma"/>
        </w:rPr>
        <w:t>G</w:t>
      </w:r>
      <w:r w:rsidRPr="00834FF6">
        <w:rPr>
          <w:rFonts w:asciiTheme="minorHAnsi" w:hAnsiTheme="minorHAnsi" w:cs="Tahoma"/>
        </w:rPr>
        <w:t>ive an added check to make sure all avenues to keep the person at home had been explored</w:t>
      </w:r>
      <w:r w:rsidR="007158E6">
        <w:rPr>
          <w:rFonts w:asciiTheme="minorHAnsi" w:hAnsiTheme="minorHAnsi" w:cs="Tahoma"/>
        </w:rPr>
        <w:t>.</w:t>
      </w:r>
    </w:p>
    <w:p w:rsidR="00571656" w:rsidRPr="00834FF6" w:rsidRDefault="00571656" w:rsidP="002A12A2">
      <w:pPr>
        <w:pStyle w:val="ListNumber"/>
        <w:numPr>
          <w:ilvl w:val="0"/>
          <w:numId w:val="62"/>
        </w:numPr>
        <w:spacing w:after="60"/>
        <w:ind w:left="357" w:hanging="357"/>
        <w:rPr>
          <w:rFonts w:asciiTheme="minorHAnsi" w:hAnsiTheme="minorHAnsi" w:cs="Tahoma"/>
        </w:rPr>
      </w:pPr>
      <w:r>
        <w:rPr>
          <w:rFonts w:asciiTheme="minorHAnsi" w:hAnsiTheme="minorHAnsi" w:cs="Tahoma"/>
        </w:rPr>
        <w:t>E</w:t>
      </w:r>
      <w:r w:rsidRPr="00834FF6">
        <w:rPr>
          <w:rFonts w:asciiTheme="minorHAnsi" w:hAnsiTheme="minorHAnsi" w:cs="Tahoma"/>
        </w:rPr>
        <w:t>nsure that the ACAT assessment is as up to date as possible which will deliver a more accurate funding appraisal for residential care providers</w:t>
      </w:r>
      <w:r w:rsidR="007158E6">
        <w:rPr>
          <w:rFonts w:asciiTheme="minorHAnsi" w:hAnsiTheme="minorHAnsi" w:cs="Tahoma"/>
        </w:rPr>
        <w:t>.</w:t>
      </w:r>
    </w:p>
    <w:p w:rsidR="00571656" w:rsidRPr="00834FF6" w:rsidRDefault="00571656" w:rsidP="002A12A2">
      <w:pPr>
        <w:pStyle w:val="ListNumber"/>
        <w:numPr>
          <w:ilvl w:val="0"/>
          <w:numId w:val="62"/>
        </w:numPr>
        <w:spacing w:after="60"/>
        <w:ind w:left="357" w:hanging="357"/>
        <w:rPr>
          <w:rFonts w:asciiTheme="minorHAnsi" w:hAnsiTheme="minorHAnsi" w:cs="Tahoma"/>
        </w:rPr>
      </w:pPr>
      <w:r>
        <w:rPr>
          <w:rFonts w:asciiTheme="minorHAnsi" w:hAnsiTheme="minorHAnsi" w:cs="Tahoma"/>
        </w:rPr>
        <w:t>R</w:t>
      </w:r>
      <w:r w:rsidRPr="00834FF6">
        <w:rPr>
          <w:rFonts w:asciiTheme="minorHAnsi" w:hAnsiTheme="minorHAnsi" w:cs="Tahoma"/>
        </w:rPr>
        <w:t>educe the likelihood of providers contesting the ACAT funding determination as a two-category difference in the claim will be less likely if the ACAT assessment is</w:t>
      </w:r>
      <w:r>
        <w:rPr>
          <w:rFonts w:asciiTheme="minorHAnsi" w:hAnsiTheme="minorHAnsi" w:cs="Tahoma"/>
        </w:rPr>
        <w:t>,</w:t>
      </w:r>
      <w:r w:rsidRPr="00834FF6">
        <w:rPr>
          <w:rFonts w:asciiTheme="minorHAnsi" w:hAnsiTheme="minorHAnsi" w:cs="Tahoma"/>
        </w:rPr>
        <w:t xml:space="preserve"> at most, 3</w:t>
      </w:r>
      <w:r w:rsidR="00237A38">
        <w:rPr>
          <w:rFonts w:asciiTheme="minorHAnsi" w:hAnsiTheme="minorHAnsi" w:cs="Tahoma"/>
        </w:rPr>
        <w:t> </w:t>
      </w:r>
      <w:r w:rsidRPr="00834FF6">
        <w:rPr>
          <w:rFonts w:asciiTheme="minorHAnsi" w:hAnsiTheme="minorHAnsi" w:cs="Tahoma"/>
        </w:rPr>
        <w:t>months old before residential placement</w:t>
      </w:r>
      <w:r w:rsidR="007158E6">
        <w:rPr>
          <w:rFonts w:asciiTheme="minorHAnsi" w:hAnsiTheme="minorHAnsi" w:cs="Tahoma"/>
        </w:rPr>
        <w:t>.</w:t>
      </w:r>
    </w:p>
    <w:p w:rsidR="00571656" w:rsidRPr="00834FF6" w:rsidRDefault="00571656" w:rsidP="002A12A2">
      <w:pPr>
        <w:pStyle w:val="ListNumber"/>
        <w:numPr>
          <w:ilvl w:val="0"/>
          <w:numId w:val="62"/>
        </w:numPr>
        <w:spacing w:after="60"/>
        <w:ind w:left="357" w:hanging="357"/>
        <w:rPr>
          <w:rFonts w:asciiTheme="minorHAnsi" w:hAnsiTheme="minorHAnsi" w:cs="Tahoma"/>
        </w:rPr>
      </w:pPr>
      <w:r>
        <w:rPr>
          <w:rFonts w:asciiTheme="minorHAnsi" w:hAnsiTheme="minorHAnsi" w:cs="Tahoma"/>
        </w:rPr>
        <w:t>Assist in mitigating th</w:t>
      </w:r>
      <w:r w:rsidRPr="00834FF6">
        <w:rPr>
          <w:rFonts w:asciiTheme="minorHAnsi" w:hAnsiTheme="minorHAnsi" w:cs="Tahoma"/>
        </w:rPr>
        <w:t xml:space="preserve">e risk to the Commonwealth that the ACAT assessment is out of date and </w:t>
      </w:r>
      <w:r>
        <w:rPr>
          <w:rFonts w:asciiTheme="minorHAnsi" w:hAnsiTheme="minorHAnsi" w:cs="Tahoma"/>
        </w:rPr>
        <w:t>t</w:t>
      </w:r>
      <w:r w:rsidRPr="00834FF6">
        <w:rPr>
          <w:rFonts w:asciiTheme="minorHAnsi" w:hAnsiTheme="minorHAnsi" w:cs="Tahoma"/>
        </w:rPr>
        <w:t>he funding estimate is much higher than the case when the person is admitted</w:t>
      </w:r>
      <w:r>
        <w:rPr>
          <w:rFonts w:asciiTheme="minorHAnsi" w:hAnsiTheme="minorHAnsi" w:cs="Tahoma"/>
        </w:rPr>
        <w:t>.</w:t>
      </w:r>
    </w:p>
    <w:p w:rsidR="00571656" w:rsidRPr="002A12A2" w:rsidRDefault="00571656" w:rsidP="002C331F">
      <w:pPr>
        <w:spacing w:before="200" w:after="0"/>
        <w:rPr>
          <w:rStyle w:val="Strong"/>
        </w:rPr>
      </w:pPr>
      <w:r w:rsidRPr="002A12A2">
        <w:rPr>
          <w:rStyle w:val="Strong"/>
        </w:rPr>
        <w:t>Indicative costs of ACAT assessments being no older than 3 months on residential care entry</w:t>
      </w:r>
    </w:p>
    <w:p w:rsidR="00571656" w:rsidRDefault="00571656" w:rsidP="006B374E">
      <w:pPr>
        <w:rPr>
          <w:lang w:eastAsia="en-AU"/>
        </w:rPr>
      </w:pPr>
      <w:r>
        <w:rPr>
          <w:lang w:eastAsia="en-AU"/>
        </w:rPr>
        <w:t xml:space="preserve">Until June 30, 2009, </w:t>
      </w:r>
      <w:r w:rsidRPr="00866298">
        <w:rPr>
          <w:lang w:eastAsia="en-AU"/>
        </w:rPr>
        <w:t xml:space="preserve">ACAT approvals for </w:t>
      </w:r>
      <w:r>
        <w:rPr>
          <w:lang w:eastAsia="en-AU"/>
        </w:rPr>
        <w:t xml:space="preserve">low level </w:t>
      </w:r>
      <w:r w:rsidRPr="00866298">
        <w:rPr>
          <w:lang w:eastAsia="en-AU"/>
        </w:rPr>
        <w:t xml:space="preserve">residential care were </w:t>
      </w:r>
      <w:r>
        <w:rPr>
          <w:lang w:eastAsia="en-AU"/>
        </w:rPr>
        <w:t xml:space="preserve">valid for a year. Since then, the rules have been changed so that </w:t>
      </w:r>
      <w:r w:rsidRPr="00866298">
        <w:rPr>
          <w:lang w:eastAsia="en-AU"/>
        </w:rPr>
        <w:t>approvals for residential car</w:t>
      </w:r>
      <w:r>
        <w:rPr>
          <w:lang w:eastAsia="en-AU"/>
        </w:rPr>
        <w:t>e remain valid indefinitely. The indicative annual cost of keeping the ACAT R-ACFI assessment up to date (three months after their last ACAT R-ACFI if entering residential care) is about $18</w:t>
      </w:r>
      <w:r w:rsidR="00A83063">
        <w:rPr>
          <w:lang w:eastAsia="en-AU"/>
        </w:rPr>
        <w:t xml:space="preserve"> </w:t>
      </w:r>
      <w:r w:rsidR="00A83063" w:rsidRPr="00747CAF">
        <w:t>m</w:t>
      </w:r>
      <w:r w:rsidR="00A83063">
        <w:t>illion</w:t>
      </w:r>
      <w:r>
        <w:rPr>
          <w:lang w:eastAsia="en-AU"/>
        </w:rPr>
        <w:t>.</w:t>
      </w:r>
    </w:p>
    <w:p w:rsidR="00036C41" w:rsidRPr="00007D4E" w:rsidRDefault="00036C41" w:rsidP="00036C41">
      <w:pPr>
        <w:shd w:val="clear" w:color="auto" w:fill="D9D9D9" w:themeFill="background1" w:themeFillShade="D9"/>
        <w:spacing w:after="0"/>
        <w:rPr>
          <w:rStyle w:val="Strong"/>
        </w:rPr>
      </w:pPr>
      <w:r w:rsidRPr="00007D4E">
        <w:rPr>
          <w:rStyle w:val="Strong"/>
        </w:rPr>
        <w:t>Calculation assumptions</w:t>
      </w:r>
    </w:p>
    <w:p w:rsidR="00036C41" w:rsidRDefault="00036C41" w:rsidP="002A12A2">
      <w:pPr>
        <w:pStyle w:val="ListParagraph"/>
        <w:numPr>
          <w:ilvl w:val="0"/>
          <w:numId w:val="64"/>
        </w:numPr>
        <w:shd w:val="clear" w:color="auto" w:fill="D9D9D9" w:themeFill="background1" w:themeFillShade="D9"/>
        <w:spacing w:after="60" w:line="240" w:lineRule="auto"/>
        <w:ind w:left="357" w:hanging="357"/>
        <w:contextualSpacing w:val="0"/>
        <w:rPr>
          <w:rFonts w:cs="Calibri"/>
          <w:szCs w:val="24"/>
          <w:lang w:eastAsia="en-AU"/>
        </w:rPr>
      </w:pPr>
      <w:r>
        <w:rPr>
          <w:rFonts w:cs="Calibri"/>
          <w:szCs w:val="24"/>
          <w:lang w:eastAsia="en-AU"/>
        </w:rPr>
        <w:t xml:space="preserve">Approximately </w:t>
      </w:r>
      <w:r w:rsidRPr="00C26E38">
        <w:rPr>
          <w:rFonts w:cs="Calibri"/>
          <w:szCs w:val="24"/>
          <w:lang w:eastAsia="en-AU"/>
        </w:rPr>
        <w:t>117,000 ACAT approvals for residential care per year</w:t>
      </w:r>
      <w:r>
        <w:rPr>
          <w:rFonts w:cs="Calibri"/>
          <w:szCs w:val="24"/>
          <w:lang w:eastAsia="en-AU"/>
        </w:rPr>
        <w:t>.</w:t>
      </w:r>
    </w:p>
    <w:p w:rsidR="00036C41" w:rsidRDefault="00036C41" w:rsidP="002A12A2">
      <w:pPr>
        <w:pStyle w:val="ListParagraph"/>
        <w:numPr>
          <w:ilvl w:val="0"/>
          <w:numId w:val="64"/>
        </w:numPr>
        <w:shd w:val="clear" w:color="auto" w:fill="D9D9D9" w:themeFill="background1" w:themeFillShade="D9"/>
        <w:spacing w:after="60" w:line="240" w:lineRule="auto"/>
        <w:ind w:left="357" w:hanging="357"/>
        <w:contextualSpacing w:val="0"/>
        <w:rPr>
          <w:rFonts w:cs="Calibri"/>
          <w:szCs w:val="24"/>
          <w:lang w:eastAsia="en-AU"/>
        </w:rPr>
      </w:pPr>
      <w:r>
        <w:rPr>
          <w:rFonts w:cs="Calibri"/>
          <w:szCs w:val="24"/>
          <w:lang w:eastAsia="en-AU"/>
        </w:rPr>
        <w:t xml:space="preserve">Around </w:t>
      </w:r>
      <w:r w:rsidRPr="00C26E38">
        <w:rPr>
          <w:rFonts w:cs="Calibri"/>
          <w:szCs w:val="24"/>
          <w:lang w:eastAsia="en-AU"/>
        </w:rPr>
        <w:t xml:space="preserve">60% </w:t>
      </w:r>
      <w:r>
        <w:rPr>
          <w:rFonts w:cs="Calibri"/>
          <w:szCs w:val="24"/>
          <w:lang w:eastAsia="en-AU"/>
        </w:rPr>
        <w:t xml:space="preserve">of those assessed </w:t>
      </w:r>
      <w:r w:rsidRPr="00C26E38">
        <w:rPr>
          <w:rFonts w:cs="Calibri"/>
          <w:szCs w:val="24"/>
          <w:lang w:eastAsia="en-AU"/>
        </w:rPr>
        <w:t xml:space="preserve">enter </w:t>
      </w:r>
      <w:r>
        <w:rPr>
          <w:rFonts w:cs="Calibri"/>
          <w:szCs w:val="24"/>
          <w:lang w:eastAsia="en-AU"/>
        </w:rPr>
        <w:t xml:space="preserve">residential </w:t>
      </w:r>
      <w:r w:rsidRPr="00C26E38">
        <w:rPr>
          <w:rFonts w:cs="Calibri"/>
          <w:szCs w:val="24"/>
          <w:lang w:eastAsia="en-AU"/>
        </w:rPr>
        <w:t>care</w:t>
      </w:r>
      <w:r>
        <w:rPr>
          <w:rFonts w:cs="Calibri"/>
          <w:szCs w:val="24"/>
          <w:lang w:eastAsia="en-AU"/>
        </w:rPr>
        <w:t>.</w:t>
      </w:r>
    </w:p>
    <w:p w:rsidR="00036C41" w:rsidRDefault="00036C41" w:rsidP="002A12A2">
      <w:pPr>
        <w:pStyle w:val="ListParagraph"/>
        <w:numPr>
          <w:ilvl w:val="0"/>
          <w:numId w:val="64"/>
        </w:numPr>
        <w:shd w:val="clear" w:color="auto" w:fill="D9D9D9" w:themeFill="background1" w:themeFillShade="D9"/>
        <w:spacing w:after="60" w:line="240" w:lineRule="auto"/>
        <w:ind w:left="357" w:hanging="357"/>
        <w:contextualSpacing w:val="0"/>
        <w:rPr>
          <w:rFonts w:cs="Calibri"/>
          <w:szCs w:val="24"/>
          <w:lang w:eastAsia="en-AU"/>
        </w:rPr>
      </w:pPr>
      <w:r w:rsidRPr="00C26E38">
        <w:rPr>
          <w:rFonts w:cs="Calibri"/>
          <w:szCs w:val="24"/>
          <w:lang w:eastAsia="en-AU"/>
        </w:rPr>
        <w:t xml:space="preserve">52% of </w:t>
      </w:r>
      <w:r>
        <w:rPr>
          <w:rFonts w:cs="Calibri"/>
          <w:szCs w:val="24"/>
          <w:lang w:eastAsia="en-AU"/>
        </w:rPr>
        <w:t xml:space="preserve">admissions to residential care occur </w:t>
      </w:r>
      <w:r w:rsidRPr="00C26E38">
        <w:rPr>
          <w:rFonts w:cs="Calibri"/>
          <w:szCs w:val="24"/>
          <w:lang w:eastAsia="en-AU"/>
        </w:rPr>
        <w:t xml:space="preserve">within </w:t>
      </w:r>
      <w:r>
        <w:rPr>
          <w:rFonts w:cs="Calibri"/>
          <w:szCs w:val="24"/>
          <w:lang w:eastAsia="en-AU"/>
        </w:rPr>
        <w:t xml:space="preserve">3 </w:t>
      </w:r>
      <w:r w:rsidRPr="00C26E38">
        <w:rPr>
          <w:rFonts w:cs="Calibri"/>
          <w:szCs w:val="24"/>
          <w:lang w:eastAsia="en-AU"/>
        </w:rPr>
        <w:t>months</w:t>
      </w:r>
      <w:r>
        <w:rPr>
          <w:rFonts w:cs="Calibri"/>
          <w:szCs w:val="24"/>
          <w:lang w:eastAsia="en-AU"/>
        </w:rPr>
        <w:t xml:space="preserve"> of an ACAT assessment.</w:t>
      </w:r>
    </w:p>
    <w:p w:rsidR="00036C41" w:rsidRDefault="00036C41" w:rsidP="002A12A2">
      <w:pPr>
        <w:pStyle w:val="ListParagraph"/>
        <w:numPr>
          <w:ilvl w:val="0"/>
          <w:numId w:val="64"/>
        </w:numPr>
        <w:shd w:val="clear" w:color="auto" w:fill="D9D9D9" w:themeFill="background1" w:themeFillShade="D9"/>
        <w:spacing w:after="60" w:line="240" w:lineRule="auto"/>
        <w:ind w:left="357" w:hanging="357"/>
        <w:contextualSpacing w:val="0"/>
        <w:rPr>
          <w:rFonts w:cs="Calibri"/>
          <w:szCs w:val="24"/>
          <w:lang w:eastAsia="en-AU"/>
        </w:rPr>
      </w:pPr>
      <w:r>
        <w:rPr>
          <w:rFonts w:cs="Calibri"/>
          <w:szCs w:val="24"/>
          <w:lang w:eastAsia="en-AU"/>
        </w:rPr>
        <w:t>T</w:t>
      </w:r>
      <w:r w:rsidRPr="00D03216">
        <w:rPr>
          <w:rFonts w:cs="Calibri"/>
          <w:szCs w:val="24"/>
          <w:lang w:eastAsia="en-AU"/>
        </w:rPr>
        <w:t xml:space="preserve">he number of ACAT R-ACFI re-assessments needed immediately before entry would be </w:t>
      </w:r>
      <w:r>
        <w:rPr>
          <w:rFonts w:cs="Calibri"/>
          <w:szCs w:val="24"/>
          <w:lang w:eastAsia="en-AU"/>
        </w:rPr>
        <w:t xml:space="preserve">approximately </w:t>
      </w:r>
      <w:r w:rsidRPr="00D03216">
        <w:rPr>
          <w:rFonts w:cs="Calibri"/>
          <w:szCs w:val="24"/>
          <w:lang w:eastAsia="en-AU"/>
        </w:rPr>
        <w:t>117</w:t>
      </w:r>
      <w:r>
        <w:rPr>
          <w:rFonts w:cs="Calibri"/>
          <w:szCs w:val="24"/>
          <w:lang w:eastAsia="en-AU"/>
        </w:rPr>
        <w:t>,</w:t>
      </w:r>
      <w:r w:rsidRPr="00D03216">
        <w:rPr>
          <w:rFonts w:cs="Calibri"/>
          <w:szCs w:val="24"/>
          <w:lang w:eastAsia="en-AU"/>
        </w:rPr>
        <w:t xml:space="preserve">000 x </w:t>
      </w:r>
      <w:r>
        <w:rPr>
          <w:rFonts w:cs="Calibri"/>
          <w:szCs w:val="24"/>
          <w:lang w:eastAsia="en-AU"/>
        </w:rPr>
        <w:t>0</w:t>
      </w:r>
      <w:r w:rsidRPr="00D03216">
        <w:rPr>
          <w:rFonts w:cs="Calibri"/>
          <w:szCs w:val="24"/>
          <w:lang w:eastAsia="en-AU"/>
        </w:rPr>
        <w:t xml:space="preserve">.60 x (1 - </w:t>
      </w:r>
      <w:r>
        <w:rPr>
          <w:rFonts w:cs="Calibri"/>
          <w:szCs w:val="24"/>
          <w:lang w:eastAsia="en-AU"/>
        </w:rPr>
        <w:t>0</w:t>
      </w:r>
      <w:r w:rsidRPr="00D03216">
        <w:rPr>
          <w:rFonts w:cs="Calibri"/>
          <w:szCs w:val="24"/>
          <w:lang w:eastAsia="en-AU"/>
        </w:rPr>
        <w:t>.52) i.e. about 34,000 p.</w:t>
      </w:r>
      <w:r>
        <w:rPr>
          <w:rFonts w:cs="Calibri"/>
          <w:szCs w:val="24"/>
          <w:lang w:eastAsia="en-AU"/>
        </w:rPr>
        <w:t>a.</w:t>
      </w:r>
    </w:p>
    <w:p w:rsidR="00036C41" w:rsidRPr="00036C41" w:rsidRDefault="00036C41" w:rsidP="002A12A2">
      <w:pPr>
        <w:pStyle w:val="ListParagraph"/>
        <w:numPr>
          <w:ilvl w:val="0"/>
          <w:numId w:val="64"/>
        </w:numPr>
        <w:shd w:val="clear" w:color="auto" w:fill="D9D9D9" w:themeFill="background1" w:themeFillShade="D9"/>
        <w:spacing w:after="60" w:line="240" w:lineRule="auto"/>
        <w:ind w:left="357" w:hanging="357"/>
        <w:contextualSpacing w:val="0"/>
        <w:rPr>
          <w:rFonts w:cs="Calibri"/>
          <w:szCs w:val="24"/>
          <w:lang w:eastAsia="en-AU"/>
        </w:rPr>
      </w:pPr>
      <w:r w:rsidRPr="00036C41">
        <w:rPr>
          <w:rFonts w:cs="Calibri"/>
          <w:szCs w:val="24"/>
          <w:lang w:eastAsia="en-AU"/>
        </w:rPr>
        <w:t>Assume it costs $520 for each updated ACAT assessment.</w:t>
      </w:r>
    </w:p>
    <w:p w:rsidR="00571656" w:rsidRPr="002A12A2" w:rsidRDefault="00571656" w:rsidP="002C331F">
      <w:pPr>
        <w:spacing w:before="200" w:after="0"/>
        <w:rPr>
          <w:rStyle w:val="Strong"/>
        </w:rPr>
      </w:pPr>
      <w:bookmarkStart w:id="744" w:name="_Toc486280169"/>
      <w:bookmarkStart w:id="745" w:name="_Toc486604912"/>
      <w:r w:rsidRPr="002A12A2">
        <w:rPr>
          <w:rStyle w:val="Strong"/>
        </w:rPr>
        <w:t>Investment in ACAT Program Essential to Deliver a Viable External Assessor Operation</w:t>
      </w:r>
      <w:bookmarkEnd w:id="744"/>
      <w:bookmarkEnd w:id="745"/>
    </w:p>
    <w:p w:rsidR="002A12A2" w:rsidRDefault="00571656" w:rsidP="006B374E">
      <w:r>
        <w:t xml:space="preserve">While it appears obvious that the ACAT Program is ideally placed to deliver an External Assessment model for residential aged care assessment, it was apparent from discussions with providers and ACAT staff that significant ongoing additional funding for recruiting additional assessors, training on completing the R-ACFI and the assessments, competencies around auditing methods and IT systems, and skills support would be needed to </w:t>
      </w:r>
      <w:r w:rsidR="00590A57">
        <w:t xml:space="preserve">be </w:t>
      </w:r>
      <w:r>
        <w:t>made to bring the current ACAT staff up to a consistent national standard capable of determining accurate funding assessment for residential care.</w:t>
      </w:r>
    </w:p>
    <w:p w:rsidR="002A12A2" w:rsidRDefault="002A12A2">
      <w:pPr>
        <w:spacing w:after="200"/>
        <w:jc w:val="left"/>
      </w:pPr>
      <w:r>
        <w:br w:type="page"/>
      </w:r>
    </w:p>
    <w:p w:rsidR="00980F62" w:rsidRDefault="00571656" w:rsidP="00CD2081">
      <w:pPr>
        <w:pStyle w:val="Heading4-Chapter1133"/>
      </w:pPr>
      <w:bookmarkStart w:id="746" w:name="_Toc486280171"/>
      <w:bookmarkStart w:id="747" w:name="_Toc486604914"/>
      <w:bookmarkStart w:id="748" w:name="_Toc489386732"/>
      <w:r w:rsidRPr="00676F4C">
        <w:lastRenderedPageBreak/>
        <w:t>Introduction Option 2 –ACAT as the External Assessors</w:t>
      </w:r>
      <w:bookmarkEnd w:id="746"/>
      <w:bookmarkEnd w:id="747"/>
      <w:bookmarkEnd w:id="748"/>
    </w:p>
    <w:p w:rsidR="00571656" w:rsidRDefault="00571656" w:rsidP="006B374E">
      <w:r w:rsidRPr="00007D4E">
        <w:rPr>
          <w:rStyle w:val="Strong"/>
        </w:rPr>
        <w:t>Option 2</w:t>
      </w:r>
      <w:r w:rsidRPr="00F46D25">
        <w:t xml:space="preserve"> bases the model around the existing infrastructure and role played by the ACAT although considerable modification and investment will be required to effectively deliver the proposed option. ACAT registered health professional assessors</w:t>
      </w:r>
      <w:r>
        <w:t xml:space="preserve"> (RN, Allied Health staff) will</w:t>
      </w:r>
      <w:r w:rsidRPr="00F46D25">
        <w:t xml:space="preserve"> conduct both the new admission assessments (pre-entry) and </w:t>
      </w:r>
      <w:r>
        <w:t>from 25 to 50</w:t>
      </w:r>
      <w:r w:rsidR="0065091B">
        <w:t xml:space="preserve"> per cent</w:t>
      </w:r>
      <w:r>
        <w:t xml:space="preserve"> of </w:t>
      </w:r>
      <w:r w:rsidRPr="00F46D25">
        <w:t>re-appraisal assessment checks when a resident’s care needs had significantly increased</w:t>
      </w:r>
      <w:r w:rsidR="007158E6">
        <w:t>.</w:t>
      </w:r>
    </w:p>
    <w:p w:rsidR="00571656" w:rsidRPr="00F46D25" w:rsidRDefault="00571656" w:rsidP="006B374E">
      <w:r w:rsidRPr="00F46D25">
        <w:t>This option uses the infrastructure of the MyAgedCare systems and the associated Regional Assessment Services (RAS) and ACAT to provide the R-ACFI External Assessor (EA) function.</w:t>
      </w:r>
    </w:p>
    <w:p w:rsidR="00980F62" w:rsidRDefault="00571656" w:rsidP="006B374E">
      <w:pPr>
        <w:rPr>
          <w:rFonts w:cstheme="minorHAnsi"/>
          <w:szCs w:val="24"/>
        </w:rPr>
      </w:pPr>
      <w:r w:rsidRPr="00F46D25">
        <w:rPr>
          <w:rFonts w:cstheme="minorHAnsi"/>
          <w:szCs w:val="24"/>
        </w:rPr>
        <w:t>In the Option 2 modified ACAT model</w:t>
      </w:r>
      <w:r>
        <w:rPr>
          <w:rFonts w:cstheme="minorHAnsi"/>
          <w:szCs w:val="24"/>
        </w:rPr>
        <w:t>,</w:t>
      </w:r>
      <w:r w:rsidRPr="00F46D25">
        <w:rPr>
          <w:rFonts w:cstheme="minorHAnsi"/>
          <w:szCs w:val="24"/>
        </w:rPr>
        <w:t xml:space="preserve"> all new residents (100</w:t>
      </w:r>
      <w:r w:rsidR="0065091B">
        <w:rPr>
          <w:rFonts w:cstheme="minorHAnsi"/>
          <w:szCs w:val="24"/>
        </w:rPr>
        <w:t xml:space="preserve"> per cent</w:t>
      </w:r>
      <w:r w:rsidRPr="00F46D25">
        <w:rPr>
          <w:rFonts w:cstheme="minorHAnsi"/>
          <w:szCs w:val="24"/>
        </w:rPr>
        <w:t>) will be assessed for funding by the External Assessor.</w:t>
      </w:r>
      <w:r w:rsidR="007A576E">
        <w:rPr>
          <w:rFonts w:cstheme="minorHAnsi"/>
          <w:szCs w:val="24"/>
        </w:rPr>
        <w:t xml:space="preserve"> </w:t>
      </w:r>
      <w:r w:rsidRPr="00F46D25">
        <w:rPr>
          <w:rFonts w:cstheme="minorHAnsi"/>
          <w:szCs w:val="24"/>
        </w:rPr>
        <w:t>For re-appraisals, the provider will submit the R-ACFI and be funded as currently but around 25 to 50</w:t>
      </w:r>
      <w:r w:rsidR="0065091B">
        <w:rPr>
          <w:rFonts w:cstheme="minorHAnsi"/>
          <w:szCs w:val="24"/>
        </w:rPr>
        <w:t xml:space="preserve"> per cent</w:t>
      </w:r>
      <w:r w:rsidRPr="00F46D25">
        <w:rPr>
          <w:rFonts w:cstheme="minorHAnsi"/>
          <w:szCs w:val="24"/>
        </w:rPr>
        <w:t xml:space="preserve"> of these re-appraisals will be re-assessed via a facility visit.</w:t>
      </w:r>
    </w:p>
    <w:p w:rsidR="00980F62" w:rsidRDefault="00571656" w:rsidP="006B374E">
      <w:pPr>
        <w:rPr>
          <w:szCs w:val="24"/>
        </w:rPr>
      </w:pPr>
      <w:r w:rsidRPr="00F46D25">
        <w:rPr>
          <w:rFonts w:cstheme="minorHAnsi"/>
          <w:szCs w:val="24"/>
        </w:rPr>
        <w:t xml:space="preserve">The check by the External Assessor will be different from the current Departmental Audit model in that it will be an assessment review, not one based solely around care provided as indicated in documentation. </w:t>
      </w:r>
      <w:r w:rsidRPr="00F46D25">
        <w:rPr>
          <w:szCs w:val="24"/>
        </w:rPr>
        <w:t xml:space="preserve">If the facilities R-ACFI re-appraisal submissions were very different to when the ACAT assessor did the assessments and a </w:t>
      </w:r>
      <w:r>
        <w:rPr>
          <w:szCs w:val="24"/>
        </w:rPr>
        <w:t xml:space="preserve">difference </w:t>
      </w:r>
      <w:r w:rsidRPr="00F46D25">
        <w:rPr>
          <w:szCs w:val="24"/>
        </w:rPr>
        <w:t>threshold was reached, the facility would have to enter into an arrangement whereby every re-appraisal would be checked by the ACAT for a set period (e.g. 6 months) before payment would be confirmed.</w:t>
      </w:r>
      <w:r w:rsidR="007A576E">
        <w:rPr>
          <w:szCs w:val="24"/>
        </w:rPr>
        <w:t xml:space="preserve"> </w:t>
      </w:r>
      <w:r w:rsidRPr="00F46D25">
        <w:rPr>
          <w:szCs w:val="24"/>
        </w:rPr>
        <w:t> This will be a disincentive to submit re-appraisals that could not be re-confirmed by the ACAT assessment.</w:t>
      </w:r>
    </w:p>
    <w:p w:rsidR="00571656" w:rsidRPr="00F46D25" w:rsidRDefault="00571656" w:rsidP="006B374E">
      <w:r w:rsidRPr="00F46D25">
        <w:t>As with Option 1, the fundamental requirement is the completion of the R-ACFI when the ACAT recommends residential aged care admission as one of the options for a person’s ongoing care requirements. In this case, aligned with Option 1, the R-ACFI will need to be updated before admission to a RACF if it is older than 3 months.</w:t>
      </w:r>
    </w:p>
    <w:p w:rsidR="00980F62" w:rsidRDefault="00571656" w:rsidP="006B374E">
      <w:r w:rsidRPr="00F46D25">
        <w:t>The ACAT process for re-appraisal reviews will use data analytics, e-audits</w:t>
      </w:r>
      <w:r>
        <w:t xml:space="preserve"> (future option)</w:t>
      </w:r>
      <w:r w:rsidRPr="00F46D25">
        <w:t xml:space="preserve"> and visits to conduct resident assessments using the R-ACFI and compare to the provider R-ACFI.</w:t>
      </w:r>
    </w:p>
    <w:p w:rsidR="00980F62" w:rsidRDefault="00571656" w:rsidP="006B374E">
      <w:r w:rsidRPr="00F46D25">
        <w:t xml:space="preserve">This model could be modified by using a blended approach where </w:t>
      </w:r>
      <w:r>
        <w:t xml:space="preserve">(i) </w:t>
      </w:r>
      <w:r w:rsidRPr="00F46D25">
        <w:t xml:space="preserve">the ACAT undertakes the new admission R-ACFI funding assessments (pre-entry) but </w:t>
      </w:r>
      <w:r>
        <w:t xml:space="preserve">(ii) </w:t>
      </w:r>
      <w:r w:rsidRPr="00F46D25">
        <w:t xml:space="preserve">the re-appraisal assessments for funding when a resident’s care needs have significantly increased are managed by the Department conducting the data analytics and </w:t>
      </w:r>
      <w:r>
        <w:t xml:space="preserve">(iii) site </w:t>
      </w:r>
      <w:r w:rsidRPr="00F46D25">
        <w:t>visit</w:t>
      </w:r>
      <w:r>
        <w:t>s, if needed, are</w:t>
      </w:r>
      <w:r w:rsidRPr="00F46D25">
        <w:t xml:space="preserve"> conducted by a Specialist Assessment Agency (SAA) assessor.</w:t>
      </w:r>
    </w:p>
    <w:p w:rsidR="00A969A4" w:rsidRDefault="00A969A4">
      <w:pPr>
        <w:spacing w:after="200"/>
        <w:rPr>
          <w:b/>
        </w:rPr>
      </w:pPr>
      <w:r>
        <w:rPr>
          <w:b/>
        </w:rPr>
        <w:br w:type="page"/>
      </w:r>
    </w:p>
    <w:p w:rsidR="00571656" w:rsidRPr="00C30FB1" w:rsidRDefault="00571656" w:rsidP="00571656">
      <w:pPr>
        <w:rPr>
          <w:rStyle w:val="Strong"/>
        </w:rPr>
      </w:pPr>
      <w:r w:rsidRPr="00C30FB1">
        <w:rPr>
          <w:rStyle w:val="Strong"/>
        </w:rPr>
        <w:lastRenderedPageBreak/>
        <w:t>In summary</w:t>
      </w:r>
      <w:r w:rsidR="00933A37">
        <w:rPr>
          <w:rStyle w:val="Strong"/>
        </w:rPr>
        <w:t>, Option 2</w:t>
      </w:r>
      <w:r w:rsidRPr="00C30FB1">
        <w:rPr>
          <w:rStyle w:val="Strong"/>
        </w:rPr>
        <w:t>:</w:t>
      </w:r>
    </w:p>
    <w:p w:rsidR="00980F62" w:rsidRDefault="00933A37" w:rsidP="00933A37">
      <w:pPr>
        <w:pStyle w:val="ListParagraph"/>
        <w:numPr>
          <w:ilvl w:val="0"/>
          <w:numId w:val="61"/>
        </w:numPr>
        <w:spacing w:line="240" w:lineRule="auto"/>
        <w:ind w:left="357" w:hanging="357"/>
        <w:contextualSpacing w:val="0"/>
      </w:pPr>
      <w:r>
        <w:t>I</w:t>
      </w:r>
      <w:r w:rsidR="00571656" w:rsidRPr="00A8526B">
        <w:t xml:space="preserve">s an </w:t>
      </w:r>
      <w:r w:rsidR="00571656">
        <w:t>External Assessor</w:t>
      </w:r>
      <w:r w:rsidR="00571656" w:rsidRPr="00A8526B">
        <w:t xml:space="preserve"> model where </w:t>
      </w:r>
      <w:r w:rsidR="00571656">
        <w:t xml:space="preserve">all people admitted to </w:t>
      </w:r>
      <w:r w:rsidR="00571656" w:rsidRPr="00A8526B">
        <w:t>resident</w:t>
      </w:r>
      <w:r w:rsidR="00571656">
        <w:t xml:space="preserve">ial care will have an R-ACFI completed </w:t>
      </w:r>
      <w:r w:rsidR="00571656" w:rsidRPr="00A8526B">
        <w:t>external</w:t>
      </w:r>
      <w:r w:rsidR="00571656">
        <w:t>ly</w:t>
      </w:r>
      <w:r w:rsidR="00571656" w:rsidRPr="00A8526B">
        <w:t xml:space="preserve"> </w:t>
      </w:r>
      <w:r w:rsidR="00571656">
        <w:t xml:space="preserve">by the ACAT </w:t>
      </w:r>
      <w:r w:rsidR="00571656" w:rsidRPr="00A8526B">
        <w:t>before entry on most occasions</w:t>
      </w:r>
      <w:r w:rsidR="00571656">
        <w:t xml:space="preserve"> (except respite, emergency in facility)</w:t>
      </w:r>
      <w:r w:rsidR="00571656" w:rsidRPr="00A8526B">
        <w:t>.</w:t>
      </w:r>
    </w:p>
    <w:p w:rsidR="00980F62" w:rsidRDefault="00933A37" w:rsidP="00933A37">
      <w:pPr>
        <w:pStyle w:val="ListParagraph"/>
        <w:numPr>
          <w:ilvl w:val="0"/>
          <w:numId w:val="61"/>
        </w:numPr>
        <w:spacing w:line="240" w:lineRule="auto"/>
        <w:ind w:left="357" w:hanging="357"/>
        <w:contextualSpacing w:val="0"/>
      </w:pPr>
      <w:r>
        <w:t>E</w:t>
      </w:r>
      <w:r w:rsidR="00571656" w:rsidRPr="001C77A1">
        <w:t xml:space="preserve">xtends the role of the ACAT </w:t>
      </w:r>
      <w:r w:rsidR="00571656">
        <w:t xml:space="preserve">from one which completes national </w:t>
      </w:r>
      <w:r w:rsidR="00571656" w:rsidRPr="001C77A1">
        <w:t>eligibility assessments for aged care programs</w:t>
      </w:r>
      <w:r w:rsidR="00571656">
        <w:t>,</w:t>
      </w:r>
      <w:r w:rsidR="00571656" w:rsidRPr="001C77A1">
        <w:t xml:space="preserve"> including the levels of care for aged care packages</w:t>
      </w:r>
      <w:r w:rsidR="00571656">
        <w:t>,</w:t>
      </w:r>
      <w:r w:rsidR="00571656" w:rsidRPr="001C77A1">
        <w:t xml:space="preserve"> </w:t>
      </w:r>
      <w:r w:rsidR="00571656">
        <w:t>to one which also sets the funding for residential aged care via use of the R-ACFI.</w:t>
      </w:r>
    </w:p>
    <w:p w:rsidR="00980F62" w:rsidRDefault="00933A37" w:rsidP="00933A37">
      <w:pPr>
        <w:pStyle w:val="ListParagraph"/>
        <w:numPr>
          <w:ilvl w:val="0"/>
          <w:numId w:val="61"/>
        </w:numPr>
        <w:spacing w:line="240" w:lineRule="auto"/>
        <w:ind w:left="357" w:hanging="357"/>
        <w:contextualSpacing w:val="0"/>
      </w:pPr>
      <w:r>
        <w:t>W</w:t>
      </w:r>
      <w:r w:rsidR="00571656">
        <w:t xml:space="preserve">ill require that the R-ACFI be embedded in the NSAF comprehensive ACAT assessment. Changes required to the NSAF will be relatively minor as many items in the comprehensive NSAF section are </w:t>
      </w:r>
      <w:r w:rsidR="00571656" w:rsidRPr="00A6546A">
        <w:t>similar to the R-ACFI questions</w:t>
      </w:r>
      <w:r w:rsidR="00571656">
        <w:t xml:space="preserve">. </w:t>
      </w:r>
      <w:r w:rsidR="00571656" w:rsidRPr="00A6546A">
        <w:t>However</w:t>
      </w:r>
      <w:r w:rsidR="00571656">
        <w:t>,</w:t>
      </w:r>
      <w:r w:rsidR="00571656" w:rsidRPr="00A6546A">
        <w:t xml:space="preserve"> the R-ACFI has associated mandated assessments which will </w:t>
      </w:r>
      <w:r w:rsidR="00571656">
        <w:t xml:space="preserve">also </w:t>
      </w:r>
      <w:r w:rsidR="00571656" w:rsidRPr="00A6546A">
        <w:t xml:space="preserve">need </w:t>
      </w:r>
      <w:r w:rsidR="00571656">
        <w:t>to be completed by the ACAT assessor.</w:t>
      </w:r>
    </w:p>
    <w:p w:rsidR="00571656" w:rsidRPr="00451DD7" w:rsidRDefault="00933A37" w:rsidP="00933A37">
      <w:pPr>
        <w:pStyle w:val="ListParagraph"/>
        <w:numPr>
          <w:ilvl w:val="0"/>
          <w:numId w:val="61"/>
        </w:numPr>
        <w:spacing w:line="240" w:lineRule="auto"/>
        <w:ind w:left="357" w:hanging="357"/>
        <w:contextualSpacing w:val="0"/>
      </w:pPr>
      <w:r>
        <w:t>W</w:t>
      </w:r>
      <w:r w:rsidR="00571656">
        <w:t xml:space="preserve">ill use registered health professionals to undertake the R-ACFI and the associated mandatory assessments. </w:t>
      </w:r>
      <w:r w:rsidR="00571656" w:rsidRPr="00451DD7">
        <w:t xml:space="preserve">The </w:t>
      </w:r>
      <w:r w:rsidR="00571656">
        <w:t>ACAT</w:t>
      </w:r>
      <w:r w:rsidR="00571656" w:rsidRPr="00451DD7">
        <w:t xml:space="preserve"> assess</w:t>
      </w:r>
      <w:r w:rsidR="00571656">
        <w:t>or</w:t>
      </w:r>
      <w:r w:rsidR="00571656" w:rsidRPr="00451DD7">
        <w:t xml:space="preserve"> will give an </w:t>
      </w:r>
      <w:r w:rsidR="00571656">
        <w:t>external</w:t>
      </w:r>
      <w:r w:rsidR="00571656" w:rsidRPr="00451DD7">
        <w:t xml:space="preserve"> assessment (not just a documentation review) of the clients care needs using the R-ACFI</w:t>
      </w:r>
      <w:r w:rsidR="00571656">
        <w:t xml:space="preserve">. For people entering residential care, the </w:t>
      </w:r>
      <w:r w:rsidR="00571656" w:rsidRPr="00451DD7">
        <w:t>resident funding category</w:t>
      </w:r>
      <w:r w:rsidR="00571656">
        <w:t xml:space="preserve"> will be determined by the ACAT completed R-ACFI.</w:t>
      </w:r>
    </w:p>
    <w:p w:rsidR="00571656" w:rsidRPr="0067756C" w:rsidRDefault="00933A37" w:rsidP="00933A37">
      <w:pPr>
        <w:pStyle w:val="ListParagraph"/>
        <w:numPr>
          <w:ilvl w:val="0"/>
          <w:numId w:val="61"/>
        </w:numPr>
        <w:spacing w:line="240" w:lineRule="auto"/>
        <w:ind w:left="357" w:hanging="357"/>
        <w:contextualSpacing w:val="0"/>
      </w:pPr>
      <w:r>
        <w:t>R</w:t>
      </w:r>
      <w:r w:rsidR="00571656" w:rsidRPr="00C7093B">
        <w:t>equires that an R-ACFI pre-admission is no older than 3 months</w:t>
      </w:r>
      <w:r w:rsidR="00571656">
        <w:t xml:space="preserve"> which will mean additional reviews by ACAT assessors. Up-to-date R-ACFI means t</w:t>
      </w:r>
      <w:r w:rsidR="00571656" w:rsidRPr="00933A37">
        <w:t>he provider will have the R-ACFI funding confirmed on entry via the MyAgedCare portal (possibly prior to entry). This eliminates the funding uncertainty for providers associated with Departmental audits and retrospective funding reductions.</w:t>
      </w:r>
    </w:p>
    <w:p w:rsidR="00980F62" w:rsidRDefault="00933A37" w:rsidP="00933A37">
      <w:pPr>
        <w:pStyle w:val="ListParagraph"/>
        <w:numPr>
          <w:ilvl w:val="0"/>
          <w:numId w:val="61"/>
        </w:numPr>
        <w:spacing w:line="240" w:lineRule="auto"/>
        <w:ind w:left="357" w:hanging="357"/>
        <w:contextualSpacing w:val="0"/>
      </w:pPr>
      <w:r>
        <w:t>W</w:t>
      </w:r>
      <w:r w:rsidR="00571656">
        <w:t>ill be supported by data analytics and in future, possibly e-audits via electronic access to the resident’s clinical record. This will limit the number of site visits needed and allow the program to maintain flexibility and be scalable as the number of aged care beds continues to grow.</w:t>
      </w:r>
    </w:p>
    <w:p w:rsidR="00571656" w:rsidRDefault="00473246" w:rsidP="006B374E">
      <w:hyperlink w:anchor="Tab1105" w:history="1">
        <w:r w:rsidR="00571656" w:rsidRPr="0041429A">
          <w:rPr>
            <w:rStyle w:val="Hyperlink"/>
          </w:rPr>
          <w:t>Table 11.5</w:t>
        </w:r>
      </w:hyperlink>
      <w:r w:rsidR="00571656">
        <w:t xml:space="preserve"> provides a summary of the key aspects of Option 2. </w:t>
      </w:r>
      <w:hyperlink w:anchor="Tab1122" w:history="1">
        <w:r w:rsidR="00571656" w:rsidRPr="00883284">
          <w:rPr>
            <w:rStyle w:val="Hyperlink"/>
          </w:rPr>
          <w:t>Table 11.22</w:t>
        </w:r>
      </w:hyperlink>
      <w:r w:rsidR="00571656">
        <w:t xml:space="preserve"> at the end of the section gives further detail on the operation of the Option 2. A detailed description of the operation of Option 2 follows, covering new appraisals, and re-appraisal requirements.</w:t>
      </w:r>
    </w:p>
    <w:p w:rsidR="00571656" w:rsidRDefault="00571656" w:rsidP="00571656">
      <w:pPr>
        <w:spacing w:after="200"/>
        <w:rPr>
          <w:rFonts w:ascii="Calibri" w:hAnsi="Calibri" w:cs="Times New Roman"/>
          <w:b/>
          <w:iCs/>
          <w:szCs w:val="18"/>
        </w:rPr>
      </w:pPr>
      <w:bookmarkStart w:id="749" w:name="_Toc486605076"/>
      <w:bookmarkStart w:id="750" w:name="_Toc486605238"/>
      <w:r>
        <w:br w:type="page"/>
      </w:r>
    </w:p>
    <w:p w:rsidR="00CC0633" w:rsidRDefault="00CC21FA" w:rsidP="00CC0633">
      <w:pPr>
        <w:pStyle w:val="Caption"/>
        <w:keepNext/>
      </w:pPr>
      <w:bookmarkStart w:id="751" w:name="_Toc495416865"/>
      <w:bookmarkStart w:id="752" w:name="Tab1105"/>
      <w:bookmarkEnd w:id="749"/>
      <w:bookmarkEnd w:id="750"/>
      <w:r>
        <w:lastRenderedPageBreak/>
        <w:t>Table 11.</w:t>
      </w:r>
      <w:r w:rsidR="009A3F5A">
        <w:fldChar w:fldCharType="begin"/>
      </w:r>
      <w:r w:rsidR="009A3F5A">
        <w:instrText xml:space="preserve"> SEQ Table_11. \* ARABIC </w:instrText>
      </w:r>
      <w:r w:rsidR="009A3F5A">
        <w:fldChar w:fldCharType="separate"/>
      </w:r>
      <w:r w:rsidR="00856E49">
        <w:rPr>
          <w:noProof/>
        </w:rPr>
        <w:t>5</w:t>
      </w:r>
      <w:r w:rsidR="009A3F5A">
        <w:rPr>
          <w:noProof/>
        </w:rPr>
        <w:fldChar w:fldCharType="end"/>
      </w:r>
      <w:r>
        <w:t xml:space="preserve">: </w:t>
      </w:r>
      <w:r w:rsidRPr="00CC21FA">
        <w:t>ACAT External Assessor Option 2</w:t>
      </w:r>
      <w:bookmarkEnd w:id="751"/>
    </w:p>
    <w:tbl>
      <w:tblPr>
        <w:tblStyle w:val="CV112"/>
        <w:tblW w:w="0" w:type="auto"/>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able 11.5 is a list of details of the aspects for Option 2 (using aged care assessment teams (ACATs) as the external assessors), as summarised in the text prior to this table. This table is to be read left to right, top to bottom, noting the aspects have been divided into four headings:&#10;1. General&#10;2. for new residents&#10;3. for re-appraisals&#10;4. other."/>
      </w:tblPr>
      <w:tblGrid>
        <w:gridCol w:w="2875"/>
        <w:gridCol w:w="5940"/>
      </w:tblGrid>
      <w:tr w:rsidR="00036C41" w:rsidRPr="00DA2B8E" w:rsidTr="00036C41">
        <w:trPr>
          <w:tblHeader/>
        </w:trPr>
        <w:tc>
          <w:tcPr>
            <w:tcW w:w="2875" w:type="dxa"/>
            <w:shd w:val="clear" w:color="auto" w:fill="5B9BD5" w:themeFill="accent5"/>
          </w:tcPr>
          <w:bookmarkEnd w:id="752"/>
          <w:p w:rsidR="00571656" w:rsidRPr="00DA2B8E" w:rsidRDefault="00036C41" w:rsidP="00DA2B8E">
            <w:pPr>
              <w:spacing w:after="0"/>
              <w:jc w:val="left"/>
              <w:rPr>
                <w:rFonts w:cstheme="minorHAnsi"/>
                <w:b/>
                <w:color w:val="FFFFFF" w:themeColor="background1"/>
                <w:sz w:val="22"/>
              </w:rPr>
            </w:pPr>
            <w:r w:rsidRPr="00DA2B8E">
              <w:rPr>
                <w:rFonts w:cstheme="minorHAnsi"/>
                <w:b/>
                <w:color w:val="FFFFFF" w:themeColor="background1"/>
                <w:sz w:val="22"/>
              </w:rPr>
              <w:t xml:space="preserve">General </w:t>
            </w:r>
            <w:r w:rsidR="00571656" w:rsidRPr="00DA2B8E">
              <w:rPr>
                <w:rFonts w:cstheme="minorHAnsi"/>
                <w:b/>
                <w:color w:val="FFFFFF" w:themeColor="background1"/>
                <w:sz w:val="22"/>
              </w:rPr>
              <w:t>Aspect</w:t>
            </w:r>
            <w:r w:rsidRPr="00DA2B8E">
              <w:rPr>
                <w:rFonts w:cstheme="minorHAnsi"/>
                <w:b/>
                <w:color w:val="FFFFFF" w:themeColor="background1"/>
                <w:sz w:val="22"/>
              </w:rPr>
              <w:t>s</w:t>
            </w:r>
          </w:p>
        </w:tc>
        <w:tc>
          <w:tcPr>
            <w:tcW w:w="5940" w:type="dxa"/>
            <w:shd w:val="clear" w:color="auto" w:fill="5B9BD5" w:themeFill="accent5"/>
          </w:tcPr>
          <w:p w:rsidR="00571656" w:rsidRPr="00DA2B8E" w:rsidRDefault="00036C41" w:rsidP="00DA2B8E">
            <w:pPr>
              <w:spacing w:after="0"/>
              <w:jc w:val="left"/>
              <w:rPr>
                <w:rFonts w:cstheme="minorHAnsi"/>
                <w:b/>
                <w:color w:val="FFFFFF" w:themeColor="background1"/>
                <w:sz w:val="22"/>
              </w:rPr>
            </w:pPr>
            <w:r w:rsidRPr="00DA2B8E">
              <w:rPr>
                <w:rFonts w:cstheme="minorHAnsi"/>
                <w:b/>
                <w:color w:val="FFFFFF" w:themeColor="background1"/>
                <w:sz w:val="22"/>
              </w:rPr>
              <w:t>Details</w:t>
            </w:r>
          </w:p>
        </w:tc>
      </w:tr>
      <w:tr w:rsidR="00571656" w:rsidRPr="00DA2B8E" w:rsidTr="007F2ED6">
        <w:tc>
          <w:tcPr>
            <w:tcW w:w="2875" w:type="dxa"/>
          </w:tcPr>
          <w:p w:rsidR="00571656" w:rsidRPr="00DA2B8E" w:rsidRDefault="00571656" w:rsidP="00DA2B8E">
            <w:pPr>
              <w:spacing w:after="0"/>
              <w:jc w:val="left"/>
              <w:rPr>
                <w:rFonts w:cstheme="minorHAnsi"/>
                <w:b/>
                <w:sz w:val="22"/>
              </w:rPr>
            </w:pPr>
            <w:r w:rsidRPr="00DA2B8E">
              <w:rPr>
                <w:rFonts w:cstheme="minorHAnsi"/>
                <w:b/>
                <w:sz w:val="22"/>
              </w:rPr>
              <w:t>Funding Model</w:t>
            </w:r>
          </w:p>
        </w:tc>
        <w:tc>
          <w:tcPr>
            <w:tcW w:w="5940" w:type="dxa"/>
          </w:tcPr>
          <w:p w:rsidR="00571656" w:rsidRPr="00DA2B8E" w:rsidRDefault="00571656" w:rsidP="00DA2B8E">
            <w:pPr>
              <w:spacing w:after="0"/>
              <w:jc w:val="left"/>
              <w:rPr>
                <w:rFonts w:cstheme="minorHAnsi"/>
                <w:sz w:val="22"/>
              </w:rPr>
            </w:pPr>
            <w:r w:rsidRPr="00DA2B8E">
              <w:rPr>
                <w:rFonts w:cstheme="minorHAnsi"/>
                <w:sz w:val="22"/>
              </w:rPr>
              <w:t>ACAT (RN/AHP)</w:t>
            </w:r>
          </w:p>
        </w:tc>
      </w:tr>
      <w:tr w:rsidR="00571656" w:rsidRPr="00DA2B8E" w:rsidTr="007F2ED6">
        <w:tc>
          <w:tcPr>
            <w:tcW w:w="2875" w:type="dxa"/>
          </w:tcPr>
          <w:p w:rsidR="00571656" w:rsidRPr="00DA2B8E" w:rsidRDefault="00571656" w:rsidP="00DA2B8E">
            <w:pPr>
              <w:spacing w:after="0"/>
              <w:jc w:val="left"/>
              <w:rPr>
                <w:rFonts w:cstheme="minorHAnsi"/>
                <w:b/>
                <w:sz w:val="22"/>
              </w:rPr>
            </w:pPr>
            <w:r w:rsidRPr="00DA2B8E">
              <w:rPr>
                <w:rFonts w:cstheme="minorHAnsi"/>
                <w:b/>
                <w:sz w:val="22"/>
              </w:rPr>
              <w:t>New Resident - $ assess</w:t>
            </w:r>
          </w:p>
        </w:tc>
        <w:tc>
          <w:tcPr>
            <w:tcW w:w="5940" w:type="dxa"/>
          </w:tcPr>
          <w:p w:rsidR="00571656" w:rsidRPr="00DA2B8E" w:rsidRDefault="00571656" w:rsidP="00DA2B8E">
            <w:pPr>
              <w:spacing w:after="0"/>
              <w:jc w:val="left"/>
              <w:rPr>
                <w:rFonts w:cstheme="minorHAnsi"/>
                <w:sz w:val="22"/>
              </w:rPr>
            </w:pPr>
            <w:r w:rsidRPr="00DA2B8E">
              <w:rPr>
                <w:rFonts w:cstheme="minorHAnsi"/>
                <w:sz w:val="22"/>
              </w:rPr>
              <w:t>Before admission; home, hospital, respite</w:t>
            </w:r>
          </w:p>
        </w:tc>
      </w:tr>
      <w:tr w:rsidR="00571656" w:rsidRPr="00DA2B8E" w:rsidTr="007F2ED6">
        <w:tc>
          <w:tcPr>
            <w:tcW w:w="2875" w:type="dxa"/>
          </w:tcPr>
          <w:p w:rsidR="00571656" w:rsidRPr="00DA2B8E" w:rsidRDefault="00571656" w:rsidP="00DA2B8E">
            <w:pPr>
              <w:spacing w:after="0"/>
              <w:jc w:val="left"/>
              <w:rPr>
                <w:rFonts w:cstheme="minorHAnsi"/>
                <w:b/>
                <w:sz w:val="22"/>
              </w:rPr>
            </w:pPr>
            <w:r w:rsidRPr="00DA2B8E">
              <w:rPr>
                <w:rFonts w:cstheme="minorHAnsi"/>
                <w:b/>
                <w:sz w:val="22"/>
              </w:rPr>
              <w:t>ACAT changes?</w:t>
            </w:r>
          </w:p>
        </w:tc>
        <w:tc>
          <w:tcPr>
            <w:tcW w:w="5940" w:type="dxa"/>
            <w:shd w:val="clear" w:color="auto" w:fill="auto"/>
          </w:tcPr>
          <w:p w:rsidR="00571656" w:rsidRPr="00DA2B8E" w:rsidRDefault="00571656" w:rsidP="00DA2B8E">
            <w:pPr>
              <w:spacing w:after="0"/>
              <w:jc w:val="left"/>
              <w:rPr>
                <w:rFonts w:cstheme="minorHAnsi"/>
                <w:sz w:val="22"/>
              </w:rPr>
            </w:pPr>
            <w:r w:rsidRPr="00DA2B8E">
              <w:rPr>
                <w:rFonts w:cstheme="minorHAnsi"/>
                <w:sz w:val="22"/>
              </w:rPr>
              <w:t>Yes: 3 months R-ACFI pre-entry, sets $, review role</w:t>
            </w:r>
          </w:p>
        </w:tc>
      </w:tr>
      <w:tr w:rsidR="00571656" w:rsidRPr="00DA2B8E" w:rsidTr="007F2ED6">
        <w:tc>
          <w:tcPr>
            <w:tcW w:w="2875" w:type="dxa"/>
            <w:shd w:val="clear" w:color="auto" w:fill="auto"/>
          </w:tcPr>
          <w:p w:rsidR="00571656" w:rsidRPr="00DA2B8E" w:rsidRDefault="00571656" w:rsidP="00DA2B8E">
            <w:pPr>
              <w:spacing w:after="0"/>
              <w:jc w:val="left"/>
              <w:rPr>
                <w:rFonts w:cstheme="minorHAnsi"/>
                <w:b/>
                <w:sz w:val="22"/>
              </w:rPr>
            </w:pPr>
            <w:r w:rsidRPr="00DA2B8E">
              <w:rPr>
                <w:rFonts w:cstheme="minorHAnsi"/>
                <w:b/>
                <w:sz w:val="22"/>
              </w:rPr>
              <w:t>R-ACFI Users</w:t>
            </w:r>
          </w:p>
        </w:tc>
        <w:tc>
          <w:tcPr>
            <w:tcW w:w="5940" w:type="dxa"/>
            <w:shd w:val="clear" w:color="auto" w:fill="auto"/>
          </w:tcPr>
          <w:p w:rsidR="00571656" w:rsidRPr="00DA2B8E" w:rsidRDefault="00571656" w:rsidP="00DA2B8E">
            <w:pPr>
              <w:spacing w:after="0"/>
              <w:jc w:val="left"/>
              <w:rPr>
                <w:rFonts w:cstheme="minorHAnsi"/>
                <w:sz w:val="22"/>
              </w:rPr>
            </w:pPr>
            <w:r w:rsidRPr="00DA2B8E">
              <w:rPr>
                <w:rFonts w:cstheme="minorHAnsi"/>
                <w:sz w:val="22"/>
              </w:rPr>
              <w:t>ACAT &amp; Provider</w:t>
            </w:r>
          </w:p>
        </w:tc>
      </w:tr>
      <w:tr w:rsidR="00571656" w:rsidRPr="00DA2B8E" w:rsidTr="007F2ED6">
        <w:tc>
          <w:tcPr>
            <w:tcW w:w="2875" w:type="dxa"/>
            <w:shd w:val="clear" w:color="auto" w:fill="auto"/>
          </w:tcPr>
          <w:p w:rsidR="00571656" w:rsidRPr="00DA2B8E" w:rsidRDefault="00571656" w:rsidP="00DA2B8E">
            <w:pPr>
              <w:spacing w:after="0"/>
              <w:jc w:val="left"/>
              <w:rPr>
                <w:rFonts w:cstheme="minorHAnsi"/>
                <w:b/>
                <w:sz w:val="22"/>
              </w:rPr>
            </w:pPr>
            <w:r w:rsidRPr="00DA2B8E">
              <w:rPr>
                <w:rFonts w:cstheme="minorHAnsi"/>
                <w:b/>
                <w:sz w:val="22"/>
              </w:rPr>
              <w:t>Review by</w:t>
            </w:r>
          </w:p>
        </w:tc>
        <w:tc>
          <w:tcPr>
            <w:tcW w:w="5940" w:type="dxa"/>
            <w:shd w:val="clear" w:color="auto" w:fill="auto"/>
          </w:tcPr>
          <w:p w:rsidR="00571656" w:rsidRPr="00DA2B8E" w:rsidRDefault="00571656" w:rsidP="00DA2B8E">
            <w:pPr>
              <w:spacing w:after="0"/>
              <w:jc w:val="left"/>
              <w:rPr>
                <w:rFonts w:cstheme="minorHAnsi"/>
                <w:sz w:val="22"/>
              </w:rPr>
            </w:pPr>
            <w:r w:rsidRPr="00DA2B8E">
              <w:rPr>
                <w:rFonts w:cstheme="minorHAnsi"/>
                <w:sz w:val="22"/>
              </w:rPr>
              <w:t>ACAT</w:t>
            </w:r>
          </w:p>
        </w:tc>
      </w:tr>
      <w:tr w:rsidR="00036C41" w:rsidRPr="00DA2B8E" w:rsidTr="007F2ED6">
        <w:tc>
          <w:tcPr>
            <w:tcW w:w="2875" w:type="dxa"/>
            <w:shd w:val="clear" w:color="auto" w:fill="5B9BD5" w:themeFill="accent5"/>
          </w:tcPr>
          <w:p w:rsidR="00036C41" w:rsidRPr="00DA2B8E" w:rsidRDefault="00036C41" w:rsidP="00DA2B8E">
            <w:pPr>
              <w:spacing w:after="0"/>
              <w:jc w:val="left"/>
              <w:rPr>
                <w:rFonts w:cstheme="minorHAnsi"/>
                <w:b/>
                <w:color w:val="FFFFFF" w:themeColor="background1"/>
                <w:sz w:val="22"/>
              </w:rPr>
            </w:pPr>
            <w:r w:rsidRPr="00DA2B8E">
              <w:rPr>
                <w:rFonts w:cstheme="minorHAnsi"/>
                <w:b/>
                <w:color w:val="FFFFFF" w:themeColor="background1"/>
                <w:sz w:val="22"/>
              </w:rPr>
              <w:t>Aspects  for New Residents</w:t>
            </w:r>
          </w:p>
        </w:tc>
        <w:tc>
          <w:tcPr>
            <w:tcW w:w="5940" w:type="dxa"/>
            <w:shd w:val="clear" w:color="auto" w:fill="5B9BD5" w:themeFill="accent5"/>
          </w:tcPr>
          <w:p w:rsidR="00036C41" w:rsidRPr="00DA2B8E" w:rsidRDefault="00036C41" w:rsidP="00DA2B8E">
            <w:pPr>
              <w:spacing w:after="0"/>
              <w:jc w:val="left"/>
              <w:rPr>
                <w:rFonts w:cstheme="minorHAnsi"/>
                <w:color w:val="FFFFFF" w:themeColor="background1"/>
                <w:sz w:val="22"/>
              </w:rPr>
            </w:pPr>
            <w:r w:rsidRPr="00DA2B8E">
              <w:rPr>
                <w:rFonts w:cstheme="minorHAnsi"/>
                <w:b/>
                <w:color w:val="FFFFFF" w:themeColor="background1"/>
                <w:sz w:val="22"/>
              </w:rPr>
              <w:t>Details</w:t>
            </w:r>
          </w:p>
        </w:tc>
      </w:tr>
      <w:tr w:rsidR="00036C41" w:rsidRPr="00DA2B8E" w:rsidTr="007F2ED6">
        <w:tc>
          <w:tcPr>
            <w:tcW w:w="2875" w:type="dxa"/>
          </w:tcPr>
          <w:p w:rsidR="00036C41" w:rsidRPr="00DA2B8E" w:rsidRDefault="00036C41" w:rsidP="00DA2B8E">
            <w:pPr>
              <w:spacing w:after="0"/>
              <w:jc w:val="left"/>
              <w:rPr>
                <w:rFonts w:cstheme="minorHAnsi"/>
                <w:b/>
                <w:sz w:val="22"/>
              </w:rPr>
            </w:pPr>
            <w:r w:rsidRPr="00DA2B8E">
              <w:rPr>
                <w:rFonts w:cstheme="minorHAnsi"/>
                <w:b/>
                <w:sz w:val="22"/>
              </w:rPr>
              <w:t>Funding Determination</w:t>
            </w:r>
          </w:p>
        </w:tc>
        <w:tc>
          <w:tcPr>
            <w:tcW w:w="5940" w:type="dxa"/>
          </w:tcPr>
          <w:p w:rsidR="00036C41" w:rsidRPr="00DA2B8E" w:rsidRDefault="00036C41" w:rsidP="00DA2B8E">
            <w:pPr>
              <w:spacing w:after="0"/>
              <w:jc w:val="left"/>
              <w:rPr>
                <w:rFonts w:cstheme="minorHAnsi"/>
                <w:b/>
                <w:sz w:val="22"/>
              </w:rPr>
            </w:pPr>
            <w:r w:rsidRPr="00DA2B8E">
              <w:rPr>
                <w:rFonts w:cstheme="minorHAnsi"/>
                <w:b/>
                <w:sz w:val="22"/>
              </w:rPr>
              <w:t>ACAT R-ACFI used for setting funding pre-entry</w:t>
            </w:r>
          </w:p>
          <w:p w:rsidR="00036C41" w:rsidRPr="00DA2B8E" w:rsidRDefault="00036C41" w:rsidP="00DA2B8E">
            <w:pPr>
              <w:spacing w:after="0"/>
              <w:jc w:val="left"/>
              <w:rPr>
                <w:rFonts w:cstheme="minorHAnsi"/>
                <w:sz w:val="22"/>
              </w:rPr>
            </w:pPr>
            <w:r w:rsidRPr="00DA2B8E">
              <w:rPr>
                <w:rFonts w:cstheme="minorHAnsi"/>
                <w:sz w:val="22"/>
              </w:rPr>
              <w:t>ACAT assessor sets funding pre-entry. No further audit if accepted.</w:t>
            </w:r>
          </w:p>
          <w:p w:rsidR="00036C41" w:rsidRPr="00DA2B8E" w:rsidRDefault="00036C41" w:rsidP="00DA2B8E">
            <w:pPr>
              <w:spacing w:after="0"/>
              <w:jc w:val="left"/>
              <w:rPr>
                <w:rFonts w:cstheme="minorHAnsi"/>
                <w:sz w:val="22"/>
              </w:rPr>
            </w:pPr>
            <w:r w:rsidRPr="00DA2B8E">
              <w:rPr>
                <w:rFonts w:cstheme="minorHAnsi"/>
                <w:sz w:val="22"/>
              </w:rPr>
              <w:t>Contested R-ACFI process – Matching, Data analytics, e-Audit, Visit. Outcome determined within in 3 months</w:t>
            </w:r>
          </w:p>
        </w:tc>
      </w:tr>
      <w:tr w:rsidR="00036C41" w:rsidRPr="00DA2B8E" w:rsidTr="007F2ED6">
        <w:tc>
          <w:tcPr>
            <w:tcW w:w="2875" w:type="dxa"/>
          </w:tcPr>
          <w:p w:rsidR="00036C41" w:rsidRPr="00DA2B8E" w:rsidRDefault="00036C41" w:rsidP="00DA2B8E">
            <w:pPr>
              <w:spacing w:after="0"/>
              <w:jc w:val="left"/>
              <w:rPr>
                <w:rFonts w:cstheme="minorHAnsi"/>
                <w:b/>
                <w:sz w:val="22"/>
              </w:rPr>
            </w:pPr>
            <w:r w:rsidRPr="00DA2B8E">
              <w:rPr>
                <w:rFonts w:cstheme="minorHAnsi"/>
                <w:b/>
                <w:sz w:val="22"/>
              </w:rPr>
              <w:t xml:space="preserve">When full funding paid? </w:t>
            </w:r>
          </w:p>
        </w:tc>
        <w:tc>
          <w:tcPr>
            <w:tcW w:w="5940" w:type="dxa"/>
          </w:tcPr>
          <w:p w:rsidR="00036C41" w:rsidRPr="00DA2B8E" w:rsidRDefault="00036C41" w:rsidP="00DA2B8E">
            <w:pPr>
              <w:spacing w:after="0"/>
              <w:jc w:val="left"/>
              <w:rPr>
                <w:rFonts w:cstheme="minorHAnsi"/>
                <w:sz w:val="22"/>
              </w:rPr>
            </w:pPr>
            <w:r w:rsidRPr="00DA2B8E">
              <w:rPr>
                <w:rFonts w:cstheme="minorHAnsi"/>
                <w:sz w:val="22"/>
              </w:rPr>
              <w:t>On admission</w:t>
            </w:r>
          </w:p>
        </w:tc>
      </w:tr>
      <w:tr w:rsidR="00036C41" w:rsidRPr="00DA2B8E" w:rsidTr="007F2ED6">
        <w:tc>
          <w:tcPr>
            <w:tcW w:w="2875" w:type="dxa"/>
          </w:tcPr>
          <w:p w:rsidR="00036C41" w:rsidRPr="00DA2B8E" w:rsidRDefault="00036C41" w:rsidP="00DA2B8E">
            <w:pPr>
              <w:spacing w:after="0"/>
              <w:jc w:val="left"/>
              <w:rPr>
                <w:rFonts w:cstheme="minorHAnsi"/>
                <w:b/>
                <w:sz w:val="22"/>
              </w:rPr>
            </w:pPr>
            <w:r w:rsidRPr="00DA2B8E">
              <w:rPr>
                <w:rFonts w:cstheme="minorHAnsi"/>
                <w:b/>
                <w:sz w:val="22"/>
              </w:rPr>
              <w:t>Period provider does R-ACFI</w:t>
            </w:r>
          </w:p>
        </w:tc>
        <w:tc>
          <w:tcPr>
            <w:tcW w:w="5940" w:type="dxa"/>
          </w:tcPr>
          <w:p w:rsidR="00036C41" w:rsidRPr="00DA2B8E" w:rsidRDefault="00036C41" w:rsidP="00DA2B8E">
            <w:pPr>
              <w:spacing w:after="0"/>
              <w:jc w:val="left"/>
              <w:rPr>
                <w:rFonts w:cstheme="minorHAnsi"/>
                <w:sz w:val="22"/>
              </w:rPr>
            </w:pPr>
            <w:r w:rsidRPr="00DA2B8E">
              <w:rPr>
                <w:rFonts w:cstheme="minorHAnsi"/>
                <w:sz w:val="22"/>
              </w:rPr>
              <w:t>1 month but not used for funding $</w:t>
            </w:r>
          </w:p>
        </w:tc>
      </w:tr>
      <w:tr w:rsidR="00036C41" w:rsidRPr="00DA2B8E" w:rsidTr="007F2ED6">
        <w:tc>
          <w:tcPr>
            <w:tcW w:w="2875" w:type="dxa"/>
            <w:shd w:val="clear" w:color="auto" w:fill="5B9BD5" w:themeFill="accent5"/>
          </w:tcPr>
          <w:p w:rsidR="00036C41" w:rsidRPr="00DA2B8E" w:rsidRDefault="00036C41" w:rsidP="00DA2B8E">
            <w:pPr>
              <w:spacing w:after="0"/>
              <w:jc w:val="left"/>
              <w:rPr>
                <w:rFonts w:cstheme="minorHAnsi"/>
                <w:b/>
                <w:color w:val="FFFFFF" w:themeColor="background1"/>
                <w:sz w:val="22"/>
              </w:rPr>
            </w:pPr>
            <w:r w:rsidRPr="00DA2B8E">
              <w:rPr>
                <w:rFonts w:cstheme="minorHAnsi"/>
                <w:b/>
                <w:color w:val="FFFFFF" w:themeColor="background1"/>
                <w:sz w:val="22"/>
              </w:rPr>
              <w:t>Aspects  for Re-appraisals</w:t>
            </w:r>
          </w:p>
        </w:tc>
        <w:tc>
          <w:tcPr>
            <w:tcW w:w="5940" w:type="dxa"/>
            <w:shd w:val="clear" w:color="auto" w:fill="5B9BD5" w:themeFill="accent5"/>
          </w:tcPr>
          <w:p w:rsidR="00036C41" w:rsidRPr="00DA2B8E" w:rsidRDefault="00036C41" w:rsidP="00DA2B8E">
            <w:pPr>
              <w:spacing w:after="0"/>
              <w:jc w:val="left"/>
              <w:rPr>
                <w:rFonts w:cstheme="minorHAnsi"/>
                <w:color w:val="FFFFFF" w:themeColor="background1"/>
                <w:sz w:val="22"/>
              </w:rPr>
            </w:pPr>
            <w:r w:rsidRPr="00DA2B8E">
              <w:rPr>
                <w:rFonts w:cstheme="minorHAnsi"/>
                <w:b/>
                <w:color w:val="FFFFFF" w:themeColor="background1"/>
                <w:sz w:val="22"/>
              </w:rPr>
              <w:t>Details</w:t>
            </w:r>
          </w:p>
        </w:tc>
      </w:tr>
      <w:tr w:rsidR="00036C41" w:rsidRPr="00DA2B8E" w:rsidTr="007F2ED6">
        <w:tc>
          <w:tcPr>
            <w:tcW w:w="2875" w:type="dxa"/>
          </w:tcPr>
          <w:p w:rsidR="00036C41" w:rsidRPr="00DA2B8E" w:rsidRDefault="00036C41" w:rsidP="00DA2B8E">
            <w:pPr>
              <w:spacing w:after="0"/>
              <w:jc w:val="left"/>
              <w:rPr>
                <w:rFonts w:cstheme="minorHAnsi"/>
                <w:b/>
                <w:sz w:val="22"/>
              </w:rPr>
            </w:pPr>
            <w:r w:rsidRPr="00DA2B8E">
              <w:rPr>
                <w:rFonts w:cstheme="minorHAnsi"/>
                <w:b/>
                <w:sz w:val="22"/>
              </w:rPr>
              <w:t>Funding Determination Process</w:t>
            </w:r>
          </w:p>
          <w:p w:rsidR="00036C41" w:rsidRPr="00DA2B8E" w:rsidRDefault="00036C41" w:rsidP="00DA2B8E">
            <w:pPr>
              <w:spacing w:after="0"/>
              <w:jc w:val="left"/>
              <w:rPr>
                <w:rFonts w:cstheme="minorHAnsi"/>
                <w:b/>
                <w:sz w:val="22"/>
              </w:rPr>
            </w:pPr>
            <w:r w:rsidRPr="00DA2B8E">
              <w:rPr>
                <w:rFonts w:cstheme="minorHAnsi"/>
                <w:b/>
                <w:sz w:val="22"/>
              </w:rPr>
              <w:t>R-ACFI less open to gaming</w:t>
            </w:r>
          </w:p>
        </w:tc>
        <w:tc>
          <w:tcPr>
            <w:tcW w:w="5940" w:type="dxa"/>
          </w:tcPr>
          <w:p w:rsidR="00036C41" w:rsidRPr="00DA2B8E" w:rsidRDefault="00036C41" w:rsidP="00DA2B8E">
            <w:pPr>
              <w:spacing w:after="0"/>
              <w:jc w:val="left"/>
              <w:rPr>
                <w:rFonts w:cstheme="minorHAnsi"/>
                <w:b/>
                <w:sz w:val="22"/>
              </w:rPr>
            </w:pPr>
            <w:r w:rsidRPr="00DA2B8E">
              <w:rPr>
                <w:rFonts w:cstheme="minorHAnsi"/>
                <w:b/>
                <w:sz w:val="22"/>
              </w:rPr>
              <w:t>1. Provider R-ACFI used for re-appraisal funding determination</w:t>
            </w:r>
          </w:p>
          <w:p w:rsidR="00980F62" w:rsidRDefault="00036C41" w:rsidP="00DA2B8E">
            <w:pPr>
              <w:spacing w:after="0"/>
              <w:jc w:val="left"/>
              <w:rPr>
                <w:rFonts w:eastAsia="Times New Roman" w:cstheme="minorHAnsi"/>
                <w:b/>
                <w:sz w:val="22"/>
                <w:lang w:eastAsia="en-AU"/>
              </w:rPr>
            </w:pPr>
            <w:r w:rsidRPr="00DA2B8E">
              <w:rPr>
                <w:rFonts w:eastAsia="Times New Roman" w:cstheme="minorHAnsi"/>
                <w:b/>
                <w:sz w:val="22"/>
                <w:lang w:eastAsia="en-AU"/>
              </w:rPr>
              <w:t>2. ACAT re-assesses 25% to 50% of re-appraisal claims at site visit</w:t>
            </w:r>
          </w:p>
          <w:p w:rsidR="00036C41" w:rsidRPr="00DA2B8E" w:rsidRDefault="00036C41" w:rsidP="00DA2B8E">
            <w:pPr>
              <w:spacing w:after="0"/>
              <w:jc w:val="left"/>
              <w:rPr>
                <w:rFonts w:cstheme="minorHAnsi"/>
                <w:sz w:val="22"/>
              </w:rPr>
            </w:pPr>
            <w:r w:rsidRPr="00DA2B8E">
              <w:rPr>
                <w:rFonts w:cstheme="minorHAnsi"/>
                <w:sz w:val="22"/>
              </w:rPr>
              <w:t>ACAT or DoH checks using: Data analytics, e-Audit, Site visit &amp; assessment.</w:t>
            </w:r>
          </w:p>
        </w:tc>
      </w:tr>
      <w:tr w:rsidR="00036C41" w:rsidRPr="00DA2B8E" w:rsidTr="007F2ED6">
        <w:tc>
          <w:tcPr>
            <w:tcW w:w="2875" w:type="dxa"/>
          </w:tcPr>
          <w:p w:rsidR="00036C41" w:rsidRPr="00DA2B8E" w:rsidRDefault="00036C41" w:rsidP="00DA2B8E">
            <w:pPr>
              <w:spacing w:after="0"/>
              <w:jc w:val="left"/>
              <w:rPr>
                <w:rFonts w:cstheme="minorHAnsi"/>
                <w:b/>
                <w:sz w:val="22"/>
              </w:rPr>
            </w:pPr>
            <w:r w:rsidRPr="00DA2B8E">
              <w:rPr>
                <w:rFonts w:cstheme="minorHAnsi"/>
                <w:b/>
                <w:sz w:val="22"/>
              </w:rPr>
              <w:t xml:space="preserve">When full funding paid? </w:t>
            </w:r>
          </w:p>
        </w:tc>
        <w:tc>
          <w:tcPr>
            <w:tcW w:w="5940" w:type="dxa"/>
          </w:tcPr>
          <w:p w:rsidR="00036C41" w:rsidRPr="00DA2B8E" w:rsidRDefault="00036C41" w:rsidP="00DA2B8E">
            <w:pPr>
              <w:spacing w:after="0"/>
              <w:jc w:val="left"/>
              <w:rPr>
                <w:rFonts w:cstheme="minorHAnsi"/>
                <w:sz w:val="22"/>
              </w:rPr>
            </w:pPr>
            <w:r w:rsidRPr="00DA2B8E">
              <w:rPr>
                <w:rFonts w:eastAsia="Times New Roman" w:cstheme="minorHAnsi"/>
                <w:sz w:val="22"/>
                <w:lang w:eastAsia="en-AU"/>
              </w:rPr>
              <w:t>Immediate on submission but subject to audit</w:t>
            </w:r>
          </w:p>
        </w:tc>
      </w:tr>
      <w:tr w:rsidR="00036C41" w:rsidRPr="00DA2B8E" w:rsidTr="007F2ED6">
        <w:tc>
          <w:tcPr>
            <w:tcW w:w="2875" w:type="dxa"/>
          </w:tcPr>
          <w:p w:rsidR="00036C41" w:rsidRPr="00DA2B8E" w:rsidRDefault="00036C41" w:rsidP="00DA2B8E">
            <w:pPr>
              <w:spacing w:after="0"/>
              <w:jc w:val="left"/>
              <w:rPr>
                <w:rFonts w:cstheme="minorHAnsi"/>
                <w:b/>
                <w:sz w:val="22"/>
              </w:rPr>
            </w:pPr>
            <w:r w:rsidRPr="00DA2B8E">
              <w:rPr>
                <w:rFonts w:cstheme="minorHAnsi"/>
                <w:b/>
                <w:sz w:val="22"/>
              </w:rPr>
              <w:t>Funding certainty &amp; Audit</w:t>
            </w:r>
          </w:p>
        </w:tc>
        <w:tc>
          <w:tcPr>
            <w:tcW w:w="5940" w:type="dxa"/>
          </w:tcPr>
          <w:p w:rsidR="00036C41" w:rsidRPr="00DA2B8E" w:rsidRDefault="00036C41" w:rsidP="00DA2B8E">
            <w:pPr>
              <w:spacing w:after="0"/>
              <w:jc w:val="left"/>
              <w:rPr>
                <w:rFonts w:cstheme="minorHAnsi"/>
                <w:sz w:val="22"/>
              </w:rPr>
            </w:pPr>
            <w:r w:rsidRPr="00DA2B8E">
              <w:rPr>
                <w:rFonts w:eastAsia="Times New Roman" w:cstheme="minorHAnsi"/>
                <w:sz w:val="22"/>
                <w:lang w:eastAsia="en-AU"/>
              </w:rPr>
              <w:t>Audit: restricted to 12 months</w:t>
            </w:r>
          </w:p>
        </w:tc>
      </w:tr>
      <w:tr w:rsidR="00036C41" w:rsidRPr="00DA2B8E" w:rsidTr="007F2ED6">
        <w:tc>
          <w:tcPr>
            <w:tcW w:w="2875" w:type="dxa"/>
            <w:shd w:val="clear" w:color="auto" w:fill="5B9BD5" w:themeFill="accent5"/>
          </w:tcPr>
          <w:p w:rsidR="00036C41" w:rsidRPr="00DA2B8E" w:rsidRDefault="00036C41" w:rsidP="00DA2B8E">
            <w:pPr>
              <w:spacing w:after="0"/>
              <w:jc w:val="left"/>
              <w:rPr>
                <w:rFonts w:cstheme="minorHAnsi"/>
                <w:b/>
                <w:color w:val="FFFFFF" w:themeColor="background1"/>
                <w:sz w:val="22"/>
              </w:rPr>
            </w:pPr>
            <w:r w:rsidRPr="00DA2B8E">
              <w:rPr>
                <w:rFonts w:cstheme="minorHAnsi"/>
                <w:b/>
                <w:color w:val="FFFFFF" w:themeColor="background1"/>
                <w:sz w:val="22"/>
              </w:rPr>
              <w:t>Other Aspects</w:t>
            </w:r>
          </w:p>
        </w:tc>
        <w:tc>
          <w:tcPr>
            <w:tcW w:w="5940" w:type="dxa"/>
            <w:shd w:val="clear" w:color="auto" w:fill="5B9BD5" w:themeFill="accent5"/>
          </w:tcPr>
          <w:p w:rsidR="00036C41" w:rsidRPr="00DA2B8E" w:rsidRDefault="00036C41" w:rsidP="00DA2B8E">
            <w:pPr>
              <w:spacing w:after="0"/>
              <w:jc w:val="left"/>
              <w:rPr>
                <w:rFonts w:cstheme="minorHAnsi"/>
                <w:b/>
                <w:color w:val="FFFFFF" w:themeColor="background1"/>
                <w:sz w:val="22"/>
              </w:rPr>
            </w:pPr>
            <w:r w:rsidRPr="00DA2B8E">
              <w:rPr>
                <w:rFonts w:cstheme="minorHAnsi"/>
                <w:b/>
                <w:color w:val="FFFFFF" w:themeColor="background1"/>
                <w:sz w:val="22"/>
              </w:rPr>
              <w:t>Details</w:t>
            </w:r>
          </w:p>
        </w:tc>
      </w:tr>
      <w:tr w:rsidR="00036C41" w:rsidRPr="00DA2B8E" w:rsidTr="007F2ED6">
        <w:tc>
          <w:tcPr>
            <w:tcW w:w="2875" w:type="dxa"/>
          </w:tcPr>
          <w:p w:rsidR="00036C41" w:rsidRPr="00DA2B8E" w:rsidRDefault="00036C41" w:rsidP="00DA2B8E">
            <w:pPr>
              <w:spacing w:after="0"/>
              <w:jc w:val="left"/>
              <w:rPr>
                <w:rFonts w:cstheme="minorHAnsi"/>
                <w:b/>
                <w:sz w:val="22"/>
              </w:rPr>
            </w:pPr>
            <w:r w:rsidRPr="00DA2B8E">
              <w:rPr>
                <w:rFonts w:cstheme="minorHAnsi"/>
                <w:b/>
                <w:sz w:val="22"/>
              </w:rPr>
              <w:t>Method Used to Audit Funding</w:t>
            </w:r>
          </w:p>
        </w:tc>
        <w:tc>
          <w:tcPr>
            <w:tcW w:w="5940" w:type="dxa"/>
          </w:tcPr>
          <w:p w:rsidR="00036C41" w:rsidRPr="00DA2B8E" w:rsidRDefault="00036C41" w:rsidP="00DA2B8E">
            <w:pPr>
              <w:spacing w:after="0"/>
              <w:jc w:val="left"/>
              <w:rPr>
                <w:rFonts w:cstheme="minorHAnsi"/>
                <w:sz w:val="22"/>
              </w:rPr>
            </w:pPr>
            <w:r w:rsidRPr="00DA2B8E">
              <w:rPr>
                <w:rFonts w:cstheme="minorHAnsi"/>
                <w:sz w:val="22"/>
              </w:rPr>
              <w:t>Assessed care need</w:t>
            </w:r>
          </w:p>
        </w:tc>
      </w:tr>
      <w:tr w:rsidR="00036C41" w:rsidRPr="00DA2B8E" w:rsidTr="007F2ED6">
        <w:tc>
          <w:tcPr>
            <w:tcW w:w="2875" w:type="dxa"/>
          </w:tcPr>
          <w:p w:rsidR="00036C41" w:rsidRPr="00DA2B8E" w:rsidRDefault="00036C41" w:rsidP="00DA2B8E">
            <w:pPr>
              <w:spacing w:after="0"/>
              <w:jc w:val="left"/>
              <w:rPr>
                <w:rFonts w:cstheme="minorHAnsi"/>
                <w:b/>
                <w:sz w:val="22"/>
              </w:rPr>
            </w:pPr>
            <w:r w:rsidRPr="00DA2B8E">
              <w:rPr>
                <w:rFonts w:cstheme="minorHAnsi"/>
                <w:b/>
                <w:sz w:val="22"/>
              </w:rPr>
              <w:t>Stable funding</w:t>
            </w:r>
          </w:p>
        </w:tc>
        <w:tc>
          <w:tcPr>
            <w:tcW w:w="5940" w:type="dxa"/>
          </w:tcPr>
          <w:p w:rsidR="00036C41" w:rsidRPr="00DA2B8E" w:rsidRDefault="00036C41" w:rsidP="00DA2B8E">
            <w:pPr>
              <w:spacing w:after="0"/>
              <w:jc w:val="left"/>
              <w:rPr>
                <w:rFonts w:cstheme="minorHAnsi"/>
                <w:sz w:val="22"/>
              </w:rPr>
            </w:pPr>
            <w:r w:rsidRPr="00DA2B8E">
              <w:rPr>
                <w:rFonts w:cstheme="minorHAnsi"/>
                <w:sz w:val="22"/>
              </w:rPr>
              <w:t>High</w:t>
            </w:r>
          </w:p>
        </w:tc>
      </w:tr>
    </w:tbl>
    <w:p w:rsidR="00571656" w:rsidRPr="007042F5" w:rsidRDefault="00571656" w:rsidP="00CD2081">
      <w:pPr>
        <w:pStyle w:val="Heading4-Chapter1133"/>
      </w:pPr>
      <w:bookmarkStart w:id="753" w:name="_Toc486280172"/>
      <w:bookmarkStart w:id="754" w:name="_Toc486604915"/>
      <w:bookmarkStart w:id="755" w:name="_Toc489386733"/>
      <w:r w:rsidRPr="007042F5">
        <w:t>Option 2 New Residents - ACAT Funding Determination</w:t>
      </w:r>
      <w:bookmarkEnd w:id="753"/>
      <w:bookmarkEnd w:id="754"/>
      <w:bookmarkEnd w:id="755"/>
    </w:p>
    <w:p w:rsidR="00571656" w:rsidRDefault="00571656" w:rsidP="006B374E">
      <w:r w:rsidRPr="00B5410E">
        <w:t>This includes all appraisals</w:t>
      </w:r>
      <w:r>
        <w:t xml:space="preserve"> from clients living in the community or coming from hospital, sub-acute or other supported residential locations. The following will apply:</w:t>
      </w:r>
    </w:p>
    <w:p w:rsidR="00571656" w:rsidRDefault="00571656" w:rsidP="00151877">
      <w:pPr>
        <w:pStyle w:val="ListParagraph"/>
        <w:numPr>
          <w:ilvl w:val="0"/>
          <w:numId w:val="56"/>
        </w:numPr>
        <w:ind w:left="360"/>
      </w:pPr>
      <w:r>
        <w:t xml:space="preserve">New admissions funding will be determined by ACAT R-ACFI assessment pre-entry. To operate effectively, Option 2 will need the R-ACFI embedded in the NSAF assessment. This needs relatively minor changes as many items in the comprehensive NSAF section are </w:t>
      </w:r>
      <w:r w:rsidRPr="00A6546A">
        <w:t>similar to the R-ACFI questions</w:t>
      </w:r>
      <w:r>
        <w:t xml:space="preserve">. </w:t>
      </w:r>
      <w:r w:rsidRPr="00A6546A">
        <w:t>However</w:t>
      </w:r>
      <w:r>
        <w:t>,</w:t>
      </w:r>
      <w:r w:rsidRPr="00A6546A">
        <w:t xml:space="preserve"> the R-ACFI has associated mandated assessments which will </w:t>
      </w:r>
      <w:r>
        <w:t xml:space="preserve">also </w:t>
      </w:r>
      <w:r w:rsidRPr="00A6546A">
        <w:t xml:space="preserve">need </w:t>
      </w:r>
      <w:r>
        <w:t>to be completed by the ACAT assessor.</w:t>
      </w:r>
    </w:p>
    <w:p w:rsidR="00571656" w:rsidRPr="00451DD7" w:rsidRDefault="00571656" w:rsidP="00151877">
      <w:pPr>
        <w:pStyle w:val="ListParagraph"/>
        <w:numPr>
          <w:ilvl w:val="0"/>
          <w:numId w:val="56"/>
        </w:numPr>
        <w:ind w:left="360"/>
      </w:pPr>
      <w:r w:rsidRPr="00451DD7">
        <w:t xml:space="preserve">The </w:t>
      </w:r>
      <w:r>
        <w:t>ACAT</w:t>
      </w:r>
      <w:r w:rsidRPr="00451DD7">
        <w:t xml:space="preserve"> assess</w:t>
      </w:r>
      <w:r>
        <w:t>or will undertake</w:t>
      </w:r>
      <w:r w:rsidRPr="00451DD7">
        <w:t xml:space="preserve"> an </w:t>
      </w:r>
      <w:r>
        <w:t>external</w:t>
      </w:r>
      <w:r w:rsidRPr="00451DD7">
        <w:t xml:space="preserve"> assessment of the clients care needs using the R-ACFI which is then used to set the resident funding category</w:t>
      </w:r>
      <w:r>
        <w:t xml:space="preserve"> if they enter residential care.</w:t>
      </w:r>
    </w:p>
    <w:p w:rsidR="00237A38" w:rsidRDefault="00571656" w:rsidP="00151877">
      <w:pPr>
        <w:pStyle w:val="ListParagraph"/>
        <w:numPr>
          <w:ilvl w:val="0"/>
          <w:numId w:val="56"/>
        </w:numPr>
        <w:ind w:left="360"/>
      </w:pPr>
      <w:r>
        <w:t xml:space="preserve">The ACAT </w:t>
      </w:r>
      <w:r w:rsidRPr="00C545EB">
        <w:t>assessed care need includes</w:t>
      </w:r>
    </w:p>
    <w:p w:rsidR="00237A38" w:rsidRDefault="00237A38" w:rsidP="00237A38">
      <w:pPr>
        <w:pStyle w:val="ListParagraph"/>
        <w:numPr>
          <w:ilvl w:val="0"/>
          <w:numId w:val="176"/>
        </w:numPr>
        <w:ind w:left="924" w:hanging="357"/>
      </w:pPr>
      <w:r>
        <w:t>C</w:t>
      </w:r>
      <w:r w:rsidR="00571656" w:rsidRPr="00C545EB">
        <w:t>apability (</w:t>
      </w:r>
      <w:r w:rsidR="00571656">
        <w:t xml:space="preserve">can the person do the task? </w:t>
      </w:r>
      <w:r>
        <w:t>–</w:t>
      </w:r>
      <w:r w:rsidR="00571656">
        <w:t xml:space="preserve"> </w:t>
      </w:r>
      <w:r w:rsidR="00571656" w:rsidRPr="00C545EB">
        <w:t>assessment</w:t>
      </w:r>
      <w:r w:rsidR="00571656">
        <w:t xml:space="preserve"> identifying needs)</w:t>
      </w:r>
    </w:p>
    <w:p w:rsidR="00980F62" w:rsidRDefault="00237A38" w:rsidP="00237A38">
      <w:pPr>
        <w:pStyle w:val="ListParagraph"/>
        <w:numPr>
          <w:ilvl w:val="0"/>
          <w:numId w:val="176"/>
        </w:numPr>
        <w:ind w:left="924" w:hanging="357"/>
      </w:pPr>
      <w:r>
        <w:t>P</w:t>
      </w:r>
      <w:r w:rsidR="00571656" w:rsidRPr="00C545EB">
        <w:t>erformance</w:t>
      </w:r>
      <w:r w:rsidR="00571656">
        <w:t xml:space="preserve"> (does the person do the task? </w:t>
      </w:r>
      <w:r>
        <w:t>–</w:t>
      </w:r>
      <w:r w:rsidR="00571656">
        <w:t xml:space="preserve"> residents’ actual ability to complete all day, everyday tasks).</w:t>
      </w:r>
    </w:p>
    <w:p w:rsidR="00980F62" w:rsidRDefault="00571656" w:rsidP="00151877">
      <w:pPr>
        <w:pStyle w:val="ListParagraph"/>
        <w:numPr>
          <w:ilvl w:val="0"/>
          <w:numId w:val="56"/>
        </w:numPr>
        <w:ind w:left="360"/>
        <w:rPr>
          <w:color w:val="000000" w:themeColor="text1"/>
        </w:rPr>
      </w:pPr>
      <w:r>
        <w:t xml:space="preserve">The ACAT will be expected to use all available information </w:t>
      </w:r>
      <w:r>
        <w:rPr>
          <w:color w:val="000000" w:themeColor="text1"/>
        </w:rPr>
        <w:t xml:space="preserve">e.g. GP </w:t>
      </w:r>
      <w:r w:rsidRPr="00ED20EF">
        <w:rPr>
          <w:color w:val="000000" w:themeColor="text1"/>
        </w:rPr>
        <w:t xml:space="preserve">comprehensive medical assessment (CMA), </w:t>
      </w:r>
      <w:r>
        <w:rPr>
          <w:color w:val="000000" w:themeColor="text1"/>
        </w:rPr>
        <w:t xml:space="preserve">and any </w:t>
      </w:r>
      <w:r w:rsidRPr="00ED20EF">
        <w:rPr>
          <w:color w:val="000000" w:themeColor="text1"/>
        </w:rPr>
        <w:t xml:space="preserve">other clinical information and discussions with health </w:t>
      </w:r>
      <w:r w:rsidRPr="00ED20EF">
        <w:rPr>
          <w:color w:val="000000" w:themeColor="text1"/>
        </w:rPr>
        <w:lastRenderedPageBreak/>
        <w:t>professionals (e.g. GPs</w:t>
      </w:r>
      <w:r>
        <w:rPr>
          <w:color w:val="000000" w:themeColor="text1"/>
        </w:rPr>
        <w:t>, physiotherapists</w:t>
      </w:r>
      <w:r w:rsidRPr="00ED20EF">
        <w:rPr>
          <w:color w:val="000000" w:themeColor="text1"/>
        </w:rPr>
        <w:t xml:space="preserve">) to assist </w:t>
      </w:r>
      <w:r>
        <w:rPr>
          <w:color w:val="000000" w:themeColor="text1"/>
        </w:rPr>
        <w:t xml:space="preserve">them in </w:t>
      </w:r>
      <w:r w:rsidRPr="00ED20EF">
        <w:rPr>
          <w:color w:val="000000" w:themeColor="text1"/>
        </w:rPr>
        <w:t>determin</w:t>
      </w:r>
      <w:r>
        <w:rPr>
          <w:color w:val="000000" w:themeColor="text1"/>
        </w:rPr>
        <w:t>ing</w:t>
      </w:r>
      <w:r w:rsidRPr="00ED20EF">
        <w:rPr>
          <w:color w:val="000000" w:themeColor="text1"/>
        </w:rPr>
        <w:t xml:space="preserve"> the assessed care need and therefore funding level</w:t>
      </w:r>
      <w:r>
        <w:rPr>
          <w:color w:val="000000" w:themeColor="text1"/>
        </w:rPr>
        <w:t>.</w:t>
      </w:r>
    </w:p>
    <w:p w:rsidR="00571656" w:rsidRPr="00E56375" w:rsidRDefault="00571656" w:rsidP="002C331F">
      <w:pPr>
        <w:spacing w:before="200" w:after="0"/>
        <w:rPr>
          <w:rStyle w:val="Strong"/>
        </w:rPr>
      </w:pPr>
      <w:r w:rsidRPr="00E56375">
        <w:rPr>
          <w:rStyle w:val="Strong"/>
        </w:rPr>
        <w:t>ACAT R-ACFI will be no more than three months old</w:t>
      </w:r>
    </w:p>
    <w:p w:rsidR="00571656" w:rsidRPr="007C0D66" w:rsidRDefault="00571656" w:rsidP="00151877">
      <w:pPr>
        <w:pStyle w:val="ListParagraph"/>
        <w:numPr>
          <w:ilvl w:val="0"/>
          <w:numId w:val="56"/>
        </w:numPr>
        <w:spacing w:after="0"/>
        <w:ind w:left="360"/>
        <w:rPr>
          <w:color w:val="000000" w:themeColor="text1"/>
          <w:szCs w:val="24"/>
        </w:rPr>
      </w:pPr>
      <w:r w:rsidRPr="007C0D66">
        <w:rPr>
          <w:rFonts w:eastAsia="Times New Roman" w:cs="Tahoma"/>
          <w:szCs w:val="24"/>
          <w:lang w:eastAsia="en-AU"/>
        </w:rPr>
        <w:t>A</w:t>
      </w:r>
      <w:r>
        <w:rPr>
          <w:rFonts w:eastAsia="Times New Roman" w:cs="Tahoma"/>
          <w:szCs w:val="24"/>
          <w:lang w:eastAsia="en-AU"/>
        </w:rPr>
        <w:t xml:space="preserve">CAT completed R-ACFIs </w:t>
      </w:r>
      <w:r w:rsidRPr="007C0D66">
        <w:rPr>
          <w:rFonts w:eastAsia="Times New Roman" w:cs="Tahoma"/>
          <w:szCs w:val="24"/>
          <w:lang w:eastAsia="en-AU"/>
        </w:rPr>
        <w:t xml:space="preserve">will expire </w:t>
      </w:r>
      <w:r>
        <w:rPr>
          <w:rFonts w:eastAsia="Times New Roman" w:cs="Tahoma"/>
          <w:szCs w:val="24"/>
          <w:lang w:eastAsia="en-AU"/>
        </w:rPr>
        <w:t xml:space="preserve">after </w:t>
      </w:r>
      <w:r w:rsidRPr="007C0D66">
        <w:rPr>
          <w:rFonts w:eastAsia="Times New Roman" w:cs="Tahoma"/>
          <w:szCs w:val="24"/>
          <w:lang w:eastAsia="en-AU"/>
        </w:rPr>
        <w:t>3</w:t>
      </w:r>
      <w:r>
        <w:rPr>
          <w:rFonts w:eastAsia="Times New Roman" w:cs="Tahoma"/>
          <w:szCs w:val="24"/>
          <w:lang w:eastAsia="en-AU"/>
        </w:rPr>
        <w:t xml:space="preserve"> </w:t>
      </w:r>
      <w:r w:rsidRPr="007C0D66">
        <w:rPr>
          <w:rFonts w:eastAsia="Times New Roman" w:cs="Tahoma"/>
          <w:szCs w:val="24"/>
          <w:lang w:eastAsia="en-AU"/>
        </w:rPr>
        <w:t>months</w:t>
      </w:r>
      <w:r>
        <w:rPr>
          <w:rFonts w:eastAsia="Times New Roman" w:cs="Tahoma"/>
          <w:szCs w:val="24"/>
          <w:lang w:eastAsia="en-AU"/>
        </w:rPr>
        <w:t xml:space="preserve">. After 3 months has elapsed since the last R-ACFI has been completed, reassessment will be required to update the </w:t>
      </w:r>
      <w:r w:rsidRPr="007C0D66">
        <w:rPr>
          <w:rFonts w:eastAsia="Times New Roman" w:cs="Tahoma"/>
          <w:szCs w:val="24"/>
          <w:lang w:eastAsia="en-AU"/>
        </w:rPr>
        <w:t xml:space="preserve">R-ACFI </w:t>
      </w:r>
      <w:r>
        <w:rPr>
          <w:rFonts w:eastAsia="Times New Roman" w:cs="Tahoma"/>
          <w:szCs w:val="24"/>
          <w:lang w:eastAsia="en-AU"/>
        </w:rPr>
        <w:t xml:space="preserve">to re-confirm eligibility </w:t>
      </w:r>
      <w:r w:rsidRPr="007C0D66">
        <w:rPr>
          <w:rFonts w:eastAsia="Times New Roman" w:cs="Tahoma"/>
          <w:szCs w:val="24"/>
          <w:lang w:eastAsia="en-AU"/>
        </w:rPr>
        <w:t>(i.e. they can be eligible for a Government subsidies place)</w:t>
      </w:r>
      <w:r>
        <w:rPr>
          <w:rFonts w:eastAsia="Times New Roman" w:cs="Tahoma"/>
          <w:szCs w:val="24"/>
          <w:lang w:eastAsia="en-AU"/>
        </w:rPr>
        <w:t>.</w:t>
      </w:r>
    </w:p>
    <w:p w:rsidR="00571656" w:rsidRDefault="00571656" w:rsidP="00151877">
      <w:pPr>
        <w:pStyle w:val="ListParagraph"/>
        <w:numPr>
          <w:ilvl w:val="0"/>
          <w:numId w:val="56"/>
        </w:numPr>
        <w:spacing w:after="0"/>
        <w:ind w:left="360"/>
        <w:rPr>
          <w:szCs w:val="24"/>
        </w:rPr>
      </w:pPr>
      <w:r w:rsidRPr="007C0D66">
        <w:rPr>
          <w:szCs w:val="24"/>
        </w:rPr>
        <w:t xml:space="preserve">The provider will have the R-ACFI funding confirmed on entry via the </w:t>
      </w:r>
      <w:r>
        <w:rPr>
          <w:szCs w:val="24"/>
        </w:rPr>
        <w:t>M</w:t>
      </w:r>
      <w:r w:rsidRPr="007C0D66">
        <w:rPr>
          <w:szCs w:val="24"/>
        </w:rPr>
        <w:t>yAgedCare portal (possibly prior to entry)</w:t>
      </w:r>
      <w:r>
        <w:rPr>
          <w:szCs w:val="24"/>
        </w:rPr>
        <w:t xml:space="preserve">. </w:t>
      </w:r>
      <w:r w:rsidRPr="007C0D66">
        <w:rPr>
          <w:szCs w:val="24"/>
        </w:rPr>
        <w:t xml:space="preserve">This eliminates the funding uncertainty associated </w:t>
      </w:r>
      <w:r>
        <w:rPr>
          <w:szCs w:val="24"/>
        </w:rPr>
        <w:t>with Departmental</w:t>
      </w:r>
      <w:r w:rsidRPr="007C0D66">
        <w:rPr>
          <w:szCs w:val="24"/>
        </w:rPr>
        <w:t xml:space="preserve"> audits and retrospective funding reductions</w:t>
      </w:r>
      <w:r>
        <w:rPr>
          <w:szCs w:val="24"/>
        </w:rPr>
        <w:t>.</w:t>
      </w:r>
    </w:p>
    <w:p w:rsidR="00571656" w:rsidRPr="00E56375" w:rsidRDefault="00571656" w:rsidP="002C331F">
      <w:pPr>
        <w:spacing w:before="200" w:after="0"/>
        <w:rPr>
          <w:rStyle w:val="Strong"/>
        </w:rPr>
      </w:pPr>
      <w:r w:rsidRPr="00E56375">
        <w:rPr>
          <w:rStyle w:val="Strong"/>
        </w:rPr>
        <w:t>Mandatory Re-Appraisal Not Required</w:t>
      </w:r>
    </w:p>
    <w:p w:rsidR="00571656" w:rsidRDefault="00571656" w:rsidP="00151877">
      <w:pPr>
        <w:pStyle w:val="ListParagraph"/>
        <w:numPr>
          <w:ilvl w:val="0"/>
          <w:numId w:val="56"/>
        </w:numPr>
        <w:spacing w:after="0"/>
        <w:ind w:left="360"/>
        <w:rPr>
          <w:szCs w:val="24"/>
        </w:rPr>
      </w:pPr>
      <w:r w:rsidRPr="007C0D66">
        <w:rPr>
          <w:szCs w:val="24"/>
        </w:rPr>
        <w:t>There will be no requirement for the ACAT to re-assess the resident in 6</w:t>
      </w:r>
      <w:r>
        <w:rPr>
          <w:szCs w:val="24"/>
        </w:rPr>
        <w:t xml:space="preserve"> </w:t>
      </w:r>
      <w:r w:rsidRPr="007C0D66">
        <w:rPr>
          <w:szCs w:val="24"/>
        </w:rPr>
        <w:t>months if the resident has come directly from hospital (no mandatory re-appraisal)</w:t>
      </w:r>
      <w:r>
        <w:rPr>
          <w:szCs w:val="24"/>
        </w:rPr>
        <w:t>.</w:t>
      </w:r>
    </w:p>
    <w:p w:rsidR="00571656" w:rsidRPr="00E56375" w:rsidRDefault="00571656" w:rsidP="002C331F">
      <w:pPr>
        <w:spacing w:before="200" w:after="0"/>
        <w:rPr>
          <w:rStyle w:val="Strong"/>
        </w:rPr>
      </w:pPr>
      <w:r w:rsidRPr="00E56375">
        <w:rPr>
          <w:rStyle w:val="Strong"/>
        </w:rPr>
        <w:t>Funding Certainty at Entry to Residential Care</w:t>
      </w:r>
    </w:p>
    <w:p w:rsidR="00980F62" w:rsidRDefault="00571656" w:rsidP="00151877">
      <w:pPr>
        <w:pStyle w:val="ListParagraph"/>
        <w:numPr>
          <w:ilvl w:val="0"/>
          <w:numId w:val="56"/>
        </w:numPr>
        <w:spacing w:after="0"/>
        <w:ind w:left="360"/>
        <w:rPr>
          <w:szCs w:val="24"/>
        </w:rPr>
      </w:pPr>
      <w:r w:rsidRPr="007C0D66">
        <w:rPr>
          <w:szCs w:val="24"/>
        </w:rPr>
        <w:t xml:space="preserve">If </w:t>
      </w:r>
      <w:r>
        <w:rPr>
          <w:szCs w:val="24"/>
        </w:rPr>
        <w:t xml:space="preserve">the </w:t>
      </w:r>
      <w:r w:rsidRPr="007C0D66">
        <w:rPr>
          <w:szCs w:val="24"/>
        </w:rPr>
        <w:t xml:space="preserve">provider accepts the ACAT R-ACFI funding determination, there will be no further </w:t>
      </w:r>
      <w:r>
        <w:rPr>
          <w:szCs w:val="24"/>
        </w:rPr>
        <w:t>Department f</w:t>
      </w:r>
      <w:r w:rsidRPr="007C0D66">
        <w:rPr>
          <w:szCs w:val="24"/>
        </w:rPr>
        <w:t>unding audit of the resident’s funding claim.</w:t>
      </w:r>
    </w:p>
    <w:p w:rsidR="00980F62" w:rsidRDefault="00571656" w:rsidP="002C331F">
      <w:pPr>
        <w:spacing w:before="200" w:after="0"/>
        <w:rPr>
          <w:rStyle w:val="Strong"/>
        </w:rPr>
      </w:pPr>
      <w:r w:rsidRPr="00E56375">
        <w:rPr>
          <w:rStyle w:val="Strong"/>
        </w:rPr>
        <w:t>Provider Contests the ACAT Funding Determination for a New Resident</w:t>
      </w:r>
    </w:p>
    <w:p w:rsidR="00571656" w:rsidRDefault="00571656" w:rsidP="00151877">
      <w:pPr>
        <w:pStyle w:val="ListParagraph"/>
        <w:numPr>
          <w:ilvl w:val="0"/>
          <w:numId w:val="57"/>
        </w:numPr>
      </w:pPr>
      <w:r>
        <w:t>The provider can request a funding assessment re-evaluation by the ACAT if the provider’s R-ACFI is two (2) categories higher than the ACATs determination.</w:t>
      </w:r>
    </w:p>
    <w:p w:rsidR="00571656" w:rsidRPr="000E04D4" w:rsidRDefault="00571656" w:rsidP="00151877">
      <w:pPr>
        <w:pStyle w:val="ListParagraph"/>
        <w:numPr>
          <w:ilvl w:val="0"/>
          <w:numId w:val="57"/>
        </w:numPr>
        <w:spacing w:after="0" w:line="240" w:lineRule="auto"/>
        <w:rPr>
          <w:rFonts w:eastAsia="Times New Roman" w:cs="Tahoma"/>
          <w:szCs w:val="24"/>
          <w:lang w:eastAsia="en-AU"/>
        </w:rPr>
      </w:pPr>
      <w:r w:rsidRPr="000E04D4">
        <w:rPr>
          <w:rFonts w:eastAsia="Times New Roman" w:cs="Tahoma"/>
          <w:szCs w:val="24"/>
          <w:lang w:eastAsia="en-AU"/>
        </w:rPr>
        <w:t xml:space="preserve">The </w:t>
      </w:r>
      <w:r>
        <w:rPr>
          <w:rFonts w:eastAsia="Times New Roman" w:cs="Tahoma"/>
          <w:szCs w:val="24"/>
          <w:lang w:eastAsia="en-AU"/>
        </w:rPr>
        <w:t>p</w:t>
      </w:r>
      <w:r w:rsidRPr="000E04D4">
        <w:rPr>
          <w:rFonts w:eastAsia="Times New Roman" w:cs="Tahoma"/>
          <w:szCs w:val="24"/>
          <w:lang w:eastAsia="en-AU"/>
        </w:rPr>
        <w:t xml:space="preserve">rovider must detail the reasons for the re-evaluation request </w:t>
      </w:r>
      <w:r>
        <w:rPr>
          <w:rFonts w:eastAsia="Times New Roman" w:cs="Tahoma"/>
          <w:szCs w:val="24"/>
          <w:lang w:eastAsia="en-AU"/>
        </w:rPr>
        <w:t xml:space="preserve">and </w:t>
      </w:r>
      <w:r w:rsidRPr="000E04D4">
        <w:rPr>
          <w:rFonts w:eastAsia="Times New Roman" w:cs="Tahoma"/>
          <w:szCs w:val="24"/>
          <w:lang w:eastAsia="en-AU"/>
        </w:rPr>
        <w:t>submit electronically</w:t>
      </w:r>
      <w:r>
        <w:rPr>
          <w:rFonts w:eastAsia="Times New Roman" w:cs="Tahoma"/>
          <w:szCs w:val="24"/>
          <w:lang w:eastAsia="en-AU"/>
        </w:rPr>
        <w:t>.</w:t>
      </w:r>
    </w:p>
    <w:p w:rsidR="00571656" w:rsidRDefault="00571656" w:rsidP="00151877">
      <w:pPr>
        <w:pStyle w:val="ListParagraph"/>
        <w:numPr>
          <w:ilvl w:val="0"/>
          <w:numId w:val="57"/>
        </w:numPr>
      </w:pPr>
      <w:r>
        <w:t>The provider will have one month after the resident’s confirmation of the funding level on MyAgedCare to determine if they will challenge the ACAT determination.</w:t>
      </w:r>
    </w:p>
    <w:p w:rsidR="00980F62" w:rsidRDefault="00571656" w:rsidP="00151877">
      <w:pPr>
        <w:pStyle w:val="ListParagraph"/>
        <w:numPr>
          <w:ilvl w:val="0"/>
          <w:numId w:val="50"/>
        </w:numPr>
      </w:pPr>
      <w:r>
        <w:t>To determine the outcome of contested ACAT assessments, the ACAT will review the provider’s R-ACFI submission by reviewing the clinical records. The ACAT may also request more information, telephone key informants or arrange a resident re-assessment visit by an ACAT team member in circumstances where they need additional information before finalising the re-evaluation.</w:t>
      </w:r>
    </w:p>
    <w:p w:rsidR="00571656" w:rsidRDefault="00571656" w:rsidP="00151877">
      <w:pPr>
        <w:pStyle w:val="ListParagraph"/>
        <w:numPr>
          <w:ilvl w:val="0"/>
          <w:numId w:val="50"/>
        </w:numPr>
      </w:pPr>
      <w:r>
        <w:t>For contested funding determinations, using any method as outlined previously, the ACAT assessor can:</w:t>
      </w:r>
    </w:p>
    <w:p w:rsidR="00571656" w:rsidRDefault="00571656" w:rsidP="00F02312">
      <w:pPr>
        <w:pStyle w:val="ListParagraph"/>
        <w:numPr>
          <w:ilvl w:val="0"/>
          <w:numId w:val="176"/>
        </w:numPr>
        <w:ind w:left="924" w:hanging="357"/>
      </w:pPr>
      <w:r>
        <w:t>confirm their original funding determination</w:t>
      </w:r>
    </w:p>
    <w:p w:rsidR="00571656" w:rsidRDefault="00571656" w:rsidP="00F02312">
      <w:pPr>
        <w:pStyle w:val="ListParagraph"/>
        <w:numPr>
          <w:ilvl w:val="0"/>
          <w:numId w:val="176"/>
        </w:numPr>
        <w:ind w:left="924" w:hanging="357"/>
      </w:pPr>
      <w:r>
        <w:t>increase their initial funding determination</w:t>
      </w:r>
    </w:p>
    <w:p w:rsidR="00571656" w:rsidRDefault="00571656" w:rsidP="00F02312">
      <w:pPr>
        <w:pStyle w:val="ListParagraph"/>
        <w:numPr>
          <w:ilvl w:val="0"/>
          <w:numId w:val="176"/>
        </w:numPr>
        <w:ind w:left="924" w:hanging="357"/>
      </w:pPr>
      <w:r>
        <w:t>decrease the funding determination.</w:t>
      </w:r>
    </w:p>
    <w:p w:rsidR="00571656" w:rsidRDefault="00571656" w:rsidP="00571656">
      <w:r>
        <w:t>Increasing or decreasing the funding determination would be based on the reassessment evaluation and would apply only if they believe the initial determination does not now accurately reflect the usual care needs.</w:t>
      </w:r>
    </w:p>
    <w:p w:rsidR="00E56375" w:rsidRDefault="00571656" w:rsidP="00571656">
      <w:r>
        <w:t>There will be no Department funding audits once the ACAT funding determination is finalised.</w:t>
      </w:r>
    </w:p>
    <w:p w:rsidR="00E56375" w:rsidRDefault="00E56375">
      <w:pPr>
        <w:spacing w:after="200"/>
        <w:jc w:val="left"/>
      </w:pPr>
      <w:r>
        <w:br w:type="page"/>
      </w:r>
    </w:p>
    <w:p w:rsidR="00571656" w:rsidRDefault="00571656" w:rsidP="00CD2081">
      <w:pPr>
        <w:pStyle w:val="Heading4-Chapter1133"/>
      </w:pPr>
      <w:bookmarkStart w:id="756" w:name="_Toc486280173"/>
      <w:bookmarkStart w:id="757" w:name="_Toc486604916"/>
      <w:bookmarkStart w:id="758" w:name="_Toc489386734"/>
      <w:r w:rsidRPr="008D6D2E">
        <w:lastRenderedPageBreak/>
        <w:t>Option 2 Existing Residents - Care Needs Re-appraisals</w:t>
      </w:r>
      <w:bookmarkEnd w:id="756"/>
      <w:bookmarkEnd w:id="757"/>
      <w:bookmarkEnd w:id="758"/>
    </w:p>
    <w:p w:rsidR="00980F62" w:rsidRDefault="00571656" w:rsidP="00571656">
      <w:r w:rsidRPr="00105E82">
        <w:t>There are fewer domain level classification funding changes possible wit</w:t>
      </w:r>
      <w:r>
        <w:t xml:space="preserve">h the R-ACFI (8) </w:t>
      </w:r>
      <w:r w:rsidRPr="00105E82">
        <w:t>compared to the current ACFI</w:t>
      </w:r>
      <w:r>
        <w:t xml:space="preserve"> (9)</w:t>
      </w:r>
      <w:r w:rsidRPr="00105E82">
        <w:t xml:space="preserve"> and fewer funding levels (64 levels v</w:t>
      </w:r>
      <w:r>
        <w:t>ersu</w:t>
      </w:r>
      <w:r w:rsidRPr="00105E82">
        <w:t xml:space="preserve">s </w:t>
      </w:r>
      <w:r>
        <w:t>48</w:t>
      </w:r>
      <w:r w:rsidRPr="00105E82">
        <w:t xml:space="preserve"> levels)</w:t>
      </w:r>
      <w:r>
        <w:t xml:space="preserve">. </w:t>
      </w:r>
      <w:r w:rsidRPr="00105E82">
        <w:t>Th</w:t>
      </w:r>
      <w:r>
        <w:t>e</w:t>
      </w:r>
      <w:r w:rsidRPr="00105E82">
        <w:t xml:space="preserve"> </w:t>
      </w:r>
      <w:r>
        <w:t xml:space="preserve">R-ACFI </w:t>
      </w:r>
      <w:r w:rsidRPr="00105E82">
        <w:t xml:space="preserve">will </w:t>
      </w:r>
      <w:r>
        <w:t xml:space="preserve">result in a </w:t>
      </w:r>
      <w:r w:rsidRPr="00105E82">
        <w:t>more stable funding system, with fewer re-appraisal triggers</w:t>
      </w:r>
      <w:r>
        <w:t>,</w:t>
      </w:r>
      <w:r w:rsidRPr="00105E82">
        <w:t xml:space="preserve"> but still allow for encouragement to support higher care need residents</w:t>
      </w:r>
      <w:r>
        <w:t>. The following will apply:</w:t>
      </w:r>
    </w:p>
    <w:p w:rsidR="00571656" w:rsidRDefault="00571656" w:rsidP="00151877">
      <w:pPr>
        <w:pStyle w:val="ListParagraph"/>
        <w:numPr>
          <w:ilvl w:val="0"/>
          <w:numId w:val="54"/>
        </w:numPr>
        <w:spacing w:after="0"/>
        <w:rPr>
          <w:rFonts w:eastAsia="Times New Roman" w:cs="Tahoma"/>
          <w:szCs w:val="24"/>
          <w:lang w:eastAsia="en-AU"/>
        </w:rPr>
      </w:pPr>
      <w:r>
        <w:rPr>
          <w:rFonts w:eastAsia="Times New Roman" w:cs="Tahoma"/>
          <w:szCs w:val="24"/>
          <w:lang w:eastAsia="en-AU"/>
        </w:rPr>
        <w:t>The provider submits the R-ACFI re-appraisal for funding purposes as per the current payment arrangements</w:t>
      </w:r>
      <w:r w:rsidR="00214AB4">
        <w:rPr>
          <w:rFonts w:eastAsia="Times New Roman" w:cs="Tahoma"/>
          <w:szCs w:val="24"/>
          <w:lang w:eastAsia="en-AU"/>
        </w:rPr>
        <w:t>.</w:t>
      </w:r>
    </w:p>
    <w:p w:rsidR="00571656" w:rsidRDefault="00571656" w:rsidP="00151877">
      <w:pPr>
        <w:pStyle w:val="ListParagraph"/>
        <w:numPr>
          <w:ilvl w:val="0"/>
          <w:numId w:val="58"/>
        </w:numPr>
        <w:ind w:left="360"/>
      </w:pPr>
      <w:r>
        <w:t>The funding review application can be made after 6 months and before 12 months after the most recent appraisal but will need to show a two-category change in the R-ACFI domains to warrant consideration.</w:t>
      </w:r>
    </w:p>
    <w:p w:rsidR="00980F62" w:rsidRDefault="00571656" w:rsidP="00151877">
      <w:pPr>
        <w:pStyle w:val="ListParagraph"/>
        <w:numPr>
          <w:ilvl w:val="0"/>
          <w:numId w:val="58"/>
        </w:numPr>
        <w:ind w:left="360"/>
      </w:pPr>
      <w:r>
        <w:t>The funding review application can be made after 12 months from the previous R-ACFI for a single category change.</w:t>
      </w:r>
    </w:p>
    <w:p w:rsidR="00571656" w:rsidRDefault="00571656" w:rsidP="00151877">
      <w:pPr>
        <w:pStyle w:val="ListParagraph"/>
        <w:numPr>
          <w:ilvl w:val="0"/>
          <w:numId w:val="58"/>
        </w:numPr>
        <w:ind w:left="360"/>
      </w:pPr>
      <w:r>
        <w:t>Provider re-appraisal submissions will need all R-ACFI domains to be re-submitted</w:t>
      </w:r>
    </w:p>
    <w:p w:rsidR="00571656" w:rsidRPr="00FA7BEA" w:rsidRDefault="00571656" w:rsidP="00151877">
      <w:pPr>
        <w:pStyle w:val="ListParagraph"/>
        <w:numPr>
          <w:ilvl w:val="0"/>
          <w:numId w:val="58"/>
        </w:numPr>
        <w:ind w:left="360"/>
      </w:pPr>
      <w:r>
        <w:t>The same payment rules for current re-appraisals will apply</w:t>
      </w:r>
      <w:r w:rsidR="00214AB4">
        <w:t>.</w:t>
      </w:r>
    </w:p>
    <w:p w:rsidR="00571656" w:rsidRPr="00E56375" w:rsidRDefault="00571656" w:rsidP="002C331F">
      <w:pPr>
        <w:spacing w:before="200" w:after="0"/>
        <w:rPr>
          <w:rStyle w:val="Strong"/>
        </w:rPr>
      </w:pPr>
      <w:r w:rsidRPr="00E56375">
        <w:rPr>
          <w:rStyle w:val="Strong"/>
        </w:rPr>
        <w:t>How will the ACAT Assess the Care Needs Review Application?</w:t>
      </w:r>
    </w:p>
    <w:p w:rsidR="00980F62" w:rsidRDefault="00571656" w:rsidP="00571656">
      <w:r w:rsidRPr="00956EBB">
        <w:t xml:space="preserve">To determine the outcome of re-appraisal, the ACAT will use various methods to determine the accuracy of the </w:t>
      </w:r>
      <w:r>
        <w:t>provider’</w:t>
      </w:r>
      <w:r w:rsidRPr="00956EBB">
        <w:t>s re-appraisal submission</w:t>
      </w:r>
      <w:r>
        <w:t>.</w:t>
      </w:r>
    </w:p>
    <w:p w:rsidR="00571656" w:rsidRDefault="00571656" w:rsidP="00151877">
      <w:pPr>
        <w:pStyle w:val="ListParagraph"/>
        <w:numPr>
          <w:ilvl w:val="0"/>
          <w:numId w:val="54"/>
        </w:numPr>
        <w:spacing w:after="0"/>
      </w:pPr>
      <w:r>
        <w:t>Data analytics</w:t>
      </w:r>
      <w:r w:rsidRPr="006873B4">
        <w:t xml:space="preserve"> wi</w:t>
      </w:r>
      <w:r>
        <w:t>ll</w:t>
      </w:r>
      <w:r w:rsidRPr="006873B4">
        <w:t xml:space="preserve"> be used to identify unusual provider R-ACFI profiles and to assess if diagnoses and basic claim requirements are provided</w:t>
      </w:r>
      <w:r>
        <w:t>.</w:t>
      </w:r>
    </w:p>
    <w:p w:rsidR="00571656" w:rsidRDefault="00571656" w:rsidP="00151877">
      <w:pPr>
        <w:pStyle w:val="ListParagraph"/>
        <w:numPr>
          <w:ilvl w:val="0"/>
          <w:numId w:val="54"/>
        </w:numPr>
      </w:pPr>
      <w:r>
        <w:t>T</w:t>
      </w:r>
      <w:r w:rsidRPr="00105E82">
        <w:t xml:space="preserve">he </w:t>
      </w:r>
      <w:r>
        <w:t xml:space="preserve">ACAT assessor </w:t>
      </w:r>
      <w:r w:rsidRPr="00105E82">
        <w:t xml:space="preserve">will </w:t>
      </w:r>
      <w:r>
        <w:t>conduct:</w:t>
      </w:r>
    </w:p>
    <w:p w:rsidR="00571656" w:rsidRDefault="00571656" w:rsidP="00F02312">
      <w:pPr>
        <w:pStyle w:val="ListParagraph"/>
        <w:numPr>
          <w:ilvl w:val="0"/>
          <w:numId w:val="176"/>
        </w:numPr>
        <w:ind w:left="924" w:hanging="357"/>
      </w:pPr>
      <w:r>
        <w:t>A review of the submitted R-ACFI and assessments (</w:t>
      </w:r>
      <w:r w:rsidRPr="00BB011E">
        <w:t>R-ACFI, NSAF, e-Health Record information, CMA</w:t>
      </w:r>
      <w:r>
        <w:t>)</w:t>
      </w:r>
    </w:p>
    <w:p w:rsidR="00571656" w:rsidRDefault="00571656" w:rsidP="00F02312">
      <w:pPr>
        <w:pStyle w:val="ListParagraph"/>
        <w:numPr>
          <w:ilvl w:val="0"/>
          <w:numId w:val="176"/>
        </w:numPr>
        <w:ind w:left="924" w:hanging="357"/>
      </w:pPr>
      <w:r>
        <w:t xml:space="preserve">Additional </w:t>
      </w:r>
      <w:r w:rsidRPr="00105E82">
        <w:t>information</w:t>
      </w:r>
      <w:r>
        <w:t xml:space="preserve"> requests and discussion with the provider assessor</w:t>
      </w:r>
    </w:p>
    <w:p w:rsidR="00571656" w:rsidRDefault="00571656" w:rsidP="00F02312">
      <w:pPr>
        <w:pStyle w:val="ListParagraph"/>
        <w:numPr>
          <w:ilvl w:val="0"/>
          <w:numId w:val="176"/>
        </w:numPr>
        <w:ind w:left="924" w:hanging="357"/>
      </w:pPr>
      <w:r>
        <w:t>T</w:t>
      </w:r>
      <w:r w:rsidRPr="00105E82">
        <w:t xml:space="preserve">elephone </w:t>
      </w:r>
      <w:r>
        <w:t xml:space="preserve">discussions with </w:t>
      </w:r>
      <w:r w:rsidRPr="00105E82">
        <w:t xml:space="preserve">key informants </w:t>
      </w:r>
      <w:r>
        <w:t>such as GPs, AHPs</w:t>
      </w:r>
    </w:p>
    <w:p w:rsidR="00571656" w:rsidRPr="00135407" w:rsidRDefault="00571656" w:rsidP="00151877">
      <w:pPr>
        <w:pStyle w:val="ListParagraph"/>
        <w:numPr>
          <w:ilvl w:val="0"/>
          <w:numId w:val="54"/>
        </w:numPr>
        <w:spacing w:after="0"/>
        <w:rPr>
          <w:rFonts w:eastAsia="Times New Roman" w:cs="Tahoma"/>
          <w:szCs w:val="24"/>
          <w:lang w:eastAsia="en-AU"/>
        </w:rPr>
      </w:pPr>
      <w:r>
        <w:rPr>
          <w:rFonts w:eastAsia="Times New Roman" w:cs="Tahoma"/>
          <w:szCs w:val="24"/>
          <w:lang w:eastAsia="en-AU"/>
        </w:rPr>
        <w:t>T</w:t>
      </w:r>
      <w:r w:rsidRPr="008A79F4">
        <w:rPr>
          <w:rFonts w:eastAsia="Times New Roman" w:cs="Tahoma"/>
          <w:szCs w:val="24"/>
          <w:lang w:eastAsia="en-AU"/>
        </w:rPr>
        <w:t xml:space="preserve">he </w:t>
      </w:r>
      <w:r>
        <w:t xml:space="preserve">ACAT assessor </w:t>
      </w:r>
      <w:r w:rsidRPr="008A79F4">
        <w:rPr>
          <w:rFonts w:eastAsia="Times New Roman" w:cs="Tahoma"/>
          <w:szCs w:val="24"/>
          <w:lang w:eastAsia="en-AU"/>
        </w:rPr>
        <w:t>may visit the facility to conduct a care needs assessment (not based on</w:t>
      </w:r>
      <w:r>
        <w:rPr>
          <w:rFonts w:eastAsia="Times New Roman" w:cs="Tahoma"/>
          <w:szCs w:val="24"/>
          <w:lang w:eastAsia="en-AU"/>
        </w:rPr>
        <w:t>,</w:t>
      </w:r>
      <w:r w:rsidRPr="008A79F4">
        <w:rPr>
          <w:rFonts w:eastAsia="Times New Roman" w:cs="Tahoma"/>
          <w:szCs w:val="24"/>
          <w:lang w:eastAsia="en-AU"/>
        </w:rPr>
        <w:t xml:space="preserve"> but informed by facility assessments) of the R-ACFI</w:t>
      </w:r>
      <w:r>
        <w:rPr>
          <w:rFonts w:eastAsia="Times New Roman" w:cs="Tahoma"/>
          <w:szCs w:val="24"/>
          <w:lang w:eastAsia="en-AU"/>
        </w:rPr>
        <w:t>.</w:t>
      </w:r>
      <w:r w:rsidR="007A576E">
        <w:rPr>
          <w:rFonts w:eastAsia="Times New Roman" w:cs="Tahoma"/>
          <w:szCs w:val="24"/>
          <w:lang w:eastAsia="en-AU"/>
        </w:rPr>
        <w:t xml:space="preserve"> </w:t>
      </w:r>
      <w:r>
        <w:t>Around 25 to 50</w:t>
      </w:r>
      <w:r w:rsidR="0065091B">
        <w:t xml:space="preserve"> per cent</w:t>
      </w:r>
      <w:r>
        <w:t xml:space="preserve"> of re-assessments will require a facility visit to directly assess the resident</w:t>
      </w:r>
      <w:r w:rsidR="00214AB4">
        <w:t>.</w:t>
      </w:r>
    </w:p>
    <w:p w:rsidR="00571656" w:rsidRPr="00135407" w:rsidRDefault="00571656" w:rsidP="00151877">
      <w:pPr>
        <w:pStyle w:val="ListParagraph"/>
        <w:numPr>
          <w:ilvl w:val="0"/>
          <w:numId w:val="54"/>
        </w:numPr>
        <w:spacing w:after="0"/>
      </w:pPr>
      <w:r w:rsidRPr="00135407">
        <w:t xml:space="preserve">The appraisal period used by the </w:t>
      </w:r>
      <w:r>
        <w:t xml:space="preserve">ACAT assessor </w:t>
      </w:r>
      <w:r w:rsidRPr="00135407">
        <w:t xml:space="preserve">to determine usual care needs will be </w:t>
      </w:r>
      <w:r>
        <w:t>the</w:t>
      </w:r>
      <w:r w:rsidRPr="00135407">
        <w:t xml:space="preserve"> </w:t>
      </w:r>
      <w:r w:rsidRPr="0008597C">
        <w:t>previous two weeks and the resident’s current status</w:t>
      </w:r>
      <w:r>
        <w:t>.</w:t>
      </w:r>
    </w:p>
    <w:p w:rsidR="00571656" w:rsidRDefault="00571656" w:rsidP="00151877">
      <w:pPr>
        <w:pStyle w:val="ListParagraph"/>
        <w:numPr>
          <w:ilvl w:val="0"/>
          <w:numId w:val="54"/>
        </w:numPr>
      </w:pPr>
      <w:r>
        <w:t>There will be no Department funding audits once ACAT assessor’s funding determination is finalised.</w:t>
      </w:r>
    </w:p>
    <w:p w:rsidR="00980F62" w:rsidRDefault="00571656" w:rsidP="002C331F">
      <w:pPr>
        <w:spacing w:before="200" w:after="0"/>
        <w:rPr>
          <w:rStyle w:val="Strong"/>
        </w:rPr>
      </w:pPr>
      <w:r w:rsidRPr="00E56375">
        <w:rPr>
          <w:rStyle w:val="Strong"/>
        </w:rPr>
        <w:t>Time-Frame for funding re-appraisal reviews</w:t>
      </w:r>
    </w:p>
    <w:p w:rsidR="00980F62" w:rsidRDefault="00571656" w:rsidP="00151877">
      <w:pPr>
        <w:pStyle w:val="ListParagraph"/>
        <w:numPr>
          <w:ilvl w:val="0"/>
          <w:numId w:val="52"/>
        </w:numPr>
      </w:pPr>
      <w:r w:rsidRPr="00174A07">
        <w:t>The ACAT will need to have concluded the re-appraisal funding review within 12 months of the accepted Medicare received date although most all will be completed within a 3</w:t>
      </w:r>
      <w:r w:rsidR="00CF0F2D">
        <w:t> </w:t>
      </w:r>
      <w:r w:rsidRPr="00174A07">
        <w:t>to 6</w:t>
      </w:r>
      <w:r>
        <w:t>-</w:t>
      </w:r>
      <w:r w:rsidRPr="00174A07">
        <w:t>month period after the R-ACFI submission</w:t>
      </w:r>
      <w:r w:rsidR="00214AB4">
        <w:t>.</w:t>
      </w:r>
    </w:p>
    <w:p w:rsidR="00D05BD3" w:rsidRPr="00215C62" w:rsidRDefault="00571656" w:rsidP="00571656">
      <w:pPr>
        <w:sectPr w:rsidR="00D05BD3" w:rsidRPr="00215C62" w:rsidSect="00A51750">
          <w:headerReference w:type="even" r:id="rId125"/>
          <w:headerReference w:type="default" r:id="rId126"/>
          <w:footerReference w:type="even" r:id="rId127"/>
          <w:footerReference w:type="default" r:id="rId128"/>
          <w:headerReference w:type="first" r:id="rId129"/>
          <w:pgSz w:w="11906" w:h="16838"/>
          <w:pgMar w:top="1440" w:right="1440" w:bottom="1440" w:left="1440" w:header="706" w:footer="706" w:gutter="0"/>
          <w:cols w:space="708"/>
          <w:docGrid w:linePitch="360"/>
        </w:sectPr>
      </w:pPr>
      <w:r>
        <w:rPr>
          <w:rFonts w:eastAsiaTheme="majorEastAsia" w:cstheme="minorHAnsi"/>
          <w:b/>
          <w:color w:val="1F3763" w:themeColor="accent1" w:themeShade="7F"/>
          <w:sz w:val="28"/>
          <w:szCs w:val="28"/>
        </w:rPr>
        <w:br w:type="page"/>
      </w:r>
    </w:p>
    <w:p w:rsidR="00CC0633" w:rsidRDefault="00CC21FA" w:rsidP="00CC0633">
      <w:pPr>
        <w:pStyle w:val="Caption"/>
        <w:keepNext/>
      </w:pPr>
      <w:bookmarkStart w:id="759" w:name="_Toc495416866"/>
      <w:bookmarkStart w:id="760" w:name="Tab1106"/>
      <w:r>
        <w:lastRenderedPageBreak/>
        <w:t>Table 11.</w:t>
      </w:r>
      <w:r w:rsidR="009A3F5A">
        <w:fldChar w:fldCharType="begin"/>
      </w:r>
      <w:r w:rsidR="009A3F5A">
        <w:instrText xml:space="preserve"> SEQ Table_11. \* ARABIC </w:instrText>
      </w:r>
      <w:r w:rsidR="009A3F5A">
        <w:fldChar w:fldCharType="separate"/>
      </w:r>
      <w:r w:rsidR="00856E49">
        <w:rPr>
          <w:noProof/>
        </w:rPr>
        <w:t>6</w:t>
      </w:r>
      <w:r w:rsidR="009A3F5A">
        <w:rPr>
          <w:noProof/>
        </w:rPr>
        <w:fldChar w:fldCharType="end"/>
      </w:r>
      <w:r>
        <w:t xml:space="preserve">: </w:t>
      </w:r>
      <w:r w:rsidRPr="00CC21FA">
        <w:t>Option 2: New Resident Funding Determination - ACAT External Assessor Process</w:t>
      </w:r>
      <w:bookmarkEnd w:id="759"/>
    </w:p>
    <w:tbl>
      <w:tblPr>
        <w:tblW w:w="14034"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1E0" w:firstRow="1" w:lastRow="1" w:firstColumn="1" w:lastColumn="1" w:noHBand="0" w:noVBand="0"/>
        <w:tblDescription w:val="Table 11.6 is a list of determinations for new residential funding under Option 2. This table is to be read left to right, top to bottom."/>
      </w:tblPr>
      <w:tblGrid>
        <w:gridCol w:w="1885"/>
        <w:gridCol w:w="3785"/>
        <w:gridCol w:w="3828"/>
        <w:gridCol w:w="4536"/>
      </w:tblGrid>
      <w:tr w:rsidR="00571656" w:rsidRPr="003837B9" w:rsidTr="007A66FB">
        <w:tc>
          <w:tcPr>
            <w:tcW w:w="1885" w:type="dxa"/>
            <w:shd w:val="clear" w:color="auto" w:fill="5B9BD5" w:themeFill="accent5"/>
            <w:vAlign w:val="center"/>
          </w:tcPr>
          <w:bookmarkEnd w:id="760"/>
          <w:p w:rsidR="00571656" w:rsidRPr="003837B9" w:rsidRDefault="00571656" w:rsidP="007A66FB">
            <w:pPr>
              <w:spacing w:before="60" w:after="60" w:line="240" w:lineRule="auto"/>
              <w:jc w:val="left"/>
              <w:rPr>
                <w:rFonts w:eastAsia="Times New Roman" w:cs="Tahoma"/>
                <w:b/>
                <w:color w:val="FFFFFF" w:themeColor="background1"/>
                <w:sz w:val="22"/>
                <w:lang w:eastAsia="en-AU"/>
              </w:rPr>
            </w:pPr>
            <w:r w:rsidRPr="003837B9">
              <w:rPr>
                <w:rFonts w:eastAsia="Times New Roman" w:cs="Tahoma"/>
                <w:b/>
                <w:color w:val="FFFFFF" w:themeColor="background1"/>
                <w:sz w:val="22"/>
                <w:lang w:eastAsia="en-AU"/>
              </w:rPr>
              <w:t>Situation</w:t>
            </w:r>
          </w:p>
        </w:tc>
        <w:tc>
          <w:tcPr>
            <w:tcW w:w="3785" w:type="dxa"/>
            <w:shd w:val="clear" w:color="auto" w:fill="5B9BD5" w:themeFill="accent5"/>
            <w:vAlign w:val="center"/>
          </w:tcPr>
          <w:p w:rsidR="00571656" w:rsidRPr="003837B9" w:rsidRDefault="00571656" w:rsidP="007A66FB">
            <w:pPr>
              <w:spacing w:before="60" w:after="60" w:line="240" w:lineRule="auto"/>
              <w:jc w:val="center"/>
              <w:rPr>
                <w:rFonts w:eastAsia="Times New Roman" w:cs="Tahoma"/>
                <w:b/>
                <w:color w:val="FFFFFF" w:themeColor="background1"/>
                <w:sz w:val="22"/>
                <w:lang w:eastAsia="en-AU"/>
              </w:rPr>
            </w:pPr>
            <w:r w:rsidRPr="003837B9">
              <w:rPr>
                <w:rFonts w:eastAsia="Times New Roman" w:cs="Tahoma"/>
                <w:b/>
                <w:color w:val="FFFFFF" w:themeColor="background1"/>
                <w:sz w:val="22"/>
                <w:lang w:eastAsia="en-AU"/>
              </w:rPr>
              <w:t>ACAT</w:t>
            </w:r>
          </w:p>
        </w:tc>
        <w:tc>
          <w:tcPr>
            <w:tcW w:w="3828" w:type="dxa"/>
            <w:shd w:val="clear" w:color="auto" w:fill="5B9BD5" w:themeFill="accent5"/>
            <w:vAlign w:val="center"/>
          </w:tcPr>
          <w:p w:rsidR="00571656" w:rsidRPr="003837B9" w:rsidRDefault="00571656" w:rsidP="007A66FB">
            <w:pPr>
              <w:spacing w:before="60" w:after="60" w:line="240" w:lineRule="auto"/>
              <w:jc w:val="center"/>
              <w:rPr>
                <w:rFonts w:eastAsia="Times New Roman" w:cs="Tahoma"/>
                <w:b/>
                <w:color w:val="FFFFFF" w:themeColor="background1"/>
                <w:sz w:val="22"/>
                <w:lang w:eastAsia="en-AU"/>
              </w:rPr>
            </w:pPr>
            <w:r w:rsidRPr="003837B9">
              <w:rPr>
                <w:rFonts w:eastAsia="Times New Roman" w:cs="Tahoma"/>
                <w:b/>
                <w:color w:val="FFFFFF" w:themeColor="background1"/>
                <w:sz w:val="22"/>
                <w:lang w:eastAsia="en-AU"/>
              </w:rPr>
              <w:t>Provider</w:t>
            </w:r>
          </w:p>
        </w:tc>
        <w:tc>
          <w:tcPr>
            <w:tcW w:w="4536" w:type="dxa"/>
            <w:shd w:val="clear" w:color="auto" w:fill="5B9BD5" w:themeFill="accent5"/>
            <w:vAlign w:val="center"/>
          </w:tcPr>
          <w:p w:rsidR="00571656" w:rsidRPr="003837B9" w:rsidRDefault="00571656" w:rsidP="007A66FB">
            <w:pPr>
              <w:spacing w:before="60" w:after="60" w:line="240" w:lineRule="auto"/>
              <w:jc w:val="center"/>
              <w:rPr>
                <w:rFonts w:eastAsia="Times New Roman" w:cs="Tahoma"/>
                <w:b/>
                <w:color w:val="FFFFFF" w:themeColor="background1"/>
                <w:sz w:val="22"/>
                <w:lang w:eastAsia="en-AU"/>
              </w:rPr>
            </w:pPr>
            <w:r w:rsidRPr="003837B9">
              <w:rPr>
                <w:rFonts w:eastAsia="Times New Roman" w:cs="Tahoma"/>
                <w:b/>
                <w:color w:val="FFFFFF" w:themeColor="background1"/>
                <w:sz w:val="22"/>
                <w:lang w:eastAsia="en-AU"/>
              </w:rPr>
              <w:t>R-ACFI Contested ACAT Funding Reviews</w:t>
            </w:r>
          </w:p>
        </w:tc>
      </w:tr>
      <w:tr w:rsidR="00571656" w:rsidRPr="00CC15A6" w:rsidTr="007A66FB">
        <w:tc>
          <w:tcPr>
            <w:tcW w:w="1885" w:type="dxa"/>
            <w:shd w:val="clear" w:color="auto" w:fill="auto"/>
          </w:tcPr>
          <w:p w:rsidR="00571656" w:rsidRPr="00B101E2" w:rsidRDefault="00571656" w:rsidP="006B374E">
            <w:pPr>
              <w:spacing w:line="240" w:lineRule="auto"/>
              <w:jc w:val="left"/>
              <w:rPr>
                <w:rFonts w:eastAsia="Times New Roman" w:cs="Tahoma"/>
                <w:b/>
                <w:sz w:val="22"/>
                <w:lang w:eastAsia="en-AU"/>
              </w:rPr>
            </w:pPr>
            <w:r w:rsidRPr="00B101E2">
              <w:rPr>
                <w:rFonts w:eastAsia="Times New Roman" w:cs="Tahoma"/>
                <w:b/>
                <w:sz w:val="22"/>
                <w:lang w:eastAsia="en-AU"/>
              </w:rPr>
              <w:t>Client living in Community (e.g. home, hospital, other supported accommodation)</w:t>
            </w:r>
          </w:p>
          <w:p w:rsidR="00571656" w:rsidRPr="00B101E2" w:rsidRDefault="00571656" w:rsidP="006B374E">
            <w:pPr>
              <w:spacing w:line="240" w:lineRule="auto"/>
              <w:jc w:val="left"/>
              <w:rPr>
                <w:rFonts w:eastAsia="Times New Roman" w:cs="Tahoma"/>
                <w:b/>
                <w:sz w:val="22"/>
                <w:lang w:eastAsia="en-AU"/>
              </w:rPr>
            </w:pPr>
            <w:r w:rsidRPr="00B101E2">
              <w:rPr>
                <w:rFonts w:eastAsia="Times New Roman" w:cs="Tahoma"/>
                <w:b/>
                <w:sz w:val="22"/>
                <w:lang w:eastAsia="en-AU"/>
              </w:rPr>
              <w:t>Client ha</w:t>
            </w:r>
            <w:r>
              <w:rPr>
                <w:rFonts w:eastAsia="Times New Roman" w:cs="Tahoma"/>
                <w:b/>
                <w:sz w:val="22"/>
                <w:lang w:eastAsia="en-AU"/>
              </w:rPr>
              <w:t>s</w:t>
            </w:r>
            <w:r w:rsidRPr="00B101E2">
              <w:rPr>
                <w:rFonts w:eastAsia="Times New Roman" w:cs="Tahoma"/>
                <w:b/>
                <w:sz w:val="22"/>
                <w:lang w:eastAsia="en-AU"/>
              </w:rPr>
              <w:t xml:space="preserve"> a pre-entry R-ACFI</w:t>
            </w:r>
          </w:p>
          <w:p w:rsidR="00571656" w:rsidRPr="00B101E2" w:rsidRDefault="00571656" w:rsidP="006B374E">
            <w:pPr>
              <w:spacing w:line="240" w:lineRule="auto"/>
              <w:jc w:val="left"/>
              <w:rPr>
                <w:rFonts w:eastAsia="Times New Roman" w:cs="Tahoma"/>
                <w:b/>
                <w:sz w:val="22"/>
                <w:lang w:eastAsia="en-AU"/>
              </w:rPr>
            </w:pPr>
            <w:r w:rsidRPr="00B101E2">
              <w:rPr>
                <w:rFonts w:eastAsia="Times New Roman" w:cs="Tahoma"/>
                <w:b/>
                <w:sz w:val="22"/>
                <w:lang w:eastAsia="en-AU"/>
              </w:rPr>
              <w:t>Client coming directly from hospital not subject to mandatory re-appraisal</w:t>
            </w:r>
          </w:p>
        </w:tc>
        <w:tc>
          <w:tcPr>
            <w:tcW w:w="3785" w:type="dxa"/>
          </w:tcPr>
          <w:p w:rsidR="00980F62" w:rsidRDefault="00571656" w:rsidP="006B374E">
            <w:pPr>
              <w:spacing w:line="240" w:lineRule="auto"/>
              <w:jc w:val="left"/>
              <w:rPr>
                <w:rFonts w:eastAsia="Times New Roman" w:cs="Tahoma"/>
                <w:sz w:val="22"/>
                <w:lang w:eastAsia="en-AU"/>
              </w:rPr>
            </w:pPr>
            <w:r w:rsidRPr="00B101E2">
              <w:rPr>
                <w:rFonts w:eastAsia="Times New Roman" w:cs="Tahoma"/>
                <w:sz w:val="22"/>
                <w:lang w:eastAsia="en-AU"/>
              </w:rPr>
              <w:t xml:space="preserve">ACAT </w:t>
            </w:r>
            <w:r>
              <w:rPr>
                <w:rFonts w:eastAsia="Times New Roman" w:cs="Tahoma"/>
                <w:sz w:val="22"/>
                <w:lang w:eastAsia="en-AU"/>
              </w:rPr>
              <w:t>c</w:t>
            </w:r>
            <w:r w:rsidRPr="00B101E2">
              <w:rPr>
                <w:rFonts w:eastAsia="Times New Roman" w:cs="Tahoma"/>
                <w:sz w:val="22"/>
                <w:lang w:eastAsia="en-AU"/>
              </w:rPr>
              <w:t>ompletes R-ACFI assessments as a part of usual activ</w:t>
            </w:r>
            <w:r>
              <w:rPr>
                <w:rFonts w:eastAsia="Times New Roman" w:cs="Tahoma"/>
                <w:sz w:val="22"/>
                <w:lang w:eastAsia="en-AU"/>
              </w:rPr>
              <w:t>ities</w:t>
            </w:r>
          </w:p>
          <w:p w:rsidR="00571656" w:rsidRPr="00B101E2" w:rsidRDefault="00571656" w:rsidP="006B374E">
            <w:pPr>
              <w:spacing w:line="240" w:lineRule="auto"/>
              <w:jc w:val="left"/>
              <w:rPr>
                <w:rFonts w:eastAsia="Times New Roman" w:cs="Tahoma"/>
                <w:sz w:val="22"/>
                <w:lang w:eastAsia="en-AU"/>
              </w:rPr>
            </w:pPr>
            <w:r w:rsidRPr="00B101E2">
              <w:rPr>
                <w:rFonts w:eastAsia="Times New Roman" w:cs="Tahoma"/>
                <w:sz w:val="22"/>
                <w:lang w:eastAsia="en-AU"/>
              </w:rPr>
              <w:t xml:space="preserve">Clients eligibility for residential care will </w:t>
            </w:r>
            <w:r>
              <w:rPr>
                <w:rFonts w:eastAsia="Times New Roman" w:cs="Tahoma"/>
                <w:sz w:val="22"/>
                <w:lang w:eastAsia="en-AU"/>
              </w:rPr>
              <w:t>lapse</w:t>
            </w:r>
            <w:r w:rsidRPr="00B101E2">
              <w:rPr>
                <w:rFonts w:eastAsia="Times New Roman" w:cs="Tahoma"/>
                <w:sz w:val="22"/>
                <w:lang w:eastAsia="en-AU"/>
              </w:rPr>
              <w:t xml:space="preserve"> 3</w:t>
            </w:r>
            <w:r>
              <w:rPr>
                <w:rFonts w:eastAsia="Times New Roman" w:cs="Tahoma"/>
                <w:sz w:val="22"/>
                <w:lang w:eastAsia="en-AU"/>
              </w:rPr>
              <w:t xml:space="preserve"> </w:t>
            </w:r>
            <w:r w:rsidRPr="00B101E2">
              <w:rPr>
                <w:rFonts w:eastAsia="Times New Roman" w:cs="Tahoma"/>
                <w:sz w:val="22"/>
                <w:lang w:eastAsia="en-AU"/>
              </w:rPr>
              <w:t>months post R-ACFI completion</w:t>
            </w:r>
          </w:p>
          <w:p w:rsidR="00571656" w:rsidRPr="00B101E2" w:rsidRDefault="00571656" w:rsidP="006B374E">
            <w:pPr>
              <w:spacing w:line="240" w:lineRule="auto"/>
              <w:jc w:val="left"/>
              <w:rPr>
                <w:rFonts w:eastAsia="Times New Roman" w:cs="Tahoma"/>
                <w:sz w:val="22"/>
                <w:lang w:eastAsia="en-AU"/>
              </w:rPr>
            </w:pPr>
            <w:r w:rsidRPr="00B101E2">
              <w:rPr>
                <w:rFonts w:eastAsia="Times New Roman" w:cs="Tahoma"/>
                <w:sz w:val="22"/>
                <w:lang w:eastAsia="en-AU"/>
              </w:rPr>
              <w:t>Clients wishing to enter residential care will need to have their R-ACFI updated before eligibility is re-confirmed (i.e. they can be eligible for a Government subsidi</w:t>
            </w:r>
            <w:r>
              <w:rPr>
                <w:rFonts w:eastAsia="Times New Roman" w:cs="Tahoma"/>
                <w:sz w:val="22"/>
                <w:lang w:eastAsia="en-AU"/>
              </w:rPr>
              <w:t>sed</w:t>
            </w:r>
            <w:r w:rsidR="006B374E">
              <w:rPr>
                <w:rFonts w:eastAsia="Times New Roman" w:cs="Tahoma"/>
                <w:sz w:val="22"/>
                <w:lang w:eastAsia="en-AU"/>
              </w:rPr>
              <w:t xml:space="preserve"> place)</w:t>
            </w:r>
          </w:p>
        </w:tc>
        <w:tc>
          <w:tcPr>
            <w:tcW w:w="3828" w:type="dxa"/>
          </w:tcPr>
          <w:p w:rsidR="00571656" w:rsidRPr="00B101E2" w:rsidRDefault="00571656" w:rsidP="006B374E">
            <w:pPr>
              <w:spacing w:line="240" w:lineRule="auto"/>
              <w:jc w:val="left"/>
              <w:rPr>
                <w:rFonts w:eastAsia="Times New Roman" w:cs="Tahoma"/>
                <w:sz w:val="22"/>
                <w:lang w:eastAsia="en-AU"/>
              </w:rPr>
            </w:pPr>
            <w:r w:rsidRPr="00B101E2">
              <w:rPr>
                <w:rFonts w:eastAsia="Times New Roman" w:cs="Tahoma"/>
                <w:sz w:val="22"/>
                <w:lang w:eastAsia="en-AU"/>
              </w:rPr>
              <w:t>Provider aware of R-ACFI funding already approved pre-entry</w:t>
            </w:r>
            <w:r>
              <w:rPr>
                <w:rFonts w:eastAsia="Times New Roman" w:cs="Tahoma"/>
                <w:sz w:val="22"/>
                <w:lang w:eastAsia="en-AU"/>
              </w:rPr>
              <w:t xml:space="preserve">. </w:t>
            </w:r>
            <w:r w:rsidRPr="00B101E2">
              <w:rPr>
                <w:rFonts w:eastAsia="Times New Roman" w:cs="Tahoma"/>
                <w:sz w:val="22"/>
                <w:lang w:eastAsia="en-AU"/>
              </w:rPr>
              <w:t>This gives predictability and ensures the person is placed in the most appropriate environment</w:t>
            </w:r>
          </w:p>
          <w:p w:rsidR="00980F62" w:rsidRDefault="00571656" w:rsidP="006B374E">
            <w:pPr>
              <w:spacing w:line="240" w:lineRule="auto"/>
              <w:jc w:val="left"/>
              <w:rPr>
                <w:rFonts w:eastAsia="Times New Roman" w:cs="Tahoma"/>
                <w:sz w:val="22"/>
                <w:lang w:eastAsia="en-AU"/>
              </w:rPr>
            </w:pPr>
            <w:r w:rsidRPr="00B101E2">
              <w:rPr>
                <w:rFonts w:eastAsia="Times New Roman" w:cs="Tahoma"/>
                <w:sz w:val="22"/>
                <w:lang w:eastAsia="en-AU"/>
              </w:rPr>
              <w:t>Full R-ACFI funding payable immediately on admission (no DR period)</w:t>
            </w:r>
          </w:p>
          <w:p w:rsidR="00571656" w:rsidRPr="00B101E2" w:rsidRDefault="00571656" w:rsidP="006B374E">
            <w:pPr>
              <w:spacing w:line="240" w:lineRule="auto"/>
              <w:jc w:val="left"/>
              <w:rPr>
                <w:rFonts w:eastAsia="Times New Roman" w:cs="Tahoma"/>
                <w:sz w:val="22"/>
                <w:lang w:eastAsia="en-AU"/>
              </w:rPr>
            </w:pPr>
            <w:r w:rsidRPr="00B101E2">
              <w:rPr>
                <w:rFonts w:eastAsia="Times New Roman" w:cs="Tahoma"/>
                <w:sz w:val="22"/>
                <w:lang w:eastAsia="en-AU"/>
              </w:rPr>
              <w:t xml:space="preserve">Provider must complete R-ACFI for assessment, </w:t>
            </w:r>
            <w:r>
              <w:rPr>
                <w:rFonts w:eastAsia="Times New Roman" w:cs="Tahoma"/>
                <w:sz w:val="22"/>
                <w:lang w:eastAsia="en-AU"/>
              </w:rPr>
              <w:t>minimum data set (</w:t>
            </w:r>
            <w:r w:rsidRPr="00B101E2">
              <w:rPr>
                <w:rFonts w:eastAsia="Times New Roman" w:cs="Tahoma"/>
                <w:sz w:val="22"/>
                <w:lang w:eastAsia="en-AU"/>
              </w:rPr>
              <w:t>MDS</w:t>
            </w:r>
            <w:r>
              <w:rPr>
                <w:rFonts w:eastAsia="Times New Roman" w:cs="Tahoma"/>
                <w:sz w:val="22"/>
                <w:lang w:eastAsia="en-AU"/>
              </w:rPr>
              <w:t xml:space="preserve">) and </w:t>
            </w:r>
            <w:r w:rsidRPr="00B101E2">
              <w:rPr>
                <w:rFonts w:eastAsia="Times New Roman" w:cs="Tahoma"/>
                <w:sz w:val="22"/>
                <w:lang w:eastAsia="en-AU"/>
              </w:rPr>
              <w:t xml:space="preserve">submit to </w:t>
            </w:r>
            <w:r>
              <w:rPr>
                <w:rFonts w:eastAsia="Times New Roman" w:cs="Tahoma"/>
                <w:sz w:val="22"/>
                <w:lang w:eastAsia="en-AU"/>
              </w:rPr>
              <w:t>the Department</w:t>
            </w:r>
          </w:p>
        </w:tc>
        <w:tc>
          <w:tcPr>
            <w:tcW w:w="4536" w:type="dxa"/>
          </w:tcPr>
          <w:p w:rsidR="00571656" w:rsidRPr="00B101E2" w:rsidRDefault="00571656" w:rsidP="006B374E">
            <w:pPr>
              <w:spacing w:line="240" w:lineRule="auto"/>
              <w:jc w:val="left"/>
              <w:rPr>
                <w:rFonts w:eastAsia="Times New Roman" w:cs="Tahoma"/>
                <w:sz w:val="22"/>
                <w:lang w:eastAsia="en-AU"/>
              </w:rPr>
            </w:pPr>
            <w:r w:rsidRPr="00B101E2">
              <w:rPr>
                <w:rFonts w:eastAsia="Times New Roman" w:cs="Tahoma"/>
                <w:sz w:val="22"/>
                <w:lang w:eastAsia="en-AU"/>
              </w:rPr>
              <w:t xml:space="preserve">The provider can </w:t>
            </w:r>
            <w:r>
              <w:rPr>
                <w:rFonts w:eastAsia="Times New Roman" w:cs="Tahoma"/>
                <w:sz w:val="22"/>
                <w:lang w:eastAsia="en-AU"/>
              </w:rPr>
              <w:t xml:space="preserve">choose to </w:t>
            </w:r>
            <w:r w:rsidRPr="00B101E2">
              <w:rPr>
                <w:rFonts w:eastAsia="Times New Roman" w:cs="Tahoma"/>
                <w:sz w:val="22"/>
                <w:lang w:eastAsia="en-AU"/>
              </w:rPr>
              <w:t xml:space="preserve">contest the pre-admission </w:t>
            </w:r>
            <w:r>
              <w:rPr>
                <w:rFonts w:eastAsia="Times New Roman" w:cs="Tahoma"/>
                <w:sz w:val="22"/>
                <w:lang w:eastAsia="en-AU"/>
              </w:rPr>
              <w:t xml:space="preserve">ACAT completed </w:t>
            </w:r>
            <w:r w:rsidRPr="00B101E2">
              <w:rPr>
                <w:rFonts w:eastAsia="Times New Roman" w:cs="Tahoma"/>
                <w:sz w:val="22"/>
                <w:lang w:eastAsia="en-AU"/>
              </w:rPr>
              <w:t xml:space="preserve">R-ACFI if </w:t>
            </w:r>
            <w:r>
              <w:rPr>
                <w:rFonts w:eastAsia="Times New Roman" w:cs="Tahoma"/>
                <w:sz w:val="22"/>
                <w:lang w:eastAsia="en-AU"/>
              </w:rPr>
              <w:t xml:space="preserve">their R-ACFI is two categories </w:t>
            </w:r>
            <w:r w:rsidRPr="00B101E2">
              <w:rPr>
                <w:rFonts w:eastAsia="Times New Roman" w:cs="Tahoma"/>
                <w:sz w:val="22"/>
                <w:lang w:eastAsia="en-AU"/>
              </w:rPr>
              <w:t xml:space="preserve">higher than </w:t>
            </w:r>
            <w:r>
              <w:rPr>
                <w:rFonts w:eastAsia="Times New Roman" w:cs="Tahoma"/>
                <w:sz w:val="22"/>
                <w:lang w:eastAsia="en-AU"/>
              </w:rPr>
              <w:t xml:space="preserve">the </w:t>
            </w:r>
            <w:r w:rsidRPr="00B101E2">
              <w:rPr>
                <w:rFonts w:eastAsia="Times New Roman" w:cs="Tahoma"/>
                <w:sz w:val="22"/>
                <w:lang w:eastAsia="en-AU"/>
              </w:rPr>
              <w:t>ACAT R-ACFI</w:t>
            </w:r>
            <w:r>
              <w:rPr>
                <w:rFonts w:eastAsia="Times New Roman" w:cs="Tahoma"/>
                <w:sz w:val="22"/>
                <w:lang w:eastAsia="en-AU"/>
              </w:rPr>
              <w:t>. A</w:t>
            </w:r>
            <w:r w:rsidRPr="00B101E2">
              <w:rPr>
                <w:rFonts w:eastAsia="Times New Roman" w:cs="Tahoma"/>
                <w:sz w:val="22"/>
                <w:lang w:eastAsia="en-AU"/>
              </w:rPr>
              <w:t xml:space="preserve"> three-level approach </w:t>
            </w:r>
            <w:r>
              <w:rPr>
                <w:rFonts w:eastAsia="Times New Roman" w:cs="Tahoma"/>
                <w:sz w:val="22"/>
                <w:lang w:eastAsia="en-AU"/>
              </w:rPr>
              <w:t>will be used to review the ACAT assessment.</w:t>
            </w:r>
          </w:p>
          <w:p w:rsidR="00571656" w:rsidRPr="006B374E" w:rsidRDefault="00571656" w:rsidP="00F02312">
            <w:pPr>
              <w:pStyle w:val="ListParagraph"/>
              <w:numPr>
                <w:ilvl w:val="0"/>
                <w:numId w:val="174"/>
              </w:numPr>
              <w:spacing w:line="240" w:lineRule="auto"/>
              <w:ind w:left="284" w:hanging="284"/>
              <w:jc w:val="left"/>
              <w:rPr>
                <w:rFonts w:eastAsia="Times New Roman" w:cs="Tahoma"/>
                <w:sz w:val="22"/>
                <w:lang w:eastAsia="en-AU"/>
              </w:rPr>
            </w:pPr>
            <w:r w:rsidRPr="006B374E">
              <w:rPr>
                <w:rFonts w:eastAsia="Times New Roman" w:cs="Tahoma"/>
                <w:sz w:val="22"/>
                <w:lang w:eastAsia="en-AU"/>
              </w:rPr>
              <w:t>The provider details the reasons for the re-evaluation request and submits electronically</w:t>
            </w:r>
          </w:p>
          <w:p w:rsidR="00571656" w:rsidRPr="006B374E" w:rsidRDefault="00571656" w:rsidP="00F02312">
            <w:pPr>
              <w:pStyle w:val="ListParagraph"/>
              <w:numPr>
                <w:ilvl w:val="0"/>
                <w:numId w:val="174"/>
              </w:numPr>
              <w:spacing w:line="240" w:lineRule="auto"/>
              <w:ind w:left="284" w:hanging="284"/>
              <w:jc w:val="left"/>
              <w:rPr>
                <w:rFonts w:eastAsia="Times New Roman" w:cs="Tahoma"/>
                <w:sz w:val="22"/>
                <w:lang w:eastAsia="en-AU"/>
              </w:rPr>
            </w:pPr>
            <w:r w:rsidRPr="006B374E">
              <w:rPr>
                <w:rFonts w:eastAsia="Times New Roman" w:cs="Tahoma"/>
                <w:sz w:val="22"/>
                <w:lang w:eastAsia="en-AU"/>
              </w:rPr>
              <w:t>A desktop review of the provider R-ACFI and assessments including:</w:t>
            </w:r>
          </w:p>
          <w:p w:rsidR="00571656" w:rsidRPr="006B374E" w:rsidRDefault="00571656" w:rsidP="00F02312">
            <w:pPr>
              <w:pStyle w:val="ListParagraph"/>
              <w:numPr>
                <w:ilvl w:val="0"/>
                <w:numId w:val="175"/>
              </w:numPr>
              <w:spacing w:line="240" w:lineRule="auto"/>
              <w:ind w:left="714" w:hanging="357"/>
              <w:jc w:val="left"/>
              <w:rPr>
                <w:rFonts w:eastAsia="Times New Roman" w:cs="Tahoma"/>
                <w:sz w:val="22"/>
                <w:lang w:eastAsia="en-AU"/>
              </w:rPr>
            </w:pPr>
            <w:r w:rsidRPr="006B374E">
              <w:rPr>
                <w:rFonts w:eastAsia="Times New Roman" w:cs="Tahoma"/>
                <w:sz w:val="22"/>
                <w:lang w:eastAsia="en-AU"/>
              </w:rPr>
              <w:t>Review of the available e-Health record and/or CMA</w:t>
            </w:r>
          </w:p>
          <w:p w:rsidR="00571656" w:rsidRPr="006B374E" w:rsidRDefault="00571656" w:rsidP="00F02312">
            <w:pPr>
              <w:pStyle w:val="ListParagraph"/>
              <w:numPr>
                <w:ilvl w:val="0"/>
                <w:numId w:val="175"/>
              </w:numPr>
              <w:spacing w:line="240" w:lineRule="auto"/>
              <w:ind w:left="714" w:hanging="357"/>
              <w:jc w:val="left"/>
              <w:rPr>
                <w:rFonts w:eastAsia="Times New Roman" w:cs="Tahoma"/>
                <w:sz w:val="22"/>
                <w:lang w:eastAsia="en-AU"/>
              </w:rPr>
            </w:pPr>
            <w:r w:rsidRPr="006B374E">
              <w:rPr>
                <w:rFonts w:eastAsia="Times New Roman" w:cs="Tahoma"/>
                <w:sz w:val="22"/>
                <w:lang w:eastAsia="en-AU"/>
              </w:rPr>
              <w:t>Requests for more information</w:t>
            </w:r>
          </w:p>
          <w:p w:rsidR="00571656" w:rsidRPr="006B374E" w:rsidRDefault="00571656" w:rsidP="00F02312">
            <w:pPr>
              <w:pStyle w:val="ListParagraph"/>
              <w:numPr>
                <w:ilvl w:val="0"/>
                <w:numId w:val="175"/>
              </w:numPr>
              <w:spacing w:line="240" w:lineRule="auto"/>
              <w:ind w:left="714" w:hanging="357"/>
              <w:jc w:val="left"/>
              <w:rPr>
                <w:rFonts w:eastAsia="Times New Roman" w:cs="Tahoma"/>
                <w:sz w:val="22"/>
                <w:lang w:eastAsia="en-AU"/>
              </w:rPr>
            </w:pPr>
            <w:r w:rsidRPr="006B374E">
              <w:rPr>
                <w:rFonts w:eastAsia="Times New Roman" w:cs="Tahoma"/>
                <w:sz w:val="22"/>
                <w:lang w:eastAsia="en-AU"/>
              </w:rPr>
              <w:t>Discussion with the provider assessor</w:t>
            </w:r>
          </w:p>
          <w:p w:rsidR="00571656" w:rsidRPr="006B374E" w:rsidRDefault="00571656" w:rsidP="00F02312">
            <w:pPr>
              <w:pStyle w:val="ListParagraph"/>
              <w:numPr>
                <w:ilvl w:val="0"/>
                <w:numId w:val="175"/>
              </w:numPr>
              <w:spacing w:line="240" w:lineRule="auto"/>
              <w:ind w:left="714" w:hanging="357"/>
              <w:jc w:val="left"/>
              <w:rPr>
                <w:rFonts w:eastAsia="Times New Roman" w:cs="Tahoma"/>
                <w:sz w:val="22"/>
                <w:lang w:eastAsia="en-AU"/>
              </w:rPr>
            </w:pPr>
            <w:r w:rsidRPr="006B374E">
              <w:rPr>
                <w:rFonts w:eastAsia="Times New Roman" w:cs="Tahoma"/>
                <w:sz w:val="22"/>
                <w:lang w:eastAsia="en-AU"/>
              </w:rPr>
              <w:t>-Telephone discussions with key informants such as GPs and AHPs</w:t>
            </w:r>
          </w:p>
          <w:p w:rsidR="00571656" w:rsidRDefault="00571656" w:rsidP="00F02312">
            <w:pPr>
              <w:pStyle w:val="ListParagraph"/>
              <w:numPr>
                <w:ilvl w:val="0"/>
                <w:numId w:val="174"/>
              </w:numPr>
              <w:spacing w:line="240" w:lineRule="auto"/>
              <w:ind w:left="284" w:hanging="284"/>
              <w:jc w:val="left"/>
              <w:rPr>
                <w:rFonts w:eastAsia="Times New Roman" w:cs="Tahoma"/>
                <w:sz w:val="22"/>
                <w:lang w:eastAsia="en-AU"/>
              </w:rPr>
            </w:pPr>
            <w:r>
              <w:rPr>
                <w:rFonts w:eastAsia="Times New Roman" w:cs="Tahoma"/>
                <w:sz w:val="22"/>
                <w:lang w:eastAsia="en-AU"/>
              </w:rPr>
              <w:t>Site v</w:t>
            </w:r>
            <w:r w:rsidRPr="004A22D9">
              <w:rPr>
                <w:rFonts w:eastAsia="Times New Roman" w:cs="Tahoma"/>
                <w:sz w:val="22"/>
                <w:lang w:eastAsia="en-AU"/>
              </w:rPr>
              <w:t>isit t</w:t>
            </w:r>
            <w:r>
              <w:rPr>
                <w:rFonts w:eastAsia="Times New Roman" w:cs="Tahoma"/>
                <w:sz w:val="22"/>
                <w:lang w:eastAsia="en-AU"/>
              </w:rPr>
              <w:t>o</w:t>
            </w:r>
            <w:r w:rsidRPr="004A22D9">
              <w:rPr>
                <w:rFonts w:eastAsia="Times New Roman" w:cs="Tahoma"/>
                <w:sz w:val="22"/>
                <w:lang w:eastAsia="en-AU"/>
              </w:rPr>
              <w:t xml:space="preserve"> facility to con</w:t>
            </w:r>
            <w:r>
              <w:rPr>
                <w:rFonts w:eastAsia="Times New Roman" w:cs="Tahoma"/>
                <w:sz w:val="22"/>
                <w:lang w:eastAsia="en-AU"/>
              </w:rPr>
              <w:t>duct a re-assessment</w:t>
            </w:r>
          </w:p>
          <w:p w:rsidR="00571656" w:rsidRDefault="00571656" w:rsidP="006B374E">
            <w:pPr>
              <w:spacing w:line="240" w:lineRule="auto"/>
              <w:jc w:val="left"/>
              <w:rPr>
                <w:rFonts w:eastAsia="Times New Roman" w:cs="Tahoma"/>
                <w:sz w:val="22"/>
                <w:lang w:eastAsia="en-AU"/>
              </w:rPr>
            </w:pPr>
            <w:r>
              <w:rPr>
                <w:rFonts w:eastAsia="Times New Roman" w:cs="Tahoma"/>
                <w:sz w:val="22"/>
                <w:lang w:eastAsia="en-AU"/>
              </w:rPr>
              <w:t xml:space="preserve">In the medium to longer term (e.g. 5 years) an e-audit can be used to conduct </w:t>
            </w:r>
            <w:r w:rsidRPr="004A22D9">
              <w:rPr>
                <w:sz w:val="22"/>
              </w:rPr>
              <w:t xml:space="preserve">a detailed </w:t>
            </w:r>
            <w:r>
              <w:rPr>
                <w:sz w:val="22"/>
              </w:rPr>
              <w:t>review</w:t>
            </w:r>
            <w:r w:rsidRPr="004A22D9">
              <w:rPr>
                <w:sz w:val="22"/>
              </w:rPr>
              <w:t xml:space="preserve"> of the R-ACFI, including reviewing </w:t>
            </w:r>
            <w:r>
              <w:rPr>
                <w:sz w:val="22"/>
              </w:rPr>
              <w:t>supporting documentation.</w:t>
            </w:r>
          </w:p>
          <w:p w:rsidR="00980F62" w:rsidRDefault="00571656" w:rsidP="006B374E">
            <w:pPr>
              <w:spacing w:line="240" w:lineRule="auto"/>
              <w:jc w:val="left"/>
              <w:rPr>
                <w:rFonts w:eastAsia="Times New Roman" w:cs="Tahoma"/>
                <w:sz w:val="22"/>
                <w:lang w:eastAsia="en-AU"/>
              </w:rPr>
            </w:pPr>
            <w:r w:rsidRPr="00B101E2">
              <w:rPr>
                <w:rFonts w:eastAsia="Times New Roman" w:cs="Tahoma"/>
                <w:sz w:val="22"/>
                <w:lang w:eastAsia="en-AU"/>
              </w:rPr>
              <w:t>Contest Review Outcomes:</w:t>
            </w:r>
          </w:p>
          <w:p w:rsidR="00571656" w:rsidRPr="00B101E2" w:rsidRDefault="00571656" w:rsidP="006B374E">
            <w:pPr>
              <w:spacing w:line="240" w:lineRule="auto"/>
              <w:jc w:val="left"/>
              <w:rPr>
                <w:rFonts w:eastAsia="Times New Roman" w:cs="Tahoma"/>
                <w:sz w:val="22"/>
                <w:lang w:eastAsia="en-AU"/>
              </w:rPr>
            </w:pPr>
            <w:r w:rsidRPr="00B101E2">
              <w:rPr>
                <w:rFonts w:eastAsia="Times New Roman" w:cs="Tahoma"/>
                <w:sz w:val="22"/>
                <w:lang w:eastAsia="en-AU"/>
              </w:rPr>
              <w:t xml:space="preserve">- </w:t>
            </w:r>
            <w:r w:rsidRPr="009A5227">
              <w:rPr>
                <w:rFonts w:eastAsia="Times New Roman" w:cs="Tahoma"/>
                <w:sz w:val="22"/>
                <w:lang w:eastAsia="en-AU"/>
              </w:rPr>
              <w:t>no change</w:t>
            </w:r>
            <w:r>
              <w:rPr>
                <w:rFonts w:eastAsia="Times New Roman" w:cs="Tahoma"/>
                <w:sz w:val="22"/>
                <w:lang w:eastAsia="en-AU"/>
              </w:rPr>
              <w:t xml:space="preserve">, increase or decrease </w:t>
            </w:r>
            <w:r w:rsidRPr="009A5227">
              <w:rPr>
                <w:rFonts w:eastAsia="Times New Roman" w:cs="Tahoma"/>
                <w:sz w:val="22"/>
                <w:lang w:eastAsia="en-AU"/>
              </w:rPr>
              <w:t>to pre-entry funding estimate</w:t>
            </w:r>
          </w:p>
        </w:tc>
      </w:tr>
    </w:tbl>
    <w:p w:rsidR="00523C03" w:rsidRDefault="00523C03">
      <w:pPr>
        <w:spacing w:after="200"/>
        <w:rPr>
          <w:rFonts w:ascii="Calibri" w:hAnsi="Calibri" w:cs="Times New Roman"/>
          <w:b/>
          <w:iCs/>
          <w:szCs w:val="18"/>
        </w:rPr>
      </w:pPr>
      <w:bookmarkStart w:id="761" w:name="_Toc489443201"/>
      <w:bookmarkStart w:id="762" w:name="_Toc489811602"/>
      <w:bookmarkStart w:id="763" w:name="_Toc489812871"/>
      <w:r>
        <w:br w:type="page"/>
      </w:r>
    </w:p>
    <w:p w:rsidR="00CC0633" w:rsidRDefault="00CC21FA" w:rsidP="00CC0633">
      <w:pPr>
        <w:pStyle w:val="Caption"/>
        <w:keepNext/>
      </w:pPr>
      <w:bookmarkStart w:id="764" w:name="_Toc495416867"/>
      <w:bookmarkStart w:id="765" w:name="Tab1107"/>
      <w:bookmarkEnd w:id="761"/>
      <w:bookmarkEnd w:id="762"/>
      <w:bookmarkEnd w:id="763"/>
      <w:r>
        <w:lastRenderedPageBreak/>
        <w:t>Table 11.</w:t>
      </w:r>
      <w:r w:rsidR="009A3F5A">
        <w:fldChar w:fldCharType="begin"/>
      </w:r>
      <w:r w:rsidR="009A3F5A">
        <w:instrText xml:space="preserve"> SEQ Table_11. \* ARABIC </w:instrText>
      </w:r>
      <w:r w:rsidR="009A3F5A">
        <w:fldChar w:fldCharType="separate"/>
      </w:r>
      <w:r w:rsidR="00856E49">
        <w:rPr>
          <w:noProof/>
        </w:rPr>
        <w:t>7</w:t>
      </w:r>
      <w:r w:rsidR="009A3F5A">
        <w:rPr>
          <w:noProof/>
        </w:rPr>
        <w:fldChar w:fldCharType="end"/>
      </w:r>
      <w:r>
        <w:t xml:space="preserve">: </w:t>
      </w:r>
      <w:r w:rsidRPr="00CC21FA">
        <w:t>Option 2: Provider Re-Appraisal Application Review – ACAT External Assessor Process</w:t>
      </w:r>
      <w:bookmarkEnd w:id="764"/>
    </w:p>
    <w:tbl>
      <w:tblPr>
        <w:tblW w:w="14106"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1E0" w:firstRow="1" w:lastRow="1" w:firstColumn="1" w:lastColumn="1" w:noHBand="0" w:noVBand="0"/>
        <w:tblDescription w:val="Table 11.7 is a list of details of the reappraisal process for providers and the aged care assessment teams (ACATs) under Option 2. This table is to be read left to right, top to bottom."/>
      </w:tblPr>
      <w:tblGrid>
        <w:gridCol w:w="1885"/>
        <w:gridCol w:w="3785"/>
        <w:gridCol w:w="4678"/>
        <w:gridCol w:w="3758"/>
      </w:tblGrid>
      <w:tr w:rsidR="00571656" w:rsidRPr="003837B9" w:rsidTr="007A66FB">
        <w:tc>
          <w:tcPr>
            <w:tcW w:w="1885" w:type="dxa"/>
            <w:shd w:val="clear" w:color="auto" w:fill="5B9BD5" w:themeFill="accent5"/>
            <w:vAlign w:val="center"/>
          </w:tcPr>
          <w:bookmarkEnd w:id="765"/>
          <w:p w:rsidR="00571656" w:rsidRPr="003837B9" w:rsidRDefault="00571656" w:rsidP="007A66FB">
            <w:pPr>
              <w:spacing w:before="60" w:after="60" w:line="240" w:lineRule="auto"/>
              <w:jc w:val="left"/>
              <w:rPr>
                <w:rFonts w:eastAsia="Times New Roman" w:cs="Tahoma"/>
                <w:b/>
                <w:color w:val="FFFFFF" w:themeColor="background1"/>
                <w:sz w:val="22"/>
                <w:lang w:eastAsia="en-AU"/>
              </w:rPr>
            </w:pPr>
            <w:r w:rsidRPr="003837B9">
              <w:rPr>
                <w:rFonts w:eastAsia="Times New Roman" w:cs="Tahoma"/>
                <w:b/>
                <w:color w:val="FFFFFF" w:themeColor="background1"/>
                <w:sz w:val="22"/>
                <w:lang w:eastAsia="en-AU"/>
              </w:rPr>
              <w:t>Situation</w:t>
            </w:r>
          </w:p>
        </w:tc>
        <w:tc>
          <w:tcPr>
            <w:tcW w:w="3785" w:type="dxa"/>
            <w:shd w:val="clear" w:color="auto" w:fill="5B9BD5" w:themeFill="accent5"/>
            <w:vAlign w:val="center"/>
          </w:tcPr>
          <w:p w:rsidR="00571656" w:rsidRPr="003837B9" w:rsidRDefault="00571656" w:rsidP="007A66FB">
            <w:pPr>
              <w:spacing w:before="60" w:after="60" w:line="240" w:lineRule="auto"/>
              <w:jc w:val="center"/>
              <w:rPr>
                <w:rFonts w:eastAsia="Times New Roman" w:cs="Tahoma"/>
                <w:b/>
                <w:color w:val="FFFFFF" w:themeColor="background1"/>
                <w:sz w:val="22"/>
                <w:lang w:eastAsia="en-AU"/>
              </w:rPr>
            </w:pPr>
            <w:r w:rsidRPr="003837B9">
              <w:rPr>
                <w:rFonts w:eastAsia="Times New Roman" w:cs="Tahoma"/>
                <w:b/>
                <w:color w:val="FFFFFF" w:themeColor="background1"/>
                <w:sz w:val="22"/>
                <w:lang w:eastAsia="en-AU"/>
              </w:rPr>
              <w:t>Provider</w:t>
            </w:r>
          </w:p>
        </w:tc>
        <w:tc>
          <w:tcPr>
            <w:tcW w:w="4678" w:type="dxa"/>
            <w:shd w:val="clear" w:color="auto" w:fill="5B9BD5" w:themeFill="accent5"/>
            <w:vAlign w:val="center"/>
          </w:tcPr>
          <w:p w:rsidR="00571656" w:rsidRPr="003837B9" w:rsidRDefault="00571656" w:rsidP="007A66FB">
            <w:pPr>
              <w:spacing w:before="60" w:after="60" w:line="240" w:lineRule="auto"/>
              <w:jc w:val="center"/>
              <w:rPr>
                <w:rFonts w:eastAsia="Times New Roman" w:cs="Tahoma"/>
                <w:b/>
                <w:color w:val="FFFFFF" w:themeColor="background1"/>
                <w:sz w:val="22"/>
                <w:lang w:eastAsia="en-AU"/>
              </w:rPr>
            </w:pPr>
            <w:r w:rsidRPr="003837B9">
              <w:rPr>
                <w:rFonts w:eastAsia="Times New Roman" w:cs="Tahoma"/>
                <w:b/>
                <w:color w:val="FFFFFF" w:themeColor="background1"/>
                <w:sz w:val="22"/>
                <w:lang w:eastAsia="en-AU"/>
              </w:rPr>
              <w:t>ACAT</w:t>
            </w:r>
          </w:p>
        </w:tc>
        <w:tc>
          <w:tcPr>
            <w:tcW w:w="3758" w:type="dxa"/>
            <w:shd w:val="clear" w:color="auto" w:fill="5B9BD5" w:themeFill="accent5"/>
            <w:vAlign w:val="center"/>
          </w:tcPr>
          <w:p w:rsidR="00571656" w:rsidRPr="003837B9" w:rsidRDefault="00571656" w:rsidP="007A66FB">
            <w:pPr>
              <w:spacing w:before="60" w:after="60" w:line="240" w:lineRule="auto"/>
              <w:jc w:val="center"/>
              <w:rPr>
                <w:rFonts w:eastAsia="Times New Roman" w:cs="Tahoma"/>
                <w:b/>
                <w:color w:val="FFFFFF" w:themeColor="background1"/>
                <w:sz w:val="22"/>
                <w:lang w:eastAsia="en-AU"/>
              </w:rPr>
            </w:pPr>
            <w:r w:rsidRPr="003837B9">
              <w:rPr>
                <w:rFonts w:eastAsia="Times New Roman" w:cs="Tahoma"/>
                <w:b/>
                <w:color w:val="FFFFFF" w:themeColor="background1"/>
                <w:sz w:val="22"/>
                <w:lang w:eastAsia="en-AU"/>
              </w:rPr>
              <w:t>R-ACFI Contested Funding Reviews</w:t>
            </w:r>
          </w:p>
        </w:tc>
      </w:tr>
      <w:tr w:rsidR="00571656" w:rsidRPr="00CC15A6" w:rsidTr="007A66FB">
        <w:tc>
          <w:tcPr>
            <w:tcW w:w="1885" w:type="dxa"/>
            <w:shd w:val="clear" w:color="auto" w:fill="auto"/>
          </w:tcPr>
          <w:p w:rsidR="00571656" w:rsidRPr="009A5227" w:rsidRDefault="00571656" w:rsidP="006B374E">
            <w:pPr>
              <w:spacing w:line="240" w:lineRule="auto"/>
              <w:jc w:val="left"/>
              <w:rPr>
                <w:rFonts w:eastAsia="Times New Roman" w:cs="Tahoma"/>
                <w:b/>
                <w:sz w:val="22"/>
                <w:lang w:eastAsia="en-AU"/>
              </w:rPr>
            </w:pPr>
            <w:r w:rsidRPr="009A5227">
              <w:rPr>
                <w:rFonts w:eastAsia="Times New Roman" w:cs="Tahoma"/>
                <w:b/>
                <w:sz w:val="22"/>
                <w:lang w:eastAsia="en-AU"/>
              </w:rPr>
              <w:t xml:space="preserve">Resident has two category R-ACFI change within 12 months </w:t>
            </w:r>
            <w:r>
              <w:rPr>
                <w:rFonts w:eastAsia="Times New Roman" w:cs="Tahoma"/>
                <w:b/>
                <w:sz w:val="22"/>
                <w:lang w:eastAsia="en-AU"/>
              </w:rPr>
              <w:t>of</w:t>
            </w:r>
            <w:r w:rsidRPr="009A5227">
              <w:rPr>
                <w:rFonts w:eastAsia="Times New Roman" w:cs="Tahoma"/>
                <w:b/>
                <w:sz w:val="22"/>
                <w:lang w:eastAsia="en-AU"/>
              </w:rPr>
              <w:t xml:space="preserve"> previous funding determination</w:t>
            </w:r>
          </w:p>
          <w:p w:rsidR="00980F62" w:rsidRDefault="00571656" w:rsidP="006B374E">
            <w:pPr>
              <w:spacing w:line="240" w:lineRule="auto"/>
              <w:jc w:val="left"/>
              <w:rPr>
                <w:rFonts w:eastAsia="Times New Roman" w:cs="Tahoma"/>
                <w:sz w:val="22"/>
                <w:lang w:eastAsia="en-AU"/>
              </w:rPr>
            </w:pPr>
            <w:r w:rsidRPr="00CF0F2D">
              <w:rPr>
                <w:rFonts w:eastAsia="Times New Roman" w:cs="Tahoma"/>
                <w:sz w:val="22"/>
                <w:lang w:eastAsia="en-AU"/>
              </w:rPr>
              <w:t>OR</w:t>
            </w:r>
          </w:p>
          <w:p w:rsidR="00571656" w:rsidRPr="009A5227" w:rsidRDefault="00571656" w:rsidP="006B374E">
            <w:pPr>
              <w:spacing w:line="240" w:lineRule="auto"/>
              <w:jc w:val="left"/>
              <w:rPr>
                <w:rFonts w:eastAsia="Times New Roman" w:cs="Tahoma"/>
                <w:b/>
                <w:sz w:val="22"/>
                <w:lang w:eastAsia="en-AU"/>
              </w:rPr>
            </w:pPr>
            <w:r w:rsidRPr="009A5227">
              <w:rPr>
                <w:rFonts w:eastAsia="Times New Roman" w:cs="Tahoma"/>
                <w:b/>
                <w:sz w:val="22"/>
                <w:lang w:eastAsia="en-AU"/>
              </w:rPr>
              <w:t>Resident has one category R-ACFI change 12 months after previous funding determination</w:t>
            </w:r>
          </w:p>
        </w:tc>
        <w:tc>
          <w:tcPr>
            <w:tcW w:w="3785" w:type="dxa"/>
          </w:tcPr>
          <w:p w:rsidR="00571656" w:rsidRPr="009A5227" w:rsidRDefault="00571656" w:rsidP="006B374E">
            <w:pPr>
              <w:spacing w:line="240" w:lineRule="auto"/>
              <w:jc w:val="left"/>
              <w:rPr>
                <w:rFonts w:eastAsia="Times New Roman" w:cs="Tahoma"/>
                <w:sz w:val="22"/>
                <w:lang w:eastAsia="en-AU"/>
              </w:rPr>
            </w:pPr>
            <w:r w:rsidRPr="009A5227">
              <w:rPr>
                <w:rFonts w:eastAsia="Times New Roman" w:cs="Tahoma"/>
                <w:sz w:val="22"/>
                <w:lang w:eastAsia="en-AU"/>
              </w:rPr>
              <w:t>Provider precipitates funding review request with R-ACFI re-appraisal submission</w:t>
            </w:r>
          </w:p>
          <w:p w:rsidR="00571656" w:rsidRPr="009A5227" w:rsidRDefault="00571656" w:rsidP="006B374E">
            <w:pPr>
              <w:spacing w:line="240" w:lineRule="auto"/>
              <w:jc w:val="left"/>
              <w:rPr>
                <w:rFonts w:eastAsia="Times New Roman" w:cs="Tahoma"/>
                <w:sz w:val="22"/>
                <w:lang w:eastAsia="en-AU"/>
              </w:rPr>
            </w:pPr>
            <w:r>
              <w:rPr>
                <w:rFonts w:eastAsia="Times New Roman" w:cs="Tahoma"/>
                <w:sz w:val="22"/>
                <w:lang w:eastAsia="en-AU"/>
              </w:rPr>
              <w:t xml:space="preserve">Full R-ACFI funding </w:t>
            </w:r>
            <w:r w:rsidRPr="004A22D9">
              <w:rPr>
                <w:rFonts w:eastAsia="Times New Roman" w:cs="Tahoma"/>
                <w:sz w:val="22"/>
                <w:lang w:eastAsia="en-AU"/>
              </w:rPr>
              <w:t xml:space="preserve">payable </w:t>
            </w:r>
            <w:r>
              <w:rPr>
                <w:rFonts w:eastAsia="Times New Roman" w:cs="Tahoma"/>
                <w:sz w:val="22"/>
                <w:lang w:eastAsia="en-AU"/>
              </w:rPr>
              <w:t>on R-ACFI submission as per current payment rules</w:t>
            </w:r>
          </w:p>
        </w:tc>
        <w:tc>
          <w:tcPr>
            <w:tcW w:w="4678" w:type="dxa"/>
          </w:tcPr>
          <w:p w:rsidR="00571656" w:rsidRDefault="00571656" w:rsidP="006B374E">
            <w:pPr>
              <w:spacing w:line="240" w:lineRule="auto"/>
              <w:jc w:val="left"/>
              <w:rPr>
                <w:rFonts w:eastAsia="Times New Roman" w:cs="Tahoma"/>
                <w:sz w:val="22"/>
                <w:lang w:eastAsia="en-AU"/>
              </w:rPr>
            </w:pPr>
            <w:r w:rsidRPr="009A5227">
              <w:rPr>
                <w:rFonts w:eastAsia="Times New Roman" w:cs="Tahoma"/>
                <w:sz w:val="22"/>
                <w:lang w:eastAsia="en-AU"/>
              </w:rPr>
              <w:t xml:space="preserve">ACAT uses a three-level approach to review the </w:t>
            </w:r>
            <w:r>
              <w:rPr>
                <w:rFonts w:eastAsia="Times New Roman" w:cs="Tahoma"/>
                <w:sz w:val="22"/>
                <w:lang w:eastAsia="en-AU"/>
              </w:rPr>
              <w:t>re-appraisal</w:t>
            </w:r>
            <w:r w:rsidRPr="009A5227">
              <w:rPr>
                <w:rFonts w:eastAsia="Times New Roman" w:cs="Tahoma"/>
                <w:sz w:val="22"/>
                <w:lang w:eastAsia="en-AU"/>
              </w:rPr>
              <w:t xml:space="preserve"> submission</w:t>
            </w:r>
            <w:r>
              <w:rPr>
                <w:rFonts w:eastAsia="Times New Roman" w:cs="Tahoma"/>
                <w:sz w:val="22"/>
                <w:lang w:eastAsia="en-AU"/>
              </w:rPr>
              <w:t xml:space="preserve"> comprising:</w:t>
            </w:r>
          </w:p>
          <w:p w:rsidR="00571656" w:rsidRPr="006B374E" w:rsidRDefault="00571656" w:rsidP="00F02312">
            <w:pPr>
              <w:pStyle w:val="ListParagraph"/>
              <w:numPr>
                <w:ilvl w:val="0"/>
                <w:numId w:val="186"/>
              </w:numPr>
              <w:spacing w:line="240" w:lineRule="auto"/>
              <w:ind w:left="357" w:hanging="357"/>
              <w:jc w:val="left"/>
              <w:rPr>
                <w:rFonts w:eastAsia="Times New Roman" w:cs="Tahoma"/>
                <w:sz w:val="22"/>
                <w:lang w:eastAsia="en-AU"/>
              </w:rPr>
            </w:pPr>
            <w:r w:rsidRPr="006B374E">
              <w:rPr>
                <w:rFonts w:eastAsia="Times New Roman" w:cs="Tahoma"/>
                <w:sz w:val="22"/>
                <w:lang w:eastAsia="en-AU"/>
              </w:rPr>
              <w:t>Data algorithm check</w:t>
            </w:r>
          </w:p>
          <w:p w:rsidR="00571656" w:rsidRPr="006B374E" w:rsidRDefault="00571656" w:rsidP="00F02312">
            <w:pPr>
              <w:pStyle w:val="ListParagraph"/>
              <w:numPr>
                <w:ilvl w:val="0"/>
                <w:numId w:val="186"/>
              </w:numPr>
              <w:spacing w:line="240" w:lineRule="auto"/>
              <w:ind w:left="357" w:hanging="357"/>
              <w:jc w:val="left"/>
              <w:rPr>
                <w:rFonts w:eastAsia="Times New Roman" w:cs="Tahoma"/>
                <w:sz w:val="22"/>
                <w:lang w:eastAsia="en-AU"/>
              </w:rPr>
            </w:pPr>
            <w:r w:rsidRPr="006B374E">
              <w:rPr>
                <w:rFonts w:eastAsia="Times New Roman" w:cs="Tahoma"/>
                <w:sz w:val="22"/>
                <w:lang w:eastAsia="en-AU"/>
              </w:rPr>
              <w:t>A desktop review of the submitted R-ACFI and assessments including:</w:t>
            </w:r>
          </w:p>
          <w:p w:rsidR="00571656" w:rsidRPr="00D6178E" w:rsidRDefault="00571656" w:rsidP="00F02312">
            <w:pPr>
              <w:pStyle w:val="ListParagraph"/>
              <w:numPr>
                <w:ilvl w:val="0"/>
                <w:numId w:val="175"/>
              </w:numPr>
              <w:spacing w:line="240" w:lineRule="auto"/>
              <w:ind w:left="714" w:hanging="357"/>
              <w:jc w:val="left"/>
              <w:rPr>
                <w:rFonts w:eastAsia="Times New Roman" w:cs="Tahoma"/>
                <w:sz w:val="22"/>
                <w:lang w:eastAsia="en-AU"/>
              </w:rPr>
            </w:pPr>
            <w:r w:rsidRPr="00D6178E">
              <w:rPr>
                <w:rFonts w:eastAsia="Times New Roman" w:cs="Tahoma"/>
                <w:sz w:val="22"/>
                <w:lang w:eastAsia="en-AU"/>
              </w:rPr>
              <w:t>Review of the available e-Health record and/or CMA</w:t>
            </w:r>
          </w:p>
          <w:p w:rsidR="00571656" w:rsidRPr="00D6178E" w:rsidRDefault="00571656" w:rsidP="00F02312">
            <w:pPr>
              <w:pStyle w:val="ListParagraph"/>
              <w:numPr>
                <w:ilvl w:val="0"/>
                <w:numId w:val="175"/>
              </w:numPr>
              <w:spacing w:line="240" w:lineRule="auto"/>
              <w:ind w:left="714" w:hanging="357"/>
              <w:jc w:val="left"/>
              <w:rPr>
                <w:rFonts w:eastAsia="Times New Roman" w:cs="Tahoma"/>
                <w:sz w:val="22"/>
                <w:lang w:eastAsia="en-AU"/>
              </w:rPr>
            </w:pPr>
            <w:r w:rsidRPr="00D6178E">
              <w:rPr>
                <w:rFonts w:eastAsia="Times New Roman" w:cs="Tahoma"/>
                <w:sz w:val="22"/>
                <w:lang w:eastAsia="en-AU"/>
              </w:rPr>
              <w:t>Requests for more information</w:t>
            </w:r>
          </w:p>
          <w:p w:rsidR="00571656" w:rsidRPr="00D6178E" w:rsidRDefault="00571656" w:rsidP="00F02312">
            <w:pPr>
              <w:pStyle w:val="ListParagraph"/>
              <w:numPr>
                <w:ilvl w:val="0"/>
                <w:numId w:val="175"/>
              </w:numPr>
              <w:spacing w:line="240" w:lineRule="auto"/>
              <w:ind w:left="714" w:hanging="357"/>
              <w:jc w:val="left"/>
              <w:rPr>
                <w:rFonts w:eastAsia="Times New Roman" w:cs="Tahoma"/>
                <w:sz w:val="22"/>
                <w:lang w:eastAsia="en-AU"/>
              </w:rPr>
            </w:pPr>
            <w:r w:rsidRPr="00D6178E">
              <w:rPr>
                <w:rFonts w:eastAsia="Times New Roman" w:cs="Tahoma"/>
                <w:sz w:val="22"/>
                <w:lang w:eastAsia="en-AU"/>
              </w:rPr>
              <w:t>Discussion with the provider assessor</w:t>
            </w:r>
          </w:p>
          <w:p w:rsidR="00571656" w:rsidRPr="00D6178E" w:rsidRDefault="006B374E" w:rsidP="00F02312">
            <w:pPr>
              <w:pStyle w:val="ListParagraph"/>
              <w:numPr>
                <w:ilvl w:val="0"/>
                <w:numId w:val="175"/>
              </w:numPr>
              <w:spacing w:line="240" w:lineRule="auto"/>
              <w:ind w:left="714" w:hanging="357"/>
              <w:jc w:val="left"/>
              <w:rPr>
                <w:rFonts w:eastAsia="Times New Roman" w:cs="Tahoma"/>
                <w:sz w:val="22"/>
                <w:lang w:eastAsia="en-AU"/>
              </w:rPr>
            </w:pPr>
            <w:r>
              <w:rPr>
                <w:rFonts w:eastAsia="Times New Roman" w:cs="Tahoma"/>
                <w:sz w:val="22"/>
                <w:lang w:eastAsia="en-AU"/>
              </w:rPr>
              <w:t>T</w:t>
            </w:r>
            <w:r w:rsidR="00571656" w:rsidRPr="00D6178E">
              <w:rPr>
                <w:rFonts w:eastAsia="Times New Roman" w:cs="Tahoma"/>
                <w:sz w:val="22"/>
                <w:lang w:eastAsia="en-AU"/>
              </w:rPr>
              <w:t>elephone discussions with key informants such as GPs</w:t>
            </w:r>
            <w:r w:rsidR="00571656">
              <w:rPr>
                <w:rFonts w:eastAsia="Times New Roman" w:cs="Tahoma"/>
                <w:sz w:val="22"/>
                <w:lang w:eastAsia="en-AU"/>
              </w:rPr>
              <w:t xml:space="preserve"> and AHPs</w:t>
            </w:r>
          </w:p>
          <w:p w:rsidR="00571656" w:rsidRPr="009A5227" w:rsidRDefault="00571656" w:rsidP="00F02312">
            <w:pPr>
              <w:pStyle w:val="ListParagraph"/>
              <w:numPr>
                <w:ilvl w:val="0"/>
                <w:numId w:val="186"/>
              </w:numPr>
              <w:spacing w:line="240" w:lineRule="auto"/>
              <w:ind w:left="357" w:hanging="357"/>
              <w:jc w:val="left"/>
              <w:rPr>
                <w:rFonts w:eastAsia="Times New Roman" w:cs="Tahoma"/>
                <w:sz w:val="22"/>
                <w:lang w:eastAsia="en-AU"/>
              </w:rPr>
            </w:pPr>
            <w:r w:rsidRPr="009A5227">
              <w:rPr>
                <w:rFonts w:eastAsia="Times New Roman" w:cs="Tahoma"/>
                <w:sz w:val="22"/>
                <w:lang w:eastAsia="en-AU"/>
              </w:rPr>
              <w:t>The ACAT assessor may visit the facility to conduct a care needs re-assessment</w:t>
            </w:r>
            <w:r>
              <w:rPr>
                <w:rFonts w:eastAsia="Times New Roman" w:cs="Tahoma"/>
                <w:sz w:val="22"/>
                <w:lang w:eastAsia="en-AU"/>
              </w:rPr>
              <w:t>.</w:t>
            </w:r>
            <w:r w:rsidR="007A576E">
              <w:rPr>
                <w:rFonts w:eastAsia="Times New Roman" w:cs="Tahoma"/>
                <w:sz w:val="22"/>
                <w:lang w:eastAsia="en-AU"/>
              </w:rPr>
              <w:t xml:space="preserve"> </w:t>
            </w:r>
            <w:r>
              <w:rPr>
                <w:rFonts w:eastAsia="Times New Roman" w:cs="Tahoma"/>
                <w:sz w:val="22"/>
                <w:lang w:eastAsia="en-AU"/>
              </w:rPr>
              <w:t>It is expected this will apply to 25 to 50</w:t>
            </w:r>
            <w:r w:rsidR="0065091B">
              <w:rPr>
                <w:rFonts w:eastAsia="Times New Roman" w:cs="Tahoma"/>
                <w:sz w:val="22"/>
                <w:lang w:eastAsia="en-AU"/>
              </w:rPr>
              <w:t xml:space="preserve"> per cent</w:t>
            </w:r>
            <w:r>
              <w:rPr>
                <w:rFonts w:eastAsia="Times New Roman" w:cs="Tahoma"/>
                <w:sz w:val="22"/>
                <w:lang w:eastAsia="en-AU"/>
              </w:rPr>
              <w:t xml:space="preserve"> of re-appraisals</w:t>
            </w:r>
          </w:p>
          <w:p w:rsidR="00571656" w:rsidRPr="009A5227" w:rsidRDefault="00571656" w:rsidP="006B374E">
            <w:pPr>
              <w:spacing w:line="240" w:lineRule="auto"/>
              <w:jc w:val="left"/>
              <w:rPr>
                <w:rFonts w:eastAsia="Times New Roman" w:cs="Tahoma"/>
                <w:sz w:val="22"/>
                <w:lang w:eastAsia="en-AU"/>
              </w:rPr>
            </w:pPr>
            <w:r w:rsidRPr="009A5227">
              <w:rPr>
                <w:rFonts w:eastAsia="Times New Roman" w:cs="Tahoma"/>
                <w:sz w:val="22"/>
                <w:lang w:eastAsia="en-AU"/>
              </w:rPr>
              <w:t>The ACAT assessor may determine</w:t>
            </w:r>
            <w:r>
              <w:rPr>
                <w:rFonts w:eastAsia="Times New Roman" w:cs="Tahoma"/>
                <w:sz w:val="22"/>
                <w:lang w:eastAsia="en-AU"/>
              </w:rPr>
              <w:t xml:space="preserve"> the following outcomes</w:t>
            </w:r>
            <w:r w:rsidRPr="009A5227">
              <w:rPr>
                <w:rFonts w:eastAsia="Times New Roman" w:cs="Tahoma"/>
                <w:sz w:val="22"/>
                <w:lang w:eastAsia="en-AU"/>
              </w:rPr>
              <w:t>:</w:t>
            </w:r>
          </w:p>
          <w:p w:rsidR="00571656" w:rsidRDefault="00571656" w:rsidP="00F02312">
            <w:pPr>
              <w:pStyle w:val="ListParagraph"/>
              <w:numPr>
                <w:ilvl w:val="0"/>
                <w:numId w:val="175"/>
              </w:numPr>
              <w:spacing w:line="240" w:lineRule="auto"/>
              <w:ind w:left="714" w:hanging="357"/>
              <w:jc w:val="left"/>
              <w:rPr>
                <w:rFonts w:eastAsia="Times New Roman" w:cs="Tahoma"/>
                <w:sz w:val="22"/>
                <w:lang w:eastAsia="en-AU"/>
              </w:rPr>
            </w:pPr>
            <w:r w:rsidRPr="009A5227">
              <w:rPr>
                <w:rFonts w:eastAsia="Times New Roman" w:cs="Tahoma"/>
                <w:sz w:val="22"/>
                <w:lang w:eastAsia="en-AU"/>
              </w:rPr>
              <w:t>no change</w:t>
            </w:r>
            <w:r>
              <w:rPr>
                <w:rFonts w:eastAsia="Times New Roman" w:cs="Tahoma"/>
                <w:sz w:val="22"/>
                <w:lang w:eastAsia="en-AU"/>
              </w:rPr>
              <w:t xml:space="preserve">, increase or decrease </w:t>
            </w:r>
            <w:r w:rsidRPr="009A5227">
              <w:rPr>
                <w:rFonts w:eastAsia="Times New Roman" w:cs="Tahoma"/>
                <w:sz w:val="22"/>
                <w:lang w:eastAsia="en-AU"/>
              </w:rPr>
              <w:t>to current funding</w:t>
            </w:r>
          </w:p>
          <w:p w:rsidR="00571656" w:rsidRPr="009A5227" w:rsidRDefault="00571656" w:rsidP="006B374E">
            <w:pPr>
              <w:spacing w:line="240" w:lineRule="auto"/>
              <w:jc w:val="left"/>
              <w:rPr>
                <w:rFonts w:eastAsia="Times New Roman" w:cs="Tahoma"/>
                <w:sz w:val="22"/>
                <w:lang w:eastAsia="en-AU"/>
              </w:rPr>
            </w:pPr>
            <w:r>
              <w:rPr>
                <w:rFonts w:eastAsia="Times New Roman" w:cs="Tahoma"/>
                <w:sz w:val="22"/>
                <w:lang w:eastAsia="en-AU"/>
              </w:rPr>
              <w:t>Future reviews may include e-Reviews</w:t>
            </w:r>
          </w:p>
        </w:tc>
        <w:tc>
          <w:tcPr>
            <w:tcW w:w="3758" w:type="dxa"/>
          </w:tcPr>
          <w:p w:rsidR="00571656" w:rsidRPr="009A5227" w:rsidRDefault="00571656" w:rsidP="006B374E">
            <w:pPr>
              <w:spacing w:line="240" w:lineRule="auto"/>
              <w:jc w:val="left"/>
              <w:rPr>
                <w:rFonts w:eastAsia="Times New Roman" w:cs="Tahoma"/>
                <w:sz w:val="22"/>
                <w:lang w:eastAsia="en-AU"/>
              </w:rPr>
            </w:pPr>
            <w:r w:rsidRPr="009A5227">
              <w:rPr>
                <w:rFonts w:eastAsia="Times New Roman" w:cs="Tahoma"/>
                <w:sz w:val="22"/>
                <w:lang w:eastAsia="en-AU"/>
              </w:rPr>
              <w:t xml:space="preserve">The </w:t>
            </w:r>
            <w:r>
              <w:rPr>
                <w:rFonts w:eastAsia="Times New Roman" w:cs="Tahoma"/>
                <w:sz w:val="22"/>
                <w:lang w:eastAsia="en-AU"/>
              </w:rPr>
              <w:t xml:space="preserve">provider can contest the </w:t>
            </w:r>
            <w:r w:rsidRPr="009A5227">
              <w:rPr>
                <w:rFonts w:eastAsia="Times New Roman" w:cs="Tahoma"/>
                <w:sz w:val="22"/>
                <w:lang w:eastAsia="en-AU"/>
              </w:rPr>
              <w:t>ACAT determination</w:t>
            </w:r>
            <w:r>
              <w:rPr>
                <w:rFonts w:eastAsia="Times New Roman" w:cs="Tahoma"/>
                <w:sz w:val="22"/>
                <w:lang w:eastAsia="en-AU"/>
              </w:rPr>
              <w:t xml:space="preserve"> of the R-ACFI re-appraisal by submitting a documented request to the Department for re-consideration.</w:t>
            </w:r>
            <w:r w:rsidRPr="009A5227">
              <w:rPr>
                <w:rFonts w:eastAsia="Times New Roman" w:cs="Tahoma"/>
                <w:sz w:val="22"/>
                <w:lang w:eastAsia="en-AU"/>
              </w:rPr>
              <w:t xml:space="preserve"> </w:t>
            </w:r>
          </w:p>
        </w:tc>
      </w:tr>
    </w:tbl>
    <w:p w:rsidR="00BA236A" w:rsidRDefault="00BA236A" w:rsidP="00BA236A">
      <w:pPr>
        <w:spacing w:after="160" w:line="259" w:lineRule="auto"/>
        <w:rPr>
          <w:rFonts w:ascii="Calibri" w:hAnsi="Calibri" w:cs="Times New Roman"/>
          <w:b/>
          <w:iCs/>
          <w:szCs w:val="18"/>
        </w:rPr>
      </w:pPr>
    </w:p>
    <w:p w:rsidR="00571656" w:rsidRDefault="00571656" w:rsidP="00BA236A">
      <w:pPr>
        <w:pStyle w:val="Caption"/>
        <w:sectPr w:rsidR="00571656" w:rsidSect="00A51750">
          <w:headerReference w:type="default" r:id="rId130"/>
          <w:footerReference w:type="default" r:id="rId131"/>
          <w:pgSz w:w="16838" w:h="11906" w:orient="landscape"/>
          <w:pgMar w:top="1440" w:right="1440" w:bottom="1440" w:left="1440" w:header="706" w:footer="706" w:gutter="0"/>
          <w:cols w:space="708"/>
          <w:docGrid w:linePitch="360"/>
        </w:sectPr>
      </w:pPr>
      <w:bookmarkStart w:id="766" w:name="_Toc486605240"/>
    </w:p>
    <w:bookmarkEnd w:id="766"/>
    <w:p w:rsidR="00BA236A" w:rsidRPr="00CC15A6" w:rsidRDefault="00BA236A" w:rsidP="00BA236A">
      <w:pPr>
        <w:spacing w:after="0" w:line="240" w:lineRule="auto"/>
        <w:rPr>
          <w:b/>
          <w:color w:val="FF0000"/>
        </w:rPr>
        <w:sectPr w:rsidR="00BA236A" w:rsidRPr="00CC15A6" w:rsidSect="00571656">
          <w:type w:val="continuous"/>
          <w:pgSz w:w="16838" w:h="11906" w:orient="landscape"/>
          <w:pgMar w:top="1440" w:right="1440" w:bottom="1440" w:left="1440" w:header="706" w:footer="706" w:gutter="0"/>
          <w:cols w:space="708"/>
          <w:docGrid w:linePitch="360"/>
        </w:sectPr>
      </w:pPr>
    </w:p>
    <w:p w:rsidR="00571656" w:rsidRPr="00886A0C" w:rsidRDefault="00571656" w:rsidP="00886A0C">
      <w:pPr>
        <w:pStyle w:val="Heading3-Chapter113"/>
      </w:pPr>
      <w:bookmarkStart w:id="767" w:name="_Toc489386735"/>
      <w:bookmarkStart w:id="768" w:name="_Hlk480490879"/>
      <w:bookmarkEnd w:id="724"/>
      <w:bookmarkEnd w:id="725"/>
      <w:r w:rsidRPr="00886A0C">
        <w:rPr>
          <w:rStyle w:val="Heading3-Chapter113Char"/>
        </w:rPr>
        <w:lastRenderedPageBreak/>
        <w:t>Option 3 External Assessor – Specialist Assessment Agency</w:t>
      </w:r>
      <w:r w:rsidRPr="00886A0C">
        <w:t xml:space="preserve"> Assessors</w:t>
      </w:r>
      <w:bookmarkEnd w:id="767"/>
    </w:p>
    <w:p w:rsidR="00980F62" w:rsidRDefault="00571656" w:rsidP="00151877">
      <w:r w:rsidRPr="00151877">
        <w:t>This</w:t>
      </w:r>
      <w:r w:rsidRPr="00151877">
        <w:rPr>
          <w:b/>
        </w:rPr>
        <w:t xml:space="preserve"> </w:t>
      </w:r>
      <w:r w:rsidRPr="00151877">
        <w:t>can be regarded as a minimal change External Assessor model. It does not impact on the current ACAT National Screening and Assessment Form (NSAF) arrangements, timing or roles and assumes that the ACAT assessment uses the current NSAF and not the R-ACFI.</w:t>
      </w:r>
    </w:p>
    <w:p w:rsidR="00571656" w:rsidRPr="00151877" w:rsidRDefault="00571656" w:rsidP="00151877">
      <w:r w:rsidRPr="00151877">
        <w:t>This is an external assessment model but the R-ACFI assessment for funding is initially completed by the provider internally for both new residents and current residents when care needs change.</w:t>
      </w:r>
      <w:r w:rsidR="007A576E" w:rsidRPr="00151877">
        <w:t xml:space="preserve"> </w:t>
      </w:r>
      <w:r w:rsidRPr="00151877">
        <w:t>The Specialist Assessment Agency (SAA) assessor will re-assess up to 100</w:t>
      </w:r>
      <w:r w:rsidR="0065091B">
        <w:t xml:space="preserve"> per cent</w:t>
      </w:r>
      <w:r w:rsidRPr="00151877">
        <w:t xml:space="preserve"> of new resident R-ACFI claims after entry and 25 to 50</w:t>
      </w:r>
      <w:r w:rsidR="0065091B">
        <w:t xml:space="preserve"> per cent</w:t>
      </w:r>
      <w:r w:rsidRPr="00151877">
        <w:t xml:space="preserve"> of re-appraisal claims.</w:t>
      </w:r>
      <w:r w:rsidRPr="00151877">
        <w:rPr>
          <w:b/>
        </w:rPr>
        <w:t xml:space="preserve"> </w:t>
      </w:r>
      <w:r w:rsidRPr="00151877">
        <w:t>This contrasts with Option 2 where the new resident assessment is conducted externally by the ACAT prior to entry on most occasions (respite, emergency in facility) and full payment, not a limited daily rate (DR), is made on admission.</w:t>
      </w:r>
    </w:p>
    <w:p w:rsidR="00980F62" w:rsidRDefault="00571656" w:rsidP="00151877">
      <w:r w:rsidRPr="00151877">
        <w:t>This option</w:t>
      </w:r>
      <w:r w:rsidRPr="00151877">
        <w:rPr>
          <w:b/>
        </w:rPr>
        <w:t xml:space="preserve"> </w:t>
      </w:r>
      <w:r w:rsidRPr="00151877">
        <w:t>could be considered more of a joint determination model but like the other options it will be supported by data analytics and, in future, e-audits. This model limits the number of site visits at the re-appraisal stage to conduct resident assessments, and allows the program to maintain flexibility and be scalable as the number of aged care beds continues to grow.</w:t>
      </w:r>
    </w:p>
    <w:p w:rsidR="00980F62" w:rsidRDefault="00571656" w:rsidP="00151877">
      <w:pPr>
        <w:rPr>
          <w:szCs w:val="24"/>
        </w:rPr>
      </w:pPr>
      <w:r w:rsidRPr="00151877">
        <w:rPr>
          <w:szCs w:val="24"/>
        </w:rPr>
        <w:t>This option will consider for re-appraisals, similarly to Option 2, if the provider re-appraisal submissions are very different to the Specialist Assessor assessment outcome.</w:t>
      </w:r>
      <w:r w:rsidR="007A576E" w:rsidRPr="00151877">
        <w:rPr>
          <w:szCs w:val="24"/>
        </w:rPr>
        <w:t xml:space="preserve"> </w:t>
      </w:r>
      <w:r w:rsidRPr="00151877">
        <w:rPr>
          <w:szCs w:val="24"/>
        </w:rPr>
        <w:t>If a difference threshold was reached, the facility would have to enter into an arrangement whereby every re-appraisal would be checked by the SAA for a set period (e.g. 6 months) before payment would be confirmed.</w:t>
      </w:r>
      <w:r w:rsidR="007A576E" w:rsidRPr="00151877">
        <w:rPr>
          <w:szCs w:val="24"/>
        </w:rPr>
        <w:t xml:space="preserve"> </w:t>
      </w:r>
      <w:r w:rsidRPr="00151877">
        <w:rPr>
          <w:szCs w:val="24"/>
        </w:rPr>
        <w:t> This will be a disincentive to submit re-appraisals that could not be re-confirmed by the Specialist Assessor.</w:t>
      </w:r>
    </w:p>
    <w:p w:rsidR="00571656" w:rsidRPr="00DA6BC8" w:rsidRDefault="00571656" w:rsidP="00CD2081">
      <w:pPr>
        <w:pStyle w:val="Heading4-Chapter1134"/>
      </w:pPr>
      <w:r>
        <w:t>O</w:t>
      </w:r>
      <w:r w:rsidRPr="00DA6BC8">
        <w:t>ption 3 in Brief</w:t>
      </w:r>
    </w:p>
    <w:p w:rsidR="00571656" w:rsidRDefault="00571656" w:rsidP="00571656">
      <w:pPr>
        <w:rPr>
          <w:b/>
        </w:rPr>
      </w:pPr>
      <w:r w:rsidRPr="00007D4E">
        <w:rPr>
          <w:rStyle w:val="Strong"/>
        </w:rPr>
        <w:t>Option 3</w:t>
      </w:r>
      <w:r>
        <w:rPr>
          <w:b/>
        </w:rPr>
        <w:t xml:space="preserve"> </w:t>
      </w:r>
      <w:r w:rsidRPr="00A8526B">
        <w:t xml:space="preserve">is an </w:t>
      </w:r>
      <w:r>
        <w:t>External Assessor</w:t>
      </w:r>
      <w:r w:rsidRPr="00A8526B">
        <w:t xml:space="preserve"> model but the R-ACFI assessment for funding is </w:t>
      </w:r>
      <w:r>
        <w:t>initially completed by the provider</w:t>
      </w:r>
      <w:r w:rsidRPr="00A8526B">
        <w:t xml:space="preserve"> internally for both new residents and </w:t>
      </w:r>
      <w:r>
        <w:t xml:space="preserve">current residents </w:t>
      </w:r>
      <w:r w:rsidRPr="00A8526B">
        <w:t>when care needs change</w:t>
      </w:r>
      <w:r>
        <w:t xml:space="preserve">. </w:t>
      </w:r>
      <w:r w:rsidRPr="00A8526B">
        <w:t>This contrasts with Option 2 where the new resident assessment is conducted external</w:t>
      </w:r>
      <w:r>
        <w:t>ly</w:t>
      </w:r>
      <w:r w:rsidRPr="00A8526B">
        <w:t xml:space="preserve"> </w:t>
      </w:r>
      <w:r>
        <w:t xml:space="preserve">by the ACAT </w:t>
      </w:r>
      <w:r w:rsidRPr="00A8526B">
        <w:t>before entry on most occasions</w:t>
      </w:r>
      <w:r>
        <w:t xml:space="preserve"> (respite, emergency in facility)</w:t>
      </w:r>
      <w:r w:rsidRPr="00A8526B">
        <w:t>.</w:t>
      </w:r>
    </w:p>
    <w:p w:rsidR="00980F62" w:rsidRDefault="00571656" w:rsidP="00571656">
      <w:r w:rsidRPr="00007D4E">
        <w:rPr>
          <w:rStyle w:val="Strong"/>
        </w:rPr>
        <w:t>Option 3</w:t>
      </w:r>
      <w:r>
        <w:t xml:space="preserve"> does not impact on the current ACAT NSAF arrangements and roles and assumes that the ACAT assessment uses the NSAF not the R-ACFI.</w:t>
      </w:r>
    </w:p>
    <w:p w:rsidR="00980F62" w:rsidRDefault="00571656" w:rsidP="00571656">
      <w:r w:rsidRPr="00007D4E">
        <w:rPr>
          <w:rStyle w:val="Strong"/>
        </w:rPr>
        <w:t>Option 3</w:t>
      </w:r>
      <w:r>
        <w:t xml:space="preserve"> could be considered more of a joint determination model, but like the other options it will be backed up by data analytics and future e-audits via electronic access to the resident’s clinical record. This will limit the number of site visits for re-appraisals and allow the program to maintain flexibility and be scalable as the number of aged care beds continues to grow.</w:t>
      </w:r>
    </w:p>
    <w:p w:rsidR="00980F62" w:rsidRDefault="00571656" w:rsidP="00571656">
      <w:r w:rsidRPr="00007D4E">
        <w:rPr>
          <w:rStyle w:val="Strong"/>
        </w:rPr>
        <w:t>Option 3</w:t>
      </w:r>
      <w:r>
        <w:t xml:space="preserve"> is based on the use of SAA assessors (who are Registered Health Professionals) to undertake both the new admission assessment site visits (post entry for up to 100</w:t>
      </w:r>
      <w:r w:rsidR="0065091B">
        <w:t xml:space="preserve"> per cent</w:t>
      </w:r>
      <w:r>
        <w:t xml:space="preserve"> of new resident assessments) and re-appraisal assessment site visits for funding (covering 25 to </w:t>
      </w:r>
      <w:r>
        <w:lastRenderedPageBreak/>
        <w:t>50</w:t>
      </w:r>
      <w:r w:rsidR="0065091B">
        <w:t xml:space="preserve"> per cent</w:t>
      </w:r>
      <w:r>
        <w:t xml:space="preserve"> of re-appraisals), when a resident’s care needs have increased. In both cases the provider will have completed an R-ACFI as a reference for the SAA assessor.</w:t>
      </w:r>
    </w:p>
    <w:p w:rsidR="00571656" w:rsidRDefault="00473246" w:rsidP="00571656">
      <w:pPr>
        <w:spacing w:after="160" w:line="259" w:lineRule="auto"/>
      </w:pPr>
      <w:hyperlink w:anchor="Tab1108" w:history="1">
        <w:r w:rsidR="00571656" w:rsidRPr="00691A5B">
          <w:rPr>
            <w:rStyle w:val="Hyperlink"/>
          </w:rPr>
          <w:t>Table 11.8</w:t>
        </w:r>
      </w:hyperlink>
      <w:r w:rsidR="00571656">
        <w:t xml:space="preserve"> provides a summary of the key aspects of Option 3. </w:t>
      </w:r>
      <w:hyperlink w:anchor="Tab1109" w:history="1">
        <w:r w:rsidR="00571656" w:rsidRPr="00691A5B">
          <w:rPr>
            <w:rStyle w:val="Hyperlink"/>
          </w:rPr>
          <w:t>Table 11.9</w:t>
        </w:r>
      </w:hyperlink>
      <w:r w:rsidR="00571656">
        <w:t>, at the end of the section, gives further detail on the operation of the Option 3. A detailed description of the operation of Option 3 follows covering new appraisals, re-appraisals and basic requirements.</w:t>
      </w:r>
    </w:p>
    <w:p w:rsidR="00CC0633" w:rsidRDefault="00CC21FA" w:rsidP="00CC0633">
      <w:pPr>
        <w:pStyle w:val="Caption"/>
        <w:keepNext/>
      </w:pPr>
      <w:bookmarkStart w:id="769" w:name="_Toc495416868"/>
      <w:bookmarkStart w:id="770" w:name="Tab1108"/>
      <w:r>
        <w:t>Table 11.</w:t>
      </w:r>
      <w:r w:rsidR="009A3F5A">
        <w:fldChar w:fldCharType="begin"/>
      </w:r>
      <w:r w:rsidR="009A3F5A">
        <w:instrText xml:space="preserve"> SEQ Table_11. \* ARABIC </w:instrText>
      </w:r>
      <w:r w:rsidR="009A3F5A">
        <w:fldChar w:fldCharType="separate"/>
      </w:r>
      <w:r w:rsidR="00856E49">
        <w:rPr>
          <w:noProof/>
        </w:rPr>
        <w:t>8</w:t>
      </w:r>
      <w:r w:rsidR="009A3F5A">
        <w:rPr>
          <w:noProof/>
        </w:rPr>
        <w:fldChar w:fldCharType="end"/>
      </w:r>
      <w:r>
        <w:t xml:space="preserve">: Option 3: </w:t>
      </w:r>
      <w:r w:rsidRPr="00CC21FA">
        <w:t>SAA External Assessor</w:t>
      </w:r>
      <w:bookmarkEnd w:id="769"/>
    </w:p>
    <w:tbl>
      <w:tblPr>
        <w:tblStyle w:val="CV12"/>
        <w:tblW w:w="0" w:type="auto"/>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able 11.8 is a list of details for the aspects under Option 3 (using a specialist assessment agency (SAA) as the external assessor), as summarised in the text prior to this table. This table is to be read left to right, top to bottom, noting the aspects have been divided into four headings:&#10;1. General&#10;2. for new residents&#10;3. for re-appraisals&#10;4. other."/>
      </w:tblPr>
      <w:tblGrid>
        <w:gridCol w:w="2854"/>
        <w:gridCol w:w="6054"/>
      </w:tblGrid>
      <w:tr w:rsidR="002416ED" w:rsidRPr="002416ED" w:rsidTr="002416ED">
        <w:trPr>
          <w:tblHeader/>
        </w:trPr>
        <w:tc>
          <w:tcPr>
            <w:tcW w:w="2875" w:type="dxa"/>
            <w:shd w:val="clear" w:color="auto" w:fill="5B9BD5" w:themeFill="accent5"/>
          </w:tcPr>
          <w:bookmarkEnd w:id="770"/>
          <w:p w:rsidR="00571656" w:rsidRPr="002416ED" w:rsidRDefault="002416ED" w:rsidP="002416ED">
            <w:pPr>
              <w:spacing w:after="0"/>
              <w:jc w:val="left"/>
              <w:rPr>
                <w:rFonts w:eastAsia="Times New Roman" w:cstheme="minorHAnsi"/>
                <w:b/>
                <w:color w:val="FFFFFF" w:themeColor="background1"/>
                <w:sz w:val="20"/>
                <w:szCs w:val="20"/>
                <w:lang w:eastAsia="en-AU"/>
              </w:rPr>
            </w:pPr>
            <w:r w:rsidRPr="002416ED">
              <w:rPr>
                <w:rFonts w:eastAsia="Times New Roman" w:cstheme="minorHAnsi"/>
                <w:b/>
                <w:color w:val="FFFFFF" w:themeColor="background1"/>
                <w:sz w:val="20"/>
                <w:szCs w:val="20"/>
                <w:lang w:eastAsia="en-AU"/>
              </w:rPr>
              <w:t xml:space="preserve">Genera </w:t>
            </w:r>
            <w:r w:rsidR="00571656" w:rsidRPr="002416ED">
              <w:rPr>
                <w:rFonts w:eastAsia="Times New Roman" w:cstheme="minorHAnsi"/>
                <w:b/>
                <w:color w:val="FFFFFF" w:themeColor="background1"/>
                <w:sz w:val="20"/>
                <w:szCs w:val="20"/>
                <w:lang w:eastAsia="en-AU"/>
              </w:rPr>
              <w:t>Aspect</w:t>
            </w:r>
            <w:r w:rsidRPr="002416ED">
              <w:rPr>
                <w:rFonts w:eastAsia="Times New Roman" w:cstheme="minorHAnsi"/>
                <w:b/>
                <w:color w:val="FFFFFF" w:themeColor="background1"/>
                <w:sz w:val="20"/>
                <w:szCs w:val="20"/>
                <w:lang w:eastAsia="en-AU"/>
              </w:rPr>
              <w:t>s</w:t>
            </w:r>
          </w:p>
        </w:tc>
        <w:tc>
          <w:tcPr>
            <w:tcW w:w="6120" w:type="dxa"/>
            <w:shd w:val="clear" w:color="auto" w:fill="5B9BD5" w:themeFill="accent5"/>
          </w:tcPr>
          <w:p w:rsidR="00571656" w:rsidRPr="002416ED" w:rsidRDefault="002416ED" w:rsidP="002416ED">
            <w:pPr>
              <w:spacing w:after="0"/>
              <w:jc w:val="left"/>
              <w:rPr>
                <w:rFonts w:eastAsia="Times New Roman" w:cstheme="minorHAnsi"/>
                <w:b/>
                <w:color w:val="FFFFFF" w:themeColor="background1"/>
                <w:sz w:val="20"/>
                <w:szCs w:val="20"/>
                <w:lang w:eastAsia="en-AU"/>
              </w:rPr>
            </w:pPr>
            <w:r w:rsidRPr="002416ED">
              <w:rPr>
                <w:rFonts w:eastAsia="Times New Roman" w:cstheme="minorHAnsi"/>
                <w:b/>
                <w:color w:val="FFFFFF" w:themeColor="background1"/>
                <w:sz w:val="20"/>
                <w:szCs w:val="20"/>
                <w:lang w:eastAsia="en-AU"/>
              </w:rPr>
              <w:t>Details</w:t>
            </w:r>
          </w:p>
        </w:tc>
      </w:tr>
      <w:tr w:rsidR="00571656" w:rsidRPr="00432696" w:rsidTr="007F2ED6">
        <w:tc>
          <w:tcPr>
            <w:tcW w:w="2875" w:type="dxa"/>
          </w:tcPr>
          <w:p w:rsidR="00571656" w:rsidRPr="00432696" w:rsidRDefault="00571656" w:rsidP="002416ED">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Funding Model</w:t>
            </w:r>
          </w:p>
        </w:tc>
        <w:tc>
          <w:tcPr>
            <w:tcW w:w="6120" w:type="dxa"/>
          </w:tcPr>
          <w:p w:rsidR="00571656" w:rsidRPr="00432696" w:rsidRDefault="00571656" w:rsidP="002416ED">
            <w:pPr>
              <w:spacing w:after="0"/>
              <w:jc w:val="left"/>
              <w:rPr>
                <w:rFonts w:eastAsia="Times New Roman" w:cstheme="minorHAnsi"/>
                <w:sz w:val="20"/>
                <w:szCs w:val="20"/>
                <w:lang w:eastAsia="en-AU"/>
              </w:rPr>
            </w:pPr>
            <w:r>
              <w:rPr>
                <w:rFonts w:eastAsia="Times New Roman" w:cstheme="minorHAnsi"/>
                <w:sz w:val="20"/>
                <w:szCs w:val="20"/>
                <w:lang w:eastAsia="en-AU"/>
              </w:rPr>
              <w:t>SAA</w:t>
            </w:r>
            <w:r w:rsidRPr="00432696">
              <w:rPr>
                <w:rFonts w:eastAsia="Times New Roman" w:cstheme="minorHAnsi"/>
                <w:sz w:val="20"/>
                <w:szCs w:val="20"/>
                <w:lang w:eastAsia="en-AU"/>
              </w:rPr>
              <w:t xml:space="preserve"> (RN/AHP)</w:t>
            </w:r>
          </w:p>
        </w:tc>
      </w:tr>
      <w:tr w:rsidR="00571656" w:rsidRPr="00432696" w:rsidTr="007F2ED6">
        <w:tc>
          <w:tcPr>
            <w:tcW w:w="2875" w:type="dxa"/>
          </w:tcPr>
          <w:p w:rsidR="00571656" w:rsidRPr="00432696" w:rsidRDefault="00571656" w:rsidP="002416ED">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New Resident - $ assess</w:t>
            </w:r>
          </w:p>
        </w:tc>
        <w:tc>
          <w:tcPr>
            <w:tcW w:w="6120" w:type="dxa"/>
          </w:tcPr>
          <w:p w:rsidR="00571656" w:rsidRPr="00432696" w:rsidRDefault="00571656" w:rsidP="002416ED">
            <w:pPr>
              <w:spacing w:after="0"/>
              <w:jc w:val="left"/>
              <w:rPr>
                <w:rFonts w:eastAsia="Times New Roman" w:cstheme="minorHAnsi"/>
                <w:sz w:val="20"/>
                <w:szCs w:val="20"/>
                <w:lang w:eastAsia="en-AU"/>
              </w:rPr>
            </w:pPr>
            <w:r w:rsidRPr="00432696">
              <w:rPr>
                <w:rFonts w:eastAsia="Times New Roman" w:cstheme="minorHAnsi"/>
                <w:sz w:val="20"/>
                <w:szCs w:val="20"/>
                <w:lang w:eastAsia="en-AU"/>
              </w:rPr>
              <w:t>Facility</w:t>
            </w:r>
          </w:p>
        </w:tc>
      </w:tr>
      <w:tr w:rsidR="00571656" w:rsidRPr="00432696" w:rsidTr="007F2ED6">
        <w:tc>
          <w:tcPr>
            <w:tcW w:w="2875" w:type="dxa"/>
          </w:tcPr>
          <w:p w:rsidR="00571656" w:rsidRPr="00432696" w:rsidRDefault="00571656" w:rsidP="002416ED">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ACAT changes?</w:t>
            </w:r>
          </w:p>
        </w:tc>
        <w:tc>
          <w:tcPr>
            <w:tcW w:w="6120" w:type="dxa"/>
          </w:tcPr>
          <w:p w:rsidR="00571656" w:rsidRPr="00432696" w:rsidRDefault="00571656" w:rsidP="002416ED">
            <w:pPr>
              <w:spacing w:after="0"/>
              <w:jc w:val="left"/>
              <w:rPr>
                <w:rFonts w:eastAsia="Times New Roman" w:cstheme="minorHAnsi"/>
                <w:sz w:val="20"/>
                <w:szCs w:val="20"/>
                <w:lang w:eastAsia="en-AU"/>
              </w:rPr>
            </w:pPr>
            <w:r w:rsidRPr="00432696">
              <w:rPr>
                <w:rFonts w:eastAsia="Times New Roman" w:cstheme="minorHAnsi"/>
                <w:sz w:val="20"/>
                <w:szCs w:val="20"/>
                <w:lang w:eastAsia="en-AU"/>
              </w:rPr>
              <w:t>No: no R-ACFI pre-entry, no $ role</w:t>
            </w:r>
          </w:p>
        </w:tc>
      </w:tr>
      <w:tr w:rsidR="00571656" w:rsidRPr="00432696" w:rsidTr="007F2ED6">
        <w:tc>
          <w:tcPr>
            <w:tcW w:w="2875" w:type="dxa"/>
            <w:shd w:val="clear" w:color="auto" w:fill="auto"/>
          </w:tcPr>
          <w:p w:rsidR="00571656" w:rsidRPr="00432696" w:rsidRDefault="00571656" w:rsidP="002416ED">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R-ACFI Users</w:t>
            </w:r>
          </w:p>
        </w:tc>
        <w:tc>
          <w:tcPr>
            <w:tcW w:w="6120" w:type="dxa"/>
            <w:shd w:val="clear" w:color="auto" w:fill="auto"/>
          </w:tcPr>
          <w:p w:rsidR="00571656" w:rsidRPr="00432696" w:rsidRDefault="00571656" w:rsidP="002416ED">
            <w:pPr>
              <w:spacing w:after="0"/>
              <w:jc w:val="left"/>
              <w:rPr>
                <w:rFonts w:eastAsia="Times New Roman" w:cstheme="minorHAnsi"/>
                <w:sz w:val="20"/>
                <w:szCs w:val="20"/>
                <w:lang w:eastAsia="en-AU"/>
              </w:rPr>
            </w:pPr>
            <w:r w:rsidRPr="00432696">
              <w:rPr>
                <w:rFonts w:eastAsia="Times New Roman" w:cstheme="minorHAnsi"/>
                <w:sz w:val="20"/>
                <w:szCs w:val="20"/>
                <w:lang w:eastAsia="en-AU"/>
              </w:rPr>
              <w:t xml:space="preserve">Provider &amp; </w:t>
            </w:r>
            <w:r>
              <w:rPr>
                <w:rFonts w:eastAsia="Times New Roman" w:cstheme="minorHAnsi"/>
                <w:sz w:val="20"/>
                <w:szCs w:val="20"/>
                <w:lang w:eastAsia="en-AU"/>
              </w:rPr>
              <w:t>SAA</w:t>
            </w:r>
          </w:p>
        </w:tc>
      </w:tr>
      <w:tr w:rsidR="00571656" w:rsidRPr="00432696" w:rsidTr="007F2ED6">
        <w:tc>
          <w:tcPr>
            <w:tcW w:w="2875" w:type="dxa"/>
            <w:shd w:val="clear" w:color="auto" w:fill="auto"/>
          </w:tcPr>
          <w:p w:rsidR="00571656" w:rsidRPr="00432696" w:rsidRDefault="00571656" w:rsidP="002416ED">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Review by</w:t>
            </w:r>
          </w:p>
        </w:tc>
        <w:tc>
          <w:tcPr>
            <w:tcW w:w="6120" w:type="dxa"/>
            <w:shd w:val="clear" w:color="auto" w:fill="auto"/>
          </w:tcPr>
          <w:p w:rsidR="00571656" w:rsidRPr="00432696" w:rsidRDefault="00571656" w:rsidP="002416ED">
            <w:pPr>
              <w:spacing w:after="0"/>
              <w:jc w:val="left"/>
              <w:rPr>
                <w:rFonts w:eastAsia="Times New Roman" w:cstheme="minorHAnsi"/>
                <w:sz w:val="20"/>
                <w:szCs w:val="20"/>
                <w:lang w:eastAsia="en-AU"/>
              </w:rPr>
            </w:pPr>
            <w:r>
              <w:rPr>
                <w:rFonts w:eastAsia="Times New Roman" w:cstheme="minorHAnsi"/>
                <w:sz w:val="20"/>
                <w:szCs w:val="20"/>
                <w:lang w:eastAsia="en-AU"/>
              </w:rPr>
              <w:t>SAA</w:t>
            </w:r>
            <w:r w:rsidRPr="00432696">
              <w:rPr>
                <w:rFonts w:eastAsia="Times New Roman" w:cstheme="minorHAnsi"/>
                <w:sz w:val="20"/>
                <w:szCs w:val="20"/>
                <w:lang w:eastAsia="en-AU"/>
              </w:rPr>
              <w:t xml:space="preserve"> (RN/AHP)</w:t>
            </w:r>
          </w:p>
        </w:tc>
      </w:tr>
      <w:tr w:rsidR="00571656" w:rsidRPr="003837B9" w:rsidTr="007F2ED6">
        <w:tc>
          <w:tcPr>
            <w:tcW w:w="2875" w:type="dxa"/>
            <w:shd w:val="clear" w:color="auto" w:fill="5B9BD5" w:themeFill="accent5"/>
          </w:tcPr>
          <w:p w:rsidR="00571656" w:rsidRPr="003837B9" w:rsidRDefault="00571656" w:rsidP="002416ED">
            <w:pPr>
              <w:spacing w:after="0"/>
              <w:jc w:val="left"/>
              <w:rPr>
                <w:rFonts w:eastAsia="Times New Roman" w:cstheme="minorHAnsi"/>
                <w:b/>
                <w:color w:val="FFFFFF" w:themeColor="background1"/>
                <w:sz w:val="20"/>
                <w:szCs w:val="20"/>
                <w:lang w:eastAsia="en-AU"/>
              </w:rPr>
            </w:pPr>
            <w:r w:rsidRPr="003837B9">
              <w:rPr>
                <w:rFonts w:eastAsia="Times New Roman" w:cstheme="minorHAnsi"/>
                <w:b/>
                <w:color w:val="FFFFFF" w:themeColor="background1"/>
                <w:sz w:val="20"/>
                <w:szCs w:val="20"/>
                <w:lang w:eastAsia="en-AU"/>
              </w:rPr>
              <w:t>New Residents</w:t>
            </w:r>
          </w:p>
        </w:tc>
        <w:tc>
          <w:tcPr>
            <w:tcW w:w="6120" w:type="dxa"/>
            <w:shd w:val="clear" w:color="auto" w:fill="5B9BD5" w:themeFill="accent5"/>
          </w:tcPr>
          <w:p w:rsidR="00571656" w:rsidRPr="002416ED" w:rsidRDefault="002416ED" w:rsidP="002416ED">
            <w:pPr>
              <w:spacing w:after="0"/>
              <w:jc w:val="left"/>
              <w:rPr>
                <w:rFonts w:eastAsia="Times New Roman" w:cstheme="minorHAnsi"/>
                <w:color w:val="FFFFFF" w:themeColor="background1"/>
                <w:sz w:val="20"/>
                <w:szCs w:val="20"/>
                <w:lang w:eastAsia="en-AU"/>
              </w:rPr>
            </w:pPr>
            <w:r w:rsidRPr="002416ED">
              <w:rPr>
                <w:rFonts w:eastAsia="Times New Roman" w:cstheme="minorHAnsi"/>
                <w:b/>
                <w:color w:val="FFFFFF" w:themeColor="background1"/>
                <w:sz w:val="20"/>
                <w:szCs w:val="20"/>
                <w:lang w:eastAsia="en-AU"/>
              </w:rPr>
              <w:t>Details</w:t>
            </w:r>
          </w:p>
        </w:tc>
      </w:tr>
      <w:tr w:rsidR="00571656" w:rsidRPr="00432696" w:rsidTr="007F2ED6">
        <w:tc>
          <w:tcPr>
            <w:tcW w:w="2875" w:type="dxa"/>
          </w:tcPr>
          <w:p w:rsidR="00571656" w:rsidRPr="00432696" w:rsidRDefault="00571656" w:rsidP="002416ED">
            <w:pPr>
              <w:spacing w:after="0"/>
              <w:jc w:val="left"/>
              <w:rPr>
                <w:rFonts w:eastAsia="Times New Roman" w:cstheme="minorHAnsi"/>
                <w:b/>
                <w:sz w:val="20"/>
                <w:szCs w:val="20"/>
                <w:lang w:eastAsia="en-AU"/>
              </w:rPr>
            </w:pPr>
            <w:r>
              <w:rPr>
                <w:rFonts w:eastAsia="Times New Roman" w:cstheme="minorHAnsi"/>
                <w:b/>
                <w:sz w:val="20"/>
                <w:szCs w:val="20"/>
                <w:lang w:eastAsia="en-AU"/>
              </w:rPr>
              <w:t>Funding d</w:t>
            </w:r>
            <w:r w:rsidRPr="00432696">
              <w:rPr>
                <w:rFonts w:eastAsia="Times New Roman" w:cstheme="minorHAnsi"/>
                <w:b/>
                <w:sz w:val="20"/>
                <w:szCs w:val="20"/>
                <w:lang w:eastAsia="en-AU"/>
              </w:rPr>
              <w:t>etermin</w:t>
            </w:r>
            <w:r>
              <w:rPr>
                <w:rFonts w:eastAsia="Times New Roman" w:cstheme="minorHAnsi"/>
                <w:b/>
                <w:sz w:val="20"/>
                <w:szCs w:val="20"/>
                <w:lang w:eastAsia="en-AU"/>
              </w:rPr>
              <w:t xml:space="preserve">ation </w:t>
            </w:r>
            <w:r w:rsidRPr="00432696">
              <w:rPr>
                <w:rFonts w:eastAsia="Times New Roman" w:cstheme="minorHAnsi"/>
                <w:b/>
                <w:sz w:val="20"/>
                <w:szCs w:val="20"/>
                <w:lang w:eastAsia="en-AU"/>
              </w:rPr>
              <w:t>process</w:t>
            </w:r>
          </w:p>
        </w:tc>
        <w:tc>
          <w:tcPr>
            <w:tcW w:w="6120" w:type="dxa"/>
          </w:tcPr>
          <w:p w:rsidR="00571656" w:rsidRDefault="00571656" w:rsidP="002416ED">
            <w:pPr>
              <w:spacing w:after="0"/>
              <w:jc w:val="left"/>
              <w:rPr>
                <w:rFonts w:cstheme="minorHAnsi"/>
                <w:b/>
                <w:sz w:val="20"/>
                <w:szCs w:val="20"/>
              </w:rPr>
            </w:pPr>
            <w:r w:rsidRPr="001C540E">
              <w:rPr>
                <w:rFonts w:cstheme="minorHAnsi"/>
                <w:b/>
                <w:sz w:val="20"/>
                <w:szCs w:val="20"/>
              </w:rPr>
              <w:t xml:space="preserve">Provider </w:t>
            </w:r>
            <w:r>
              <w:rPr>
                <w:rFonts w:cstheme="minorHAnsi"/>
                <w:b/>
                <w:sz w:val="20"/>
                <w:szCs w:val="20"/>
              </w:rPr>
              <w:t xml:space="preserve">R-ACFI </w:t>
            </w:r>
            <w:r w:rsidRPr="001C540E">
              <w:rPr>
                <w:rFonts w:cstheme="minorHAnsi"/>
                <w:b/>
                <w:sz w:val="20"/>
                <w:szCs w:val="20"/>
              </w:rPr>
              <w:t xml:space="preserve">used for </w:t>
            </w:r>
            <w:r>
              <w:rPr>
                <w:rFonts w:cstheme="minorHAnsi"/>
                <w:b/>
                <w:sz w:val="20"/>
                <w:szCs w:val="20"/>
              </w:rPr>
              <w:t>funding determination.</w:t>
            </w:r>
          </w:p>
          <w:p w:rsidR="00980F62" w:rsidRDefault="00571656" w:rsidP="002416ED">
            <w:pPr>
              <w:spacing w:after="0"/>
              <w:jc w:val="left"/>
              <w:rPr>
                <w:rFonts w:eastAsia="Times New Roman" w:cstheme="minorHAnsi"/>
                <w:sz w:val="20"/>
                <w:szCs w:val="20"/>
                <w:lang w:eastAsia="en-AU"/>
              </w:rPr>
            </w:pPr>
            <w:r>
              <w:rPr>
                <w:rFonts w:eastAsia="Times New Roman" w:cstheme="minorHAnsi"/>
                <w:b/>
                <w:sz w:val="20"/>
                <w:szCs w:val="20"/>
                <w:lang w:eastAsia="en-AU"/>
              </w:rPr>
              <w:t xml:space="preserve">SAA </w:t>
            </w:r>
            <w:r>
              <w:rPr>
                <w:rFonts w:eastAsia="Times New Roman" w:cstheme="minorHAnsi"/>
                <w:sz w:val="20"/>
                <w:szCs w:val="20"/>
                <w:lang w:eastAsia="en-AU"/>
              </w:rPr>
              <w:t>a</w:t>
            </w:r>
            <w:r w:rsidRPr="00A8526B">
              <w:rPr>
                <w:rFonts w:eastAsia="Times New Roman" w:cstheme="minorHAnsi"/>
                <w:sz w:val="20"/>
                <w:szCs w:val="20"/>
                <w:lang w:eastAsia="en-AU"/>
              </w:rPr>
              <w:t>ssess</w:t>
            </w:r>
            <w:r>
              <w:rPr>
                <w:rFonts w:eastAsia="Times New Roman" w:cstheme="minorHAnsi"/>
                <w:sz w:val="20"/>
                <w:szCs w:val="20"/>
                <w:lang w:eastAsia="en-AU"/>
              </w:rPr>
              <w:t xml:space="preserve">or reviews funding application </w:t>
            </w:r>
            <w:r w:rsidRPr="00432696">
              <w:rPr>
                <w:rFonts w:eastAsia="Times New Roman" w:cstheme="minorHAnsi"/>
                <w:sz w:val="20"/>
                <w:szCs w:val="20"/>
                <w:lang w:eastAsia="en-AU"/>
              </w:rPr>
              <w:t xml:space="preserve">using: </w:t>
            </w:r>
            <w:r>
              <w:rPr>
                <w:rFonts w:eastAsia="Times New Roman" w:cstheme="minorHAnsi"/>
                <w:sz w:val="20"/>
                <w:szCs w:val="20"/>
                <w:lang w:eastAsia="en-AU"/>
              </w:rPr>
              <w:t>data analytics</w:t>
            </w:r>
            <w:r w:rsidRPr="00432696">
              <w:rPr>
                <w:rFonts w:eastAsia="Times New Roman" w:cstheme="minorHAnsi"/>
                <w:sz w:val="20"/>
                <w:szCs w:val="20"/>
                <w:lang w:eastAsia="en-AU"/>
              </w:rPr>
              <w:t>, e-</w:t>
            </w:r>
            <w:r>
              <w:rPr>
                <w:rFonts w:eastAsia="Times New Roman" w:cstheme="minorHAnsi"/>
                <w:sz w:val="20"/>
                <w:szCs w:val="20"/>
                <w:lang w:eastAsia="en-AU"/>
              </w:rPr>
              <w:t xml:space="preserve">audit, site visits and assessment to </w:t>
            </w:r>
            <w:r w:rsidRPr="00432696">
              <w:rPr>
                <w:rFonts w:eastAsia="Times New Roman" w:cstheme="minorHAnsi"/>
                <w:sz w:val="20"/>
                <w:szCs w:val="20"/>
                <w:lang w:eastAsia="en-AU"/>
              </w:rPr>
              <w:t>compare R-ACFIs.</w:t>
            </w:r>
          </w:p>
          <w:p w:rsidR="00571656" w:rsidRPr="00432696" w:rsidRDefault="00571656" w:rsidP="002416ED">
            <w:pPr>
              <w:spacing w:after="0"/>
              <w:jc w:val="left"/>
              <w:rPr>
                <w:rFonts w:eastAsia="Times New Roman" w:cstheme="minorHAnsi"/>
                <w:sz w:val="20"/>
                <w:szCs w:val="20"/>
                <w:lang w:eastAsia="en-AU"/>
              </w:rPr>
            </w:pPr>
            <w:r>
              <w:rPr>
                <w:rFonts w:eastAsia="Times New Roman" w:cstheme="minorHAnsi"/>
                <w:b/>
                <w:sz w:val="20"/>
                <w:szCs w:val="20"/>
                <w:lang w:eastAsia="en-AU"/>
              </w:rPr>
              <w:t xml:space="preserve">SAA assessor reviews up to 100% </w:t>
            </w:r>
            <w:r w:rsidRPr="00F12A1A">
              <w:rPr>
                <w:rFonts w:eastAsia="Times New Roman" w:cstheme="minorHAnsi"/>
                <w:b/>
                <w:sz w:val="20"/>
                <w:szCs w:val="20"/>
                <w:lang w:eastAsia="en-AU"/>
              </w:rPr>
              <w:t xml:space="preserve">of claims </w:t>
            </w:r>
            <w:r>
              <w:rPr>
                <w:rFonts w:eastAsia="Times New Roman" w:cstheme="minorHAnsi"/>
                <w:b/>
                <w:sz w:val="20"/>
                <w:szCs w:val="20"/>
                <w:lang w:eastAsia="en-AU"/>
              </w:rPr>
              <w:t>at</w:t>
            </w:r>
            <w:r w:rsidRPr="00F12A1A">
              <w:rPr>
                <w:rFonts w:eastAsia="Times New Roman" w:cstheme="minorHAnsi"/>
                <w:b/>
                <w:sz w:val="20"/>
                <w:szCs w:val="20"/>
                <w:lang w:eastAsia="en-AU"/>
              </w:rPr>
              <w:t xml:space="preserve"> </w:t>
            </w:r>
            <w:r>
              <w:rPr>
                <w:rFonts w:eastAsia="Times New Roman" w:cstheme="minorHAnsi"/>
                <w:b/>
                <w:sz w:val="20"/>
                <w:szCs w:val="20"/>
                <w:lang w:eastAsia="en-AU"/>
              </w:rPr>
              <w:t xml:space="preserve">a </w:t>
            </w:r>
            <w:r w:rsidRPr="00F12A1A">
              <w:rPr>
                <w:rFonts w:eastAsia="Times New Roman" w:cstheme="minorHAnsi"/>
                <w:b/>
                <w:sz w:val="20"/>
                <w:szCs w:val="20"/>
                <w:lang w:eastAsia="en-AU"/>
              </w:rPr>
              <w:t>site visit</w:t>
            </w:r>
            <w:r>
              <w:rPr>
                <w:rFonts w:eastAsia="Times New Roman" w:cstheme="minorHAnsi"/>
                <w:b/>
                <w:sz w:val="20"/>
                <w:szCs w:val="20"/>
                <w:lang w:eastAsia="en-AU"/>
              </w:rPr>
              <w:t xml:space="preserve"> </w:t>
            </w:r>
          </w:p>
        </w:tc>
      </w:tr>
      <w:tr w:rsidR="00571656" w:rsidRPr="00432696" w:rsidTr="007F2ED6">
        <w:tc>
          <w:tcPr>
            <w:tcW w:w="2875" w:type="dxa"/>
          </w:tcPr>
          <w:p w:rsidR="00571656" w:rsidRDefault="00571656" w:rsidP="002416ED">
            <w:pPr>
              <w:spacing w:after="0"/>
              <w:jc w:val="left"/>
              <w:rPr>
                <w:rFonts w:eastAsia="Times New Roman" w:cstheme="minorHAnsi"/>
                <w:b/>
                <w:sz w:val="20"/>
                <w:szCs w:val="20"/>
                <w:lang w:eastAsia="en-AU"/>
              </w:rPr>
            </w:pPr>
            <w:r>
              <w:rPr>
                <w:rFonts w:eastAsia="Times New Roman" w:cstheme="minorHAnsi"/>
                <w:b/>
                <w:sz w:val="20"/>
                <w:szCs w:val="20"/>
                <w:lang w:eastAsia="en-AU"/>
              </w:rPr>
              <w:t>Proportion of residents undergoing full external assessment</w:t>
            </w:r>
          </w:p>
        </w:tc>
        <w:tc>
          <w:tcPr>
            <w:tcW w:w="6120" w:type="dxa"/>
          </w:tcPr>
          <w:p w:rsidR="00571656" w:rsidRPr="00866C55" w:rsidRDefault="00571656" w:rsidP="002416ED">
            <w:pPr>
              <w:spacing w:after="0"/>
              <w:jc w:val="left"/>
              <w:rPr>
                <w:rFonts w:eastAsia="Times New Roman" w:cstheme="minorHAnsi"/>
                <w:sz w:val="20"/>
                <w:szCs w:val="20"/>
                <w:lang w:eastAsia="en-AU"/>
              </w:rPr>
            </w:pPr>
            <w:r>
              <w:rPr>
                <w:rFonts w:eastAsia="Times New Roman" w:cstheme="minorHAnsi"/>
                <w:sz w:val="20"/>
                <w:szCs w:val="20"/>
                <w:lang w:eastAsia="en-AU"/>
              </w:rPr>
              <w:t>Up to</w:t>
            </w:r>
            <w:r w:rsidRPr="00866C55">
              <w:rPr>
                <w:rFonts w:eastAsia="Times New Roman" w:cstheme="minorHAnsi"/>
                <w:sz w:val="20"/>
                <w:szCs w:val="20"/>
                <w:lang w:eastAsia="en-AU"/>
              </w:rPr>
              <w:t xml:space="preserve"> 100% of residents will receive an </w:t>
            </w:r>
            <w:r>
              <w:rPr>
                <w:rFonts w:eastAsia="Times New Roman" w:cstheme="minorHAnsi"/>
                <w:sz w:val="20"/>
                <w:szCs w:val="20"/>
                <w:lang w:eastAsia="en-AU"/>
              </w:rPr>
              <w:t>external assessment by the specialist assessor.</w:t>
            </w:r>
          </w:p>
        </w:tc>
      </w:tr>
      <w:tr w:rsidR="00571656" w:rsidRPr="00432696" w:rsidTr="007F2ED6">
        <w:tc>
          <w:tcPr>
            <w:tcW w:w="2875" w:type="dxa"/>
          </w:tcPr>
          <w:p w:rsidR="00571656" w:rsidRPr="00432696" w:rsidRDefault="00571656" w:rsidP="002416ED">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Funding certainty &amp; Audits</w:t>
            </w:r>
          </w:p>
        </w:tc>
        <w:tc>
          <w:tcPr>
            <w:tcW w:w="6120" w:type="dxa"/>
          </w:tcPr>
          <w:p w:rsidR="00571656" w:rsidRDefault="00571656" w:rsidP="002416ED">
            <w:pPr>
              <w:spacing w:after="0"/>
              <w:jc w:val="left"/>
              <w:rPr>
                <w:rFonts w:eastAsia="Times New Roman" w:cstheme="minorHAnsi"/>
                <w:sz w:val="20"/>
                <w:szCs w:val="20"/>
                <w:lang w:eastAsia="en-AU"/>
              </w:rPr>
            </w:pPr>
            <w:r>
              <w:rPr>
                <w:rFonts w:eastAsia="Times New Roman" w:cstheme="minorHAnsi"/>
                <w:sz w:val="20"/>
                <w:szCs w:val="20"/>
                <w:lang w:eastAsia="en-AU"/>
              </w:rPr>
              <w:t>On R-ACFI</w:t>
            </w:r>
            <w:r w:rsidRPr="00432696">
              <w:rPr>
                <w:rFonts w:eastAsia="Times New Roman" w:cstheme="minorHAnsi"/>
                <w:sz w:val="20"/>
                <w:szCs w:val="20"/>
                <w:lang w:eastAsia="en-AU"/>
              </w:rPr>
              <w:t xml:space="preserve"> submission but subject to audit</w:t>
            </w:r>
            <w:r>
              <w:rPr>
                <w:rFonts w:eastAsia="Times New Roman" w:cstheme="minorHAnsi"/>
                <w:sz w:val="20"/>
                <w:szCs w:val="20"/>
                <w:lang w:eastAsia="en-AU"/>
              </w:rPr>
              <w:t xml:space="preserve"> for up to 12 months,</w:t>
            </w:r>
          </w:p>
          <w:p w:rsidR="00571656" w:rsidRPr="00432696" w:rsidRDefault="00571656" w:rsidP="002416ED">
            <w:pPr>
              <w:spacing w:after="0"/>
              <w:jc w:val="left"/>
              <w:rPr>
                <w:rFonts w:eastAsia="Times New Roman" w:cstheme="minorHAnsi"/>
                <w:sz w:val="20"/>
                <w:szCs w:val="20"/>
                <w:lang w:eastAsia="en-AU"/>
              </w:rPr>
            </w:pPr>
            <w:r>
              <w:rPr>
                <w:rFonts w:eastAsia="Times New Roman" w:cstheme="minorHAnsi"/>
                <w:sz w:val="20"/>
                <w:szCs w:val="20"/>
                <w:lang w:eastAsia="en-AU"/>
              </w:rPr>
              <w:t>Most reviews completed within 6 months of admission</w:t>
            </w:r>
          </w:p>
        </w:tc>
      </w:tr>
      <w:tr w:rsidR="00571656" w:rsidRPr="00432696" w:rsidTr="007F2ED6">
        <w:tc>
          <w:tcPr>
            <w:tcW w:w="2875" w:type="dxa"/>
          </w:tcPr>
          <w:p w:rsidR="00571656" w:rsidRPr="00432696" w:rsidRDefault="00571656" w:rsidP="002416ED">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When full funding paid?</w:t>
            </w:r>
            <w:r w:rsidR="007A576E">
              <w:rPr>
                <w:rFonts w:eastAsia="Times New Roman" w:cstheme="minorHAnsi"/>
                <w:b/>
                <w:sz w:val="20"/>
                <w:szCs w:val="20"/>
                <w:lang w:eastAsia="en-AU"/>
              </w:rPr>
              <w:t xml:space="preserve"> </w:t>
            </w:r>
          </w:p>
        </w:tc>
        <w:tc>
          <w:tcPr>
            <w:tcW w:w="6120" w:type="dxa"/>
          </w:tcPr>
          <w:p w:rsidR="00571656" w:rsidRPr="00432696" w:rsidRDefault="00571656" w:rsidP="002416ED">
            <w:pPr>
              <w:spacing w:after="0"/>
              <w:jc w:val="left"/>
              <w:rPr>
                <w:rFonts w:eastAsia="Times New Roman" w:cstheme="minorHAnsi"/>
                <w:sz w:val="20"/>
                <w:szCs w:val="20"/>
                <w:lang w:eastAsia="en-AU"/>
              </w:rPr>
            </w:pPr>
            <w:r>
              <w:rPr>
                <w:rFonts w:eastAsia="Times New Roman" w:cstheme="minorHAnsi"/>
                <w:sz w:val="20"/>
                <w:szCs w:val="20"/>
                <w:lang w:eastAsia="en-AU"/>
              </w:rPr>
              <w:t>Within 2</w:t>
            </w:r>
            <w:r w:rsidRPr="00432696">
              <w:rPr>
                <w:rFonts w:eastAsia="Times New Roman" w:cstheme="minorHAnsi"/>
                <w:sz w:val="20"/>
                <w:szCs w:val="20"/>
                <w:lang w:eastAsia="en-AU"/>
              </w:rPr>
              <w:t xml:space="preserve"> months after admission</w:t>
            </w:r>
          </w:p>
        </w:tc>
      </w:tr>
      <w:tr w:rsidR="00571656" w:rsidRPr="00432696" w:rsidTr="007F2ED6">
        <w:tc>
          <w:tcPr>
            <w:tcW w:w="2875" w:type="dxa"/>
          </w:tcPr>
          <w:p w:rsidR="00571656" w:rsidRPr="00432696" w:rsidRDefault="00571656" w:rsidP="002416ED">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 xml:space="preserve">Period </w:t>
            </w:r>
            <w:r>
              <w:rPr>
                <w:rFonts w:eastAsia="Times New Roman" w:cstheme="minorHAnsi"/>
                <w:b/>
                <w:sz w:val="20"/>
                <w:szCs w:val="20"/>
                <w:lang w:eastAsia="en-AU"/>
              </w:rPr>
              <w:t>provider</w:t>
            </w:r>
            <w:r w:rsidRPr="00432696">
              <w:rPr>
                <w:rFonts w:eastAsia="Times New Roman" w:cstheme="minorHAnsi"/>
                <w:b/>
                <w:sz w:val="20"/>
                <w:szCs w:val="20"/>
                <w:lang w:eastAsia="en-AU"/>
              </w:rPr>
              <w:t xml:space="preserve"> does R-ACFI</w:t>
            </w:r>
          </w:p>
        </w:tc>
        <w:tc>
          <w:tcPr>
            <w:tcW w:w="6120" w:type="dxa"/>
          </w:tcPr>
          <w:p w:rsidR="00571656" w:rsidRPr="00432696" w:rsidRDefault="00571656" w:rsidP="002416ED">
            <w:pPr>
              <w:spacing w:after="0"/>
              <w:jc w:val="left"/>
              <w:rPr>
                <w:rFonts w:eastAsia="Times New Roman" w:cstheme="minorHAnsi"/>
                <w:sz w:val="20"/>
                <w:szCs w:val="20"/>
                <w:lang w:eastAsia="en-AU"/>
              </w:rPr>
            </w:pPr>
            <w:r>
              <w:rPr>
                <w:rFonts w:eastAsia="Times New Roman" w:cstheme="minorHAnsi"/>
                <w:sz w:val="20"/>
                <w:szCs w:val="20"/>
                <w:lang w:eastAsia="en-AU"/>
              </w:rPr>
              <w:t>2</w:t>
            </w:r>
            <w:r w:rsidRPr="00432696">
              <w:rPr>
                <w:rFonts w:eastAsia="Times New Roman" w:cstheme="minorHAnsi"/>
                <w:sz w:val="20"/>
                <w:szCs w:val="20"/>
                <w:lang w:eastAsia="en-AU"/>
              </w:rPr>
              <w:t xml:space="preserve"> month</w:t>
            </w:r>
            <w:r>
              <w:rPr>
                <w:rFonts w:eastAsia="Times New Roman" w:cstheme="minorHAnsi"/>
                <w:sz w:val="20"/>
                <w:szCs w:val="20"/>
                <w:lang w:eastAsia="en-AU"/>
              </w:rPr>
              <w:t>s</w:t>
            </w:r>
            <w:r w:rsidRPr="00432696">
              <w:rPr>
                <w:rFonts w:eastAsia="Times New Roman" w:cstheme="minorHAnsi"/>
                <w:sz w:val="20"/>
                <w:szCs w:val="20"/>
                <w:lang w:eastAsia="en-AU"/>
              </w:rPr>
              <w:t xml:space="preserve"> </w:t>
            </w:r>
          </w:p>
        </w:tc>
      </w:tr>
      <w:tr w:rsidR="002416ED" w:rsidRPr="003837B9" w:rsidTr="007F2ED6">
        <w:tc>
          <w:tcPr>
            <w:tcW w:w="2875" w:type="dxa"/>
            <w:shd w:val="clear" w:color="auto" w:fill="5B9BD5" w:themeFill="accent5"/>
          </w:tcPr>
          <w:p w:rsidR="002416ED" w:rsidRPr="003837B9" w:rsidRDefault="002416ED" w:rsidP="002416ED">
            <w:pPr>
              <w:spacing w:after="0"/>
              <w:jc w:val="left"/>
              <w:rPr>
                <w:rFonts w:eastAsia="Times New Roman" w:cstheme="minorHAnsi"/>
                <w:b/>
                <w:color w:val="FFFFFF" w:themeColor="background1"/>
                <w:sz w:val="20"/>
                <w:szCs w:val="20"/>
                <w:lang w:eastAsia="en-AU"/>
              </w:rPr>
            </w:pPr>
            <w:r w:rsidRPr="003837B9">
              <w:rPr>
                <w:rFonts w:eastAsia="Times New Roman" w:cstheme="minorHAnsi"/>
                <w:b/>
                <w:color w:val="FFFFFF" w:themeColor="background1"/>
                <w:sz w:val="20"/>
                <w:szCs w:val="20"/>
                <w:lang w:eastAsia="en-AU"/>
              </w:rPr>
              <w:t>Re-appraisals</w:t>
            </w:r>
          </w:p>
        </w:tc>
        <w:tc>
          <w:tcPr>
            <w:tcW w:w="6120" w:type="dxa"/>
            <w:shd w:val="clear" w:color="auto" w:fill="5B9BD5" w:themeFill="accent5"/>
          </w:tcPr>
          <w:p w:rsidR="002416ED" w:rsidRPr="003837B9" w:rsidRDefault="002416ED" w:rsidP="002416ED">
            <w:pPr>
              <w:spacing w:after="0"/>
              <w:jc w:val="left"/>
              <w:rPr>
                <w:rFonts w:eastAsia="Times New Roman" w:cstheme="minorHAnsi"/>
                <w:color w:val="FFFFFF" w:themeColor="background1"/>
                <w:sz w:val="20"/>
                <w:szCs w:val="20"/>
                <w:lang w:eastAsia="en-AU"/>
              </w:rPr>
            </w:pPr>
            <w:r w:rsidRPr="002416ED">
              <w:rPr>
                <w:rFonts w:eastAsia="Times New Roman" w:cstheme="minorHAnsi"/>
                <w:b/>
                <w:color w:val="FFFFFF" w:themeColor="background1"/>
                <w:sz w:val="20"/>
                <w:szCs w:val="20"/>
                <w:lang w:eastAsia="en-AU"/>
              </w:rPr>
              <w:t>Details</w:t>
            </w:r>
          </w:p>
        </w:tc>
      </w:tr>
      <w:tr w:rsidR="002416ED" w:rsidRPr="00432696" w:rsidTr="007F2ED6">
        <w:tc>
          <w:tcPr>
            <w:tcW w:w="2875" w:type="dxa"/>
          </w:tcPr>
          <w:p w:rsidR="002416ED" w:rsidRPr="00432696" w:rsidRDefault="002416ED" w:rsidP="002416ED">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Funding Determination Process</w:t>
            </w:r>
          </w:p>
          <w:p w:rsidR="002416ED" w:rsidRPr="00432696" w:rsidRDefault="002416ED" w:rsidP="002416ED">
            <w:pPr>
              <w:spacing w:after="0"/>
              <w:jc w:val="left"/>
              <w:rPr>
                <w:rFonts w:eastAsia="Times New Roman" w:cstheme="minorHAnsi"/>
                <w:b/>
                <w:sz w:val="20"/>
                <w:szCs w:val="20"/>
                <w:lang w:eastAsia="en-AU"/>
              </w:rPr>
            </w:pPr>
            <w:r>
              <w:rPr>
                <w:rFonts w:eastAsia="Times New Roman" w:cstheme="minorHAnsi"/>
                <w:sz w:val="20"/>
                <w:szCs w:val="20"/>
                <w:lang w:eastAsia="en-AU"/>
              </w:rPr>
              <w:t>C</w:t>
            </w:r>
            <w:r w:rsidRPr="00432696">
              <w:rPr>
                <w:rFonts w:eastAsia="Times New Roman" w:cstheme="minorHAnsi"/>
                <w:sz w:val="20"/>
                <w:szCs w:val="20"/>
                <w:lang w:eastAsia="en-AU"/>
              </w:rPr>
              <w:t>ompare R-ACFIs</w:t>
            </w:r>
          </w:p>
        </w:tc>
        <w:tc>
          <w:tcPr>
            <w:tcW w:w="6120" w:type="dxa"/>
          </w:tcPr>
          <w:p w:rsidR="00980F62" w:rsidRDefault="002416ED" w:rsidP="002416ED">
            <w:pPr>
              <w:spacing w:after="0"/>
              <w:jc w:val="left"/>
              <w:rPr>
                <w:rFonts w:cstheme="minorHAnsi"/>
                <w:b/>
                <w:sz w:val="20"/>
                <w:szCs w:val="20"/>
              </w:rPr>
            </w:pPr>
            <w:r w:rsidRPr="001C540E">
              <w:rPr>
                <w:rFonts w:cstheme="minorHAnsi"/>
                <w:b/>
                <w:sz w:val="20"/>
                <w:szCs w:val="20"/>
              </w:rPr>
              <w:t xml:space="preserve">Provider </w:t>
            </w:r>
            <w:r>
              <w:rPr>
                <w:rFonts w:cstheme="minorHAnsi"/>
                <w:b/>
                <w:sz w:val="20"/>
                <w:szCs w:val="20"/>
              </w:rPr>
              <w:t>R-ACFI used</w:t>
            </w:r>
            <w:r w:rsidRPr="001C540E">
              <w:rPr>
                <w:rFonts w:cstheme="minorHAnsi"/>
                <w:b/>
                <w:sz w:val="20"/>
                <w:szCs w:val="20"/>
              </w:rPr>
              <w:t xml:space="preserve"> for </w:t>
            </w:r>
            <w:r>
              <w:rPr>
                <w:rFonts w:cstheme="minorHAnsi"/>
                <w:b/>
                <w:sz w:val="20"/>
                <w:szCs w:val="20"/>
              </w:rPr>
              <w:t>re-appraisal funding determination</w:t>
            </w:r>
          </w:p>
          <w:p w:rsidR="002416ED" w:rsidRDefault="002416ED" w:rsidP="002416ED">
            <w:pPr>
              <w:spacing w:after="0"/>
              <w:jc w:val="left"/>
              <w:rPr>
                <w:rFonts w:cstheme="minorHAnsi"/>
                <w:b/>
                <w:sz w:val="20"/>
                <w:szCs w:val="20"/>
              </w:rPr>
            </w:pPr>
            <w:r>
              <w:rPr>
                <w:rFonts w:eastAsia="Times New Roman" w:cstheme="minorHAnsi"/>
                <w:b/>
                <w:sz w:val="20"/>
                <w:szCs w:val="20"/>
                <w:lang w:eastAsia="en-AU"/>
              </w:rPr>
              <w:t>SAA assessor reviews 25% to 5</w:t>
            </w:r>
            <w:r w:rsidRPr="00F12A1A">
              <w:rPr>
                <w:rFonts w:eastAsia="Times New Roman" w:cstheme="minorHAnsi"/>
                <w:b/>
                <w:sz w:val="20"/>
                <w:szCs w:val="20"/>
                <w:lang w:eastAsia="en-AU"/>
              </w:rPr>
              <w:t xml:space="preserve">0% of claims </w:t>
            </w:r>
            <w:r>
              <w:rPr>
                <w:rFonts w:eastAsia="Times New Roman" w:cstheme="minorHAnsi"/>
                <w:b/>
                <w:sz w:val="20"/>
                <w:szCs w:val="20"/>
                <w:lang w:eastAsia="en-AU"/>
              </w:rPr>
              <w:t xml:space="preserve">at </w:t>
            </w:r>
            <w:r w:rsidRPr="00F12A1A">
              <w:rPr>
                <w:rFonts w:eastAsia="Times New Roman" w:cstheme="minorHAnsi"/>
                <w:b/>
                <w:sz w:val="20"/>
                <w:szCs w:val="20"/>
                <w:lang w:eastAsia="en-AU"/>
              </w:rPr>
              <w:t>site visit</w:t>
            </w:r>
          </w:p>
          <w:p w:rsidR="002416ED" w:rsidRPr="00432696" w:rsidRDefault="002416ED" w:rsidP="002416ED">
            <w:pPr>
              <w:spacing w:after="0"/>
              <w:jc w:val="left"/>
              <w:rPr>
                <w:rFonts w:eastAsia="Times New Roman" w:cstheme="minorHAnsi"/>
                <w:sz w:val="20"/>
                <w:szCs w:val="20"/>
                <w:lang w:eastAsia="en-AU"/>
              </w:rPr>
            </w:pPr>
            <w:r>
              <w:rPr>
                <w:rFonts w:eastAsia="Times New Roman" w:cstheme="minorHAnsi"/>
                <w:sz w:val="20"/>
                <w:szCs w:val="20"/>
                <w:lang w:eastAsia="en-AU"/>
              </w:rPr>
              <w:t>SAA assessor</w:t>
            </w:r>
            <w:r w:rsidRPr="00432696">
              <w:rPr>
                <w:rFonts w:eastAsia="Times New Roman" w:cstheme="minorHAnsi"/>
                <w:sz w:val="20"/>
                <w:szCs w:val="20"/>
                <w:lang w:eastAsia="en-AU"/>
              </w:rPr>
              <w:t xml:space="preserve"> </w:t>
            </w:r>
            <w:r>
              <w:rPr>
                <w:rFonts w:eastAsia="Times New Roman" w:cstheme="minorHAnsi"/>
                <w:sz w:val="20"/>
                <w:szCs w:val="20"/>
                <w:lang w:eastAsia="en-AU"/>
              </w:rPr>
              <w:t>checks R-ACFIs u</w:t>
            </w:r>
            <w:r w:rsidRPr="00432696">
              <w:rPr>
                <w:rFonts w:eastAsia="Times New Roman" w:cstheme="minorHAnsi"/>
                <w:sz w:val="20"/>
                <w:szCs w:val="20"/>
                <w:lang w:eastAsia="en-AU"/>
              </w:rPr>
              <w:t xml:space="preserve">sing: </w:t>
            </w:r>
            <w:r>
              <w:rPr>
                <w:rFonts w:eastAsia="Times New Roman" w:cstheme="minorHAnsi"/>
                <w:sz w:val="20"/>
                <w:szCs w:val="20"/>
                <w:lang w:eastAsia="en-AU"/>
              </w:rPr>
              <w:t>data analytics</w:t>
            </w:r>
            <w:r w:rsidRPr="00432696">
              <w:rPr>
                <w:rFonts w:eastAsia="Times New Roman" w:cstheme="minorHAnsi"/>
                <w:sz w:val="20"/>
                <w:szCs w:val="20"/>
                <w:lang w:eastAsia="en-AU"/>
              </w:rPr>
              <w:t>, e-</w:t>
            </w:r>
            <w:r>
              <w:rPr>
                <w:rFonts w:eastAsia="Times New Roman" w:cstheme="minorHAnsi"/>
                <w:sz w:val="20"/>
                <w:szCs w:val="20"/>
                <w:lang w:eastAsia="en-AU"/>
              </w:rPr>
              <w:t>audit, site visits and assessment</w:t>
            </w:r>
          </w:p>
        </w:tc>
      </w:tr>
      <w:tr w:rsidR="002416ED" w:rsidRPr="00432696" w:rsidTr="007F2ED6">
        <w:tc>
          <w:tcPr>
            <w:tcW w:w="2875" w:type="dxa"/>
          </w:tcPr>
          <w:p w:rsidR="002416ED" w:rsidRPr="00432696" w:rsidRDefault="002416ED" w:rsidP="002416ED">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When full funding paid?</w:t>
            </w:r>
            <w:r>
              <w:rPr>
                <w:rFonts w:eastAsia="Times New Roman" w:cstheme="minorHAnsi"/>
                <w:b/>
                <w:sz w:val="20"/>
                <w:szCs w:val="20"/>
                <w:lang w:eastAsia="en-AU"/>
              </w:rPr>
              <w:t xml:space="preserve"> </w:t>
            </w:r>
          </w:p>
        </w:tc>
        <w:tc>
          <w:tcPr>
            <w:tcW w:w="6120" w:type="dxa"/>
          </w:tcPr>
          <w:p w:rsidR="002416ED" w:rsidRPr="00432696" w:rsidRDefault="002416ED" w:rsidP="002416ED">
            <w:pPr>
              <w:spacing w:after="0"/>
              <w:jc w:val="left"/>
              <w:rPr>
                <w:rFonts w:eastAsia="Times New Roman" w:cstheme="minorHAnsi"/>
                <w:sz w:val="20"/>
                <w:szCs w:val="20"/>
                <w:lang w:eastAsia="en-AU"/>
              </w:rPr>
            </w:pPr>
            <w:r w:rsidRPr="00432696">
              <w:rPr>
                <w:rFonts w:eastAsia="Times New Roman" w:cstheme="minorHAnsi"/>
                <w:sz w:val="20"/>
                <w:szCs w:val="20"/>
                <w:lang w:eastAsia="en-AU"/>
              </w:rPr>
              <w:t>Immediate on submission but subject to audit</w:t>
            </w:r>
          </w:p>
        </w:tc>
      </w:tr>
      <w:tr w:rsidR="002416ED" w:rsidRPr="00432696" w:rsidTr="007F2ED6">
        <w:tc>
          <w:tcPr>
            <w:tcW w:w="2875" w:type="dxa"/>
          </w:tcPr>
          <w:p w:rsidR="002416ED" w:rsidRPr="00432696" w:rsidRDefault="002416ED" w:rsidP="002416ED">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Funding certainty &amp; Audit</w:t>
            </w:r>
          </w:p>
        </w:tc>
        <w:tc>
          <w:tcPr>
            <w:tcW w:w="6120" w:type="dxa"/>
          </w:tcPr>
          <w:p w:rsidR="002416ED" w:rsidRPr="00432696" w:rsidRDefault="002416ED" w:rsidP="002416ED">
            <w:pPr>
              <w:spacing w:after="0"/>
              <w:jc w:val="left"/>
              <w:rPr>
                <w:rFonts w:eastAsia="Times New Roman" w:cstheme="minorHAnsi"/>
                <w:sz w:val="20"/>
                <w:szCs w:val="20"/>
                <w:lang w:eastAsia="en-AU"/>
              </w:rPr>
            </w:pPr>
            <w:r>
              <w:rPr>
                <w:rFonts w:eastAsia="Times New Roman" w:cstheme="minorHAnsi"/>
                <w:sz w:val="20"/>
                <w:szCs w:val="20"/>
                <w:lang w:eastAsia="en-AU"/>
              </w:rPr>
              <w:t xml:space="preserve">Assessment </w:t>
            </w:r>
            <w:r w:rsidRPr="00432696">
              <w:rPr>
                <w:rFonts w:eastAsia="Times New Roman" w:cstheme="minorHAnsi"/>
                <w:sz w:val="20"/>
                <w:szCs w:val="20"/>
                <w:lang w:eastAsia="en-AU"/>
              </w:rPr>
              <w:t>Audit</w:t>
            </w:r>
            <w:r>
              <w:rPr>
                <w:rFonts w:eastAsia="Times New Roman" w:cstheme="minorHAnsi"/>
                <w:sz w:val="20"/>
                <w:szCs w:val="20"/>
                <w:lang w:eastAsia="en-AU"/>
              </w:rPr>
              <w:t xml:space="preserve">: </w:t>
            </w:r>
            <w:r w:rsidRPr="00432696">
              <w:rPr>
                <w:rFonts w:eastAsia="Times New Roman" w:cstheme="minorHAnsi"/>
                <w:sz w:val="20"/>
                <w:szCs w:val="20"/>
                <w:lang w:eastAsia="en-AU"/>
              </w:rPr>
              <w:t xml:space="preserve">restricted to </w:t>
            </w:r>
            <w:r>
              <w:rPr>
                <w:rFonts w:eastAsia="Times New Roman" w:cstheme="minorHAnsi"/>
                <w:sz w:val="20"/>
                <w:szCs w:val="20"/>
                <w:lang w:eastAsia="en-AU"/>
              </w:rPr>
              <w:t>12</w:t>
            </w:r>
            <w:r w:rsidRPr="00432696">
              <w:rPr>
                <w:rFonts w:eastAsia="Times New Roman" w:cstheme="minorHAnsi"/>
                <w:sz w:val="20"/>
                <w:szCs w:val="20"/>
                <w:lang w:eastAsia="en-AU"/>
              </w:rPr>
              <w:t xml:space="preserve"> months</w:t>
            </w:r>
          </w:p>
        </w:tc>
      </w:tr>
      <w:tr w:rsidR="002416ED" w:rsidRPr="002416ED" w:rsidTr="007F2ED6">
        <w:tc>
          <w:tcPr>
            <w:tcW w:w="2875" w:type="dxa"/>
            <w:shd w:val="clear" w:color="auto" w:fill="5B9BD5" w:themeFill="accent5"/>
          </w:tcPr>
          <w:p w:rsidR="002416ED" w:rsidRPr="002416ED" w:rsidRDefault="002416ED" w:rsidP="002416ED">
            <w:pPr>
              <w:spacing w:after="0"/>
              <w:jc w:val="left"/>
              <w:rPr>
                <w:rFonts w:eastAsia="Times New Roman" w:cstheme="minorHAnsi"/>
                <w:b/>
                <w:color w:val="FFFFFF" w:themeColor="background1"/>
                <w:sz w:val="20"/>
                <w:szCs w:val="20"/>
                <w:lang w:eastAsia="en-AU"/>
              </w:rPr>
            </w:pPr>
            <w:r w:rsidRPr="002416ED">
              <w:rPr>
                <w:rFonts w:eastAsia="Times New Roman" w:cstheme="minorHAnsi"/>
                <w:b/>
                <w:color w:val="FFFFFF" w:themeColor="background1"/>
                <w:sz w:val="20"/>
                <w:szCs w:val="20"/>
                <w:lang w:eastAsia="en-AU"/>
              </w:rPr>
              <w:t>Other Aspects</w:t>
            </w:r>
          </w:p>
        </w:tc>
        <w:tc>
          <w:tcPr>
            <w:tcW w:w="6120" w:type="dxa"/>
            <w:shd w:val="clear" w:color="auto" w:fill="5B9BD5" w:themeFill="accent5"/>
          </w:tcPr>
          <w:p w:rsidR="002416ED" w:rsidRPr="002416ED" w:rsidRDefault="002416ED" w:rsidP="002416ED">
            <w:pPr>
              <w:spacing w:after="0"/>
              <w:jc w:val="left"/>
              <w:rPr>
                <w:rFonts w:eastAsia="Times New Roman" w:cstheme="minorHAnsi"/>
                <w:b/>
                <w:color w:val="FFFFFF" w:themeColor="background1"/>
                <w:sz w:val="20"/>
                <w:szCs w:val="20"/>
                <w:lang w:eastAsia="en-AU"/>
              </w:rPr>
            </w:pPr>
            <w:r w:rsidRPr="002416ED">
              <w:rPr>
                <w:rFonts w:eastAsia="Times New Roman" w:cstheme="minorHAnsi"/>
                <w:b/>
                <w:color w:val="FFFFFF" w:themeColor="background1"/>
                <w:sz w:val="20"/>
                <w:szCs w:val="20"/>
                <w:lang w:eastAsia="en-AU"/>
              </w:rPr>
              <w:t>Details</w:t>
            </w:r>
          </w:p>
        </w:tc>
      </w:tr>
      <w:tr w:rsidR="002416ED" w:rsidRPr="00432696" w:rsidTr="007F2ED6">
        <w:tc>
          <w:tcPr>
            <w:tcW w:w="2875" w:type="dxa"/>
          </w:tcPr>
          <w:p w:rsidR="002416ED" w:rsidRPr="00432696" w:rsidRDefault="002416ED" w:rsidP="002416ED">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Method Used to Audit Funding</w:t>
            </w:r>
          </w:p>
        </w:tc>
        <w:tc>
          <w:tcPr>
            <w:tcW w:w="6120" w:type="dxa"/>
          </w:tcPr>
          <w:p w:rsidR="002416ED" w:rsidRPr="00432696" w:rsidRDefault="002416ED" w:rsidP="002416ED">
            <w:pPr>
              <w:spacing w:after="0"/>
              <w:jc w:val="left"/>
              <w:rPr>
                <w:rFonts w:eastAsia="Times New Roman" w:cstheme="minorHAnsi"/>
                <w:sz w:val="20"/>
                <w:szCs w:val="20"/>
                <w:lang w:eastAsia="en-AU"/>
              </w:rPr>
            </w:pPr>
            <w:r w:rsidRPr="00432696">
              <w:rPr>
                <w:rFonts w:eastAsia="Times New Roman" w:cstheme="minorHAnsi"/>
                <w:sz w:val="20"/>
                <w:szCs w:val="20"/>
                <w:lang w:eastAsia="en-AU"/>
              </w:rPr>
              <w:t>Assessed care need</w:t>
            </w:r>
          </w:p>
        </w:tc>
      </w:tr>
      <w:tr w:rsidR="002416ED" w:rsidRPr="00432696" w:rsidTr="007F2ED6">
        <w:tc>
          <w:tcPr>
            <w:tcW w:w="2875" w:type="dxa"/>
          </w:tcPr>
          <w:p w:rsidR="002416ED" w:rsidRPr="00432696" w:rsidRDefault="002416ED" w:rsidP="002416ED">
            <w:pPr>
              <w:spacing w:after="0"/>
              <w:jc w:val="left"/>
              <w:rPr>
                <w:rFonts w:eastAsia="Times New Roman" w:cstheme="minorHAnsi"/>
                <w:b/>
                <w:sz w:val="20"/>
                <w:szCs w:val="20"/>
                <w:lang w:eastAsia="en-AU"/>
              </w:rPr>
            </w:pPr>
            <w:r w:rsidRPr="00432696">
              <w:rPr>
                <w:rFonts w:eastAsia="Times New Roman" w:cstheme="minorHAnsi"/>
                <w:b/>
                <w:sz w:val="20"/>
                <w:szCs w:val="20"/>
                <w:lang w:eastAsia="en-AU"/>
              </w:rPr>
              <w:t>Stable funding</w:t>
            </w:r>
          </w:p>
        </w:tc>
        <w:tc>
          <w:tcPr>
            <w:tcW w:w="6120" w:type="dxa"/>
          </w:tcPr>
          <w:p w:rsidR="002416ED" w:rsidRPr="00432696" w:rsidRDefault="002416ED" w:rsidP="002416ED">
            <w:pPr>
              <w:spacing w:after="0"/>
              <w:jc w:val="left"/>
              <w:rPr>
                <w:rFonts w:eastAsia="Times New Roman" w:cstheme="minorHAnsi"/>
                <w:sz w:val="20"/>
                <w:szCs w:val="20"/>
                <w:lang w:eastAsia="en-AU"/>
              </w:rPr>
            </w:pPr>
            <w:r w:rsidRPr="00432696">
              <w:rPr>
                <w:rFonts w:eastAsia="Times New Roman" w:cstheme="minorHAnsi"/>
                <w:sz w:val="20"/>
                <w:szCs w:val="20"/>
                <w:lang w:eastAsia="en-AU"/>
              </w:rPr>
              <w:t>High</w:t>
            </w:r>
          </w:p>
        </w:tc>
      </w:tr>
    </w:tbl>
    <w:p w:rsidR="00980F62" w:rsidRDefault="00571656" w:rsidP="00CD2081">
      <w:pPr>
        <w:pStyle w:val="Heading4-Chapter1134"/>
      </w:pPr>
      <w:r>
        <w:br w:type="page"/>
      </w:r>
      <w:bookmarkStart w:id="771" w:name="_Hlk489278552"/>
      <w:r w:rsidRPr="002A4773">
        <w:lastRenderedPageBreak/>
        <w:t xml:space="preserve">Option 3 New Appraisals </w:t>
      </w:r>
      <w:r>
        <w:t>–</w:t>
      </w:r>
      <w:r w:rsidRPr="002A4773">
        <w:t xml:space="preserve"> </w:t>
      </w:r>
      <w:r>
        <w:t xml:space="preserve">Specialist </w:t>
      </w:r>
      <w:r w:rsidRPr="002A4773">
        <w:t>Assessment Agency</w:t>
      </w:r>
    </w:p>
    <w:p w:rsidR="00571656" w:rsidRPr="00460129" w:rsidRDefault="00571656" w:rsidP="00571656">
      <w:pPr>
        <w:rPr>
          <w:szCs w:val="24"/>
        </w:rPr>
      </w:pPr>
      <w:r w:rsidRPr="00460129">
        <w:rPr>
          <w:szCs w:val="24"/>
        </w:rPr>
        <w:t>This includes all appraisals</w:t>
      </w:r>
      <w:r>
        <w:rPr>
          <w:szCs w:val="24"/>
        </w:rPr>
        <w:t xml:space="preserve"> for clients </w:t>
      </w:r>
      <w:r w:rsidRPr="00460129">
        <w:rPr>
          <w:szCs w:val="24"/>
        </w:rPr>
        <w:t>in the community or coming from hospital, sub-acute or other supported residential locations</w:t>
      </w:r>
      <w:r>
        <w:rPr>
          <w:szCs w:val="24"/>
        </w:rPr>
        <w:t xml:space="preserve">. </w:t>
      </w:r>
      <w:r w:rsidRPr="00460129">
        <w:rPr>
          <w:szCs w:val="24"/>
        </w:rPr>
        <w:t>The following will apply:</w:t>
      </w:r>
    </w:p>
    <w:p w:rsidR="00571656" w:rsidRPr="00C73D3D" w:rsidRDefault="00571656" w:rsidP="00151877">
      <w:pPr>
        <w:pStyle w:val="ListParagraph"/>
        <w:numPr>
          <w:ilvl w:val="0"/>
          <w:numId w:val="54"/>
        </w:numPr>
        <w:rPr>
          <w:szCs w:val="24"/>
        </w:rPr>
      </w:pPr>
      <w:r w:rsidRPr="00C73D3D">
        <w:rPr>
          <w:szCs w:val="24"/>
        </w:rPr>
        <w:t xml:space="preserve">Providers will complete the R-ACFI </w:t>
      </w:r>
      <w:r>
        <w:rPr>
          <w:szCs w:val="24"/>
        </w:rPr>
        <w:t>for</w:t>
      </w:r>
      <w:r w:rsidRPr="00C73D3D">
        <w:rPr>
          <w:szCs w:val="24"/>
        </w:rPr>
        <w:t xml:space="preserve"> new resident</w:t>
      </w:r>
      <w:r>
        <w:rPr>
          <w:szCs w:val="24"/>
        </w:rPr>
        <w:t>s</w:t>
      </w:r>
      <w:r w:rsidRPr="00C73D3D">
        <w:rPr>
          <w:szCs w:val="24"/>
        </w:rPr>
        <w:t xml:space="preserve"> within </w:t>
      </w:r>
      <w:r>
        <w:rPr>
          <w:szCs w:val="24"/>
        </w:rPr>
        <w:t>two</w:t>
      </w:r>
      <w:r w:rsidRPr="00C73D3D">
        <w:rPr>
          <w:szCs w:val="24"/>
        </w:rPr>
        <w:t xml:space="preserve"> month</w:t>
      </w:r>
      <w:r>
        <w:rPr>
          <w:szCs w:val="24"/>
        </w:rPr>
        <w:t>s</w:t>
      </w:r>
      <w:r w:rsidRPr="00C73D3D">
        <w:rPr>
          <w:szCs w:val="24"/>
        </w:rPr>
        <w:t xml:space="preserve"> </w:t>
      </w:r>
      <w:r>
        <w:rPr>
          <w:szCs w:val="24"/>
        </w:rPr>
        <w:t>of admission.</w:t>
      </w:r>
    </w:p>
    <w:p w:rsidR="00980F62" w:rsidRDefault="00571656" w:rsidP="00151877">
      <w:pPr>
        <w:pStyle w:val="ListParagraph"/>
        <w:numPr>
          <w:ilvl w:val="0"/>
          <w:numId w:val="54"/>
        </w:numPr>
        <w:spacing w:after="0"/>
      </w:pPr>
      <w:r w:rsidRPr="00C73D3D">
        <w:t xml:space="preserve">The </w:t>
      </w:r>
      <w:r>
        <w:t xml:space="preserve">SAA </w:t>
      </w:r>
      <w:r w:rsidRPr="00C73D3D">
        <w:t xml:space="preserve">will conclude their funding determination </w:t>
      </w:r>
      <w:r>
        <w:t>usually within 3 to 6 months but to a maximum of 12 months.</w:t>
      </w:r>
    </w:p>
    <w:p w:rsidR="00571656" w:rsidRPr="00007D4E" w:rsidRDefault="00571656" w:rsidP="005809A5">
      <w:pPr>
        <w:spacing w:before="120" w:after="0"/>
        <w:rPr>
          <w:rStyle w:val="Strong"/>
        </w:rPr>
      </w:pPr>
      <w:r w:rsidRPr="00007D4E">
        <w:rPr>
          <w:rStyle w:val="Strong"/>
        </w:rPr>
        <w:t>Funding Determination Process</w:t>
      </w:r>
    </w:p>
    <w:p w:rsidR="00571656" w:rsidRDefault="00571656" w:rsidP="00151877">
      <w:pPr>
        <w:pStyle w:val="ListParagraph"/>
        <w:numPr>
          <w:ilvl w:val="0"/>
          <w:numId w:val="54"/>
        </w:numPr>
        <w:spacing w:after="0"/>
        <w:rPr>
          <w:rFonts w:eastAsia="Times New Roman" w:cs="Tahoma"/>
          <w:szCs w:val="24"/>
          <w:lang w:eastAsia="en-AU"/>
        </w:rPr>
      </w:pPr>
      <w:r>
        <w:rPr>
          <w:rFonts w:eastAsia="Times New Roman" w:cs="Tahoma"/>
          <w:szCs w:val="24"/>
          <w:lang w:eastAsia="en-AU"/>
        </w:rPr>
        <w:t>The provider submits the R-ACFI for funding purposes as per the current payment arrangements</w:t>
      </w:r>
      <w:r w:rsidR="00392F9F">
        <w:rPr>
          <w:rFonts w:eastAsia="Times New Roman" w:cs="Tahoma"/>
          <w:szCs w:val="24"/>
          <w:lang w:eastAsia="en-AU"/>
        </w:rPr>
        <w:t>.</w:t>
      </w:r>
    </w:p>
    <w:p w:rsidR="00980F62" w:rsidRDefault="00571656" w:rsidP="00151877">
      <w:pPr>
        <w:pStyle w:val="ListParagraph"/>
        <w:numPr>
          <w:ilvl w:val="0"/>
          <w:numId w:val="54"/>
        </w:numPr>
        <w:spacing w:after="0"/>
      </w:pPr>
      <w:r>
        <w:rPr>
          <w:rFonts w:eastAsia="Times New Roman" w:cs="Tahoma"/>
          <w:szCs w:val="24"/>
          <w:lang w:eastAsia="en-AU"/>
        </w:rPr>
        <w:t>T</w:t>
      </w:r>
      <w:r w:rsidRPr="008A79F4">
        <w:rPr>
          <w:rFonts w:eastAsia="Times New Roman" w:cs="Tahoma"/>
          <w:szCs w:val="24"/>
          <w:lang w:eastAsia="en-AU"/>
        </w:rPr>
        <w:t xml:space="preserve">he </w:t>
      </w:r>
      <w:r>
        <w:t xml:space="preserve">SAA assessor will </w:t>
      </w:r>
      <w:r w:rsidRPr="008A79F4">
        <w:rPr>
          <w:rFonts w:eastAsia="Times New Roman" w:cs="Tahoma"/>
          <w:szCs w:val="24"/>
          <w:lang w:eastAsia="en-AU"/>
        </w:rPr>
        <w:t xml:space="preserve">visit the facility to conduct a care needs assessment </w:t>
      </w:r>
      <w:r>
        <w:rPr>
          <w:rFonts w:eastAsia="Times New Roman" w:cs="Tahoma"/>
          <w:szCs w:val="24"/>
          <w:lang w:eastAsia="en-AU"/>
        </w:rPr>
        <w:t>on up to 100</w:t>
      </w:r>
      <w:r w:rsidR="0065091B">
        <w:rPr>
          <w:rFonts w:eastAsia="Times New Roman" w:cs="Tahoma"/>
          <w:szCs w:val="24"/>
          <w:lang w:eastAsia="en-AU"/>
        </w:rPr>
        <w:t xml:space="preserve"> per cent</w:t>
      </w:r>
      <w:r>
        <w:rPr>
          <w:rFonts w:eastAsia="Times New Roman" w:cs="Tahoma"/>
          <w:szCs w:val="24"/>
          <w:lang w:eastAsia="en-AU"/>
        </w:rPr>
        <w:t xml:space="preserve"> of new resident R-ACFI appraisals </w:t>
      </w:r>
      <w:r w:rsidRPr="008A79F4">
        <w:rPr>
          <w:rFonts w:eastAsia="Times New Roman" w:cs="Tahoma"/>
          <w:szCs w:val="24"/>
          <w:lang w:eastAsia="en-AU"/>
        </w:rPr>
        <w:t>(not based on but</w:t>
      </w:r>
      <w:r>
        <w:rPr>
          <w:rFonts w:eastAsia="Times New Roman" w:cs="Tahoma"/>
          <w:szCs w:val="24"/>
          <w:lang w:eastAsia="en-AU"/>
        </w:rPr>
        <w:t>,</w:t>
      </w:r>
      <w:r w:rsidRPr="008A79F4">
        <w:rPr>
          <w:rFonts w:eastAsia="Times New Roman" w:cs="Tahoma"/>
          <w:szCs w:val="24"/>
          <w:lang w:eastAsia="en-AU"/>
        </w:rPr>
        <w:t xml:space="preserve"> informed by facility assessments) of the R-ACFI</w:t>
      </w:r>
      <w:r>
        <w:rPr>
          <w:rFonts w:eastAsia="Times New Roman" w:cs="Tahoma"/>
          <w:szCs w:val="24"/>
          <w:lang w:eastAsia="en-AU"/>
        </w:rPr>
        <w:t xml:space="preserve">. </w:t>
      </w:r>
      <w:r>
        <w:t xml:space="preserve">The SAA assessor will use pre-admission information </w:t>
      </w:r>
      <w:r w:rsidRPr="000D548F">
        <w:rPr>
          <w:color w:val="000000" w:themeColor="text1"/>
        </w:rPr>
        <w:t>from the NSA</w:t>
      </w:r>
      <w:r>
        <w:rPr>
          <w:color w:val="000000" w:themeColor="text1"/>
        </w:rPr>
        <w:t xml:space="preserve">F, </w:t>
      </w:r>
      <w:r w:rsidRPr="000D548F">
        <w:rPr>
          <w:color w:val="000000" w:themeColor="text1"/>
        </w:rPr>
        <w:t>e-Health Record information</w:t>
      </w:r>
      <w:r>
        <w:rPr>
          <w:color w:val="000000" w:themeColor="text1"/>
        </w:rPr>
        <w:t>, CMA and discussions with health professionals (e.g. GPs</w:t>
      </w:r>
      <w:bookmarkEnd w:id="771"/>
      <w:r>
        <w:rPr>
          <w:color w:val="000000" w:themeColor="text1"/>
        </w:rPr>
        <w:t>, physiotherapists)</w:t>
      </w:r>
      <w:r w:rsidRPr="000D548F">
        <w:rPr>
          <w:color w:val="000000" w:themeColor="text1"/>
        </w:rPr>
        <w:t xml:space="preserve"> to assist determine the </w:t>
      </w:r>
      <w:r>
        <w:rPr>
          <w:color w:val="000000" w:themeColor="text1"/>
        </w:rPr>
        <w:t xml:space="preserve">assessed care </w:t>
      </w:r>
      <w:r w:rsidRPr="00135407">
        <w:t xml:space="preserve">need and therefore </w:t>
      </w:r>
      <w:r>
        <w:t xml:space="preserve">resident </w:t>
      </w:r>
      <w:r w:rsidRPr="00135407">
        <w:t>funding level</w:t>
      </w:r>
      <w:r w:rsidR="00392F9F">
        <w:t>.</w:t>
      </w:r>
    </w:p>
    <w:p w:rsidR="00571656" w:rsidRPr="00135407" w:rsidRDefault="00571656" w:rsidP="00151877">
      <w:pPr>
        <w:pStyle w:val="ListParagraph"/>
        <w:numPr>
          <w:ilvl w:val="0"/>
          <w:numId w:val="54"/>
        </w:numPr>
        <w:spacing w:after="0"/>
      </w:pPr>
      <w:r w:rsidRPr="00135407">
        <w:t xml:space="preserve">The appraisal period used by the </w:t>
      </w:r>
      <w:r>
        <w:t>SAA</w:t>
      </w:r>
      <w:r w:rsidRPr="00135407">
        <w:t xml:space="preserve"> assessor to determine usual care needs will be </w:t>
      </w:r>
      <w:r>
        <w:t>the</w:t>
      </w:r>
      <w:r w:rsidRPr="00135407">
        <w:t xml:space="preserve"> </w:t>
      </w:r>
      <w:r w:rsidRPr="0008597C">
        <w:t>previous two weeks and the resident’s current status</w:t>
      </w:r>
      <w:r>
        <w:t>.</w:t>
      </w:r>
    </w:p>
    <w:p w:rsidR="00571656" w:rsidRDefault="00571656" w:rsidP="00151877">
      <w:pPr>
        <w:pStyle w:val="ListParagraph"/>
        <w:numPr>
          <w:ilvl w:val="0"/>
          <w:numId w:val="54"/>
        </w:numPr>
      </w:pPr>
      <w:r>
        <w:t>There will be no Department funding audits once the SAA assessor’s funding determination is finalised.</w:t>
      </w:r>
    </w:p>
    <w:p w:rsidR="00571656" w:rsidRPr="008A79F4" w:rsidRDefault="00571656" w:rsidP="00151877">
      <w:pPr>
        <w:pStyle w:val="ListParagraph"/>
        <w:numPr>
          <w:ilvl w:val="0"/>
          <w:numId w:val="54"/>
        </w:numPr>
        <w:spacing w:after="0"/>
        <w:rPr>
          <w:rFonts w:eastAsia="Times New Roman" w:cs="Tahoma"/>
          <w:szCs w:val="24"/>
          <w:lang w:eastAsia="en-AU"/>
        </w:rPr>
      </w:pPr>
      <w:r>
        <w:rPr>
          <w:rFonts w:eastAsia="Times New Roman" w:cs="Tahoma"/>
          <w:szCs w:val="24"/>
          <w:lang w:eastAsia="en-AU"/>
        </w:rPr>
        <w:t>In a longer term option (next 5 years) t</w:t>
      </w:r>
      <w:r w:rsidRPr="008A79F4">
        <w:rPr>
          <w:rFonts w:eastAsia="Times New Roman" w:cs="Tahoma"/>
          <w:szCs w:val="24"/>
          <w:lang w:eastAsia="en-AU"/>
        </w:rPr>
        <w:t xml:space="preserve">he </w:t>
      </w:r>
      <w:r>
        <w:t xml:space="preserve">SAA assessor may conduct </w:t>
      </w:r>
      <w:r>
        <w:rPr>
          <w:rFonts w:eastAsia="Times New Roman" w:cs="Tahoma"/>
          <w:szCs w:val="24"/>
          <w:lang w:eastAsia="en-AU"/>
        </w:rPr>
        <w:t xml:space="preserve">an </w:t>
      </w:r>
      <w:r w:rsidRPr="008A79F4">
        <w:rPr>
          <w:rFonts w:eastAsia="Times New Roman" w:cs="Tahoma"/>
          <w:szCs w:val="24"/>
          <w:lang w:eastAsia="en-AU"/>
        </w:rPr>
        <w:t>e-</w:t>
      </w:r>
      <w:r>
        <w:rPr>
          <w:rFonts w:eastAsia="Times New Roman" w:cs="Tahoma"/>
          <w:szCs w:val="24"/>
          <w:lang w:eastAsia="en-AU"/>
        </w:rPr>
        <w:t xml:space="preserve">audit review </w:t>
      </w:r>
      <w:r w:rsidRPr="008A79F4">
        <w:rPr>
          <w:rFonts w:eastAsia="Times New Roman" w:cs="Tahoma"/>
          <w:szCs w:val="24"/>
          <w:lang w:eastAsia="en-AU"/>
        </w:rPr>
        <w:t>remote</w:t>
      </w:r>
      <w:r>
        <w:rPr>
          <w:rFonts w:eastAsia="Times New Roman" w:cs="Tahoma"/>
          <w:szCs w:val="24"/>
          <w:lang w:eastAsia="en-AU"/>
        </w:rPr>
        <w:t>ly by</w:t>
      </w:r>
      <w:r w:rsidRPr="008A79F4">
        <w:rPr>
          <w:rFonts w:eastAsia="Times New Roman" w:cs="Tahoma"/>
          <w:szCs w:val="24"/>
          <w:lang w:eastAsia="en-AU"/>
        </w:rPr>
        <w:t xml:space="preserve"> access</w:t>
      </w:r>
      <w:r>
        <w:rPr>
          <w:rFonts w:eastAsia="Times New Roman" w:cs="Tahoma"/>
          <w:szCs w:val="24"/>
          <w:lang w:eastAsia="en-AU"/>
        </w:rPr>
        <w:t xml:space="preserve">ing the </w:t>
      </w:r>
      <w:r w:rsidRPr="008A79F4">
        <w:rPr>
          <w:rFonts w:eastAsia="Times New Roman" w:cs="Tahoma"/>
          <w:szCs w:val="24"/>
          <w:lang w:eastAsia="en-AU"/>
        </w:rPr>
        <w:t>provider</w:t>
      </w:r>
      <w:r>
        <w:rPr>
          <w:rFonts w:eastAsia="Times New Roman" w:cs="Tahoma"/>
          <w:szCs w:val="24"/>
          <w:lang w:eastAsia="en-AU"/>
        </w:rPr>
        <w:t>’s</w:t>
      </w:r>
      <w:r w:rsidRPr="008A79F4">
        <w:rPr>
          <w:rFonts w:eastAsia="Times New Roman" w:cs="Tahoma"/>
          <w:szCs w:val="24"/>
          <w:lang w:eastAsia="en-AU"/>
        </w:rPr>
        <w:t xml:space="preserve"> electronic clinical software </w:t>
      </w:r>
      <w:r>
        <w:rPr>
          <w:rFonts w:eastAsia="Times New Roman" w:cs="Tahoma"/>
          <w:szCs w:val="24"/>
          <w:lang w:eastAsia="en-AU"/>
        </w:rPr>
        <w:t>‘</w:t>
      </w:r>
      <w:r w:rsidRPr="008A79F4">
        <w:rPr>
          <w:rFonts w:eastAsia="Times New Roman" w:cs="Tahoma"/>
          <w:szCs w:val="24"/>
          <w:lang w:eastAsia="en-AU"/>
        </w:rPr>
        <w:t>partitioned sections</w:t>
      </w:r>
      <w:r>
        <w:rPr>
          <w:rFonts w:eastAsia="Times New Roman" w:cs="Tahoma"/>
          <w:szCs w:val="24"/>
          <w:lang w:eastAsia="en-AU"/>
        </w:rPr>
        <w:t>’. An e</w:t>
      </w:r>
      <w:r w:rsidRPr="008A79F4">
        <w:rPr>
          <w:rFonts w:eastAsia="Times New Roman" w:cs="Tahoma"/>
          <w:szCs w:val="24"/>
          <w:lang w:eastAsia="en-AU"/>
        </w:rPr>
        <w:t>-</w:t>
      </w:r>
      <w:r>
        <w:rPr>
          <w:rFonts w:eastAsia="Times New Roman" w:cs="Tahoma"/>
          <w:szCs w:val="24"/>
          <w:lang w:eastAsia="en-AU"/>
        </w:rPr>
        <w:t>audit</w:t>
      </w:r>
      <w:r w:rsidRPr="008A79F4">
        <w:rPr>
          <w:rFonts w:eastAsia="Times New Roman" w:cs="Tahoma"/>
          <w:szCs w:val="24"/>
          <w:lang w:eastAsia="en-AU"/>
        </w:rPr>
        <w:t xml:space="preserve"> will involve </w:t>
      </w:r>
      <w:r w:rsidRPr="008A79F4">
        <w:rPr>
          <w:szCs w:val="24"/>
        </w:rPr>
        <w:t>a detailed audit of the R-ACFI, including reviewing the nursing assessments, care plans, progress notes, GP notes and Allied Health notes t</w:t>
      </w:r>
      <w:r>
        <w:rPr>
          <w:szCs w:val="24"/>
        </w:rPr>
        <w:t>o assess the provider claim. A provider’s R-ACFI claim may be approved or rejected at this step and a facility visit may not be required.</w:t>
      </w:r>
    </w:p>
    <w:p w:rsidR="00571656" w:rsidRPr="00007D4E" w:rsidRDefault="00571656" w:rsidP="005809A5">
      <w:pPr>
        <w:spacing w:before="120" w:after="0"/>
        <w:rPr>
          <w:rStyle w:val="Strong"/>
        </w:rPr>
      </w:pPr>
      <w:r w:rsidRPr="00007D4E">
        <w:rPr>
          <w:rStyle w:val="Strong"/>
        </w:rPr>
        <w:t>No Requirement for Mandatory Reviews</w:t>
      </w:r>
    </w:p>
    <w:p w:rsidR="00571656" w:rsidRPr="00C73D3D" w:rsidRDefault="00571656" w:rsidP="005809A5">
      <w:pPr>
        <w:pStyle w:val="ListParagraph"/>
        <w:numPr>
          <w:ilvl w:val="0"/>
          <w:numId w:val="54"/>
        </w:numPr>
        <w:spacing w:after="0"/>
        <w:ind w:left="357" w:hanging="357"/>
        <w:rPr>
          <w:rFonts w:eastAsia="Times New Roman" w:cs="Tahoma"/>
          <w:szCs w:val="24"/>
          <w:lang w:eastAsia="en-AU"/>
        </w:rPr>
      </w:pPr>
      <w:r>
        <w:t>There will be no requirement for the SAA to re-assess the resident in 6 months if the resident has come directly from hospital (no mandatory re-appraisal).</w:t>
      </w:r>
    </w:p>
    <w:p w:rsidR="00571656" w:rsidRPr="00007D4E" w:rsidRDefault="00571656" w:rsidP="005809A5">
      <w:pPr>
        <w:spacing w:before="120" w:after="0"/>
        <w:rPr>
          <w:rStyle w:val="Strong"/>
        </w:rPr>
      </w:pPr>
      <w:r w:rsidRPr="00007D4E">
        <w:rPr>
          <w:rStyle w:val="Strong"/>
        </w:rPr>
        <w:t>Contesting the Specialist Assessment Agencies Funding Determination</w:t>
      </w:r>
    </w:p>
    <w:p w:rsidR="00571656" w:rsidRDefault="00571656" w:rsidP="00151877">
      <w:pPr>
        <w:pStyle w:val="ListParagraph"/>
        <w:numPr>
          <w:ilvl w:val="0"/>
          <w:numId w:val="51"/>
        </w:numPr>
      </w:pPr>
      <w:r>
        <w:t>If the provider accepts the SAA assessor’s funding determination, there will be no further audit of this resident’s funding claim.</w:t>
      </w:r>
    </w:p>
    <w:p w:rsidR="00571656" w:rsidRDefault="00571656" w:rsidP="00151877">
      <w:pPr>
        <w:pStyle w:val="ListParagraph"/>
        <w:numPr>
          <w:ilvl w:val="0"/>
          <w:numId w:val="51"/>
        </w:numPr>
      </w:pPr>
      <w:r>
        <w:t>The provider can request a re-evaluation of the initial funding assessment conducted by the SAA within one month of the SAA assessor completing the funding determination if the provider continues to believe that their funding determination is significantly higher (two categories), as determined by their completion of the R-ACFI.</w:t>
      </w:r>
    </w:p>
    <w:p w:rsidR="00571656" w:rsidRPr="000E04D4" w:rsidRDefault="00571656" w:rsidP="00151877">
      <w:pPr>
        <w:pStyle w:val="ListParagraph"/>
        <w:numPr>
          <w:ilvl w:val="0"/>
          <w:numId w:val="51"/>
        </w:numPr>
        <w:spacing w:after="0" w:line="240" w:lineRule="auto"/>
        <w:rPr>
          <w:rFonts w:eastAsia="Times New Roman" w:cs="Tahoma"/>
          <w:szCs w:val="24"/>
          <w:lang w:eastAsia="en-AU"/>
        </w:rPr>
      </w:pPr>
      <w:r w:rsidRPr="000E04D4">
        <w:rPr>
          <w:rFonts w:eastAsia="Times New Roman" w:cs="Tahoma"/>
          <w:szCs w:val="24"/>
          <w:lang w:eastAsia="en-AU"/>
        </w:rPr>
        <w:t xml:space="preserve">The </w:t>
      </w:r>
      <w:r>
        <w:rPr>
          <w:rFonts w:eastAsia="Times New Roman" w:cs="Tahoma"/>
          <w:szCs w:val="24"/>
          <w:lang w:eastAsia="en-AU"/>
        </w:rPr>
        <w:t>p</w:t>
      </w:r>
      <w:r w:rsidRPr="000E04D4">
        <w:rPr>
          <w:rFonts w:eastAsia="Times New Roman" w:cs="Tahoma"/>
          <w:szCs w:val="24"/>
          <w:lang w:eastAsia="en-AU"/>
        </w:rPr>
        <w:t xml:space="preserve">rovider must detail the reasons for the re-evaluation request </w:t>
      </w:r>
      <w:r>
        <w:rPr>
          <w:rFonts w:eastAsia="Times New Roman" w:cs="Tahoma"/>
          <w:szCs w:val="24"/>
          <w:lang w:eastAsia="en-AU"/>
        </w:rPr>
        <w:t>and</w:t>
      </w:r>
      <w:r w:rsidRPr="000E04D4">
        <w:rPr>
          <w:rFonts w:eastAsia="Times New Roman" w:cs="Tahoma"/>
          <w:szCs w:val="24"/>
          <w:lang w:eastAsia="en-AU"/>
        </w:rPr>
        <w:t xml:space="preserve"> submit electronically</w:t>
      </w:r>
      <w:r>
        <w:rPr>
          <w:rFonts w:eastAsia="Times New Roman" w:cs="Tahoma"/>
          <w:szCs w:val="24"/>
          <w:lang w:eastAsia="en-AU"/>
        </w:rPr>
        <w:t>.</w:t>
      </w:r>
    </w:p>
    <w:p w:rsidR="00980F62" w:rsidRDefault="00571656" w:rsidP="00151877">
      <w:pPr>
        <w:pStyle w:val="ListParagraph"/>
        <w:numPr>
          <w:ilvl w:val="0"/>
          <w:numId w:val="50"/>
        </w:numPr>
      </w:pPr>
      <w:r>
        <w:t>To determine the outcome of contested funding determination, the SAA may either electronically review the facilities full clinical record, request more information, telephone key informants or arrange another visit by another SAA assessor.</w:t>
      </w:r>
    </w:p>
    <w:p w:rsidR="00571656" w:rsidRDefault="00571656" w:rsidP="00151877">
      <w:pPr>
        <w:pStyle w:val="ListParagraph"/>
        <w:numPr>
          <w:ilvl w:val="0"/>
          <w:numId w:val="50"/>
        </w:numPr>
      </w:pPr>
      <w:r>
        <w:t>Contested funding determinations will be reviewed within two (2) months of the provider’s application.</w:t>
      </w:r>
    </w:p>
    <w:p w:rsidR="00571656" w:rsidRDefault="00571656" w:rsidP="00151877">
      <w:pPr>
        <w:pStyle w:val="ListParagraph"/>
        <w:numPr>
          <w:ilvl w:val="0"/>
          <w:numId w:val="50"/>
        </w:numPr>
      </w:pPr>
      <w:r>
        <w:t>For contested funding determinations, using any method as outlined previously, the SAA assessor can:</w:t>
      </w:r>
    </w:p>
    <w:p w:rsidR="00980F62" w:rsidRDefault="00571656" w:rsidP="00571656">
      <w:pPr>
        <w:ind w:left="360"/>
      </w:pPr>
      <w:r>
        <w:t>(a) Confirm the original SAA funding determination</w:t>
      </w:r>
      <w:r w:rsidR="00392F9F">
        <w:t>.</w:t>
      </w:r>
    </w:p>
    <w:p w:rsidR="00571656" w:rsidRDefault="00571656" w:rsidP="00571656">
      <w:pPr>
        <w:ind w:left="360"/>
      </w:pPr>
      <w:r>
        <w:t>(b) Increase the initial SAA funding determination</w:t>
      </w:r>
      <w:r w:rsidR="00392F9F">
        <w:t>.</w:t>
      </w:r>
    </w:p>
    <w:p w:rsidR="00571656" w:rsidRDefault="00571656" w:rsidP="00571656">
      <w:pPr>
        <w:ind w:left="360"/>
      </w:pPr>
      <w:r>
        <w:t>(c) Decrease the SAA funding determination if they believe the initial determination does not now accurately reflect the usual care needs of the resident.</w:t>
      </w:r>
    </w:p>
    <w:p w:rsidR="00571656" w:rsidRPr="00C8724C" w:rsidRDefault="00473246" w:rsidP="00571656">
      <w:hyperlink w:anchor="Tab1109" w:history="1">
        <w:r w:rsidR="00571656" w:rsidRPr="00691A5B">
          <w:rPr>
            <w:rStyle w:val="Hyperlink"/>
            <w:szCs w:val="24"/>
          </w:rPr>
          <w:t>Table 11.9</w:t>
        </w:r>
      </w:hyperlink>
      <w:r w:rsidR="00571656" w:rsidRPr="00BD14E8">
        <w:rPr>
          <w:szCs w:val="24"/>
        </w:rPr>
        <w:t xml:space="preserve"> </w:t>
      </w:r>
      <w:r w:rsidR="00571656">
        <w:t>summarises Option 3 new resident appraisals processes.</w:t>
      </w:r>
    </w:p>
    <w:p w:rsidR="00980F62" w:rsidRDefault="00571656" w:rsidP="00CD2081">
      <w:pPr>
        <w:pStyle w:val="Heading4-Chapter1134"/>
      </w:pPr>
      <w:r w:rsidRPr="00410431">
        <w:t>Option 3 Re-Appraisals – Specialist Assessment Agency</w:t>
      </w:r>
    </w:p>
    <w:p w:rsidR="00571656" w:rsidRDefault="00571656" w:rsidP="00571656">
      <w:r w:rsidRPr="00B5410E">
        <w:t xml:space="preserve">This includes all </w:t>
      </w:r>
      <w:r>
        <w:t>re-</w:t>
      </w:r>
      <w:r w:rsidRPr="00B5410E">
        <w:t>appraisals</w:t>
      </w:r>
      <w:r>
        <w:t xml:space="preserve"> of residents living in the facility or residents that have transferred from one provider to another with a separate RACID. The following rules will apply:</w:t>
      </w:r>
    </w:p>
    <w:p w:rsidR="00571656" w:rsidRPr="00007D4E" w:rsidRDefault="00571656" w:rsidP="005809A5">
      <w:pPr>
        <w:spacing w:before="120" w:after="0"/>
        <w:rPr>
          <w:rStyle w:val="Strong"/>
        </w:rPr>
      </w:pPr>
      <w:r w:rsidRPr="00007D4E">
        <w:rPr>
          <w:rStyle w:val="Strong"/>
        </w:rPr>
        <w:t>Re-Appraisal Rules</w:t>
      </w:r>
    </w:p>
    <w:p w:rsidR="00571656" w:rsidRDefault="00571656" w:rsidP="00151877">
      <w:pPr>
        <w:pStyle w:val="ListParagraph"/>
        <w:numPr>
          <w:ilvl w:val="0"/>
          <w:numId w:val="54"/>
        </w:numPr>
        <w:spacing w:after="0"/>
        <w:rPr>
          <w:rFonts w:eastAsia="Times New Roman" w:cs="Tahoma"/>
          <w:szCs w:val="24"/>
          <w:lang w:eastAsia="en-AU"/>
        </w:rPr>
      </w:pPr>
      <w:r>
        <w:rPr>
          <w:rFonts w:eastAsia="Times New Roman" w:cs="Tahoma"/>
          <w:szCs w:val="24"/>
          <w:lang w:eastAsia="en-AU"/>
        </w:rPr>
        <w:t>The provider submits the R-ACFI re-appraisal for funding purposes as per the current payment arrangements</w:t>
      </w:r>
      <w:r w:rsidR="00392F9F">
        <w:rPr>
          <w:rFonts w:eastAsia="Times New Roman" w:cs="Tahoma"/>
          <w:szCs w:val="24"/>
          <w:lang w:eastAsia="en-AU"/>
        </w:rPr>
        <w:t>.</w:t>
      </w:r>
    </w:p>
    <w:p w:rsidR="00980F62" w:rsidRDefault="00571656" w:rsidP="00151877">
      <w:pPr>
        <w:pStyle w:val="ListParagraph"/>
        <w:numPr>
          <w:ilvl w:val="0"/>
          <w:numId w:val="55"/>
        </w:numPr>
        <w:spacing w:after="0"/>
      </w:pPr>
      <w:r>
        <w:t xml:space="preserve">A </w:t>
      </w:r>
      <w:r w:rsidRPr="00105E82">
        <w:t xml:space="preserve">submission for </w:t>
      </w:r>
      <w:r>
        <w:t xml:space="preserve">a funding </w:t>
      </w:r>
      <w:r w:rsidRPr="00105E82">
        <w:t xml:space="preserve">re-appraisal may be made </w:t>
      </w:r>
      <w:r>
        <w:t xml:space="preserve">within 12 months of a previously accepted R-ACFI </w:t>
      </w:r>
      <w:r w:rsidRPr="00105E82">
        <w:t>if there is a two</w:t>
      </w:r>
      <w:r>
        <w:t>-</w:t>
      </w:r>
      <w:r w:rsidRPr="00105E82">
        <w:t>categor</w:t>
      </w:r>
      <w:r>
        <w:t>y change in the existing R-ACFI.</w:t>
      </w:r>
    </w:p>
    <w:p w:rsidR="00980F62" w:rsidRDefault="00571656" w:rsidP="00151877">
      <w:pPr>
        <w:pStyle w:val="ListParagraph"/>
        <w:numPr>
          <w:ilvl w:val="0"/>
          <w:numId w:val="55"/>
        </w:numPr>
        <w:spacing w:after="0"/>
      </w:pPr>
      <w:r>
        <w:t xml:space="preserve">A </w:t>
      </w:r>
      <w:r w:rsidRPr="00105E82">
        <w:t xml:space="preserve">submission for </w:t>
      </w:r>
      <w:r>
        <w:t xml:space="preserve">funding </w:t>
      </w:r>
      <w:r w:rsidRPr="00105E82">
        <w:t>re-appraisal may be made after each 12</w:t>
      </w:r>
      <w:r>
        <w:t>-</w:t>
      </w:r>
      <w:r w:rsidRPr="00105E82">
        <w:t>months resident stay if there is a one category change in the existing R-ACFI</w:t>
      </w:r>
      <w:r>
        <w:t>.</w:t>
      </w:r>
    </w:p>
    <w:p w:rsidR="00571656" w:rsidRDefault="00571656" w:rsidP="00151877">
      <w:pPr>
        <w:pStyle w:val="ListParagraph"/>
        <w:numPr>
          <w:ilvl w:val="0"/>
          <w:numId w:val="55"/>
        </w:numPr>
        <w:spacing w:after="0"/>
      </w:pPr>
      <w:r w:rsidRPr="00105E82">
        <w:t>T</w:t>
      </w:r>
      <w:r>
        <w:t>he provider will precipitate the re-appraisal funding review by submitting an updated R-ACFI to the SAA.</w:t>
      </w:r>
    </w:p>
    <w:p w:rsidR="00571656" w:rsidRDefault="00571656" w:rsidP="00151877">
      <w:pPr>
        <w:pStyle w:val="ListParagraph"/>
        <w:numPr>
          <w:ilvl w:val="0"/>
          <w:numId w:val="55"/>
        </w:numPr>
        <w:spacing w:after="0"/>
      </w:pPr>
      <w:r>
        <w:t>T</w:t>
      </w:r>
      <w:r w:rsidRPr="00105E82">
        <w:t xml:space="preserve">here </w:t>
      </w:r>
      <w:r>
        <w:t xml:space="preserve">will be </w:t>
      </w:r>
      <w:r w:rsidRPr="00105E82">
        <w:t xml:space="preserve">fewer re-appraisal triggers </w:t>
      </w:r>
      <w:r>
        <w:t xml:space="preserve">with the R-ACFI than the ACFI </w:t>
      </w:r>
      <w:r w:rsidRPr="00105E82">
        <w:t xml:space="preserve">but </w:t>
      </w:r>
      <w:r>
        <w:t xml:space="preserve">it continues to </w:t>
      </w:r>
      <w:r w:rsidRPr="00105E82">
        <w:t xml:space="preserve">allow for encouragement to support </w:t>
      </w:r>
      <w:r>
        <w:t xml:space="preserve">residents with </w:t>
      </w:r>
      <w:r w:rsidRPr="00105E82">
        <w:t>high care need</w:t>
      </w:r>
      <w:r>
        <w:t>s.</w:t>
      </w:r>
    </w:p>
    <w:p w:rsidR="00571656" w:rsidRPr="00FA7BEA" w:rsidRDefault="00571656" w:rsidP="00151877">
      <w:pPr>
        <w:pStyle w:val="ListParagraph"/>
        <w:numPr>
          <w:ilvl w:val="0"/>
          <w:numId w:val="55"/>
        </w:numPr>
        <w:spacing w:after="0"/>
      </w:pPr>
      <w:r>
        <w:t>Provider re-appraisal submissions will need all R-ACFI domains to be re-submitted in contrast</w:t>
      </w:r>
      <w:r>
        <w:rPr>
          <w:lang w:val="en-US"/>
        </w:rPr>
        <w:t xml:space="preserve"> to the new R-ACFI supplement applications which can be standalone applications.</w:t>
      </w:r>
    </w:p>
    <w:p w:rsidR="00571656" w:rsidRPr="00441603" w:rsidRDefault="00571656" w:rsidP="005809A5">
      <w:pPr>
        <w:spacing w:before="120" w:after="0"/>
        <w:rPr>
          <w:rFonts w:eastAsia="Times New Roman" w:cs="Tahoma"/>
          <w:b/>
          <w:szCs w:val="24"/>
          <w:lang w:eastAsia="en-AU"/>
        </w:rPr>
      </w:pPr>
      <w:r w:rsidRPr="00441603">
        <w:rPr>
          <w:rFonts w:eastAsia="Times New Roman" w:cs="Tahoma"/>
          <w:b/>
          <w:szCs w:val="24"/>
          <w:lang w:eastAsia="en-AU"/>
        </w:rPr>
        <w:t>No Requirement for Mandatory Reviews</w:t>
      </w:r>
    </w:p>
    <w:p w:rsidR="00237A38" w:rsidRDefault="00571656" w:rsidP="00151877">
      <w:pPr>
        <w:pStyle w:val="ListParagraph"/>
        <w:numPr>
          <w:ilvl w:val="0"/>
          <w:numId w:val="55"/>
        </w:numPr>
        <w:spacing w:after="0" w:line="240" w:lineRule="auto"/>
      </w:pPr>
      <w:r>
        <w:t>There will be no requirement for the SAA assessor to re-assess the resident if the resident has spent more than 30 days in hospital.</w:t>
      </w:r>
    </w:p>
    <w:p w:rsidR="00237A38" w:rsidRDefault="00237A38">
      <w:pPr>
        <w:spacing w:after="200"/>
        <w:jc w:val="left"/>
      </w:pPr>
      <w:r>
        <w:br w:type="page"/>
      </w:r>
    </w:p>
    <w:p w:rsidR="00571656" w:rsidRPr="00007D4E" w:rsidRDefault="00571656" w:rsidP="005809A5">
      <w:pPr>
        <w:spacing w:before="120" w:after="0"/>
        <w:rPr>
          <w:rStyle w:val="Strong"/>
        </w:rPr>
      </w:pPr>
      <w:r w:rsidRPr="00007D4E">
        <w:rPr>
          <w:rStyle w:val="Strong"/>
        </w:rPr>
        <w:lastRenderedPageBreak/>
        <w:t>The SAA will use On-site Reviews for 25 to 50</w:t>
      </w:r>
      <w:r w:rsidR="0065091B" w:rsidRPr="00007D4E">
        <w:rPr>
          <w:rStyle w:val="Strong"/>
        </w:rPr>
        <w:t xml:space="preserve"> per cent</w:t>
      </w:r>
      <w:r w:rsidRPr="00007D4E">
        <w:rPr>
          <w:rStyle w:val="Strong"/>
        </w:rPr>
        <w:t xml:space="preserve"> of Re-appraisals</w:t>
      </w:r>
    </w:p>
    <w:p w:rsidR="00571656" w:rsidRDefault="00571656" w:rsidP="00151877">
      <w:pPr>
        <w:pStyle w:val="ListParagraph"/>
        <w:numPr>
          <w:ilvl w:val="0"/>
          <w:numId w:val="52"/>
        </w:numPr>
      </w:pPr>
      <w:r w:rsidRPr="00105E82">
        <w:t>To determine the outcome of re-appraisal</w:t>
      </w:r>
      <w:r>
        <w:t>,</w:t>
      </w:r>
      <w:r w:rsidRPr="00105E82">
        <w:t xml:space="preserve"> the </w:t>
      </w:r>
      <w:r>
        <w:t xml:space="preserve">SAA assessor </w:t>
      </w:r>
      <w:r w:rsidRPr="00105E82">
        <w:t xml:space="preserve">will </w:t>
      </w:r>
      <w:r>
        <w:t>use various methods to determine the accuracy of the facilities re-appraisal submission. These methods will include:</w:t>
      </w:r>
    </w:p>
    <w:p w:rsidR="00571656" w:rsidRDefault="00571656" w:rsidP="00571656">
      <w:pPr>
        <w:pStyle w:val="ListParagraph"/>
        <w:ind w:left="360"/>
      </w:pPr>
      <w:r>
        <w:t>- A review of the submitted R-ACFI and assessments</w:t>
      </w:r>
      <w:r w:rsidR="00D049BB">
        <w:t>.</w:t>
      </w:r>
    </w:p>
    <w:p w:rsidR="00571656" w:rsidRDefault="00571656" w:rsidP="00571656">
      <w:pPr>
        <w:pStyle w:val="ListParagraph"/>
        <w:ind w:left="360"/>
      </w:pPr>
      <w:r>
        <w:t>- Review of the available e-Health record and/or CMA</w:t>
      </w:r>
      <w:r w:rsidR="00D049BB">
        <w:t>.</w:t>
      </w:r>
    </w:p>
    <w:p w:rsidR="00571656" w:rsidRDefault="00571656" w:rsidP="00571656">
      <w:pPr>
        <w:pStyle w:val="ListParagraph"/>
        <w:ind w:left="360"/>
      </w:pPr>
      <w:r>
        <w:t xml:space="preserve">- A </w:t>
      </w:r>
      <w:r w:rsidRPr="00105E82">
        <w:t xml:space="preserve">request </w:t>
      </w:r>
      <w:r>
        <w:t xml:space="preserve">for </w:t>
      </w:r>
      <w:r w:rsidRPr="00105E82">
        <w:t>more information</w:t>
      </w:r>
      <w:r w:rsidR="00D049BB">
        <w:t>.</w:t>
      </w:r>
    </w:p>
    <w:p w:rsidR="00571656" w:rsidRDefault="00571656" w:rsidP="00571656">
      <w:pPr>
        <w:pStyle w:val="ListParagraph"/>
        <w:ind w:left="360"/>
      </w:pPr>
      <w:r>
        <w:t>- Discussion with the provider assessor</w:t>
      </w:r>
      <w:r w:rsidR="00D049BB">
        <w:t>.</w:t>
      </w:r>
    </w:p>
    <w:p w:rsidR="00571656" w:rsidRDefault="00571656" w:rsidP="00571656">
      <w:pPr>
        <w:pStyle w:val="ListParagraph"/>
        <w:ind w:left="360"/>
      </w:pPr>
      <w:r>
        <w:t>- T</w:t>
      </w:r>
      <w:r w:rsidRPr="00105E82">
        <w:t xml:space="preserve">elephone </w:t>
      </w:r>
      <w:r>
        <w:t xml:space="preserve">discussions with </w:t>
      </w:r>
      <w:r w:rsidRPr="00105E82">
        <w:t xml:space="preserve">key informants </w:t>
      </w:r>
      <w:r>
        <w:t>such as GPs</w:t>
      </w:r>
      <w:r w:rsidR="00D049BB">
        <w:t>.</w:t>
      </w:r>
    </w:p>
    <w:p w:rsidR="00571656" w:rsidRDefault="00571656" w:rsidP="00571656">
      <w:pPr>
        <w:pStyle w:val="ListParagraph"/>
        <w:ind w:left="360"/>
      </w:pPr>
      <w:r>
        <w:t>- A</w:t>
      </w:r>
      <w:r w:rsidRPr="00105E82">
        <w:t xml:space="preserve"> </w:t>
      </w:r>
      <w:r>
        <w:t xml:space="preserve">facility visit by a SAA assessor </w:t>
      </w:r>
      <w:r w:rsidRPr="00105E82">
        <w:t xml:space="preserve">in circumstances where the </w:t>
      </w:r>
      <w:r>
        <w:t>SAA require</w:t>
      </w:r>
      <w:r w:rsidRPr="00105E82">
        <w:t>s additional information before</w:t>
      </w:r>
      <w:r>
        <w:t xml:space="preserve"> finalising their determination.</w:t>
      </w:r>
      <w:r w:rsidR="007A576E">
        <w:t xml:space="preserve"> </w:t>
      </w:r>
      <w:r>
        <w:t>It is expected that 25 to 50</w:t>
      </w:r>
      <w:r w:rsidR="0065091B">
        <w:t xml:space="preserve"> per cent</w:t>
      </w:r>
      <w:r>
        <w:t xml:space="preserve"> of re-appraisals will be checked at some level by the SAA assessor.</w:t>
      </w:r>
    </w:p>
    <w:p w:rsidR="00571656" w:rsidRPr="00007D4E" w:rsidRDefault="00571656" w:rsidP="005809A5">
      <w:pPr>
        <w:spacing w:before="120" w:after="0"/>
        <w:rPr>
          <w:rStyle w:val="Strong"/>
        </w:rPr>
      </w:pPr>
      <w:r w:rsidRPr="00007D4E">
        <w:rPr>
          <w:rStyle w:val="Strong"/>
        </w:rPr>
        <w:t>Contesting the SAA Re-Appraisal Determination</w:t>
      </w:r>
    </w:p>
    <w:p w:rsidR="00571656" w:rsidRDefault="00571656" w:rsidP="00151877">
      <w:pPr>
        <w:pStyle w:val="ListParagraph"/>
        <w:numPr>
          <w:ilvl w:val="0"/>
          <w:numId w:val="51"/>
        </w:numPr>
      </w:pPr>
      <w:r>
        <w:t>The provider can request a re-evaluation by the SAA of the funding assessment within one month after the SAA assessor has completed the funding determination if the provider continues to believe that their funding determination is significantly higher (two categories), as determined by their completion of the R-ACFI</w:t>
      </w:r>
      <w:r w:rsidDel="003D6394">
        <w:t xml:space="preserve"> </w:t>
      </w:r>
      <w:r>
        <w:t>(</w:t>
      </w:r>
      <w:hyperlink w:anchor="Tab1110" w:history="1">
        <w:r w:rsidRPr="00691A5B">
          <w:rPr>
            <w:rStyle w:val="Hyperlink"/>
          </w:rPr>
          <w:t>Table 11.10</w:t>
        </w:r>
      </w:hyperlink>
      <w:r>
        <w:t>).</w:t>
      </w:r>
    </w:p>
    <w:p w:rsidR="00571656" w:rsidRDefault="00571656" w:rsidP="00151877">
      <w:pPr>
        <w:pStyle w:val="ListParagraph"/>
        <w:numPr>
          <w:ilvl w:val="0"/>
          <w:numId w:val="50"/>
        </w:numPr>
      </w:pPr>
      <w:r>
        <w:t>For contested funding determinations, using any method as outlined previously, the SAA assessor can:</w:t>
      </w:r>
    </w:p>
    <w:p w:rsidR="00980F62" w:rsidRDefault="00571656" w:rsidP="00571656">
      <w:pPr>
        <w:ind w:left="360"/>
      </w:pPr>
      <w:r>
        <w:t>(a) Confirm the original SAA funding determination</w:t>
      </w:r>
      <w:r w:rsidR="00D049BB">
        <w:t>.</w:t>
      </w:r>
    </w:p>
    <w:p w:rsidR="00571656" w:rsidRDefault="00571656" w:rsidP="00571656">
      <w:pPr>
        <w:ind w:left="360"/>
      </w:pPr>
      <w:r>
        <w:t>(b) Increase the initial SAA funding determination</w:t>
      </w:r>
      <w:r w:rsidR="00D049BB">
        <w:t>.</w:t>
      </w:r>
    </w:p>
    <w:p w:rsidR="00571656" w:rsidRDefault="00571656" w:rsidP="00571656">
      <w:pPr>
        <w:ind w:left="360"/>
      </w:pPr>
      <w:r>
        <w:t>(c) Decrease the SAA funding determination if they believe the initial determination does not now accurately reflect the usual care needs of the resident.</w:t>
      </w:r>
    </w:p>
    <w:p w:rsidR="00980F62" w:rsidRDefault="00571656" w:rsidP="005809A5">
      <w:pPr>
        <w:spacing w:before="120" w:after="0"/>
        <w:rPr>
          <w:rStyle w:val="Strong"/>
        </w:rPr>
      </w:pPr>
      <w:r w:rsidRPr="00007D4E">
        <w:rPr>
          <w:rStyle w:val="Strong"/>
        </w:rPr>
        <w:t>Time-Frame for funding re-appraisal reviews</w:t>
      </w:r>
    </w:p>
    <w:p w:rsidR="00980F62" w:rsidRDefault="00571656" w:rsidP="00151877">
      <w:pPr>
        <w:pStyle w:val="ListParagraph"/>
        <w:numPr>
          <w:ilvl w:val="0"/>
          <w:numId w:val="52"/>
        </w:numPr>
      </w:pPr>
      <w:r w:rsidRPr="002364AF">
        <w:t xml:space="preserve">The </w:t>
      </w:r>
      <w:r>
        <w:t xml:space="preserve">SAA assessor </w:t>
      </w:r>
      <w:r w:rsidRPr="002364AF">
        <w:t xml:space="preserve">will need to have concluded the re-appraisal funding review within </w:t>
      </w:r>
      <w:r>
        <w:t xml:space="preserve">12 </w:t>
      </w:r>
      <w:r w:rsidRPr="002364AF">
        <w:t>month</w:t>
      </w:r>
      <w:r>
        <w:t>s</w:t>
      </w:r>
      <w:r w:rsidRPr="002364AF">
        <w:t xml:space="preserve"> of the accepted Medicare received date</w:t>
      </w:r>
      <w:r>
        <w:t xml:space="preserve"> although most all will be completed within a 3 to 6-month period after R-ACFI submission</w:t>
      </w:r>
      <w:r w:rsidR="00632841">
        <w:t>.</w:t>
      </w:r>
    </w:p>
    <w:p w:rsidR="00BA236A" w:rsidRDefault="00BA236A" w:rsidP="00022917"/>
    <w:p w:rsidR="00BA236A" w:rsidRDefault="00BA236A" w:rsidP="00BA236A">
      <w:pPr>
        <w:sectPr w:rsidR="00BA236A">
          <w:headerReference w:type="even" r:id="rId132"/>
          <w:headerReference w:type="default" r:id="rId133"/>
          <w:footerReference w:type="even" r:id="rId134"/>
          <w:footerReference w:type="default" r:id="rId135"/>
          <w:headerReference w:type="first" r:id="rId136"/>
          <w:pgSz w:w="11906" w:h="16838"/>
          <w:pgMar w:top="1440" w:right="1440" w:bottom="1440" w:left="1440" w:header="708" w:footer="708" w:gutter="0"/>
          <w:cols w:space="708"/>
          <w:docGrid w:linePitch="360"/>
        </w:sectPr>
      </w:pPr>
    </w:p>
    <w:p w:rsidR="00CC0633" w:rsidRDefault="00CC21FA" w:rsidP="00CC21FA">
      <w:pPr>
        <w:pStyle w:val="Caption"/>
        <w:keepNext/>
        <w:spacing w:before="0"/>
      </w:pPr>
      <w:bookmarkStart w:id="772" w:name="_Toc495416869"/>
      <w:bookmarkStart w:id="773" w:name="Tab1109"/>
      <w:r>
        <w:lastRenderedPageBreak/>
        <w:t>Table 11.</w:t>
      </w:r>
      <w:r w:rsidR="009A3F5A">
        <w:fldChar w:fldCharType="begin"/>
      </w:r>
      <w:r w:rsidR="009A3F5A">
        <w:instrText xml:space="preserve"> SEQ Table_11. \* ARABIC </w:instrText>
      </w:r>
      <w:r w:rsidR="009A3F5A">
        <w:fldChar w:fldCharType="separate"/>
      </w:r>
      <w:r w:rsidR="00856E49">
        <w:rPr>
          <w:noProof/>
        </w:rPr>
        <w:t>9</w:t>
      </w:r>
      <w:r w:rsidR="009A3F5A">
        <w:rPr>
          <w:noProof/>
        </w:rPr>
        <w:fldChar w:fldCharType="end"/>
      </w:r>
      <w:r>
        <w:t xml:space="preserve">: </w:t>
      </w:r>
      <w:r w:rsidRPr="00CC21FA">
        <w:t>Option 3: New Resident Funding Determination – SAA Assessor Process</w:t>
      </w:r>
      <w:bookmarkEnd w:id="772"/>
    </w:p>
    <w:tbl>
      <w:tblPr>
        <w:tblW w:w="14175"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1E0" w:firstRow="1" w:lastRow="1" w:firstColumn="1" w:lastColumn="1" w:noHBand="0" w:noVBand="0"/>
        <w:tblDescription w:val="Table 11.9 is a list of determinations for new residential funding under Option 3. This table is to be read left to right, top to bottom."/>
      </w:tblPr>
      <w:tblGrid>
        <w:gridCol w:w="2694"/>
        <w:gridCol w:w="1985"/>
        <w:gridCol w:w="7654"/>
        <w:gridCol w:w="1842"/>
      </w:tblGrid>
      <w:tr w:rsidR="00571656" w:rsidRPr="003837B9" w:rsidTr="007A66FB">
        <w:tc>
          <w:tcPr>
            <w:tcW w:w="2694" w:type="dxa"/>
            <w:shd w:val="clear" w:color="auto" w:fill="5B9BD5" w:themeFill="accent5"/>
            <w:vAlign w:val="center"/>
          </w:tcPr>
          <w:bookmarkEnd w:id="773"/>
          <w:p w:rsidR="00571656" w:rsidRPr="003837B9" w:rsidRDefault="00571656" w:rsidP="007A66FB">
            <w:pPr>
              <w:spacing w:before="60" w:after="60" w:line="240" w:lineRule="auto"/>
              <w:jc w:val="left"/>
              <w:rPr>
                <w:rFonts w:eastAsia="Times New Roman" w:cs="Tahoma"/>
                <w:b/>
                <w:color w:val="FFFFFF" w:themeColor="background1"/>
                <w:sz w:val="22"/>
                <w:lang w:eastAsia="en-AU"/>
              </w:rPr>
            </w:pPr>
            <w:r w:rsidRPr="003837B9">
              <w:rPr>
                <w:rFonts w:eastAsia="Times New Roman" w:cs="Tahoma"/>
                <w:b/>
                <w:color w:val="FFFFFF" w:themeColor="background1"/>
                <w:sz w:val="22"/>
                <w:lang w:eastAsia="en-AU"/>
              </w:rPr>
              <w:t>Situation</w:t>
            </w:r>
          </w:p>
        </w:tc>
        <w:tc>
          <w:tcPr>
            <w:tcW w:w="1985" w:type="dxa"/>
            <w:shd w:val="clear" w:color="auto" w:fill="5B9BD5" w:themeFill="accent5"/>
            <w:vAlign w:val="center"/>
          </w:tcPr>
          <w:p w:rsidR="00571656" w:rsidRPr="003837B9" w:rsidRDefault="00571656" w:rsidP="007A66FB">
            <w:pPr>
              <w:spacing w:before="60" w:after="60" w:line="240" w:lineRule="auto"/>
              <w:jc w:val="center"/>
              <w:rPr>
                <w:rFonts w:eastAsia="Times New Roman" w:cs="Tahoma"/>
                <w:b/>
                <w:color w:val="FFFFFF" w:themeColor="background1"/>
                <w:sz w:val="22"/>
                <w:lang w:eastAsia="en-AU"/>
              </w:rPr>
            </w:pPr>
            <w:r w:rsidRPr="003837B9">
              <w:rPr>
                <w:rFonts w:eastAsia="Times New Roman" w:cs="Tahoma"/>
                <w:b/>
                <w:color w:val="FFFFFF" w:themeColor="background1"/>
                <w:sz w:val="22"/>
                <w:lang w:eastAsia="en-AU"/>
              </w:rPr>
              <w:t>Provider</w:t>
            </w:r>
          </w:p>
        </w:tc>
        <w:tc>
          <w:tcPr>
            <w:tcW w:w="7654" w:type="dxa"/>
            <w:shd w:val="clear" w:color="auto" w:fill="5B9BD5" w:themeFill="accent5"/>
            <w:vAlign w:val="center"/>
          </w:tcPr>
          <w:p w:rsidR="00571656" w:rsidRPr="003837B9" w:rsidRDefault="00571656" w:rsidP="007A66FB">
            <w:pPr>
              <w:spacing w:before="60" w:after="60" w:line="240" w:lineRule="auto"/>
              <w:jc w:val="center"/>
              <w:rPr>
                <w:rFonts w:eastAsia="Times New Roman" w:cs="Tahoma"/>
                <w:b/>
                <w:color w:val="FFFFFF" w:themeColor="background1"/>
                <w:sz w:val="22"/>
                <w:lang w:eastAsia="en-AU"/>
              </w:rPr>
            </w:pPr>
            <w:r w:rsidRPr="003837B9">
              <w:rPr>
                <w:rFonts w:eastAsia="Times New Roman" w:cs="Tahoma"/>
                <w:b/>
                <w:color w:val="FFFFFF" w:themeColor="background1"/>
                <w:sz w:val="22"/>
                <w:lang w:eastAsia="en-AU"/>
              </w:rPr>
              <w:t xml:space="preserve">SAA assessor </w:t>
            </w:r>
          </w:p>
        </w:tc>
        <w:tc>
          <w:tcPr>
            <w:tcW w:w="1842" w:type="dxa"/>
            <w:shd w:val="clear" w:color="auto" w:fill="5B9BD5" w:themeFill="accent5"/>
            <w:vAlign w:val="center"/>
          </w:tcPr>
          <w:p w:rsidR="00571656" w:rsidRPr="003837B9" w:rsidRDefault="00571656" w:rsidP="007A66FB">
            <w:pPr>
              <w:spacing w:before="40" w:after="40" w:line="240" w:lineRule="auto"/>
              <w:jc w:val="center"/>
              <w:rPr>
                <w:rFonts w:eastAsia="Times New Roman" w:cs="Tahoma"/>
                <w:b/>
                <w:color w:val="FFFFFF" w:themeColor="background1"/>
                <w:sz w:val="22"/>
                <w:lang w:eastAsia="en-AU"/>
              </w:rPr>
            </w:pPr>
            <w:r w:rsidRPr="003837B9">
              <w:rPr>
                <w:rFonts w:eastAsia="Times New Roman" w:cs="Tahoma"/>
                <w:b/>
                <w:color w:val="FFFFFF" w:themeColor="background1"/>
                <w:sz w:val="22"/>
                <w:lang w:eastAsia="en-AU"/>
              </w:rPr>
              <w:t>R-ACFI Contested Funding Reviews</w:t>
            </w:r>
          </w:p>
        </w:tc>
      </w:tr>
      <w:tr w:rsidR="00571656" w:rsidRPr="003A175D" w:rsidTr="007A66FB">
        <w:tc>
          <w:tcPr>
            <w:tcW w:w="2694" w:type="dxa"/>
            <w:shd w:val="clear" w:color="auto" w:fill="auto"/>
          </w:tcPr>
          <w:p w:rsidR="00571656" w:rsidRDefault="00571656" w:rsidP="00CC21FA">
            <w:pPr>
              <w:spacing w:after="100" w:line="240" w:lineRule="auto"/>
              <w:jc w:val="left"/>
              <w:rPr>
                <w:rFonts w:eastAsia="Times New Roman" w:cs="Tahoma"/>
                <w:b/>
                <w:sz w:val="22"/>
                <w:lang w:eastAsia="en-AU"/>
              </w:rPr>
            </w:pPr>
            <w:r>
              <w:rPr>
                <w:rFonts w:eastAsia="Times New Roman" w:cs="Tahoma"/>
                <w:b/>
                <w:sz w:val="22"/>
                <w:lang w:eastAsia="en-AU"/>
              </w:rPr>
              <w:t>Funding Determined after resident admitted</w:t>
            </w:r>
          </w:p>
          <w:p w:rsidR="00980F62" w:rsidRDefault="00571656" w:rsidP="00CC21FA">
            <w:pPr>
              <w:spacing w:after="100" w:line="240" w:lineRule="auto"/>
              <w:jc w:val="left"/>
              <w:rPr>
                <w:rFonts w:eastAsia="Times New Roman" w:cs="Tahoma"/>
                <w:b/>
                <w:sz w:val="22"/>
                <w:lang w:eastAsia="en-AU"/>
              </w:rPr>
            </w:pPr>
            <w:r w:rsidRPr="004A22D9">
              <w:rPr>
                <w:rFonts w:eastAsia="Times New Roman" w:cs="Tahoma"/>
                <w:b/>
                <w:sz w:val="22"/>
                <w:lang w:eastAsia="en-AU"/>
              </w:rPr>
              <w:t>R-ACFI funding assessments after a person has become a permanent resident</w:t>
            </w:r>
          </w:p>
          <w:p w:rsidR="00980F62" w:rsidRDefault="00571656" w:rsidP="00CC21FA">
            <w:pPr>
              <w:spacing w:after="100" w:line="240" w:lineRule="auto"/>
              <w:jc w:val="left"/>
              <w:rPr>
                <w:rFonts w:eastAsia="Times New Roman" w:cs="Tahoma"/>
                <w:b/>
                <w:sz w:val="22"/>
                <w:lang w:eastAsia="en-AU"/>
              </w:rPr>
            </w:pPr>
            <w:r w:rsidRPr="004A22D9">
              <w:rPr>
                <w:rFonts w:eastAsia="Times New Roman" w:cs="Tahoma"/>
                <w:b/>
                <w:sz w:val="22"/>
                <w:lang w:eastAsia="en-AU"/>
              </w:rPr>
              <w:t xml:space="preserve">Client </w:t>
            </w:r>
            <w:r>
              <w:rPr>
                <w:rFonts w:eastAsia="Times New Roman" w:cs="Tahoma"/>
                <w:b/>
                <w:sz w:val="22"/>
                <w:lang w:eastAsia="en-AU"/>
              </w:rPr>
              <w:t>does NOT have a pre admission R-ACFI</w:t>
            </w:r>
          </w:p>
          <w:p w:rsidR="00571656" w:rsidRPr="004A22D9" w:rsidRDefault="00571656" w:rsidP="00CC21FA">
            <w:pPr>
              <w:spacing w:after="100" w:line="240" w:lineRule="auto"/>
              <w:jc w:val="left"/>
              <w:rPr>
                <w:rFonts w:eastAsia="Times New Roman" w:cs="Tahoma"/>
                <w:b/>
                <w:sz w:val="22"/>
                <w:lang w:eastAsia="en-AU"/>
              </w:rPr>
            </w:pPr>
            <w:r w:rsidRPr="004A22D9">
              <w:rPr>
                <w:rFonts w:eastAsia="Times New Roman" w:cs="Tahoma"/>
                <w:b/>
                <w:sz w:val="22"/>
                <w:lang w:eastAsia="en-AU"/>
              </w:rPr>
              <w:t>Client coming directly from hospital not subject to mandatory re-appraisal</w:t>
            </w:r>
          </w:p>
        </w:tc>
        <w:tc>
          <w:tcPr>
            <w:tcW w:w="1985" w:type="dxa"/>
          </w:tcPr>
          <w:p w:rsidR="00571656" w:rsidRPr="004A22D9" w:rsidRDefault="00571656" w:rsidP="00560D57">
            <w:pPr>
              <w:spacing w:line="240" w:lineRule="auto"/>
              <w:jc w:val="left"/>
              <w:rPr>
                <w:rFonts w:eastAsia="Times New Roman" w:cs="Tahoma"/>
                <w:sz w:val="22"/>
                <w:lang w:eastAsia="en-AU"/>
              </w:rPr>
            </w:pPr>
            <w:r w:rsidRPr="004A22D9">
              <w:rPr>
                <w:rFonts w:eastAsia="Times New Roman" w:cs="Tahoma"/>
                <w:sz w:val="22"/>
                <w:lang w:eastAsia="en-AU"/>
              </w:rPr>
              <w:t xml:space="preserve">Provider completes R-ACFI within </w:t>
            </w:r>
            <w:r>
              <w:rPr>
                <w:rFonts w:eastAsia="Times New Roman" w:cs="Tahoma"/>
                <w:sz w:val="22"/>
                <w:lang w:eastAsia="en-AU"/>
              </w:rPr>
              <w:t>two</w:t>
            </w:r>
            <w:r w:rsidRPr="004A22D9">
              <w:rPr>
                <w:rFonts w:eastAsia="Times New Roman" w:cs="Tahoma"/>
                <w:sz w:val="22"/>
                <w:lang w:eastAsia="en-AU"/>
              </w:rPr>
              <w:t xml:space="preserve"> month</w:t>
            </w:r>
            <w:r>
              <w:rPr>
                <w:rFonts w:eastAsia="Times New Roman" w:cs="Tahoma"/>
                <w:sz w:val="22"/>
                <w:lang w:eastAsia="en-AU"/>
              </w:rPr>
              <w:t>s</w:t>
            </w:r>
            <w:r w:rsidRPr="004A22D9">
              <w:rPr>
                <w:rFonts w:eastAsia="Times New Roman" w:cs="Tahoma"/>
                <w:sz w:val="22"/>
                <w:lang w:eastAsia="en-AU"/>
              </w:rPr>
              <w:t xml:space="preserve"> after admission and submits application</w:t>
            </w:r>
            <w:r>
              <w:rPr>
                <w:rFonts w:eastAsia="Times New Roman" w:cs="Tahoma"/>
                <w:sz w:val="22"/>
                <w:lang w:eastAsia="en-AU"/>
              </w:rPr>
              <w:t>.</w:t>
            </w:r>
          </w:p>
          <w:p w:rsidR="00571656" w:rsidRPr="004A22D9" w:rsidRDefault="00571656" w:rsidP="00560D57">
            <w:pPr>
              <w:spacing w:line="240" w:lineRule="auto"/>
              <w:jc w:val="left"/>
              <w:rPr>
                <w:rFonts w:eastAsia="Times New Roman" w:cs="Tahoma"/>
                <w:sz w:val="22"/>
                <w:lang w:eastAsia="en-AU"/>
              </w:rPr>
            </w:pPr>
            <w:r>
              <w:rPr>
                <w:rFonts w:eastAsia="Times New Roman" w:cs="Tahoma"/>
                <w:sz w:val="22"/>
                <w:lang w:eastAsia="en-AU"/>
              </w:rPr>
              <w:t xml:space="preserve">Full R-ACFI funding </w:t>
            </w:r>
            <w:r w:rsidRPr="004A22D9">
              <w:rPr>
                <w:rFonts w:eastAsia="Times New Roman" w:cs="Tahoma"/>
                <w:sz w:val="22"/>
                <w:lang w:eastAsia="en-AU"/>
              </w:rPr>
              <w:t xml:space="preserve">payable </w:t>
            </w:r>
            <w:r>
              <w:rPr>
                <w:rFonts w:eastAsia="Times New Roman" w:cs="Tahoma"/>
                <w:sz w:val="22"/>
                <w:lang w:eastAsia="en-AU"/>
              </w:rPr>
              <w:t>on R-ACFI submission as per current payment rules</w:t>
            </w:r>
            <w:r w:rsidR="00632841">
              <w:rPr>
                <w:rFonts w:eastAsia="Times New Roman" w:cs="Tahoma"/>
                <w:sz w:val="22"/>
                <w:lang w:eastAsia="en-AU"/>
              </w:rPr>
              <w:t>.</w:t>
            </w:r>
          </w:p>
        </w:tc>
        <w:tc>
          <w:tcPr>
            <w:tcW w:w="7654" w:type="dxa"/>
          </w:tcPr>
          <w:p w:rsidR="00571656" w:rsidRPr="004A22D9" w:rsidRDefault="00571656" w:rsidP="00BB011E">
            <w:pPr>
              <w:spacing w:after="80" w:line="240" w:lineRule="auto"/>
              <w:jc w:val="left"/>
              <w:rPr>
                <w:rFonts w:eastAsia="Times New Roman" w:cs="Tahoma"/>
                <w:sz w:val="22"/>
                <w:lang w:eastAsia="en-AU"/>
              </w:rPr>
            </w:pPr>
            <w:r w:rsidRPr="004A22D9">
              <w:rPr>
                <w:rFonts w:eastAsia="Times New Roman" w:cs="Tahoma"/>
                <w:sz w:val="22"/>
                <w:lang w:eastAsia="en-AU"/>
              </w:rPr>
              <w:t xml:space="preserve">The </w:t>
            </w:r>
            <w:r>
              <w:rPr>
                <w:rFonts w:eastAsia="Times New Roman" w:cs="Tahoma"/>
                <w:sz w:val="22"/>
                <w:lang w:eastAsia="en-AU"/>
              </w:rPr>
              <w:t>SAA</w:t>
            </w:r>
            <w:r w:rsidRPr="004A22D9">
              <w:rPr>
                <w:rFonts w:eastAsia="Times New Roman" w:cs="Tahoma"/>
                <w:sz w:val="22"/>
                <w:lang w:eastAsia="en-AU"/>
              </w:rPr>
              <w:t xml:space="preserve"> will use a three-level approach</w:t>
            </w:r>
            <w:r>
              <w:rPr>
                <w:rFonts w:eastAsia="Times New Roman" w:cs="Tahoma"/>
                <w:sz w:val="22"/>
                <w:lang w:eastAsia="en-AU"/>
              </w:rPr>
              <w:t xml:space="preserve"> to review the R-ACFI funding </w:t>
            </w:r>
            <w:r w:rsidRPr="004A22D9">
              <w:rPr>
                <w:rFonts w:eastAsia="Times New Roman" w:cs="Tahoma"/>
                <w:sz w:val="22"/>
                <w:lang w:eastAsia="en-AU"/>
              </w:rPr>
              <w:t>submission</w:t>
            </w:r>
            <w:r>
              <w:rPr>
                <w:rFonts w:eastAsia="Times New Roman" w:cs="Tahoma"/>
                <w:sz w:val="22"/>
                <w:lang w:eastAsia="en-AU"/>
              </w:rPr>
              <w:t>:</w:t>
            </w:r>
          </w:p>
          <w:p w:rsidR="00571656" w:rsidRPr="00BB011E" w:rsidRDefault="00571656" w:rsidP="00F02312">
            <w:pPr>
              <w:pStyle w:val="ListParagraph"/>
              <w:numPr>
                <w:ilvl w:val="0"/>
                <w:numId w:val="187"/>
              </w:numPr>
              <w:spacing w:after="80" w:line="240" w:lineRule="auto"/>
              <w:ind w:left="357" w:hanging="357"/>
              <w:jc w:val="left"/>
              <w:rPr>
                <w:sz w:val="22"/>
              </w:rPr>
            </w:pPr>
            <w:r w:rsidRPr="00BB011E">
              <w:rPr>
                <w:sz w:val="22"/>
              </w:rPr>
              <w:t>Data analytics of the claim information</w:t>
            </w:r>
          </w:p>
          <w:p w:rsidR="00571656" w:rsidRPr="00BB011E" w:rsidRDefault="00571656" w:rsidP="00F02312">
            <w:pPr>
              <w:pStyle w:val="ListParagraph"/>
              <w:numPr>
                <w:ilvl w:val="0"/>
                <w:numId w:val="187"/>
              </w:numPr>
              <w:spacing w:after="80" w:line="240" w:lineRule="auto"/>
              <w:ind w:left="357" w:hanging="357"/>
              <w:jc w:val="left"/>
              <w:rPr>
                <w:rFonts w:eastAsia="Times New Roman" w:cs="Tahoma"/>
                <w:sz w:val="22"/>
                <w:lang w:eastAsia="en-AU"/>
              </w:rPr>
            </w:pPr>
            <w:r w:rsidRPr="00BB011E">
              <w:rPr>
                <w:rFonts w:eastAsia="Times New Roman" w:cs="Tahoma"/>
                <w:sz w:val="22"/>
                <w:lang w:eastAsia="en-AU"/>
              </w:rPr>
              <w:t>A desktop review of the submitted R-ACFI and assessments including:</w:t>
            </w:r>
          </w:p>
          <w:p w:rsidR="00571656" w:rsidRPr="00BB011E" w:rsidRDefault="00571656" w:rsidP="00F02312">
            <w:pPr>
              <w:pStyle w:val="ListParagraph"/>
              <w:numPr>
                <w:ilvl w:val="1"/>
                <w:numId w:val="178"/>
              </w:numPr>
              <w:spacing w:line="240" w:lineRule="auto"/>
              <w:ind w:left="714" w:hanging="357"/>
              <w:jc w:val="left"/>
              <w:rPr>
                <w:rFonts w:eastAsia="Times New Roman" w:cs="Tahoma"/>
                <w:sz w:val="22"/>
                <w:lang w:eastAsia="en-AU"/>
              </w:rPr>
            </w:pPr>
            <w:r w:rsidRPr="00BB011E">
              <w:rPr>
                <w:rFonts w:eastAsia="Times New Roman" w:cs="Tahoma"/>
                <w:sz w:val="22"/>
                <w:lang w:eastAsia="en-AU"/>
              </w:rPr>
              <w:t>Review of the available e-Health record and/or CMA</w:t>
            </w:r>
          </w:p>
          <w:p w:rsidR="00571656" w:rsidRPr="00BB011E" w:rsidRDefault="00571656" w:rsidP="00F02312">
            <w:pPr>
              <w:pStyle w:val="ListParagraph"/>
              <w:numPr>
                <w:ilvl w:val="1"/>
                <w:numId w:val="178"/>
              </w:numPr>
              <w:spacing w:line="240" w:lineRule="auto"/>
              <w:ind w:left="714" w:hanging="357"/>
              <w:jc w:val="left"/>
              <w:rPr>
                <w:rFonts w:eastAsia="Times New Roman" w:cs="Tahoma"/>
                <w:sz w:val="22"/>
                <w:lang w:eastAsia="en-AU"/>
              </w:rPr>
            </w:pPr>
            <w:r w:rsidRPr="00BB011E">
              <w:rPr>
                <w:rFonts w:eastAsia="Times New Roman" w:cs="Tahoma"/>
                <w:sz w:val="22"/>
                <w:lang w:eastAsia="en-AU"/>
              </w:rPr>
              <w:t>Requests for more information</w:t>
            </w:r>
          </w:p>
          <w:p w:rsidR="00571656" w:rsidRPr="00BB011E" w:rsidRDefault="00571656" w:rsidP="00F02312">
            <w:pPr>
              <w:pStyle w:val="ListParagraph"/>
              <w:numPr>
                <w:ilvl w:val="1"/>
                <w:numId w:val="178"/>
              </w:numPr>
              <w:spacing w:line="240" w:lineRule="auto"/>
              <w:ind w:left="714" w:hanging="357"/>
              <w:jc w:val="left"/>
              <w:rPr>
                <w:rFonts w:eastAsia="Times New Roman" w:cs="Tahoma"/>
                <w:sz w:val="22"/>
                <w:lang w:eastAsia="en-AU"/>
              </w:rPr>
            </w:pPr>
            <w:r w:rsidRPr="00BB011E">
              <w:rPr>
                <w:rFonts w:eastAsia="Times New Roman" w:cs="Tahoma"/>
                <w:sz w:val="22"/>
                <w:lang w:eastAsia="en-AU"/>
              </w:rPr>
              <w:t>Discussion with the provider assessor</w:t>
            </w:r>
          </w:p>
          <w:p w:rsidR="00571656" w:rsidRPr="00BB011E" w:rsidRDefault="00571656" w:rsidP="00F02312">
            <w:pPr>
              <w:pStyle w:val="ListParagraph"/>
              <w:numPr>
                <w:ilvl w:val="1"/>
                <w:numId w:val="178"/>
              </w:numPr>
              <w:spacing w:line="240" w:lineRule="auto"/>
              <w:ind w:left="714" w:hanging="357"/>
              <w:jc w:val="left"/>
              <w:rPr>
                <w:rFonts w:eastAsia="Times New Roman" w:cs="Tahoma"/>
                <w:sz w:val="22"/>
                <w:lang w:eastAsia="en-AU"/>
              </w:rPr>
            </w:pPr>
            <w:r w:rsidRPr="00BB011E">
              <w:rPr>
                <w:rFonts w:eastAsia="Times New Roman" w:cs="Tahoma"/>
                <w:sz w:val="22"/>
                <w:lang w:eastAsia="en-AU"/>
              </w:rPr>
              <w:t>Telephone discussions with key informants such as GPs and AHPs</w:t>
            </w:r>
          </w:p>
          <w:p w:rsidR="00980F62" w:rsidRDefault="00571656" w:rsidP="00F02312">
            <w:pPr>
              <w:pStyle w:val="ListParagraph"/>
              <w:numPr>
                <w:ilvl w:val="0"/>
                <w:numId w:val="187"/>
              </w:numPr>
              <w:spacing w:after="80" w:line="240" w:lineRule="auto"/>
              <w:ind w:left="357" w:hanging="357"/>
              <w:jc w:val="left"/>
              <w:rPr>
                <w:rFonts w:eastAsia="Times New Roman" w:cs="Tahoma"/>
                <w:sz w:val="22"/>
                <w:lang w:eastAsia="en-AU"/>
              </w:rPr>
            </w:pPr>
            <w:r w:rsidRPr="00BB011E">
              <w:rPr>
                <w:rFonts w:eastAsia="Times New Roman" w:cs="Tahoma"/>
                <w:sz w:val="22"/>
                <w:lang w:eastAsia="en-AU"/>
              </w:rPr>
              <w:t>Site visit to facility to conduct a care needs re-assessment on up to 100</w:t>
            </w:r>
            <w:r w:rsidR="0065091B">
              <w:rPr>
                <w:rFonts w:eastAsia="Times New Roman" w:cs="Tahoma"/>
                <w:sz w:val="22"/>
                <w:lang w:eastAsia="en-AU"/>
              </w:rPr>
              <w:t xml:space="preserve"> per cent</w:t>
            </w:r>
            <w:r w:rsidRPr="00BB011E">
              <w:rPr>
                <w:rFonts w:eastAsia="Times New Roman" w:cs="Tahoma"/>
                <w:sz w:val="22"/>
                <w:lang w:eastAsia="en-AU"/>
              </w:rPr>
              <w:t xml:space="preserve"> of new resident R-ACFI assessments.</w:t>
            </w:r>
          </w:p>
          <w:p w:rsidR="00571656" w:rsidRPr="004A22D9" w:rsidRDefault="00571656" w:rsidP="00BB011E">
            <w:pPr>
              <w:spacing w:after="80" w:line="240" w:lineRule="auto"/>
              <w:jc w:val="left"/>
              <w:rPr>
                <w:rFonts w:eastAsia="Times New Roman" w:cs="Tahoma"/>
                <w:sz w:val="22"/>
                <w:lang w:eastAsia="en-AU"/>
              </w:rPr>
            </w:pPr>
            <w:r>
              <w:rPr>
                <w:rFonts w:eastAsia="Times New Roman" w:cs="Tahoma"/>
                <w:sz w:val="22"/>
                <w:lang w:eastAsia="en-AU"/>
              </w:rPr>
              <w:t xml:space="preserve">In the medium to longer term (e.g. 5 years) an e-audit can be used to conduct </w:t>
            </w:r>
            <w:r w:rsidRPr="004A22D9">
              <w:rPr>
                <w:sz w:val="22"/>
              </w:rPr>
              <w:t xml:space="preserve">a detailed </w:t>
            </w:r>
            <w:r>
              <w:rPr>
                <w:sz w:val="22"/>
              </w:rPr>
              <w:t>review</w:t>
            </w:r>
            <w:r w:rsidRPr="004A22D9">
              <w:rPr>
                <w:sz w:val="22"/>
              </w:rPr>
              <w:t xml:space="preserve"> of the R-ACFI, including reviewing </w:t>
            </w:r>
            <w:r>
              <w:rPr>
                <w:sz w:val="22"/>
              </w:rPr>
              <w:t>supporting documentation.</w:t>
            </w:r>
            <w:r w:rsidR="00632841" w:rsidRPr="004A22D9">
              <w:rPr>
                <w:rFonts w:eastAsia="Times New Roman" w:cs="Tahoma"/>
                <w:sz w:val="22"/>
                <w:lang w:eastAsia="en-AU"/>
              </w:rPr>
              <w:t xml:space="preserve"> </w:t>
            </w:r>
          </w:p>
        </w:tc>
        <w:tc>
          <w:tcPr>
            <w:tcW w:w="1842" w:type="dxa"/>
          </w:tcPr>
          <w:p w:rsidR="00571656" w:rsidRPr="004A22D9" w:rsidRDefault="00571656" w:rsidP="00560D57">
            <w:pPr>
              <w:spacing w:line="240" w:lineRule="auto"/>
              <w:jc w:val="left"/>
              <w:rPr>
                <w:rFonts w:eastAsia="Times New Roman" w:cs="Tahoma"/>
                <w:sz w:val="22"/>
                <w:lang w:eastAsia="en-AU"/>
              </w:rPr>
            </w:pPr>
            <w:r w:rsidRPr="009A5227">
              <w:rPr>
                <w:rFonts w:eastAsia="Times New Roman" w:cs="Tahoma"/>
                <w:sz w:val="22"/>
                <w:lang w:eastAsia="en-AU"/>
              </w:rPr>
              <w:t xml:space="preserve">The </w:t>
            </w:r>
            <w:r>
              <w:rPr>
                <w:rFonts w:eastAsia="Times New Roman" w:cs="Tahoma"/>
                <w:sz w:val="22"/>
                <w:lang w:eastAsia="en-AU"/>
              </w:rPr>
              <w:t xml:space="preserve">provider can contest the SAA assessment </w:t>
            </w:r>
            <w:r w:rsidRPr="009A5227">
              <w:rPr>
                <w:rFonts w:eastAsia="Times New Roman" w:cs="Tahoma"/>
                <w:sz w:val="22"/>
                <w:lang w:eastAsia="en-AU"/>
              </w:rPr>
              <w:t>determination</w:t>
            </w:r>
            <w:r>
              <w:rPr>
                <w:rFonts w:eastAsia="Times New Roman" w:cs="Tahoma"/>
                <w:sz w:val="22"/>
                <w:lang w:eastAsia="en-AU"/>
              </w:rPr>
              <w:t xml:space="preserve"> of the R-ACFI appraisal by submitting a documented request to the Department for re-consideration. </w:t>
            </w:r>
          </w:p>
        </w:tc>
      </w:tr>
    </w:tbl>
    <w:p w:rsidR="00CC0633" w:rsidRDefault="00CC21FA" w:rsidP="00C90A16">
      <w:pPr>
        <w:pStyle w:val="Caption"/>
        <w:keepNext/>
        <w:spacing w:before="180"/>
      </w:pPr>
      <w:bookmarkStart w:id="774" w:name="_Toc495416870"/>
      <w:bookmarkStart w:id="775" w:name="Tab1110"/>
      <w:r>
        <w:t>Table 11.</w:t>
      </w:r>
      <w:r w:rsidR="009A3F5A">
        <w:fldChar w:fldCharType="begin"/>
      </w:r>
      <w:r w:rsidR="009A3F5A">
        <w:instrText xml:space="preserve"> SEQ Table_11. \* ARABIC </w:instrText>
      </w:r>
      <w:r w:rsidR="009A3F5A">
        <w:fldChar w:fldCharType="separate"/>
      </w:r>
      <w:r w:rsidR="00856E49">
        <w:rPr>
          <w:noProof/>
        </w:rPr>
        <w:t>10</w:t>
      </w:r>
      <w:r w:rsidR="009A3F5A">
        <w:rPr>
          <w:noProof/>
        </w:rPr>
        <w:fldChar w:fldCharType="end"/>
      </w:r>
      <w:r>
        <w:t xml:space="preserve">: </w:t>
      </w:r>
      <w:r w:rsidRPr="00CC21FA">
        <w:t>Option 3: Provider Re-Appraisal Application Review – Specialist Assessment Agency Assessor Process</w:t>
      </w:r>
      <w:bookmarkEnd w:id="774"/>
    </w:p>
    <w:tbl>
      <w:tblPr>
        <w:tblW w:w="14175"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1E0" w:firstRow="1" w:lastRow="1" w:firstColumn="1" w:lastColumn="1" w:noHBand="0" w:noVBand="0"/>
        <w:tblDescription w:val="Table 11.10 is a list of details for the aspects of the reappraisal process for providers and the specialist assessment agency assessors (SAAs) under Option 3. This table is to be read left to right, top to bottom."/>
      </w:tblPr>
      <w:tblGrid>
        <w:gridCol w:w="2694"/>
        <w:gridCol w:w="2127"/>
        <w:gridCol w:w="7512"/>
        <w:gridCol w:w="1842"/>
      </w:tblGrid>
      <w:tr w:rsidR="00571656" w:rsidRPr="003837B9" w:rsidTr="00407FD7">
        <w:trPr>
          <w:trHeight w:val="470"/>
        </w:trPr>
        <w:tc>
          <w:tcPr>
            <w:tcW w:w="2694" w:type="dxa"/>
            <w:shd w:val="clear" w:color="auto" w:fill="5B9BD5" w:themeFill="accent5"/>
            <w:vAlign w:val="center"/>
          </w:tcPr>
          <w:bookmarkEnd w:id="775"/>
          <w:p w:rsidR="00571656" w:rsidRPr="003837B9" w:rsidRDefault="00571656" w:rsidP="007A66FB">
            <w:pPr>
              <w:spacing w:before="60" w:after="60" w:line="240" w:lineRule="auto"/>
              <w:jc w:val="left"/>
              <w:rPr>
                <w:rFonts w:eastAsia="Times New Roman" w:cs="Tahoma"/>
                <w:b/>
                <w:color w:val="FFFFFF" w:themeColor="background1"/>
                <w:sz w:val="22"/>
                <w:lang w:eastAsia="en-AU"/>
              </w:rPr>
            </w:pPr>
            <w:r w:rsidRPr="003837B9">
              <w:rPr>
                <w:rFonts w:eastAsia="Times New Roman" w:cs="Tahoma"/>
                <w:b/>
                <w:color w:val="FFFFFF" w:themeColor="background1"/>
                <w:sz w:val="22"/>
                <w:lang w:eastAsia="en-AU"/>
              </w:rPr>
              <w:t>Situation</w:t>
            </w:r>
          </w:p>
        </w:tc>
        <w:tc>
          <w:tcPr>
            <w:tcW w:w="2127" w:type="dxa"/>
            <w:shd w:val="clear" w:color="auto" w:fill="5B9BD5" w:themeFill="accent5"/>
            <w:vAlign w:val="center"/>
          </w:tcPr>
          <w:p w:rsidR="00571656" w:rsidRPr="003837B9" w:rsidRDefault="00571656" w:rsidP="007A66FB">
            <w:pPr>
              <w:spacing w:before="60" w:after="60" w:line="240" w:lineRule="auto"/>
              <w:jc w:val="center"/>
              <w:rPr>
                <w:rFonts w:eastAsia="Times New Roman" w:cs="Tahoma"/>
                <w:b/>
                <w:color w:val="FFFFFF" w:themeColor="background1"/>
                <w:sz w:val="22"/>
                <w:lang w:eastAsia="en-AU"/>
              </w:rPr>
            </w:pPr>
            <w:r w:rsidRPr="003837B9">
              <w:rPr>
                <w:rFonts w:eastAsia="Times New Roman" w:cs="Tahoma"/>
                <w:b/>
                <w:color w:val="FFFFFF" w:themeColor="background1"/>
                <w:sz w:val="22"/>
                <w:lang w:eastAsia="en-AU"/>
              </w:rPr>
              <w:t>Provider</w:t>
            </w:r>
          </w:p>
        </w:tc>
        <w:tc>
          <w:tcPr>
            <w:tcW w:w="7512" w:type="dxa"/>
            <w:shd w:val="clear" w:color="auto" w:fill="5B9BD5" w:themeFill="accent5"/>
            <w:vAlign w:val="center"/>
          </w:tcPr>
          <w:p w:rsidR="00571656" w:rsidRPr="003837B9" w:rsidRDefault="00571656" w:rsidP="007A66FB">
            <w:pPr>
              <w:spacing w:before="60" w:after="60" w:line="240" w:lineRule="auto"/>
              <w:jc w:val="center"/>
              <w:rPr>
                <w:rFonts w:eastAsia="Times New Roman" w:cs="Tahoma"/>
                <w:b/>
                <w:color w:val="FFFFFF" w:themeColor="background1"/>
                <w:sz w:val="22"/>
                <w:lang w:eastAsia="en-AU"/>
              </w:rPr>
            </w:pPr>
            <w:r w:rsidRPr="003837B9">
              <w:rPr>
                <w:rFonts w:eastAsia="Times New Roman" w:cs="Tahoma"/>
                <w:b/>
                <w:color w:val="FFFFFF" w:themeColor="background1"/>
                <w:sz w:val="22"/>
                <w:lang w:eastAsia="en-AU"/>
              </w:rPr>
              <w:t>SAA assessor</w:t>
            </w:r>
          </w:p>
        </w:tc>
        <w:tc>
          <w:tcPr>
            <w:tcW w:w="1842" w:type="dxa"/>
            <w:shd w:val="clear" w:color="auto" w:fill="5B9BD5" w:themeFill="accent5"/>
            <w:vAlign w:val="center"/>
          </w:tcPr>
          <w:p w:rsidR="00571656" w:rsidRPr="003837B9" w:rsidRDefault="00571656" w:rsidP="007A66FB">
            <w:pPr>
              <w:spacing w:before="40" w:after="40" w:line="240" w:lineRule="auto"/>
              <w:jc w:val="center"/>
              <w:rPr>
                <w:rFonts w:eastAsia="Times New Roman" w:cs="Tahoma"/>
                <w:b/>
                <w:color w:val="FFFFFF" w:themeColor="background1"/>
                <w:sz w:val="22"/>
                <w:lang w:eastAsia="en-AU"/>
              </w:rPr>
            </w:pPr>
            <w:r w:rsidRPr="003837B9">
              <w:rPr>
                <w:rFonts w:eastAsia="Times New Roman" w:cs="Tahoma"/>
                <w:b/>
                <w:color w:val="FFFFFF" w:themeColor="background1"/>
                <w:sz w:val="22"/>
                <w:lang w:eastAsia="en-AU"/>
              </w:rPr>
              <w:t>R-ACFI Contested Funding Reviews</w:t>
            </w:r>
          </w:p>
        </w:tc>
      </w:tr>
      <w:tr w:rsidR="00571656" w:rsidRPr="00CC15A6" w:rsidTr="00407FD7">
        <w:tc>
          <w:tcPr>
            <w:tcW w:w="2694" w:type="dxa"/>
            <w:shd w:val="clear" w:color="auto" w:fill="auto"/>
          </w:tcPr>
          <w:p w:rsidR="00571656" w:rsidRPr="006863E9" w:rsidRDefault="00571656" w:rsidP="00560D57">
            <w:pPr>
              <w:spacing w:line="240" w:lineRule="auto"/>
              <w:jc w:val="left"/>
              <w:rPr>
                <w:rFonts w:eastAsia="Times New Roman" w:cs="Tahoma"/>
                <w:b/>
                <w:sz w:val="22"/>
                <w:lang w:eastAsia="en-AU"/>
              </w:rPr>
            </w:pPr>
            <w:r w:rsidRPr="006863E9">
              <w:rPr>
                <w:rFonts w:eastAsia="Times New Roman" w:cs="Tahoma"/>
                <w:b/>
                <w:sz w:val="22"/>
                <w:lang w:eastAsia="en-AU"/>
              </w:rPr>
              <w:t xml:space="preserve">Resident has two category R-ACFI change within 12 months </w:t>
            </w:r>
            <w:r>
              <w:rPr>
                <w:rFonts w:eastAsia="Times New Roman" w:cs="Tahoma"/>
                <w:b/>
                <w:sz w:val="22"/>
                <w:lang w:eastAsia="en-AU"/>
              </w:rPr>
              <w:t>of last</w:t>
            </w:r>
            <w:r w:rsidRPr="006863E9">
              <w:rPr>
                <w:rFonts w:eastAsia="Times New Roman" w:cs="Tahoma"/>
                <w:b/>
                <w:sz w:val="22"/>
                <w:lang w:eastAsia="en-AU"/>
              </w:rPr>
              <w:t xml:space="preserve"> funding determination</w:t>
            </w:r>
          </w:p>
          <w:p w:rsidR="00980F62" w:rsidRDefault="00571656" w:rsidP="00560D57">
            <w:pPr>
              <w:spacing w:line="240" w:lineRule="auto"/>
              <w:jc w:val="left"/>
              <w:rPr>
                <w:rFonts w:eastAsia="Times New Roman" w:cs="Tahoma"/>
                <w:b/>
                <w:sz w:val="22"/>
                <w:lang w:eastAsia="en-AU"/>
              </w:rPr>
            </w:pPr>
            <w:r w:rsidRPr="006863E9">
              <w:rPr>
                <w:rFonts w:eastAsia="Times New Roman" w:cs="Tahoma"/>
                <w:b/>
                <w:sz w:val="22"/>
                <w:lang w:eastAsia="en-AU"/>
              </w:rPr>
              <w:t>OR</w:t>
            </w:r>
          </w:p>
          <w:p w:rsidR="00571656" w:rsidRPr="006863E9" w:rsidRDefault="00571656" w:rsidP="00560D57">
            <w:pPr>
              <w:spacing w:line="240" w:lineRule="auto"/>
              <w:jc w:val="left"/>
              <w:rPr>
                <w:rFonts w:eastAsia="Times New Roman" w:cs="Tahoma"/>
                <w:b/>
                <w:sz w:val="22"/>
                <w:lang w:eastAsia="en-AU"/>
              </w:rPr>
            </w:pPr>
            <w:r w:rsidRPr="006863E9">
              <w:rPr>
                <w:rFonts w:eastAsia="Times New Roman" w:cs="Tahoma"/>
                <w:b/>
                <w:sz w:val="22"/>
                <w:lang w:eastAsia="en-AU"/>
              </w:rPr>
              <w:t xml:space="preserve">Resident has one category R-ACFI change 12 months after </w:t>
            </w:r>
            <w:r>
              <w:rPr>
                <w:rFonts w:eastAsia="Times New Roman" w:cs="Tahoma"/>
                <w:b/>
                <w:sz w:val="22"/>
                <w:lang w:eastAsia="en-AU"/>
              </w:rPr>
              <w:t xml:space="preserve">last </w:t>
            </w:r>
            <w:r w:rsidRPr="006863E9">
              <w:rPr>
                <w:rFonts w:eastAsia="Times New Roman" w:cs="Tahoma"/>
                <w:b/>
                <w:sz w:val="22"/>
                <w:lang w:eastAsia="en-AU"/>
              </w:rPr>
              <w:t>funding determination</w:t>
            </w:r>
          </w:p>
        </w:tc>
        <w:tc>
          <w:tcPr>
            <w:tcW w:w="2127" w:type="dxa"/>
          </w:tcPr>
          <w:p w:rsidR="00571656" w:rsidRPr="006863E9" w:rsidRDefault="00571656" w:rsidP="00560D57">
            <w:pPr>
              <w:spacing w:line="240" w:lineRule="auto"/>
              <w:jc w:val="left"/>
              <w:rPr>
                <w:rFonts w:eastAsia="Times New Roman" w:cs="Tahoma"/>
                <w:sz w:val="22"/>
                <w:lang w:eastAsia="en-AU"/>
              </w:rPr>
            </w:pPr>
            <w:r w:rsidRPr="006863E9">
              <w:rPr>
                <w:rFonts w:eastAsia="Times New Roman" w:cs="Tahoma"/>
                <w:sz w:val="22"/>
                <w:lang w:eastAsia="en-AU"/>
              </w:rPr>
              <w:t>Provider precipitates funding with R-ACFI re-appraisal submission</w:t>
            </w:r>
            <w:r>
              <w:rPr>
                <w:rFonts w:eastAsia="Times New Roman" w:cs="Tahoma"/>
                <w:sz w:val="22"/>
                <w:lang w:eastAsia="en-AU"/>
              </w:rPr>
              <w:t>.</w:t>
            </w:r>
          </w:p>
          <w:p w:rsidR="00571656" w:rsidRPr="006863E9" w:rsidRDefault="00571656" w:rsidP="00560D57">
            <w:pPr>
              <w:spacing w:line="240" w:lineRule="auto"/>
              <w:jc w:val="left"/>
              <w:rPr>
                <w:rFonts w:eastAsia="Times New Roman" w:cs="Tahoma"/>
                <w:sz w:val="22"/>
                <w:lang w:eastAsia="en-AU"/>
              </w:rPr>
            </w:pPr>
            <w:r>
              <w:rPr>
                <w:rFonts w:eastAsia="Times New Roman" w:cs="Tahoma"/>
                <w:sz w:val="22"/>
                <w:lang w:eastAsia="en-AU"/>
              </w:rPr>
              <w:t xml:space="preserve">Full R-ACFI funding </w:t>
            </w:r>
            <w:r w:rsidRPr="004A22D9">
              <w:rPr>
                <w:rFonts w:eastAsia="Times New Roman" w:cs="Tahoma"/>
                <w:sz w:val="22"/>
                <w:lang w:eastAsia="en-AU"/>
              </w:rPr>
              <w:t xml:space="preserve">payable </w:t>
            </w:r>
            <w:r>
              <w:rPr>
                <w:rFonts w:eastAsia="Times New Roman" w:cs="Tahoma"/>
                <w:sz w:val="22"/>
                <w:lang w:eastAsia="en-AU"/>
              </w:rPr>
              <w:t>on R-ACFI submission as per current payment rules</w:t>
            </w:r>
          </w:p>
        </w:tc>
        <w:tc>
          <w:tcPr>
            <w:tcW w:w="7512" w:type="dxa"/>
          </w:tcPr>
          <w:p w:rsidR="00571656" w:rsidRPr="004A22D9" w:rsidRDefault="00571656" w:rsidP="00BB011E">
            <w:pPr>
              <w:spacing w:after="80" w:line="240" w:lineRule="auto"/>
              <w:jc w:val="left"/>
              <w:rPr>
                <w:rFonts w:eastAsia="Times New Roman" w:cs="Tahoma"/>
                <w:sz w:val="22"/>
                <w:lang w:eastAsia="en-AU"/>
              </w:rPr>
            </w:pPr>
            <w:r w:rsidRPr="004A22D9">
              <w:rPr>
                <w:rFonts w:eastAsia="Times New Roman" w:cs="Tahoma"/>
                <w:sz w:val="22"/>
                <w:lang w:eastAsia="en-AU"/>
              </w:rPr>
              <w:t xml:space="preserve">The </w:t>
            </w:r>
            <w:r>
              <w:rPr>
                <w:rFonts w:eastAsia="Times New Roman" w:cs="Tahoma"/>
                <w:sz w:val="22"/>
                <w:lang w:eastAsia="en-AU"/>
              </w:rPr>
              <w:t>SAA</w:t>
            </w:r>
            <w:r w:rsidRPr="004A22D9">
              <w:rPr>
                <w:rFonts w:eastAsia="Times New Roman" w:cs="Tahoma"/>
                <w:sz w:val="22"/>
                <w:lang w:eastAsia="en-AU"/>
              </w:rPr>
              <w:t xml:space="preserve"> will use a three-level approach</w:t>
            </w:r>
            <w:r>
              <w:rPr>
                <w:rFonts w:eastAsia="Times New Roman" w:cs="Tahoma"/>
                <w:sz w:val="22"/>
                <w:lang w:eastAsia="en-AU"/>
              </w:rPr>
              <w:t xml:space="preserve"> to review the R-ACFI funding </w:t>
            </w:r>
            <w:r w:rsidRPr="004A22D9">
              <w:rPr>
                <w:rFonts w:eastAsia="Times New Roman" w:cs="Tahoma"/>
                <w:sz w:val="22"/>
                <w:lang w:eastAsia="en-AU"/>
              </w:rPr>
              <w:t>submission</w:t>
            </w:r>
            <w:r>
              <w:rPr>
                <w:rFonts w:eastAsia="Times New Roman" w:cs="Tahoma"/>
                <w:sz w:val="22"/>
                <w:lang w:eastAsia="en-AU"/>
              </w:rPr>
              <w:t xml:space="preserve"> (usually within 3-6 months of submission):</w:t>
            </w:r>
          </w:p>
          <w:p w:rsidR="00571656" w:rsidRPr="00BB011E" w:rsidRDefault="00571656" w:rsidP="00F02312">
            <w:pPr>
              <w:pStyle w:val="ListParagraph"/>
              <w:numPr>
                <w:ilvl w:val="0"/>
                <w:numId w:val="177"/>
              </w:numPr>
              <w:spacing w:after="80" w:line="240" w:lineRule="auto"/>
              <w:ind w:left="357" w:hanging="357"/>
              <w:jc w:val="left"/>
              <w:rPr>
                <w:sz w:val="22"/>
              </w:rPr>
            </w:pPr>
            <w:r w:rsidRPr="00BB011E">
              <w:rPr>
                <w:sz w:val="22"/>
              </w:rPr>
              <w:t>Data analytics of the claim information</w:t>
            </w:r>
          </w:p>
          <w:p w:rsidR="00571656" w:rsidRPr="00BB011E" w:rsidRDefault="00571656" w:rsidP="00F02312">
            <w:pPr>
              <w:pStyle w:val="ListParagraph"/>
              <w:numPr>
                <w:ilvl w:val="0"/>
                <w:numId w:val="177"/>
              </w:numPr>
              <w:spacing w:after="80" w:line="240" w:lineRule="auto"/>
              <w:ind w:left="357" w:hanging="357"/>
              <w:jc w:val="left"/>
              <w:rPr>
                <w:rFonts w:eastAsia="Times New Roman" w:cs="Tahoma"/>
                <w:sz w:val="22"/>
                <w:lang w:eastAsia="en-AU"/>
              </w:rPr>
            </w:pPr>
            <w:r w:rsidRPr="00BB011E">
              <w:rPr>
                <w:rFonts w:eastAsia="Times New Roman" w:cs="Tahoma"/>
                <w:sz w:val="22"/>
                <w:lang w:eastAsia="en-AU"/>
              </w:rPr>
              <w:t>A desktop review of the submitted R-ACFI and assessments including:</w:t>
            </w:r>
          </w:p>
          <w:p w:rsidR="00571656" w:rsidRPr="00D6178E" w:rsidRDefault="00571656" w:rsidP="00F02312">
            <w:pPr>
              <w:pStyle w:val="ListParagraph"/>
              <w:numPr>
                <w:ilvl w:val="1"/>
                <w:numId w:val="178"/>
              </w:numPr>
              <w:spacing w:line="240" w:lineRule="auto"/>
              <w:ind w:left="714" w:hanging="357"/>
              <w:jc w:val="left"/>
              <w:rPr>
                <w:rFonts w:eastAsia="Times New Roman" w:cs="Tahoma"/>
                <w:sz w:val="22"/>
                <w:lang w:eastAsia="en-AU"/>
              </w:rPr>
            </w:pPr>
            <w:r w:rsidRPr="00D6178E">
              <w:rPr>
                <w:rFonts w:eastAsia="Times New Roman" w:cs="Tahoma"/>
                <w:sz w:val="22"/>
                <w:lang w:eastAsia="en-AU"/>
              </w:rPr>
              <w:t>Review of the available e-Health record and/or CMA</w:t>
            </w:r>
          </w:p>
          <w:p w:rsidR="00571656" w:rsidRPr="00D6178E" w:rsidRDefault="00571656" w:rsidP="00F02312">
            <w:pPr>
              <w:pStyle w:val="ListParagraph"/>
              <w:numPr>
                <w:ilvl w:val="1"/>
                <w:numId w:val="178"/>
              </w:numPr>
              <w:spacing w:line="240" w:lineRule="auto"/>
              <w:ind w:left="714" w:hanging="357"/>
              <w:jc w:val="left"/>
              <w:rPr>
                <w:rFonts w:eastAsia="Times New Roman" w:cs="Tahoma"/>
                <w:sz w:val="22"/>
                <w:lang w:eastAsia="en-AU"/>
              </w:rPr>
            </w:pPr>
            <w:r w:rsidRPr="00D6178E">
              <w:rPr>
                <w:rFonts w:eastAsia="Times New Roman" w:cs="Tahoma"/>
                <w:sz w:val="22"/>
                <w:lang w:eastAsia="en-AU"/>
              </w:rPr>
              <w:t>Requests for more information</w:t>
            </w:r>
          </w:p>
          <w:p w:rsidR="00571656" w:rsidRPr="00D6178E" w:rsidRDefault="00571656" w:rsidP="00F02312">
            <w:pPr>
              <w:pStyle w:val="ListParagraph"/>
              <w:numPr>
                <w:ilvl w:val="1"/>
                <w:numId w:val="178"/>
              </w:numPr>
              <w:spacing w:line="240" w:lineRule="auto"/>
              <w:ind w:left="714" w:hanging="357"/>
              <w:jc w:val="left"/>
              <w:rPr>
                <w:rFonts w:eastAsia="Times New Roman" w:cs="Tahoma"/>
                <w:sz w:val="22"/>
                <w:lang w:eastAsia="en-AU"/>
              </w:rPr>
            </w:pPr>
            <w:r w:rsidRPr="00D6178E">
              <w:rPr>
                <w:rFonts w:eastAsia="Times New Roman" w:cs="Tahoma"/>
                <w:sz w:val="22"/>
                <w:lang w:eastAsia="en-AU"/>
              </w:rPr>
              <w:t xml:space="preserve"> Discussion with the provider assessor</w:t>
            </w:r>
          </w:p>
          <w:p w:rsidR="00571656" w:rsidRPr="00D6178E" w:rsidRDefault="00571656" w:rsidP="00F02312">
            <w:pPr>
              <w:pStyle w:val="ListParagraph"/>
              <w:numPr>
                <w:ilvl w:val="1"/>
                <w:numId w:val="178"/>
              </w:numPr>
              <w:spacing w:line="240" w:lineRule="auto"/>
              <w:ind w:left="714" w:hanging="357"/>
              <w:jc w:val="left"/>
              <w:rPr>
                <w:rFonts w:eastAsia="Times New Roman" w:cs="Tahoma"/>
                <w:sz w:val="22"/>
                <w:lang w:eastAsia="en-AU"/>
              </w:rPr>
            </w:pPr>
            <w:r w:rsidRPr="00D6178E">
              <w:rPr>
                <w:rFonts w:eastAsia="Times New Roman" w:cs="Tahoma"/>
                <w:sz w:val="22"/>
                <w:lang w:eastAsia="en-AU"/>
              </w:rPr>
              <w:t>Telephone discussions with key informants such as GPs</w:t>
            </w:r>
            <w:r>
              <w:rPr>
                <w:rFonts w:eastAsia="Times New Roman" w:cs="Tahoma"/>
                <w:sz w:val="22"/>
                <w:lang w:eastAsia="en-AU"/>
              </w:rPr>
              <w:t xml:space="preserve"> and AHPs</w:t>
            </w:r>
          </w:p>
          <w:p w:rsidR="00571656" w:rsidRPr="00BB011E" w:rsidRDefault="00571656" w:rsidP="00F02312">
            <w:pPr>
              <w:pStyle w:val="ListParagraph"/>
              <w:numPr>
                <w:ilvl w:val="0"/>
                <w:numId w:val="177"/>
              </w:numPr>
              <w:spacing w:after="80" w:line="240" w:lineRule="auto"/>
              <w:ind w:left="357" w:hanging="357"/>
              <w:jc w:val="left"/>
              <w:rPr>
                <w:rFonts w:eastAsia="Times New Roman" w:cs="Tahoma"/>
                <w:sz w:val="22"/>
                <w:lang w:eastAsia="en-AU"/>
              </w:rPr>
            </w:pPr>
            <w:r w:rsidRPr="00BB011E">
              <w:rPr>
                <w:rFonts w:eastAsia="Times New Roman" w:cs="Tahoma"/>
                <w:sz w:val="22"/>
                <w:lang w:eastAsia="en-AU"/>
              </w:rPr>
              <w:t>Site visit to facility to conduct a care needs re-assessment on 25 to 50</w:t>
            </w:r>
            <w:r w:rsidR="0065091B">
              <w:rPr>
                <w:rFonts w:eastAsia="Times New Roman" w:cs="Tahoma"/>
                <w:sz w:val="22"/>
                <w:lang w:eastAsia="en-AU"/>
              </w:rPr>
              <w:t xml:space="preserve"> per cent</w:t>
            </w:r>
            <w:r w:rsidRPr="00BB011E">
              <w:rPr>
                <w:rFonts w:eastAsia="Times New Roman" w:cs="Tahoma"/>
                <w:sz w:val="22"/>
                <w:lang w:eastAsia="en-AU"/>
              </w:rPr>
              <w:t xml:space="preserve"> of resident R-ACFI re-appraisals</w:t>
            </w:r>
          </w:p>
          <w:p w:rsidR="00571656" w:rsidRPr="006863E9" w:rsidRDefault="00571656" w:rsidP="00BB011E">
            <w:pPr>
              <w:spacing w:after="80" w:line="240" w:lineRule="auto"/>
              <w:jc w:val="left"/>
              <w:rPr>
                <w:rFonts w:eastAsia="Times New Roman" w:cs="Tahoma"/>
                <w:sz w:val="22"/>
                <w:lang w:eastAsia="en-AU"/>
              </w:rPr>
            </w:pPr>
            <w:r>
              <w:rPr>
                <w:rFonts w:eastAsia="Times New Roman" w:cs="Tahoma"/>
                <w:sz w:val="22"/>
                <w:lang w:eastAsia="en-AU"/>
              </w:rPr>
              <w:t xml:space="preserve">In the medium to longer term (e.g. 5 years) an e-audit can be used to conduct </w:t>
            </w:r>
            <w:r w:rsidRPr="004A22D9">
              <w:rPr>
                <w:sz w:val="22"/>
              </w:rPr>
              <w:t xml:space="preserve">a detailed </w:t>
            </w:r>
            <w:r>
              <w:rPr>
                <w:sz w:val="22"/>
              </w:rPr>
              <w:t>review</w:t>
            </w:r>
            <w:r w:rsidRPr="004A22D9">
              <w:rPr>
                <w:sz w:val="22"/>
              </w:rPr>
              <w:t xml:space="preserve"> of the R-ACFI, including reviewing </w:t>
            </w:r>
            <w:r>
              <w:rPr>
                <w:sz w:val="22"/>
              </w:rPr>
              <w:t>supporting documentation.</w:t>
            </w:r>
          </w:p>
        </w:tc>
        <w:tc>
          <w:tcPr>
            <w:tcW w:w="1842" w:type="dxa"/>
          </w:tcPr>
          <w:p w:rsidR="00571656" w:rsidRPr="006863E9" w:rsidRDefault="00571656" w:rsidP="00560D57">
            <w:pPr>
              <w:spacing w:line="240" w:lineRule="auto"/>
              <w:jc w:val="left"/>
              <w:rPr>
                <w:rFonts w:eastAsia="Times New Roman" w:cs="Tahoma"/>
                <w:sz w:val="22"/>
                <w:lang w:eastAsia="en-AU"/>
              </w:rPr>
            </w:pPr>
            <w:r w:rsidRPr="009A5227">
              <w:rPr>
                <w:rFonts w:eastAsia="Times New Roman" w:cs="Tahoma"/>
                <w:sz w:val="22"/>
                <w:lang w:eastAsia="en-AU"/>
              </w:rPr>
              <w:t xml:space="preserve">The </w:t>
            </w:r>
            <w:r>
              <w:rPr>
                <w:rFonts w:eastAsia="Times New Roman" w:cs="Tahoma"/>
                <w:sz w:val="22"/>
                <w:lang w:eastAsia="en-AU"/>
              </w:rPr>
              <w:t xml:space="preserve">provider can contest the SAA assessment </w:t>
            </w:r>
            <w:r w:rsidRPr="009A5227">
              <w:rPr>
                <w:rFonts w:eastAsia="Times New Roman" w:cs="Tahoma"/>
                <w:sz w:val="22"/>
                <w:lang w:eastAsia="en-AU"/>
              </w:rPr>
              <w:t>determination</w:t>
            </w:r>
            <w:r>
              <w:rPr>
                <w:rFonts w:eastAsia="Times New Roman" w:cs="Tahoma"/>
                <w:sz w:val="22"/>
                <w:lang w:eastAsia="en-AU"/>
              </w:rPr>
              <w:t xml:space="preserve"> of the R-ACFI appraisal by submitting a documented request to the Department for re-consideration. </w:t>
            </w:r>
          </w:p>
        </w:tc>
      </w:tr>
    </w:tbl>
    <w:p w:rsidR="00571656" w:rsidRPr="00BB011E" w:rsidRDefault="00571656" w:rsidP="00151877">
      <w:pPr>
        <w:rPr>
          <w:sz w:val="4"/>
          <w:szCs w:val="16"/>
        </w:rPr>
      </w:pPr>
    </w:p>
    <w:p w:rsidR="00BA236A" w:rsidRPr="00BB011E" w:rsidRDefault="00BA236A" w:rsidP="00BA236A">
      <w:pPr>
        <w:spacing w:after="160" w:line="259" w:lineRule="auto"/>
        <w:rPr>
          <w:b/>
          <w:color w:val="FF0000"/>
          <w:sz w:val="4"/>
          <w:szCs w:val="16"/>
        </w:rPr>
        <w:sectPr w:rsidR="00BA236A" w:rsidRPr="00BB011E" w:rsidSect="00A51750">
          <w:headerReference w:type="default" r:id="rId137"/>
          <w:footerReference w:type="default" r:id="rId138"/>
          <w:pgSz w:w="16838" w:h="11906" w:orient="landscape"/>
          <w:pgMar w:top="1440" w:right="1440" w:bottom="1440" w:left="1440" w:header="708" w:footer="708" w:gutter="0"/>
          <w:cols w:space="708"/>
          <w:docGrid w:linePitch="360"/>
        </w:sectPr>
      </w:pPr>
    </w:p>
    <w:p w:rsidR="00571656" w:rsidRPr="005C0B1C" w:rsidRDefault="00571656" w:rsidP="001329BD">
      <w:pPr>
        <w:pStyle w:val="Heading2-Chapter11"/>
      </w:pPr>
      <w:bookmarkStart w:id="776" w:name="_Toc489386736"/>
      <w:bookmarkStart w:id="777" w:name="_Toc491426080"/>
      <w:r w:rsidRPr="005C0B1C">
        <w:lastRenderedPageBreak/>
        <w:t>Assessor Mod</w:t>
      </w:r>
      <w:r>
        <w:t>el Options - Indicative Outcomes</w:t>
      </w:r>
      <w:bookmarkEnd w:id="776"/>
      <w:bookmarkEnd w:id="777"/>
    </w:p>
    <w:p w:rsidR="00980F62" w:rsidRDefault="00571656" w:rsidP="00CD2081">
      <w:pPr>
        <w:pStyle w:val="Heading3-Chapter114"/>
      </w:pPr>
      <w:bookmarkStart w:id="778" w:name="_Toc489386737"/>
      <w:r w:rsidRPr="003F0F6E">
        <w:t>Introduction</w:t>
      </w:r>
      <w:bookmarkEnd w:id="778"/>
    </w:p>
    <w:p w:rsidR="00980F62" w:rsidRDefault="00571656" w:rsidP="00BB011E">
      <w:pPr>
        <w:ind w:right="-46"/>
        <w:rPr>
          <w:rFonts w:cstheme="minorHAnsi"/>
          <w:szCs w:val="24"/>
        </w:rPr>
      </w:pPr>
      <w:bookmarkStart w:id="779" w:name="_Hlk489697180"/>
      <w:r w:rsidRPr="00742CDF">
        <w:rPr>
          <w:rFonts w:cstheme="minorHAnsi"/>
          <w:szCs w:val="24"/>
        </w:rPr>
        <w:t xml:space="preserve">A </w:t>
      </w:r>
      <w:r>
        <w:rPr>
          <w:rFonts w:cstheme="minorHAnsi"/>
          <w:szCs w:val="24"/>
        </w:rPr>
        <w:t xml:space="preserve">modelling exercise was undertaken to estimate the likely costs and reductions in growth due with the three assessor model options </w:t>
      </w:r>
      <w:r w:rsidR="00862BB7">
        <w:rPr>
          <w:rFonts w:cstheme="minorHAnsi"/>
          <w:szCs w:val="24"/>
        </w:rPr>
        <w:t xml:space="preserve">described </w:t>
      </w:r>
      <w:r>
        <w:rPr>
          <w:rFonts w:cstheme="minorHAnsi"/>
          <w:szCs w:val="24"/>
        </w:rPr>
        <w:t>previously.</w:t>
      </w:r>
      <w:r w:rsidR="007A576E">
        <w:rPr>
          <w:rFonts w:cstheme="minorHAnsi"/>
          <w:szCs w:val="24"/>
        </w:rPr>
        <w:t xml:space="preserve"> </w:t>
      </w:r>
      <w:r w:rsidR="00F74835">
        <w:t xml:space="preserve">An </w:t>
      </w:r>
      <w:r w:rsidR="00F74835" w:rsidRPr="00AA5EDF">
        <w:rPr>
          <w:rFonts w:cstheme="minorHAnsi"/>
          <w:szCs w:val="24"/>
        </w:rPr>
        <w:t xml:space="preserve">External Assessor model would be </w:t>
      </w:r>
      <w:r w:rsidR="00F74835">
        <w:rPr>
          <w:rFonts w:cstheme="minorHAnsi"/>
          <w:szCs w:val="24"/>
        </w:rPr>
        <w:t xml:space="preserve">targeted on the subsidy growth aspect and adjustment to the base subsidies </w:t>
      </w:r>
      <w:r w:rsidR="00C7012A">
        <w:rPr>
          <w:rFonts w:cstheme="minorHAnsi"/>
          <w:szCs w:val="24"/>
        </w:rPr>
        <w:t>may</w:t>
      </w:r>
      <w:r w:rsidR="00F74835">
        <w:rPr>
          <w:rFonts w:cstheme="minorHAnsi"/>
          <w:szCs w:val="24"/>
        </w:rPr>
        <w:t xml:space="preserve"> be required if the introduction </w:t>
      </w:r>
      <w:r w:rsidR="00C7012A">
        <w:rPr>
          <w:rFonts w:cstheme="minorHAnsi"/>
          <w:szCs w:val="24"/>
        </w:rPr>
        <w:t xml:space="preserve">significantly </w:t>
      </w:r>
      <w:r w:rsidR="00F74835">
        <w:rPr>
          <w:rFonts w:cstheme="minorHAnsi"/>
          <w:szCs w:val="24"/>
        </w:rPr>
        <w:t>lowered average subsidy payments on a system wide basis</w:t>
      </w:r>
      <w:r w:rsidR="00C7012A">
        <w:rPr>
          <w:rFonts w:cstheme="minorHAnsi"/>
          <w:szCs w:val="24"/>
        </w:rPr>
        <w:t>,</w:t>
      </w:r>
      <w:r w:rsidR="00F74835">
        <w:rPr>
          <w:rFonts w:cstheme="minorHAnsi"/>
          <w:szCs w:val="24"/>
        </w:rPr>
        <w:t xml:space="preserve"> as indicated in this modelling exercise</w:t>
      </w:r>
      <w:r w:rsidR="00F74835" w:rsidRPr="00AA5EDF">
        <w:rPr>
          <w:rFonts w:cstheme="minorHAnsi"/>
          <w:szCs w:val="24"/>
        </w:rPr>
        <w:t>.</w:t>
      </w:r>
      <w:r w:rsidR="006A7A36">
        <w:rPr>
          <w:rFonts w:cstheme="minorHAnsi"/>
          <w:szCs w:val="24"/>
        </w:rPr>
        <w:t xml:space="preserve"> </w:t>
      </w:r>
      <w:r>
        <w:rPr>
          <w:rFonts w:cstheme="minorHAnsi"/>
          <w:szCs w:val="24"/>
        </w:rPr>
        <w:t>Four sets of projections were made, for the present system and options 1 to 3. These are summarised as:</w:t>
      </w:r>
    </w:p>
    <w:bookmarkEnd w:id="779"/>
    <w:p w:rsidR="00571656" w:rsidRPr="00BB011E" w:rsidRDefault="00571656" w:rsidP="00D45656">
      <w:pPr>
        <w:pStyle w:val="ListParagraph"/>
        <w:numPr>
          <w:ilvl w:val="3"/>
          <w:numId w:val="154"/>
        </w:numPr>
        <w:ind w:left="454" w:hanging="454"/>
        <w:rPr>
          <w:rFonts w:cstheme="minorHAnsi"/>
          <w:szCs w:val="24"/>
        </w:rPr>
      </w:pPr>
      <w:r w:rsidRPr="00007D4E">
        <w:rPr>
          <w:rStyle w:val="Strong"/>
        </w:rPr>
        <w:t>Current:</w:t>
      </w:r>
      <w:r w:rsidRPr="00BB011E">
        <w:rPr>
          <w:rFonts w:cstheme="minorHAnsi"/>
          <w:szCs w:val="24"/>
        </w:rPr>
        <w:t xml:space="preserve"> The present system which uses the Review Officer program to audit claims in around 10</w:t>
      </w:r>
      <w:r w:rsidR="0065091B">
        <w:rPr>
          <w:rFonts w:cstheme="minorHAnsi"/>
          <w:szCs w:val="24"/>
        </w:rPr>
        <w:t xml:space="preserve"> per cent</w:t>
      </w:r>
      <w:r w:rsidRPr="00BB011E">
        <w:rPr>
          <w:rFonts w:cstheme="minorHAnsi"/>
          <w:szCs w:val="24"/>
        </w:rPr>
        <w:t xml:space="preserve"> of funding appraisals</w:t>
      </w:r>
      <w:r w:rsidR="005A5F55" w:rsidRPr="00BB011E">
        <w:rPr>
          <w:rFonts w:cstheme="minorHAnsi"/>
          <w:szCs w:val="24"/>
        </w:rPr>
        <w:t>.</w:t>
      </w:r>
    </w:p>
    <w:p w:rsidR="00571656" w:rsidRPr="00BB011E" w:rsidRDefault="00571656" w:rsidP="00D45656">
      <w:pPr>
        <w:pStyle w:val="ListParagraph"/>
        <w:numPr>
          <w:ilvl w:val="3"/>
          <w:numId w:val="154"/>
        </w:numPr>
        <w:ind w:left="454" w:hanging="454"/>
        <w:rPr>
          <w:rFonts w:cstheme="minorHAnsi"/>
          <w:szCs w:val="24"/>
        </w:rPr>
      </w:pPr>
      <w:r w:rsidRPr="00006DF4">
        <w:rPr>
          <w:rStyle w:val="Strong"/>
        </w:rPr>
        <w:t>Option 1:</w:t>
      </w:r>
      <w:r w:rsidRPr="00BB011E">
        <w:rPr>
          <w:rFonts w:cstheme="minorHAnsi"/>
          <w:szCs w:val="24"/>
        </w:rPr>
        <w:t xml:space="preserve"> The present system, using R-ACFI assessments made by ACAT staff as part of residential care approval or at entry, providers making R-ACFI assessments for entrants and reassessments, and with review officers making site visits for 10</w:t>
      </w:r>
      <w:r w:rsidR="0065091B">
        <w:rPr>
          <w:rFonts w:cstheme="minorHAnsi"/>
          <w:szCs w:val="24"/>
        </w:rPr>
        <w:t xml:space="preserve"> per cent</w:t>
      </w:r>
      <w:r w:rsidRPr="00BB011E">
        <w:rPr>
          <w:rFonts w:cstheme="minorHAnsi"/>
          <w:szCs w:val="24"/>
        </w:rPr>
        <w:t xml:space="preserve"> of entrants and reassessments, selected by data analytics</w:t>
      </w:r>
      <w:r w:rsidR="005A5F55" w:rsidRPr="00BB011E">
        <w:rPr>
          <w:rFonts w:cstheme="minorHAnsi"/>
          <w:szCs w:val="24"/>
        </w:rPr>
        <w:t>.</w:t>
      </w:r>
    </w:p>
    <w:p w:rsidR="00571656" w:rsidRPr="00BB011E" w:rsidRDefault="00571656" w:rsidP="00D45656">
      <w:pPr>
        <w:pStyle w:val="ListParagraph"/>
        <w:numPr>
          <w:ilvl w:val="3"/>
          <w:numId w:val="154"/>
        </w:numPr>
        <w:ind w:left="454" w:hanging="454"/>
        <w:rPr>
          <w:rFonts w:cstheme="minorHAnsi"/>
          <w:szCs w:val="24"/>
        </w:rPr>
      </w:pPr>
      <w:r w:rsidRPr="00006DF4">
        <w:rPr>
          <w:rStyle w:val="Strong"/>
        </w:rPr>
        <w:t>Option 2:</w:t>
      </w:r>
      <w:r w:rsidRPr="00BB011E">
        <w:rPr>
          <w:rFonts w:cstheme="minorHAnsi"/>
          <w:szCs w:val="24"/>
        </w:rPr>
        <w:t xml:space="preserve"> Initial subsidies based on R-ACFI assessments made by ACAT staff as part of residential care approval or at entry, with providers having a right of appeal. ACAT staff will also make R-ACFI assessments for 25</w:t>
      </w:r>
      <w:r w:rsidR="0065091B">
        <w:rPr>
          <w:rFonts w:cstheme="minorHAnsi"/>
          <w:szCs w:val="24"/>
        </w:rPr>
        <w:t xml:space="preserve"> per cent</w:t>
      </w:r>
      <w:r w:rsidRPr="00BB011E">
        <w:rPr>
          <w:rFonts w:cstheme="minorHAnsi"/>
          <w:szCs w:val="24"/>
        </w:rPr>
        <w:t xml:space="preserve"> of resident reappraisals, selected by data analytics</w:t>
      </w:r>
      <w:r w:rsidR="005A5F55" w:rsidRPr="00BB011E">
        <w:rPr>
          <w:rFonts w:cstheme="minorHAnsi"/>
          <w:szCs w:val="24"/>
        </w:rPr>
        <w:t>.</w:t>
      </w:r>
    </w:p>
    <w:p w:rsidR="00571656" w:rsidRPr="00BB011E" w:rsidRDefault="00571656" w:rsidP="00D45656">
      <w:pPr>
        <w:pStyle w:val="ListParagraph"/>
        <w:numPr>
          <w:ilvl w:val="3"/>
          <w:numId w:val="154"/>
        </w:numPr>
        <w:ind w:left="454" w:hanging="454"/>
        <w:rPr>
          <w:rFonts w:cstheme="minorHAnsi"/>
          <w:szCs w:val="24"/>
        </w:rPr>
      </w:pPr>
      <w:r w:rsidRPr="00006DF4">
        <w:rPr>
          <w:rStyle w:val="Strong"/>
        </w:rPr>
        <w:t>Option 3:</w:t>
      </w:r>
      <w:r w:rsidRPr="00BB011E">
        <w:rPr>
          <w:rFonts w:cstheme="minorHAnsi"/>
          <w:szCs w:val="24"/>
        </w:rPr>
        <w:t xml:space="preserve"> Using Specialist Assessment Agency (SAA) assessors to make site visits to make R-ACFI assessments for 100</w:t>
      </w:r>
      <w:r w:rsidR="0065091B">
        <w:rPr>
          <w:rFonts w:cstheme="minorHAnsi"/>
          <w:szCs w:val="24"/>
        </w:rPr>
        <w:t xml:space="preserve"> per cent</w:t>
      </w:r>
      <w:r w:rsidRPr="00BB011E">
        <w:rPr>
          <w:rFonts w:cstheme="minorHAnsi"/>
          <w:szCs w:val="24"/>
        </w:rPr>
        <w:t xml:space="preserve"> of new residents and 25</w:t>
      </w:r>
      <w:r w:rsidR="0065091B">
        <w:rPr>
          <w:rFonts w:cstheme="minorHAnsi"/>
          <w:szCs w:val="24"/>
        </w:rPr>
        <w:t xml:space="preserve"> per cent</w:t>
      </w:r>
      <w:r w:rsidRPr="00BB011E">
        <w:rPr>
          <w:rFonts w:cstheme="minorHAnsi"/>
          <w:szCs w:val="24"/>
        </w:rPr>
        <w:t xml:space="preserve"> of reappraisals, selected by data analytics.</w:t>
      </w:r>
    </w:p>
    <w:p w:rsidR="00980F62" w:rsidRDefault="00571656" w:rsidP="0009421A">
      <w:pPr>
        <w:rPr>
          <w:rFonts w:cstheme="minorHAnsi"/>
          <w:szCs w:val="24"/>
        </w:rPr>
      </w:pPr>
      <w:r w:rsidRPr="00A41403">
        <w:rPr>
          <w:rFonts w:cstheme="minorHAnsi"/>
          <w:szCs w:val="24"/>
        </w:rPr>
        <w:t>For each of Options 1 to 3, the subsidy growth rate in 2016-17</w:t>
      </w:r>
      <w:r w:rsidR="00430640" w:rsidRPr="00A41403">
        <w:rPr>
          <w:rFonts w:cstheme="minorHAnsi"/>
          <w:szCs w:val="24"/>
        </w:rPr>
        <w:t xml:space="preserve"> and 2017-18</w:t>
      </w:r>
      <w:r w:rsidRPr="00A41403">
        <w:rPr>
          <w:rFonts w:cstheme="minorHAnsi"/>
          <w:szCs w:val="24"/>
        </w:rPr>
        <w:t xml:space="preserve"> is assumed to be the same as in the present system. There have been no allowances for the costs incurred by the Department in supervising the External Assessors and the necessary IT infrastructure and software application costs.</w:t>
      </w:r>
    </w:p>
    <w:p w:rsidR="00980F62" w:rsidRDefault="00571656" w:rsidP="00CD2081">
      <w:pPr>
        <w:pStyle w:val="Heading3-Chapter114"/>
      </w:pPr>
      <w:bookmarkStart w:id="780" w:name="_Toc489386738"/>
      <w:r>
        <w:t>Uncertainties in the modelling</w:t>
      </w:r>
      <w:bookmarkEnd w:id="780"/>
    </w:p>
    <w:p w:rsidR="00980F62" w:rsidRDefault="00571656" w:rsidP="00571656">
      <w:r>
        <w:t>It must be noted that the modelling exercise is indicative, as of necessity, there are a number of uncertainties associated with the assumptions and estimates.</w:t>
      </w:r>
      <w:r w:rsidR="007A576E">
        <w:t xml:space="preserve"> </w:t>
      </w:r>
      <w:r>
        <w:t>Nevertheless, the results provide a broad indication of outcomes that could be expected from implementation of the options.</w:t>
      </w:r>
    </w:p>
    <w:p w:rsidR="00571656" w:rsidRDefault="00571656" w:rsidP="00571656">
      <w:r>
        <w:t>The following uncertainties are noted:</w:t>
      </w:r>
    </w:p>
    <w:p w:rsidR="00980F62" w:rsidRDefault="00571656" w:rsidP="00BB011E">
      <w:pPr>
        <w:spacing w:before="120" w:after="0"/>
        <w:rPr>
          <w:rStyle w:val="Strong"/>
        </w:rPr>
      </w:pPr>
      <w:r w:rsidRPr="002C331F">
        <w:rPr>
          <w:rStyle w:val="Strong"/>
        </w:rPr>
        <w:t>Uncertainty about subsidy rate optimisation in the present system</w:t>
      </w:r>
    </w:p>
    <w:p w:rsidR="00571656" w:rsidRDefault="004B360D" w:rsidP="00571656">
      <w:pPr>
        <w:spacing w:after="0"/>
        <w:rPr>
          <w:rFonts w:cstheme="minorHAnsi"/>
          <w:szCs w:val="24"/>
        </w:rPr>
      </w:pPr>
      <w:r w:rsidRPr="004B360D">
        <w:rPr>
          <w:rFonts w:ascii="Calibri" w:eastAsia="Times New Roman" w:hAnsi="Calibri" w:cs="Calibri"/>
          <w:szCs w:val="24"/>
          <w:lang w:val="en-US"/>
        </w:rPr>
        <w:t xml:space="preserve">We have assumed </w:t>
      </w:r>
      <w:r>
        <w:rPr>
          <w:rFonts w:ascii="Calibri" w:eastAsia="Times New Roman" w:hAnsi="Calibri" w:cs="Calibri"/>
          <w:szCs w:val="24"/>
          <w:lang w:val="en-US"/>
        </w:rPr>
        <w:t xml:space="preserve">the </w:t>
      </w:r>
      <w:r w:rsidRPr="004B360D">
        <w:rPr>
          <w:rFonts w:ascii="Calibri" w:eastAsia="Times New Roman" w:hAnsi="Calibri" w:cs="Calibri"/>
          <w:szCs w:val="24"/>
          <w:lang w:val="en-US"/>
        </w:rPr>
        <w:t>average subsidy optimisation at July 1, 2018 of 25</w:t>
      </w:r>
      <w:r w:rsidR="0065091B">
        <w:rPr>
          <w:rFonts w:ascii="Calibri" w:eastAsia="Times New Roman" w:hAnsi="Calibri" w:cs="Calibri"/>
          <w:szCs w:val="24"/>
          <w:lang w:val="en-US"/>
        </w:rPr>
        <w:t xml:space="preserve"> per cent</w:t>
      </w:r>
      <w:r w:rsidRPr="004B360D">
        <w:rPr>
          <w:rFonts w:ascii="Calibri" w:eastAsia="Times New Roman" w:hAnsi="Calibri" w:cs="Calibri"/>
          <w:szCs w:val="24"/>
          <w:lang w:val="en-US"/>
        </w:rPr>
        <w:t xml:space="preserve"> although this figure could be</w:t>
      </w:r>
      <w:r>
        <w:rPr>
          <w:rFonts w:ascii="Calibri" w:eastAsia="Times New Roman" w:hAnsi="Calibri" w:cs="Calibri"/>
          <w:szCs w:val="24"/>
          <w:lang w:val="en-US"/>
        </w:rPr>
        <w:t xml:space="preserve"> </w:t>
      </w:r>
      <w:r w:rsidR="00B73506">
        <w:rPr>
          <w:rFonts w:ascii="Calibri" w:eastAsia="Times New Roman" w:hAnsi="Calibri" w:cs="Calibri"/>
          <w:szCs w:val="24"/>
          <w:lang w:val="en-US"/>
        </w:rPr>
        <w:t>significantly differen</w:t>
      </w:r>
      <w:r w:rsidR="00911624">
        <w:rPr>
          <w:rFonts w:ascii="Calibri" w:eastAsia="Times New Roman" w:hAnsi="Calibri" w:cs="Calibri"/>
          <w:szCs w:val="24"/>
          <w:lang w:val="en-US"/>
        </w:rPr>
        <w:t>t</w:t>
      </w:r>
      <w:r w:rsidR="00B73506">
        <w:rPr>
          <w:rFonts w:ascii="Calibri" w:eastAsia="Times New Roman" w:hAnsi="Calibri" w:cs="Calibri"/>
          <w:szCs w:val="24"/>
          <w:lang w:val="en-US"/>
        </w:rPr>
        <w:t xml:space="preserve"> as there is considerable</w:t>
      </w:r>
      <w:r w:rsidRPr="00B551DA">
        <w:rPr>
          <w:rFonts w:ascii="Calibri" w:eastAsia="Times New Roman" w:hAnsi="Calibri" w:cs="Calibri"/>
          <w:szCs w:val="24"/>
          <w:lang w:val="en-US"/>
        </w:rPr>
        <w:t xml:space="preserve"> uncertainty in this assumptio</w:t>
      </w:r>
      <w:r>
        <w:rPr>
          <w:rFonts w:ascii="Calibri" w:eastAsia="Times New Roman" w:hAnsi="Calibri" w:cs="Calibri"/>
          <w:szCs w:val="24"/>
          <w:lang w:val="en-US"/>
        </w:rPr>
        <w:t>n.</w:t>
      </w:r>
      <w:r w:rsidR="007A576E">
        <w:rPr>
          <w:rFonts w:ascii="Calibri" w:eastAsia="Times New Roman" w:hAnsi="Calibri" w:cs="Calibri"/>
          <w:szCs w:val="24"/>
          <w:lang w:val="en-US"/>
        </w:rPr>
        <w:t xml:space="preserve"> </w:t>
      </w:r>
      <w:r>
        <w:rPr>
          <w:rFonts w:ascii="Calibri" w:eastAsia="Times New Roman" w:hAnsi="Calibri" w:cs="Calibri"/>
          <w:szCs w:val="24"/>
          <w:lang w:val="en-US"/>
        </w:rPr>
        <w:t>In making the assumption of 25</w:t>
      </w:r>
      <w:r w:rsidR="0065091B">
        <w:rPr>
          <w:rFonts w:ascii="Calibri" w:eastAsia="Times New Roman" w:hAnsi="Calibri" w:cs="Calibri"/>
          <w:szCs w:val="24"/>
          <w:lang w:val="en-US"/>
        </w:rPr>
        <w:t xml:space="preserve"> per cent</w:t>
      </w:r>
      <w:r>
        <w:rPr>
          <w:rFonts w:ascii="Calibri" w:eastAsia="Times New Roman" w:hAnsi="Calibri" w:cs="Calibri"/>
          <w:szCs w:val="24"/>
          <w:lang w:val="en-US"/>
        </w:rPr>
        <w:t xml:space="preserve"> we took into account:</w:t>
      </w:r>
    </w:p>
    <w:p w:rsidR="004B360D" w:rsidRDefault="004B360D" w:rsidP="00151877">
      <w:pPr>
        <w:pStyle w:val="ListParagraph"/>
        <w:numPr>
          <w:ilvl w:val="0"/>
          <w:numId w:val="52"/>
        </w:numPr>
        <w:spacing w:after="0"/>
        <w:rPr>
          <w:rFonts w:cstheme="minorHAnsi"/>
          <w:szCs w:val="24"/>
        </w:rPr>
      </w:pPr>
      <w:r w:rsidRPr="00771B37">
        <w:rPr>
          <w:rFonts w:cstheme="minorHAnsi"/>
          <w:szCs w:val="24"/>
        </w:rPr>
        <w:t>the observed increase in average subsidy rate from 55.1</w:t>
      </w:r>
      <w:r w:rsidR="0065091B">
        <w:rPr>
          <w:rFonts w:cstheme="minorHAnsi"/>
          <w:szCs w:val="24"/>
        </w:rPr>
        <w:t xml:space="preserve"> per cent</w:t>
      </w:r>
      <w:r w:rsidRPr="00771B37">
        <w:rPr>
          <w:rFonts w:cstheme="minorHAnsi"/>
          <w:szCs w:val="24"/>
        </w:rPr>
        <w:t xml:space="preserve"> at </w:t>
      </w:r>
      <w:r>
        <w:rPr>
          <w:rFonts w:cstheme="minorHAnsi"/>
          <w:szCs w:val="24"/>
        </w:rPr>
        <w:t>June 30, 2009</w:t>
      </w:r>
      <w:r w:rsidRPr="00771B37">
        <w:rPr>
          <w:rFonts w:cstheme="minorHAnsi"/>
          <w:szCs w:val="24"/>
        </w:rPr>
        <w:t xml:space="preserve"> to </w:t>
      </w:r>
      <w:r>
        <w:rPr>
          <w:rFonts w:cstheme="minorHAnsi"/>
          <w:szCs w:val="24"/>
        </w:rPr>
        <w:t>80.4</w:t>
      </w:r>
      <w:r w:rsidR="0065091B">
        <w:rPr>
          <w:rFonts w:cstheme="minorHAnsi"/>
          <w:szCs w:val="24"/>
        </w:rPr>
        <w:t xml:space="preserve"> per cent</w:t>
      </w:r>
      <w:r>
        <w:rPr>
          <w:rFonts w:cstheme="minorHAnsi"/>
          <w:szCs w:val="24"/>
        </w:rPr>
        <w:t xml:space="preserve"> at June 30, 2016</w:t>
      </w:r>
    </w:p>
    <w:p w:rsidR="00980F62" w:rsidRDefault="004B360D" w:rsidP="00151877">
      <w:pPr>
        <w:pStyle w:val="ListParagraph"/>
        <w:numPr>
          <w:ilvl w:val="0"/>
          <w:numId w:val="52"/>
        </w:numPr>
        <w:spacing w:after="0"/>
        <w:rPr>
          <w:rFonts w:cstheme="minorHAnsi"/>
          <w:szCs w:val="24"/>
        </w:rPr>
      </w:pPr>
      <w:r w:rsidRPr="00771B37">
        <w:rPr>
          <w:rFonts w:cstheme="minorHAnsi"/>
          <w:szCs w:val="24"/>
        </w:rPr>
        <w:lastRenderedPageBreak/>
        <w:t>the observed increase in mortality rate from 29.1</w:t>
      </w:r>
      <w:r w:rsidR="0065091B">
        <w:rPr>
          <w:rFonts w:cstheme="minorHAnsi"/>
          <w:szCs w:val="24"/>
        </w:rPr>
        <w:t xml:space="preserve"> per cent</w:t>
      </w:r>
      <w:r w:rsidRPr="00771B37">
        <w:rPr>
          <w:rFonts w:cstheme="minorHAnsi"/>
          <w:szCs w:val="24"/>
        </w:rPr>
        <w:t xml:space="preserve"> in </w:t>
      </w:r>
      <w:r>
        <w:rPr>
          <w:rFonts w:cstheme="minorHAnsi"/>
          <w:szCs w:val="24"/>
        </w:rPr>
        <w:t>2009-10 to 31.7</w:t>
      </w:r>
      <w:r w:rsidR="0065091B">
        <w:rPr>
          <w:rFonts w:cstheme="minorHAnsi"/>
          <w:szCs w:val="24"/>
        </w:rPr>
        <w:t xml:space="preserve"> per cent</w:t>
      </w:r>
      <w:r>
        <w:rPr>
          <w:rFonts w:cstheme="minorHAnsi"/>
          <w:szCs w:val="24"/>
        </w:rPr>
        <w:t xml:space="preserve"> in 2015-16</w:t>
      </w:r>
    </w:p>
    <w:p w:rsidR="004B360D" w:rsidRPr="00771B37" w:rsidRDefault="004B360D" w:rsidP="00151877">
      <w:pPr>
        <w:pStyle w:val="ListParagraph"/>
        <w:numPr>
          <w:ilvl w:val="0"/>
          <w:numId w:val="52"/>
        </w:numPr>
        <w:spacing w:after="0"/>
        <w:rPr>
          <w:rFonts w:cstheme="minorHAnsi"/>
          <w:szCs w:val="24"/>
        </w:rPr>
      </w:pPr>
      <w:r>
        <w:rPr>
          <w:rFonts w:cstheme="minorHAnsi"/>
          <w:szCs w:val="24"/>
        </w:rPr>
        <w:t>past subsidy growth reductions implemented by the Department,</w:t>
      </w:r>
      <w:r w:rsidRPr="00771B37">
        <w:rPr>
          <w:rFonts w:cstheme="minorHAnsi"/>
          <w:szCs w:val="24"/>
        </w:rPr>
        <w:t xml:space="preserve"> including those on </w:t>
      </w:r>
      <w:r>
        <w:rPr>
          <w:rFonts w:cstheme="minorHAnsi"/>
          <w:szCs w:val="24"/>
        </w:rPr>
        <w:t xml:space="preserve">July 1, 2016 </w:t>
      </w:r>
      <w:r w:rsidRPr="00771B37">
        <w:rPr>
          <w:rFonts w:cstheme="minorHAnsi"/>
          <w:szCs w:val="24"/>
        </w:rPr>
        <w:t xml:space="preserve">and </w:t>
      </w:r>
      <w:r>
        <w:rPr>
          <w:rFonts w:cstheme="minorHAnsi"/>
          <w:szCs w:val="24"/>
        </w:rPr>
        <w:t>January 1, 2017.</w:t>
      </w:r>
    </w:p>
    <w:p w:rsidR="00571656" w:rsidRPr="00006DF4" w:rsidRDefault="00571656" w:rsidP="00BB011E">
      <w:pPr>
        <w:spacing w:before="200" w:after="0"/>
        <w:rPr>
          <w:rStyle w:val="Strong"/>
        </w:rPr>
      </w:pPr>
      <w:r w:rsidRPr="00006DF4">
        <w:rPr>
          <w:rStyle w:val="Strong"/>
        </w:rPr>
        <w:t>Uncertainty about subsidy optimisation in all options</w:t>
      </w:r>
    </w:p>
    <w:p w:rsidR="00571656" w:rsidRDefault="00571656" w:rsidP="00571656">
      <w:pPr>
        <w:spacing w:after="0"/>
        <w:rPr>
          <w:rFonts w:cstheme="minorHAnsi"/>
          <w:szCs w:val="24"/>
        </w:rPr>
      </w:pPr>
      <w:r w:rsidRPr="001F0E8E">
        <w:rPr>
          <w:rFonts w:cstheme="minorHAnsi"/>
          <w:szCs w:val="24"/>
        </w:rPr>
        <w:t xml:space="preserve">All the options involve greater scrutiny of provider </w:t>
      </w:r>
      <w:r>
        <w:rPr>
          <w:rFonts w:cstheme="minorHAnsi"/>
          <w:szCs w:val="24"/>
        </w:rPr>
        <w:t>R-ACFI appraisals</w:t>
      </w:r>
      <w:r w:rsidRPr="001F0E8E">
        <w:rPr>
          <w:rFonts w:cstheme="minorHAnsi"/>
          <w:szCs w:val="24"/>
        </w:rPr>
        <w:t>, or their replacement by</w:t>
      </w:r>
      <w:r w:rsidRPr="0011334C">
        <w:rPr>
          <w:rFonts w:cstheme="minorHAnsi"/>
          <w:szCs w:val="24"/>
        </w:rPr>
        <w:t xml:space="preserve"> </w:t>
      </w:r>
      <w:r w:rsidRPr="001F0E8E">
        <w:rPr>
          <w:rFonts w:cstheme="minorHAnsi"/>
          <w:szCs w:val="24"/>
        </w:rPr>
        <w:t xml:space="preserve">external assessments, so that </w:t>
      </w:r>
      <w:r>
        <w:rPr>
          <w:rFonts w:cstheme="minorHAnsi"/>
          <w:szCs w:val="24"/>
        </w:rPr>
        <w:t xml:space="preserve">a </w:t>
      </w:r>
      <w:r w:rsidRPr="001F0E8E">
        <w:rPr>
          <w:rFonts w:cstheme="minorHAnsi"/>
          <w:szCs w:val="24"/>
        </w:rPr>
        <w:t xml:space="preserve">reduction in subsidy </w:t>
      </w:r>
      <w:r>
        <w:rPr>
          <w:rFonts w:cstheme="minorHAnsi"/>
          <w:szCs w:val="24"/>
        </w:rPr>
        <w:t>optimisation</w:t>
      </w:r>
      <w:r w:rsidRPr="001F0E8E">
        <w:rPr>
          <w:rFonts w:cstheme="minorHAnsi"/>
          <w:szCs w:val="24"/>
        </w:rPr>
        <w:t xml:space="preserve"> </w:t>
      </w:r>
      <w:r>
        <w:rPr>
          <w:rFonts w:cstheme="minorHAnsi"/>
          <w:szCs w:val="24"/>
        </w:rPr>
        <w:t>will likely</w:t>
      </w:r>
      <w:r w:rsidRPr="001F0E8E">
        <w:rPr>
          <w:rFonts w:cstheme="minorHAnsi"/>
          <w:szCs w:val="24"/>
        </w:rPr>
        <w:t xml:space="preserve"> occur. The extent</w:t>
      </w:r>
      <w:r w:rsidRPr="0011334C">
        <w:rPr>
          <w:rFonts w:cstheme="minorHAnsi"/>
          <w:szCs w:val="24"/>
        </w:rPr>
        <w:t xml:space="preserve"> </w:t>
      </w:r>
      <w:r w:rsidRPr="001F0E8E">
        <w:rPr>
          <w:rFonts w:cstheme="minorHAnsi"/>
          <w:szCs w:val="24"/>
        </w:rPr>
        <w:t xml:space="preserve">of this reduction for each option </w:t>
      </w:r>
      <w:r>
        <w:rPr>
          <w:rFonts w:cstheme="minorHAnsi"/>
          <w:szCs w:val="24"/>
        </w:rPr>
        <w:t>has been estimated and is indicative only</w:t>
      </w:r>
      <w:r w:rsidRPr="001F0E8E">
        <w:rPr>
          <w:rFonts w:cstheme="minorHAnsi"/>
          <w:szCs w:val="24"/>
        </w:rPr>
        <w:t>.</w:t>
      </w:r>
    </w:p>
    <w:p w:rsidR="00980F62" w:rsidRDefault="00571656" w:rsidP="00BB011E">
      <w:pPr>
        <w:spacing w:before="200" w:after="0"/>
        <w:rPr>
          <w:rStyle w:val="Strong"/>
        </w:rPr>
      </w:pPr>
      <w:r w:rsidRPr="00006DF4">
        <w:rPr>
          <w:rStyle w:val="Strong"/>
        </w:rPr>
        <w:t>Uncertainty about costs / expenses</w:t>
      </w:r>
    </w:p>
    <w:p w:rsidR="00571656" w:rsidRPr="0011334C" w:rsidRDefault="00571656" w:rsidP="00571656">
      <w:pPr>
        <w:spacing w:after="0"/>
        <w:rPr>
          <w:rFonts w:cstheme="minorHAnsi"/>
          <w:szCs w:val="24"/>
        </w:rPr>
      </w:pPr>
      <w:r>
        <w:rPr>
          <w:rFonts w:cstheme="minorHAnsi"/>
          <w:szCs w:val="24"/>
        </w:rPr>
        <w:t xml:space="preserve">There is </w:t>
      </w:r>
      <w:r w:rsidRPr="001F0E8E">
        <w:rPr>
          <w:rFonts w:cstheme="minorHAnsi"/>
          <w:szCs w:val="24"/>
        </w:rPr>
        <w:t xml:space="preserve">uncertainty about the </w:t>
      </w:r>
      <w:r>
        <w:rPr>
          <w:rFonts w:cstheme="minorHAnsi"/>
          <w:szCs w:val="24"/>
        </w:rPr>
        <w:t xml:space="preserve">costs and </w:t>
      </w:r>
      <w:r w:rsidRPr="001F0E8E">
        <w:rPr>
          <w:rFonts w:cstheme="minorHAnsi"/>
          <w:szCs w:val="24"/>
        </w:rPr>
        <w:t>expenses of ACAT staff in options 1, 2 and of</w:t>
      </w:r>
      <w:r w:rsidRPr="0011334C">
        <w:rPr>
          <w:rFonts w:cstheme="minorHAnsi"/>
          <w:szCs w:val="24"/>
        </w:rPr>
        <w:t xml:space="preserve"> </w:t>
      </w:r>
      <w:r w:rsidRPr="001F0E8E">
        <w:rPr>
          <w:rFonts w:cstheme="minorHAnsi"/>
          <w:szCs w:val="24"/>
        </w:rPr>
        <w:t>SAA assessors in options 3</w:t>
      </w:r>
      <w:r>
        <w:rPr>
          <w:rFonts w:cstheme="minorHAnsi"/>
          <w:szCs w:val="24"/>
        </w:rPr>
        <w:t>.</w:t>
      </w:r>
      <w:r w:rsidR="007A576E">
        <w:rPr>
          <w:rFonts w:cstheme="minorHAnsi"/>
          <w:szCs w:val="24"/>
        </w:rPr>
        <w:t xml:space="preserve"> </w:t>
      </w:r>
      <w:r>
        <w:rPr>
          <w:rFonts w:cstheme="minorHAnsi"/>
          <w:szCs w:val="24"/>
        </w:rPr>
        <w:t>T</w:t>
      </w:r>
      <w:r w:rsidRPr="001F0E8E">
        <w:rPr>
          <w:rFonts w:cstheme="minorHAnsi"/>
          <w:szCs w:val="24"/>
        </w:rPr>
        <w:t xml:space="preserve">hese expenses are </w:t>
      </w:r>
      <w:r>
        <w:rPr>
          <w:rFonts w:cstheme="minorHAnsi"/>
          <w:szCs w:val="24"/>
        </w:rPr>
        <w:t xml:space="preserve">however </w:t>
      </w:r>
      <w:r w:rsidRPr="001F0E8E">
        <w:rPr>
          <w:rFonts w:cstheme="minorHAnsi"/>
          <w:szCs w:val="24"/>
        </w:rPr>
        <w:t>less than 0.5</w:t>
      </w:r>
      <w:r w:rsidR="0065091B">
        <w:rPr>
          <w:rFonts w:cstheme="minorHAnsi"/>
          <w:szCs w:val="24"/>
        </w:rPr>
        <w:t xml:space="preserve"> per cent</w:t>
      </w:r>
      <w:r w:rsidRPr="001F0E8E">
        <w:rPr>
          <w:rFonts w:cstheme="minorHAnsi"/>
          <w:szCs w:val="24"/>
        </w:rPr>
        <w:t xml:space="preserve"> of estimated</w:t>
      </w:r>
      <w:r w:rsidRPr="0011334C">
        <w:rPr>
          <w:rFonts w:cstheme="minorHAnsi"/>
          <w:szCs w:val="24"/>
        </w:rPr>
        <w:t xml:space="preserve"> </w:t>
      </w:r>
      <w:r>
        <w:rPr>
          <w:rFonts w:cstheme="minorHAnsi"/>
          <w:szCs w:val="24"/>
        </w:rPr>
        <w:t xml:space="preserve">R-ACFI care </w:t>
      </w:r>
      <w:r w:rsidRPr="001F0E8E">
        <w:rPr>
          <w:rFonts w:cstheme="minorHAnsi"/>
          <w:szCs w:val="24"/>
        </w:rPr>
        <w:t xml:space="preserve">subsidies, so </w:t>
      </w:r>
      <w:r>
        <w:rPr>
          <w:rFonts w:cstheme="minorHAnsi"/>
          <w:szCs w:val="24"/>
        </w:rPr>
        <w:t>any uncertainty is of very low over</w:t>
      </w:r>
      <w:r w:rsidRPr="001F0E8E">
        <w:rPr>
          <w:rFonts w:cstheme="minorHAnsi"/>
          <w:szCs w:val="24"/>
        </w:rPr>
        <w:t>all consequence.</w:t>
      </w:r>
    </w:p>
    <w:p w:rsidR="00980F62" w:rsidRDefault="00571656" w:rsidP="00BB011E">
      <w:pPr>
        <w:spacing w:before="200" w:after="0"/>
        <w:rPr>
          <w:rStyle w:val="Strong"/>
        </w:rPr>
      </w:pPr>
      <w:r w:rsidRPr="00006DF4">
        <w:rPr>
          <w:rStyle w:val="Strong"/>
        </w:rPr>
        <w:t>Uncertainty about the timing of changes</w:t>
      </w:r>
    </w:p>
    <w:p w:rsidR="00980F62" w:rsidRDefault="00571656" w:rsidP="00571656">
      <w:pPr>
        <w:spacing w:after="0"/>
        <w:rPr>
          <w:rFonts w:cstheme="minorHAnsi"/>
          <w:szCs w:val="24"/>
        </w:rPr>
      </w:pPr>
      <w:r w:rsidRPr="001F0E8E">
        <w:rPr>
          <w:rFonts w:cstheme="minorHAnsi"/>
          <w:szCs w:val="24"/>
        </w:rPr>
        <w:t xml:space="preserve">For convenience, the introduction of R-ACFI and assessment options 1 to </w:t>
      </w:r>
      <w:r>
        <w:rPr>
          <w:rFonts w:cstheme="minorHAnsi"/>
          <w:szCs w:val="24"/>
        </w:rPr>
        <w:t>3</w:t>
      </w:r>
      <w:r w:rsidRPr="001F0E8E">
        <w:rPr>
          <w:rFonts w:cstheme="minorHAnsi"/>
          <w:szCs w:val="24"/>
        </w:rPr>
        <w:t xml:space="preserve"> have been assumed</w:t>
      </w:r>
      <w:r w:rsidRPr="0011334C">
        <w:rPr>
          <w:rFonts w:cstheme="minorHAnsi"/>
          <w:szCs w:val="24"/>
        </w:rPr>
        <w:t xml:space="preserve"> </w:t>
      </w:r>
      <w:r w:rsidRPr="001F0E8E">
        <w:rPr>
          <w:rFonts w:cstheme="minorHAnsi"/>
          <w:szCs w:val="24"/>
        </w:rPr>
        <w:t xml:space="preserve">to occur on </w:t>
      </w:r>
      <w:r>
        <w:rPr>
          <w:rFonts w:cstheme="minorHAnsi"/>
          <w:szCs w:val="24"/>
        </w:rPr>
        <w:t>July 1, 201</w:t>
      </w:r>
      <w:r w:rsidRPr="001F0E8E">
        <w:rPr>
          <w:rFonts w:cstheme="minorHAnsi"/>
          <w:szCs w:val="24"/>
        </w:rPr>
        <w:t>8.</w:t>
      </w:r>
    </w:p>
    <w:p w:rsidR="00571656" w:rsidRDefault="00571656" w:rsidP="00CD2081">
      <w:pPr>
        <w:pStyle w:val="Heading3-Chapter114"/>
      </w:pPr>
      <w:bookmarkStart w:id="781" w:name="_Toc489386739"/>
      <w:r>
        <w:t>Modelling Steps</w:t>
      </w:r>
      <w:bookmarkEnd w:id="781"/>
    </w:p>
    <w:p w:rsidR="00571656" w:rsidRDefault="00571656" w:rsidP="00571656">
      <w:r>
        <w:t>Modelling the impact of the Options to June 30, 2022 included the following steps:</w:t>
      </w:r>
    </w:p>
    <w:p w:rsidR="00571656" w:rsidRDefault="00571656" w:rsidP="00571656">
      <w:r w:rsidRPr="00DE6A6A">
        <w:rPr>
          <w:b/>
        </w:rPr>
        <w:t>1.</w:t>
      </w:r>
      <w:r>
        <w:t xml:space="preserve"> Determine the assumptions used in the projections</w:t>
      </w:r>
      <w:r w:rsidR="005A5F55">
        <w:t>.</w:t>
      </w:r>
    </w:p>
    <w:p w:rsidR="00571656" w:rsidRDefault="00571656" w:rsidP="00571656">
      <w:r>
        <w:rPr>
          <w:b/>
        </w:rPr>
        <w:t>2</w:t>
      </w:r>
      <w:r w:rsidRPr="00DE6A6A">
        <w:rPr>
          <w:b/>
        </w:rPr>
        <w:t>.</w:t>
      </w:r>
      <w:r>
        <w:t xml:space="preserve"> Determine the current system ‘base’ for comparison with the Options 1, 2 and 3</w:t>
      </w:r>
      <w:r w:rsidR="005A5F55">
        <w:t>.</w:t>
      </w:r>
    </w:p>
    <w:p w:rsidR="00571656" w:rsidRDefault="00571656" w:rsidP="00571656">
      <w:r>
        <w:t>Estimate the current system subsidies, projected to 2021-22 and the costs associated with the Review Officer program from July 1, 2018.</w:t>
      </w:r>
      <w:r w:rsidR="007A576E">
        <w:t xml:space="preserve"> </w:t>
      </w:r>
      <w:r>
        <w:t>This is the base case that all options are compared against.</w:t>
      </w:r>
    </w:p>
    <w:p w:rsidR="00980F62" w:rsidRDefault="00571656" w:rsidP="00571656">
      <w:r>
        <w:rPr>
          <w:b/>
        </w:rPr>
        <w:t>3</w:t>
      </w:r>
      <w:r w:rsidRPr="00DE6A6A">
        <w:rPr>
          <w:b/>
        </w:rPr>
        <w:t>.</w:t>
      </w:r>
      <w:r>
        <w:t xml:space="preserve"> Determine the reduction in growth associated with the three options to calculate the projected care subsidies and compare the outcome to the current system projections</w:t>
      </w:r>
      <w:r w:rsidR="005A5F55">
        <w:t>.</w:t>
      </w:r>
    </w:p>
    <w:p w:rsidR="00571656" w:rsidRDefault="00571656" w:rsidP="00571656">
      <w:r>
        <w:rPr>
          <w:b/>
        </w:rPr>
        <w:t>4</w:t>
      </w:r>
      <w:r w:rsidRPr="00DE6A6A">
        <w:rPr>
          <w:b/>
        </w:rPr>
        <w:t>.</w:t>
      </w:r>
      <w:r>
        <w:t xml:space="preserve"> Estimate the costs of delivering each option and project these forward to 2022</w:t>
      </w:r>
      <w:r w:rsidR="005A5F55">
        <w:t>.</w:t>
      </w:r>
    </w:p>
    <w:p w:rsidR="00571656" w:rsidRDefault="00571656" w:rsidP="00571656">
      <w:r>
        <w:rPr>
          <w:b/>
        </w:rPr>
        <w:t>5</w:t>
      </w:r>
      <w:r w:rsidRPr="00DE6A6A">
        <w:rPr>
          <w:b/>
        </w:rPr>
        <w:t>.</w:t>
      </w:r>
      <w:r>
        <w:t xml:space="preserve"> Compare the differences between the current system and three options care subsidy outcomes over the period to 2022 including the costs associated with delivering each approach.</w:t>
      </w:r>
    </w:p>
    <w:p w:rsidR="00571656" w:rsidRDefault="00571656" w:rsidP="00571656">
      <w:r>
        <w:t>The following sections provide the analysis results from applying the steps as described.</w:t>
      </w:r>
    </w:p>
    <w:p w:rsidR="00523C03" w:rsidRDefault="00523C03" w:rsidP="00E14487">
      <w:bookmarkStart w:id="782" w:name="_Toc489386740"/>
      <w:r>
        <w:br w:type="page"/>
      </w:r>
    </w:p>
    <w:p w:rsidR="00571656" w:rsidRPr="002A4773" w:rsidRDefault="00571656" w:rsidP="00CD2081">
      <w:pPr>
        <w:pStyle w:val="Heading3-Chapter114"/>
      </w:pPr>
      <w:r w:rsidRPr="002A4773">
        <w:lastRenderedPageBreak/>
        <w:t xml:space="preserve">Assumptions </w:t>
      </w:r>
      <w:r>
        <w:t>used</w:t>
      </w:r>
      <w:r w:rsidRPr="002A4773">
        <w:t xml:space="preserve"> for costing estimates</w:t>
      </w:r>
      <w:bookmarkEnd w:id="782"/>
    </w:p>
    <w:p w:rsidR="00571656" w:rsidRPr="00DE7198" w:rsidRDefault="00571656" w:rsidP="00DE7198">
      <w:r w:rsidRPr="00E039F4">
        <w:rPr>
          <w:lang w:eastAsia="en-AU"/>
        </w:rPr>
        <w:t xml:space="preserve">Over the 7 years from 2008-09 to 2015-16, average subsidy rates (at </w:t>
      </w:r>
      <w:r>
        <w:rPr>
          <w:lang w:eastAsia="en-AU"/>
        </w:rPr>
        <w:t>July 1, 2016</w:t>
      </w:r>
      <w:r w:rsidRPr="00E039F4">
        <w:rPr>
          <w:lang w:eastAsia="en-AU"/>
        </w:rPr>
        <w:t xml:space="preserve"> values) have grown at</w:t>
      </w:r>
      <w:r>
        <w:rPr>
          <w:lang w:eastAsia="en-AU"/>
        </w:rPr>
        <w:t xml:space="preserve"> 5.5</w:t>
      </w:r>
      <w:r w:rsidR="0065091B">
        <w:rPr>
          <w:lang w:eastAsia="en-AU"/>
        </w:rPr>
        <w:t xml:space="preserve"> per cent</w:t>
      </w:r>
      <w:r>
        <w:rPr>
          <w:lang w:eastAsia="en-AU"/>
        </w:rPr>
        <w:t xml:space="preserve"> pa (</w:t>
      </w:r>
      <w:hyperlink w:anchor="Tab1111" w:history="1">
        <w:r w:rsidRPr="00AE272B">
          <w:rPr>
            <w:rStyle w:val="Hyperlink"/>
            <w:lang w:eastAsia="en-AU"/>
          </w:rPr>
          <w:t>Table 11.11</w:t>
        </w:r>
      </w:hyperlink>
      <w:r>
        <w:rPr>
          <w:lang w:eastAsia="en-AU"/>
        </w:rPr>
        <w:t xml:space="preserve">; </w:t>
      </w:r>
      <w:hyperlink w:anchor="Fig1101" w:history="1">
        <w:r w:rsidRPr="00E00E18">
          <w:rPr>
            <w:rStyle w:val="Hyperlink"/>
            <w:lang w:eastAsia="en-AU"/>
          </w:rPr>
          <w:t>Figure 11.1</w:t>
        </w:r>
      </w:hyperlink>
      <w:r>
        <w:rPr>
          <w:lang w:eastAsia="en-AU"/>
        </w:rPr>
        <w:t>)</w:t>
      </w:r>
      <w:r w:rsidRPr="00E039F4">
        <w:rPr>
          <w:lang w:eastAsia="en-AU"/>
        </w:rPr>
        <w:t>.</w:t>
      </w:r>
      <w:r w:rsidR="007A576E">
        <w:rPr>
          <w:lang w:eastAsia="en-AU"/>
        </w:rPr>
        <w:t xml:space="preserve"> </w:t>
      </w:r>
      <w:r w:rsidRPr="00E039F4">
        <w:rPr>
          <w:lang w:eastAsia="en-AU"/>
        </w:rPr>
        <w:t xml:space="preserve">Zero growth rate has been assumed in </w:t>
      </w:r>
      <w:r>
        <w:rPr>
          <w:lang w:eastAsia="en-AU"/>
        </w:rPr>
        <w:t>20</w:t>
      </w:r>
      <w:r w:rsidRPr="00E039F4">
        <w:rPr>
          <w:lang w:eastAsia="en-AU"/>
        </w:rPr>
        <w:t xml:space="preserve">16-17, reflecting the zero growth in average subsidy rate observed from </w:t>
      </w:r>
      <w:r>
        <w:rPr>
          <w:lang w:eastAsia="en-AU"/>
        </w:rPr>
        <w:t>June 30, 2016</w:t>
      </w:r>
      <w:r w:rsidRPr="00E039F4">
        <w:rPr>
          <w:lang w:eastAsia="en-AU"/>
        </w:rPr>
        <w:t xml:space="preserve"> to </w:t>
      </w:r>
      <w:r>
        <w:rPr>
          <w:lang w:eastAsia="en-AU"/>
        </w:rPr>
        <w:t xml:space="preserve">May 12, 2017. The </w:t>
      </w:r>
      <w:r w:rsidRPr="00E039F4">
        <w:rPr>
          <w:lang w:eastAsia="en-AU"/>
        </w:rPr>
        <w:t xml:space="preserve">zero growth </w:t>
      </w:r>
      <w:r>
        <w:rPr>
          <w:lang w:eastAsia="en-AU"/>
        </w:rPr>
        <w:t>may reflect</w:t>
      </w:r>
      <w:r w:rsidRPr="00E039F4">
        <w:rPr>
          <w:lang w:eastAsia="en-AU"/>
        </w:rPr>
        <w:t xml:space="preserve"> the CHC </w:t>
      </w:r>
      <w:r>
        <w:rPr>
          <w:lang w:eastAsia="en-AU"/>
        </w:rPr>
        <w:t>changes applied by the Department on July 1, 2016 and January 1, 2017. D</w:t>
      </w:r>
      <w:r w:rsidRPr="00E039F4">
        <w:rPr>
          <w:lang w:eastAsia="en-AU"/>
        </w:rPr>
        <w:t xml:space="preserve">eclining </w:t>
      </w:r>
      <w:r>
        <w:rPr>
          <w:lang w:eastAsia="en-AU"/>
        </w:rPr>
        <w:t xml:space="preserve">care </w:t>
      </w:r>
      <w:r w:rsidRPr="00E039F4">
        <w:rPr>
          <w:lang w:eastAsia="en-AU"/>
        </w:rPr>
        <w:t xml:space="preserve">subsidy growth rates are assumed from </w:t>
      </w:r>
      <w:r>
        <w:rPr>
          <w:lang w:eastAsia="en-AU"/>
        </w:rPr>
        <w:t>20</w:t>
      </w:r>
      <w:r w:rsidRPr="00E039F4">
        <w:rPr>
          <w:lang w:eastAsia="en-AU"/>
        </w:rPr>
        <w:t xml:space="preserve">17-18 </w:t>
      </w:r>
      <w:r>
        <w:rPr>
          <w:lang w:eastAsia="en-AU"/>
        </w:rPr>
        <w:t xml:space="preserve">based on </w:t>
      </w:r>
      <w:r w:rsidRPr="00E039F4">
        <w:rPr>
          <w:lang w:eastAsia="en-AU"/>
        </w:rPr>
        <w:t xml:space="preserve">the </w:t>
      </w:r>
      <w:r>
        <w:rPr>
          <w:lang w:eastAsia="en-AU"/>
        </w:rPr>
        <w:t xml:space="preserve">recent Department auditing results, the </w:t>
      </w:r>
      <w:r w:rsidRPr="00E039F4">
        <w:rPr>
          <w:lang w:eastAsia="en-AU"/>
        </w:rPr>
        <w:t>stronger potential penalties introduced from March 2017, and the decreas</w:t>
      </w:r>
      <w:r>
        <w:rPr>
          <w:lang w:eastAsia="en-AU"/>
        </w:rPr>
        <w:t xml:space="preserve">ed room for care subsidy optimisation as the funding ceiling approaches. </w:t>
      </w:r>
      <w:r w:rsidRPr="00917B55">
        <w:rPr>
          <w:lang w:eastAsia="en-AU"/>
        </w:rPr>
        <w:t>Average subsidy rates were 80.4</w:t>
      </w:r>
      <w:r w:rsidR="0065091B">
        <w:rPr>
          <w:lang w:eastAsia="en-AU"/>
        </w:rPr>
        <w:t xml:space="preserve"> per cent</w:t>
      </w:r>
      <w:r w:rsidRPr="00917B55">
        <w:rPr>
          <w:lang w:eastAsia="en-AU"/>
        </w:rPr>
        <w:t xml:space="preserve"> at 30 June 2016, leaving little room for further growth at high rates (</w:t>
      </w:r>
      <w:hyperlink w:anchor="Tab1111" w:history="1">
        <w:r w:rsidRPr="00AE272B">
          <w:rPr>
            <w:rStyle w:val="Hyperlink"/>
            <w:lang w:eastAsia="en-AU"/>
          </w:rPr>
          <w:t>Table 11.11</w:t>
        </w:r>
      </w:hyperlink>
      <w:r w:rsidRPr="00917B55">
        <w:rPr>
          <w:lang w:eastAsia="en-AU"/>
        </w:rPr>
        <w:t xml:space="preserve">; </w:t>
      </w:r>
      <w:hyperlink w:anchor="Fig1101" w:history="1">
        <w:r w:rsidRPr="00E00E18">
          <w:rPr>
            <w:rStyle w:val="Hyperlink"/>
            <w:lang w:eastAsia="en-AU"/>
          </w:rPr>
          <w:t>Figure 11.1</w:t>
        </w:r>
      </w:hyperlink>
      <w:r w:rsidRPr="00917B55">
        <w:rPr>
          <w:lang w:eastAsia="en-AU"/>
        </w:rPr>
        <w:t>).</w:t>
      </w:r>
    </w:p>
    <w:p w:rsidR="00CC0633" w:rsidRDefault="00CC0633" w:rsidP="00CC0633">
      <w:pPr>
        <w:pStyle w:val="Caption"/>
        <w:keepNext/>
      </w:pPr>
      <w:bookmarkStart w:id="783" w:name="_Toc495416871"/>
      <w:bookmarkStart w:id="784" w:name="Tab1111"/>
      <w:r>
        <w:t>T</w:t>
      </w:r>
      <w:r w:rsidR="00C90A16">
        <w:t>able 11.</w:t>
      </w:r>
      <w:r w:rsidR="009A3F5A">
        <w:fldChar w:fldCharType="begin"/>
      </w:r>
      <w:r w:rsidR="009A3F5A">
        <w:instrText xml:space="preserve"> SEQ Table_11. \* ARABIC </w:instrText>
      </w:r>
      <w:r w:rsidR="009A3F5A">
        <w:fldChar w:fldCharType="separate"/>
      </w:r>
      <w:r w:rsidR="00856E49">
        <w:rPr>
          <w:noProof/>
        </w:rPr>
        <w:t>11</w:t>
      </w:r>
      <w:r w:rsidR="009A3F5A">
        <w:rPr>
          <w:noProof/>
        </w:rPr>
        <w:fldChar w:fldCharType="end"/>
      </w:r>
      <w:r w:rsidR="00C90A16">
        <w:t xml:space="preserve">: </w:t>
      </w:r>
      <w:r w:rsidR="00C90A16" w:rsidRPr="00C90A16">
        <w:t>Projected ACFI subsidy growth rates at the end of each year</w:t>
      </w:r>
      <w:bookmarkEnd w:id="783"/>
    </w:p>
    <w:tbl>
      <w:tblPr>
        <w:tblStyle w:val="ListTable3-Accent515"/>
        <w:tblW w:w="5665"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11.11 is a list of projected subsidy growth rates for the aged care funding instrument (ACFI) from 2009 to 2022, as summarised in the text prior to this table. This table is to be read left to right, top to bottom, noting that the actual rates are noted from 2009-2016 followed by the projected figures from 2017 to 2022 (empty cells are indicated as “NA”)."/>
      </w:tblPr>
      <w:tblGrid>
        <w:gridCol w:w="781"/>
        <w:gridCol w:w="1554"/>
        <w:gridCol w:w="1890"/>
        <w:gridCol w:w="1440"/>
      </w:tblGrid>
      <w:tr w:rsidR="00571656" w:rsidRPr="00222251" w:rsidTr="000718B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1" w:type="dxa"/>
            <w:tcBorders>
              <w:bottom w:val="none" w:sz="0" w:space="0" w:color="auto"/>
              <w:right w:val="none" w:sz="0" w:space="0" w:color="auto"/>
            </w:tcBorders>
            <w:noWrap/>
            <w:hideMark/>
          </w:tcPr>
          <w:bookmarkEnd w:id="784"/>
          <w:p w:rsidR="00571656" w:rsidRPr="00917B55" w:rsidRDefault="00571656">
            <w:pPr>
              <w:spacing w:after="0"/>
              <w:rPr>
                <w:rFonts w:ascii="Calibri" w:eastAsia="Times New Roman" w:hAnsi="Calibri" w:cs="Calibri"/>
                <w:bCs w:val="0"/>
                <w:sz w:val="22"/>
                <w:lang w:val="en-US"/>
              </w:rPr>
            </w:pPr>
            <w:r w:rsidRPr="00917B55">
              <w:rPr>
                <w:rFonts w:ascii="Calibri" w:eastAsia="Times New Roman" w:hAnsi="Calibri" w:cs="Calibri"/>
                <w:bCs w:val="0"/>
                <w:sz w:val="22"/>
                <w:lang w:val="en-US"/>
              </w:rPr>
              <w:t>Year</w:t>
            </w:r>
          </w:p>
        </w:tc>
        <w:tc>
          <w:tcPr>
            <w:cnfStyle w:val="000010000000" w:firstRow="0" w:lastRow="0" w:firstColumn="0" w:lastColumn="0" w:oddVBand="1" w:evenVBand="0" w:oddHBand="0" w:evenHBand="0" w:firstRowFirstColumn="0" w:firstRowLastColumn="0" w:lastRowFirstColumn="0" w:lastRowLastColumn="0"/>
            <w:tcW w:w="1554" w:type="dxa"/>
            <w:tcBorders>
              <w:left w:val="none" w:sz="0" w:space="0" w:color="auto"/>
              <w:right w:val="none" w:sz="0" w:space="0" w:color="auto"/>
            </w:tcBorders>
            <w:noWrap/>
            <w:hideMark/>
          </w:tcPr>
          <w:p w:rsidR="00571656" w:rsidRPr="00917B55" w:rsidRDefault="00571656" w:rsidP="000718BE">
            <w:pPr>
              <w:spacing w:after="0"/>
              <w:jc w:val="center"/>
              <w:rPr>
                <w:rFonts w:ascii="Calibri" w:eastAsia="Times New Roman" w:hAnsi="Calibri" w:cs="Calibri"/>
                <w:bCs w:val="0"/>
                <w:sz w:val="22"/>
                <w:lang w:val="en-US"/>
              </w:rPr>
            </w:pPr>
            <w:r w:rsidRPr="00917B55">
              <w:rPr>
                <w:rFonts w:ascii="Calibri" w:eastAsia="Times New Roman" w:hAnsi="Calibri" w:cs="Calibri"/>
                <w:bCs w:val="0"/>
                <w:sz w:val="22"/>
                <w:lang w:val="en-US"/>
              </w:rPr>
              <w:t>Subsidy actual</w:t>
            </w:r>
          </w:p>
        </w:tc>
        <w:tc>
          <w:tcPr>
            <w:tcW w:w="1890" w:type="dxa"/>
            <w:noWrap/>
            <w:hideMark/>
          </w:tcPr>
          <w:p w:rsidR="00571656" w:rsidRPr="00917B55" w:rsidRDefault="00571656" w:rsidP="000718BE">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2"/>
                <w:lang w:val="en-US"/>
              </w:rPr>
            </w:pPr>
            <w:r w:rsidRPr="00917B55">
              <w:rPr>
                <w:rFonts w:ascii="Calibri" w:eastAsia="Times New Roman" w:hAnsi="Calibri" w:cs="Calibri"/>
                <w:bCs w:val="0"/>
                <w:sz w:val="22"/>
                <w:lang w:val="en-US"/>
              </w:rPr>
              <w:t>Subsidy projected</w:t>
            </w:r>
          </w:p>
        </w:tc>
        <w:tc>
          <w:tcPr>
            <w:cnfStyle w:val="000010000000" w:firstRow="0" w:lastRow="0" w:firstColumn="0" w:lastColumn="0" w:oddVBand="1" w:evenVBand="0" w:oddHBand="0" w:evenHBand="0" w:firstRowFirstColumn="0" w:firstRowLastColumn="0" w:lastRowFirstColumn="0" w:lastRowLastColumn="0"/>
            <w:tcW w:w="1440" w:type="dxa"/>
            <w:tcBorders>
              <w:left w:val="none" w:sz="0" w:space="0" w:color="auto"/>
              <w:right w:val="none" w:sz="0" w:space="0" w:color="auto"/>
            </w:tcBorders>
            <w:noWrap/>
            <w:hideMark/>
          </w:tcPr>
          <w:p w:rsidR="00571656" w:rsidRPr="00917B55" w:rsidRDefault="00571656" w:rsidP="000718BE">
            <w:pPr>
              <w:spacing w:after="0"/>
              <w:jc w:val="center"/>
              <w:rPr>
                <w:rFonts w:ascii="Calibri" w:eastAsia="Times New Roman" w:hAnsi="Calibri" w:cs="Calibri"/>
                <w:bCs w:val="0"/>
                <w:sz w:val="22"/>
                <w:lang w:val="en-US"/>
              </w:rPr>
            </w:pPr>
            <w:r w:rsidRPr="00917B55">
              <w:rPr>
                <w:rFonts w:ascii="Calibri" w:eastAsia="Times New Roman" w:hAnsi="Calibri" w:cs="Calibri"/>
                <w:bCs w:val="0"/>
                <w:sz w:val="22"/>
                <w:lang w:val="en-US"/>
              </w:rPr>
              <w:t>Growth rate</w:t>
            </w:r>
          </w:p>
        </w:tc>
      </w:tr>
      <w:tr w:rsidR="000718BE" w:rsidRPr="000718BE" w:rsidTr="0007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Borders>
              <w:top w:val="none" w:sz="0" w:space="0" w:color="auto"/>
              <w:bottom w:val="none" w:sz="0" w:space="0" w:color="auto"/>
              <w:right w:val="none" w:sz="0" w:space="0" w:color="auto"/>
            </w:tcBorders>
            <w:noWrap/>
            <w:hideMark/>
          </w:tcPr>
          <w:p w:rsidR="000718BE" w:rsidRPr="000718BE" w:rsidRDefault="000718BE">
            <w:pPr>
              <w:spacing w:after="0"/>
              <w:rPr>
                <w:rFonts w:eastAsia="Times New Roman" w:cs="Calibri"/>
                <w:color w:val="000000"/>
                <w:sz w:val="22"/>
                <w:lang w:val="en-US"/>
              </w:rPr>
            </w:pPr>
            <w:r w:rsidRPr="000718BE">
              <w:rPr>
                <w:rFonts w:eastAsia="Times New Roman" w:cs="Calibri"/>
                <w:color w:val="000000"/>
                <w:sz w:val="22"/>
                <w:lang w:val="en-US"/>
              </w:rPr>
              <w:t>2009</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color w:val="000000"/>
                <w:sz w:val="22"/>
                <w:lang w:val="en-US"/>
              </w:rPr>
              <w:t>0.551</w:t>
            </w:r>
          </w:p>
        </w:tc>
        <w:tc>
          <w:tcPr>
            <w:tcW w:w="1890" w:type="dxa"/>
            <w:tcBorders>
              <w:top w:val="none" w:sz="0" w:space="0" w:color="auto"/>
              <w:bottom w:val="none" w:sz="0" w:space="0" w:color="auto"/>
            </w:tcBorders>
            <w:noWrap/>
            <w:hideMark/>
          </w:tcPr>
          <w:p w:rsidR="000718BE" w:rsidRPr="000718BE" w:rsidRDefault="000718BE" w:rsidP="000718B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0718BE">
              <w:rPr>
                <w:rFonts w:eastAsia="Times New Roman" w:cs="Calibri"/>
                <w:i/>
                <w:color w:val="000000"/>
                <w:sz w:val="22"/>
                <w:lang w:val="en-US"/>
              </w:rPr>
              <w:t>NA</w:t>
            </w:r>
          </w:p>
        </w:tc>
        <w:tc>
          <w:tcPr>
            <w:cnfStyle w:val="000010000000" w:firstRow="0" w:lastRow="0" w:firstColumn="0" w:lastColumn="0" w:oddVBand="1" w:evenVBand="0" w:oddHBand="0" w:evenHBand="0" w:firstRowFirstColumn="0" w:firstRowLastColumn="0" w:lastRowFirstColumn="0" w:lastRowLastColumn="0"/>
            <w:tcW w:w="1440" w:type="dxa"/>
            <w:tcBorders>
              <w:top w:val="none" w:sz="0" w:space="0" w:color="auto"/>
              <w:left w:val="none" w:sz="0" w:space="0" w:color="auto"/>
              <w:bottom w:val="none" w:sz="0" w:space="0" w:color="auto"/>
              <w:right w:val="none" w:sz="0" w:space="0" w:color="auto"/>
            </w:tcBorders>
            <w:noWrap/>
            <w:hideMark/>
          </w:tcPr>
          <w:p w:rsidR="000718BE" w:rsidRPr="00E92414" w:rsidRDefault="000718BE" w:rsidP="000718BE">
            <w:pPr>
              <w:spacing w:after="0"/>
              <w:jc w:val="center"/>
              <w:rPr>
                <w:rFonts w:eastAsia="Times New Roman" w:cs="Times New Roman"/>
                <w:i/>
                <w:sz w:val="22"/>
                <w:lang w:val="en-US"/>
              </w:rPr>
            </w:pPr>
            <w:r w:rsidRPr="00E92414">
              <w:rPr>
                <w:rFonts w:eastAsia="Times New Roman" w:cs="Times New Roman"/>
                <w:i/>
                <w:sz w:val="22"/>
                <w:lang w:val="en-US"/>
              </w:rPr>
              <w:t>NA</w:t>
            </w:r>
          </w:p>
        </w:tc>
      </w:tr>
      <w:tr w:rsidR="000718BE" w:rsidRPr="000718BE" w:rsidTr="000718BE">
        <w:tc>
          <w:tcPr>
            <w:cnfStyle w:val="001000000000" w:firstRow="0" w:lastRow="0" w:firstColumn="1" w:lastColumn="0" w:oddVBand="0" w:evenVBand="0" w:oddHBand="0" w:evenHBand="0" w:firstRowFirstColumn="0" w:firstRowLastColumn="0" w:lastRowFirstColumn="0" w:lastRowLastColumn="0"/>
            <w:tcW w:w="781" w:type="dxa"/>
            <w:tcBorders>
              <w:right w:val="none" w:sz="0" w:space="0" w:color="auto"/>
            </w:tcBorders>
            <w:noWrap/>
            <w:hideMark/>
          </w:tcPr>
          <w:p w:rsidR="000718BE" w:rsidRPr="000718BE" w:rsidRDefault="000718BE">
            <w:pPr>
              <w:spacing w:after="0"/>
              <w:rPr>
                <w:rFonts w:eastAsia="Times New Roman" w:cs="Calibri"/>
                <w:color w:val="000000"/>
                <w:sz w:val="22"/>
                <w:lang w:val="en-US"/>
              </w:rPr>
            </w:pPr>
            <w:r w:rsidRPr="000718BE">
              <w:rPr>
                <w:rFonts w:eastAsia="Times New Roman" w:cs="Calibri"/>
                <w:color w:val="000000"/>
                <w:sz w:val="22"/>
                <w:lang w:val="en-US"/>
              </w:rPr>
              <w:t>2010</w:t>
            </w:r>
          </w:p>
        </w:tc>
        <w:tc>
          <w:tcPr>
            <w:cnfStyle w:val="000010000000" w:firstRow="0" w:lastRow="0" w:firstColumn="0" w:lastColumn="0" w:oddVBand="1" w:evenVBand="0" w:oddHBand="0" w:evenHBand="0" w:firstRowFirstColumn="0" w:firstRowLastColumn="0" w:lastRowFirstColumn="0" w:lastRowLastColumn="0"/>
            <w:tcW w:w="1554" w:type="dxa"/>
            <w:tcBorders>
              <w:left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color w:val="000000"/>
                <w:sz w:val="22"/>
                <w:lang w:val="en-US"/>
              </w:rPr>
              <w:t>0.595</w:t>
            </w:r>
          </w:p>
        </w:tc>
        <w:tc>
          <w:tcPr>
            <w:tcW w:w="1890" w:type="dxa"/>
            <w:noWrap/>
            <w:hideMark/>
          </w:tcPr>
          <w:p w:rsidR="000718BE" w:rsidRPr="000718BE" w:rsidRDefault="000718BE" w:rsidP="000718B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val="en-US"/>
              </w:rPr>
            </w:pPr>
            <w:r w:rsidRPr="000718BE">
              <w:rPr>
                <w:rFonts w:eastAsia="Times New Roman" w:cs="Calibri"/>
                <w:i/>
                <w:color w:val="000000"/>
                <w:sz w:val="22"/>
                <w:lang w:val="en-US"/>
              </w:rPr>
              <w:t>NA</w:t>
            </w:r>
          </w:p>
        </w:tc>
        <w:tc>
          <w:tcPr>
            <w:cnfStyle w:val="000010000000" w:firstRow="0" w:lastRow="0" w:firstColumn="0" w:lastColumn="0" w:oddVBand="1" w:evenVBand="0" w:oddHBand="0" w:evenHBand="0" w:firstRowFirstColumn="0" w:firstRowLastColumn="0" w:lastRowFirstColumn="0" w:lastRowLastColumn="0"/>
            <w:tcW w:w="1440" w:type="dxa"/>
            <w:tcBorders>
              <w:left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color w:val="000000"/>
                <w:sz w:val="22"/>
                <w:lang w:val="en-US"/>
              </w:rPr>
              <w:t>0.080</w:t>
            </w:r>
          </w:p>
        </w:tc>
      </w:tr>
      <w:tr w:rsidR="000718BE" w:rsidRPr="000718BE" w:rsidTr="0007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Borders>
              <w:top w:val="none" w:sz="0" w:space="0" w:color="auto"/>
              <w:bottom w:val="none" w:sz="0" w:space="0" w:color="auto"/>
              <w:right w:val="none" w:sz="0" w:space="0" w:color="auto"/>
            </w:tcBorders>
            <w:noWrap/>
            <w:hideMark/>
          </w:tcPr>
          <w:p w:rsidR="000718BE" w:rsidRPr="000718BE" w:rsidRDefault="000718BE">
            <w:pPr>
              <w:spacing w:after="0"/>
              <w:rPr>
                <w:rFonts w:eastAsia="Times New Roman" w:cs="Calibri"/>
                <w:color w:val="000000"/>
                <w:sz w:val="22"/>
                <w:lang w:val="en-US"/>
              </w:rPr>
            </w:pPr>
            <w:r w:rsidRPr="000718BE">
              <w:rPr>
                <w:rFonts w:eastAsia="Times New Roman" w:cs="Calibri"/>
                <w:color w:val="000000"/>
                <w:sz w:val="22"/>
                <w:lang w:val="en-US"/>
              </w:rPr>
              <w:t>2011</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color w:val="000000"/>
                <w:sz w:val="22"/>
                <w:lang w:val="en-US"/>
              </w:rPr>
              <w:t>0.641</w:t>
            </w:r>
          </w:p>
        </w:tc>
        <w:tc>
          <w:tcPr>
            <w:tcW w:w="1890" w:type="dxa"/>
            <w:tcBorders>
              <w:top w:val="none" w:sz="0" w:space="0" w:color="auto"/>
              <w:bottom w:val="none" w:sz="0" w:space="0" w:color="auto"/>
            </w:tcBorders>
            <w:noWrap/>
            <w:hideMark/>
          </w:tcPr>
          <w:p w:rsidR="000718BE" w:rsidRPr="000718BE" w:rsidRDefault="000718BE" w:rsidP="000718B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0718BE">
              <w:rPr>
                <w:rFonts w:eastAsia="Times New Roman" w:cs="Calibri"/>
                <w:i/>
                <w:color w:val="000000"/>
                <w:sz w:val="22"/>
                <w:lang w:val="en-US"/>
              </w:rPr>
              <w:t>NA</w:t>
            </w:r>
          </w:p>
        </w:tc>
        <w:tc>
          <w:tcPr>
            <w:cnfStyle w:val="000010000000" w:firstRow="0" w:lastRow="0" w:firstColumn="0" w:lastColumn="0" w:oddVBand="1" w:evenVBand="0" w:oddHBand="0" w:evenHBand="0" w:firstRowFirstColumn="0" w:firstRowLastColumn="0" w:lastRowFirstColumn="0" w:lastRowLastColumn="0"/>
            <w:tcW w:w="1440" w:type="dxa"/>
            <w:tcBorders>
              <w:top w:val="none" w:sz="0" w:space="0" w:color="auto"/>
              <w:left w:val="none" w:sz="0" w:space="0" w:color="auto"/>
              <w:bottom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color w:val="000000"/>
                <w:sz w:val="22"/>
                <w:lang w:val="en-US"/>
              </w:rPr>
              <w:t>0.078</w:t>
            </w:r>
          </w:p>
        </w:tc>
      </w:tr>
      <w:tr w:rsidR="000718BE" w:rsidRPr="000718BE" w:rsidTr="000718BE">
        <w:tc>
          <w:tcPr>
            <w:cnfStyle w:val="001000000000" w:firstRow="0" w:lastRow="0" w:firstColumn="1" w:lastColumn="0" w:oddVBand="0" w:evenVBand="0" w:oddHBand="0" w:evenHBand="0" w:firstRowFirstColumn="0" w:firstRowLastColumn="0" w:lastRowFirstColumn="0" w:lastRowLastColumn="0"/>
            <w:tcW w:w="781" w:type="dxa"/>
            <w:tcBorders>
              <w:right w:val="none" w:sz="0" w:space="0" w:color="auto"/>
            </w:tcBorders>
            <w:noWrap/>
            <w:hideMark/>
          </w:tcPr>
          <w:p w:rsidR="000718BE" w:rsidRPr="000718BE" w:rsidRDefault="000718BE">
            <w:pPr>
              <w:spacing w:after="0"/>
              <w:rPr>
                <w:rFonts w:eastAsia="Times New Roman" w:cs="Calibri"/>
                <w:color w:val="000000"/>
                <w:sz w:val="22"/>
                <w:lang w:val="en-US"/>
              </w:rPr>
            </w:pPr>
            <w:r w:rsidRPr="000718BE">
              <w:rPr>
                <w:rFonts w:eastAsia="Times New Roman" w:cs="Calibri"/>
                <w:color w:val="000000"/>
                <w:sz w:val="22"/>
                <w:lang w:val="en-US"/>
              </w:rPr>
              <w:t>2012</w:t>
            </w:r>
          </w:p>
        </w:tc>
        <w:tc>
          <w:tcPr>
            <w:cnfStyle w:val="000010000000" w:firstRow="0" w:lastRow="0" w:firstColumn="0" w:lastColumn="0" w:oddVBand="1" w:evenVBand="0" w:oddHBand="0" w:evenHBand="0" w:firstRowFirstColumn="0" w:firstRowLastColumn="0" w:lastRowFirstColumn="0" w:lastRowLastColumn="0"/>
            <w:tcW w:w="1554" w:type="dxa"/>
            <w:tcBorders>
              <w:left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color w:val="000000"/>
                <w:sz w:val="22"/>
                <w:lang w:val="en-US"/>
              </w:rPr>
              <w:t>0.682</w:t>
            </w:r>
          </w:p>
        </w:tc>
        <w:tc>
          <w:tcPr>
            <w:tcW w:w="1890" w:type="dxa"/>
            <w:noWrap/>
            <w:hideMark/>
          </w:tcPr>
          <w:p w:rsidR="000718BE" w:rsidRPr="000718BE" w:rsidRDefault="000718BE" w:rsidP="000718B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val="en-US"/>
              </w:rPr>
            </w:pPr>
            <w:r w:rsidRPr="000718BE">
              <w:rPr>
                <w:rFonts w:eastAsia="Times New Roman" w:cs="Calibri"/>
                <w:i/>
                <w:color w:val="000000"/>
                <w:sz w:val="22"/>
                <w:lang w:val="en-US"/>
              </w:rPr>
              <w:t>NA</w:t>
            </w:r>
          </w:p>
        </w:tc>
        <w:tc>
          <w:tcPr>
            <w:cnfStyle w:val="000010000000" w:firstRow="0" w:lastRow="0" w:firstColumn="0" w:lastColumn="0" w:oddVBand="1" w:evenVBand="0" w:oddHBand="0" w:evenHBand="0" w:firstRowFirstColumn="0" w:firstRowLastColumn="0" w:lastRowFirstColumn="0" w:lastRowLastColumn="0"/>
            <w:tcW w:w="1440" w:type="dxa"/>
            <w:tcBorders>
              <w:left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color w:val="000000"/>
                <w:sz w:val="22"/>
                <w:lang w:val="en-US"/>
              </w:rPr>
              <w:t>0.064</w:t>
            </w:r>
          </w:p>
        </w:tc>
      </w:tr>
      <w:tr w:rsidR="000718BE" w:rsidRPr="000718BE" w:rsidTr="0007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Borders>
              <w:top w:val="none" w:sz="0" w:space="0" w:color="auto"/>
              <w:bottom w:val="none" w:sz="0" w:space="0" w:color="auto"/>
              <w:right w:val="none" w:sz="0" w:space="0" w:color="auto"/>
            </w:tcBorders>
            <w:noWrap/>
            <w:hideMark/>
          </w:tcPr>
          <w:p w:rsidR="000718BE" w:rsidRPr="000718BE" w:rsidRDefault="000718BE">
            <w:pPr>
              <w:spacing w:after="0"/>
              <w:rPr>
                <w:rFonts w:eastAsia="Times New Roman" w:cs="Calibri"/>
                <w:color w:val="000000"/>
                <w:sz w:val="22"/>
                <w:lang w:val="en-US"/>
              </w:rPr>
            </w:pPr>
            <w:r w:rsidRPr="000718BE">
              <w:rPr>
                <w:rFonts w:eastAsia="Times New Roman" w:cs="Calibri"/>
                <w:color w:val="000000"/>
                <w:sz w:val="22"/>
                <w:lang w:val="en-US"/>
              </w:rPr>
              <w:t>2013</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color w:val="000000"/>
                <w:sz w:val="22"/>
                <w:lang w:val="en-US"/>
              </w:rPr>
              <w:t>0.698</w:t>
            </w:r>
          </w:p>
        </w:tc>
        <w:tc>
          <w:tcPr>
            <w:tcW w:w="1890" w:type="dxa"/>
            <w:tcBorders>
              <w:top w:val="none" w:sz="0" w:space="0" w:color="auto"/>
              <w:bottom w:val="none" w:sz="0" w:space="0" w:color="auto"/>
            </w:tcBorders>
            <w:noWrap/>
            <w:hideMark/>
          </w:tcPr>
          <w:p w:rsidR="000718BE" w:rsidRPr="000718BE" w:rsidRDefault="000718BE" w:rsidP="000718B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0718BE">
              <w:rPr>
                <w:rFonts w:eastAsia="Times New Roman" w:cs="Calibri"/>
                <w:i/>
                <w:color w:val="000000"/>
                <w:sz w:val="22"/>
                <w:lang w:val="en-US"/>
              </w:rPr>
              <w:t>NA</w:t>
            </w:r>
          </w:p>
        </w:tc>
        <w:tc>
          <w:tcPr>
            <w:cnfStyle w:val="000010000000" w:firstRow="0" w:lastRow="0" w:firstColumn="0" w:lastColumn="0" w:oddVBand="1" w:evenVBand="0" w:oddHBand="0" w:evenHBand="0" w:firstRowFirstColumn="0" w:firstRowLastColumn="0" w:lastRowFirstColumn="0" w:lastRowLastColumn="0"/>
            <w:tcW w:w="1440" w:type="dxa"/>
            <w:tcBorders>
              <w:top w:val="none" w:sz="0" w:space="0" w:color="auto"/>
              <w:left w:val="none" w:sz="0" w:space="0" w:color="auto"/>
              <w:bottom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color w:val="000000"/>
                <w:sz w:val="22"/>
                <w:lang w:val="en-US"/>
              </w:rPr>
              <w:t>0.023</w:t>
            </w:r>
          </w:p>
        </w:tc>
      </w:tr>
      <w:tr w:rsidR="000718BE" w:rsidRPr="000718BE" w:rsidTr="000718BE">
        <w:tc>
          <w:tcPr>
            <w:cnfStyle w:val="001000000000" w:firstRow="0" w:lastRow="0" w:firstColumn="1" w:lastColumn="0" w:oddVBand="0" w:evenVBand="0" w:oddHBand="0" w:evenHBand="0" w:firstRowFirstColumn="0" w:firstRowLastColumn="0" w:lastRowFirstColumn="0" w:lastRowLastColumn="0"/>
            <w:tcW w:w="781" w:type="dxa"/>
            <w:tcBorders>
              <w:right w:val="none" w:sz="0" w:space="0" w:color="auto"/>
            </w:tcBorders>
            <w:noWrap/>
            <w:hideMark/>
          </w:tcPr>
          <w:p w:rsidR="000718BE" w:rsidRPr="000718BE" w:rsidRDefault="000718BE">
            <w:pPr>
              <w:spacing w:after="0"/>
              <w:rPr>
                <w:rFonts w:eastAsia="Times New Roman" w:cs="Calibri"/>
                <w:color w:val="000000"/>
                <w:sz w:val="22"/>
                <w:lang w:val="en-US"/>
              </w:rPr>
            </w:pPr>
            <w:r w:rsidRPr="000718BE">
              <w:rPr>
                <w:rFonts w:eastAsia="Times New Roman" w:cs="Calibri"/>
                <w:color w:val="000000"/>
                <w:sz w:val="22"/>
                <w:lang w:val="en-US"/>
              </w:rPr>
              <w:t>2014</w:t>
            </w:r>
          </w:p>
        </w:tc>
        <w:tc>
          <w:tcPr>
            <w:cnfStyle w:val="000010000000" w:firstRow="0" w:lastRow="0" w:firstColumn="0" w:lastColumn="0" w:oddVBand="1" w:evenVBand="0" w:oddHBand="0" w:evenHBand="0" w:firstRowFirstColumn="0" w:firstRowLastColumn="0" w:lastRowFirstColumn="0" w:lastRowLastColumn="0"/>
            <w:tcW w:w="1554" w:type="dxa"/>
            <w:tcBorders>
              <w:left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color w:val="000000"/>
                <w:sz w:val="22"/>
                <w:lang w:val="en-US"/>
              </w:rPr>
              <w:t>0.721</w:t>
            </w:r>
          </w:p>
        </w:tc>
        <w:tc>
          <w:tcPr>
            <w:tcW w:w="1890" w:type="dxa"/>
            <w:noWrap/>
            <w:hideMark/>
          </w:tcPr>
          <w:p w:rsidR="000718BE" w:rsidRPr="000718BE" w:rsidRDefault="000718BE" w:rsidP="000718B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val="en-US"/>
              </w:rPr>
            </w:pPr>
            <w:r w:rsidRPr="000718BE">
              <w:rPr>
                <w:rFonts w:eastAsia="Times New Roman" w:cs="Calibri"/>
                <w:i/>
                <w:color w:val="000000"/>
                <w:sz w:val="22"/>
                <w:lang w:val="en-US"/>
              </w:rPr>
              <w:t>NA</w:t>
            </w:r>
          </w:p>
        </w:tc>
        <w:tc>
          <w:tcPr>
            <w:cnfStyle w:val="000010000000" w:firstRow="0" w:lastRow="0" w:firstColumn="0" w:lastColumn="0" w:oddVBand="1" w:evenVBand="0" w:oddHBand="0" w:evenHBand="0" w:firstRowFirstColumn="0" w:firstRowLastColumn="0" w:lastRowFirstColumn="0" w:lastRowLastColumn="0"/>
            <w:tcW w:w="1440" w:type="dxa"/>
            <w:tcBorders>
              <w:left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color w:val="000000"/>
                <w:sz w:val="22"/>
                <w:lang w:val="en-US"/>
              </w:rPr>
              <w:t>0.033</w:t>
            </w:r>
          </w:p>
        </w:tc>
      </w:tr>
      <w:tr w:rsidR="000718BE" w:rsidRPr="000718BE" w:rsidTr="0007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Borders>
              <w:top w:val="none" w:sz="0" w:space="0" w:color="auto"/>
              <w:bottom w:val="none" w:sz="0" w:space="0" w:color="auto"/>
              <w:right w:val="none" w:sz="0" w:space="0" w:color="auto"/>
            </w:tcBorders>
            <w:noWrap/>
            <w:hideMark/>
          </w:tcPr>
          <w:p w:rsidR="000718BE" w:rsidRPr="000718BE" w:rsidRDefault="000718BE">
            <w:pPr>
              <w:spacing w:after="0"/>
              <w:rPr>
                <w:rFonts w:eastAsia="Times New Roman" w:cs="Calibri"/>
                <w:color w:val="000000"/>
                <w:sz w:val="22"/>
                <w:lang w:val="en-US"/>
              </w:rPr>
            </w:pPr>
            <w:r w:rsidRPr="000718BE">
              <w:rPr>
                <w:rFonts w:eastAsia="Times New Roman" w:cs="Calibri"/>
                <w:color w:val="000000"/>
                <w:sz w:val="22"/>
                <w:lang w:val="en-US"/>
              </w:rPr>
              <w:t>2015</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color w:val="000000"/>
                <w:sz w:val="22"/>
                <w:lang w:val="en-US"/>
              </w:rPr>
              <w:t>0.765</w:t>
            </w:r>
          </w:p>
        </w:tc>
        <w:tc>
          <w:tcPr>
            <w:tcW w:w="1890" w:type="dxa"/>
            <w:tcBorders>
              <w:top w:val="none" w:sz="0" w:space="0" w:color="auto"/>
              <w:bottom w:val="none" w:sz="0" w:space="0" w:color="auto"/>
            </w:tcBorders>
            <w:noWrap/>
            <w:hideMark/>
          </w:tcPr>
          <w:p w:rsidR="000718BE" w:rsidRPr="000718BE" w:rsidRDefault="000718BE" w:rsidP="000718B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0718BE">
              <w:rPr>
                <w:rFonts w:eastAsia="Times New Roman" w:cs="Calibri"/>
                <w:i/>
                <w:color w:val="000000"/>
                <w:sz w:val="22"/>
                <w:lang w:val="en-US"/>
              </w:rPr>
              <w:t>NA</w:t>
            </w:r>
          </w:p>
        </w:tc>
        <w:tc>
          <w:tcPr>
            <w:cnfStyle w:val="000010000000" w:firstRow="0" w:lastRow="0" w:firstColumn="0" w:lastColumn="0" w:oddVBand="1" w:evenVBand="0" w:oddHBand="0" w:evenHBand="0" w:firstRowFirstColumn="0" w:firstRowLastColumn="0" w:lastRowFirstColumn="0" w:lastRowLastColumn="0"/>
            <w:tcW w:w="1440" w:type="dxa"/>
            <w:tcBorders>
              <w:top w:val="none" w:sz="0" w:space="0" w:color="auto"/>
              <w:left w:val="none" w:sz="0" w:space="0" w:color="auto"/>
              <w:bottom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color w:val="000000"/>
                <w:sz w:val="22"/>
                <w:lang w:val="en-US"/>
              </w:rPr>
              <w:t>0.060</w:t>
            </w:r>
          </w:p>
        </w:tc>
      </w:tr>
      <w:tr w:rsidR="000718BE" w:rsidRPr="000718BE" w:rsidTr="000718BE">
        <w:tc>
          <w:tcPr>
            <w:cnfStyle w:val="001000000000" w:firstRow="0" w:lastRow="0" w:firstColumn="1" w:lastColumn="0" w:oddVBand="0" w:evenVBand="0" w:oddHBand="0" w:evenHBand="0" w:firstRowFirstColumn="0" w:firstRowLastColumn="0" w:lastRowFirstColumn="0" w:lastRowLastColumn="0"/>
            <w:tcW w:w="781" w:type="dxa"/>
            <w:noWrap/>
          </w:tcPr>
          <w:p w:rsidR="000718BE" w:rsidRPr="000718BE" w:rsidRDefault="000718BE">
            <w:pPr>
              <w:spacing w:after="0"/>
              <w:rPr>
                <w:rFonts w:eastAsia="Times New Roman" w:cs="Calibri"/>
                <w:color w:val="000000"/>
                <w:sz w:val="22"/>
                <w:lang w:val="en-US"/>
              </w:rPr>
            </w:pPr>
            <w:r>
              <w:rPr>
                <w:rFonts w:eastAsia="Times New Roman" w:cs="Calibri"/>
                <w:color w:val="000000"/>
                <w:sz w:val="22"/>
                <w:lang w:val="en-US"/>
              </w:rPr>
              <w:t>2016</w:t>
            </w:r>
          </w:p>
        </w:tc>
        <w:tc>
          <w:tcPr>
            <w:cnfStyle w:val="000010000000" w:firstRow="0" w:lastRow="0" w:firstColumn="0" w:lastColumn="0" w:oddVBand="1" w:evenVBand="0" w:oddHBand="0" w:evenHBand="0" w:firstRowFirstColumn="0" w:firstRowLastColumn="0" w:lastRowFirstColumn="0" w:lastRowLastColumn="0"/>
            <w:tcW w:w="1554" w:type="dxa"/>
            <w:noWrap/>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color w:val="000000"/>
                <w:sz w:val="22"/>
                <w:lang w:val="en-US"/>
              </w:rPr>
              <w:t>0.804</w:t>
            </w:r>
          </w:p>
        </w:tc>
        <w:tc>
          <w:tcPr>
            <w:tcW w:w="1890" w:type="dxa"/>
            <w:noWrap/>
          </w:tcPr>
          <w:p w:rsidR="000718BE" w:rsidRPr="000718BE" w:rsidRDefault="000718BE" w:rsidP="000718B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22"/>
                <w:lang w:val="en-US"/>
              </w:rPr>
            </w:pPr>
            <w:r>
              <w:rPr>
                <w:rFonts w:eastAsia="Times New Roman" w:cs="Calibri"/>
                <w:i/>
                <w:color w:val="000000"/>
                <w:sz w:val="22"/>
                <w:lang w:val="en-US"/>
              </w:rPr>
              <w:t>NA</w:t>
            </w:r>
          </w:p>
        </w:tc>
        <w:tc>
          <w:tcPr>
            <w:cnfStyle w:val="000010000000" w:firstRow="0" w:lastRow="0" w:firstColumn="0" w:lastColumn="0" w:oddVBand="1" w:evenVBand="0" w:oddHBand="0" w:evenHBand="0" w:firstRowFirstColumn="0" w:firstRowLastColumn="0" w:lastRowFirstColumn="0" w:lastRowLastColumn="0"/>
            <w:tcW w:w="1440" w:type="dxa"/>
            <w:noWrap/>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color w:val="000000"/>
                <w:sz w:val="22"/>
                <w:lang w:val="en-US"/>
              </w:rPr>
              <w:t>0.050</w:t>
            </w:r>
          </w:p>
        </w:tc>
      </w:tr>
      <w:tr w:rsidR="00571656" w:rsidRPr="000718BE" w:rsidTr="0007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Borders>
              <w:top w:val="none" w:sz="0" w:space="0" w:color="auto"/>
              <w:bottom w:val="none" w:sz="0" w:space="0" w:color="auto"/>
              <w:right w:val="none" w:sz="0" w:space="0" w:color="auto"/>
            </w:tcBorders>
            <w:noWrap/>
            <w:hideMark/>
          </w:tcPr>
          <w:p w:rsidR="00571656" w:rsidRPr="000718BE" w:rsidRDefault="00571656">
            <w:pPr>
              <w:spacing w:after="0"/>
              <w:rPr>
                <w:rFonts w:eastAsia="Times New Roman" w:cs="Calibri"/>
                <w:color w:val="000000"/>
                <w:sz w:val="22"/>
                <w:lang w:val="en-US"/>
              </w:rPr>
            </w:pPr>
            <w:r w:rsidRPr="000718BE">
              <w:rPr>
                <w:rFonts w:eastAsia="Times New Roman" w:cs="Calibri"/>
                <w:color w:val="000000"/>
                <w:sz w:val="22"/>
                <w:lang w:val="en-US"/>
              </w:rPr>
              <w:t>2017</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noWrap/>
            <w:hideMark/>
          </w:tcPr>
          <w:p w:rsidR="00571656" w:rsidRPr="000718BE" w:rsidRDefault="000718BE" w:rsidP="000718BE">
            <w:pPr>
              <w:spacing w:after="0"/>
              <w:jc w:val="center"/>
              <w:rPr>
                <w:rFonts w:eastAsia="Times New Roman" w:cs="Calibri"/>
                <w:i/>
                <w:color w:val="000000"/>
                <w:sz w:val="22"/>
                <w:lang w:val="en-US"/>
              </w:rPr>
            </w:pPr>
            <w:r w:rsidRPr="000718BE">
              <w:rPr>
                <w:rFonts w:eastAsia="Times New Roman" w:cs="Calibri"/>
                <w:i/>
                <w:color w:val="000000"/>
                <w:sz w:val="22"/>
                <w:lang w:val="en-US"/>
              </w:rPr>
              <w:t>NA</w:t>
            </w:r>
          </w:p>
        </w:tc>
        <w:tc>
          <w:tcPr>
            <w:tcW w:w="1890" w:type="dxa"/>
            <w:tcBorders>
              <w:top w:val="none" w:sz="0" w:space="0" w:color="auto"/>
              <w:bottom w:val="none" w:sz="0" w:space="0" w:color="auto"/>
            </w:tcBorders>
            <w:noWrap/>
            <w:hideMark/>
          </w:tcPr>
          <w:p w:rsidR="00571656" w:rsidRPr="000718BE" w:rsidRDefault="00571656" w:rsidP="000718B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0718BE">
              <w:rPr>
                <w:rFonts w:eastAsia="Times New Roman" w:cs="Calibri"/>
                <w:color w:val="000000"/>
                <w:sz w:val="22"/>
                <w:lang w:val="en-US"/>
              </w:rPr>
              <w:t>0.804</w:t>
            </w:r>
          </w:p>
        </w:tc>
        <w:tc>
          <w:tcPr>
            <w:cnfStyle w:val="000010000000" w:firstRow="0" w:lastRow="0" w:firstColumn="0" w:lastColumn="0" w:oddVBand="1" w:evenVBand="0" w:oddHBand="0" w:evenHBand="0" w:firstRowFirstColumn="0" w:firstRowLastColumn="0" w:lastRowFirstColumn="0" w:lastRowLastColumn="0"/>
            <w:tcW w:w="1440" w:type="dxa"/>
            <w:tcBorders>
              <w:top w:val="none" w:sz="0" w:space="0" w:color="auto"/>
              <w:left w:val="none" w:sz="0" w:space="0" w:color="auto"/>
              <w:bottom w:val="none" w:sz="0" w:space="0" w:color="auto"/>
              <w:right w:val="none" w:sz="0" w:space="0" w:color="auto"/>
            </w:tcBorders>
            <w:noWrap/>
            <w:hideMark/>
          </w:tcPr>
          <w:p w:rsidR="00571656" w:rsidRPr="000718BE" w:rsidRDefault="00571656" w:rsidP="000718BE">
            <w:pPr>
              <w:spacing w:after="0"/>
              <w:jc w:val="center"/>
              <w:rPr>
                <w:rFonts w:eastAsia="Times New Roman" w:cs="Calibri"/>
                <w:color w:val="000000"/>
                <w:sz w:val="22"/>
                <w:lang w:val="en-US"/>
              </w:rPr>
            </w:pPr>
            <w:r w:rsidRPr="000718BE">
              <w:rPr>
                <w:rFonts w:eastAsia="Times New Roman" w:cs="Calibri"/>
                <w:color w:val="000000"/>
                <w:sz w:val="22"/>
                <w:lang w:val="en-US"/>
              </w:rPr>
              <w:t>0.000</w:t>
            </w:r>
          </w:p>
        </w:tc>
      </w:tr>
      <w:tr w:rsidR="000718BE" w:rsidRPr="000718BE" w:rsidTr="000718BE">
        <w:tc>
          <w:tcPr>
            <w:cnfStyle w:val="001000000000" w:firstRow="0" w:lastRow="0" w:firstColumn="1" w:lastColumn="0" w:oddVBand="0" w:evenVBand="0" w:oddHBand="0" w:evenHBand="0" w:firstRowFirstColumn="0" w:firstRowLastColumn="0" w:lastRowFirstColumn="0" w:lastRowLastColumn="0"/>
            <w:tcW w:w="781" w:type="dxa"/>
            <w:tcBorders>
              <w:right w:val="none" w:sz="0" w:space="0" w:color="auto"/>
            </w:tcBorders>
            <w:noWrap/>
            <w:hideMark/>
          </w:tcPr>
          <w:p w:rsidR="000718BE" w:rsidRPr="000718BE" w:rsidRDefault="000718BE">
            <w:pPr>
              <w:spacing w:after="0"/>
              <w:rPr>
                <w:rFonts w:eastAsia="Times New Roman" w:cs="Calibri"/>
                <w:color w:val="000000"/>
                <w:sz w:val="22"/>
                <w:lang w:val="en-US"/>
              </w:rPr>
            </w:pPr>
            <w:r w:rsidRPr="000718BE">
              <w:rPr>
                <w:rFonts w:eastAsia="Times New Roman" w:cs="Calibri"/>
                <w:color w:val="000000"/>
                <w:sz w:val="22"/>
                <w:lang w:val="en-US"/>
              </w:rPr>
              <w:t>2018</w:t>
            </w:r>
          </w:p>
        </w:tc>
        <w:tc>
          <w:tcPr>
            <w:cnfStyle w:val="000010000000" w:firstRow="0" w:lastRow="0" w:firstColumn="0" w:lastColumn="0" w:oddVBand="1" w:evenVBand="0" w:oddHBand="0" w:evenHBand="0" w:firstRowFirstColumn="0" w:firstRowLastColumn="0" w:lastRowFirstColumn="0" w:lastRowLastColumn="0"/>
            <w:tcW w:w="1554" w:type="dxa"/>
            <w:tcBorders>
              <w:left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i/>
                <w:color w:val="000000"/>
                <w:sz w:val="22"/>
                <w:lang w:val="en-US"/>
              </w:rPr>
              <w:t>NA</w:t>
            </w:r>
          </w:p>
        </w:tc>
        <w:tc>
          <w:tcPr>
            <w:tcW w:w="1890" w:type="dxa"/>
            <w:noWrap/>
            <w:hideMark/>
          </w:tcPr>
          <w:p w:rsidR="000718BE" w:rsidRPr="000718BE" w:rsidRDefault="000718BE" w:rsidP="000718B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val="en-US"/>
              </w:rPr>
            </w:pPr>
            <w:r w:rsidRPr="000718BE">
              <w:rPr>
                <w:rFonts w:eastAsia="Times New Roman" w:cs="Calibri"/>
                <w:color w:val="000000"/>
                <w:sz w:val="22"/>
                <w:lang w:val="en-US"/>
              </w:rPr>
              <w:t>0.836</w:t>
            </w:r>
          </w:p>
        </w:tc>
        <w:tc>
          <w:tcPr>
            <w:cnfStyle w:val="000010000000" w:firstRow="0" w:lastRow="0" w:firstColumn="0" w:lastColumn="0" w:oddVBand="1" w:evenVBand="0" w:oddHBand="0" w:evenHBand="0" w:firstRowFirstColumn="0" w:firstRowLastColumn="0" w:lastRowFirstColumn="0" w:lastRowLastColumn="0"/>
            <w:tcW w:w="1440" w:type="dxa"/>
            <w:tcBorders>
              <w:left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color w:val="000000"/>
                <w:sz w:val="22"/>
                <w:lang w:val="en-US"/>
              </w:rPr>
              <w:t>0.040</w:t>
            </w:r>
          </w:p>
        </w:tc>
      </w:tr>
      <w:tr w:rsidR="000718BE" w:rsidRPr="000718BE" w:rsidTr="0007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Borders>
              <w:top w:val="none" w:sz="0" w:space="0" w:color="auto"/>
              <w:bottom w:val="none" w:sz="0" w:space="0" w:color="auto"/>
              <w:right w:val="none" w:sz="0" w:space="0" w:color="auto"/>
            </w:tcBorders>
            <w:noWrap/>
            <w:hideMark/>
          </w:tcPr>
          <w:p w:rsidR="000718BE" w:rsidRPr="000718BE" w:rsidRDefault="000718BE">
            <w:pPr>
              <w:spacing w:after="0"/>
              <w:rPr>
                <w:rFonts w:eastAsia="Times New Roman" w:cs="Calibri"/>
                <w:color w:val="000000"/>
                <w:sz w:val="22"/>
                <w:lang w:val="en-US"/>
              </w:rPr>
            </w:pPr>
            <w:r w:rsidRPr="000718BE">
              <w:rPr>
                <w:rFonts w:eastAsia="Times New Roman" w:cs="Calibri"/>
                <w:color w:val="000000"/>
                <w:sz w:val="22"/>
                <w:lang w:val="en-US"/>
              </w:rPr>
              <w:t>2019</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i/>
                <w:color w:val="000000"/>
                <w:sz w:val="22"/>
                <w:lang w:val="en-US"/>
              </w:rPr>
              <w:t>NA</w:t>
            </w:r>
          </w:p>
        </w:tc>
        <w:tc>
          <w:tcPr>
            <w:tcW w:w="1890" w:type="dxa"/>
            <w:tcBorders>
              <w:top w:val="none" w:sz="0" w:space="0" w:color="auto"/>
              <w:bottom w:val="none" w:sz="0" w:space="0" w:color="auto"/>
            </w:tcBorders>
            <w:noWrap/>
            <w:hideMark/>
          </w:tcPr>
          <w:p w:rsidR="000718BE" w:rsidRPr="000718BE" w:rsidRDefault="000718BE" w:rsidP="000718B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0718BE">
              <w:rPr>
                <w:rFonts w:eastAsia="Times New Roman" w:cs="Calibri"/>
                <w:color w:val="000000"/>
                <w:sz w:val="22"/>
                <w:lang w:val="en-US"/>
              </w:rPr>
              <w:t>0.861</w:t>
            </w:r>
          </w:p>
        </w:tc>
        <w:tc>
          <w:tcPr>
            <w:cnfStyle w:val="000010000000" w:firstRow="0" w:lastRow="0" w:firstColumn="0" w:lastColumn="0" w:oddVBand="1" w:evenVBand="0" w:oddHBand="0" w:evenHBand="0" w:firstRowFirstColumn="0" w:firstRowLastColumn="0" w:lastRowFirstColumn="0" w:lastRowLastColumn="0"/>
            <w:tcW w:w="1440" w:type="dxa"/>
            <w:tcBorders>
              <w:top w:val="none" w:sz="0" w:space="0" w:color="auto"/>
              <w:left w:val="none" w:sz="0" w:space="0" w:color="auto"/>
              <w:bottom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color w:val="000000"/>
                <w:sz w:val="22"/>
                <w:lang w:val="en-US"/>
              </w:rPr>
              <w:t>0.030</w:t>
            </w:r>
          </w:p>
        </w:tc>
      </w:tr>
      <w:tr w:rsidR="000718BE" w:rsidRPr="000718BE" w:rsidTr="000718BE">
        <w:tc>
          <w:tcPr>
            <w:cnfStyle w:val="001000000000" w:firstRow="0" w:lastRow="0" w:firstColumn="1" w:lastColumn="0" w:oddVBand="0" w:evenVBand="0" w:oddHBand="0" w:evenHBand="0" w:firstRowFirstColumn="0" w:firstRowLastColumn="0" w:lastRowFirstColumn="0" w:lastRowLastColumn="0"/>
            <w:tcW w:w="781" w:type="dxa"/>
            <w:tcBorders>
              <w:right w:val="none" w:sz="0" w:space="0" w:color="auto"/>
            </w:tcBorders>
            <w:noWrap/>
            <w:hideMark/>
          </w:tcPr>
          <w:p w:rsidR="000718BE" w:rsidRPr="000718BE" w:rsidRDefault="000718BE">
            <w:pPr>
              <w:spacing w:after="0"/>
              <w:rPr>
                <w:rFonts w:eastAsia="Times New Roman" w:cs="Calibri"/>
                <w:color w:val="000000"/>
                <w:sz w:val="22"/>
                <w:lang w:val="en-US"/>
              </w:rPr>
            </w:pPr>
            <w:r w:rsidRPr="000718BE">
              <w:rPr>
                <w:rFonts w:eastAsia="Times New Roman" w:cs="Calibri"/>
                <w:color w:val="000000"/>
                <w:sz w:val="22"/>
                <w:lang w:val="en-US"/>
              </w:rPr>
              <w:t>2020</w:t>
            </w:r>
          </w:p>
        </w:tc>
        <w:tc>
          <w:tcPr>
            <w:cnfStyle w:val="000010000000" w:firstRow="0" w:lastRow="0" w:firstColumn="0" w:lastColumn="0" w:oddVBand="1" w:evenVBand="0" w:oddHBand="0" w:evenHBand="0" w:firstRowFirstColumn="0" w:firstRowLastColumn="0" w:lastRowFirstColumn="0" w:lastRowLastColumn="0"/>
            <w:tcW w:w="1554" w:type="dxa"/>
            <w:tcBorders>
              <w:left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i/>
                <w:color w:val="000000"/>
                <w:sz w:val="22"/>
                <w:lang w:val="en-US"/>
              </w:rPr>
              <w:t>NA</w:t>
            </w:r>
          </w:p>
        </w:tc>
        <w:tc>
          <w:tcPr>
            <w:tcW w:w="1890" w:type="dxa"/>
            <w:noWrap/>
            <w:hideMark/>
          </w:tcPr>
          <w:p w:rsidR="000718BE" w:rsidRPr="000718BE" w:rsidRDefault="000718BE" w:rsidP="000718B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val="en-US"/>
              </w:rPr>
            </w:pPr>
            <w:r w:rsidRPr="000718BE">
              <w:rPr>
                <w:rFonts w:eastAsia="Times New Roman" w:cs="Calibri"/>
                <w:color w:val="000000"/>
                <w:sz w:val="22"/>
                <w:lang w:val="en-US"/>
              </w:rPr>
              <w:t>0.878</w:t>
            </w:r>
          </w:p>
        </w:tc>
        <w:tc>
          <w:tcPr>
            <w:cnfStyle w:val="000010000000" w:firstRow="0" w:lastRow="0" w:firstColumn="0" w:lastColumn="0" w:oddVBand="1" w:evenVBand="0" w:oddHBand="0" w:evenHBand="0" w:firstRowFirstColumn="0" w:firstRowLastColumn="0" w:lastRowFirstColumn="0" w:lastRowLastColumn="0"/>
            <w:tcW w:w="1440" w:type="dxa"/>
            <w:tcBorders>
              <w:left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color w:val="000000"/>
                <w:sz w:val="22"/>
                <w:lang w:val="en-US"/>
              </w:rPr>
              <w:t>0.020</w:t>
            </w:r>
          </w:p>
        </w:tc>
      </w:tr>
      <w:tr w:rsidR="000718BE" w:rsidRPr="000718BE" w:rsidTr="0007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Borders>
              <w:top w:val="none" w:sz="0" w:space="0" w:color="auto"/>
              <w:bottom w:val="none" w:sz="0" w:space="0" w:color="auto"/>
              <w:right w:val="none" w:sz="0" w:space="0" w:color="auto"/>
            </w:tcBorders>
            <w:noWrap/>
            <w:hideMark/>
          </w:tcPr>
          <w:p w:rsidR="000718BE" w:rsidRPr="000718BE" w:rsidRDefault="000718BE">
            <w:pPr>
              <w:spacing w:after="0"/>
              <w:rPr>
                <w:rFonts w:eastAsia="Times New Roman" w:cs="Calibri"/>
                <w:color w:val="000000"/>
                <w:sz w:val="22"/>
                <w:lang w:val="en-US"/>
              </w:rPr>
            </w:pPr>
            <w:r w:rsidRPr="000718BE">
              <w:rPr>
                <w:rFonts w:eastAsia="Times New Roman" w:cs="Calibri"/>
                <w:color w:val="000000"/>
                <w:sz w:val="22"/>
                <w:lang w:val="en-US"/>
              </w:rPr>
              <w:t>2021</w:t>
            </w:r>
          </w:p>
        </w:tc>
        <w:tc>
          <w:tcPr>
            <w:cnfStyle w:val="000010000000" w:firstRow="0" w:lastRow="0" w:firstColumn="0" w:lastColumn="0" w:oddVBand="1"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i/>
                <w:color w:val="000000"/>
                <w:sz w:val="22"/>
                <w:lang w:val="en-US"/>
              </w:rPr>
              <w:t>NA</w:t>
            </w:r>
          </w:p>
        </w:tc>
        <w:tc>
          <w:tcPr>
            <w:tcW w:w="1890" w:type="dxa"/>
            <w:tcBorders>
              <w:top w:val="none" w:sz="0" w:space="0" w:color="auto"/>
              <w:bottom w:val="none" w:sz="0" w:space="0" w:color="auto"/>
            </w:tcBorders>
            <w:noWrap/>
            <w:hideMark/>
          </w:tcPr>
          <w:p w:rsidR="000718BE" w:rsidRPr="000718BE" w:rsidRDefault="000718BE" w:rsidP="000718B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0718BE">
              <w:rPr>
                <w:rFonts w:eastAsia="Times New Roman" w:cs="Calibri"/>
                <w:color w:val="000000"/>
                <w:sz w:val="22"/>
                <w:lang w:val="en-US"/>
              </w:rPr>
              <w:t>0.887</w:t>
            </w:r>
          </w:p>
        </w:tc>
        <w:tc>
          <w:tcPr>
            <w:cnfStyle w:val="000010000000" w:firstRow="0" w:lastRow="0" w:firstColumn="0" w:lastColumn="0" w:oddVBand="1" w:evenVBand="0" w:oddHBand="0" w:evenHBand="0" w:firstRowFirstColumn="0" w:firstRowLastColumn="0" w:lastRowFirstColumn="0" w:lastRowLastColumn="0"/>
            <w:tcW w:w="1440" w:type="dxa"/>
            <w:tcBorders>
              <w:top w:val="none" w:sz="0" w:space="0" w:color="auto"/>
              <w:left w:val="none" w:sz="0" w:space="0" w:color="auto"/>
              <w:bottom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color w:val="000000"/>
                <w:sz w:val="22"/>
                <w:lang w:val="en-US"/>
              </w:rPr>
              <w:t>0.010</w:t>
            </w:r>
          </w:p>
        </w:tc>
      </w:tr>
      <w:tr w:rsidR="000718BE" w:rsidRPr="000718BE" w:rsidTr="000718BE">
        <w:tc>
          <w:tcPr>
            <w:cnfStyle w:val="001000000000" w:firstRow="0" w:lastRow="0" w:firstColumn="1" w:lastColumn="0" w:oddVBand="0" w:evenVBand="0" w:oddHBand="0" w:evenHBand="0" w:firstRowFirstColumn="0" w:firstRowLastColumn="0" w:lastRowFirstColumn="0" w:lastRowLastColumn="0"/>
            <w:tcW w:w="781" w:type="dxa"/>
            <w:tcBorders>
              <w:right w:val="none" w:sz="0" w:space="0" w:color="auto"/>
            </w:tcBorders>
            <w:noWrap/>
            <w:hideMark/>
          </w:tcPr>
          <w:p w:rsidR="000718BE" w:rsidRPr="000718BE" w:rsidRDefault="000718BE">
            <w:pPr>
              <w:spacing w:after="0"/>
              <w:rPr>
                <w:rFonts w:eastAsia="Times New Roman" w:cs="Calibri"/>
                <w:color w:val="000000"/>
                <w:sz w:val="22"/>
                <w:lang w:val="en-US"/>
              </w:rPr>
            </w:pPr>
            <w:r w:rsidRPr="000718BE">
              <w:rPr>
                <w:rFonts w:eastAsia="Times New Roman" w:cs="Calibri"/>
                <w:color w:val="000000"/>
                <w:sz w:val="22"/>
                <w:lang w:val="en-US"/>
              </w:rPr>
              <w:t>2022</w:t>
            </w:r>
          </w:p>
        </w:tc>
        <w:tc>
          <w:tcPr>
            <w:cnfStyle w:val="000010000000" w:firstRow="0" w:lastRow="0" w:firstColumn="0" w:lastColumn="0" w:oddVBand="1" w:evenVBand="0" w:oddHBand="0" w:evenHBand="0" w:firstRowFirstColumn="0" w:firstRowLastColumn="0" w:lastRowFirstColumn="0" w:lastRowLastColumn="0"/>
            <w:tcW w:w="1554" w:type="dxa"/>
            <w:tcBorders>
              <w:left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i/>
                <w:color w:val="000000"/>
                <w:sz w:val="22"/>
                <w:lang w:val="en-US"/>
              </w:rPr>
              <w:t>NA</w:t>
            </w:r>
          </w:p>
        </w:tc>
        <w:tc>
          <w:tcPr>
            <w:tcW w:w="1890" w:type="dxa"/>
            <w:noWrap/>
            <w:hideMark/>
          </w:tcPr>
          <w:p w:rsidR="000718BE" w:rsidRPr="000718BE" w:rsidRDefault="000718BE" w:rsidP="000718B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val="en-US"/>
              </w:rPr>
            </w:pPr>
            <w:r w:rsidRPr="000718BE">
              <w:rPr>
                <w:rFonts w:eastAsia="Times New Roman" w:cs="Calibri"/>
                <w:color w:val="000000"/>
                <w:sz w:val="22"/>
                <w:lang w:val="en-US"/>
              </w:rPr>
              <w:t>0.896</w:t>
            </w:r>
          </w:p>
        </w:tc>
        <w:tc>
          <w:tcPr>
            <w:cnfStyle w:val="000010000000" w:firstRow="0" w:lastRow="0" w:firstColumn="0" w:lastColumn="0" w:oddVBand="1" w:evenVBand="0" w:oddHBand="0" w:evenHBand="0" w:firstRowFirstColumn="0" w:firstRowLastColumn="0" w:lastRowFirstColumn="0" w:lastRowLastColumn="0"/>
            <w:tcW w:w="1440" w:type="dxa"/>
            <w:tcBorders>
              <w:left w:val="none" w:sz="0" w:space="0" w:color="auto"/>
              <w:right w:val="none" w:sz="0" w:space="0" w:color="auto"/>
            </w:tcBorders>
            <w:noWrap/>
            <w:hideMark/>
          </w:tcPr>
          <w:p w:rsidR="000718BE" w:rsidRPr="000718BE" w:rsidRDefault="000718BE" w:rsidP="000718BE">
            <w:pPr>
              <w:spacing w:after="0"/>
              <w:jc w:val="center"/>
              <w:rPr>
                <w:rFonts w:eastAsia="Times New Roman" w:cs="Calibri"/>
                <w:color w:val="000000"/>
                <w:sz w:val="22"/>
                <w:lang w:val="en-US"/>
              </w:rPr>
            </w:pPr>
            <w:r w:rsidRPr="000718BE">
              <w:rPr>
                <w:rFonts w:eastAsia="Times New Roman" w:cs="Calibri"/>
                <w:color w:val="000000"/>
                <w:sz w:val="22"/>
                <w:lang w:val="en-US"/>
              </w:rPr>
              <w:t>0.010</w:t>
            </w:r>
          </w:p>
        </w:tc>
      </w:tr>
      <w:tr w:rsidR="00571656" w:rsidRPr="00222251" w:rsidTr="0007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gridSpan w:val="3"/>
            <w:tcBorders>
              <w:top w:val="none" w:sz="0" w:space="0" w:color="auto"/>
              <w:bottom w:val="none" w:sz="0" w:space="0" w:color="auto"/>
              <w:right w:val="none" w:sz="0" w:space="0" w:color="auto"/>
            </w:tcBorders>
            <w:noWrap/>
            <w:hideMark/>
          </w:tcPr>
          <w:p w:rsidR="00571656" w:rsidRPr="00917B55" w:rsidRDefault="00571656" w:rsidP="000718BE">
            <w:pPr>
              <w:spacing w:after="0"/>
              <w:jc w:val="left"/>
              <w:rPr>
                <w:rFonts w:ascii="Calibri" w:eastAsia="Times New Roman" w:hAnsi="Calibri" w:cs="Calibri"/>
                <w:bCs w:val="0"/>
                <w:color w:val="000000"/>
                <w:sz w:val="22"/>
                <w:lang w:val="en-US"/>
              </w:rPr>
            </w:pPr>
            <w:r w:rsidRPr="00917B55">
              <w:rPr>
                <w:rFonts w:ascii="Calibri" w:eastAsia="Times New Roman" w:hAnsi="Calibri" w:cs="Calibri"/>
                <w:bCs w:val="0"/>
                <w:color w:val="000000"/>
                <w:sz w:val="22"/>
                <w:lang w:val="en-US"/>
              </w:rPr>
              <w:t xml:space="preserve">Average pa to </w:t>
            </w:r>
            <w:r>
              <w:rPr>
                <w:rFonts w:ascii="Calibri" w:eastAsia="Times New Roman" w:hAnsi="Calibri" w:cs="Calibri"/>
                <w:bCs w:val="0"/>
                <w:color w:val="000000"/>
                <w:sz w:val="22"/>
                <w:lang w:val="en-US"/>
              </w:rPr>
              <w:t>June 30, 2016</w:t>
            </w:r>
          </w:p>
        </w:tc>
        <w:tc>
          <w:tcPr>
            <w:cnfStyle w:val="000010000000" w:firstRow="0" w:lastRow="0" w:firstColumn="0" w:lastColumn="0" w:oddVBand="1" w:evenVBand="0" w:oddHBand="0" w:evenHBand="0" w:firstRowFirstColumn="0" w:firstRowLastColumn="0" w:lastRowFirstColumn="0" w:lastRowLastColumn="0"/>
            <w:tcW w:w="1440" w:type="dxa"/>
            <w:tcBorders>
              <w:top w:val="none" w:sz="0" w:space="0" w:color="auto"/>
              <w:left w:val="none" w:sz="0" w:space="0" w:color="auto"/>
              <w:bottom w:val="none" w:sz="0" w:space="0" w:color="auto"/>
              <w:right w:val="none" w:sz="0" w:space="0" w:color="auto"/>
            </w:tcBorders>
            <w:noWrap/>
            <w:hideMark/>
          </w:tcPr>
          <w:p w:rsidR="00571656" w:rsidRPr="00222251" w:rsidRDefault="00571656" w:rsidP="000718BE">
            <w:pPr>
              <w:spacing w:after="0"/>
              <w:jc w:val="center"/>
              <w:rPr>
                <w:rFonts w:ascii="Calibri" w:eastAsia="Times New Roman" w:hAnsi="Calibri" w:cs="Calibri"/>
                <w:b/>
                <w:bCs/>
                <w:color w:val="000000"/>
                <w:sz w:val="22"/>
                <w:lang w:val="en-US"/>
              </w:rPr>
            </w:pPr>
            <w:r w:rsidRPr="00222251">
              <w:rPr>
                <w:rFonts w:ascii="Calibri" w:eastAsia="Times New Roman" w:hAnsi="Calibri" w:cs="Calibri"/>
                <w:b/>
                <w:bCs/>
                <w:color w:val="000000"/>
                <w:sz w:val="22"/>
                <w:lang w:val="en-US"/>
              </w:rPr>
              <w:t>0.055</w:t>
            </w:r>
          </w:p>
        </w:tc>
      </w:tr>
    </w:tbl>
    <w:p w:rsidR="00CC0633" w:rsidRDefault="00C90A16" w:rsidP="00CC0633">
      <w:pPr>
        <w:pStyle w:val="Caption"/>
        <w:keepNext/>
        <w:jc w:val="both"/>
      </w:pPr>
      <w:r>
        <w:t>Figure 11.</w:t>
      </w:r>
      <w:r w:rsidR="009A3F5A">
        <w:fldChar w:fldCharType="begin"/>
      </w:r>
      <w:r w:rsidR="009A3F5A">
        <w:instrText xml:space="preserve"> SEQ Figure_11. \* ARABIC </w:instrText>
      </w:r>
      <w:r w:rsidR="009A3F5A">
        <w:fldChar w:fldCharType="separate"/>
      </w:r>
      <w:r w:rsidR="00856E49">
        <w:rPr>
          <w:noProof/>
        </w:rPr>
        <w:t>1</w:t>
      </w:r>
      <w:r w:rsidR="009A3F5A">
        <w:rPr>
          <w:noProof/>
        </w:rPr>
        <w:fldChar w:fldCharType="end"/>
      </w:r>
      <w:r>
        <w:t xml:space="preserve">: </w:t>
      </w:r>
      <w:r w:rsidRPr="00C90A16">
        <w:t>Growth in the average ACFI subsidy as a proportion of the maximum rate</w:t>
      </w:r>
    </w:p>
    <w:p w:rsidR="00E14487" w:rsidRPr="00DE7198" w:rsidRDefault="00E14487" w:rsidP="00DE7198">
      <w:r>
        <w:rPr>
          <w:noProof/>
          <w:lang w:eastAsia="en-AU"/>
        </w:rPr>
        <w:drawing>
          <wp:inline distT="0" distB="0" distL="0" distR="0" wp14:anchorId="4A477ED2" wp14:editId="33D917D4">
            <wp:extent cx="5761703" cy="2556387"/>
            <wp:effectExtent l="0" t="0" r="0" b="0"/>
            <wp:docPr id="260" name="Picture 260" descr="Figure 11.1 is a line graph illustrating the actual and projected subsidy growth rates for the aged care funding instrument (ACFI) from 2009 to 2020, as noted in Table 11.11 above this image. Note the projected rate (from 2016 to 2020) is indicated by a brok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000" cy="2555631"/>
                    </a:xfrm>
                    <a:prstGeom prst="rect">
                      <a:avLst/>
                    </a:prstGeom>
                    <a:noFill/>
                  </pic:spPr>
                </pic:pic>
              </a:graphicData>
            </a:graphic>
          </wp:inline>
        </w:drawing>
      </w:r>
    </w:p>
    <w:p w:rsidR="00571656" w:rsidRPr="00B4225B" w:rsidRDefault="00571656" w:rsidP="00571656">
      <w:pPr>
        <w:spacing w:after="160" w:line="259" w:lineRule="auto"/>
        <w:rPr>
          <w:rFonts w:ascii="Calibri" w:hAnsi="Calibri" w:cs="Times New Roman"/>
          <w:iCs/>
          <w:szCs w:val="18"/>
          <w:lang w:eastAsia="en-AU"/>
        </w:rPr>
      </w:pPr>
      <w:r w:rsidRPr="00B4225B">
        <w:rPr>
          <w:rFonts w:ascii="Calibri" w:hAnsi="Calibri" w:cs="Times New Roman"/>
          <w:iCs/>
          <w:szCs w:val="18"/>
          <w:lang w:eastAsia="en-AU"/>
        </w:rPr>
        <w:lastRenderedPageBreak/>
        <w:t xml:space="preserve">Assumptions common to present system and all </w:t>
      </w:r>
      <w:r>
        <w:rPr>
          <w:rFonts w:ascii="Calibri" w:hAnsi="Calibri" w:cs="Times New Roman"/>
          <w:iCs/>
          <w:szCs w:val="18"/>
          <w:lang w:eastAsia="en-AU"/>
        </w:rPr>
        <w:t>three O</w:t>
      </w:r>
      <w:r w:rsidRPr="00B4225B">
        <w:rPr>
          <w:rFonts w:ascii="Calibri" w:hAnsi="Calibri" w:cs="Times New Roman"/>
          <w:iCs/>
          <w:szCs w:val="18"/>
          <w:lang w:eastAsia="en-AU"/>
        </w:rPr>
        <w:t xml:space="preserve">ptions are described in </w:t>
      </w:r>
      <w:hyperlink w:anchor="Tab1112" w:history="1">
        <w:r w:rsidRPr="00AE272B">
          <w:rPr>
            <w:rStyle w:val="Hyperlink"/>
            <w:rFonts w:ascii="Calibri" w:hAnsi="Calibri" w:cs="Times New Roman"/>
            <w:iCs/>
            <w:szCs w:val="18"/>
            <w:lang w:eastAsia="en-AU"/>
          </w:rPr>
          <w:t>Table 11.12</w:t>
        </w:r>
      </w:hyperlink>
      <w:r w:rsidRPr="00B4225B">
        <w:rPr>
          <w:rFonts w:ascii="Calibri" w:hAnsi="Calibri" w:cs="Times New Roman"/>
          <w:iCs/>
          <w:szCs w:val="18"/>
          <w:lang w:eastAsia="en-AU"/>
        </w:rPr>
        <w:t>. Subsidy indexation is assumed to be in line with CPI, but with only half indexation for CHC at July 1, 2018.</w:t>
      </w:r>
    </w:p>
    <w:p w:rsidR="00CC0633" w:rsidRDefault="00C90A16" w:rsidP="00CC0633">
      <w:pPr>
        <w:pStyle w:val="Caption"/>
        <w:keepNext/>
      </w:pPr>
      <w:bookmarkStart w:id="785" w:name="_Toc495416872"/>
      <w:bookmarkStart w:id="786" w:name="Tab1112"/>
      <w:r>
        <w:t>Table 11.</w:t>
      </w:r>
      <w:r w:rsidR="009A3F5A">
        <w:fldChar w:fldCharType="begin"/>
      </w:r>
      <w:r w:rsidR="009A3F5A">
        <w:instrText xml:space="preserve"> SEQ Table_11. \* ARABIC </w:instrText>
      </w:r>
      <w:r w:rsidR="009A3F5A">
        <w:fldChar w:fldCharType="separate"/>
      </w:r>
      <w:r w:rsidR="00856E49">
        <w:rPr>
          <w:noProof/>
        </w:rPr>
        <w:t>12</w:t>
      </w:r>
      <w:r w:rsidR="009A3F5A">
        <w:rPr>
          <w:noProof/>
        </w:rPr>
        <w:fldChar w:fldCharType="end"/>
      </w:r>
      <w:r>
        <w:t xml:space="preserve">: </w:t>
      </w:r>
      <w:r w:rsidRPr="00C90A16">
        <w:t>Assumptions Applicable to Options 1, 2 &amp; 3</w:t>
      </w:r>
      <w:bookmarkEnd w:id="785"/>
    </w:p>
    <w:tbl>
      <w:tblPr>
        <w:tblStyle w:val="ListTable3-Accent515"/>
        <w:tblW w:w="7938"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11.12 is a list of values applicable to all three assessment options, as summarised in the text prior to this table. This table is to be read left to right, top to bottom."/>
      </w:tblPr>
      <w:tblGrid>
        <w:gridCol w:w="5103"/>
        <w:gridCol w:w="1276"/>
        <w:gridCol w:w="1559"/>
      </w:tblGrid>
      <w:tr w:rsidR="0048747C" w:rsidRPr="0087487B" w:rsidTr="00DE18C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5103" w:type="dxa"/>
            <w:noWrap/>
            <w:hideMark/>
          </w:tcPr>
          <w:bookmarkEnd w:id="786"/>
          <w:p w:rsidR="0048747C" w:rsidRPr="0087487B" w:rsidRDefault="0048747C" w:rsidP="00DD6610">
            <w:pPr>
              <w:spacing w:after="0"/>
              <w:rPr>
                <w:rFonts w:ascii="Calibri" w:eastAsia="Times New Roman" w:hAnsi="Calibri" w:cs="Calibri"/>
                <w:sz w:val="22"/>
                <w:lang w:val="en-US"/>
              </w:rPr>
            </w:pPr>
            <w:r w:rsidRPr="0087487B">
              <w:rPr>
                <w:rFonts w:ascii="Calibri" w:eastAsia="Times New Roman" w:hAnsi="Calibri" w:cs="Calibri"/>
                <w:sz w:val="22"/>
                <w:lang w:val="en-US"/>
              </w:rPr>
              <w:t>Assumption</w:t>
            </w:r>
          </w:p>
        </w:tc>
        <w:tc>
          <w:tcPr>
            <w:cnfStyle w:val="000010000000" w:firstRow="0" w:lastRow="0" w:firstColumn="0" w:lastColumn="0" w:oddVBand="1" w:evenVBand="0" w:oddHBand="0" w:evenHBand="0" w:firstRowFirstColumn="0" w:firstRowLastColumn="0" w:lastRowFirstColumn="0" w:lastRowLastColumn="0"/>
            <w:tcW w:w="1276" w:type="dxa"/>
          </w:tcPr>
          <w:p w:rsidR="0048747C" w:rsidRPr="0087487B" w:rsidRDefault="0048747C" w:rsidP="0048747C">
            <w:pPr>
              <w:spacing w:after="0"/>
              <w:jc w:val="center"/>
              <w:rPr>
                <w:rFonts w:ascii="Calibri" w:eastAsia="Times New Roman" w:hAnsi="Calibri" w:cs="Calibri"/>
                <w:sz w:val="22"/>
                <w:lang w:val="en-US"/>
              </w:rPr>
            </w:pPr>
            <w:r w:rsidRPr="0087487B">
              <w:rPr>
                <w:rFonts w:ascii="Calibri" w:eastAsia="Times New Roman" w:hAnsi="Calibri" w:cs="Calibri"/>
                <w:sz w:val="22"/>
                <w:lang w:val="en-US"/>
              </w:rPr>
              <w:t>Value</w:t>
            </w:r>
          </w:p>
        </w:tc>
        <w:tc>
          <w:tcPr>
            <w:tcW w:w="1559" w:type="dxa"/>
            <w:noWrap/>
            <w:hideMark/>
          </w:tcPr>
          <w:p w:rsidR="0048747C" w:rsidRPr="0087487B" w:rsidRDefault="0048747C" w:rsidP="0048747C">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87487B">
              <w:rPr>
                <w:rFonts w:ascii="Calibri" w:eastAsia="Times New Roman" w:hAnsi="Calibri" w:cs="Calibri"/>
                <w:sz w:val="22"/>
                <w:lang w:val="en-US"/>
              </w:rPr>
              <w:t>Source</w:t>
            </w:r>
          </w:p>
        </w:tc>
      </w:tr>
      <w:tr w:rsidR="0048747C" w:rsidRPr="0087487B" w:rsidTr="00DE18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3" w:type="dxa"/>
            <w:noWrap/>
            <w:hideMark/>
          </w:tcPr>
          <w:p w:rsidR="0048747C" w:rsidRPr="00803C53" w:rsidRDefault="0048747C" w:rsidP="0048747C">
            <w:pPr>
              <w:spacing w:after="0"/>
              <w:rPr>
                <w:rFonts w:ascii="Calibri" w:eastAsia="Times New Roman" w:hAnsi="Calibri" w:cs="Calibri"/>
                <w:b w:val="0"/>
                <w:sz w:val="22"/>
                <w:lang w:val="en-US"/>
              </w:rPr>
            </w:pPr>
            <w:r w:rsidRPr="00803C53">
              <w:rPr>
                <w:rFonts w:ascii="Calibri" w:eastAsia="Times New Roman" w:hAnsi="Calibri" w:cs="Calibri"/>
                <w:b w:val="0"/>
                <w:sz w:val="22"/>
                <w:lang w:val="en-US"/>
              </w:rPr>
              <w:t xml:space="preserve">Residents </w:t>
            </w:r>
            <w:r w:rsidR="006645CD">
              <w:rPr>
                <w:rFonts w:ascii="Calibri" w:eastAsia="Times New Roman" w:hAnsi="Calibri" w:cs="Calibri"/>
                <w:b w:val="0"/>
                <w:sz w:val="22"/>
                <w:lang w:val="en-US"/>
              </w:rPr>
              <w:t xml:space="preserve">as of </w:t>
            </w:r>
            <w:r>
              <w:rPr>
                <w:rFonts w:ascii="Calibri" w:eastAsia="Times New Roman" w:hAnsi="Calibri" w:cs="Calibri"/>
                <w:b w:val="0"/>
                <w:sz w:val="22"/>
                <w:lang w:val="en-US"/>
              </w:rPr>
              <w:t xml:space="preserve">30 </w:t>
            </w:r>
            <w:r w:rsidRPr="00803C53">
              <w:rPr>
                <w:rFonts w:ascii="Calibri" w:eastAsia="Times New Roman" w:hAnsi="Calibri" w:cs="Calibri"/>
                <w:b w:val="0"/>
                <w:sz w:val="22"/>
                <w:lang w:val="en-US"/>
              </w:rPr>
              <w:t>June 2016</w:t>
            </w:r>
          </w:p>
        </w:tc>
        <w:tc>
          <w:tcPr>
            <w:cnfStyle w:val="000010000000" w:firstRow="0" w:lastRow="0" w:firstColumn="0" w:lastColumn="0" w:oddVBand="1" w:evenVBand="0" w:oddHBand="0" w:evenHBand="0" w:firstRowFirstColumn="0" w:firstRowLastColumn="0" w:lastRowFirstColumn="0" w:lastRowLastColumn="0"/>
            <w:tcW w:w="1276" w:type="dxa"/>
          </w:tcPr>
          <w:p w:rsidR="0048747C" w:rsidRPr="0087487B" w:rsidRDefault="0048747C" w:rsidP="0048747C">
            <w:pPr>
              <w:spacing w:after="0"/>
              <w:jc w:val="center"/>
              <w:rPr>
                <w:rFonts w:ascii="Calibri" w:eastAsia="Times New Roman" w:hAnsi="Calibri" w:cs="Calibri"/>
                <w:sz w:val="22"/>
                <w:lang w:val="en-US"/>
              </w:rPr>
            </w:pPr>
            <w:bookmarkStart w:id="787" w:name="Summary!D167"/>
            <w:r w:rsidRPr="0087487B">
              <w:rPr>
                <w:rFonts w:ascii="Calibri" w:eastAsia="Times New Roman" w:hAnsi="Calibri" w:cs="Calibri"/>
                <w:sz w:val="22"/>
                <w:lang w:val="en-US"/>
              </w:rPr>
              <w:t>175</w:t>
            </w:r>
            <w:r>
              <w:rPr>
                <w:rFonts w:ascii="Calibri" w:eastAsia="Times New Roman" w:hAnsi="Calibri" w:cs="Calibri"/>
                <w:sz w:val="22"/>
                <w:lang w:val="en-US"/>
              </w:rPr>
              <w:t>,</w:t>
            </w:r>
            <w:r w:rsidRPr="0087487B">
              <w:rPr>
                <w:rFonts w:ascii="Calibri" w:eastAsia="Times New Roman" w:hAnsi="Calibri" w:cs="Calibri"/>
                <w:sz w:val="22"/>
                <w:lang w:val="en-US"/>
              </w:rPr>
              <w:t>989</w:t>
            </w:r>
            <w:bookmarkEnd w:id="787"/>
          </w:p>
        </w:tc>
        <w:tc>
          <w:tcPr>
            <w:tcW w:w="1559" w:type="dxa"/>
            <w:noWrap/>
            <w:hideMark/>
          </w:tcPr>
          <w:p w:rsidR="0048747C" w:rsidRPr="0087487B" w:rsidRDefault="0048747C" w:rsidP="0048747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val="en-US"/>
              </w:rPr>
            </w:pPr>
            <w:r w:rsidRPr="0087487B">
              <w:rPr>
                <w:rFonts w:ascii="Calibri" w:eastAsia="Times New Roman" w:hAnsi="Calibri" w:cs="Calibri"/>
                <w:sz w:val="22"/>
                <w:lang w:val="en-US"/>
              </w:rPr>
              <w:t>DoH</w:t>
            </w:r>
          </w:p>
        </w:tc>
      </w:tr>
      <w:tr w:rsidR="0048747C" w:rsidRPr="0087487B" w:rsidTr="00DE18C4">
        <w:trPr>
          <w:trHeight w:val="300"/>
        </w:trPr>
        <w:tc>
          <w:tcPr>
            <w:cnfStyle w:val="001000000000" w:firstRow="0" w:lastRow="0" w:firstColumn="1" w:lastColumn="0" w:oddVBand="0" w:evenVBand="0" w:oddHBand="0" w:evenHBand="0" w:firstRowFirstColumn="0" w:firstRowLastColumn="0" w:lastRowFirstColumn="0" w:lastRowLastColumn="0"/>
            <w:tcW w:w="5103" w:type="dxa"/>
            <w:noWrap/>
            <w:hideMark/>
          </w:tcPr>
          <w:p w:rsidR="0048747C" w:rsidRPr="00803C53" w:rsidRDefault="0048747C" w:rsidP="00DE18C4">
            <w:pPr>
              <w:spacing w:after="0"/>
              <w:rPr>
                <w:rFonts w:ascii="Calibri" w:eastAsia="Times New Roman" w:hAnsi="Calibri" w:cs="Calibri"/>
                <w:b w:val="0"/>
                <w:color w:val="000000"/>
                <w:sz w:val="22"/>
                <w:lang w:val="en-US"/>
              </w:rPr>
            </w:pPr>
            <w:r w:rsidRPr="00803C53">
              <w:rPr>
                <w:rFonts w:ascii="Calibri" w:eastAsia="Times New Roman" w:hAnsi="Calibri" w:cs="Calibri"/>
                <w:b w:val="0"/>
                <w:color w:val="000000"/>
                <w:sz w:val="22"/>
                <w:lang w:val="en-US"/>
              </w:rPr>
              <w:t>Resident growth pa</w:t>
            </w:r>
          </w:p>
        </w:tc>
        <w:tc>
          <w:tcPr>
            <w:cnfStyle w:val="000010000000" w:firstRow="0" w:lastRow="0" w:firstColumn="0" w:lastColumn="0" w:oddVBand="1" w:evenVBand="0" w:oddHBand="0" w:evenHBand="0" w:firstRowFirstColumn="0" w:firstRowLastColumn="0" w:lastRowFirstColumn="0" w:lastRowLastColumn="0"/>
            <w:tcW w:w="1276" w:type="dxa"/>
          </w:tcPr>
          <w:p w:rsidR="0048747C" w:rsidRPr="0087487B" w:rsidRDefault="0048747C" w:rsidP="0048747C">
            <w:pPr>
              <w:spacing w:after="0"/>
              <w:jc w:val="center"/>
              <w:rPr>
                <w:rFonts w:ascii="Calibri" w:eastAsia="Times New Roman" w:hAnsi="Calibri" w:cs="Calibri"/>
                <w:color w:val="000000"/>
                <w:sz w:val="22"/>
                <w:lang w:val="en-US"/>
              </w:rPr>
            </w:pPr>
            <w:bookmarkStart w:id="788" w:name="Summary!D168"/>
            <w:r w:rsidRPr="0087487B">
              <w:rPr>
                <w:rFonts w:ascii="Calibri" w:eastAsia="Times New Roman" w:hAnsi="Calibri" w:cs="Calibri"/>
                <w:color w:val="000000"/>
                <w:sz w:val="22"/>
                <w:lang w:val="en-US"/>
              </w:rPr>
              <w:t>1.5%</w:t>
            </w:r>
            <w:bookmarkEnd w:id="788"/>
          </w:p>
        </w:tc>
        <w:tc>
          <w:tcPr>
            <w:tcW w:w="1559" w:type="dxa"/>
            <w:noWrap/>
            <w:hideMark/>
          </w:tcPr>
          <w:p w:rsidR="0048747C" w:rsidRPr="0087487B" w:rsidRDefault="0048747C" w:rsidP="006645C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87487B">
              <w:rPr>
                <w:rFonts w:ascii="Calibri" w:eastAsia="Times New Roman" w:hAnsi="Calibri" w:cs="Calibri"/>
                <w:color w:val="000000"/>
                <w:sz w:val="22"/>
                <w:lang w:val="en-US"/>
              </w:rPr>
              <w:t>7 years to</w:t>
            </w:r>
            <w:r w:rsidR="006645CD">
              <w:rPr>
                <w:rFonts w:ascii="Calibri" w:eastAsia="Times New Roman" w:hAnsi="Calibri" w:cs="Calibri"/>
                <w:color w:val="000000"/>
                <w:sz w:val="22"/>
                <w:lang w:val="en-US"/>
              </w:rPr>
              <w:br/>
            </w:r>
            <w:r w:rsidRPr="0087487B">
              <w:rPr>
                <w:rFonts w:ascii="Calibri" w:eastAsia="Times New Roman" w:hAnsi="Calibri" w:cs="Calibri"/>
                <w:color w:val="000000"/>
                <w:sz w:val="22"/>
                <w:lang w:val="en-US"/>
              </w:rPr>
              <w:t>30</w:t>
            </w:r>
            <w:r w:rsidR="006645CD">
              <w:rPr>
                <w:rFonts w:ascii="Calibri" w:eastAsia="Times New Roman" w:hAnsi="Calibri" w:cs="Calibri"/>
                <w:color w:val="000000"/>
                <w:sz w:val="22"/>
                <w:lang w:val="en-US"/>
              </w:rPr>
              <w:t xml:space="preserve"> June 20</w:t>
            </w:r>
            <w:r w:rsidRPr="0087487B">
              <w:rPr>
                <w:rFonts w:ascii="Calibri" w:eastAsia="Times New Roman" w:hAnsi="Calibri" w:cs="Calibri"/>
                <w:color w:val="000000"/>
                <w:sz w:val="22"/>
                <w:lang w:val="en-US"/>
              </w:rPr>
              <w:t>16</w:t>
            </w:r>
          </w:p>
        </w:tc>
      </w:tr>
      <w:tr w:rsidR="0048747C" w:rsidRPr="0087487B" w:rsidTr="00DE18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3" w:type="dxa"/>
            <w:noWrap/>
            <w:hideMark/>
          </w:tcPr>
          <w:p w:rsidR="0048747C" w:rsidRPr="00803C53" w:rsidRDefault="0048747C" w:rsidP="00DD6610">
            <w:pPr>
              <w:spacing w:after="0"/>
              <w:rPr>
                <w:rFonts w:ascii="Calibri" w:eastAsia="Times New Roman" w:hAnsi="Calibri" w:cs="Calibri"/>
                <w:b w:val="0"/>
                <w:color w:val="000000"/>
                <w:sz w:val="22"/>
                <w:lang w:val="en-US"/>
              </w:rPr>
            </w:pPr>
            <w:r w:rsidRPr="00803C53">
              <w:rPr>
                <w:rFonts w:ascii="Calibri" w:eastAsia="Times New Roman" w:hAnsi="Calibri" w:cs="Calibri"/>
                <w:b w:val="0"/>
                <w:color w:val="000000"/>
                <w:sz w:val="22"/>
                <w:lang w:val="en-US"/>
              </w:rPr>
              <w:t>Entries to residential care in 2016-17</w:t>
            </w:r>
          </w:p>
        </w:tc>
        <w:tc>
          <w:tcPr>
            <w:cnfStyle w:val="000010000000" w:firstRow="0" w:lastRow="0" w:firstColumn="0" w:lastColumn="0" w:oddVBand="1" w:evenVBand="0" w:oddHBand="0" w:evenHBand="0" w:firstRowFirstColumn="0" w:firstRowLastColumn="0" w:lastRowFirstColumn="0" w:lastRowLastColumn="0"/>
            <w:tcW w:w="1276" w:type="dxa"/>
          </w:tcPr>
          <w:p w:rsidR="0048747C" w:rsidRPr="0087487B" w:rsidRDefault="0048747C" w:rsidP="0048747C">
            <w:pPr>
              <w:spacing w:after="0"/>
              <w:jc w:val="center"/>
              <w:rPr>
                <w:rFonts w:ascii="Calibri" w:eastAsia="Times New Roman" w:hAnsi="Calibri" w:cs="Calibri"/>
                <w:color w:val="000000"/>
                <w:sz w:val="22"/>
                <w:lang w:val="en-US"/>
              </w:rPr>
            </w:pPr>
            <w:bookmarkStart w:id="789" w:name="Summary!D169"/>
            <w:r w:rsidRPr="0087487B">
              <w:rPr>
                <w:rFonts w:ascii="Calibri" w:eastAsia="Times New Roman" w:hAnsi="Calibri" w:cs="Calibri"/>
                <w:color w:val="000000"/>
                <w:sz w:val="22"/>
                <w:lang w:val="en-US"/>
              </w:rPr>
              <w:t>70</w:t>
            </w:r>
            <w:r>
              <w:rPr>
                <w:rFonts w:ascii="Calibri" w:eastAsia="Times New Roman" w:hAnsi="Calibri" w:cs="Calibri"/>
                <w:color w:val="000000"/>
                <w:sz w:val="22"/>
                <w:lang w:val="en-US"/>
              </w:rPr>
              <w:t>,</w:t>
            </w:r>
            <w:r w:rsidRPr="0087487B">
              <w:rPr>
                <w:rFonts w:ascii="Calibri" w:eastAsia="Times New Roman" w:hAnsi="Calibri" w:cs="Calibri"/>
                <w:color w:val="000000"/>
                <w:sz w:val="22"/>
                <w:lang w:val="en-US"/>
              </w:rPr>
              <w:t>000</w:t>
            </w:r>
            <w:bookmarkEnd w:id="789"/>
          </w:p>
        </w:tc>
        <w:tc>
          <w:tcPr>
            <w:tcW w:w="1559" w:type="dxa"/>
            <w:noWrap/>
            <w:hideMark/>
          </w:tcPr>
          <w:p w:rsidR="0048747C" w:rsidRPr="00A44B71" w:rsidRDefault="00A44B71" w:rsidP="0048747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0"/>
                <w:lang w:val="en-US"/>
              </w:rPr>
            </w:pPr>
            <w:r w:rsidRPr="00A44B71">
              <w:rPr>
                <w:rFonts w:ascii="Calibri" w:eastAsia="Times New Roman" w:hAnsi="Calibri" w:cs="Calibri"/>
                <w:i/>
                <w:color w:val="000000"/>
                <w:sz w:val="20"/>
                <w:lang w:val="en-US"/>
              </w:rPr>
              <w:t>No source.</w:t>
            </w:r>
          </w:p>
        </w:tc>
      </w:tr>
      <w:tr w:rsidR="00A44B71" w:rsidRPr="0087487B" w:rsidTr="00DE18C4">
        <w:trPr>
          <w:trHeight w:val="300"/>
        </w:trPr>
        <w:tc>
          <w:tcPr>
            <w:cnfStyle w:val="001000000000" w:firstRow="0" w:lastRow="0" w:firstColumn="1" w:lastColumn="0" w:oddVBand="0" w:evenVBand="0" w:oddHBand="0" w:evenHBand="0" w:firstRowFirstColumn="0" w:firstRowLastColumn="0" w:lastRowFirstColumn="0" w:lastRowLastColumn="0"/>
            <w:tcW w:w="5103" w:type="dxa"/>
            <w:noWrap/>
            <w:hideMark/>
          </w:tcPr>
          <w:p w:rsidR="00A44B71" w:rsidRPr="00803C53" w:rsidRDefault="00A44B71" w:rsidP="00DE18C4">
            <w:pPr>
              <w:spacing w:after="0"/>
              <w:rPr>
                <w:rFonts w:ascii="Calibri" w:eastAsia="Times New Roman" w:hAnsi="Calibri" w:cs="Calibri"/>
                <w:b w:val="0"/>
                <w:color w:val="000000"/>
                <w:sz w:val="22"/>
                <w:lang w:val="en-US"/>
              </w:rPr>
            </w:pPr>
            <w:r w:rsidRPr="00803C53">
              <w:rPr>
                <w:rFonts w:ascii="Calibri" w:eastAsia="Times New Roman" w:hAnsi="Calibri" w:cs="Calibri"/>
                <w:b w:val="0"/>
                <w:color w:val="000000"/>
                <w:sz w:val="22"/>
                <w:lang w:val="en-US"/>
              </w:rPr>
              <w:t>Increases in entries pa</w:t>
            </w:r>
          </w:p>
        </w:tc>
        <w:tc>
          <w:tcPr>
            <w:cnfStyle w:val="000010000000" w:firstRow="0" w:lastRow="0" w:firstColumn="0" w:lastColumn="0" w:oddVBand="1" w:evenVBand="0" w:oddHBand="0" w:evenHBand="0" w:firstRowFirstColumn="0" w:firstRowLastColumn="0" w:lastRowFirstColumn="0" w:lastRowLastColumn="0"/>
            <w:tcW w:w="1276" w:type="dxa"/>
          </w:tcPr>
          <w:p w:rsidR="00A44B71" w:rsidRPr="0087487B" w:rsidRDefault="00A44B71" w:rsidP="0048747C">
            <w:pPr>
              <w:spacing w:after="0"/>
              <w:jc w:val="center"/>
              <w:rPr>
                <w:rFonts w:ascii="Calibri" w:eastAsia="Times New Roman" w:hAnsi="Calibri" w:cs="Calibri"/>
                <w:color w:val="000000"/>
                <w:sz w:val="22"/>
                <w:lang w:val="en-US"/>
              </w:rPr>
            </w:pPr>
            <w:bookmarkStart w:id="790" w:name="Summary!D170"/>
            <w:r w:rsidRPr="0087487B">
              <w:rPr>
                <w:rFonts w:ascii="Calibri" w:eastAsia="Times New Roman" w:hAnsi="Calibri" w:cs="Calibri"/>
                <w:color w:val="000000"/>
                <w:sz w:val="22"/>
                <w:lang w:val="en-US"/>
              </w:rPr>
              <w:t>1.5%</w:t>
            </w:r>
            <w:bookmarkEnd w:id="790"/>
          </w:p>
        </w:tc>
        <w:tc>
          <w:tcPr>
            <w:tcW w:w="1559" w:type="dxa"/>
            <w:noWrap/>
            <w:hideMark/>
          </w:tcPr>
          <w:p w:rsidR="00A44B71" w:rsidRPr="00DE18C4" w:rsidRDefault="00A44B71" w:rsidP="0048747C">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sz w:val="22"/>
                <w:lang w:val="en-US"/>
              </w:rPr>
            </w:pPr>
            <w:r w:rsidRPr="00A44B71">
              <w:rPr>
                <w:rFonts w:ascii="Calibri" w:eastAsia="Times New Roman" w:hAnsi="Calibri" w:cs="Calibri"/>
                <w:i/>
                <w:color w:val="000000"/>
                <w:sz w:val="20"/>
                <w:lang w:val="en-US"/>
              </w:rPr>
              <w:t>No source.</w:t>
            </w:r>
          </w:p>
        </w:tc>
      </w:tr>
      <w:tr w:rsidR="00A44B71" w:rsidRPr="0087487B" w:rsidTr="00DE18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3" w:type="dxa"/>
            <w:noWrap/>
            <w:hideMark/>
          </w:tcPr>
          <w:p w:rsidR="00A44B71" w:rsidRPr="00803C53" w:rsidRDefault="00A44B71" w:rsidP="00DD6610">
            <w:pPr>
              <w:spacing w:after="0"/>
              <w:rPr>
                <w:rFonts w:ascii="Calibri" w:eastAsia="Times New Roman" w:hAnsi="Calibri" w:cs="Calibri"/>
                <w:b w:val="0"/>
                <w:color w:val="000000"/>
                <w:sz w:val="22"/>
                <w:lang w:val="en-US"/>
              </w:rPr>
            </w:pPr>
            <w:r w:rsidRPr="00803C53">
              <w:rPr>
                <w:rFonts w:ascii="Calibri" w:eastAsia="Times New Roman" w:hAnsi="Calibri" w:cs="Calibri"/>
                <w:b w:val="0"/>
                <w:color w:val="000000"/>
                <w:sz w:val="22"/>
                <w:lang w:val="en-US"/>
              </w:rPr>
              <w:t>Provider reappraisals in 2016-17</w:t>
            </w:r>
          </w:p>
        </w:tc>
        <w:tc>
          <w:tcPr>
            <w:cnfStyle w:val="000010000000" w:firstRow="0" w:lastRow="0" w:firstColumn="0" w:lastColumn="0" w:oddVBand="1" w:evenVBand="0" w:oddHBand="0" w:evenHBand="0" w:firstRowFirstColumn="0" w:firstRowLastColumn="0" w:lastRowFirstColumn="0" w:lastRowLastColumn="0"/>
            <w:tcW w:w="1276" w:type="dxa"/>
          </w:tcPr>
          <w:p w:rsidR="00A44B71" w:rsidRPr="0087487B" w:rsidRDefault="00A44B71" w:rsidP="0048747C">
            <w:pPr>
              <w:spacing w:after="0"/>
              <w:jc w:val="center"/>
              <w:rPr>
                <w:rFonts w:ascii="Calibri" w:eastAsia="Times New Roman" w:hAnsi="Calibri" w:cs="Calibri"/>
                <w:color w:val="000000"/>
                <w:sz w:val="22"/>
                <w:lang w:val="en-US"/>
              </w:rPr>
            </w:pPr>
            <w:bookmarkStart w:id="791" w:name="Summary!D171"/>
            <w:r w:rsidRPr="0087487B">
              <w:rPr>
                <w:rFonts w:ascii="Calibri" w:eastAsia="Times New Roman" w:hAnsi="Calibri" w:cs="Calibri"/>
                <w:color w:val="000000"/>
                <w:sz w:val="22"/>
                <w:lang w:val="en-US"/>
              </w:rPr>
              <w:t>80</w:t>
            </w:r>
            <w:r>
              <w:rPr>
                <w:rFonts w:ascii="Calibri" w:eastAsia="Times New Roman" w:hAnsi="Calibri" w:cs="Calibri"/>
                <w:color w:val="000000"/>
                <w:sz w:val="22"/>
                <w:lang w:val="en-US"/>
              </w:rPr>
              <w:t>,</w:t>
            </w:r>
            <w:r w:rsidRPr="0087487B">
              <w:rPr>
                <w:rFonts w:ascii="Calibri" w:eastAsia="Times New Roman" w:hAnsi="Calibri" w:cs="Calibri"/>
                <w:color w:val="000000"/>
                <w:sz w:val="22"/>
                <w:lang w:val="en-US"/>
              </w:rPr>
              <w:t>000</w:t>
            </w:r>
            <w:bookmarkEnd w:id="791"/>
          </w:p>
        </w:tc>
        <w:tc>
          <w:tcPr>
            <w:tcW w:w="1559" w:type="dxa"/>
            <w:noWrap/>
            <w:hideMark/>
          </w:tcPr>
          <w:p w:rsidR="00A44B71" w:rsidRPr="00DE18C4" w:rsidRDefault="00A44B71" w:rsidP="0048747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2"/>
                <w:lang w:val="en-US"/>
              </w:rPr>
            </w:pPr>
            <w:r w:rsidRPr="00A44B71">
              <w:rPr>
                <w:rFonts w:ascii="Calibri" w:eastAsia="Times New Roman" w:hAnsi="Calibri" w:cs="Calibri"/>
                <w:i/>
                <w:color w:val="000000"/>
                <w:sz w:val="20"/>
                <w:lang w:val="en-US"/>
              </w:rPr>
              <w:t>No source.</w:t>
            </w:r>
          </w:p>
        </w:tc>
      </w:tr>
      <w:tr w:rsidR="00A44B71" w:rsidRPr="0087487B" w:rsidTr="00DE18C4">
        <w:trPr>
          <w:trHeight w:val="300"/>
        </w:trPr>
        <w:tc>
          <w:tcPr>
            <w:cnfStyle w:val="001000000000" w:firstRow="0" w:lastRow="0" w:firstColumn="1" w:lastColumn="0" w:oddVBand="0" w:evenVBand="0" w:oddHBand="0" w:evenHBand="0" w:firstRowFirstColumn="0" w:firstRowLastColumn="0" w:lastRowFirstColumn="0" w:lastRowLastColumn="0"/>
            <w:tcW w:w="5103" w:type="dxa"/>
            <w:noWrap/>
            <w:hideMark/>
          </w:tcPr>
          <w:p w:rsidR="00A44B71" w:rsidRPr="00803C53" w:rsidRDefault="00A44B71" w:rsidP="00DE18C4">
            <w:pPr>
              <w:spacing w:after="0"/>
              <w:rPr>
                <w:rFonts w:ascii="Calibri" w:eastAsia="Times New Roman" w:hAnsi="Calibri" w:cs="Calibri"/>
                <w:b w:val="0"/>
                <w:color w:val="000000"/>
                <w:sz w:val="22"/>
                <w:lang w:val="en-US"/>
              </w:rPr>
            </w:pPr>
            <w:r w:rsidRPr="00803C53">
              <w:rPr>
                <w:rFonts w:ascii="Calibri" w:eastAsia="Times New Roman" w:hAnsi="Calibri" w:cs="Calibri"/>
                <w:b w:val="0"/>
                <w:color w:val="000000"/>
                <w:sz w:val="22"/>
                <w:lang w:val="en-US"/>
              </w:rPr>
              <w:t>Increases in reappraisals pa</w:t>
            </w:r>
          </w:p>
        </w:tc>
        <w:tc>
          <w:tcPr>
            <w:cnfStyle w:val="000010000000" w:firstRow="0" w:lastRow="0" w:firstColumn="0" w:lastColumn="0" w:oddVBand="1" w:evenVBand="0" w:oddHBand="0" w:evenHBand="0" w:firstRowFirstColumn="0" w:firstRowLastColumn="0" w:lastRowFirstColumn="0" w:lastRowLastColumn="0"/>
            <w:tcW w:w="1276" w:type="dxa"/>
          </w:tcPr>
          <w:p w:rsidR="00A44B71" w:rsidRPr="0087487B" w:rsidRDefault="00A44B71" w:rsidP="0048747C">
            <w:pPr>
              <w:spacing w:after="0"/>
              <w:jc w:val="center"/>
              <w:rPr>
                <w:rFonts w:ascii="Calibri" w:eastAsia="Times New Roman" w:hAnsi="Calibri" w:cs="Calibri"/>
                <w:color w:val="000000"/>
                <w:sz w:val="22"/>
                <w:lang w:val="en-US"/>
              </w:rPr>
            </w:pPr>
            <w:bookmarkStart w:id="792" w:name="Summary!D172"/>
            <w:r w:rsidRPr="0087487B">
              <w:rPr>
                <w:rFonts w:ascii="Calibri" w:eastAsia="Times New Roman" w:hAnsi="Calibri" w:cs="Calibri"/>
                <w:color w:val="000000"/>
                <w:sz w:val="22"/>
                <w:lang w:val="en-US"/>
              </w:rPr>
              <w:t>1.5%</w:t>
            </w:r>
            <w:bookmarkEnd w:id="792"/>
          </w:p>
        </w:tc>
        <w:tc>
          <w:tcPr>
            <w:tcW w:w="1559" w:type="dxa"/>
            <w:noWrap/>
            <w:hideMark/>
          </w:tcPr>
          <w:p w:rsidR="00A44B71" w:rsidRPr="00DE18C4" w:rsidRDefault="00A44B71" w:rsidP="0048747C">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sz w:val="22"/>
                <w:lang w:val="en-US"/>
              </w:rPr>
            </w:pPr>
            <w:r w:rsidRPr="00A44B71">
              <w:rPr>
                <w:rFonts w:ascii="Calibri" w:eastAsia="Times New Roman" w:hAnsi="Calibri" w:cs="Calibri"/>
                <w:i/>
                <w:color w:val="000000"/>
                <w:sz w:val="20"/>
                <w:lang w:val="en-US"/>
              </w:rPr>
              <w:t>No source.</w:t>
            </w:r>
          </w:p>
        </w:tc>
      </w:tr>
      <w:tr w:rsidR="0048747C" w:rsidRPr="0087487B" w:rsidTr="00DE18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3" w:type="dxa"/>
            <w:noWrap/>
            <w:hideMark/>
          </w:tcPr>
          <w:p w:rsidR="0048747C" w:rsidRPr="00803C53" w:rsidRDefault="0048747C" w:rsidP="0048747C">
            <w:pPr>
              <w:spacing w:after="0"/>
              <w:rPr>
                <w:rFonts w:ascii="Calibri" w:eastAsia="Times New Roman" w:hAnsi="Calibri" w:cs="Calibri"/>
                <w:b w:val="0"/>
                <w:color w:val="000000"/>
                <w:sz w:val="22"/>
                <w:lang w:val="en-US"/>
              </w:rPr>
            </w:pPr>
            <w:r w:rsidRPr="00803C53">
              <w:rPr>
                <w:rFonts w:ascii="Calibri" w:eastAsia="Times New Roman" w:hAnsi="Calibri" w:cs="Calibri"/>
                <w:b w:val="0"/>
                <w:color w:val="000000"/>
                <w:sz w:val="22"/>
                <w:lang w:val="en-US"/>
              </w:rPr>
              <w:t xml:space="preserve">Maximum daily subsidy </w:t>
            </w:r>
            <w:r>
              <w:rPr>
                <w:rFonts w:ascii="Calibri" w:eastAsia="Times New Roman" w:hAnsi="Calibri" w:cs="Calibri"/>
                <w:b w:val="0"/>
                <w:color w:val="000000"/>
                <w:sz w:val="22"/>
                <w:lang w:val="en-US"/>
              </w:rPr>
              <w:t xml:space="preserve">from </w:t>
            </w:r>
            <w:r w:rsidRPr="00803C53">
              <w:rPr>
                <w:rFonts w:ascii="Calibri" w:eastAsia="Times New Roman" w:hAnsi="Calibri" w:cs="Calibri"/>
                <w:b w:val="0"/>
                <w:color w:val="000000"/>
                <w:sz w:val="22"/>
                <w:lang w:val="en-US"/>
              </w:rPr>
              <w:t>1</w:t>
            </w:r>
            <w:r>
              <w:rPr>
                <w:rFonts w:ascii="Calibri" w:eastAsia="Times New Roman" w:hAnsi="Calibri" w:cs="Calibri"/>
                <w:b w:val="0"/>
                <w:color w:val="000000"/>
                <w:sz w:val="22"/>
                <w:lang w:val="en-US"/>
              </w:rPr>
              <w:t xml:space="preserve"> July 20</w:t>
            </w:r>
            <w:r w:rsidRPr="00803C53">
              <w:rPr>
                <w:rFonts w:ascii="Calibri" w:eastAsia="Times New Roman" w:hAnsi="Calibri" w:cs="Calibri"/>
                <w:b w:val="0"/>
                <w:color w:val="000000"/>
                <w:sz w:val="22"/>
                <w:lang w:val="en-US"/>
              </w:rPr>
              <w:t>17</w:t>
            </w:r>
          </w:p>
        </w:tc>
        <w:tc>
          <w:tcPr>
            <w:cnfStyle w:val="000010000000" w:firstRow="0" w:lastRow="0" w:firstColumn="0" w:lastColumn="0" w:oddVBand="1" w:evenVBand="0" w:oddHBand="0" w:evenHBand="0" w:firstRowFirstColumn="0" w:firstRowLastColumn="0" w:lastRowFirstColumn="0" w:lastRowLastColumn="0"/>
            <w:tcW w:w="1276" w:type="dxa"/>
          </w:tcPr>
          <w:p w:rsidR="0048747C" w:rsidRPr="0087487B" w:rsidRDefault="0048747C" w:rsidP="0048747C">
            <w:pPr>
              <w:spacing w:after="0"/>
              <w:jc w:val="center"/>
              <w:rPr>
                <w:rFonts w:ascii="Calibri" w:eastAsia="Times New Roman" w:hAnsi="Calibri" w:cs="Calibri"/>
                <w:color w:val="000000"/>
                <w:sz w:val="22"/>
                <w:lang w:val="en-US"/>
              </w:rPr>
            </w:pPr>
            <w:bookmarkStart w:id="793" w:name="Summary!D173"/>
            <w:r w:rsidRPr="0087487B">
              <w:rPr>
                <w:rFonts w:ascii="Calibri" w:eastAsia="Times New Roman" w:hAnsi="Calibri" w:cs="Calibri"/>
                <w:color w:val="000000"/>
                <w:sz w:val="22"/>
                <w:lang w:val="en-US"/>
              </w:rPr>
              <w:t>214.06</w:t>
            </w:r>
            <w:bookmarkEnd w:id="793"/>
          </w:p>
        </w:tc>
        <w:tc>
          <w:tcPr>
            <w:tcW w:w="1559" w:type="dxa"/>
            <w:noWrap/>
            <w:hideMark/>
          </w:tcPr>
          <w:p w:rsidR="0048747C" w:rsidRPr="0087487B" w:rsidRDefault="0048747C" w:rsidP="0048747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87487B">
              <w:rPr>
                <w:rFonts w:ascii="Calibri" w:eastAsia="Times New Roman" w:hAnsi="Calibri" w:cs="Calibri"/>
                <w:color w:val="000000"/>
                <w:sz w:val="22"/>
                <w:lang w:val="en-US"/>
              </w:rPr>
              <w:t>DoH</w:t>
            </w:r>
          </w:p>
        </w:tc>
      </w:tr>
      <w:tr w:rsidR="00A44B71" w:rsidRPr="0087487B" w:rsidTr="00DE18C4">
        <w:trPr>
          <w:trHeight w:val="300"/>
        </w:trPr>
        <w:tc>
          <w:tcPr>
            <w:cnfStyle w:val="001000000000" w:firstRow="0" w:lastRow="0" w:firstColumn="1" w:lastColumn="0" w:oddVBand="0" w:evenVBand="0" w:oddHBand="0" w:evenHBand="0" w:firstRowFirstColumn="0" w:firstRowLastColumn="0" w:lastRowFirstColumn="0" w:lastRowLastColumn="0"/>
            <w:tcW w:w="5103" w:type="dxa"/>
            <w:noWrap/>
            <w:hideMark/>
          </w:tcPr>
          <w:p w:rsidR="00A44B71" w:rsidRPr="00803C53" w:rsidRDefault="00A44B71" w:rsidP="00DE18C4">
            <w:pPr>
              <w:spacing w:after="0"/>
              <w:rPr>
                <w:rFonts w:ascii="Calibri" w:eastAsia="Times New Roman" w:hAnsi="Calibri" w:cs="Calibri"/>
                <w:b w:val="0"/>
                <w:color w:val="000000"/>
                <w:sz w:val="22"/>
                <w:lang w:val="en-US"/>
              </w:rPr>
            </w:pPr>
            <w:r w:rsidRPr="00803C53">
              <w:rPr>
                <w:rFonts w:ascii="Calibri" w:eastAsia="Times New Roman" w:hAnsi="Calibri" w:cs="Calibri"/>
                <w:b w:val="0"/>
                <w:color w:val="000000"/>
                <w:sz w:val="22"/>
                <w:lang w:val="en-US"/>
              </w:rPr>
              <w:t xml:space="preserve">Subsidy indexation </w:t>
            </w:r>
            <w:r>
              <w:rPr>
                <w:rFonts w:ascii="Calibri" w:eastAsia="Times New Roman" w:hAnsi="Calibri" w:cs="Calibri"/>
                <w:b w:val="0"/>
                <w:color w:val="000000"/>
                <w:sz w:val="22"/>
                <w:lang w:val="en-US"/>
              </w:rPr>
              <w:t xml:space="preserve">from </w:t>
            </w:r>
            <w:r w:rsidRPr="00803C53">
              <w:rPr>
                <w:rFonts w:ascii="Calibri" w:eastAsia="Times New Roman" w:hAnsi="Calibri" w:cs="Calibri"/>
                <w:b w:val="0"/>
                <w:color w:val="000000"/>
                <w:sz w:val="22"/>
                <w:lang w:val="en-US"/>
              </w:rPr>
              <w:t>1</w:t>
            </w:r>
            <w:r>
              <w:rPr>
                <w:rFonts w:ascii="Calibri" w:eastAsia="Times New Roman" w:hAnsi="Calibri" w:cs="Calibri"/>
                <w:b w:val="0"/>
                <w:color w:val="000000"/>
                <w:sz w:val="22"/>
                <w:lang w:val="en-US"/>
              </w:rPr>
              <w:t xml:space="preserve"> July 20</w:t>
            </w:r>
            <w:r w:rsidRPr="00803C53">
              <w:rPr>
                <w:rFonts w:ascii="Calibri" w:eastAsia="Times New Roman" w:hAnsi="Calibri" w:cs="Calibri"/>
                <w:b w:val="0"/>
                <w:color w:val="000000"/>
                <w:sz w:val="22"/>
                <w:lang w:val="en-US"/>
              </w:rPr>
              <w:t>18</w:t>
            </w:r>
          </w:p>
        </w:tc>
        <w:tc>
          <w:tcPr>
            <w:cnfStyle w:val="000010000000" w:firstRow="0" w:lastRow="0" w:firstColumn="0" w:lastColumn="0" w:oddVBand="1" w:evenVBand="0" w:oddHBand="0" w:evenHBand="0" w:firstRowFirstColumn="0" w:firstRowLastColumn="0" w:lastRowFirstColumn="0" w:lastRowLastColumn="0"/>
            <w:tcW w:w="1276" w:type="dxa"/>
          </w:tcPr>
          <w:p w:rsidR="00A44B71" w:rsidRPr="0087487B" w:rsidRDefault="00A44B71" w:rsidP="0048747C">
            <w:pPr>
              <w:spacing w:after="0"/>
              <w:jc w:val="center"/>
              <w:rPr>
                <w:rFonts w:ascii="Calibri" w:eastAsia="Times New Roman" w:hAnsi="Calibri" w:cs="Calibri"/>
                <w:color w:val="000000"/>
                <w:sz w:val="22"/>
                <w:lang w:val="en-US"/>
              </w:rPr>
            </w:pPr>
            <w:bookmarkStart w:id="794" w:name="Summary!D174"/>
            <w:r w:rsidRPr="0087487B">
              <w:rPr>
                <w:rFonts w:ascii="Calibri" w:eastAsia="Times New Roman" w:hAnsi="Calibri" w:cs="Calibri"/>
                <w:color w:val="000000"/>
                <w:sz w:val="22"/>
                <w:lang w:val="en-US"/>
              </w:rPr>
              <w:t>1.7%</w:t>
            </w:r>
            <w:bookmarkEnd w:id="794"/>
          </w:p>
        </w:tc>
        <w:tc>
          <w:tcPr>
            <w:tcW w:w="1559" w:type="dxa"/>
            <w:noWrap/>
            <w:hideMark/>
          </w:tcPr>
          <w:p w:rsidR="00A44B71" w:rsidRPr="00DE18C4" w:rsidRDefault="00A44B71" w:rsidP="0048747C">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sz w:val="22"/>
                <w:lang w:val="en-US"/>
              </w:rPr>
            </w:pPr>
            <w:r w:rsidRPr="00A44B71">
              <w:rPr>
                <w:rFonts w:ascii="Calibri" w:eastAsia="Times New Roman" w:hAnsi="Calibri" w:cs="Calibri"/>
                <w:i/>
                <w:color w:val="000000"/>
                <w:sz w:val="20"/>
                <w:lang w:val="en-US"/>
              </w:rPr>
              <w:t>No source.</w:t>
            </w:r>
          </w:p>
        </w:tc>
      </w:tr>
      <w:tr w:rsidR="00A44B71" w:rsidRPr="0087487B" w:rsidTr="00DE18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3" w:type="dxa"/>
            <w:noWrap/>
            <w:hideMark/>
          </w:tcPr>
          <w:p w:rsidR="00A44B71" w:rsidRPr="00803C53" w:rsidRDefault="00A44B71" w:rsidP="00DE18C4">
            <w:pPr>
              <w:spacing w:after="0"/>
              <w:rPr>
                <w:rFonts w:ascii="Calibri" w:eastAsia="Times New Roman" w:hAnsi="Calibri" w:cs="Calibri"/>
                <w:b w:val="0"/>
                <w:color w:val="000000"/>
                <w:sz w:val="22"/>
                <w:lang w:val="en-US"/>
              </w:rPr>
            </w:pPr>
            <w:r w:rsidRPr="00803C53">
              <w:rPr>
                <w:rFonts w:ascii="Calibri" w:eastAsia="Times New Roman" w:hAnsi="Calibri" w:cs="Calibri"/>
                <w:b w:val="0"/>
                <w:color w:val="000000"/>
                <w:sz w:val="22"/>
                <w:lang w:val="en-US"/>
              </w:rPr>
              <w:t xml:space="preserve">Subsidy indexation </w:t>
            </w:r>
            <w:r>
              <w:rPr>
                <w:rFonts w:ascii="Calibri" w:eastAsia="Times New Roman" w:hAnsi="Calibri" w:cs="Calibri"/>
                <w:b w:val="0"/>
                <w:color w:val="000000"/>
                <w:sz w:val="22"/>
                <w:lang w:val="en-US"/>
              </w:rPr>
              <w:t xml:space="preserve">from </w:t>
            </w:r>
            <w:r w:rsidRPr="00803C53">
              <w:rPr>
                <w:rFonts w:ascii="Calibri" w:eastAsia="Times New Roman" w:hAnsi="Calibri" w:cs="Calibri"/>
                <w:b w:val="0"/>
                <w:color w:val="000000"/>
                <w:sz w:val="22"/>
                <w:lang w:val="en-US"/>
              </w:rPr>
              <w:t>1</w:t>
            </w:r>
            <w:r>
              <w:rPr>
                <w:rFonts w:ascii="Calibri" w:eastAsia="Times New Roman" w:hAnsi="Calibri" w:cs="Calibri"/>
                <w:b w:val="0"/>
                <w:color w:val="000000"/>
                <w:sz w:val="22"/>
                <w:lang w:val="en-US"/>
              </w:rPr>
              <w:t xml:space="preserve"> July 20</w:t>
            </w:r>
            <w:r w:rsidRPr="00803C53">
              <w:rPr>
                <w:rFonts w:ascii="Calibri" w:eastAsia="Times New Roman" w:hAnsi="Calibri" w:cs="Calibri"/>
                <w:b w:val="0"/>
                <w:color w:val="000000"/>
                <w:sz w:val="22"/>
                <w:lang w:val="en-US"/>
              </w:rPr>
              <w:t>19</w:t>
            </w:r>
          </w:p>
        </w:tc>
        <w:tc>
          <w:tcPr>
            <w:cnfStyle w:val="000010000000" w:firstRow="0" w:lastRow="0" w:firstColumn="0" w:lastColumn="0" w:oddVBand="1" w:evenVBand="0" w:oddHBand="0" w:evenHBand="0" w:firstRowFirstColumn="0" w:firstRowLastColumn="0" w:lastRowFirstColumn="0" w:lastRowLastColumn="0"/>
            <w:tcW w:w="1276" w:type="dxa"/>
          </w:tcPr>
          <w:p w:rsidR="00A44B71" w:rsidRPr="0087487B" w:rsidRDefault="00A44B71" w:rsidP="0048747C">
            <w:pPr>
              <w:spacing w:after="0"/>
              <w:jc w:val="center"/>
              <w:rPr>
                <w:rFonts w:ascii="Calibri" w:eastAsia="Times New Roman" w:hAnsi="Calibri" w:cs="Calibri"/>
                <w:color w:val="000000"/>
                <w:sz w:val="22"/>
                <w:lang w:val="en-US"/>
              </w:rPr>
            </w:pPr>
            <w:bookmarkStart w:id="795" w:name="Summary!D175"/>
            <w:r w:rsidRPr="0087487B">
              <w:rPr>
                <w:rFonts w:ascii="Calibri" w:eastAsia="Times New Roman" w:hAnsi="Calibri" w:cs="Calibri"/>
                <w:color w:val="000000"/>
                <w:sz w:val="22"/>
                <w:lang w:val="en-US"/>
              </w:rPr>
              <w:t>2.0%</w:t>
            </w:r>
            <w:bookmarkEnd w:id="795"/>
          </w:p>
        </w:tc>
        <w:tc>
          <w:tcPr>
            <w:tcW w:w="1559" w:type="dxa"/>
            <w:noWrap/>
            <w:hideMark/>
          </w:tcPr>
          <w:p w:rsidR="00A44B71" w:rsidRPr="00DE18C4" w:rsidRDefault="00A44B71" w:rsidP="0048747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2"/>
                <w:lang w:val="en-US"/>
              </w:rPr>
            </w:pPr>
            <w:r w:rsidRPr="00A44B71">
              <w:rPr>
                <w:rFonts w:ascii="Calibri" w:eastAsia="Times New Roman" w:hAnsi="Calibri" w:cs="Calibri"/>
                <w:i/>
                <w:color w:val="000000"/>
                <w:sz w:val="20"/>
                <w:lang w:val="en-US"/>
              </w:rPr>
              <w:t>No source.</w:t>
            </w:r>
          </w:p>
        </w:tc>
      </w:tr>
      <w:tr w:rsidR="00A44B71" w:rsidRPr="0087487B" w:rsidTr="00DE18C4">
        <w:trPr>
          <w:trHeight w:val="300"/>
        </w:trPr>
        <w:tc>
          <w:tcPr>
            <w:cnfStyle w:val="001000000000" w:firstRow="0" w:lastRow="0" w:firstColumn="1" w:lastColumn="0" w:oddVBand="0" w:evenVBand="0" w:oddHBand="0" w:evenHBand="0" w:firstRowFirstColumn="0" w:firstRowLastColumn="0" w:lastRowFirstColumn="0" w:lastRowLastColumn="0"/>
            <w:tcW w:w="5103" w:type="dxa"/>
            <w:noWrap/>
            <w:hideMark/>
          </w:tcPr>
          <w:p w:rsidR="00A44B71" w:rsidRPr="00803C53" w:rsidRDefault="00A44B71" w:rsidP="00DE18C4">
            <w:pPr>
              <w:spacing w:after="0"/>
              <w:rPr>
                <w:rFonts w:ascii="Calibri" w:eastAsia="Times New Roman" w:hAnsi="Calibri" w:cs="Calibri"/>
                <w:b w:val="0"/>
                <w:color w:val="000000"/>
                <w:sz w:val="22"/>
                <w:lang w:val="en-US"/>
              </w:rPr>
            </w:pPr>
            <w:r>
              <w:rPr>
                <w:rFonts w:ascii="Calibri" w:eastAsia="Times New Roman" w:hAnsi="Calibri" w:cs="Calibri"/>
                <w:b w:val="0"/>
                <w:color w:val="000000"/>
                <w:sz w:val="22"/>
                <w:lang w:val="en-US"/>
              </w:rPr>
              <w:t>M</w:t>
            </w:r>
            <w:r w:rsidRPr="00803C53">
              <w:rPr>
                <w:rFonts w:ascii="Calibri" w:eastAsia="Times New Roman" w:hAnsi="Calibri" w:cs="Calibri"/>
                <w:b w:val="0"/>
                <w:color w:val="000000"/>
                <w:sz w:val="22"/>
                <w:lang w:val="en-US"/>
              </w:rPr>
              <w:t xml:space="preserve">aximum </w:t>
            </w:r>
            <w:r>
              <w:rPr>
                <w:rFonts w:ascii="Calibri" w:eastAsia="Times New Roman" w:hAnsi="Calibri" w:cs="Calibri"/>
                <w:b w:val="0"/>
                <w:color w:val="000000"/>
                <w:sz w:val="22"/>
                <w:lang w:val="en-US"/>
              </w:rPr>
              <w:t>a</w:t>
            </w:r>
            <w:r w:rsidRPr="00803C53">
              <w:rPr>
                <w:rFonts w:ascii="Calibri" w:eastAsia="Times New Roman" w:hAnsi="Calibri" w:cs="Calibri"/>
                <w:b w:val="0"/>
                <w:color w:val="000000"/>
                <w:sz w:val="22"/>
                <w:lang w:val="en-US"/>
              </w:rPr>
              <w:t xml:space="preserve">verage subsidy </w:t>
            </w:r>
            <w:r>
              <w:rPr>
                <w:rFonts w:ascii="Calibri" w:eastAsia="Times New Roman" w:hAnsi="Calibri" w:cs="Calibri"/>
                <w:b w:val="0"/>
                <w:color w:val="000000"/>
                <w:sz w:val="22"/>
                <w:lang w:val="en-US"/>
              </w:rPr>
              <w:t>percent</w:t>
            </w:r>
            <w:r w:rsidRPr="00803C53">
              <w:rPr>
                <w:rFonts w:ascii="Calibri" w:eastAsia="Times New Roman" w:hAnsi="Calibri" w:cs="Calibri"/>
                <w:b w:val="0"/>
                <w:color w:val="000000"/>
                <w:sz w:val="22"/>
                <w:lang w:val="en-US"/>
              </w:rPr>
              <w:t xml:space="preserve"> </w:t>
            </w:r>
            <w:r>
              <w:rPr>
                <w:rFonts w:ascii="Calibri" w:eastAsia="Times New Roman" w:hAnsi="Calibri" w:cs="Calibri"/>
                <w:b w:val="0"/>
                <w:color w:val="000000"/>
                <w:sz w:val="22"/>
                <w:lang w:val="en-US"/>
              </w:rPr>
              <w:t xml:space="preserve">from </w:t>
            </w:r>
            <w:r w:rsidRPr="00803C53">
              <w:rPr>
                <w:rFonts w:ascii="Calibri" w:eastAsia="Times New Roman" w:hAnsi="Calibri" w:cs="Calibri"/>
                <w:b w:val="0"/>
                <w:color w:val="000000"/>
                <w:sz w:val="22"/>
                <w:lang w:val="en-US"/>
              </w:rPr>
              <w:t>1</w:t>
            </w:r>
            <w:r>
              <w:rPr>
                <w:rFonts w:ascii="Calibri" w:eastAsia="Times New Roman" w:hAnsi="Calibri" w:cs="Calibri"/>
                <w:b w:val="0"/>
                <w:color w:val="000000"/>
                <w:sz w:val="22"/>
                <w:lang w:val="en-US"/>
              </w:rPr>
              <w:t xml:space="preserve"> July 20</w:t>
            </w:r>
            <w:r w:rsidRPr="00803C53">
              <w:rPr>
                <w:rFonts w:ascii="Calibri" w:eastAsia="Times New Roman" w:hAnsi="Calibri" w:cs="Calibri"/>
                <w:b w:val="0"/>
                <w:color w:val="000000"/>
                <w:sz w:val="22"/>
                <w:lang w:val="en-US"/>
              </w:rPr>
              <w:t>17</w:t>
            </w:r>
          </w:p>
        </w:tc>
        <w:tc>
          <w:tcPr>
            <w:cnfStyle w:val="000010000000" w:firstRow="0" w:lastRow="0" w:firstColumn="0" w:lastColumn="0" w:oddVBand="1" w:evenVBand="0" w:oddHBand="0" w:evenHBand="0" w:firstRowFirstColumn="0" w:firstRowLastColumn="0" w:lastRowFirstColumn="0" w:lastRowLastColumn="0"/>
            <w:tcW w:w="1276" w:type="dxa"/>
          </w:tcPr>
          <w:p w:rsidR="00A44B71" w:rsidRPr="0087487B" w:rsidRDefault="00A44B71" w:rsidP="0048747C">
            <w:pPr>
              <w:spacing w:after="0"/>
              <w:jc w:val="center"/>
              <w:rPr>
                <w:rFonts w:ascii="Calibri" w:eastAsia="Times New Roman" w:hAnsi="Calibri" w:cs="Calibri"/>
                <w:color w:val="000000"/>
                <w:sz w:val="22"/>
                <w:lang w:val="en-US"/>
              </w:rPr>
            </w:pPr>
            <w:bookmarkStart w:id="796" w:name="Summary!D176"/>
            <w:r w:rsidRPr="0087487B">
              <w:rPr>
                <w:rFonts w:ascii="Calibri" w:eastAsia="Times New Roman" w:hAnsi="Calibri" w:cs="Calibri"/>
                <w:color w:val="000000"/>
                <w:sz w:val="22"/>
                <w:lang w:val="en-US"/>
              </w:rPr>
              <w:t>80.4%</w:t>
            </w:r>
            <w:bookmarkEnd w:id="796"/>
          </w:p>
        </w:tc>
        <w:tc>
          <w:tcPr>
            <w:tcW w:w="1559" w:type="dxa"/>
            <w:noWrap/>
            <w:hideMark/>
          </w:tcPr>
          <w:p w:rsidR="00A44B71" w:rsidRPr="00DE18C4" w:rsidRDefault="00A44B71" w:rsidP="0048747C">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sz w:val="22"/>
                <w:lang w:val="en-US"/>
              </w:rPr>
            </w:pPr>
            <w:r w:rsidRPr="00A44B71">
              <w:rPr>
                <w:rFonts w:ascii="Calibri" w:eastAsia="Times New Roman" w:hAnsi="Calibri" w:cs="Calibri"/>
                <w:i/>
                <w:color w:val="000000"/>
                <w:sz w:val="20"/>
                <w:lang w:val="en-US"/>
              </w:rPr>
              <w:t>No source.</w:t>
            </w:r>
          </w:p>
        </w:tc>
      </w:tr>
      <w:tr w:rsidR="00A44B71" w:rsidRPr="0048747C" w:rsidTr="00DE18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3" w:type="dxa"/>
            <w:noWrap/>
            <w:hideMark/>
          </w:tcPr>
          <w:p w:rsidR="00A44B71" w:rsidRPr="0048747C" w:rsidRDefault="00A44B71" w:rsidP="00DE18C4">
            <w:pPr>
              <w:spacing w:after="0"/>
              <w:rPr>
                <w:rFonts w:ascii="Calibri" w:eastAsia="Times New Roman" w:hAnsi="Calibri" w:cs="Calibri"/>
                <w:color w:val="000000"/>
                <w:sz w:val="22"/>
                <w:lang w:val="en-US"/>
              </w:rPr>
            </w:pPr>
            <w:r w:rsidRPr="0048747C">
              <w:rPr>
                <w:rFonts w:ascii="Calibri" w:hAnsi="Calibri" w:cs="Calibri"/>
                <w:color w:val="000000"/>
                <w:sz w:val="22"/>
              </w:rPr>
              <w:t xml:space="preserve">Average subsidy optimisation </w:t>
            </w:r>
            <w:r>
              <w:rPr>
                <w:rFonts w:ascii="Calibri" w:hAnsi="Calibri" w:cs="Calibri"/>
                <w:color w:val="000000"/>
                <w:sz w:val="22"/>
              </w:rPr>
              <w:t xml:space="preserve">from </w:t>
            </w:r>
            <w:r w:rsidRPr="0048747C">
              <w:rPr>
                <w:rFonts w:ascii="Calibri" w:hAnsi="Calibri" w:cs="Calibri"/>
                <w:color w:val="000000"/>
                <w:sz w:val="22"/>
              </w:rPr>
              <w:t>1</w:t>
            </w:r>
            <w:r>
              <w:rPr>
                <w:rFonts w:ascii="Calibri" w:hAnsi="Calibri" w:cs="Calibri"/>
                <w:color w:val="000000"/>
                <w:sz w:val="22"/>
              </w:rPr>
              <w:t xml:space="preserve"> July 20</w:t>
            </w:r>
            <w:r w:rsidRPr="0048747C">
              <w:rPr>
                <w:rFonts w:ascii="Calibri" w:hAnsi="Calibri" w:cs="Calibri"/>
                <w:color w:val="000000"/>
                <w:sz w:val="22"/>
              </w:rPr>
              <w:t>18</w:t>
            </w:r>
          </w:p>
        </w:tc>
        <w:tc>
          <w:tcPr>
            <w:cnfStyle w:val="000010000000" w:firstRow="0" w:lastRow="0" w:firstColumn="0" w:lastColumn="0" w:oddVBand="1" w:evenVBand="0" w:oddHBand="0" w:evenHBand="0" w:firstRowFirstColumn="0" w:firstRowLastColumn="0" w:lastRowFirstColumn="0" w:lastRowLastColumn="0"/>
            <w:tcW w:w="1276" w:type="dxa"/>
          </w:tcPr>
          <w:p w:rsidR="00A44B71" w:rsidRPr="0048747C" w:rsidRDefault="00A44B71" w:rsidP="0048747C">
            <w:pPr>
              <w:spacing w:after="0"/>
              <w:jc w:val="center"/>
              <w:rPr>
                <w:rFonts w:ascii="Calibri" w:eastAsia="Times New Roman" w:hAnsi="Calibri" w:cs="Calibri"/>
                <w:b/>
                <w:color w:val="000000"/>
                <w:sz w:val="22"/>
                <w:lang w:val="en-US"/>
              </w:rPr>
            </w:pPr>
            <w:bookmarkStart w:id="797" w:name="Summary!D177"/>
            <w:r w:rsidRPr="0048747C">
              <w:rPr>
                <w:rFonts w:ascii="Calibri" w:eastAsia="Times New Roman" w:hAnsi="Calibri" w:cs="Calibri"/>
                <w:b/>
                <w:color w:val="000000"/>
                <w:sz w:val="22"/>
                <w:lang w:val="en-US"/>
              </w:rPr>
              <w:t>25.0%</w:t>
            </w:r>
            <w:bookmarkEnd w:id="797"/>
          </w:p>
        </w:tc>
        <w:tc>
          <w:tcPr>
            <w:tcW w:w="1559" w:type="dxa"/>
            <w:noWrap/>
            <w:hideMark/>
          </w:tcPr>
          <w:p w:rsidR="00A44B71" w:rsidRPr="00DE18C4" w:rsidRDefault="00A44B71" w:rsidP="0048747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2"/>
                <w:lang w:val="en-US"/>
              </w:rPr>
            </w:pPr>
            <w:r w:rsidRPr="00A44B71">
              <w:rPr>
                <w:rFonts w:ascii="Calibri" w:eastAsia="Times New Roman" w:hAnsi="Calibri" w:cs="Calibri"/>
                <w:i/>
                <w:color w:val="000000"/>
                <w:sz w:val="20"/>
                <w:lang w:val="en-US"/>
              </w:rPr>
              <w:t>No source.</w:t>
            </w:r>
          </w:p>
        </w:tc>
      </w:tr>
      <w:tr w:rsidR="00A44B71" w:rsidRPr="0087487B" w:rsidTr="00DE18C4">
        <w:trPr>
          <w:trHeight w:val="300"/>
        </w:trPr>
        <w:tc>
          <w:tcPr>
            <w:cnfStyle w:val="001000000000" w:firstRow="0" w:lastRow="0" w:firstColumn="1" w:lastColumn="0" w:oddVBand="0" w:evenVBand="0" w:oddHBand="0" w:evenHBand="0" w:firstRowFirstColumn="0" w:firstRowLastColumn="0" w:lastRowFirstColumn="0" w:lastRowLastColumn="0"/>
            <w:tcW w:w="5103" w:type="dxa"/>
            <w:noWrap/>
            <w:hideMark/>
          </w:tcPr>
          <w:p w:rsidR="00A44B71" w:rsidRPr="00803C53" w:rsidRDefault="00A44B71" w:rsidP="00DE18C4">
            <w:pPr>
              <w:spacing w:after="0"/>
              <w:rPr>
                <w:rFonts w:ascii="Calibri" w:eastAsia="Times New Roman" w:hAnsi="Calibri" w:cs="Calibri"/>
                <w:b w:val="0"/>
                <w:color w:val="000000"/>
                <w:sz w:val="22"/>
                <w:lang w:val="en-US"/>
              </w:rPr>
            </w:pPr>
            <w:r w:rsidRPr="00803C53">
              <w:rPr>
                <w:rFonts w:ascii="Calibri" w:eastAsia="Times New Roman" w:hAnsi="Calibri" w:cs="Calibri"/>
                <w:b w:val="0"/>
                <w:color w:val="000000"/>
                <w:sz w:val="22"/>
                <w:lang w:val="en-US"/>
              </w:rPr>
              <w:t>Growth pa in subsidy without optimisation</w:t>
            </w:r>
          </w:p>
        </w:tc>
        <w:tc>
          <w:tcPr>
            <w:cnfStyle w:val="000010000000" w:firstRow="0" w:lastRow="0" w:firstColumn="0" w:lastColumn="0" w:oddVBand="1" w:evenVBand="0" w:oddHBand="0" w:evenHBand="0" w:firstRowFirstColumn="0" w:firstRowLastColumn="0" w:lastRowFirstColumn="0" w:lastRowLastColumn="0"/>
            <w:tcW w:w="1276" w:type="dxa"/>
          </w:tcPr>
          <w:p w:rsidR="00A44B71" w:rsidRPr="0087487B" w:rsidRDefault="00A44B71" w:rsidP="0048747C">
            <w:pPr>
              <w:spacing w:after="0"/>
              <w:jc w:val="center"/>
              <w:rPr>
                <w:rFonts w:ascii="Calibri" w:eastAsia="Times New Roman" w:hAnsi="Calibri" w:cs="Calibri"/>
                <w:color w:val="000000"/>
                <w:sz w:val="22"/>
                <w:lang w:val="en-US"/>
              </w:rPr>
            </w:pPr>
            <w:bookmarkStart w:id="798" w:name="Summary!D178"/>
            <w:r w:rsidRPr="0087487B">
              <w:rPr>
                <w:rFonts w:ascii="Calibri" w:eastAsia="Times New Roman" w:hAnsi="Calibri" w:cs="Calibri"/>
                <w:color w:val="000000"/>
                <w:sz w:val="22"/>
                <w:lang w:val="en-US"/>
              </w:rPr>
              <w:t>1.5%</w:t>
            </w:r>
            <w:bookmarkEnd w:id="798"/>
          </w:p>
        </w:tc>
        <w:tc>
          <w:tcPr>
            <w:tcW w:w="1559" w:type="dxa"/>
            <w:noWrap/>
            <w:hideMark/>
          </w:tcPr>
          <w:p w:rsidR="00A44B71" w:rsidRPr="00DE18C4" w:rsidRDefault="00A44B71" w:rsidP="0048747C">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sz w:val="22"/>
                <w:lang w:val="en-US"/>
              </w:rPr>
            </w:pPr>
            <w:r w:rsidRPr="00A44B71">
              <w:rPr>
                <w:rFonts w:ascii="Calibri" w:eastAsia="Times New Roman" w:hAnsi="Calibri" w:cs="Calibri"/>
                <w:i/>
                <w:color w:val="000000"/>
                <w:sz w:val="20"/>
                <w:lang w:val="en-US"/>
              </w:rPr>
              <w:t>No source.</w:t>
            </w:r>
          </w:p>
        </w:tc>
      </w:tr>
    </w:tbl>
    <w:p w:rsidR="00571656" w:rsidRPr="00554C82" w:rsidRDefault="00571656" w:rsidP="00DE7198">
      <w:pPr>
        <w:spacing w:before="200"/>
        <w:rPr>
          <w:lang w:val="en-US"/>
        </w:rPr>
      </w:pPr>
      <w:r w:rsidRPr="00554C82">
        <w:rPr>
          <w:lang w:eastAsia="en-AU"/>
        </w:rPr>
        <w:t>Other assumptions used in the present system modelling were the projected number and p.a. cost of Review Officers (</w:t>
      </w:r>
      <w:hyperlink w:anchor="Tab1113" w:history="1">
        <w:r w:rsidRPr="00F27718">
          <w:rPr>
            <w:rStyle w:val="Hyperlink"/>
            <w:lang w:eastAsia="en-AU"/>
          </w:rPr>
          <w:t>Table 11.13</w:t>
        </w:r>
      </w:hyperlink>
      <w:r w:rsidRPr="00554C82">
        <w:rPr>
          <w:lang w:eastAsia="en-AU"/>
        </w:rPr>
        <w:t>)</w:t>
      </w:r>
      <w:r>
        <w:rPr>
          <w:lang w:eastAsia="en-AU"/>
        </w:rPr>
        <w:t>.</w:t>
      </w:r>
      <w:r w:rsidR="007A576E">
        <w:rPr>
          <w:lang w:eastAsia="en-AU"/>
        </w:rPr>
        <w:t xml:space="preserve"> </w:t>
      </w:r>
      <w:r>
        <w:rPr>
          <w:lang w:eastAsia="en-AU"/>
        </w:rPr>
        <w:t>Specific assumptions about Options 1 and 2 (</w:t>
      </w:r>
      <w:hyperlink w:anchor="Tab1114" w:history="1">
        <w:r w:rsidRPr="00AE272B">
          <w:rPr>
            <w:rStyle w:val="Hyperlink"/>
            <w:lang w:eastAsia="en-AU"/>
          </w:rPr>
          <w:t>Table 11.14</w:t>
        </w:r>
      </w:hyperlink>
      <w:r>
        <w:rPr>
          <w:lang w:eastAsia="en-AU"/>
        </w:rPr>
        <w:t>) and Option 3 (</w:t>
      </w:r>
      <w:hyperlink w:anchor="Tab1115" w:history="1">
        <w:r w:rsidRPr="00AE272B">
          <w:rPr>
            <w:rStyle w:val="Hyperlink"/>
            <w:lang w:eastAsia="en-AU"/>
          </w:rPr>
          <w:t>Table 11.15</w:t>
        </w:r>
      </w:hyperlink>
      <w:r>
        <w:rPr>
          <w:lang w:eastAsia="en-AU"/>
        </w:rPr>
        <w:t>) and the number of residents projected (</w:t>
      </w:r>
      <w:hyperlink w:anchor="Tab1116" w:history="1">
        <w:r w:rsidRPr="00F27718">
          <w:rPr>
            <w:rStyle w:val="Hyperlink"/>
            <w:lang w:eastAsia="en-AU"/>
          </w:rPr>
          <w:t>Table 11.16</w:t>
        </w:r>
      </w:hyperlink>
      <w:r>
        <w:rPr>
          <w:lang w:eastAsia="en-AU"/>
        </w:rPr>
        <w:t>) are also used to determine the analysis outcomes reported in section 11.4.5.</w:t>
      </w:r>
    </w:p>
    <w:p w:rsidR="00CC0633" w:rsidRDefault="00C90A16" w:rsidP="00CC0633">
      <w:pPr>
        <w:pStyle w:val="Caption"/>
        <w:keepNext/>
      </w:pPr>
      <w:bookmarkStart w:id="799" w:name="_Toc495416873"/>
      <w:bookmarkStart w:id="800" w:name="Tab1113"/>
      <w:r>
        <w:t>Table 11.</w:t>
      </w:r>
      <w:r w:rsidR="009A3F5A">
        <w:fldChar w:fldCharType="begin"/>
      </w:r>
      <w:r w:rsidR="009A3F5A">
        <w:instrText xml:space="preserve"> SEQ Table_11. \* ARABIC </w:instrText>
      </w:r>
      <w:r w:rsidR="009A3F5A">
        <w:fldChar w:fldCharType="separate"/>
      </w:r>
      <w:r w:rsidR="00856E49">
        <w:rPr>
          <w:noProof/>
        </w:rPr>
        <w:t>13</w:t>
      </w:r>
      <w:r w:rsidR="009A3F5A">
        <w:rPr>
          <w:noProof/>
        </w:rPr>
        <w:fldChar w:fldCharType="end"/>
      </w:r>
      <w:r>
        <w:t xml:space="preserve">: </w:t>
      </w:r>
      <w:r w:rsidRPr="00C90A16">
        <w:t>Review Officers in Present System and Option 1 Assumptions</w:t>
      </w:r>
      <w:bookmarkEnd w:id="799"/>
    </w:p>
    <w:tbl>
      <w:tblPr>
        <w:tblStyle w:val="ListTable3-Accent515"/>
        <w:tblW w:w="7230"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11.13 is a list of values for review officers, applicable to only option one. This table is to be read left to right, top to bottom."/>
      </w:tblPr>
      <w:tblGrid>
        <w:gridCol w:w="3969"/>
        <w:gridCol w:w="1418"/>
        <w:gridCol w:w="1843"/>
      </w:tblGrid>
      <w:tr w:rsidR="00DE18C4" w:rsidRPr="009D7239" w:rsidTr="00DE18C4">
        <w:trPr>
          <w:cnfStyle w:val="100000000000" w:firstRow="1" w:lastRow="0" w:firstColumn="0" w:lastColumn="0" w:oddVBand="0" w:evenVBand="0" w:oddHBand="0" w:evenHBand="0" w:firstRowFirstColumn="0" w:firstRowLastColumn="0" w:lastRowFirstColumn="0" w:lastRowLastColumn="0"/>
          <w:trHeight w:val="314"/>
          <w:tblHeader/>
        </w:trPr>
        <w:tc>
          <w:tcPr>
            <w:cnfStyle w:val="001000000100" w:firstRow="0" w:lastRow="0" w:firstColumn="1" w:lastColumn="0" w:oddVBand="0" w:evenVBand="0" w:oddHBand="0" w:evenHBand="0" w:firstRowFirstColumn="1" w:firstRowLastColumn="0" w:lastRowFirstColumn="0" w:lastRowLastColumn="0"/>
            <w:tcW w:w="3969" w:type="dxa"/>
            <w:noWrap/>
            <w:hideMark/>
          </w:tcPr>
          <w:bookmarkEnd w:id="800"/>
          <w:p w:rsidR="00DE18C4" w:rsidRPr="00503B31" w:rsidRDefault="00DE18C4" w:rsidP="00DD6610">
            <w:pPr>
              <w:spacing w:after="0"/>
              <w:rPr>
                <w:rFonts w:ascii="Calibri" w:eastAsia="Times New Roman" w:hAnsi="Calibri" w:cs="Calibri"/>
                <w:bCs w:val="0"/>
                <w:sz w:val="22"/>
                <w:lang w:val="en-US"/>
              </w:rPr>
            </w:pPr>
            <w:r w:rsidRPr="00503B31">
              <w:rPr>
                <w:rFonts w:ascii="Calibri" w:eastAsia="Times New Roman" w:hAnsi="Calibri" w:cs="Calibri"/>
                <w:bCs w:val="0"/>
                <w:sz w:val="22"/>
                <w:lang w:val="en-US"/>
              </w:rPr>
              <w:t>Assumption</w:t>
            </w:r>
          </w:p>
        </w:tc>
        <w:tc>
          <w:tcPr>
            <w:cnfStyle w:val="000010000000" w:firstRow="0" w:lastRow="0" w:firstColumn="0" w:lastColumn="0" w:oddVBand="1" w:evenVBand="0" w:oddHBand="0" w:evenHBand="0" w:firstRowFirstColumn="0" w:firstRowLastColumn="0" w:lastRowFirstColumn="0" w:lastRowLastColumn="0"/>
            <w:tcW w:w="1418" w:type="dxa"/>
          </w:tcPr>
          <w:p w:rsidR="00DE18C4" w:rsidRPr="00503B31" w:rsidRDefault="00DE18C4" w:rsidP="00DE18C4">
            <w:pPr>
              <w:spacing w:after="0"/>
              <w:jc w:val="center"/>
              <w:rPr>
                <w:rFonts w:ascii="Calibri" w:eastAsia="Times New Roman" w:hAnsi="Calibri" w:cs="Calibri"/>
                <w:bCs w:val="0"/>
                <w:sz w:val="22"/>
                <w:lang w:val="en-US"/>
              </w:rPr>
            </w:pPr>
            <w:r w:rsidRPr="00503B31">
              <w:rPr>
                <w:rFonts w:ascii="Calibri" w:eastAsia="Times New Roman" w:hAnsi="Calibri" w:cs="Calibri"/>
                <w:bCs w:val="0"/>
                <w:sz w:val="22"/>
                <w:lang w:val="en-US"/>
              </w:rPr>
              <w:t>Value</w:t>
            </w:r>
          </w:p>
        </w:tc>
        <w:tc>
          <w:tcPr>
            <w:tcW w:w="1843" w:type="dxa"/>
            <w:noWrap/>
            <w:hideMark/>
          </w:tcPr>
          <w:p w:rsidR="00DE18C4" w:rsidRPr="00503B31" w:rsidRDefault="00DE18C4" w:rsidP="00DE18C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2"/>
                <w:lang w:val="en-US"/>
              </w:rPr>
            </w:pPr>
            <w:r w:rsidRPr="00503B31">
              <w:rPr>
                <w:rFonts w:ascii="Calibri" w:eastAsia="Times New Roman" w:hAnsi="Calibri" w:cs="Calibri"/>
                <w:bCs w:val="0"/>
                <w:sz w:val="22"/>
                <w:lang w:val="en-US"/>
              </w:rPr>
              <w:t>Source</w:t>
            </w:r>
          </w:p>
        </w:tc>
      </w:tr>
      <w:tr w:rsidR="00DE18C4" w:rsidRPr="009D7239" w:rsidTr="00DE18C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969" w:type="dxa"/>
            <w:noWrap/>
            <w:hideMark/>
          </w:tcPr>
          <w:p w:rsidR="00DE18C4" w:rsidRPr="00503B31" w:rsidRDefault="00DE18C4" w:rsidP="00DD6610">
            <w:pPr>
              <w:spacing w:after="0"/>
              <w:rPr>
                <w:rFonts w:ascii="Calibri" w:eastAsia="Times New Roman" w:hAnsi="Calibri" w:cs="Calibri"/>
                <w:b w:val="0"/>
                <w:color w:val="000000"/>
                <w:sz w:val="22"/>
                <w:lang w:val="en-US"/>
              </w:rPr>
            </w:pPr>
            <w:r w:rsidRPr="00503B31">
              <w:rPr>
                <w:rFonts w:ascii="Calibri" w:eastAsia="Times New Roman" w:hAnsi="Calibri" w:cs="Calibri"/>
                <w:b w:val="0"/>
                <w:color w:val="000000"/>
                <w:sz w:val="22"/>
                <w:lang w:val="en-US"/>
              </w:rPr>
              <w:t>Number of review officers 17-18</w:t>
            </w:r>
          </w:p>
        </w:tc>
        <w:tc>
          <w:tcPr>
            <w:cnfStyle w:val="000010000000" w:firstRow="0" w:lastRow="0" w:firstColumn="0" w:lastColumn="0" w:oddVBand="1" w:evenVBand="0" w:oddHBand="0" w:evenHBand="0" w:firstRowFirstColumn="0" w:firstRowLastColumn="0" w:lastRowFirstColumn="0" w:lastRowLastColumn="0"/>
            <w:tcW w:w="1418" w:type="dxa"/>
          </w:tcPr>
          <w:p w:rsidR="00DE18C4" w:rsidRPr="009D7239" w:rsidRDefault="00DE18C4" w:rsidP="00DE18C4">
            <w:pPr>
              <w:spacing w:after="0"/>
              <w:jc w:val="center"/>
              <w:rPr>
                <w:rFonts w:ascii="Calibri" w:eastAsia="Times New Roman" w:hAnsi="Calibri" w:cs="Calibri"/>
                <w:color w:val="000000"/>
                <w:sz w:val="22"/>
                <w:lang w:val="en-US"/>
              </w:rPr>
            </w:pPr>
            <w:bookmarkStart w:id="801" w:name="Summary!D203"/>
            <w:r w:rsidRPr="009D7239">
              <w:rPr>
                <w:rFonts w:ascii="Calibri" w:eastAsia="Times New Roman" w:hAnsi="Calibri" w:cs="Calibri"/>
                <w:color w:val="000000"/>
                <w:sz w:val="22"/>
                <w:lang w:val="en-US"/>
              </w:rPr>
              <w:t>83</w:t>
            </w:r>
            <w:bookmarkEnd w:id="801"/>
          </w:p>
        </w:tc>
        <w:tc>
          <w:tcPr>
            <w:tcW w:w="1843" w:type="dxa"/>
            <w:noWrap/>
            <w:hideMark/>
          </w:tcPr>
          <w:p w:rsidR="00DE18C4" w:rsidRPr="009D7239" w:rsidRDefault="00DE18C4" w:rsidP="00DE18C4">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9D7239">
              <w:rPr>
                <w:rFonts w:ascii="Calibri" w:eastAsia="Times New Roman" w:hAnsi="Calibri" w:cs="Calibri"/>
                <w:color w:val="000000"/>
                <w:sz w:val="22"/>
                <w:lang w:val="en-US"/>
              </w:rPr>
              <w:t>DoH</w:t>
            </w:r>
          </w:p>
        </w:tc>
      </w:tr>
      <w:tr w:rsidR="00DE18C4" w:rsidRPr="009D7239" w:rsidTr="00DE18C4">
        <w:trPr>
          <w:trHeight w:val="260"/>
        </w:trPr>
        <w:tc>
          <w:tcPr>
            <w:cnfStyle w:val="001000000000" w:firstRow="0" w:lastRow="0" w:firstColumn="1" w:lastColumn="0" w:oddVBand="0" w:evenVBand="0" w:oddHBand="0" w:evenHBand="0" w:firstRowFirstColumn="0" w:firstRowLastColumn="0" w:lastRowFirstColumn="0" w:lastRowLastColumn="0"/>
            <w:tcW w:w="3969" w:type="dxa"/>
            <w:noWrap/>
            <w:hideMark/>
          </w:tcPr>
          <w:p w:rsidR="00DE18C4" w:rsidRPr="00503B31" w:rsidRDefault="00DE18C4" w:rsidP="00DE18C4">
            <w:pPr>
              <w:spacing w:after="0"/>
              <w:rPr>
                <w:rFonts w:ascii="Calibri" w:eastAsia="Times New Roman" w:hAnsi="Calibri" w:cs="Calibri"/>
                <w:b w:val="0"/>
                <w:color w:val="000000"/>
                <w:sz w:val="22"/>
                <w:lang w:val="en-US"/>
              </w:rPr>
            </w:pPr>
            <w:r w:rsidRPr="00503B31">
              <w:rPr>
                <w:rFonts w:ascii="Calibri" w:eastAsia="Times New Roman" w:hAnsi="Calibri" w:cs="Calibri"/>
                <w:b w:val="0"/>
                <w:color w:val="000000"/>
                <w:sz w:val="22"/>
                <w:lang w:val="en-US"/>
              </w:rPr>
              <w:t>Growth pa in review officers</w:t>
            </w:r>
          </w:p>
        </w:tc>
        <w:tc>
          <w:tcPr>
            <w:cnfStyle w:val="000010000000" w:firstRow="0" w:lastRow="0" w:firstColumn="0" w:lastColumn="0" w:oddVBand="1" w:evenVBand="0" w:oddHBand="0" w:evenHBand="0" w:firstRowFirstColumn="0" w:firstRowLastColumn="0" w:lastRowFirstColumn="0" w:lastRowLastColumn="0"/>
            <w:tcW w:w="1418" w:type="dxa"/>
          </w:tcPr>
          <w:p w:rsidR="00DE18C4" w:rsidRPr="009D7239" w:rsidRDefault="00DE18C4" w:rsidP="00DE18C4">
            <w:pPr>
              <w:spacing w:after="0"/>
              <w:jc w:val="center"/>
              <w:rPr>
                <w:rFonts w:ascii="Calibri" w:eastAsia="Times New Roman" w:hAnsi="Calibri" w:cs="Calibri"/>
                <w:color w:val="000000"/>
                <w:sz w:val="22"/>
                <w:lang w:val="en-US"/>
              </w:rPr>
            </w:pPr>
            <w:bookmarkStart w:id="802" w:name="Summary!D204"/>
            <w:r w:rsidRPr="009D7239">
              <w:rPr>
                <w:rFonts w:ascii="Calibri" w:eastAsia="Times New Roman" w:hAnsi="Calibri" w:cs="Calibri"/>
                <w:color w:val="000000"/>
                <w:sz w:val="22"/>
                <w:lang w:val="en-US"/>
              </w:rPr>
              <w:t>1.5%</w:t>
            </w:r>
            <w:bookmarkEnd w:id="802"/>
          </w:p>
        </w:tc>
        <w:tc>
          <w:tcPr>
            <w:tcW w:w="1843" w:type="dxa"/>
            <w:noWrap/>
            <w:hideMark/>
          </w:tcPr>
          <w:p w:rsidR="00DE18C4" w:rsidRPr="009D7239" w:rsidRDefault="00DE18C4" w:rsidP="00DE18C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9D7239">
              <w:rPr>
                <w:rFonts w:ascii="Calibri" w:eastAsia="Times New Roman" w:hAnsi="Calibri" w:cs="Calibri"/>
                <w:color w:val="000000"/>
                <w:sz w:val="22"/>
                <w:lang w:val="en-US"/>
              </w:rPr>
              <w:t>As for residents</w:t>
            </w:r>
          </w:p>
        </w:tc>
      </w:tr>
      <w:tr w:rsidR="00DE18C4" w:rsidRPr="009D7239" w:rsidTr="00DE18C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969" w:type="dxa"/>
            <w:noWrap/>
            <w:hideMark/>
          </w:tcPr>
          <w:p w:rsidR="00DE18C4" w:rsidRPr="00503B31" w:rsidRDefault="00DE18C4" w:rsidP="00DD6610">
            <w:pPr>
              <w:spacing w:after="0"/>
              <w:rPr>
                <w:rFonts w:ascii="Calibri" w:eastAsia="Times New Roman" w:hAnsi="Calibri" w:cs="Calibri"/>
                <w:b w:val="0"/>
                <w:color w:val="000000"/>
                <w:sz w:val="22"/>
                <w:lang w:val="en-US"/>
              </w:rPr>
            </w:pPr>
            <w:r w:rsidRPr="00503B31">
              <w:rPr>
                <w:rFonts w:ascii="Calibri" w:eastAsia="Times New Roman" w:hAnsi="Calibri" w:cs="Calibri"/>
                <w:b w:val="0"/>
                <w:color w:val="000000"/>
                <w:sz w:val="22"/>
                <w:lang w:val="en-US"/>
              </w:rPr>
              <w:t>Annual cost of review officer in 17-18</w:t>
            </w:r>
          </w:p>
        </w:tc>
        <w:tc>
          <w:tcPr>
            <w:cnfStyle w:val="000010000000" w:firstRow="0" w:lastRow="0" w:firstColumn="0" w:lastColumn="0" w:oddVBand="1" w:evenVBand="0" w:oddHBand="0" w:evenHBand="0" w:firstRowFirstColumn="0" w:firstRowLastColumn="0" w:lastRowFirstColumn="0" w:lastRowLastColumn="0"/>
            <w:tcW w:w="1418" w:type="dxa"/>
          </w:tcPr>
          <w:p w:rsidR="00DE18C4" w:rsidRDefault="00DE18C4" w:rsidP="00DE18C4">
            <w:pPr>
              <w:spacing w:after="0"/>
              <w:jc w:val="center"/>
              <w:rPr>
                <w:rFonts w:ascii="Calibri" w:eastAsia="Times New Roman" w:hAnsi="Calibri" w:cs="Calibri"/>
                <w:color w:val="000000"/>
                <w:sz w:val="22"/>
                <w:lang w:val="en-US"/>
              </w:rPr>
            </w:pPr>
            <w:bookmarkStart w:id="803" w:name="Summary!D205"/>
            <w:r w:rsidRPr="009D7239">
              <w:rPr>
                <w:rFonts w:ascii="Calibri" w:eastAsia="Times New Roman" w:hAnsi="Calibri" w:cs="Calibri"/>
                <w:color w:val="000000"/>
                <w:sz w:val="22"/>
                <w:lang w:val="en-US"/>
              </w:rPr>
              <w:t>150000</w:t>
            </w:r>
            <w:bookmarkEnd w:id="803"/>
          </w:p>
        </w:tc>
        <w:tc>
          <w:tcPr>
            <w:tcW w:w="1843" w:type="dxa"/>
            <w:noWrap/>
            <w:hideMark/>
          </w:tcPr>
          <w:p w:rsidR="00DE18C4" w:rsidRPr="009D7239" w:rsidRDefault="00DE18C4" w:rsidP="00DE18C4">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Pr>
                <w:rFonts w:ascii="Calibri" w:eastAsia="Times New Roman" w:hAnsi="Calibri" w:cs="Calibri"/>
                <w:color w:val="000000"/>
                <w:sz w:val="22"/>
                <w:lang w:val="en-US"/>
              </w:rPr>
              <w:t>Estimated</w:t>
            </w:r>
          </w:p>
        </w:tc>
      </w:tr>
      <w:tr w:rsidR="00A44B71" w:rsidRPr="009D7239" w:rsidTr="00DE18C4">
        <w:trPr>
          <w:trHeight w:val="251"/>
        </w:trPr>
        <w:tc>
          <w:tcPr>
            <w:cnfStyle w:val="001000000000" w:firstRow="0" w:lastRow="0" w:firstColumn="1" w:lastColumn="0" w:oddVBand="0" w:evenVBand="0" w:oddHBand="0" w:evenHBand="0" w:firstRowFirstColumn="0" w:firstRowLastColumn="0" w:lastRowFirstColumn="0" w:lastRowLastColumn="0"/>
            <w:tcW w:w="3969" w:type="dxa"/>
            <w:noWrap/>
            <w:hideMark/>
          </w:tcPr>
          <w:p w:rsidR="00A44B71" w:rsidRPr="00503B31" w:rsidRDefault="00A44B71" w:rsidP="00DE18C4">
            <w:pPr>
              <w:spacing w:after="0"/>
              <w:rPr>
                <w:rFonts w:ascii="Calibri" w:eastAsia="Times New Roman" w:hAnsi="Calibri" w:cs="Calibri"/>
                <w:b w:val="0"/>
                <w:color w:val="000000"/>
                <w:sz w:val="22"/>
                <w:lang w:val="en-US"/>
              </w:rPr>
            </w:pPr>
            <w:r w:rsidRPr="00503B31">
              <w:rPr>
                <w:rFonts w:ascii="Calibri" w:eastAsia="Times New Roman" w:hAnsi="Calibri" w:cs="Calibri"/>
                <w:b w:val="0"/>
                <w:color w:val="000000"/>
                <w:sz w:val="22"/>
                <w:lang w:val="en-US"/>
              </w:rPr>
              <w:t>Cost indexation pa for review officers</w:t>
            </w:r>
          </w:p>
        </w:tc>
        <w:tc>
          <w:tcPr>
            <w:cnfStyle w:val="000010000000" w:firstRow="0" w:lastRow="0" w:firstColumn="0" w:lastColumn="0" w:oddVBand="1" w:evenVBand="0" w:oddHBand="0" w:evenHBand="0" w:firstRowFirstColumn="0" w:firstRowLastColumn="0" w:lastRowFirstColumn="0" w:lastRowLastColumn="0"/>
            <w:tcW w:w="1418" w:type="dxa"/>
          </w:tcPr>
          <w:p w:rsidR="00A44B71" w:rsidRPr="009D7239" w:rsidRDefault="00A44B71" w:rsidP="00DE18C4">
            <w:pPr>
              <w:spacing w:after="0"/>
              <w:jc w:val="center"/>
              <w:rPr>
                <w:rFonts w:ascii="Calibri" w:eastAsia="Times New Roman" w:hAnsi="Calibri" w:cs="Calibri"/>
                <w:color w:val="000000"/>
                <w:sz w:val="22"/>
                <w:lang w:val="en-US"/>
              </w:rPr>
            </w:pPr>
            <w:bookmarkStart w:id="804" w:name="Summary!D206"/>
            <w:r w:rsidRPr="009D7239">
              <w:rPr>
                <w:rFonts w:ascii="Calibri" w:eastAsia="Times New Roman" w:hAnsi="Calibri" w:cs="Calibri"/>
                <w:color w:val="000000"/>
                <w:sz w:val="22"/>
                <w:lang w:val="en-US"/>
              </w:rPr>
              <w:t>2.0%</w:t>
            </w:r>
            <w:bookmarkEnd w:id="804"/>
          </w:p>
        </w:tc>
        <w:tc>
          <w:tcPr>
            <w:tcW w:w="1843" w:type="dxa"/>
            <w:noWrap/>
            <w:hideMark/>
          </w:tcPr>
          <w:p w:rsidR="00A44B71" w:rsidRPr="009D7239" w:rsidRDefault="00A44B71" w:rsidP="00DE18C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A44B71">
              <w:rPr>
                <w:rFonts w:ascii="Calibri" w:eastAsia="Times New Roman" w:hAnsi="Calibri" w:cs="Calibri"/>
                <w:i/>
                <w:color w:val="000000"/>
                <w:sz w:val="20"/>
                <w:lang w:val="en-US"/>
              </w:rPr>
              <w:t>No source.</w:t>
            </w:r>
          </w:p>
        </w:tc>
      </w:tr>
    </w:tbl>
    <w:p w:rsidR="00CC0633" w:rsidRDefault="00C90A16" w:rsidP="00CC0633">
      <w:pPr>
        <w:pStyle w:val="Caption"/>
        <w:keepNext/>
      </w:pPr>
      <w:bookmarkStart w:id="805" w:name="_Toc495416874"/>
      <w:bookmarkStart w:id="806" w:name="Tab1114"/>
      <w:r>
        <w:t>Table 11.</w:t>
      </w:r>
      <w:r w:rsidR="009A3F5A">
        <w:fldChar w:fldCharType="begin"/>
      </w:r>
      <w:r w:rsidR="009A3F5A">
        <w:instrText xml:space="preserve"> SEQ Table_11. \* ARABIC </w:instrText>
      </w:r>
      <w:r w:rsidR="009A3F5A">
        <w:fldChar w:fldCharType="separate"/>
      </w:r>
      <w:r w:rsidR="00856E49">
        <w:rPr>
          <w:noProof/>
        </w:rPr>
        <w:t>14</w:t>
      </w:r>
      <w:r w:rsidR="009A3F5A">
        <w:rPr>
          <w:noProof/>
        </w:rPr>
        <w:fldChar w:fldCharType="end"/>
      </w:r>
      <w:r>
        <w:t xml:space="preserve">: </w:t>
      </w:r>
      <w:r w:rsidRPr="00C90A16">
        <w:rPr>
          <w:lang w:val="en-US"/>
        </w:rPr>
        <w:t>Options 1 and 2 (ACAT assessors) Assumptions</w:t>
      </w:r>
      <w:bookmarkEnd w:id="805"/>
    </w:p>
    <w:tbl>
      <w:tblPr>
        <w:tblStyle w:val="ListTable3-Accent515"/>
        <w:tblW w:w="8005"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11.14 is a list of values applicable to options one and two. This table is to be read left to right, top to bottom."/>
      </w:tblPr>
      <w:tblGrid>
        <w:gridCol w:w="7015"/>
        <w:gridCol w:w="990"/>
      </w:tblGrid>
      <w:tr w:rsidR="00571656" w:rsidRPr="009D7239" w:rsidTr="007F2ED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7015" w:type="dxa"/>
            <w:tcBorders>
              <w:bottom w:val="none" w:sz="0" w:space="0" w:color="auto"/>
              <w:right w:val="none" w:sz="0" w:space="0" w:color="auto"/>
            </w:tcBorders>
            <w:noWrap/>
            <w:hideMark/>
          </w:tcPr>
          <w:bookmarkEnd w:id="806"/>
          <w:p w:rsidR="00571656" w:rsidRPr="00BC209E" w:rsidRDefault="00571656" w:rsidP="00DD6610">
            <w:pPr>
              <w:spacing w:after="0"/>
              <w:rPr>
                <w:rFonts w:ascii="Calibri" w:eastAsia="Times New Roman" w:hAnsi="Calibri" w:cs="Calibri"/>
                <w:bCs w:val="0"/>
                <w:sz w:val="22"/>
                <w:lang w:val="en-US"/>
              </w:rPr>
            </w:pPr>
            <w:r w:rsidRPr="00BC209E">
              <w:rPr>
                <w:rFonts w:ascii="Calibri" w:eastAsia="Times New Roman" w:hAnsi="Calibri" w:cs="Calibri"/>
                <w:bCs w:val="0"/>
                <w:sz w:val="22"/>
                <w:lang w:val="en-US"/>
              </w:rPr>
              <w:t>Assumption</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rsidR="00571656" w:rsidRPr="00BC209E" w:rsidRDefault="00571656" w:rsidP="00DD6610">
            <w:pPr>
              <w:spacing w:after="0"/>
              <w:jc w:val="right"/>
              <w:rPr>
                <w:rFonts w:ascii="Calibri" w:eastAsia="Times New Roman" w:hAnsi="Calibri" w:cs="Calibri"/>
                <w:bCs w:val="0"/>
                <w:sz w:val="22"/>
                <w:lang w:val="en-US"/>
              </w:rPr>
            </w:pPr>
            <w:r w:rsidRPr="00BC209E">
              <w:rPr>
                <w:rFonts w:ascii="Calibri" w:eastAsia="Times New Roman" w:hAnsi="Calibri" w:cs="Calibri"/>
                <w:bCs w:val="0"/>
                <w:sz w:val="22"/>
                <w:lang w:val="en-US"/>
              </w:rPr>
              <w:t>Value</w:t>
            </w:r>
          </w:p>
        </w:tc>
      </w:tr>
      <w:tr w:rsidR="00571656" w:rsidRPr="009D7239" w:rsidTr="007F2E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15" w:type="dxa"/>
            <w:tcBorders>
              <w:top w:val="none" w:sz="0" w:space="0" w:color="auto"/>
              <w:bottom w:val="none" w:sz="0" w:space="0" w:color="auto"/>
              <w:right w:val="none" w:sz="0" w:space="0" w:color="auto"/>
            </w:tcBorders>
            <w:noWrap/>
            <w:hideMark/>
          </w:tcPr>
          <w:p w:rsidR="00571656" w:rsidRPr="00B358A6" w:rsidRDefault="00571656" w:rsidP="00DD6610">
            <w:pPr>
              <w:spacing w:after="0"/>
              <w:rPr>
                <w:rFonts w:ascii="Calibri" w:eastAsia="Times New Roman" w:hAnsi="Calibri" w:cs="Calibri"/>
                <w:b w:val="0"/>
                <w:color w:val="000000"/>
                <w:sz w:val="22"/>
                <w:lang w:val="en-US"/>
              </w:rPr>
            </w:pPr>
            <w:r w:rsidRPr="00B358A6">
              <w:rPr>
                <w:rFonts w:ascii="Calibri" w:eastAsia="Times New Roman" w:hAnsi="Calibri" w:cs="Calibri"/>
                <w:b w:val="0"/>
                <w:color w:val="000000"/>
                <w:sz w:val="22"/>
                <w:lang w:val="en-US"/>
              </w:rPr>
              <w:t>ACAT approvals in 2016-17</w:t>
            </w:r>
            <w:r w:rsidR="009A045D">
              <w:rPr>
                <w:rFonts w:ascii="Calibri" w:eastAsia="Times New Roman" w:hAnsi="Calibri" w:cs="Calibri"/>
                <w:b w:val="0"/>
                <w:color w:val="000000"/>
                <w:sz w:val="22"/>
                <w:lang w:val="en-US"/>
              </w:rPr>
              <w:t xml:space="preserve"> (Options 1 &amp; 2)</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07" w:name="Summary!D211"/>
            <w:r w:rsidRPr="009D7239">
              <w:rPr>
                <w:rFonts w:ascii="Calibri" w:eastAsia="Times New Roman" w:hAnsi="Calibri" w:cs="Calibri"/>
                <w:color w:val="000000"/>
                <w:sz w:val="22"/>
                <w:lang w:val="en-US"/>
              </w:rPr>
              <w:t>120000</w:t>
            </w:r>
            <w:bookmarkEnd w:id="807"/>
          </w:p>
        </w:tc>
      </w:tr>
      <w:tr w:rsidR="00571656" w:rsidRPr="009D7239" w:rsidTr="007F2ED6">
        <w:trPr>
          <w:trHeight w:val="300"/>
        </w:trPr>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noWrap/>
            <w:hideMark/>
          </w:tcPr>
          <w:p w:rsidR="00571656" w:rsidRPr="00B358A6" w:rsidRDefault="00571656" w:rsidP="00DE18C4">
            <w:pPr>
              <w:spacing w:after="0"/>
              <w:rPr>
                <w:rFonts w:ascii="Calibri" w:eastAsia="Times New Roman" w:hAnsi="Calibri" w:cs="Calibri"/>
                <w:b w:val="0"/>
                <w:color w:val="000000"/>
                <w:sz w:val="22"/>
                <w:lang w:val="en-US"/>
              </w:rPr>
            </w:pPr>
            <w:r w:rsidRPr="00B358A6">
              <w:rPr>
                <w:rFonts w:ascii="Calibri" w:eastAsia="Times New Roman" w:hAnsi="Calibri" w:cs="Calibri"/>
                <w:b w:val="0"/>
                <w:color w:val="000000"/>
                <w:sz w:val="22"/>
                <w:lang w:val="en-US"/>
              </w:rPr>
              <w:t>Assumed growth pa</w:t>
            </w:r>
            <w:r w:rsidR="00DE18C4">
              <w:rPr>
                <w:rFonts w:ascii="Calibri" w:eastAsia="Times New Roman" w:hAnsi="Calibri" w:cs="Calibri"/>
                <w:b w:val="0"/>
                <w:color w:val="000000"/>
                <w:sz w:val="22"/>
                <w:lang w:val="en-US"/>
              </w:rPr>
              <w:t xml:space="preserve"> </w:t>
            </w:r>
            <w:r w:rsidRPr="00B358A6">
              <w:rPr>
                <w:rFonts w:ascii="Calibri" w:eastAsia="Times New Roman" w:hAnsi="Calibri" w:cs="Calibri"/>
                <w:b w:val="0"/>
                <w:color w:val="000000"/>
                <w:sz w:val="22"/>
                <w:lang w:val="en-US"/>
              </w:rPr>
              <w:t>in ACAT approvals</w:t>
            </w:r>
            <w:r w:rsidR="009A045D">
              <w:rPr>
                <w:rFonts w:ascii="Calibri" w:eastAsia="Times New Roman" w:hAnsi="Calibri" w:cs="Calibri"/>
                <w:b w:val="0"/>
                <w:color w:val="000000"/>
                <w:sz w:val="22"/>
                <w:lang w:val="en-US"/>
              </w:rPr>
              <w:t xml:space="preserve"> (Options 1 &amp; 2)</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08" w:name="Summary!D212"/>
            <w:r w:rsidRPr="009D7239">
              <w:rPr>
                <w:rFonts w:ascii="Calibri" w:eastAsia="Times New Roman" w:hAnsi="Calibri" w:cs="Calibri"/>
                <w:color w:val="000000"/>
                <w:sz w:val="22"/>
                <w:lang w:val="en-US"/>
              </w:rPr>
              <w:t>1.5%</w:t>
            </w:r>
            <w:bookmarkEnd w:id="808"/>
          </w:p>
        </w:tc>
      </w:tr>
      <w:tr w:rsidR="00571656" w:rsidRPr="009D7239" w:rsidTr="007F2E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15" w:type="dxa"/>
            <w:tcBorders>
              <w:top w:val="none" w:sz="0" w:space="0" w:color="auto"/>
              <w:bottom w:val="none" w:sz="0" w:space="0" w:color="auto"/>
              <w:right w:val="none" w:sz="0" w:space="0" w:color="auto"/>
            </w:tcBorders>
            <w:noWrap/>
            <w:hideMark/>
          </w:tcPr>
          <w:p w:rsidR="00571656" w:rsidRPr="00B358A6" w:rsidRDefault="00571656" w:rsidP="00DD6610">
            <w:pPr>
              <w:spacing w:after="0"/>
              <w:rPr>
                <w:rFonts w:ascii="Calibri" w:eastAsia="Times New Roman" w:hAnsi="Calibri" w:cs="Calibri"/>
                <w:b w:val="0"/>
                <w:color w:val="000000"/>
                <w:sz w:val="22"/>
                <w:lang w:val="en-US"/>
              </w:rPr>
            </w:pPr>
            <w:r w:rsidRPr="00B358A6">
              <w:rPr>
                <w:rFonts w:ascii="Calibri" w:eastAsia="Times New Roman" w:hAnsi="Calibri" w:cs="Calibri"/>
                <w:b w:val="0"/>
                <w:color w:val="000000"/>
                <w:sz w:val="22"/>
                <w:lang w:val="en-US"/>
              </w:rPr>
              <w:t>Extra hours per ACAT approval</w:t>
            </w:r>
            <w:r w:rsidR="009A045D">
              <w:rPr>
                <w:rFonts w:ascii="Calibri" w:eastAsia="Times New Roman" w:hAnsi="Calibri" w:cs="Calibri"/>
                <w:b w:val="0"/>
                <w:color w:val="000000"/>
                <w:sz w:val="22"/>
                <w:lang w:val="en-US"/>
              </w:rPr>
              <w:t xml:space="preserve"> (Options 1 &amp; 2)</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09" w:name="Summary!D213"/>
            <w:r w:rsidRPr="009D7239">
              <w:rPr>
                <w:rFonts w:ascii="Calibri" w:eastAsia="Times New Roman" w:hAnsi="Calibri" w:cs="Calibri"/>
                <w:color w:val="000000"/>
                <w:sz w:val="22"/>
                <w:lang w:val="en-US"/>
              </w:rPr>
              <w:t>0.5</w:t>
            </w:r>
            <w:bookmarkEnd w:id="809"/>
          </w:p>
        </w:tc>
      </w:tr>
      <w:tr w:rsidR="00571656" w:rsidRPr="009D7239" w:rsidTr="007F2ED6">
        <w:trPr>
          <w:trHeight w:val="300"/>
        </w:trPr>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noWrap/>
            <w:hideMark/>
          </w:tcPr>
          <w:p w:rsidR="00571656" w:rsidRPr="00B358A6" w:rsidRDefault="00571656" w:rsidP="00DD6610">
            <w:pPr>
              <w:spacing w:after="0"/>
              <w:rPr>
                <w:rFonts w:ascii="Calibri" w:eastAsia="Times New Roman" w:hAnsi="Calibri" w:cs="Calibri"/>
                <w:b w:val="0"/>
                <w:color w:val="000000"/>
                <w:sz w:val="22"/>
                <w:lang w:val="en-US"/>
              </w:rPr>
            </w:pPr>
            <w:r w:rsidRPr="00B358A6">
              <w:rPr>
                <w:rFonts w:ascii="Calibri" w:eastAsia="Times New Roman" w:hAnsi="Calibri" w:cs="Calibri"/>
                <w:b w:val="0"/>
                <w:color w:val="000000"/>
                <w:sz w:val="22"/>
                <w:lang w:val="en-US"/>
              </w:rPr>
              <w:t>ACAT update needed at entry</w:t>
            </w:r>
            <w:r w:rsidR="009A045D">
              <w:rPr>
                <w:rFonts w:ascii="Calibri" w:eastAsia="Times New Roman" w:hAnsi="Calibri" w:cs="Calibri"/>
                <w:b w:val="0"/>
                <w:color w:val="000000"/>
                <w:sz w:val="22"/>
                <w:lang w:val="en-US"/>
              </w:rPr>
              <w:t xml:space="preserve"> (Options 1 &amp; 2)</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10" w:name="Summary!D214"/>
            <w:r w:rsidRPr="009D7239">
              <w:rPr>
                <w:rFonts w:ascii="Calibri" w:eastAsia="Times New Roman" w:hAnsi="Calibri" w:cs="Calibri"/>
                <w:color w:val="000000"/>
                <w:sz w:val="22"/>
                <w:lang w:val="en-US"/>
              </w:rPr>
              <w:t>50%</w:t>
            </w:r>
            <w:bookmarkEnd w:id="810"/>
          </w:p>
        </w:tc>
      </w:tr>
      <w:tr w:rsidR="00571656" w:rsidRPr="009D7239" w:rsidTr="007F2E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15" w:type="dxa"/>
            <w:tcBorders>
              <w:top w:val="none" w:sz="0" w:space="0" w:color="auto"/>
              <w:bottom w:val="none" w:sz="0" w:space="0" w:color="auto"/>
              <w:right w:val="none" w:sz="0" w:space="0" w:color="auto"/>
            </w:tcBorders>
            <w:noWrap/>
            <w:hideMark/>
          </w:tcPr>
          <w:p w:rsidR="00571656" w:rsidRPr="00B358A6" w:rsidRDefault="00571656" w:rsidP="00DD6610">
            <w:pPr>
              <w:spacing w:after="0"/>
              <w:rPr>
                <w:rFonts w:ascii="Calibri" w:eastAsia="Times New Roman" w:hAnsi="Calibri" w:cs="Calibri"/>
                <w:b w:val="0"/>
                <w:color w:val="000000"/>
                <w:sz w:val="22"/>
                <w:lang w:val="en-US"/>
              </w:rPr>
            </w:pPr>
            <w:r w:rsidRPr="00B358A6">
              <w:rPr>
                <w:rFonts w:ascii="Calibri" w:eastAsia="Times New Roman" w:hAnsi="Calibri" w:cs="Calibri"/>
                <w:b w:val="0"/>
                <w:color w:val="000000"/>
                <w:sz w:val="22"/>
                <w:lang w:val="en-US"/>
              </w:rPr>
              <w:t>Site visits per reappraisal</w:t>
            </w:r>
            <w:r w:rsidRPr="009D7239">
              <w:rPr>
                <w:rFonts w:ascii="Calibri" w:eastAsia="Times New Roman" w:hAnsi="Calibri" w:cs="Calibri"/>
                <w:color w:val="000000"/>
                <w:sz w:val="22"/>
                <w:lang w:val="en-US"/>
              </w:rPr>
              <w:t xml:space="preserve"> </w:t>
            </w:r>
            <w:r w:rsidR="009A045D">
              <w:rPr>
                <w:rFonts w:ascii="Calibri" w:eastAsia="Times New Roman" w:hAnsi="Calibri" w:cs="Calibri"/>
                <w:b w:val="0"/>
                <w:color w:val="000000"/>
                <w:sz w:val="22"/>
                <w:lang w:val="en-US"/>
              </w:rPr>
              <w:t>(Options 1 &amp; 2)</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11" w:name="Summary!D215"/>
            <w:r w:rsidRPr="009D7239">
              <w:rPr>
                <w:rFonts w:ascii="Calibri" w:eastAsia="Times New Roman" w:hAnsi="Calibri" w:cs="Calibri"/>
                <w:color w:val="000000"/>
                <w:sz w:val="22"/>
                <w:lang w:val="en-US"/>
              </w:rPr>
              <w:t>25%</w:t>
            </w:r>
            <w:bookmarkEnd w:id="811"/>
          </w:p>
        </w:tc>
      </w:tr>
      <w:tr w:rsidR="00571656" w:rsidRPr="009D7239" w:rsidTr="007F2ED6">
        <w:trPr>
          <w:trHeight w:val="300"/>
        </w:trPr>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noWrap/>
            <w:hideMark/>
          </w:tcPr>
          <w:p w:rsidR="00571656" w:rsidRPr="00B358A6" w:rsidRDefault="00571656" w:rsidP="00DD6610">
            <w:pPr>
              <w:spacing w:after="0"/>
              <w:rPr>
                <w:rFonts w:ascii="Calibri" w:eastAsia="Times New Roman" w:hAnsi="Calibri" w:cs="Calibri"/>
                <w:b w:val="0"/>
                <w:color w:val="000000"/>
                <w:sz w:val="22"/>
                <w:lang w:val="en-US"/>
              </w:rPr>
            </w:pPr>
            <w:r w:rsidRPr="00B358A6">
              <w:rPr>
                <w:rFonts w:ascii="Calibri" w:eastAsia="Times New Roman" w:hAnsi="Calibri" w:cs="Calibri"/>
                <w:b w:val="0"/>
                <w:color w:val="000000"/>
                <w:sz w:val="22"/>
                <w:lang w:val="en-US"/>
              </w:rPr>
              <w:t>ACAT hours per update at entry</w:t>
            </w:r>
            <w:r w:rsidR="009A045D">
              <w:rPr>
                <w:rFonts w:ascii="Calibri" w:eastAsia="Times New Roman" w:hAnsi="Calibri" w:cs="Calibri"/>
                <w:b w:val="0"/>
                <w:color w:val="000000"/>
                <w:sz w:val="22"/>
                <w:lang w:val="en-US"/>
              </w:rPr>
              <w:t xml:space="preserve"> (Options 1 &amp; 2)</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12" w:name="Summary!D217"/>
            <w:r w:rsidRPr="009D7239">
              <w:rPr>
                <w:rFonts w:ascii="Calibri" w:eastAsia="Times New Roman" w:hAnsi="Calibri" w:cs="Calibri"/>
                <w:color w:val="000000"/>
                <w:sz w:val="22"/>
                <w:lang w:val="en-US"/>
              </w:rPr>
              <w:t>2</w:t>
            </w:r>
            <w:bookmarkEnd w:id="812"/>
          </w:p>
        </w:tc>
      </w:tr>
      <w:tr w:rsidR="00571656" w:rsidRPr="009D7239" w:rsidTr="007F2E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15" w:type="dxa"/>
            <w:tcBorders>
              <w:top w:val="none" w:sz="0" w:space="0" w:color="auto"/>
              <w:bottom w:val="none" w:sz="0" w:space="0" w:color="auto"/>
              <w:right w:val="none" w:sz="0" w:space="0" w:color="auto"/>
            </w:tcBorders>
            <w:noWrap/>
            <w:hideMark/>
          </w:tcPr>
          <w:p w:rsidR="00571656" w:rsidRPr="00B358A6" w:rsidRDefault="00571656" w:rsidP="00DD6610">
            <w:pPr>
              <w:spacing w:after="0"/>
              <w:rPr>
                <w:rFonts w:ascii="Calibri" w:eastAsia="Times New Roman" w:hAnsi="Calibri" w:cs="Calibri"/>
                <w:b w:val="0"/>
                <w:color w:val="000000"/>
                <w:sz w:val="22"/>
                <w:lang w:val="en-US"/>
              </w:rPr>
            </w:pPr>
            <w:r w:rsidRPr="00B358A6">
              <w:rPr>
                <w:rFonts w:ascii="Calibri" w:eastAsia="Times New Roman" w:hAnsi="Calibri" w:cs="Calibri"/>
                <w:b w:val="0"/>
                <w:color w:val="000000"/>
                <w:sz w:val="22"/>
                <w:lang w:val="en-US"/>
              </w:rPr>
              <w:t>ACAT hours per reappraisal visit</w:t>
            </w:r>
            <w:r w:rsidR="009A045D">
              <w:rPr>
                <w:rFonts w:ascii="Calibri" w:eastAsia="Times New Roman" w:hAnsi="Calibri" w:cs="Calibri"/>
                <w:b w:val="0"/>
                <w:color w:val="000000"/>
                <w:sz w:val="22"/>
                <w:lang w:val="en-US"/>
              </w:rPr>
              <w:t xml:space="preserve"> (Options 1 &amp; 2)</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13" w:name="Summary!D218"/>
            <w:r w:rsidRPr="009D7239">
              <w:rPr>
                <w:rFonts w:ascii="Calibri" w:eastAsia="Times New Roman" w:hAnsi="Calibri" w:cs="Calibri"/>
                <w:color w:val="000000"/>
                <w:sz w:val="22"/>
                <w:lang w:val="en-US"/>
              </w:rPr>
              <w:t>3.5</w:t>
            </w:r>
            <w:bookmarkEnd w:id="813"/>
          </w:p>
        </w:tc>
      </w:tr>
      <w:tr w:rsidR="00571656" w:rsidRPr="009D7239" w:rsidTr="007F2ED6">
        <w:trPr>
          <w:trHeight w:val="300"/>
        </w:trPr>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noWrap/>
            <w:hideMark/>
          </w:tcPr>
          <w:p w:rsidR="00571656" w:rsidRPr="00B358A6" w:rsidRDefault="00571656" w:rsidP="00DD6610">
            <w:pPr>
              <w:spacing w:after="0"/>
              <w:rPr>
                <w:rFonts w:ascii="Calibri" w:eastAsia="Times New Roman" w:hAnsi="Calibri" w:cs="Calibri"/>
                <w:b w:val="0"/>
                <w:color w:val="000000"/>
                <w:sz w:val="22"/>
                <w:lang w:val="en-US"/>
              </w:rPr>
            </w:pPr>
            <w:r w:rsidRPr="00B358A6">
              <w:rPr>
                <w:rFonts w:ascii="Calibri" w:eastAsia="Times New Roman" w:hAnsi="Calibri" w:cs="Calibri"/>
                <w:b w:val="0"/>
                <w:color w:val="000000"/>
                <w:sz w:val="22"/>
                <w:lang w:val="en-US"/>
              </w:rPr>
              <w:t>Hourly cost of ACAT staff in 17-18</w:t>
            </w:r>
            <w:r>
              <w:rPr>
                <w:rFonts w:ascii="Calibri" w:eastAsia="Times New Roman" w:hAnsi="Calibri" w:cs="Calibri"/>
                <w:b w:val="0"/>
                <w:color w:val="000000"/>
                <w:sz w:val="22"/>
                <w:lang w:val="en-US"/>
              </w:rPr>
              <w:t xml:space="preserve"> (</w:t>
            </w:r>
            <w:r w:rsidRPr="00BC209E">
              <w:rPr>
                <w:rFonts w:ascii="Calibri" w:eastAsia="Times New Roman" w:hAnsi="Calibri" w:cs="Calibri"/>
                <w:b w:val="0"/>
                <w:color w:val="000000"/>
                <w:sz w:val="22"/>
                <w:lang w:val="en-US"/>
              </w:rPr>
              <w:t>Estimated</w:t>
            </w:r>
            <w:r>
              <w:rPr>
                <w:rFonts w:ascii="Calibri" w:eastAsia="Times New Roman" w:hAnsi="Calibri" w:cs="Calibri"/>
                <w:b w:val="0"/>
                <w:color w:val="000000"/>
                <w:sz w:val="22"/>
                <w:lang w:val="en-US"/>
              </w:rPr>
              <w:t>)</w:t>
            </w:r>
            <w:r w:rsidR="009A045D">
              <w:rPr>
                <w:rFonts w:ascii="Calibri" w:eastAsia="Times New Roman" w:hAnsi="Calibri" w:cs="Calibri"/>
                <w:b w:val="0"/>
                <w:color w:val="000000"/>
                <w:sz w:val="22"/>
                <w:lang w:val="en-US"/>
              </w:rPr>
              <w:t xml:space="preserve"> (Options 1 &amp; 2)</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14" w:name="Summary!D219"/>
            <w:r w:rsidRPr="009D7239">
              <w:rPr>
                <w:rFonts w:ascii="Calibri" w:eastAsia="Times New Roman" w:hAnsi="Calibri" w:cs="Calibri"/>
                <w:color w:val="000000"/>
                <w:sz w:val="22"/>
                <w:lang w:val="en-US"/>
              </w:rPr>
              <w:t>100</w:t>
            </w:r>
            <w:bookmarkEnd w:id="814"/>
          </w:p>
        </w:tc>
      </w:tr>
      <w:tr w:rsidR="00571656" w:rsidRPr="009D7239" w:rsidTr="007F2E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15" w:type="dxa"/>
            <w:tcBorders>
              <w:top w:val="none" w:sz="0" w:space="0" w:color="auto"/>
              <w:bottom w:val="none" w:sz="0" w:space="0" w:color="auto"/>
              <w:right w:val="none" w:sz="0" w:space="0" w:color="auto"/>
            </w:tcBorders>
            <w:noWrap/>
            <w:hideMark/>
          </w:tcPr>
          <w:p w:rsidR="00571656" w:rsidRPr="00B358A6" w:rsidRDefault="00571656" w:rsidP="00DD6610">
            <w:pPr>
              <w:spacing w:after="0"/>
              <w:rPr>
                <w:rFonts w:ascii="Calibri" w:eastAsia="Times New Roman" w:hAnsi="Calibri" w:cs="Calibri"/>
                <w:b w:val="0"/>
                <w:color w:val="000000"/>
                <w:sz w:val="22"/>
                <w:lang w:val="en-US"/>
              </w:rPr>
            </w:pPr>
            <w:r w:rsidRPr="00B358A6">
              <w:rPr>
                <w:rFonts w:ascii="Calibri" w:eastAsia="Times New Roman" w:hAnsi="Calibri" w:cs="Calibri"/>
                <w:b w:val="0"/>
                <w:color w:val="000000"/>
                <w:sz w:val="22"/>
                <w:lang w:val="en-US"/>
              </w:rPr>
              <w:t>Cost indexation pa for ACAT staff</w:t>
            </w:r>
            <w:r w:rsidR="009A045D">
              <w:rPr>
                <w:rFonts w:ascii="Calibri" w:eastAsia="Times New Roman" w:hAnsi="Calibri" w:cs="Calibri"/>
                <w:b w:val="0"/>
                <w:color w:val="000000"/>
                <w:sz w:val="22"/>
                <w:lang w:val="en-US"/>
              </w:rPr>
              <w:t xml:space="preserve"> (Options 1 &amp; 2)</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15" w:name="Summary!D220"/>
            <w:r w:rsidRPr="009D7239">
              <w:rPr>
                <w:rFonts w:ascii="Calibri" w:eastAsia="Times New Roman" w:hAnsi="Calibri" w:cs="Calibri"/>
                <w:color w:val="000000"/>
                <w:sz w:val="22"/>
                <w:lang w:val="en-US"/>
              </w:rPr>
              <w:t>2.0%</w:t>
            </w:r>
            <w:bookmarkEnd w:id="815"/>
          </w:p>
        </w:tc>
      </w:tr>
      <w:tr w:rsidR="00571656" w:rsidRPr="009D7239" w:rsidTr="007F2ED6">
        <w:trPr>
          <w:trHeight w:val="300"/>
        </w:trPr>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noWrap/>
            <w:hideMark/>
          </w:tcPr>
          <w:p w:rsidR="00571656" w:rsidRPr="00B358A6" w:rsidRDefault="00571656" w:rsidP="00DD6610">
            <w:pPr>
              <w:spacing w:after="0"/>
              <w:rPr>
                <w:rFonts w:ascii="Calibri" w:eastAsia="Times New Roman" w:hAnsi="Calibri" w:cs="Calibri"/>
                <w:b w:val="0"/>
                <w:color w:val="000000"/>
                <w:sz w:val="22"/>
                <w:lang w:val="en-US"/>
              </w:rPr>
            </w:pPr>
            <w:r w:rsidRPr="00B358A6">
              <w:rPr>
                <w:rFonts w:ascii="Calibri" w:eastAsia="Times New Roman" w:hAnsi="Calibri" w:cs="Calibri"/>
                <w:b w:val="0"/>
                <w:color w:val="000000"/>
                <w:sz w:val="22"/>
                <w:lang w:val="en-US"/>
              </w:rPr>
              <w:t>Optimisation level for new entrants</w:t>
            </w:r>
            <w:r w:rsidR="009A045D">
              <w:rPr>
                <w:rFonts w:ascii="Calibri" w:eastAsia="Times New Roman" w:hAnsi="Calibri" w:cs="Calibri"/>
                <w:b w:val="0"/>
                <w:color w:val="000000"/>
                <w:sz w:val="22"/>
                <w:lang w:val="en-US"/>
              </w:rPr>
              <w:t xml:space="preserve"> (Option 1)</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16" w:name="Summary!D221"/>
            <w:r w:rsidRPr="009D7239">
              <w:rPr>
                <w:rFonts w:ascii="Calibri" w:eastAsia="Times New Roman" w:hAnsi="Calibri" w:cs="Calibri"/>
                <w:color w:val="000000"/>
                <w:sz w:val="22"/>
                <w:lang w:val="en-US"/>
              </w:rPr>
              <w:t>10.0%</w:t>
            </w:r>
            <w:bookmarkEnd w:id="816"/>
          </w:p>
        </w:tc>
      </w:tr>
      <w:tr w:rsidR="00571656" w:rsidRPr="009D7239" w:rsidTr="007F2E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15" w:type="dxa"/>
            <w:tcBorders>
              <w:top w:val="none" w:sz="0" w:space="0" w:color="auto"/>
              <w:bottom w:val="none" w:sz="0" w:space="0" w:color="auto"/>
              <w:right w:val="none" w:sz="0" w:space="0" w:color="auto"/>
            </w:tcBorders>
            <w:noWrap/>
            <w:hideMark/>
          </w:tcPr>
          <w:p w:rsidR="00571656" w:rsidRPr="00B358A6" w:rsidRDefault="00571656" w:rsidP="00DD6610">
            <w:pPr>
              <w:spacing w:after="0"/>
              <w:rPr>
                <w:rFonts w:ascii="Calibri" w:eastAsia="Times New Roman" w:hAnsi="Calibri" w:cs="Calibri"/>
                <w:b w:val="0"/>
                <w:color w:val="000000"/>
                <w:sz w:val="22"/>
                <w:lang w:val="en-US"/>
              </w:rPr>
            </w:pPr>
            <w:r w:rsidRPr="00B358A6">
              <w:rPr>
                <w:rFonts w:ascii="Calibri" w:eastAsia="Times New Roman" w:hAnsi="Calibri" w:cs="Calibri"/>
                <w:b w:val="0"/>
                <w:color w:val="000000"/>
                <w:sz w:val="22"/>
                <w:lang w:val="en-US"/>
              </w:rPr>
              <w:t>Optimisation level for new entrants</w:t>
            </w:r>
            <w:r w:rsidR="009A045D">
              <w:rPr>
                <w:rFonts w:ascii="Calibri" w:eastAsia="Times New Roman" w:hAnsi="Calibri" w:cs="Calibri"/>
                <w:b w:val="0"/>
                <w:color w:val="000000"/>
                <w:sz w:val="22"/>
                <w:lang w:val="en-US"/>
              </w:rPr>
              <w:t xml:space="preserve"> (Option 2)</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17" w:name="Summary!D222"/>
            <w:r w:rsidRPr="009D7239">
              <w:rPr>
                <w:rFonts w:ascii="Calibri" w:eastAsia="Times New Roman" w:hAnsi="Calibri" w:cs="Calibri"/>
                <w:color w:val="000000"/>
                <w:sz w:val="22"/>
                <w:lang w:val="en-US"/>
              </w:rPr>
              <w:t>2.0%</w:t>
            </w:r>
            <w:bookmarkEnd w:id="817"/>
          </w:p>
        </w:tc>
      </w:tr>
      <w:tr w:rsidR="00571656" w:rsidRPr="009D7239" w:rsidTr="007F2ED6">
        <w:trPr>
          <w:trHeight w:val="300"/>
        </w:trPr>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noWrap/>
            <w:hideMark/>
          </w:tcPr>
          <w:p w:rsidR="00571656" w:rsidRPr="00B358A6" w:rsidRDefault="00571656" w:rsidP="00DD6610">
            <w:pPr>
              <w:spacing w:after="0"/>
              <w:rPr>
                <w:rFonts w:ascii="Calibri" w:eastAsia="Times New Roman" w:hAnsi="Calibri" w:cs="Calibri"/>
                <w:b w:val="0"/>
                <w:color w:val="000000"/>
                <w:sz w:val="22"/>
                <w:lang w:val="en-US"/>
              </w:rPr>
            </w:pPr>
            <w:r w:rsidRPr="00B358A6">
              <w:rPr>
                <w:rFonts w:ascii="Calibri" w:eastAsia="Times New Roman" w:hAnsi="Calibri" w:cs="Calibri"/>
                <w:b w:val="0"/>
                <w:color w:val="000000"/>
                <w:sz w:val="22"/>
                <w:lang w:val="en-US"/>
              </w:rPr>
              <w:t>Optimisation level for long-term residents</w:t>
            </w:r>
            <w:r w:rsidR="009A045D">
              <w:rPr>
                <w:rFonts w:ascii="Calibri" w:eastAsia="Times New Roman" w:hAnsi="Calibri" w:cs="Calibri"/>
                <w:b w:val="0"/>
                <w:color w:val="000000"/>
                <w:sz w:val="22"/>
                <w:lang w:val="en-US"/>
              </w:rPr>
              <w:t xml:space="preserve"> (Option 1)</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18" w:name="Summary!D224"/>
            <w:r w:rsidRPr="009D7239">
              <w:rPr>
                <w:rFonts w:ascii="Calibri" w:eastAsia="Times New Roman" w:hAnsi="Calibri" w:cs="Calibri"/>
                <w:color w:val="000000"/>
                <w:sz w:val="22"/>
                <w:lang w:val="en-US"/>
              </w:rPr>
              <w:t>2</w:t>
            </w:r>
            <w:r w:rsidR="000029AB">
              <w:rPr>
                <w:rFonts w:ascii="Calibri" w:eastAsia="Times New Roman" w:hAnsi="Calibri" w:cs="Calibri"/>
                <w:color w:val="000000"/>
                <w:sz w:val="22"/>
                <w:lang w:val="en-US"/>
              </w:rPr>
              <w:t>5</w:t>
            </w:r>
            <w:r w:rsidRPr="009D7239">
              <w:rPr>
                <w:rFonts w:ascii="Calibri" w:eastAsia="Times New Roman" w:hAnsi="Calibri" w:cs="Calibri"/>
                <w:color w:val="000000"/>
                <w:sz w:val="22"/>
                <w:lang w:val="en-US"/>
              </w:rPr>
              <w:t>.0%</w:t>
            </w:r>
            <w:bookmarkEnd w:id="818"/>
          </w:p>
        </w:tc>
      </w:tr>
      <w:tr w:rsidR="00571656" w:rsidRPr="009D7239" w:rsidTr="007F2E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15" w:type="dxa"/>
            <w:tcBorders>
              <w:top w:val="none" w:sz="0" w:space="0" w:color="auto"/>
              <w:bottom w:val="none" w:sz="0" w:space="0" w:color="auto"/>
              <w:right w:val="none" w:sz="0" w:space="0" w:color="auto"/>
            </w:tcBorders>
            <w:noWrap/>
            <w:hideMark/>
          </w:tcPr>
          <w:p w:rsidR="00571656" w:rsidRPr="00B358A6" w:rsidRDefault="00571656" w:rsidP="00DD6610">
            <w:pPr>
              <w:spacing w:after="0"/>
              <w:rPr>
                <w:rFonts w:ascii="Calibri" w:eastAsia="Times New Roman" w:hAnsi="Calibri" w:cs="Calibri"/>
                <w:b w:val="0"/>
                <w:color w:val="000000"/>
                <w:sz w:val="22"/>
                <w:lang w:val="en-US"/>
              </w:rPr>
            </w:pPr>
            <w:r w:rsidRPr="00B358A6">
              <w:rPr>
                <w:rFonts w:ascii="Calibri" w:eastAsia="Times New Roman" w:hAnsi="Calibri" w:cs="Calibri"/>
                <w:b w:val="0"/>
                <w:color w:val="000000"/>
                <w:sz w:val="22"/>
                <w:lang w:val="en-US"/>
              </w:rPr>
              <w:lastRenderedPageBreak/>
              <w:t>Optimisation level for reappraisals</w:t>
            </w:r>
            <w:r w:rsidR="009A045D">
              <w:rPr>
                <w:rFonts w:ascii="Calibri" w:eastAsia="Times New Roman" w:hAnsi="Calibri" w:cs="Calibri"/>
                <w:b w:val="0"/>
                <w:color w:val="000000"/>
                <w:sz w:val="22"/>
                <w:lang w:val="en-US"/>
              </w:rPr>
              <w:t xml:space="preserve"> (Option 2)</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19" w:name="Summary!D225"/>
            <w:r w:rsidRPr="009D7239">
              <w:rPr>
                <w:rFonts w:ascii="Calibri" w:eastAsia="Times New Roman" w:hAnsi="Calibri" w:cs="Calibri"/>
                <w:color w:val="000000"/>
                <w:sz w:val="22"/>
                <w:lang w:val="en-US"/>
              </w:rPr>
              <w:t>10.0%</w:t>
            </w:r>
            <w:bookmarkEnd w:id="819"/>
          </w:p>
        </w:tc>
      </w:tr>
      <w:tr w:rsidR="00571656" w:rsidRPr="009D7239" w:rsidTr="007F2ED6">
        <w:trPr>
          <w:trHeight w:val="300"/>
        </w:trPr>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noWrap/>
            <w:hideMark/>
          </w:tcPr>
          <w:p w:rsidR="00571656" w:rsidRPr="00B358A6" w:rsidRDefault="00571656" w:rsidP="00DD6610">
            <w:pPr>
              <w:spacing w:after="0"/>
              <w:rPr>
                <w:rFonts w:ascii="Calibri" w:eastAsia="Times New Roman" w:hAnsi="Calibri" w:cs="Calibri"/>
                <w:b w:val="0"/>
                <w:color w:val="000000"/>
                <w:sz w:val="22"/>
                <w:lang w:val="en-US"/>
              </w:rPr>
            </w:pPr>
            <w:r w:rsidRPr="00B358A6">
              <w:rPr>
                <w:rFonts w:ascii="Calibri" w:eastAsia="Times New Roman" w:hAnsi="Calibri" w:cs="Calibri"/>
                <w:b w:val="0"/>
                <w:color w:val="000000"/>
                <w:sz w:val="22"/>
                <w:lang w:val="en-US"/>
              </w:rPr>
              <w:t>Optimisation level for all grandfathered residents</w:t>
            </w:r>
            <w:r w:rsidR="009A045D">
              <w:rPr>
                <w:rFonts w:ascii="Calibri" w:eastAsia="Times New Roman" w:hAnsi="Calibri" w:cs="Calibri"/>
                <w:b w:val="0"/>
                <w:color w:val="000000"/>
                <w:sz w:val="22"/>
                <w:lang w:val="en-US"/>
              </w:rPr>
              <w:t xml:space="preserve"> (Option 1)</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20" w:name="Summary!D227"/>
            <w:r w:rsidRPr="009D7239">
              <w:rPr>
                <w:rFonts w:ascii="Calibri" w:eastAsia="Times New Roman" w:hAnsi="Calibri" w:cs="Calibri"/>
                <w:color w:val="000000"/>
                <w:sz w:val="22"/>
                <w:lang w:val="en-US"/>
              </w:rPr>
              <w:t>2</w:t>
            </w:r>
            <w:r w:rsidR="000029AB">
              <w:rPr>
                <w:rFonts w:ascii="Calibri" w:eastAsia="Times New Roman" w:hAnsi="Calibri" w:cs="Calibri"/>
                <w:color w:val="000000"/>
                <w:sz w:val="22"/>
                <w:lang w:val="en-US"/>
              </w:rPr>
              <w:t>5</w:t>
            </w:r>
            <w:r w:rsidRPr="009D7239">
              <w:rPr>
                <w:rFonts w:ascii="Calibri" w:eastAsia="Times New Roman" w:hAnsi="Calibri" w:cs="Calibri"/>
                <w:color w:val="000000"/>
                <w:sz w:val="22"/>
                <w:lang w:val="en-US"/>
              </w:rPr>
              <w:t>.0%</w:t>
            </w:r>
            <w:bookmarkEnd w:id="820"/>
          </w:p>
        </w:tc>
      </w:tr>
      <w:tr w:rsidR="00571656" w:rsidRPr="009D7239" w:rsidTr="007F2E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15" w:type="dxa"/>
            <w:tcBorders>
              <w:top w:val="none" w:sz="0" w:space="0" w:color="auto"/>
              <w:bottom w:val="none" w:sz="0" w:space="0" w:color="auto"/>
              <w:right w:val="none" w:sz="0" w:space="0" w:color="auto"/>
            </w:tcBorders>
            <w:noWrap/>
            <w:hideMark/>
          </w:tcPr>
          <w:p w:rsidR="00571656" w:rsidRPr="00B358A6" w:rsidRDefault="00571656" w:rsidP="00DD6610">
            <w:pPr>
              <w:spacing w:after="0"/>
              <w:rPr>
                <w:rFonts w:ascii="Calibri" w:eastAsia="Times New Roman" w:hAnsi="Calibri" w:cs="Calibri"/>
                <w:b w:val="0"/>
                <w:color w:val="000000"/>
                <w:sz w:val="22"/>
                <w:lang w:val="en-US"/>
              </w:rPr>
            </w:pPr>
            <w:r w:rsidRPr="00B358A6">
              <w:rPr>
                <w:rFonts w:ascii="Calibri" w:eastAsia="Times New Roman" w:hAnsi="Calibri" w:cs="Calibri"/>
                <w:b w:val="0"/>
                <w:color w:val="000000"/>
                <w:sz w:val="22"/>
                <w:lang w:val="en-US"/>
              </w:rPr>
              <w:t>Optimisation level for new grandfathered residents</w:t>
            </w:r>
            <w:r w:rsidR="009A045D">
              <w:rPr>
                <w:rFonts w:ascii="Calibri" w:eastAsia="Times New Roman" w:hAnsi="Calibri" w:cs="Calibri"/>
                <w:b w:val="0"/>
                <w:color w:val="000000"/>
                <w:sz w:val="22"/>
                <w:lang w:val="en-US"/>
              </w:rPr>
              <w:t xml:space="preserve"> (Option 2)</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21" w:name="Summary!D228"/>
            <w:r w:rsidRPr="009D7239">
              <w:rPr>
                <w:rFonts w:ascii="Calibri" w:eastAsia="Times New Roman" w:hAnsi="Calibri" w:cs="Calibri"/>
                <w:color w:val="000000"/>
                <w:sz w:val="22"/>
                <w:lang w:val="en-US"/>
              </w:rPr>
              <w:t>2</w:t>
            </w:r>
            <w:r w:rsidR="000029AB">
              <w:rPr>
                <w:rFonts w:ascii="Calibri" w:eastAsia="Times New Roman" w:hAnsi="Calibri" w:cs="Calibri"/>
                <w:color w:val="000000"/>
                <w:sz w:val="22"/>
                <w:lang w:val="en-US"/>
              </w:rPr>
              <w:t>5</w:t>
            </w:r>
            <w:r w:rsidRPr="009D7239">
              <w:rPr>
                <w:rFonts w:ascii="Calibri" w:eastAsia="Times New Roman" w:hAnsi="Calibri" w:cs="Calibri"/>
                <w:color w:val="000000"/>
                <w:sz w:val="22"/>
                <w:lang w:val="en-US"/>
              </w:rPr>
              <w:t>.0%</w:t>
            </w:r>
            <w:bookmarkEnd w:id="821"/>
          </w:p>
        </w:tc>
      </w:tr>
      <w:tr w:rsidR="00571656" w:rsidRPr="009D7239" w:rsidTr="007F2ED6">
        <w:trPr>
          <w:trHeight w:val="300"/>
        </w:trPr>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noWrap/>
            <w:hideMark/>
          </w:tcPr>
          <w:p w:rsidR="00571656" w:rsidRPr="00B358A6" w:rsidRDefault="00571656" w:rsidP="00DD6610">
            <w:pPr>
              <w:spacing w:after="0"/>
              <w:rPr>
                <w:rFonts w:ascii="Calibri" w:eastAsia="Times New Roman" w:hAnsi="Calibri" w:cs="Calibri"/>
                <w:b w:val="0"/>
                <w:color w:val="000000"/>
                <w:sz w:val="22"/>
                <w:lang w:val="en-US"/>
              </w:rPr>
            </w:pPr>
            <w:r w:rsidRPr="00B358A6">
              <w:rPr>
                <w:rFonts w:ascii="Calibri" w:eastAsia="Times New Roman" w:hAnsi="Calibri" w:cs="Calibri"/>
                <w:b w:val="0"/>
                <w:color w:val="000000"/>
                <w:sz w:val="22"/>
                <w:lang w:val="en-US"/>
              </w:rPr>
              <w:t>Optimisation level for long-term grandfathered residents</w:t>
            </w:r>
            <w:r w:rsidR="009A045D">
              <w:rPr>
                <w:rFonts w:ascii="Calibri" w:eastAsia="Times New Roman" w:hAnsi="Calibri" w:cs="Calibri"/>
                <w:b w:val="0"/>
                <w:color w:val="000000"/>
                <w:sz w:val="22"/>
                <w:lang w:val="en-US"/>
              </w:rPr>
              <w:t xml:space="preserve"> (Option 2)</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22" w:name="Summary!D230"/>
            <w:r w:rsidRPr="009D7239">
              <w:rPr>
                <w:rFonts w:ascii="Calibri" w:eastAsia="Times New Roman" w:hAnsi="Calibri" w:cs="Calibri"/>
                <w:color w:val="000000"/>
                <w:sz w:val="22"/>
                <w:lang w:val="en-US"/>
              </w:rPr>
              <w:t>10.0%</w:t>
            </w:r>
            <w:bookmarkEnd w:id="822"/>
          </w:p>
        </w:tc>
      </w:tr>
    </w:tbl>
    <w:p w:rsidR="00CC0633" w:rsidRDefault="00C90A16" w:rsidP="00CC0633">
      <w:pPr>
        <w:pStyle w:val="Caption"/>
        <w:keepNext/>
      </w:pPr>
      <w:bookmarkStart w:id="823" w:name="_Toc495416875"/>
      <w:bookmarkStart w:id="824" w:name="Tab1115"/>
      <w:r>
        <w:t>Table 11.</w:t>
      </w:r>
      <w:r w:rsidR="009A3F5A">
        <w:fldChar w:fldCharType="begin"/>
      </w:r>
      <w:r w:rsidR="009A3F5A">
        <w:instrText xml:space="preserve"> SEQ Table_11. \* ARABIC </w:instrText>
      </w:r>
      <w:r w:rsidR="009A3F5A">
        <w:fldChar w:fldCharType="separate"/>
      </w:r>
      <w:r w:rsidR="00856E49">
        <w:rPr>
          <w:noProof/>
        </w:rPr>
        <w:t>15</w:t>
      </w:r>
      <w:r w:rsidR="009A3F5A">
        <w:rPr>
          <w:noProof/>
        </w:rPr>
        <w:fldChar w:fldCharType="end"/>
      </w:r>
      <w:r>
        <w:t xml:space="preserve">: </w:t>
      </w:r>
      <w:r w:rsidRPr="00C90A16">
        <w:rPr>
          <w:lang w:val="en-US"/>
        </w:rPr>
        <w:t>Option 3 (SAA assessors) Assumptions</w:t>
      </w:r>
      <w:bookmarkEnd w:id="823"/>
    </w:p>
    <w:tbl>
      <w:tblPr>
        <w:tblStyle w:val="ListTable3-Accent515"/>
        <w:tblW w:w="7200"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11.15 is a list of values applicable to only option three. This table is to be read left to right, top to bottom."/>
      </w:tblPr>
      <w:tblGrid>
        <w:gridCol w:w="5940"/>
        <w:gridCol w:w="1260"/>
      </w:tblGrid>
      <w:tr w:rsidR="00571656" w:rsidRPr="009D7239" w:rsidTr="007F2ED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5940" w:type="dxa"/>
            <w:tcBorders>
              <w:bottom w:val="none" w:sz="0" w:space="0" w:color="auto"/>
              <w:right w:val="none" w:sz="0" w:space="0" w:color="auto"/>
            </w:tcBorders>
            <w:noWrap/>
            <w:hideMark/>
          </w:tcPr>
          <w:bookmarkEnd w:id="824"/>
          <w:p w:rsidR="00571656" w:rsidRPr="00554C82" w:rsidRDefault="00571656" w:rsidP="00DD6610">
            <w:pPr>
              <w:spacing w:after="0"/>
              <w:rPr>
                <w:rFonts w:ascii="Calibri" w:eastAsia="Times New Roman" w:hAnsi="Calibri" w:cs="Calibri"/>
                <w:bCs w:val="0"/>
                <w:sz w:val="22"/>
                <w:lang w:val="en-US"/>
              </w:rPr>
            </w:pPr>
            <w:r w:rsidRPr="00554C82">
              <w:rPr>
                <w:rFonts w:ascii="Calibri" w:eastAsia="Times New Roman" w:hAnsi="Calibri" w:cs="Calibri"/>
                <w:bCs w:val="0"/>
                <w:sz w:val="22"/>
                <w:lang w:val="en-US"/>
              </w:rPr>
              <w:t>Assumption</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noWrap/>
            <w:hideMark/>
          </w:tcPr>
          <w:p w:rsidR="00571656" w:rsidRPr="00554C82" w:rsidRDefault="00571656" w:rsidP="00DD6610">
            <w:pPr>
              <w:spacing w:after="0"/>
              <w:jc w:val="right"/>
              <w:rPr>
                <w:rFonts w:ascii="Calibri" w:eastAsia="Times New Roman" w:hAnsi="Calibri" w:cs="Calibri"/>
                <w:bCs w:val="0"/>
                <w:sz w:val="22"/>
                <w:lang w:val="en-US"/>
              </w:rPr>
            </w:pPr>
            <w:r w:rsidRPr="00554C82">
              <w:rPr>
                <w:rFonts w:ascii="Calibri" w:eastAsia="Times New Roman" w:hAnsi="Calibri" w:cs="Calibri"/>
                <w:bCs w:val="0"/>
                <w:sz w:val="22"/>
                <w:lang w:val="en-US"/>
              </w:rPr>
              <w:t>Value</w:t>
            </w:r>
          </w:p>
        </w:tc>
      </w:tr>
      <w:tr w:rsidR="00571656" w:rsidRPr="009D7239" w:rsidTr="007F2E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0" w:type="dxa"/>
            <w:tcBorders>
              <w:top w:val="none" w:sz="0" w:space="0" w:color="auto"/>
              <w:bottom w:val="none" w:sz="0" w:space="0" w:color="auto"/>
              <w:right w:val="none" w:sz="0" w:space="0" w:color="auto"/>
            </w:tcBorders>
            <w:noWrap/>
            <w:hideMark/>
          </w:tcPr>
          <w:p w:rsidR="00571656" w:rsidRPr="00554C82" w:rsidRDefault="00571656" w:rsidP="00DD6610">
            <w:pPr>
              <w:spacing w:after="0"/>
              <w:rPr>
                <w:rFonts w:ascii="Calibri" w:eastAsia="Times New Roman" w:hAnsi="Calibri" w:cs="Calibri"/>
                <w:b w:val="0"/>
                <w:color w:val="000000"/>
                <w:sz w:val="22"/>
                <w:lang w:val="en-US"/>
              </w:rPr>
            </w:pPr>
            <w:r w:rsidRPr="00554C82">
              <w:rPr>
                <w:rFonts w:ascii="Calibri" w:eastAsia="Times New Roman" w:hAnsi="Calibri" w:cs="Calibri"/>
                <w:b w:val="0"/>
                <w:color w:val="000000"/>
                <w:sz w:val="22"/>
                <w:lang w:val="en-US"/>
              </w:rPr>
              <w:t>Assessor visits per entry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25" w:name="Summary!D236"/>
            <w:r w:rsidRPr="009D7239">
              <w:rPr>
                <w:rFonts w:ascii="Calibri" w:eastAsia="Times New Roman" w:hAnsi="Calibri" w:cs="Calibri"/>
                <w:color w:val="000000"/>
                <w:sz w:val="22"/>
                <w:lang w:val="en-US"/>
              </w:rPr>
              <w:t>100%</w:t>
            </w:r>
            <w:bookmarkEnd w:id="825"/>
          </w:p>
        </w:tc>
      </w:tr>
      <w:tr w:rsidR="00571656" w:rsidRPr="009D7239" w:rsidTr="007F2ED6">
        <w:trPr>
          <w:trHeight w:val="300"/>
        </w:trPr>
        <w:tc>
          <w:tcPr>
            <w:cnfStyle w:val="001000000000" w:firstRow="0" w:lastRow="0" w:firstColumn="1" w:lastColumn="0" w:oddVBand="0" w:evenVBand="0" w:oddHBand="0" w:evenHBand="0" w:firstRowFirstColumn="0" w:firstRowLastColumn="0" w:lastRowFirstColumn="0" w:lastRowLastColumn="0"/>
            <w:tcW w:w="5940" w:type="dxa"/>
            <w:tcBorders>
              <w:right w:val="none" w:sz="0" w:space="0" w:color="auto"/>
            </w:tcBorders>
            <w:noWrap/>
            <w:hideMark/>
          </w:tcPr>
          <w:p w:rsidR="00571656" w:rsidRPr="00554C82" w:rsidRDefault="00571656" w:rsidP="00DD6610">
            <w:pPr>
              <w:spacing w:after="0"/>
              <w:rPr>
                <w:rFonts w:ascii="Calibri" w:eastAsia="Times New Roman" w:hAnsi="Calibri" w:cs="Calibri"/>
                <w:b w:val="0"/>
                <w:color w:val="000000"/>
                <w:sz w:val="22"/>
                <w:lang w:val="en-US"/>
              </w:rPr>
            </w:pPr>
            <w:r w:rsidRPr="00554C82">
              <w:rPr>
                <w:rFonts w:ascii="Calibri" w:eastAsia="Times New Roman" w:hAnsi="Calibri" w:cs="Calibri"/>
                <w:b w:val="0"/>
                <w:color w:val="000000"/>
                <w:sz w:val="22"/>
                <w:lang w:val="en-US"/>
              </w:rPr>
              <w:t>SAA hours per visit</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26" w:name="Summary!D238"/>
            <w:r w:rsidRPr="009D7239">
              <w:rPr>
                <w:rFonts w:ascii="Calibri" w:eastAsia="Times New Roman" w:hAnsi="Calibri" w:cs="Calibri"/>
                <w:color w:val="000000"/>
                <w:sz w:val="22"/>
                <w:lang w:val="en-US"/>
              </w:rPr>
              <w:t>3.5</w:t>
            </w:r>
            <w:bookmarkEnd w:id="826"/>
          </w:p>
        </w:tc>
      </w:tr>
      <w:tr w:rsidR="00571656" w:rsidRPr="009D7239" w:rsidTr="007F2E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0" w:type="dxa"/>
            <w:tcBorders>
              <w:top w:val="none" w:sz="0" w:space="0" w:color="auto"/>
              <w:bottom w:val="none" w:sz="0" w:space="0" w:color="auto"/>
              <w:right w:val="none" w:sz="0" w:space="0" w:color="auto"/>
            </w:tcBorders>
            <w:noWrap/>
            <w:hideMark/>
          </w:tcPr>
          <w:p w:rsidR="00571656" w:rsidRPr="00554C82" w:rsidRDefault="00571656" w:rsidP="00DD6610">
            <w:pPr>
              <w:spacing w:after="0"/>
              <w:rPr>
                <w:rFonts w:ascii="Calibri" w:eastAsia="Times New Roman" w:hAnsi="Calibri" w:cs="Calibri"/>
                <w:b w:val="0"/>
                <w:color w:val="000000"/>
                <w:sz w:val="22"/>
                <w:lang w:val="en-US"/>
              </w:rPr>
            </w:pPr>
            <w:r w:rsidRPr="00554C82">
              <w:rPr>
                <w:rFonts w:ascii="Calibri" w:eastAsia="Times New Roman" w:hAnsi="Calibri" w:cs="Calibri"/>
                <w:b w:val="0"/>
                <w:color w:val="000000"/>
                <w:sz w:val="22"/>
                <w:lang w:val="en-US"/>
              </w:rPr>
              <w:t>SAA visits per reassessment</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27" w:name="Summary!D239"/>
            <w:r w:rsidRPr="009D7239">
              <w:rPr>
                <w:rFonts w:ascii="Calibri" w:eastAsia="Times New Roman" w:hAnsi="Calibri" w:cs="Calibri"/>
                <w:color w:val="000000"/>
                <w:sz w:val="22"/>
                <w:lang w:val="en-US"/>
              </w:rPr>
              <w:t>25%</w:t>
            </w:r>
            <w:bookmarkEnd w:id="827"/>
          </w:p>
        </w:tc>
      </w:tr>
      <w:tr w:rsidR="00571656" w:rsidRPr="009D7239" w:rsidTr="007F2ED6">
        <w:trPr>
          <w:trHeight w:val="300"/>
        </w:trPr>
        <w:tc>
          <w:tcPr>
            <w:cnfStyle w:val="001000000000" w:firstRow="0" w:lastRow="0" w:firstColumn="1" w:lastColumn="0" w:oddVBand="0" w:evenVBand="0" w:oddHBand="0" w:evenHBand="0" w:firstRowFirstColumn="0" w:firstRowLastColumn="0" w:lastRowFirstColumn="0" w:lastRowLastColumn="0"/>
            <w:tcW w:w="5940" w:type="dxa"/>
            <w:tcBorders>
              <w:right w:val="none" w:sz="0" w:space="0" w:color="auto"/>
            </w:tcBorders>
            <w:noWrap/>
            <w:hideMark/>
          </w:tcPr>
          <w:p w:rsidR="00571656" w:rsidRPr="00554C82" w:rsidRDefault="00571656" w:rsidP="00DD6610">
            <w:pPr>
              <w:spacing w:after="0"/>
              <w:rPr>
                <w:rFonts w:ascii="Calibri" w:eastAsia="Times New Roman" w:hAnsi="Calibri" w:cs="Calibri"/>
                <w:b w:val="0"/>
                <w:color w:val="000000"/>
                <w:sz w:val="22"/>
                <w:lang w:val="en-US"/>
              </w:rPr>
            </w:pPr>
            <w:r w:rsidRPr="00554C82">
              <w:rPr>
                <w:rFonts w:ascii="Calibri" w:eastAsia="Times New Roman" w:hAnsi="Calibri" w:cs="Calibri"/>
                <w:b w:val="0"/>
                <w:color w:val="000000"/>
                <w:sz w:val="22"/>
                <w:lang w:val="en-US"/>
              </w:rPr>
              <w:t xml:space="preserve">SAA cost per hour in </w:t>
            </w:r>
            <w:r>
              <w:rPr>
                <w:rFonts w:ascii="Calibri" w:eastAsia="Times New Roman" w:hAnsi="Calibri" w:cs="Calibri"/>
                <w:b w:val="0"/>
                <w:color w:val="000000"/>
                <w:sz w:val="22"/>
                <w:lang w:val="en-US"/>
              </w:rPr>
              <w:t>20</w:t>
            </w:r>
            <w:r w:rsidRPr="00554C82">
              <w:rPr>
                <w:rFonts w:ascii="Calibri" w:eastAsia="Times New Roman" w:hAnsi="Calibri" w:cs="Calibri"/>
                <w:b w:val="0"/>
                <w:color w:val="000000"/>
                <w:sz w:val="22"/>
                <w:lang w:val="en-US"/>
              </w:rPr>
              <w:t>17-18</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sz w:val="22"/>
                <w:lang w:val="en-US"/>
              </w:rPr>
            </w:pPr>
            <w:bookmarkStart w:id="828" w:name="Summary!D241"/>
            <w:r w:rsidRPr="009D7239">
              <w:rPr>
                <w:rFonts w:ascii="Calibri" w:eastAsia="Times New Roman" w:hAnsi="Calibri" w:cs="Calibri"/>
                <w:sz w:val="22"/>
                <w:lang w:val="en-US"/>
              </w:rPr>
              <w:t>100</w:t>
            </w:r>
            <w:bookmarkEnd w:id="828"/>
          </w:p>
        </w:tc>
      </w:tr>
      <w:tr w:rsidR="00571656" w:rsidRPr="009D7239" w:rsidTr="007F2E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0" w:type="dxa"/>
            <w:tcBorders>
              <w:top w:val="none" w:sz="0" w:space="0" w:color="auto"/>
              <w:bottom w:val="none" w:sz="0" w:space="0" w:color="auto"/>
              <w:right w:val="none" w:sz="0" w:space="0" w:color="auto"/>
            </w:tcBorders>
            <w:noWrap/>
            <w:hideMark/>
          </w:tcPr>
          <w:p w:rsidR="00571656" w:rsidRPr="00554C82" w:rsidRDefault="00571656" w:rsidP="00DD6610">
            <w:pPr>
              <w:spacing w:after="0"/>
              <w:rPr>
                <w:rFonts w:ascii="Calibri" w:eastAsia="Times New Roman" w:hAnsi="Calibri" w:cs="Calibri"/>
                <w:b w:val="0"/>
                <w:color w:val="000000"/>
                <w:sz w:val="22"/>
                <w:lang w:val="en-US"/>
              </w:rPr>
            </w:pPr>
            <w:r w:rsidRPr="00554C82">
              <w:rPr>
                <w:rFonts w:ascii="Calibri" w:eastAsia="Times New Roman" w:hAnsi="Calibri" w:cs="Calibri"/>
                <w:b w:val="0"/>
                <w:color w:val="000000"/>
                <w:sz w:val="22"/>
                <w:lang w:val="en-US"/>
              </w:rPr>
              <w:t>Cost indexation pa for SAA staff</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29" w:name="Summary!D242"/>
            <w:r w:rsidRPr="009D7239">
              <w:rPr>
                <w:rFonts w:ascii="Calibri" w:eastAsia="Times New Roman" w:hAnsi="Calibri" w:cs="Calibri"/>
                <w:color w:val="000000"/>
                <w:sz w:val="22"/>
                <w:lang w:val="en-US"/>
              </w:rPr>
              <w:t>2.0%</w:t>
            </w:r>
            <w:bookmarkEnd w:id="829"/>
          </w:p>
        </w:tc>
      </w:tr>
      <w:tr w:rsidR="00571656" w:rsidRPr="009D7239" w:rsidTr="007F2ED6">
        <w:trPr>
          <w:trHeight w:val="300"/>
        </w:trPr>
        <w:tc>
          <w:tcPr>
            <w:cnfStyle w:val="001000000000" w:firstRow="0" w:lastRow="0" w:firstColumn="1" w:lastColumn="0" w:oddVBand="0" w:evenVBand="0" w:oddHBand="0" w:evenHBand="0" w:firstRowFirstColumn="0" w:firstRowLastColumn="0" w:lastRowFirstColumn="0" w:lastRowLastColumn="0"/>
            <w:tcW w:w="5940" w:type="dxa"/>
            <w:tcBorders>
              <w:right w:val="none" w:sz="0" w:space="0" w:color="auto"/>
            </w:tcBorders>
            <w:noWrap/>
            <w:hideMark/>
          </w:tcPr>
          <w:p w:rsidR="00571656" w:rsidRPr="00554C82" w:rsidRDefault="00571656" w:rsidP="00DD6610">
            <w:pPr>
              <w:spacing w:after="0"/>
              <w:rPr>
                <w:rFonts w:ascii="Calibri" w:eastAsia="Times New Roman" w:hAnsi="Calibri" w:cs="Calibri"/>
                <w:b w:val="0"/>
                <w:color w:val="000000"/>
                <w:sz w:val="22"/>
                <w:lang w:val="en-US"/>
              </w:rPr>
            </w:pPr>
            <w:r w:rsidRPr="00554C82">
              <w:rPr>
                <w:rFonts w:ascii="Calibri" w:eastAsia="Times New Roman" w:hAnsi="Calibri" w:cs="Calibri"/>
                <w:b w:val="0"/>
                <w:color w:val="000000"/>
                <w:sz w:val="22"/>
                <w:lang w:val="en-US"/>
              </w:rPr>
              <w:t>Optimisation level for new entrants</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30" w:name="Summary!D243"/>
            <w:r w:rsidRPr="009D7239">
              <w:rPr>
                <w:rFonts w:ascii="Calibri" w:eastAsia="Times New Roman" w:hAnsi="Calibri" w:cs="Calibri"/>
                <w:color w:val="000000"/>
                <w:sz w:val="22"/>
                <w:lang w:val="en-US"/>
              </w:rPr>
              <w:t>5.0%</w:t>
            </w:r>
            <w:bookmarkEnd w:id="830"/>
          </w:p>
        </w:tc>
      </w:tr>
      <w:tr w:rsidR="00571656" w:rsidRPr="009D7239" w:rsidTr="007F2E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0" w:type="dxa"/>
            <w:tcBorders>
              <w:top w:val="none" w:sz="0" w:space="0" w:color="auto"/>
              <w:bottom w:val="none" w:sz="0" w:space="0" w:color="auto"/>
              <w:right w:val="none" w:sz="0" w:space="0" w:color="auto"/>
            </w:tcBorders>
            <w:noWrap/>
            <w:hideMark/>
          </w:tcPr>
          <w:p w:rsidR="00571656" w:rsidRPr="00554C82" w:rsidRDefault="00571656" w:rsidP="00DD6610">
            <w:pPr>
              <w:spacing w:after="0"/>
              <w:rPr>
                <w:rFonts w:ascii="Calibri" w:eastAsia="Times New Roman" w:hAnsi="Calibri" w:cs="Calibri"/>
                <w:b w:val="0"/>
                <w:color w:val="000000"/>
                <w:sz w:val="22"/>
                <w:lang w:val="en-US"/>
              </w:rPr>
            </w:pPr>
            <w:r w:rsidRPr="00554C82">
              <w:rPr>
                <w:rFonts w:ascii="Calibri" w:eastAsia="Times New Roman" w:hAnsi="Calibri" w:cs="Calibri"/>
                <w:b w:val="0"/>
                <w:color w:val="000000"/>
                <w:sz w:val="22"/>
                <w:lang w:val="en-US"/>
              </w:rPr>
              <w:t>Optimisation level for reappraisals</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31" w:name="Summary!D245"/>
            <w:r w:rsidRPr="009D7239">
              <w:rPr>
                <w:rFonts w:ascii="Calibri" w:eastAsia="Times New Roman" w:hAnsi="Calibri" w:cs="Calibri"/>
                <w:color w:val="000000"/>
                <w:sz w:val="22"/>
                <w:lang w:val="en-US"/>
              </w:rPr>
              <w:t>10.0%</w:t>
            </w:r>
            <w:bookmarkEnd w:id="831"/>
          </w:p>
        </w:tc>
      </w:tr>
      <w:tr w:rsidR="00571656" w:rsidRPr="009D7239" w:rsidTr="007F2ED6">
        <w:trPr>
          <w:trHeight w:val="300"/>
        </w:trPr>
        <w:tc>
          <w:tcPr>
            <w:cnfStyle w:val="001000000000" w:firstRow="0" w:lastRow="0" w:firstColumn="1" w:lastColumn="0" w:oddVBand="0" w:evenVBand="0" w:oddHBand="0" w:evenHBand="0" w:firstRowFirstColumn="0" w:firstRowLastColumn="0" w:lastRowFirstColumn="0" w:lastRowLastColumn="0"/>
            <w:tcW w:w="5940" w:type="dxa"/>
            <w:tcBorders>
              <w:right w:val="none" w:sz="0" w:space="0" w:color="auto"/>
            </w:tcBorders>
            <w:noWrap/>
            <w:hideMark/>
          </w:tcPr>
          <w:p w:rsidR="00571656" w:rsidRPr="00554C82" w:rsidRDefault="00571656" w:rsidP="00DD6610">
            <w:pPr>
              <w:spacing w:after="0"/>
              <w:rPr>
                <w:rFonts w:ascii="Calibri" w:eastAsia="Times New Roman" w:hAnsi="Calibri" w:cs="Calibri"/>
                <w:b w:val="0"/>
                <w:color w:val="000000"/>
                <w:sz w:val="22"/>
                <w:lang w:val="en-US"/>
              </w:rPr>
            </w:pPr>
            <w:r w:rsidRPr="00554C82">
              <w:rPr>
                <w:rFonts w:ascii="Calibri" w:eastAsia="Times New Roman" w:hAnsi="Calibri" w:cs="Calibri"/>
                <w:b w:val="0"/>
                <w:color w:val="000000"/>
                <w:sz w:val="22"/>
                <w:lang w:val="en-US"/>
              </w:rPr>
              <w:t>Optimisation level for new grandfathered residents</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32" w:name="Summary!D247"/>
            <w:r w:rsidRPr="009D7239">
              <w:rPr>
                <w:rFonts w:ascii="Calibri" w:eastAsia="Times New Roman" w:hAnsi="Calibri" w:cs="Calibri"/>
                <w:color w:val="000000"/>
                <w:sz w:val="22"/>
                <w:lang w:val="en-US"/>
              </w:rPr>
              <w:t>2</w:t>
            </w:r>
            <w:r w:rsidR="000029AB">
              <w:rPr>
                <w:rFonts w:ascii="Calibri" w:eastAsia="Times New Roman" w:hAnsi="Calibri" w:cs="Calibri"/>
                <w:color w:val="000000"/>
                <w:sz w:val="22"/>
                <w:lang w:val="en-US"/>
              </w:rPr>
              <w:t>5</w:t>
            </w:r>
            <w:r w:rsidRPr="009D7239">
              <w:rPr>
                <w:rFonts w:ascii="Calibri" w:eastAsia="Times New Roman" w:hAnsi="Calibri" w:cs="Calibri"/>
                <w:color w:val="000000"/>
                <w:sz w:val="22"/>
                <w:lang w:val="en-US"/>
              </w:rPr>
              <w:t>.0%</w:t>
            </w:r>
            <w:bookmarkEnd w:id="832"/>
          </w:p>
        </w:tc>
      </w:tr>
      <w:tr w:rsidR="00571656" w:rsidRPr="009D7239" w:rsidTr="007F2E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0" w:type="dxa"/>
            <w:tcBorders>
              <w:top w:val="none" w:sz="0" w:space="0" w:color="auto"/>
              <w:bottom w:val="none" w:sz="0" w:space="0" w:color="auto"/>
              <w:right w:val="none" w:sz="0" w:space="0" w:color="auto"/>
            </w:tcBorders>
            <w:noWrap/>
            <w:hideMark/>
          </w:tcPr>
          <w:p w:rsidR="00571656" w:rsidRPr="00554C82" w:rsidRDefault="00571656" w:rsidP="00DD6610">
            <w:pPr>
              <w:spacing w:after="0"/>
              <w:rPr>
                <w:rFonts w:ascii="Calibri" w:eastAsia="Times New Roman" w:hAnsi="Calibri" w:cs="Calibri"/>
                <w:b w:val="0"/>
                <w:color w:val="000000"/>
                <w:sz w:val="22"/>
                <w:lang w:val="en-US"/>
              </w:rPr>
            </w:pPr>
            <w:r w:rsidRPr="00554C82">
              <w:rPr>
                <w:rFonts w:ascii="Calibri" w:eastAsia="Times New Roman" w:hAnsi="Calibri" w:cs="Calibri"/>
                <w:b w:val="0"/>
                <w:color w:val="000000"/>
                <w:sz w:val="22"/>
                <w:lang w:val="en-US"/>
              </w:rPr>
              <w:t>Optimisation level for long-term grandfathered residents</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noWrap/>
            <w:hideMark/>
          </w:tcPr>
          <w:p w:rsidR="00571656" w:rsidRPr="009D7239" w:rsidRDefault="00571656" w:rsidP="00DD6610">
            <w:pPr>
              <w:spacing w:after="0"/>
              <w:jc w:val="right"/>
              <w:rPr>
                <w:rFonts w:ascii="Calibri" w:eastAsia="Times New Roman" w:hAnsi="Calibri" w:cs="Calibri"/>
                <w:color w:val="000000"/>
                <w:sz w:val="22"/>
                <w:lang w:val="en-US"/>
              </w:rPr>
            </w:pPr>
            <w:bookmarkStart w:id="833" w:name="Summary!D249"/>
            <w:r w:rsidRPr="009D7239">
              <w:rPr>
                <w:rFonts w:ascii="Calibri" w:eastAsia="Times New Roman" w:hAnsi="Calibri" w:cs="Calibri"/>
                <w:color w:val="000000"/>
                <w:sz w:val="22"/>
                <w:lang w:val="en-US"/>
              </w:rPr>
              <w:t>10.0%</w:t>
            </w:r>
            <w:bookmarkEnd w:id="833"/>
          </w:p>
        </w:tc>
      </w:tr>
    </w:tbl>
    <w:p w:rsidR="00CC0633" w:rsidRDefault="00C90A16" w:rsidP="00CC0633">
      <w:pPr>
        <w:pStyle w:val="Caption"/>
        <w:keepNext/>
      </w:pPr>
      <w:bookmarkStart w:id="834" w:name="_Toc495416876"/>
      <w:bookmarkStart w:id="835" w:name="Tab1116"/>
      <w:r>
        <w:t>Table 11.</w:t>
      </w:r>
      <w:r w:rsidR="009A3F5A">
        <w:fldChar w:fldCharType="begin"/>
      </w:r>
      <w:r w:rsidR="009A3F5A">
        <w:instrText xml:space="preserve"> SEQ Table_11. \* ARABIC </w:instrText>
      </w:r>
      <w:r w:rsidR="009A3F5A">
        <w:fldChar w:fldCharType="separate"/>
      </w:r>
      <w:r w:rsidR="00856E49">
        <w:rPr>
          <w:noProof/>
        </w:rPr>
        <w:t>16</w:t>
      </w:r>
      <w:r w:rsidR="009A3F5A">
        <w:rPr>
          <w:noProof/>
        </w:rPr>
        <w:fldChar w:fldCharType="end"/>
      </w:r>
      <w:r>
        <w:t xml:space="preserve">: </w:t>
      </w:r>
      <w:r w:rsidRPr="00C90A16">
        <w:rPr>
          <w:lang w:val="en-US"/>
        </w:rPr>
        <w:t>Projected Residents using June 30, 2016 data by Entry Year</w:t>
      </w:r>
      <w:bookmarkEnd w:id="834"/>
    </w:p>
    <w:tbl>
      <w:tblPr>
        <w:tblStyle w:val="ListTable3-Accent515"/>
        <w:tblW w:w="9072" w:type="dxa"/>
        <w:tblInd w:w="108" w:type="dxa"/>
        <w:tblBorders>
          <w:insideH w:val="single" w:sz="4" w:space="0" w:color="5B9BD5" w:themeColor="accent5"/>
          <w:insideV w:val="single" w:sz="4" w:space="0" w:color="5B9BD5" w:themeColor="accent5"/>
        </w:tblBorders>
        <w:tblLayout w:type="fixed"/>
        <w:tblLook w:val="00A0" w:firstRow="1" w:lastRow="0" w:firstColumn="1" w:lastColumn="0" w:noHBand="0" w:noVBand="0"/>
        <w:tblDescription w:val="Table 11.16 is a list of the projected number of residents from 2018 to 2022. This table is to be read left to right, top to bottom, noting NA indicates non applicable entries."/>
      </w:tblPr>
      <w:tblGrid>
        <w:gridCol w:w="1165"/>
        <w:gridCol w:w="1581"/>
        <w:gridCol w:w="1581"/>
        <w:gridCol w:w="1582"/>
        <w:gridCol w:w="1581"/>
        <w:gridCol w:w="1582"/>
      </w:tblGrid>
      <w:tr w:rsidR="005E7B2E" w:rsidRPr="009D7239" w:rsidTr="005E7B2E">
        <w:trPr>
          <w:cnfStyle w:val="100000000000" w:firstRow="1" w:lastRow="0" w:firstColumn="0" w:lastColumn="0" w:oddVBand="0" w:evenVBand="0" w:oddHBand="0" w:evenHBand="0" w:firstRowFirstColumn="0" w:firstRowLastColumn="0" w:lastRowFirstColumn="0" w:lastRowLastColumn="0"/>
          <w:trHeight w:val="266"/>
          <w:tblHeader/>
        </w:trPr>
        <w:tc>
          <w:tcPr>
            <w:cnfStyle w:val="001000000100" w:firstRow="0" w:lastRow="0" w:firstColumn="1" w:lastColumn="0" w:oddVBand="0" w:evenVBand="0" w:oddHBand="0" w:evenHBand="0" w:firstRowFirstColumn="1" w:firstRowLastColumn="0" w:lastRowFirstColumn="0" w:lastRowLastColumn="0"/>
            <w:tcW w:w="1165" w:type="dxa"/>
            <w:tcBorders>
              <w:bottom w:val="none" w:sz="0" w:space="0" w:color="auto"/>
              <w:right w:val="none" w:sz="0" w:space="0" w:color="auto"/>
            </w:tcBorders>
            <w:noWrap/>
            <w:hideMark/>
          </w:tcPr>
          <w:bookmarkEnd w:id="835"/>
          <w:p w:rsidR="005E7B2E" w:rsidRPr="005E7B2E" w:rsidRDefault="005E7B2E" w:rsidP="00DD6610">
            <w:pPr>
              <w:spacing w:after="0"/>
              <w:rPr>
                <w:rFonts w:ascii="Calibri" w:eastAsia="Times New Roman" w:hAnsi="Calibri" w:cs="Calibri"/>
                <w:bCs w:val="0"/>
                <w:sz w:val="20"/>
                <w:szCs w:val="20"/>
                <w:lang w:val="en-US"/>
              </w:rPr>
            </w:pPr>
            <w:r w:rsidRPr="005E7B2E">
              <w:rPr>
                <w:rFonts w:ascii="Calibri" w:eastAsia="Times New Roman" w:hAnsi="Calibri" w:cs="Calibri"/>
                <w:bCs w:val="0"/>
                <w:sz w:val="20"/>
                <w:szCs w:val="20"/>
                <w:lang w:val="en-US"/>
              </w:rPr>
              <w:t>Entry</w:t>
            </w:r>
            <w:r w:rsidRPr="005E7B2E">
              <w:rPr>
                <w:rFonts w:ascii="Calibri" w:eastAsia="Times New Roman" w:hAnsi="Calibri" w:cs="Calibri"/>
                <w:b w:val="0"/>
                <w:bCs w:val="0"/>
                <w:color w:val="000000"/>
                <w:sz w:val="20"/>
                <w:szCs w:val="20"/>
                <w:lang w:val="en-US"/>
              </w:rPr>
              <w:t xml:space="preserve"> </w:t>
            </w:r>
            <w:r w:rsidRPr="005E7B2E">
              <w:rPr>
                <w:rFonts w:ascii="Calibri" w:eastAsia="Times New Roman" w:hAnsi="Calibri" w:cs="Calibri"/>
                <w:bCs w:val="0"/>
                <w:sz w:val="20"/>
                <w:szCs w:val="20"/>
                <w:lang w:val="en-US"/>
              </w:rPr>
              <w:t>Year</w:t>
            </w:r>
          </w:p>
        </w:tc>
        <w:tc>
          <w:tcPr>
            <w:cnfStyle w:val="000010000000" w:firstRow="0" w:lastRow="0" w:firstColumn="0" w:lastColumn="0" w:oddVBand="1" w:evenVBand="0" w:oddHBand="0" w:evenHBand="0" w:firstRowFirstColumn="0" w:firstRowLastColumn="0" w:lastRowFirstColumn="0" w:lastRowLastColumn="0"/>
            <w:tcW w:w="1581" w:type="dxa"/>
            <w:tcBorders>
              <w:left w:val="none" w:sz="0" w:space="0" w:color="auto"/>
              <w:right w:val="none" w:sz="0" w:space="0" w:color="auto"/>
            </w:tcBorders>
            <w:noWrap/>
            <w:hideMark/>
          </w:tcPr>
          <w:p w:rsidR="005E7B2E" w:rsidRPr="005E7B2E" w:rsidRDefault="005E7B2E" w:rsidP="005E7B2E">
            <w:pPr>
              <w:spacing w:after="0"/>
              <w:jc w:val="center"/>
              <w:rPr>
                <w:rFonts w:ascii="Calibri" w:eastAsia="Times New Roman" w:hAnsi="Calibri" w:cs="Calibri"/>
                <w:bCs w:val="0"/>
                <w:sz w:val="20"/>
                <w:szCs w:val="20"/>
                <w:lang w:val="en-US"/>
              </w:rPr>
            </w:pPr>
            <w:r w:rsidRPr="005E7B2E">
              <w:rPr>
                <w:rFonts w:ascii="Calibri" w:eastAsia="Times New Roman" w:hAnsi="Calibri" w:cs="Calibri"/>
                <w:bCs w:val="0"/>
                <w:sz w:val="20"/>
                <w:szCs w:val="20"/>
                <w:lang w:val="en-US"/>
              </w:rPr>
              <w:t>Residents</w:t>
            </w:r>
            <w:r w:rsidRPr="005E7B2E">
              <w:rPr>
                <w:rFonts w:ascii="Calibri" w:eastAsia="Times New Roman" w:hAnsi="Calibri" w:cs="Calibri"/>
                <w:bCs w:val="0"/>
                <w:sz w:val="20"/>
                <w:szCs w:val="20"/>
                <w:lang w:val="en-US"/>
              </w:rPr>
              <w:br/>
            </w:r>
            <w:r w:rsidRPr="005E7B2E">
              <w:rPr>
                <w:rFonts w:ascii="Calibri" w:eastAsia="Times New Roman" w:hAnsi="Calibri" w:cs="Calibri"/>
                <w:bCs w:val="0"/>
                <w:sz w:val="16"/>
                <w:szCs w:val="18"/>
                <w:lang w:val="en-US"/>
              </w:rPr>
              <w:t>(as at 30 June 2018)</w:t>
            </w:r>
          </w:p>
        </w:tc>
        <w:tc>
          <w:tcPr>
            <w:tcW w:w="1581" w:type="dxa"/>
            <w:noWrap/>
            <w:hideMark/>
          </w:tcPr>
          <w:p w:rsidR="005E7B2E" w:rsidRPr="005E7B2E" w:rsidRDefault="005E7B2E" w:rsidP="005E7B2E">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val="en-US"/>
              </w:rPr>
            </w:pPr>
            <w:r w:rsidRPr="005E7B2E">
              <w:rPr>
                <w:rFonts w:ascii="Calibri" w:eastAsia="Times New Roman" w:hAnsi="Calibri" w:cs="Calibri"/>
                <w:bCs w:val="0"/>
                <w:sz w:val="20"/>
                <w:szCs w:val="20"/>
                <w:lang w:val="en-US"/>
              </w:rPr>
              <w:t>Residents</w:t>
            </w:r>
            <w:r w:rsidRPr="005E7B2E">
              <w:rPr>
                <w:rFonts w:ascii="Calibri" w:eastAsia="Times New Roman" w:hAnsi="Calibri" w:cs="Calibri"/>
                <w:bCs w:val="0"/>
                <w:sz w:val="20"/>
                <w:szCs w:val="20"/>
                <w:lang w:val="en-US"/>
              </w:rPr>
              <w:br/>
            </w:r>
            <w:r w:rsidRPr="005E7B2E">
              <w:rPr>
                <w:rFonts w:ascii="Calibri" w:eastAsia="Times New Roman" w:hAnsi="Calibri" w:cs="Calibri"/>
                <w:bCs w:val="0"/>
                <w:sz w:val="16"/>
                <w:szCs w:val="18"/>
                <w:lang w:val="en-US"/>
              </w:rPr>
              <w:t>(as at 30 June 2019)</w:t>
            </w: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right w:val="none" w:sz="0" w:space="0" w:color="auto"/>
            </w:tcBorders>
            <w:noWrap/>
            <w:hideMark/>
          </w:tcPr>
          <w:p w:rsidR="005E7B2E" w:rsidRPr="005E7B2E" w:rsidRDefault="005E7B2E" w:rsidP="005E7B2E">
            <w:pPr>
              <w:spacing w:after="0"/>
              <w:jc w:val="center"/>
              <w:rPr>
                <w:rFonts w:ascii="Calibri" w:eastAsia="Times New Roman" w:hAnsi="Calibri" w:cs="Calibri"/>
                <w:bCs w:val="0"/>
                <w:sz w:val="20"/>
                <w:szCs w:val="20"/>
                <w:lang w:val="en-US"/>
              </w:rPr>
            </w:pPr>
            <w:r w:rsidRPr="005E7B2E">
              <w:rPr>
                <w:rFonts w:ascii="Calibri" w:eastAsia="Times New Roman" w:hAnsi="Calibri" w:cs="Calibri"/>
                <w:bCs w:val="0"/>
                <w:sz w:val="20"/>
                <w:szCs w:val="20"/>
                <w:lang w:val="en-US"/>
              </w:rPr>
              <w:t>Residents</w:t>
            </w:r>
            <w:r w:rsidRPr="005E7B2E">
              <w:rPr>
                <w:rFonts w:ascii="Calibri" w:eastAsia="Times New Roman" w:hAnsi="Calibri" w:cs="Calibri"/>
                <w:bCs w:val="0"/>
                <w:sz w:val="20"/>
                <w:szCs w:val="20"/>
                <w:lang w:val="en-US"/>
              </w:rPr>
              <w:br/>
            </w:r>
            <w:r w:rsidRPr="005E7B2E">
              <w:rPr>
                <w:rFonts w:ascii="Calibri" w:eastAsia="Times New Roman" w:hAnsi="Calibri" w:cs="Calibri"/>
                <w:bCs w:val="0"/>
                <w:sz w:val="16"/>
                <w:szCs w:val="18"/>
                <w:lang w:val="en-US"/>
              </w:rPr>
              <w:t>(as at 30 June 2020)</w:t>
            </w:r>
          </w:p>
        </w:tc>
        <w:tc>
          <w:tcPr>
            <w:tcW w:w="1581" w:type="dxa"/>
            <w:noWrap/>
            <w:hideMark/>
          </w:tcPr>
          <w:p w:rsidR="005E7B2E" w:rsidRPr="005E7B2E" w:rsidRDefault="005E7B2E" w:rsidP="005E7B2E">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val="en-US"/>
              </w:rPr>
            </w:pPr>
            <w:r w:rsidRPr="005E7B2E">
              <w:rPr>
                <w:rFonts w:ascii="Calibri" w:eastAsia="Times New Roman" w:hAnsi="Calibri" w:cs="Calibri"/>
                <w:bCs w:val="0"/>
                <w:sz w:val="20"/>
                <w:szCs w:val="20"/>
                <w:lang w:val="en-US"/>
              </w:rPr>
              <w:t>Residents</w:t>
            </w:r>
            <w:r w:rsidRPr="005E7B2E">
              <w:rPr>
                <w:rFonts w:ascii="Calibri" w:eastAsia="Times New Roman" w:hAnsi="Calibri" w:cs="Calibri"/>
                <w:bCs w:val="0"/>
                <w:sz w:val="20"/>
                <w:szCs w:val="20"/>
                <w:lang w:val="en-US"/>
              </w:rPr>
              <w:br/>
            </w:r>
            <w:r w:rsidRPr="005E7B2E">
              <w:rPr>
                <w:rFonts w:ascii="Calibri" w:eastAsia="Times New Roman" w:hAnsi="Calibri" w:cs="Calibri"/>
                <w:bCs w:val="0"/>
                <w:sz w:val="16"/>
                <w:szCs w:val="18"/>
                <w:lang w:val="en-US"/>
              </w:rPr>
              <w:t>(as at 30 June 2021)</w:t>
            </w: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right w:val="none" w:sz="0" w:space="0" w:color="auto"/>
            </w:tcBorders>
            <w:noWrap/>
            <w:hideMark/>
          </w:tcPr>
          <w:p w:rsidR="005E7B2E" w:rsidRPr="005E7B2E" w:rsidRDefault="005E7B2E" w:rsidP="005E7B2E">
            <w:pPr>
              <w:spacing w:after="0"/>
              <w:jc w:val="center"/>
              <w:rPr>
                <w:rFonts w:ascii="Calibri" w:eastAsia="Times New Roman" w:hAnsi="Calibri" w:cs="Calibri"/>
                <w:bCs w:val="0"/>
                <w:sz w:val="20"/>
                <w:szCs w:val="20"/>
                <w:lang w:val="en-US"/>
              </w:rPr>
            </w:pPr>
            <w:r w:rsidRPr="005E7B2E">
              <w:rPr>
                <w:rFonts w:ascii="Calibri" w:eastAsia="Times New Roman" w:hAnsi="Calibri" w:cs="Calibri"/>
                <w:bCs w:val="0"/>
                <w:sz w:val="20"/>
                <w:szCs w:val="20"/>
                <w:lang w:val="en-US"/>
              </w:rPr>
              <w:t>Residents</w:t>
            </w:r>
            <w:r w:rsidRPr="005E7B2E">
              <w:rPr>
                <w:rFonts w:ascii="Calibri" w:eastAsia="Times New Roman" w:hAnsi="Calibri" w:cs="Calibri"/>
                <w:bCs w:val="0"/>
                <w:sz w:val="20"/>
                <w:szCs w:val="20"/>
                <w:lang w:val="en-US"/>
              </w:rPr>
              <w:br/>
            </w:r>
            <w:r w:rsidRPr="005E7B2E">
              <w:rPr>
                <w:rFonts w:ascii="Calibri" w:eastAsia="Times New Roman" w:hAnsi="Calibri" w:cs="Calibri"/>
                <w:bCs w:val="0"/>
                <w:sz w:val="16"/>
                <w:szCs w:val="18"/>
                <w:lang w:val="en-US"/>
              </w:rPr>
              <w:t>(as at 30 June 2022)</w:t>
            </w:r>
          </w:p>
        </w:tc>
      </w:tr>
      <w:tr w:rsidR="005E7B2E" w:rsidRPr="005E7B2E" w:rsidTr="005E7B2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65" w:type="dxa"/>
            <w:tcBorders>
              <w:right w:val="none" w:sz="0" w:space="0" w:color="auto"/>
            </w:tcBorders>
            <w:noWrap/>
            <w:hideMark/>
          </w:tcPr>
          <w:p w:rsidR="005E7B2E" w:rsidRPr="005E7B2E" w:rsidRDefault="005E7B2E" w:rsidP="005E7B2E">
            <w:pPr>
              <w:spacing w:after="0"/>
              <w:jc w:val="lef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Up to</w:t>
            </w:r>
            <w:r w:rsidRPr="005E7B2E">
              <w:rPr>
                <w:rFonts w:ascii="Calibri" w:eastAsia="Times New Roman" w:hAnsi="Calibri" w:cs="Calibri"/>
                <w:color w:val="000000"/>
                <w:sz w:val="20"/>
                <w:szCs w:val="20"/>
                <w:lang w:val="en-US"/>
              </w:rPr>
              <w:t xml:space="preserve"> 2018</w:t>
            </w:r>
          </w:p>
        </w:tc>
        <w:tc>
          <w:tcPr>
            <w:cnfStyle w:val="000010000000" w:firstRow="0" w:lastRow="0" w:firstColumn="0" w:lastColumn="0" w:oddVBand="1" w:evenVBand="0" w:oddHBand="0" w:evenHBand="0" w:firstRowFirstColumn="0" w:firstRowLastColumn="0" w:lastRowFirstColumn="0" w:lastRowLastColumn="0"/>
            <w:tcW w:w="1581" w:type="dxa"/>
            <w:tcBorders>
              <w:left w:val="none" w:sz="0" w:space="0" w:color="auto"/>
              <w:right w:val="none" w:sz="0" w:space="0" w:color="auto"/>
            </w:tcBorders>
            <w:noWrap/>
            <w:hideMark/>
          </w:tcPr>
          <w:p w:rsidR="005E7B2E" w:rsidRPr="005E7B2E" w:rsidRDefault="005E7B2E" w:rsidP="005E7B2E">
            <w:pPr>
              <w:spacing w:after="0"/>
              <w:jc w:val="center"/>
              <w:rPr>
                <w:rFonts w:ascii="Calibri" w:eastAsia="Times New Roman" w:hAnsi="Calibri" w:cs="Calibri"/>
                <w:color w:val="000000"/>
                <w:sz w:val="20"/>
                <w:szCs w:val="20"/>
                <w:lang w:val="en-US"/>
              </w:rPr>
            </w:pPr>
            <w:r w:rsidRPr="005E7B2E">
              <w:rPr>
                <w:rFonts w:ascii="Calibri" w:eastAsia="Times New Roman" w:hAnsi="Calibri" w:cs="Calibri"/>
                <w:color w:val="000000"/>
                <w:sz w:val="20"/>
                <w:szCs w:val="20"/>
                <w:lang w:val="en-US"/>
              </w:rPr>
              <w:t>181308</w:t>
            </w:r>
          </w:p>
        </w:tc>
        <w:tc>
          <w:tcPr>
            <w:tcW w:w="1581" w:type="dxa"/>
            <w:noWrap/>
            <w:hideMark/>
          </w:tcPr>
          <w:p w:rsidR="005E7B2E" w:rsidRPr="005E7B2E" w:rsidRDefault="005E7B2E" w:rsidP="005E7B2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5E7B2E">
              <w:rPr>
                <w:rFonts w:ascii="Calibri" w:eastAsia="Times New Roman" w:hAnsi="Calibri" w:cs="Calibri"/>
                <w:color w:val="000000"/>
                <w:sz w:val="20"/>
                <w:szCs w:val="20"/>
                <w:lang w:val="en-US"/>
              </w:rPr>
              <w:t>127119</w:t>
            </w: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right w:val="none" w:sz="0" w:space="0" w:color="auto"/>
            </w:tcBorders>
            <w:noWrap/>
            <w:hideMark/>
          </w:tcPr>
          <w:p w:rsidR="005E7B2E" w:rsidRPr="005E7B2E" w:rsidRDefault="005E7B2E" w:rsidP="005E7B2E">
            <w:pPr>
              <w:spacing w:after="0"/>
              <w:jc w:val="center"/>
              <w:rPr>
                <w:rFonts w:ascii="Calibri" w:eastAsia="Times New Roman" w:hAnsi="Calibri" w:cs="Calibri"/>
                <w:color w:val="000000"/>
                <w:sz w:val="20"/>
                <w:szCs w:val="20"/>
                <w:lang w:val="en-US"/>
              </w:rPr>
            </w:pPr>
            <w:r w:rsidRPr="005E7B2E">
              <w:rPr>
                <w:rFonts w:ascii="Calibri" w:eastAsia="Times New Roman" w:hAnsi="Calibri" w:cs="Calibri"/>
                <w:color w:val="000000"/>
                <w:sz w:val="20"/>
                <w:szCs w:val="20"/>
                <w:lang w:val="en-US"/>
              </w:rPr>
              <w:t>91404</w:t>
            </w:r>
          </w:p>
        </w:tc>
        <w:tc>
          <w:tcPr>
            <w:tcW w:w="1581" w:type="dxa"/>
            <w:noWrap/>
            <w:hideMark/>
          </w:tcPr>
          <w:p w:rsidR="005E7B2E" w:rsidRPr="005E7B2E" w:rsidRDefault="005E7B2E" w:rsidP="005E7B2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5E7B2E">
              <w:rPr>
                <w:rFonts w:ascii="Calibri" w:eastAsia="Times New Roman" w:hAnsi="Calibri" w:cs="Calibri"/>
                <w:color w:val="000000"/>
                <w:sz w:val="20"/>
                <w:szCs w:val="20"/>
                <w:lang w:val="en-US"/>
              </w:rPr>
              <w:t>64089</w:t>
            </w: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right w:val="none" w:sz="0" w:space="0" w:color="auto"/>
            </w:tcBorders>
            <w:noWrap/>
            <w:hideMark/>
          </w:tcPr>
          <w:p w:rsidR="005E7B2E" w:rsidRPr="005E7B2E" w:rsidRDefault="005E7B2E" w:rsidP="005E7B2E">
            <w:pPr>
              <w:spacing w:after="0"/>
              <w:jc w:val="center"/>
              <w:rPr>
                <w:rFonts w:ascii="Calibri" w:eastAsia="Times New Roman" w:hAnsi="Calibri" w:cs="Calibri"/>
                <w:color w:val="000000"/>
                <w:sz w:val="20"/>
                <w:szCs w:val="20"/>
                <w:lang w:val="en-US"/>
              </w:rPr>
            </w:pPr>
            <w:r w:rsidRPr="005E7B2E">
              <w:rPr>
                <w:rFonts w:ascii="Calibri" w:eastAsia="Times New Roman" w:hAnsi="Calibri" w:cs="Calibri"/>
                <w:color w:val="000000"/>
                <w:sz w:val="20"/>
                <w:szCs w:val="20"/>
                <w:lang w:val="en-US"/>
              </w:rPr>
              <w:t>45195</w:t>
            </w:r>
          </w:p>
        </w:tc>
      </w:tr>
      <w:tr w:rsidR="005E7B2E" w:rsidRPr="005E7B2E" w:rsidTr="005E7B2E">
        <w:trPr>
          <w:trHeight w:val="266"/>
        </w:trPr>
        <w:tc>
          <w:tcPr>
            <w:cnfStyle w:val="001000000000" w:firstRow="0" w:lastRow="0" w:firstColumn="1" w:lastColumn="0" w:oddVBand="0" w:evenVBand="0" w:oddHBand="0" w:evenHBand="0" w:firstRowFirstColumn="0" w:firstRowLastColumn="0" w:lastRowFirstColumn="0" w:lastRowLastColumn="0"/>
            <w:tcW w:w="1165" w:type="dxa"/>
            <w:tcBorders>
              <w:right w:val="none" w:sz="0" w:space="0" w:color="auto"/>
            </w:tcBorders>
            <w:noWrap/>
            <w:hideMark/>
          </w:tcPr>
          <w:p w:rsidR="005E7B2E" w:rsidRPr="005E7B2E" w:rsidRDefault="005E7B2E" w:rsidP="005E7B2E">
            <w:pPr>
              <w:spacing w:after="0"/>
              <w:jc w:val="left"/>
              <w:rPr>
                <w:rFonts w:ascii="Calibri" w:eastAsia="Times New Roman" w:hAnsi="Calibri" w:cs="Calibri"/>
                <w:color w:val="000000"/>
                <w:sz w:val="20"/>
                <w:szCs w:val="20"/>
                <w:lang w:val="en-US"/>
              </w:rPr>
            </w:pPr>
            <w:r w:rsidRPr="005E7B2E">
              <w:rPr>
                <w:rFonts w:ascii="Calibri" w:eastAsia="Times New Roman" w:hAnsi="Calibri" w:cs="Calibri"/>
                <w:color w:val="000000"/>
                <w:sz w:val="20"/>
                <w:szCs w:val="20"/>
                <w:lang w:val="en-US"/>
              </w:rPr>
              <w:t>2019</w:t>
            </w:r>
          </w:p>
        </w:tc>
        <w:tc>
          <w:tcPr>
            <w:cnfStyle w:val="000010000000" w:firstRow="0" w:lastRow="0" w:firstColumn="0" w:lastColumn="0" w:oddVBand="1" w:evenVBand="0" w:oddHBand="0" w:evenHBand="0" w:firstRowFirstColumn="0" w:firstRowLastColumn="0" w:lastRowFirstColumn="0" w:lastRowLastColumn="0"/>
            <w:tcW w:w="1581" w:type="dxa"/>
            <w:tcBorders>
              <w:left w:val="none" w:sz="0" w:space="0" w:color="auto"/>
              <w:right w:val="none" w:sz="0" w:space="0" w:color="auto"/>
            </w:tcBorders>
            <w:noWrap/>
            <w:hideMark/>
          </w:tcPr>
          <w:p w:rsidR="005E7B2E" w:rsidRPr="005E7B2E" w:rsidRDefault="005E7B2E" w:rsidP="005E7B2E">
            <w:pPr>
              <w:spacing w:after="0"/>
              <w:jc w:val="center"/>
              <w:rPr>
                <w:rFonts w:ascii="Calibri" w:eastAsia="Times New Roman" w:hAnsi="Calibri" w:cs="Calibri"/>
                <w:i/>
                <w:color w:val="000000"/>
                <w:sz w:val="20"/>
                <w:szCs w:val="20"/>
                <w:lang w:val="en-US"/>
              </w:rPr>
            </w:pPr>
            <w:r>
              <w:rPr>
                <w:rFonts w:ascii="Calibri" w:eastAsia="Times New Roman" w:hAnsi="Calibri" w:cs="Calibri"/>
                <w:i/>
                <w:color w:val="000000"/>
                <w:sz w:val="20"/>
                <w:szCs w:val="20"/>
                <w:lang w:val="en-US"/>
              </w:rPr>
              <w:t>NA</w:t>
            </w:r>
          </w:p>
        </w:tc>
        <w:tc>
          <w:tcPr>
            <w:tcW w:w="1581" w:type="dxa"/>
            <w:noWrap/>
            <w:hideMark/>
          </w:tcPr>
          <w:p w:rsidR="005E7B2E" w:rsidRPr="005E7B2E" w:rsidRDefault="005E7B2E" w:rsidP="005E7B2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5E7B2E">
              <w:rPr>
                <w:rFonts w:ascii="Calibri" w:eastAsia="Times New Roman" w:hAnsi="Calibri" w:cs="Calibri"/>
                <w:color w:val="000000"/>
                <w:sz w:val="20"/>
                <w:szCs w:val="20"/>
                <w:lang w:val="en-US"/>
              </w:rPr>
              <w:t>56908</w:t>
            </w: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right w:val="none" w:sz="0" w:space="0" w:color="auto"/>
            </w:tcBorders>
            <w:noWrap/>
            <w:hideMark/>
          </w:tcPr>
          <w:p w:rsidR="005E7B2E" w:rsidRPr="005E7B2E" w:rsidRDefault="005E7B2E" w:rsidP="005E7B2E">
            <w:pPr>
              <w:spacing w:after="0"/>
              <w:jc w:val="center"/>
              <w:rPr>
                <w:rFonts w:ascii="Calibri" w:eastAsia="Times New Roman" w:hAnsi="Calibri" w:cs="Calibri"/>
                <w:color w:val="000000"/>
                <w:sz w:val="20"/>
                <w:szCs w:val="20"/>
                <w:lang w:val="en-US"/>
              </w:rPr>
            </w:pPr>
            <w:r w:rsidRPr="005E7B2E">
              <w:rPr>
                <w:rFonts w:ascii="Calibri" w:eastAsia="Times New Roman" w:hAnsi="Calibri" w:cs="Calibri"/>
                <w:color w:val="000000"/>
                <w:sz w:val="20"/>
                <w:szCs w:val="20"/>
                <w:lang w:val="en-US"/>
              </w:rPr>
              <w:t>37622</w:t>
            </w:r>
          </w:p>
        </w:tc>
        <w:tc>
          <w:tcPr>
            <w:tcW w:w="1581" w:type="dxa"/>
            <w:noWrap/>
            <w:hideMark/>
          </w:tcPr>
          <w:p w:rsidR="005E7B2E" w:rsidRPr="005E7B2E" w:rsidRDefault="005E7B2E" w:rsidP="005E7B2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5E7B2E">
              <w:rPr>
                <w:rFonts w:ascii="Calibri" w:eastAsia="Times New Roman" w:hAnsi="Calibri" w:cs="Calibri"/>
                <w:color w:val="000000"/>
                <w:sz w:val="20"/>
                <w:szCs w:val="20"/>
                <w:lang w:val="en-US"/>
              </w:rPr>
              <w:t>28686</w:t>
            </w: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right w:val="none" w:sz="0" w:space="0" w:color="auto"/>
            </w:tcBorders>
            <w:noWrap/>
            <w:hideMark/>
          </w:tcPr>
          <w:p w:rsidR="005E7B2E" w:rsidRPr="005E7B2E" w:rsidRDefault="005E7B2E" w:rsidP="005E7B2E">
            <w:pPr>
              <w:spacing w:after="0"/>
              <w:jc w:val="center"/>
              <w:rPr>
                <w:rFonts w:ascii="Calibri" w:eastAsia="Times New Roman" w:hAnsi="Calibri" w:cs="Calibri"/>
                <w:color w:val="000000"/>
                <w:sz w:val="20"/>
                <w:szCs w:val="20"/>
                <w:lang w:val="en-US"/>
              </w:rPr>
            </w:pPr>
            <w:r w:rsidRPr="005E7B2E">
              <w:rPr>
                <w:rFonts w:ascii="Calibri" w:eastAsia="Times New Roman" w:hAnsi="Calibri" w:cs="Calibri"/>
                <w:color w:val="000000"/>
                <w:sz w:val="20"/>
                <w:szCs w:val="20"/>
                <w:lang w:val="en-US"/>
              </w:rPr>
              <w:t>19856</w:t>
            </w:r>
          </w:p>
        </w:tc>
      </w:tr>
      <w:tr w:rsidR="005E7B2E" w:rsidRPr="005E7B2E" w:rsidTr="005E7B2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65" w:type="dxa"/>
            <w:tcBorders>
              <w:right w:val="none" w:sz="0" w:space="0" w:color="auto"/>
            </w:tcBorders>
            <w:noWrap/>
            <w:hideMark/>
          </w:tcPr>
          <w:p w:rsidR="005E7B2E" w:rsidRPr="005E7B2E" w:rsidRDefault="005E7B2E" w:rsidP="005E7B2E">
            <w:pPr>
              <w:spacing w:after="0"/>
              <w:jc w:val="left"/>
              <w:rPr>
                <w:rFonts w:ascii="Calibri" w:eastAsia="Times New Roman" w:hAnsi="Calibri" w:cs="Calibri"/>
                <w:color w:val="000000"/>
                <w:sz w:val="20"/>
                <w:szCs w:val="20"/>
                <w:lang w:val="en-US"/>
              </w:rPr>
            </w:pPr>
            <w:r w:rsidRPr="005E7B2E">
              <w:rPr>
                <w:rFonts w:ascii="Calibri" w:eastAsia="Times New Roman" w:hAnsi="Calibri" w:cs="Calibri"/>
                <w:color w:val="000000"/>
                <w:sz w:val="20"/>
                <w:szCs w:val="20"/>
                <w:lang w:val="en-US"/>
              </w:rPr>
              <w:t>2020</w:t>
            </w:r>
          </w:p>
        </w:tc>
        <w:tc>
          <w:tcPr>
            <w:cnfStyle w:val="000010000000" w:firstRow="0" w:lastRow="0" w:firstColumn="0" w:lastColumn="0" w:oddVBand="1" w:evenVBand="0" w:oddHBand="0" w:evenHBand="0" w:firstRowFirstColumn="0" w:firstRowLastColumn="0" w:lastRowFirstColumn="0" w:lastRowLastColumn="0"/>
            <w:tcW w:w="1581" w:type="dxa"/>
            <w:tcBorders>
              <w:left w:val="none" w:sz="0" w:space="0" w:color="auto"/>
              <w:right w:val="none" w:sz="0" w:space="0" w:color="auto"/>
            </w:tcBorders>
            <w:noWrap/>
            <w:hideMark/>
          </w:tcPr>
          <w:p w:rsidR="005E7B2E" w:rsidRPr="005E7B2E" w:rsidRDefault="005E7B2E" w:rsidP="005E7B2E">
            <w:pPr>
              <w:spacing w:after="0"/>
              <w:jc w:val="center"/>
              <w:rPr>
                <w:rFonts w:ascii="Calibri" w:eastAsia="Times New Roman" w:hAnsi="Calibri" w:cs="Calibri"/>
                <w:color w:val="000000"/>
                <w:sz w:val="20"/>
                <w:szCs w:val="20"/>
                <w:lang w:val="en-US"/>
              </w:rPr>
            </w:pPr>
            <w:r>
              <w:rPr>
                <w:rFonts w:ascii="Calibri" w:eastAsia="Times New Roman" w:hAnsi="Calibri" w:cs="Calibri"/>
                <w:i/>
                <w:color w:val="000000"/>
                <w:sz w:val="20"/>
                <w:szCs w:val="20"/>
                <w:lang w:val="en-US"/>
              </w:rPr>
              <w:t>NA</w:t>
            </w:r>
          </w:p>
        </w:tc>
        <w:tc>
          <w:tcPr>
            <w:tcW w:w="1581" w:type="dxa"/>
            <w:noWrap/>
            <w:hideMark/>
          </w:tcPr>
          <w:p w:rsidR="005E7B2E" w:rsidRPr="005E7B2E" w:rsidRDefault="005E7B2E" w:rsidP="005E7B2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Pr>
                <w:rFonts w:ascii="Calibri" w:eastAsia="Times New Roman" w:hAnsi="Calibri" w:cs="Calibri"/>
                <w:i/>
                <w:color w:val="000000"/>
                <w:sz w:val="20"/>
                <w:szCs w:val="20"/>
                <w:lang w:val="en-US"/>
              </w:rPr>
              <w:t>NA</w:t>
            </w: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right w:val="none" w:sz="0" w:space="0" w:color="auto"/>
            </w:tcBorders>
            <w:noWrap/>
            <w:hideMark/>
          </w:tcPr>
          <w:p w:rsidR="005E7B2E" w:rsidRPr="005E7B2E" w:rsidRDefault="005E7B2E" w:rsidP="005E7B2E">
            <w:pPr>
              <w:spacing w:after="0"/>
              <w:jc w:val="center"/>
              <w:rPr>
                <w:rFonts w:ascii="Calibri" w:eastAsia="Times New Roman" w:hAnsi="Calibri" w:cs="Calibri"/>
                <w:color w:val="000000"/>
                <w:sz w:val="20"/>
                <w:szCs w:val="20"/>
                <w:lang w:val="en-US"/>
              </w:rPr>
            </w:pPr>
            <w:r w:rsidRPr="005E7B2E">
              <w:rPr>
                <w:rFonts w:ascii="Calibri" w:eastAsia="Times New Roman" w:hAnsi="Calibri" w:cs="Calibri"/>
                <w:color w:val="000000"/>
                <w:sz w:val="20"/>
                <w:szCs w:val="20"/>
                <w:lang w:val="en-US"/>
              </w:rPr>
              <w:t>57762</w:t>
            </w:r>
          </w:p>
        </w:tc>
        <w:tc>
          <w:tcPr>
            <w:tcW w:w="1581" w:type="dxa"/>
            <w:noWrap/>
            <w:hideMark/>
          </w:tcPr>
          <w:p w:rsidR="005E7B2E" w:rsidRPr="005E7B2E" w:rsidRDefault="005E7B2E" w:rsidP="005E7B2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5E7B2E">
              <w:rPr>
                <w:rFonts w:ascii="Calibri" w:eastAsia="Times New Roman" w:hAnsi="Calibri" w:cs="Calibri"/>
                <w:color w:val="000000"/>
                <w:sz w:val="20"/>
                <w:szCs w:val="20"/>
                <w:lang w:val="en-US"/>
              </w:rPr>
              <w:t>38186</w:t>
            </w: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right w:val="none" w:sz="0" w:space="0" w:color="auto"/>
            </w:tcBorders>
            <w:noWrap/>
            <w:hideMark/>
          </w:tcPr>
          <w:p w:rsidR="005E7B2E" w:rsidRPr="005E7B2E" w:rsidRDefault="005E7B2E" w:rsidP="005E7B2E">
            <w:pPr>
              <w:spacing w:after="0"/>
              <w:jc w:val="center"/>
              <w:rPr>
                <w:rFonts w:ascii="Calibri" w:eastAsia="Times New Roman" w:hAnsi="Calibri" w:cs="Calibri"/>
                <w:color w:val="000000"/>
                <w:sz w:val="20"/>
                <w:szCs w:val="20"/>
                <w:lang w:val="en-US"/>
              </w:rPr>
            </w:pPr>
            <w:r w:rsidRPr="005E7B2E">
              <w:rPr>
                <w:rFonts w:ascii="Calibri" w:eastAsia="Times New Roman" w:hAnsi="Calibri" w:cs="Calibri"/>
                <w:color w:val="000000"/>
                <w:sz w:val="20"/>
                <w:szCs w:val="20"/>
                <w:lang w:val="en-US"/>
              </w:rPr>
              <w:t>29116</w:t>
            </w:r>
          </w:p>
        </w:tc>
      </w:tr>
      <w:tr w:rsidR="005E7B2E" w:rsidRPr="005E7B2E" w:rsidTr="005E7B2E">
        <w:trPr>
          <w:trHeight w:val="266"/>
        </w:trPr>
        <w:tc>
          <w:tcPr>
            <w:cnfStyle w:val="001000000000" w:firstRow="0" w:lastRow="0" w:firstColumn="1" w:lastColumn="0" w:oddVBand="0" w:evenVBand="0" w:oddHBand="0" w:evenHBand="0" w:firstRowFirstColumn="0" w:firstRowLastColumn="0" w:lastRowFirstColumn="0" w:lastRowLastColumn="0"/>
            <w:tcW w:w="1165" w:type="dxa"/>
            <w:tcBorders>
              <w:right w:val="none" w:sz="0" w:space="0" w:color="auto"/>
            </w:tcBorders>
            <w:noWrap/>
            <w:hideMark/>
          </w:tcPr>
          <w:p w:rsidR="005E7B2E" w:rsidRPr="005E7B2E" w:rsidRDefault="005E7B2E" w:rsidP="005E7B2E">
            <w:pPr>
              <w:spacing w:after="0"/>
              <w:jc w:val="left"/>
              <w:rPr>
                <w:rFonts w:ascii="Calibri" w:eastAsia="Times New Roman" w:hAnsi="Calibri" w:cs="Calibri"/>
                <w:color w:val="000000"/>
                <w:sz w:val="20"/>
                <w:szCs w:val="20"/>
                <w:lang w:val="en-US"/>
              </w:rPr>
            </w:pPr>
            <w:r w:rsidRPr="005E7B2E">
              <w:rPr>
                <w:rFonts w:ascii="Calibri" w:eastAsia="Times New Roman" w:hAnsi="Calibri" w:cs="Calibri"/>
                <w:color w:val="000000"/>
                <w:sz w:val="20"/>
                <w:szCs w:val="20"/>
                <w:lang w:val="en-US"/>
              </w:rPr>
              <w:t>2021</w:t>
            </w:r>
          </w:p>
        </w:tc>
        <w:tc>
          <w:tcPr>
            <w:cnfStyle w:val="000010000000" w:firstRow="0" w:lastRow="0" w:firstColumn="0" w:lastColumn="0" w:oddVBand="1" w:evenVBand="0" w:oddHBand="0" w:evenHBand="0" w:firstRowFirstColumn="0" w:firstRowLastColumn="0" w:lastRowFirstColumn="0" w:lastRowLastColumn="0"/>
            <w:tcW w:w="1581" w:type="dxa"/>
            <w:tcBorders>
              <w:left w:val="none" w:sz="0" w:space="0" w:color="auto"/>
              <w:right w:val="none" w:sz="0" w:space="0" w:color="auto"/>
            </w:tcBorders>
            <w:noWrap/>
            <w:hideMark/>
          </w:tcPr>
          <w:p w:rsidR="005E7B2E" w:rsidRPr="005E7B2E" w:rsidRDefault="005E7B2E" w:rsidP="005E7B2E">
            <w:pPr>
              <w:spacing w:after="0"/>
              <w:jc w:val="center"/>
              <w:rPr>
                <w:rFonts w:ascii="Calibri" w:eastAsia="Times New Roman" w:hAnsi="Calibri" w:cs="Calibri"/>
                <w:color w:val="000000"/>
                <w:sz w:val="20"/>
                <w:szCs w:val="20"/>
                <w:lang w:val="en-US"/>
              </w:rPr>
            </w:pPr>
            <w:r>
              <w:rPr>
                <w:rFonts w:ascii="Calibri" w:eastAsia="Times New Roman" w:hAnsi="Calibri" w:cs="Calibri"/>
                <w:i/>
                <w:color w:val="000000"/>
                <w:sz w:val="20"/>
                <w:szCs w:val="20"/>
                <w:lang w:val="en-US"/>
              </w:rPr>
              <w:t>NA</w:t>
            </w:r>
          </w:p>
        </w:tc>
        <w:tc>
          <w:tcPr>
            <w:tcW w:w="1581" w:type="dxa"/>
            <w:noWrap/>
            <w:hideMark/>
          </w:tcPr>
          <w:p w:rsidR="005E7B2E" w:rsidRPr="005E7B2E" w:rsidRDefault="005E7B2E" w:rsidP="005E7B2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Pr>
                <w:rFonts w:ascii="Calibri" w:eastAsia="Times New Roman" w:hAnsi="Calibri" w:cs="Calibri"/>
                <w:i/>
                <w:color w:val="000000"/>
                <w:sz w:val="20"/>
                <w:szCs w:val="20"/>
                <w:lang w:val="en-US"/>
              </w:rPr>
              <w:t>NA</w:t>
            </w: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right w:val="none" w:sz="0" w:space="0" w:color="auto"/>
            </w:tcBorders>
            <w:noWrap/>
            <w:hideMark/>
          </w:tcPr>
          <w:p w:rsidR="005E7B2E" w:rsidRPr="005E7B2E" w:rsidRDefault="005E7B2E" w:rsidP="005E7B2E">
            <w:pPr>
              <w:spacing w:after="0"/>
              <w:jc w:val="center"/>
              <w:rPr>
                <w:rFonts w:ascii="Times New Roman" w:eastAsia="Times New Roman" w:hAnsi="Times New Roman" w:cs="Times New Roman"/>
                <w:sz w:val="20"/>
                <w:szCs w:val="20"/>
                <w:lang w:val="en-US"/>
              </w:rPr>
            </w:pPr>
            <w:r>
              <w:rPr>
                <w:rFonts w:ascii="Calibri" w:eastAsia="Times New Roman" w:hAnsi="Calibri" w:cs="Calibri"/>
                <w:i/>
                <w:color w:val="000000"/>
                <w:sz w:val="20"/>
                <w:szCs w:val="20"/>
                <w:lang w:val="en-US"/>
              </w:rPr>
              <w:t>NA</w:t>
            </w:r>
          </w:p>
        </w:tc>
        <w:tc>
          <w:tcPr>
            <w:tcW w:w="1581" w:type="dxa"/>
            <w:noWrap/>
            <w:hideMark/>
          </w:tcPr>
          <w:p w:rsidR="005E7B2E" w:rsidRPr="005E7B2E" w:rsidRDefault="005E7B2E" w:rsidP="005E7B2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5E7B2E">
              <w:rPr>
                <w:rFonts w:ascii="Calibri" w:eastAsia="Times New Roman" w:hAnsi="Calibri" w:cs="Calibri"/>
                <w:color w:val="000000"/>
                <w:sz w:val="20"/>
                <w:szCs w:val="20"/>
                <w:lang w:val="en-US"/>
              </w:rPr>
              <w:t>58629</w:t>
            </w: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right w:val="none" w:sz="0" w:space="0" w:color="auto"/>
            </w:tcBorders>
            <w:noWrap/>
            <w:hideMark/>
          </w:tcPr>
          <w:p w:rsidR="005E7B2E" w:rsidRPr="005E7B2E" w:rsidRDefault="005E7B2E" w:rsidP="005E7B2E">
            <w:pPr>
              <w:spacing w:after="0"/>
              <w:jc w:val="center"/>
              <w:rPr>
                <w:rFonts w:ascii="Calibri" w:eastAsia="Times New Roman" w:hAnsi="Calibri" w:cs="Calibri"/>
                <w:color w:val="000000"/>
                <w:sz w:val="20"/>
                <w:szCs w:val="20"/>
                <w:lang w:val="en-US"/>
              </w:rPr>
            </w:pPr>
            <w:r w:rsidRPr="005E7B2E">
              <w:rPr>
                <w:rFonts w:ascii="Calibri" w:eastAsia="Times New Roman" w:hAnsi="Calibri" w:cs="Calibri"/>
                <w:color w:val="000000"/>
                <w:sz w:val="20"/>
                <w:szCs w:val="20"/>
                <w:lang w:val="en-US"/>
              </w:rPr>
              <w:t>38759</w:t>
            </w:r>
          </w:p>
        </w:tc>
      </w:tr>
      <w:tr w:rsidR="005E7B2E" w:rsidRPr="005E7B2E" w:rsidTr="005E7B2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65" w:type="dxa"/>
            <w:tcBorders>
              <w:right w:val="none" w:sz="0" w:space="0" w:color="auto"/>
            </w:tcBorders>
            <w:noWrap/>
            <w:hideMark/>
          </w:tcPr>
          <w:p w:rsidR="005E7B2E" w:rsidRPr="005E7B2E" w:rsidRDefault="005E7B2E" w:rsidP="005E7B2E">
            <w:pPr>
              <w:spacing w:after="0"/>
              <w:jc w:val="left"/>
              <w:rPr>
                <w:rFonts w:ascii="Calibri" w:eastAsia="Times New Roman" w:hAnsi="Calibri" w:cs="Calibri"/>
                <w:color w:val="000000"/>
                <w:sz w:val="20"/>
                <w:szCs w:val="20"/>
                <w:lang w:val="en-US"/>
              </w:rPr>
            </w:pPr>
            <w:r w:rsidRPr="005E7B2E">
              <w:rPr>
                <w:rFonts w:ascii="Calibri" w:eastAsia="Times New Roman" w:hAnsi="Calibri" w:cs="Calibri"/>
                <w:color w:val="000000"/>
                <w:sz w:val="20"/>
                <w:szCs w:val="20"/>
                <w:lang w:val="en-US"/>
              </w:rPr>
              <w:t>2022</w:t>
            </w:r>
          </w:p>
        </w:tc>
        <w:tc>
          <w:tcPr>
            <w:cnfStyle w:val="000010000000" w:firstRow="0" w:lastRow="0" w:firstColumn="0" w:lastColumn="0" w:oddVBand="1" w:evenVBand="0" w:oddHBand="0" w:evenHBand="0" w:firstRowFirstColumn="0" w:firstRowLastColumn="0" w:lastRowFirstColumn="0" w:lastRowLastColumn="0"/>
            <w:tcW w:w="1581" w:type="dxa"/>
            <w:tcBorders>
              <w:left w:val="none" w:sz="0" w:space="0" w:color="auto"/>
              <w:right w:val="none" w:sz="0" w:space="0" w:color="auto"/>
            </w:tcBorders>
            <w:noWrap/>
            <w:hideMark/>
          </w:tcPr>
          <w:p w:rsidR="005E7B2E" w:rsidRPr="005E7B2E" w:rsidRDefault="005E7B2E" w:rsidP="005E7B2E">
            <w:pPr>
              <w:spacing w:after="0"/>
              <w:jc w:val="center"/>
              <w:rPr>
                <w:rFonts w:ascii="Calibri" w:eastAsia="Times New Roman" w:hAnsi="Calibri" w:cs="Calibri"/>
                <w:color w:val="000000"/>
                <w:sz w:val="20"/>
                <w:szCs w:val="20"/>
                <w:lang w:val="en-US"/>
              </w:rPr>
            </w:pPr>
            <w:r>
              <w:rPr>
                <w:rFonts w:ascii="Calibri" w:eastAsia="Times New Roman" w:hAnsi="Calibri" w:cs="Calibri"/>
                <w:i/>
                <w:color w:val="000000"/>
                <w:sz w:val="20"/>
                <w:szCs w:val="20"/>
                <w:lang w:val="en-US"/>
              </w:rPr>
              <w:t>NA</w:t>
            </w:r>
          </w:p>
        </w:tc>
        <w:tc>
          <w:tcPr>
            <w:tcW w:w="1581" w:type="dxa"/>
            <w:noWrap/>
            <w:hideMark/>
          </w:tcPr>
          <w:p w:rsidR="005E7B2E" w:rsidRPr="005E7B2E" w:rsidRDefault="005E7B2E" w:rsidP="005E7B2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Pr>
                <w:rFonts w:ascii="Calibri" w:eastAsia="Times New Roman" w:hAnsi="Calibri" w:cs="Calibri"/>
                <w:i/>
                <w:color w:val="000000"/>
                <w:sz w:val="20"/>
                <w:szCs w:val="20"/>
                <w:lang w:val="en-US"/>
              </w:rPr>
              <w:t>NA</w:t>
            </w: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right w:val="none" w:sz="0" w:space="0" w:color="auto"/>
            </w:tcBorders>
            <w:noWrap/>
            <w:hideMark/>
          </w:tcPr>
          <w:p w:rsidR="005E7B2E" w:rsidRPr="005E7B2E" w:rsidRDefault="005E7B2E" w:rsidP="005E7B2E">
            <w:pPr>
              <w:spacing w:after="0"/>
              <w:jc w:val="center"/>
              <w:rPr>
                <w:rFonts w:ascii="Times New Roman" w:eastAsia="Times New Roman" w:hAnsi="Times New Roman" w:cs="Times New Roman"/>
                <w:sz w:val="20"/>
                <w:szCs w:val="20"/>
                <w:lang w:val="en-US"/>
              </w:rPr>
            </w:pPr>
            <w:r>
              <w:rPr>
                <w:rFonts w:ascii="Calibri" w:eastAsia="Times New Roman" w:hAnsi="Calibri" w:cs="Calibri"/>
                <w:i/>
                <w:color w:val="000000"/>
                <w:sz w:val="20"/>
                <w:szCs w:val="20"/>
                <w:lang w:val="en-US"/>
              </w:rPr>
              <w:t>NA</w:t>
            </w:r>
          </w:p>
        </w:tc>
        <w:tc>
          <w:tcPr>
            <w:tcW w:w="1581" w:type="dxa"/>
            <w:noWrap/>
            <w:hideMark/>
          </w:tcPr>
          <w:p w:rsidR="005E7B2E" w:rsidRPr="005E7B2E" w:rsidRDefault="005E7B2E" w:rsidP="005E7B2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Pr>
                <w:rFonts w:ascii="Calibri" w:eastAsia="Times New Roman" w:hAnsi="Calibri" w:cs="Calibri"/>
                <w:i/>
                <w:color w:val="000000"/>
                <w:sz w:val="20"/>
                <w:szCs w:val="20"/>
                <w:lang w:val="en-US"/>
              </w:rPr>
              <w:t>NA</w:t>
            </w: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right w:val="none" w:sz="0" w:space="0" w:color="auto"/>
            </w:tcBorders>
            <w:noWrap/>
            <w:hideMark/>
          </w:tcPr>
          <w:p w:rsidR="005E7B2E" w:rsidRPr="005E7B2E" w:rsidRDefault="005E7B2E" w:rsidP="005E7B2E">
            <w:pPr>
              <w:spacing w:after="0"/>
              <w:jc w:val="center"/>
              <w:rPr>
                <w:rFonts w:ascii="Calibri" w:eastAsia="Times New Roman" w:hAnsi="Calibri" w:cs="Calibri"/>
                <w:color w:val="000000"/>
                <w:sz w:val="20"/>
                <w:szCs w:val="20"/>
                <w:lang w:val="en-US"/>
              </w:rPr>
            </w:pPr>
            <w:r w:rsidRPr="005E7B2E">
              <w:rPr>
                <w:rFonts w:ascii="Calibri" w:eastAsia="Times New Roman" w:hAnsi="Calibri" w:cs="Calibri"/>
                <w:color w:val="000000"/>
                <w:sz w:val="20"/>
                <w:szCs w:val="20"/>
                <w:lang w:val="en-US"/>
              </w:rPr>
              <w:t>59508</w:t>
            </w:r>
          </w:p>
        </w:tc>
      </w:tr>
      <w:tr w:rsidR="005E7B2E" w:rsidRPr="005E7B2E" w:rsidTr="001F2D8D">
        <w:trPr>
          <w:trHeight w:val="266"/>
        </w:trPr>
        <w:tc>
          <w:tcPr>
            <w:cnfStyle w:val="001000000000" w:firstRow="0" w:lastRow="0" w:firstColumn="1" w:lastColumn="0" w:oddVBand="0" w:evenVBand="0" w:oddHBand="0" w:evenHBand="0" w:firstRowFirstColumn="0" w:firstRowLastColumn="0" w:lastRowFirstColumn="0" w:lastRowLastColumn="0"/>
            <w:tcW w:w="1165" w:type="dxa"/>
            <w:tcBorders>
              <w:right w:val="none" w:sz="0" w:space="0" w:color="auto"/>
            </w:tcBorders>
            <w:shd w:val="clear" w:color="auto" w:fill="auto"/>
            <w:noWrap/>
            <w:hideMark/>
          </w:tcPr>
          <w:p w:rsidR="005E7B2E" w:rsidRPr="005E7B2E" w:rsidRDefault="005E7B2E" w:rsidP="005E7B2E">
            <w:pPr>
              <w:spacing w:after="0"/>
              <w:jc w:val="left"/>
              <w:rPr>
                <w:rFonts w:ascii="Calibri" w:eastAsia="Times New Roman" w:hAnsi="Calibri" w:cs="Calibri"/>
                <w:bCs w:val="0"/>
                <w:color w:val="000000"/>
                <w:sz w:val="20"/>
                <w:szCs w:val="20"/>
                <w:lang w:val="en-US"/>
              </w:rPr>
            </w:pPr>
            <w:r w:rsidRPr="005E7B2E">
              <w:rPr>
                <w:rFonts w:ascii="Calibri" w:eastAsia="Times New Roman" w:hAnsi="Calibri" w:cs="Calibri"/>
                <w:bCs w:val="0"/>
                <w:color w:val="000000"/>
                <w:sz w:val="20"/>
                <w:szCs w:val="20"/>
                <w:lang w:val="en-US"/>
              </w:rPr>
              <w:t>Total</w:t>
            </w:r>
          </w:p>
        </w:tc>
        <w:tc>
          <w:tcPr>
            <w:cnfStyle w:val="000010000000" w:firstRow="0" w:lastRow="0" w:firstColumn="0" w:lastColumn="0" w:oddVBand="1" w:evenVBand="0" w:oddHBand="0" w:evenHBand="0" w:firstRowFirstColumn="0" w:firstRowLastColumn="0" w:lastRowFirstColumn="0" w:lastRowLastColumn="0"/>
            <w:tcW w:w="1581" w:type="dxa"/>
            <w:tcBorders>
              <w:left w:val="none" w:sz="0" w:space="0" w:color="auto"/>
              <w:right w:val="none" w:sz="0" w:space="0" w:color="auto"/>
            </w:tcBorders>
            <w:shd w:val="clear" w:color="auto" w:fill="auto"/>
            <w:noWrap/>
            <w:hideMark/>
          </w:tcPr>
          <w:p w:rsidR="005E7B2E" w:rsidRPr="005E7B2E" w:rsidRDefault="005E7B2E" w:rsidP="005E7B2E">
            <w:pPr>
              <w:spacing w:after="0"/>
              <w:jc w:val="center"/>
              <w:rPr>
                <w:rFonts w:ascii="Calibri" w:eastAsia="Times New Roman" w:hAnsi="Calibri" w:cs="Calibri"/>
                <w:b/>
                <w:bCs/>
                <w:color w:val="000000"/>
                <w:sz w:val="20"/>
                <w:szCs w:val="20"/>
                <w:lang w:val="en-US"/>
              </w:rPr>
            </w:pPr>
            <w:r w:rsidRPr="005E7B2E">
              <w:rPr>
                <w:rFonts w:ascii="Calibri" w:eastAsia="Times New Roman" w:hAnsi="Calibri" w:cs="Calibri"/>
                <w:b/>
                <w:bCs/>
                <w:color w:val="000000"/>
                <w:sz w:val="20"/>
                <w:szCs w:val="20"/>
                <w:lang w:val="en-US"/>
              </w:rPr>
              <w:t>181308</w:t>
            </w:r>
          </w:p>
        </w:tc>
        <w:tc>
          <w:tcPr>
            <w:tcW w:w="1581" w:type="dxa"/>
            <w:shd w:val="clear" w:color="auto" w:fill="auto"/>
            <w:noWrap/>
            <w:hideMark/>
          </w:tcPr>
          <w:p w:rsidR="005E7B2E" w:rsidRPr="005E7B2E" w:rsidRDefault="005E7B2E" w:rsidP="005E7B2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rPr>
            </w:pPr>
            <w:r w:rsidRPr="005E7B2E">
              <w:rPr>
                <w:rFonts w:ascii="Calibri" w:eastAsia="Times New Roman" w:hAnsi="Calibri" w:cs="Calibri"/>
                <w:b/>
                <w:bCs/>
                <w:color w:val="000000"/>
                <w:sz w:val="20"/>
                <w:szCs w:val="20"/>
                <w:lang w:val="en-US"/>
              </w:rPr>
              <w:t>184028</w:t>
            </w: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right w:val="none" w:sz="0" w:space="0" w:color="auto"/>
            </w:tcBorders>
            <w:shd w:val="clear" w:color="auto" w:fill="auto"/>
            <w:noWrap/>
            <w:hideMark/>
          </w:tcPr>
          <w:p w:rsidR="005E7B2E" w:rsidRPr="005E7B2E" w:rsidRDefault="005E7B2E" w:rsidP="005E7B2E">
            <w:pPr>
              <w:spacing w:after="0"/>
              <w:jc w:val="center"/>
              <w:rPr>
                <w:rFonts w:ascii="Calibri" w:eastAsia="Times New Roman" w:hAnsi="Calibri" w:cs="Calibri"/>
                <w:b/>
                <w:bCs/>
                <w:color w:val="000000"/>
                <w:sz w:val="20"/>
                <w:szCs w:val="20"/>
                <w:lang w:val="en-US"/>
              </w:rPr>
            </w:pPr>
            <w:r w:rsidRPr="005E7B2E">
              <w:rPr>
                <w:rFonts w:ascii="Calibri" w:eastAsia="Times New Roman" w:hAnsi="Calibri" w:cs="Calibri"/>
                <w:b/>
                <w:bCs/>
                <w:color w:val="000000"/>
                <w:sz w:val="20"/>
                <w:szCs w:val="20"/>
                <w:lang w:val="en-US"/>
              </w:rPr>
              <w:t>186788</w:t>
            </w:r>
          </w:p>
        </w:tc>
        <w:tc>
          <w:tcPr>
            <w:tcW w:w="1581" w:type="dxa"/>
            <w:shd w:val="clear" w:color="auto" w:fill="auto"/>
            <w:noWrap/>
            <w:hideMark/>
          </w:tcPr>
          <w:p w:rsidR="005E7B2E" w:rsidRPr="005E7B2E" w:rsidRDefault="005E7B2E" w:rsidP="005E7B2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rPr>
            </w:pPr>
            <w:r w:rsidRPr="005E7B2E">
              <w:rPr>
                <w:rFonts w:ascii="Calibri" w:eastAsia="Times New Roman" w:hAnsi="Calibri" w:cs="Calibri"/>
                <w:b/>
                <w:bCs/>
                <w:color w:val="000000"/>
                <w:sz w:val="20"/>
                <w:szCs w:val="20"/>
                <w:lang w:val="en-US"/>
              </w:rPr>
              <w:t>189590</w:t>
            </w: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right w:val="none" w:sz="0" w:space="0" w:color="auto"/>
            </w:tcBorders>
            <w:shd w:val="clear" w:color="auto" w:fill="auto"/>
            <w:noWrap/>
            <w:hideMark/>
          </w:tcPr>
          <w:p w:rsidR="005E7B2E" w:rsidRPr="005E7B2E" w:rsidRDefault="005E7B2E" w:rsidP="005E7B2E">
            <w:pPr>
              <w:spacing w:after="0"/>
              <w:jc w:val="center"/>
              <w:rPr>
                <w:rFonts w:ascii="Calibri" w:eastAsia="Times New Roman" w:hAnsi="Calibri" w:cs="Calibri"/>
                <w:b/>
                <w:bCs/>
                <w:color w:val="000000"/>
                <w:sz w:val="20"/>
                <w:szCs w:val="20"/>
                <w:lang w:val="en-US"/>
              </w:rPr>
            </w:pPr>
            <w:r w:rsidRPr="005E7B2E">
              <w:rPr>
                <w:rFonts w:ascii="Calibri" w:eastAsia="Times New Roman" w:hAnsi="Calibri" w:cs="Calibri"/>
                <w:b/>
                <w:bCs/>
                <w:color w:val="000000"/>
                <w:sz w:val="20"/>
                <w:szCs w:val="20"/>
                <w:lang w:val="en-US"/>
              </w:rPr>
              <w:t>192434</w:t>
            </w:r>
          </w:p>
        </w:tc>
      </w:tr>
      <w:tr w:rsidR="005E7B2E" w:rsidRPr="005E7B2E" w:rsidTr="005E7B2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65" w:type="dxa"/>
            <w:tcBorders>
              <w:right w:val="none" w:sz="0" w:space="0" w:color="auto"/>
            </w:tcBorders>
            <w:noWrap/>
            <w:hideMark/>
          </w:tcPr>
          <w:p w:rsidR="005E7B2E" w:rsidRPr="005E7B2E" w:rsidRDefault="005E7B2E" w:rsidP="005E7B2E">
            <w:pPr>
              <w:spacing w:after="0"/>
              <w:jc w:val="left"/>
              <w:rPr>
                <w:rFonts w:ascii="Calibri" w:eastAsia="Times New Roman" w:hAnsi="Calibri" w:cs="Calibri"/>
                <w:bCs w:val="0"/>
                <w:color w:val="000000"/>
                <w:sz w:val="20"/>
                <w:szCs w:val="20"/>
                <w:lang w:val="en-US"/>
              </w:rPr>
            </w:pPr>
            <w:r w:rsidRPr="005E7B2E">
              <w:rPr>
                <w:rFonts w:ascii="Calibri" w:eastAsia="Times New Roman" w:hAnsi="Calibri" w:cs="Calibri"/>
                <w:bCs w:val="0"/>
                <w:color w:val="000000"/>
                <w:sz w:val="20"/>
                <w:szCs w:val="20"/>
                <w:lang w:val="en-US"/>
              </w:rPr>
              <w:t>Mid-year</w:t>
            </w:r>
          </w:p>
        </w:tc>
        <w:tc>
          <w:tcPr>
            <w:cnfStyle w:val="000010000000" w:firstRow="0" w:lastRow="0" w:firstColumn="0" w:lastColumn="0" w:oddVBand="1" w:evenVBand="0" w:oddHBand="0" w:evenHBand="0" w:firstRowFirstColumn="0" w:firstRowLastColumn="0" w:lastRowFirstColumn="0" w:lastRowLastColumn="0"/>
            <w:tcW w:w="1581" w:type="dxa"/>
            <w:tcBorders>
              <w:left w:val="none" w:sz="0" w:space="0" w:color="auto"/>
              <w:right w:val="none" w:sz="0" w:space="0" w:color="auto"/>
            </w:tcBorders>
            <w:noWrap/>
            <w:hideMark/>
          </w:tcPr>
          <w:p w:rsidR="005E7B2E" w:rsidRPr="005E7B2E" w:rsidRDefault="005E7B2E" w:rsidP="005E7B2E">
            <w:pPr>
              <w:spacing w:after="0"/>
              <w:jc w:val="center"/>
              <w:rPr>
                <w:rFonts w:ascii="Calibri" w:eastAsia="Times New Roman" w:hAnsi="Calibri" w:cs="Calibri"/>
                <w:b/>
                <w:bCs/>
                <w:color w:val="000000"/>
                <w:sz w:val="20"/>
                <w:szCs w:val="20"/>
                <w:lang w:val="en-US"/>
              </w:rPr>
            </w:pPr>
            <w:r>
              <w:rPr>
                <w:rFonts w:ascii="Calibri" w:eastAsia="Times New Roman" w:hAnsi="Calibri" w:cs="Calibri"/>
                <w:i/>
                <w:color w:val="000000"/>
                <w:sz w:val="20"/>
                <w:szCs w:val="20"/>
                <w:lang w:val="en-US"/>
              </w:rPr>
              <w:t>NA</w:t>
            </w:r>
          </w:p>
        </w:tc>
        <w:tc>
          <w:tcPr>
            <w:tcW w:w="1581" w:type="dxa"/>
            <w:noWrap/>
            <w:hideMark/>
          </w:tcPr>
          <w:p w:rsidR="005E7B2E" w:rsidRPr="005E7B2E" w:rsidRDefault="005E7B2E" w:rsidP="005E7B2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rPr>
            </w:pPr>
            <w:r w:rsidRPr="005E7B2E">
              <w:rPr>
                <w:rFonts w:ascii="Calibri" w:eastAsia="Times New Roman" w:hAnsi="Calibri" w:cs="Calibri"/>
                <w:b/>
                <w:bCs/>
                <w:color w:val="000000"/>
                <w:sz w:val="20"/>
                <w:szCs w:val="20"/>
                <w:lang w:val="en-US"/>
              </w:rPr>
              <w:t>182668</w:t>
            </w: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right w:val="none" w:sz="0" w:space="0" w:color="auto"/>
            </w:tcBorders>
            <w:noWrap/>
            <w:hideMark/>
          </w:tcPr>
          <w:p w:rsidR="005E7B2E" w:rsidRPr="005E7B2E" w:rsidRDefault="005E7B2E" w:rsidP="005E7B2E">
            <w:pPr>
              <w:spacing w:after="0"/>
              <w:jc w:val="center"/>
              <w:rPr>
                <w:rFonts w:ascii="Calibri" w:eastAsia="Times New Roman" w:hAnsi="Calibri" w:cs="Calibri"/>
                <w:b/>
                <w:bCs/>
                <w:color w:val="000000"/>
                <w:sz w:val="20"/>
                <w:szCs w:val="20"/>
                <w:lang w:val="en-US"/>
              </w:rPr>
            </w:pPr>
            <w:r w:rsidRPr="005E7B2E">
              <w:rPr>
                <w:rFonts w:ascii="Calibri" w:eastAsia="Times New Roman" w:hAnsi="Calibri" w:cs="Calibri"/>
                <w:b/>
                <w:bCs/>
                <w:color w:val="000000"/>
                <w:sz w:val="20"/>
                <w:szCs w:val="20"/>
                <w:lang w:val="en-US"/>
              </w:rPr>
              <w:t>185408</w:t>
            </w:r>
          </w:p>
        </w:tc>
        <w:tc>
          <w:tcPr>
            <w:tcW w:w="1581" w:type="dxa"/>
            <w:noWrap/>
            <w:hideMark/>
          </w:tcPr>
          <w:p w:rsidR="005E7B2E" w:rsidRPr="005E7B2E" w:rsidRDefault="005E7B2E" w:rsidP="005E7B2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rPr>
            </w:pPr>
            <w:r w:rsidRPr="005E7B2E">
              <w:rPr>
                <w:rFonts w:ascii="Calibri" w:eastAsia="Times New Roman" w:hAnsi="Calibri" w:cs="Calibri"/>
                <w:b/>
                <w:bCs/>
                <w:color w:val="000000"/>
                <w:sz w:val="20"/>
                <w:szCs w:val="20"/>
                <w:lang w:val="en-US"/>
              </w:rPr>
              <w:t>188189</w:t>
            </w: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right w:val="none" w:sz="0" w:space="0" w:color="auto"/>
            </w:tcBorders>
            <w:noWrap/>
            <w:hideMark/>
          </w:tcPr>
          <w:p w:rsidR="005E7B2E" w:rsidRPr="005E7B2E" w:rsidRDefault="005E7B2E" w:rsidP="005E7B2E">
            <w:pPr>
              <w:spacing w:after="0"/>
              <w:jc w:val="center"/>
              <w:rPr>
                <w:rFonts w:ascii="Calibri" w:eastAsia="Times New Roman" w:hAnsi="Calibri" w:cs="Calibri"/>
                <w:b/>
                <w:bCs/>
                <w:color w:val="000000"/>
                <w:sz w:val="20"/>
                <w:szCs w:val="20"/>
                <w:lang w:val="en-US"/>
              </w:rPr>
            </w:pPr>
            <w:r w:rsidRPr="005E7B2E">
              <w:rPr>
                <w:rFonts w:ascii="Calibri" w:eastAsia="Times New Roman" w:hAnsi="Calibri" w:cs="Calibri"/>
                <w:b/>
                <w:bCs/>
                <w:color w:val="000000"/>
                <w:sz w:val="20"/>
                <w:szCs w:val="20"/>
                <w:lang w:val="en-US"/>
              </w:rPr>
              <w:t>191012</w:t>
            </w:r>
          </w:p>
        </w:tc>
      </w:tr>
    </w:tbl>
    <w:p w:rsidR="00571656" w:rsidRDefault="00571656" w:rsidP="00CD2081">
      <w:pPr>
        <w:pStyle w:val="Heading3-Chapter114"/>
      </w:pPr>
      <w:bookmarkStart w:id="836" w:name="_Toc489386741"/>
      <w:r>
        <w:t>Results – Estimated Care Subsides and Costs</w:t>
      </w:r>
      <w:bookmarkEnd w:id="836"/>
    </w:p>
    <w:p w:rsidR="00571656" w:rsidRDefault="00571656" w:rsidP="00CD2081">
      <w:pPr>
        <w:pStyle w:val="Heading4-Chapter1145"/>
      </w:pPr>
      <w:r>
        <w:t>Projected Care Subsidies as impacted by the Options</w:t>
      </w:r>
    </w:p>
    <w:p w:rsidR="00AE6977" w:rsidRPr="00933563" w:rsidRDefault="00AE6977" w:rsidP="002B4CCD">
      <w:pPr>
        <w:rPr>
          <w:szCs w:val="24"/>
        </w:rPr>
      </w:pPr>
      <w:r w:rsidRPr="00933563">
        <w:rPr>
          <w:szCs w:val="24"/>
        </w:rPr>
        <w:t xml:space="preserve">The projected care subsidies are described </w:t>
      </w:r>
      <w:hyperlink w:anchor="Tab1117" w:history="1">
        <w:r w:rsidRPr="00F27718">
          <w:rPr>
            <w:rStyle w:val="Hyperlink"/>
            <w:szCs w:val="24"/>
          </w:rPr>
          <w:t>Table 11.17</w:t>
        </w:r>
      </w:hyperlink>
      <w:r w:rsidRPr="00933563">
        <w:rPr>
          <w:szCs w:val="24"/>
        </w:rPr>
        <w:t xml:space="preserve"> for the current system and </w:t>
      </w:r>
      <w:hyperlink w:anchor="Tab1118" w:history="1">
        <w:r w:rsidRPr="00F27718">
          <w:rPr>
            <w:rStyle w:val="Hyperlink"/>
            <w:szCs w:val="24"/>
          </w:rPr>
          <w:t>Table 11.18</w:t>
        </w:r>
      </w:hyperlink>
      <w:r w:rsidRPr="00933563">
        <w:rPr>
          <w:szCs w:val="24"/>
        </w:rPr>
        <w:t xml:space="preserve"> for Options 1, 2 and 3</w:t>
      </w:r>
      <w:r w:rsidR="00933563" w:rsidRPr="00933563">
        <w:rPr>
          <w:szCs w:val="24"/>
        </w:rPr>
        <w:t>.</w:t>
      </w:r>
    </w:p>
    <w:p w:rsidR="00980F62" w:rsidRDefault="00571656" w:rsidP="002B4CCD">
      <w:r>
        <w:t>These estimates together with the estimated costs of the various options described in section 11.4.5.2, will be used to determine the likely financial impact of the options in terms of a reduction of growth in the care subsidy outlays by the Commonwealth.</w:t>
      </w:r>
    </w:p>
    <w:p w:rsidR="00CC0633" w:rsidRDefault="00C90A16" w:rsidP="00CC0633">
      <w:pPr>
        <w:pStyle w:val="Caption"/>
        <w:keepNext/>
      </w:pPr>
      <w:bookmarkStart w:id="837" w:name="_Toc495416877"/>
      <w:bookmarkStart w:id="838" w:name="Tab1117"/>
      <w:r>
        <w:t>Table 11.</w:t>
      </w:r>
      <w:r w:rsidR="009A3F5A">
        <w:fldChar w:fldCharType="begin"/>
      </w:r>
      <w:r w:rsidR="009A3F5A">
        <w:instrText xml:space="preserve"> SEQ Table_11. \* ARABIC </w:instrText>
      </w:r>
      <w:r w:rsidR="009A3F5A">
        <w:fldChar w:fldCharType="separate"/>
      </w:r>
      <w:r w:rsidR="00856E49">
        <w:rPr>
          <w:noProof/>
        </w:rPr>
        <w:t>17</w:t>
      </w:r>
      <w:r w:rsidR="009A3F5A">
        <w:rPr>
          <w:noProof/>
        </w:rPr>
        <w:fldChar w:fldCharType="end"/>
      </w:r>
      <w:r>
        <w:t xml:space="preserve">: </w:t>
      </w:r>
      <w:r w:rsidRPr="00C90A16">
        <w:t>Current System - Projected Care Subsidies</w:t>
      </w:r>
      <w:bookmarkEnd w:id="837"/>
    </w:p>
    <w:tbl>
      <w:tblPr>
        <w:tblStyle w:val="ListTable3-Accent515"/>
        <w:tblW w:w="8725"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11.17 is a list of the projected care subsidies for the current system from 2019 to 2022. The five headers are&#10;1. The year (up to 30 June)&#10;2. The Number of residents at midyear (30 June)&#10;3. The projected care subsidies as a percentage&#10;4. The maximum subsidy rate per year (amount in dollars)&#10;5. The total amount for subsidies per year (amount in millions). &#10;This table is to be read left to right, top to bottom, noting there is a total entry only for the subsidies in year column (last column)."/>
      </w:tblPr>
      <w:tblGrid>
        <w:gridCol w:w="1075"/>
        <w:gridCol w:w="1710"/>
        <w:gridCol w:w="2075"/>
        <w:gridCol w:w="1980"/>
        <w:gridCol w:w="1885"/>
      </w:tblGrid>
      <w:tr w:rsidR="00571656" w:rsidRPr="00964DB6" w:rsidTr="00712BD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075" w:type="dxa"/>
            <w:tcBorders>
              <w:bottom w:val="none" w:sz="0" w:space="0" w:color="auto"/>
              <w:right w:val="none" w:sz="0" w:space="0" w:color="auto"/>
            </w:tcBorders>
            <w:noWrap/>
            <w:hideMark/>
          </w:tcPr>
          <w:bookmarkEnd w:id="838"/>
          <w:p w:rsidR="00571656" w:rsidRPr="00F86E1A" w:rsidRDefault="00571656" w:rsidP="005E7B2E">
            <w:pPr>
              <w:spacing w:after="0"/>
              <w:jc w:val="left"/>
              <w:rPr>
                <w:rFonts w:ascii="Times New Roman" w:eastAsia="Times New Roman" w:hAnsi="Times New Roman" w:cs="Times New Roman"/>
                <w:sz w:val="20"/>
                <w:szCs w:val="20"/>
                <w:lang w:val="en-US"/>
              </w:rPr>
            </w:pPr>
            <w:r w:rsidRPr="00F86E1A">
              <w:rPr>
                <w:rFonts w:ascii="Calibri" w:eastAsia="Times New Roman" w:hAnsi="Calibri" w:cs="Calibri"/>
                <w:bCs w:val="0"/>
                <w:sz w:val="22"/>
                <w:lang w:val="en-US"/>
              </w:rPr>
              <w:t>Year to 30 June</w:t>
            </w:r>
          </w:p>
        </w:tc>
        <w:tc>
          <w:tcPr>
            <w:cnfStyle w:val="000010000000" w:firstRow="0" w:lastRow="0" w:firstColumn="0" w:lastColumn="0" w:oddVBand="1" w:evenVBand="0" w:oddHBand="0" w:evenHBand="0" w:firstRowFirstColumn="0" w:firstRowLastColumn="0" w:lastRowFirstColumn="0" w:lastRowLastColumn="0"/>
            <w:tcW w:w="1710" w:type="dxa"/>
            <w:tcBorders>
              <w:left w:val="none" w:sz="0" w:space="0" w:color="auto"/>
              <w:right w:val="none" w:sz="0" w:space="0" w:color="auto"/>
            </w:tcBorders>
            <w:noWrap/>
            <w:hideMark/>
          </w:tcPr>
          <w:p w:rsidR="00571656" w:rsidRPr="00F86E1A" w:rsidRDefault="00571656" w:rsidP="005E7B2E">
            <w:pPr>
              <w:spacing w:after="0"/>
              <w:jc w:val="center"/>
              <w:rPr>
                <w:rFonts w:ascii="Times New Roman" w:eastAsia="Times New Roman" w:hAnsi="Times New Roman" w:cs="Times New Roman"/>
                <w:sz w:val="20"/>
                <w:szCs w:val="20"/>
                <w:lang w:val="en-US"/>
              </w:rPr>
            </w:pPr>
            <w:r w:rsidRPr="00F86E1A">
              <w:rPr>
                <w:rFonts w:ascii="Calibri" w:eastAsia="Times New Roman" w:hAnsi="Calibri" w:cs="Calibri"/>
                <w:bCs w:val="0"/>
                <w:sz w:val="22"/>
                <w:lang w:val="en-US"/>
              </w:rPr>
              <w:t>Residents at midyear</w:t>
            </w:r>
          </w:p>
        </w:tc>
        <w:tc>
          <w:tcPr>
            <w:tcW w:w="2075" w:type="dxa"/>
            <w:noWrap/>
            <w:hideMark/>
          </w:tcPr>
          <w:p w:rsidR="00571656" w:rsidRPr="00F86E1A" w:rsidRDefault="00571656" w:rsidP="009B76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F86E1A">
              <w:rPr>
                <w:rFonts w:ascii="Calibri" w:eastAsia="Times New Roman" w:hAnsi="Calibri" w:cs="Calibri"/>
                <w:bCs w:val="0"/>
                <w:sz w:val="22"/>
                <w:lang w:val="en-US"/>
              </w:rPr>
              <w:t xml:space="preserve">Subsidy as </w:t>
            </w:r>
            <w:r w:rsidR="009B76B9">
              <w:rPr>
                <w:rFonts w:ascii="Calibri" w:eastAsia="Times New Roman" w:hAnsi="Calibri" w:cs="Calibri"/>
                <w:bCs w:val="0"/>
                <w:sz w:val="22"/>
                <w:lang w:val="en-US"/>
              </w:rPr>
              <w:t>percentage</w:t>
            </w:r>
            <w:r w:rsidRPr="00F86E1A">
              <w:rPr>
                <w:rFonts w:ascii="Calibri" w:eastAsia="Times New Roman" w:hAnsi="Calibri" w:cs="Calibri"/>
                <w:bCs w:val="0"/>
                <w:sz w:val="22"/>
                <w:lang w:val="en-US"/>
              </w:rPr>
              <w:t xml:space="preserve"> of maximum</w:t>
            </w:r>
          </w:p>
        </w:tc>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none" w:sz="0" w:space="0" w:color="auto"/>
            </w:tcBorders>
            <w:noWrap/>
            <w:hideMark/>
          </w:tcPr>
          <w:p w:rsidR="00571656" w:rsidRPr="00F86E1A" w:rsidRDefault="00571656" w:rsidP="00AB24EF">
            <w:pPr>
              <w:spacing w:after="0"/>
              <w:jc w:val="center"/>
              <w:rPr>
                <w:rFonts w:ascii="Calibri" w:eastAsia="Times New Roman" w:hAnsi="Calibri" w:cs="Calibri"/>
                <w:bCs w:val="0"/>
                <w:sz w:val="22"/>
                <w:lang w:val="en-US"/>
              </w:rPr>
            </w:pPr>
            <w:r w:rsidRPr="00F86E1A">
              <w:rPr>
                <w:rFonts w:ascii="Calibri" w:eastAsia="Times New Roman" w:hAnsi="Calibri" w:cs="Calibri"/>
                <w:bCs w:val="0"/>
                <w:sz w:val="22"/>
                <w:lang w:val="en-US"/>
              </w:rPr>
              <w:t>Maximum subsidy rate in year</w:t>
            </w:r>
            <w:r w:rsidR="009B76B9">
              <w:rPr>
                <w:rFonts w:ascii="Calibri" w:eastAsia="Times New Roman" w:hAnsi="Calibri" w:cs="Calibri"/>
                <w:bCs w:val="0"/>
                <w:sz w:val="22"/>
                <w:lang w:val="en-US"/>
              </w:rPr>
              <w:t xml:space="preserve"> (</w:t>
            </w:r>
            <w:r w:rsidR="00AB24EF">
              <w:rPr>
                <w:rFonts w:ascii="Calibri" w:eastAsia="Times New Roman" w:hAnsi="Calibri" w:cs="Calibri"/>
                <w:bCs w:val="0"/>
                <w:sz w:val="22"/>
                <w:lang w:val="en-US"/>
              </w:rPr>
              <w:t>$</w:t>
            </w:r>
            <w:r w:rsidR="009B76B9">
              <w:rPr>
                <w:rFonts w:ascii="Calibri" w:eastAsia="Times New Roman" w:hAnsi="Calibri" w:cs="Calibri"/>
                <w:bCs w:val="0"/>
                <w:sz w:val="22"/>
                <w:lang w:val="en-US"/>
              </w:rPr>
              <w:t>)</w:t>
            </w:r>
          </w:p>
        </w:tc>
        <w:tc>
          <w:tcPr>
            <w:tcW w:w="1885" w:type="dxa"/>
            <w:noWrap/>
            <w:hideMark/>
          </w:tcPr>
          <w:p w:rsidR="00571656" w:rsidRPr="00F86E1A" w:rsidRDefault="00571656" w:rsidP="00AB24EF">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2"/>
                <w:lang w:val="en-US"/>
              </w:rPr>
            </w:pPr>
            <w:r w:rsidRPr="00F86E1A">
              <w:rPr>
                <w:rFonts w:ascii="Calibri" w:eastAsia="Times New Roman" w:hAnsi="Calibri" w:cs="Calibri"/>
                <w:bCs w:val="0"/>
                <w:sz w:val="22"/>
                <w:lang w:val="en-US"/>
              </w:rPr>
              <w:t xml:space="preserve">Subsidies in year </w:t>
            </w:r>
            <w:r w:rsidR="009B76B9">
              <w:rPr>
                <w:rFonts w:ascii="Calibri" w:eastAsia="Times New Roman" w:hAnsi="Calibri" w:cs="Calibri"/>
                <w:bCs w:val="0"/>
                <w:sz w:val="22"/>
                <w:lang w:val="en-US"/>
              </w:rPr>
              <w:t>(</w:t>
            </w:r>
            <w:r w:rsidR="00AB24EF">
              <w:rPr>
                <w:rFonts w:ascii="Calibri" w:eastAsia="Times New Roman" w:hAnsi="Calibri" w:cs="Calibri"/>
                <w:bCs w:val="0"/>
                <w:sz w:val="22"/>
                <w:lang w:val="en-US"/>
              </w:rPr>
              <w:t>$m</w:t>
            </w:r>
            <w:r w:rsidR="009B76B9">
              <w:rPr>
                <w:rFonts w:ascii="Calibri" w:eastAsia="Times New Roman" w:hAnsi="Calibri" w:cs="Calibri"/>
                <w:bCs w:val="0"/>
                <w:sz w:val="22"/>
                <w:lang w:val="en-US"/>
              </w:rPr>
              <w:t>)</w:t>
            </w:r>
          </w:p>
        </w:tc>
      </w:tr>
      <w:tr w:rsidR="00571656" w:rsidRPr="00964DB6" w:rsidTr="00712B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top w:val="none" w:sz="0" w:space="0" w:color="auto"/>
              <w:bottom w:val="none" w:sz="0" w:space="0" w:color="auto"/>
              <w:right w:val="none" w:sz="0" w:space="0" w:color="auto"/>
            </w:tcBorders>
            <w:noWrap/>
            <w:hideMark/>
          </w:tcPr>
          <w:p w:rsidR="00571656" w:rsidRPr="00964DB6" w:rsidRDefault="00571656" w:rsidP="00DD6610">
            <w:pPr>
              <w:spacing w:after="0"/>
              <w:rPr>
                <w:rFonts w:ascii="Calibri" w:eastAsia="Times New Roman" w:hAnsi="Calibri" w:cs="Calibri"/>
                <w:color w:val="000000"/>
                <w:sz w:val="22"/>
                <w:lang w:val="en-US"/>
              </w:rPr>
            </w:pPr>
            <w:r w:rsidRPr="00964DB6">
              <w:rPr>
                <w:rFonts w:ascii="Calibri" w:eastAsia="Times New Roman" w:hAnsi="Calibri" w:cs="Calibri"/>
                <w:color w:val="000000"/>
                <w:sz w:val="22"/>
                <w:lang w:val="en-US"/>
              </w:rPr>
              <w:t>2019</w:t>
            </w:r>
          </w:p>
        </w:tc>
        <w:tc>
          <w:tcPr>
            <w:cnfStyle w:val="000010000000" w:firstRow="0" w:lastRow="0" w:firstColumn="0" w:lastColumn="0" w:oddVBand="1" w:evenVBand="0" w:oddHBand="0" w:evenHBand="0" w:firstRowFirstColumn="0" w:firstRowLastColumn="0" w:lastRowFirstColumn="0" w:lastRowLastColumn="0"/>
            <w:tcW w:w="1710" w:type="dxa"/>
            <w:tcBorders>
              <w:top w:val="none" w:sz="0" w:space="0" w:color="auto"/>
              <w:left w:val="none" w:sz="0" w:space="0" w:color="auto"/>
              <w:bottom w:val="none" w:sz="0" w:space="0" w:color="auto"/>
              <w:right w:val="none" w:sz="0" w:space="0" w:color="auto"/>
            </w:tcBorders>
            <w:noWrap/>
            <w:hideMark/>
          </w:tcPr>
          <w:p w:rsidR="00571656" w:rsidRPr="00964DB6" w:rsidRDefault="00571656" w:rsidP="005E7B2E">
            <w:pPr>
              <w:spacing w:after="0"/>
              <w:jc w:val="center"/>
              <w:rPr>
                <w:rFonts w:ascii="Calibri" w:eastAsia="Times New Roman" w:hAnsi="Calibri" w:cs="Calibri"/>
                <w:color w:val="000000"/>
                <w:sz w:val="22"/>
                <w:lang w:val="en-US"/>
              </w:rPr>
            </w:pPr>
            <w:r w:rsidRPr="00964DB6">
              <w:rPr>
                <w:rFonts w:ascii="Calibri" w:eastAsia="Times New Roman" w:hAnsi="Calibri" w:cs="Calibri"/>
                <w:color w:val="000000"/>
                <w:sz w:val="22"/>
                <w:lang w:val="en-US"/>
              </w:rPr>
              <w:t>182668</w:t>
            </w:r>
          </w:p>
        </w:tc>
        <w:tc>
          <w:tcPr>
            <w:tcW w:w="2075" w:type="dxa"/>
            <w:tcBorders>
              <w:top w:val="none" w:sz="0" w:space="0" w:color="auto"/>
              <w:bottom w:val="none" w:sz="0" w:space="0" w:color="auto"/>
            </w:tcBorders>
            <w:noWrap/>
            <w:hideMark/>
          </w:tcPr>
          <w:p w:rsidR="00571656" w:rsidRPr="00964DB6" w:rsidRDefault="00571656" w:rsidP="005E7B2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964DB6">
              <w:rPr>
                <w:rFonts w:ascii="Calibri" w:eastAsia="Times New Roman" w:hAnsi="Calibri" w:cs="Calibri"/>
                <w:color w:val="000000"/>
                <w:sz w:val="22"/>
                <w:lang w:val="en-US"/>
              </w:rPr>
              <w:t>84.8%</w:t>
            </w:r>
          </w:p>
        </w:tc>
        <w:tc>
          <w:tcPr>
            <w:cnfStyle w:val="000010000000" w:firstRow="0" w:lastRow="0" w:firstColumn="0" w:lastColumn="0" w:oddVBand="1"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noWrap/>
            <w:hideMark/>
          </w:tcPr>
          <w:p w:rsidR="00571656" w:rsidRPr="00964DB6" w:rsidRDefault="00571656" w:rsidP="005E7B2E">
            <w:pPr>
              <w:spacing w:after="0"/>
              <w:jc w:val="center"/>
              <w:rPr>
                <w:rFonts w:ascii="Calibri" w:eastAsia="Times New Roman" w:hAnsi="Calibri" w:cs="Calibri"/>
                <w:color w:val="000000"/>
                <w:sz w:val="22"/>
                <w:lang w:val="en-US"/>
              </w:rPr>
            </w:pPr>
            <w:r w:rsidRPr="00964DB6">
              <w:rPr>
                <w:rFonts w:ascii="Calibri" w:eastAsia="Times New Roman" w:hAnsi="Calibri" w:cs="Calibri"/>
                <w:color w:val="000000"/>
                <w:sz w:val="22"/>
                <w:lang w:val="en-US"/>
              </w:rPr>
              <w:t>217.70</w:t>
            </w:r>
          </w:p>
        </w:tc>
        <w:tc>
          <w:tcPr>
            <w:tcW w:w="1885" w:type="dxa"/>
            <w:tcBorders>
              <w:top w:val="none" w:sz="0" w:space="0" w:color="auto"/>
              <w:bottom w:val="none" w:sz="0" w:space="0" w:color="auto"/>
            </w:tcBorders>
            <w:noWrap/>
            <w:hideMark/>
          </w:tcPr>
          <w:p w:rsidR="00571656" w:rsidRPr="00964DB6" w:rsidRDefault="00571656" w:rsidP="005E7B2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964DB6">
              <w:rPr>
                <w:rFonts w:ascii="Calibri" w:eastAsia="Times New Roman" w:hAnsi="Calibri" w:cs="Calibri"/>
                <w:color w:val="000000"/>
                <w:sz w:val="22"/>
                <w:lang w:val="en-US"/>
              </w:rPr>
              <w:t>12312</w:t>
            </w:r>
          </w:p>
        </w:tc>
      </w:tr>
      <w:tr w:rsidR="00571656" w:rsidRPr="00964DB6" w:rsidTr="00712B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571656" w:rsidRPr="00964DB6" w:rsidRDefault="00571656" w:rsidP="00DD6610">
            <w:pPr>
              <w:spacing w:after="0"/>
              <w:rPr>
                <w:rFonts w:ascii="Calibri" w:eastAsia="Times New Roman" w:hAnsi="Calibri" w:cs="Calibri"/>
                <w:color w:val="000000"/>
                <w:sz w:val="22"/>
                <w:lang w:val="en-US"/>
              </w:rPr>
            </w:pPr>
            <w:r w:rsidRPr="00964DB6">
              <w:rPr>
                <w:rFonts w:ascii="Calibri" w:eastAsia="Times New Roman" w:hAnsi="Calibri" w:cs="Calibri"/>
                <w:color w:val="000000"/>
                <w:sz w:val="22"/>
                <w:lang w:val="en-US"/>
              </w:rPr>
              <w:t>2020</w:t>
            </w:r>
          </w:p>
        </w:tc>
        <w:tc>
          <w:tcPr>
            <w:cnfStyle w:val="000010000000" w:firstRow="0" w:lastRow="0" w:firstColumn="0" w:lastColumn="0" w:oddVBand="1" w:evenVBand="0" w:oddHBand="0" w:evenHBand="0" w:firstRowFirstColumn="0" w:firstRowLastColumn="0" w:lastRowFirstColumn="0" w:lastRowLastColumn="0"/>
            <w:tcW w:w="1710" w:type="dxa"/>
            <w:tcBorders>
              <w:left w:val="none" w:sz="0" w:space="0" w:color="auto"/>
              <w:right w:val="none" w:sz="0" w:space="0" w:color="auto"/>
            </w:tcBorders>
            <w:noWrap/>
            <w:hideMark/>
          </w:tcPr>
          <w:p w:rsidR="00571656" w:rsidRPr="00964DB6" w:rsidRDefault="00571656" w:rsidP="005E7B2E">
            <w:pPr>
              <w:spacing w:after="0"/>
              <w:jc w:val="center"/>
              <w:rPr>
                <w:rFonts w:ascii="Calibri" w:eastAsia="Times New Roman" w:hAnsi="Calibri" w:cs="Calibri"/>
                <w:color w:val="000000"/>
                <w:sz w:val="22"/>
                <w:lang w:val="en-US"/>
              </w:rPr>
            </w:pPr>
            <w:r w:rsidRPr="00964DB6">
              <w:rPr>
                <w:rFonts w:ascii="Calibri" w:eastAsia="Times New Roman" w:hAnsi="Calibri" w:cs="Calibri"/>
                <w:color w:val="000000"/>
                <w:sz w:val="22"/>
                <w:lang w:val="en-US"/>
              </w:rPr>
              <w:t>185408</w:t>
            </w:r>
          </w:p>
        </w:tc>
        <w:tc>
          <w:tcPr>
            <w:tcW w:w="2075" w:type="dxa"/>
            <w:noWrap/>
            <w:hideMark/>
          </w:tcPr>
          <w:p w:rsidR="00571656" w:rsidRPr="00964DB6" w:rsidRDefault="00571656" w:rsidP="005E7B2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964DB6">
              <w:rPr>
                <w:rFonts w:ascii="Calibri" w:eastAsia="Times New Roman" w:hAnsi="Calibri" w:cs="Calibri"/>
                <w:color w:val="000000"/>
                <w:sz w:val="22"/>
                <w:lang w:val="en-US"/>
              </w:rPr>
              <w:t>86.9%</w:t>
            </w:r>
          </w:p>
        </w:tc>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none" w:sz="0" w:space="0" w:color="auto"/>
            </w:tcBorders>
            <w:noWrap/>
            <w:hideMark/>
          </w:tcPr>
          <w:p w:rsidR="00571656" w:rsidRPr="00964DB6" w:rsidRDefault="00571656" w:rsidP="005E7B2E">
            <w:pPr>
              <w:spacing w:after="0"/>
              <w:jc w:val="center"/>
              <w:rPr>
                <w:rFonts w:ascii="Calibri" w:eastAsia="Times New Roman" w:hAnsi="Calibri" w:cs="Calibri"/>
                <w:color w:val="000000"/>
                <w:sz w:val="22"/>
                <w:lang w:val="en-US"/>
              </w:rPr>
            </w:pPr>
            <w:r w:rsidRPr="00964DB6">
              <w:rPr>
                <w:rFonts w:ascii="Calibri" w:eastAsia="Times New Roman" w:hAnsi="Calibri" w:cs="Calibri"/>
                <w:color w:val="000000"/>
                <w:sz w:val="22"/>
                <w:lang w:val="en-US"/>
              </w:rPr>
              <w:t>222.05</w:t>
            </w:r>
          </w:p>
        </w:tc>
        <w:tc>
          <w:tcPr>
            <w:tcW w:w="1885" w:type="dxa"/>
            <w:noWrap/>
            <w:hideMark/>
          </w:tcPr>
          <w:p w:rsidR="00571656" w:rsidRPr="00964DB6" w:rsidRDefault="00571656" w:rsidP="005E7B2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964DB6">
              <w:rPr>
                <w:rFonts w:ascii="Calibri" w:eastAsia="Times New Roman" w:hAnsi="Calibri" w:cs="Calibri"/>
                <w:color w:val="000000"/>
                <w:sz w:val="22"/>
                <w:lang w:val="en-US"/>
              </w:rPr>
              <w:t>13065</w:t>
            </w:r>
          </w:p>
        </w:tc>
      </w:tr>
      <w:tr w:rsidR="00571656" w:rsidRPr="00964DB6" w:rsidTr="00712BD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75" w:type="dxa"/>
            <w:tcBorders>
              <w:top w:val="none" w:sz="0" w:space="0" w:color="auto"/>
              <w:bottom w:val="none" w:sz="0" w:space="0" w:color="auto"/>
              <w:right w:val="none" w:sz="0" w:space="0" w:color="auto"/>
            </w:tcBorders>
            <w:noWrap/>
            <w:hideMark/>
          </w:tcPr>
          <w:p w:rsidR="00571656" w:rsidRPr="00964DB6" w:rsidRDefault="00571656" w:rsidP="00DD6610">
            <w:pPr>
              <w:spacing w:after="0"/>
              <w:rPr>
                <w:rFonts w:ascii="Calibri" w:eastAsia="Times New Roman" w:hAnsi="Calibri" w:cs="Calibri"/>
                <w:color w:val="000000"/>
                <w:sz w:val="22"/>
                <w:lang w:val="en-US"/>
              </w:rPr>
            </w:pPr>
            <w:r w:rsidRPr="00964DB6">
              <w:rPr>
                <w:rFonts w:ascii="Calibri" w:eastAsia="Times New Roman" w:hAnsi="Calibri" w:cs="Calibri"/>
                <w:color w:val="000000"/>
                <w:sz w:val="22"/>
                <w:lang w:val="en-US"/>
              </w:rPr>
              <w:t>2021</w:t>
            </w:r>
          </w:p>
        </w:tc>
        <w:tc>
          <w:tcPr>
            <w:cnfStyle w:val="000010000000" w:firstRow="0" w:lastRow="0" w:firstColumn="0" w:lastColumn="0" w:oddVBand="1" w:evenVBand="0" w:oddHBand="0" w:evenHBand="0" w:firstRowFirstColumn="0" w:firstRowLastColumn="0" w:lastRowFirstColumn="0" w:lastRowLastColumn="0"/>
            <w:tcW w:w="1710" w:type="dxa"/>
            <w:tcBorders>
              <w:top w:val="none" w:sz="0" w:space="0" w:color="auto"/>
              <w:left w:val="none" w:sz="0" w:space="0" w:color="auto"/>
              <w:bottom w:val="none" w:sz="0" w:space="0" w:color="auto"/>
              <w:right w:val="none" w:sz="0" w:space="0" w:color="auto"/>
            </w:tcBorders>
            <w:noWrap/>
            <w:hideMark/>
          </w:tcPr>
          <w:p w:rsidR="00571656" w:rsidRPr="00964DB6" w:rsidRDefault="00571656" w:rsidP="005E7B2E">
            <w:pPr>
              <w:spacing w:after="0"/>
              <w:jc w:val="center"/>
              <w:rPr>
                <w:rFonts w:ascii="Calibri" w:eastAsia="Times New Roman" w:hAnsi="Calibri" w:cs="Calibri"/>
                <w:color w:val="000000"/>
                <w:sz w:val="22"/>
                <w:lang w:val="en-US"/>
              </w:rPr>
            </w:pPr>
            <w:r w:rsidRPr="00964DB6">
              <w:rPr>
                <w:rFonts w:ascii="Calibri" w:eastAsia="Times New Roman" w:hAnsi="Calibri" w:cs="Calibri"/>
                <w:color w:val="000000"/>
                <w:sz w:val="22"/>
                <w:lang w:val="en-US"/>
              </w:rPr>
              <w:t>188189</w:t>
            </w:r>
          </w:p>
        </w:tc>
        <w:tc>
          <w:tcPr>
            <w:tcW w:w="2075" w:type="dxa"/>
            <w:tcBorders>
              <w:top w:val="none" w:sz="0" w:space="0" w:color="auto"/>
              <w:bottom w:val="none" w:sz="0" w:space="0" w:color="auto"/>
            </w:tcBorders>
            <w:noWrap/>
            <w:hideMark/>
          </w:tcPr>
          <w:p w:rsidR="00571656" w:rsidRPr="00964DB6" w:rsidRDefault="00571656" w:rsidP="005E7B2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964DB6">
              <w:rPr>
                <w:rFonts w:ascii="Calibri" w:eastAsia="Times New Roman" w:hAnsi="Calibri" w:cs="Calibri"/>
                <w:color w:val="000000"/>
                <w:sz w:val="22"/>
                <w:lang w:val="en-US"/>
              </w:rPr>
              <w:t>88.2%</w:t>
            </w:r>
          </w:p>
        </w:tc>
        <w:tc>
          <w:tcPr>
            <w:cnfStyle w:val="000010000000" w:firstRow="0" w:lastRow="0" w:firstColumn="0" w:lastColumn="0" w:oddVBand="1"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noWrap/>
            <w:hideMark/>
          </w:tcPr>
          <w:p w:rsidR="00571656" w:rsidRPr="00964DB6" w:rsidRDefault="00571656" w:rsidP="005E7B2E">
            <w:pPr>
              <w:spacing w:after="0"/>
              <w:jc w:val="center"/>
              <w:rPr>
                <w:rFonts w:ascii="Calibri" w:eastAsia="Times New Roman" w:hAnsi="Calibri" w:cs="Calibri"/>
                <w:color w:val="000000"/>
                <w:sz w:val="22"/>
                <w:lang w:val="en-US"/>
              </w:rPr>
            </w:pPr>
            <w:r w:rsidRPr="00964DB6">
              <w:rPr>
                <w:rFonts w:ascii="Calibri" w:eastAsia="Times New Roman" w:hAnsi="Calibri" w:cs="Calibri"/>
                <w:color w:val="000000"/>
                <w:sz w:val="22"/>
                <w:lang w:val="en-US"/>
              </w:rPr>
              <w:t>226.49</w:t>
            </w:r>
          </w:p>
        </w:tc>
        <w:tc>
          <w:tcPr>
            <w:tcW w:w="1885" w:type="dxa"/>
            <w:tcBorders>
              <w:top w:val="none" w:sz="0" w:space="0" w:color="auto"/>
              <w:bottom w:val="none" w:sz="0" w:space="0" w:color="auto"/>
            </w:tcBorders>
            <w:noWrap/>
            <w:hideMark/>
          </w:tcPr>
          <w:p w:rsidR="00571656" w:rsidRPr="00964DB6" w:rsidRDefault="00571656" w:rsidP="005E7B2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964DB6">
              <w:rPr>
                <w:rFonts w:ascii="Calibri" w:eastAsia="Times New Roman" w:hAnsi="Calibri" w:cs="Calibri"/>
                <w:color w:val="000000"/>
                <w:sz w:val="22"/>
                <w:lang w:val="en-US"/>
              </w:rPr>
              <w:t>13728</w:t>
            </w:r>
          </w:p>
        </w:tc>
      </w:tr>
      <w:tr w:rsidR="00571656" w:rsidRPr="00964DB6" w:rsidTr="00712BD8">
        <w:trPr>
          <w:trHeight w:val="144"/>
        </w:trPr>
        <w:tc>
          <w:tcPr>
            <w:cnfStyle w:val="001000000000" w:firstRow="0" w:lastRow="0" w:firstColumn="1" w:lastColumn="0" w:oddVBand="0" w:evenVBand="0" w:oddHBand="0" w:evenHBand="0" w:firstRowFirstColumn="0" w:firstRowLastColumn="0" w:lastRowFirstColumn="0" w:lastRowLastColumn="0"/>
            <w:tcW w:w="1075" w:type="dxa"/>
            <w:tcBorders>
              <w:right w:val="none" w:sz="0" w:space="0" w:color="auto"/>
            </w:tcBorders>
            <w:noWrap/>
            <w:hideMark/>
          </w:tcPr>
          <w:p w:rsidR="00571656" w:rsidRPr="00964DB6" w:rsidRDefault="00571656" w:rsidP="00DD6610">
            <w:pPr>
              <w:spacing w:after="0"/>
              <w:rPr>
                <w:rFonts w:ascii="Calibri" w:eastAsia="Times New Roman" w:hAnsi="Calibri" w:cs="Calibri"/>
                <w:color w:val="000000"/>
                <w:sz w:val="22"/>
                <w:lang w:val="en-US"/>
              </w:rPr>
            </w:pPr>
            <w:r w:rsidRPr="00964DB6">
              <w:rPr>
                <w:rFonts w:ascii="Calibri" w:eastAsia="Times New Roman" w:hAnsi="Calibri" w:cs="Calibri"/>
                <w:color w:val="000000"/>
                <w:sz w:val="22"/>
                <w:lang w:val="en-US"/>
              </w:rPr>
              <w:t>2022</w:t>
            </w:r>
          </w:p>
        </w:tc>
        <w:tc>
          <w:tcPr>
            <w:cnfStyle w:val="000010000000" w:firstRow="0" w:lastRow="0" w:firstColumn="0" w:lastColumn="0" w:oddVBand="1" w:evenVBand="0" w:oddHBand="0" w:evenHBand="0" w:firstRowFirstColumn="0" w:firstRowLastColumn="0" w:lastRowFirstColumn="0" w:lastRowLastColumn="0"/>
            <w:tcW w:w="1710" w:type="dxa"/>
            <w:tcBorders>
              <w:left w:val="none" w:sz="0" w:space="0" w:color="auto"/>
              <w:right w:val="none" w:sz="0" w:space="0" w:color="auto"/>
            </w:tcBorders>
            <w:noWrap/>
            <w:hideMark/>
          </w:tcPr>
          <w:p w:rsidR="00571656" w:rsidRPr="00964DB6" w:rsidRDefault="00571656" w:rsidP="005E7B2E">
            <w:pPr>
              <w:spacing w:after="0"/>
              <w:jc w:val="center"/>
              <w:rPr>
                <w:rFonts w:ascii="Calibri" w:eastAsia="Times New Roman" w:hAnsi="Calibri" w:cs="Calibri"/>
                <w:color w:val="000000"/>
                <w:sz w:val="22"/>
                <w:lang w:val="en-US"/>
              </w:rPr>
            </w:pPr>
            <w:r w:rsidRPr="00964DB6">
              <w:rPr>
                <w:rFonts w:ascii="Calibri" w:eastAsia="Times New Roman" w:hAnsi="Calibri" w:cs="Calibri"/>
                <w:color w:val="000000"/>
                <w:sz w:val="22"/>
                <w:lang w:val="en-US"/>
              </w:rPr>
              <w:t>191012</w:t>
            </w:r>
          </w:p>
        </w:tc>
        <w:tc>
          <w:tcPr>
            <w:tcW w:w="2075" w:type="dxa"/>
            <w:noWrap/>
            <w:hideMark/>
          </w:tcPr>
          <w:p w:rsidR="00571656" w:rsidRPr="00964DB6" w:rsidRDefault="00571656" w:rsidP="005E7B2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964DB6">
              <w:rPr>
                <w:rFonts w:ascii="Calibri" w:eastAsia="Times New Roman" w:hAnsi="Calibri" w:cs="Calibri"/>
                <w:color w:val="000000"/>
                <w:sz w:val="22"/>
                <w:lang w:val="en-US"/>
              </w:rPr>
              <w:t>89.1%</w:t>
            </w:r>
          </w:p>
        </w:tc>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none" w:sz="0" w:space="0" w:color="auto"/>
            </w:tcBorders>
            <w:noWrap/>
            <w:hideMark/>
          </w:tcPr>
          <w:p w:rsidR="00571656" w:rsidRPr="00964DB6" w:rsidRDefault="00571656" w:rsidP="005E7B2E">
            <w:pPr>
              <w:spacing w:after="0"/>
              <w:jc w:val="center"/>
              <w:rPr>
                <w:rFonts w:ascii="Calibri" w:eastAsia="Times New Roman" w:hAnsi="Calibri" w:cs="Calibri"/>
                <w:color w:val="000000"/>
                <w:sz w:val="22"/>
                <w:lang w:val="en-US"/>
              </w:rPr>
            </w:pPr>
            <w:r w:rsidRPr="00964DB6">
              <w:rPr>
                <w:rFonts w:ascii="Calibri" w:eastAsia="Times New Roman" w:hAnsi="Calibri" w:cs="Calibri"/>
                <w:color w:val="000000"/>
                <w:sz w:val="22"/>
                <w:lang w:val="en-US"/>
              </w:rPr>
              <w:t>231.02</w:t>
            </w:r>
          </w:p>
        </w:tc>
        <w:tc>
          <w:tcPr>
            <w:tcW w:w="1885" w:type="dxa"/>
            <w:noWrap/>
            <w:hideMark/>
          </w:tcPr>
          <w:p w:rsidR="00571656" w:rsidRPr="00964DB6" w:rsidRDefault="00571656" w:rsidP="005E7B2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964DB6">
              <w:rPr>
                <w:rFonts w:ascii="Calibri" w:eastAsia="Times New Roman" w:hAnsi="Calibri" w:cs="Calibri"/>
                <w:color w:val="000000"/>
                <w:sz w:val="22"/>
                <w:lang w:val="en-US"/>
              </w:rPr>
              <w:t>14355</w:t>
            </w:r>
          </w:p>
        </w:tc>
      </w:tr>
      <w:tr w:rsidR="009B76B9" w:rsidRPr="00964DB6" w:rsidTr="001F2D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840" w:type="dxa"/>
            <w:gridSpan w:val="4"/>
            <w:shd w:val="clear" w:color="auto" w:fill="auto"/>
            <w:noWrap/>
            <w:hideMark/>
          </w:tcPr>
          <w:p w:rsidR="009B76B9" w:rsidRPr="00964DB6" w:rsidRDefault="009B76B9" w:rsidP="009B76B9">
            <w:pPr>
              <w:spacing w:after="0"/>
              <w:jc w:val="left"/>
              <w:rPr>
                <w:rFonts w:ascii="Times New Roman" w:eastAsia="Times New Roman" w:hAnsi="Times New Roman" w:cs="Times New Roman"/>
                <w:sz w:val="20"/>
                <w:szCs w:val="20"/>
                <w:lang w:val="en-US"/>
              </w:rPr>
            </w:pPr>
            <w:r w:rsidRPr="00163EDE">
              <w:rPr>
                <w:rFonts w:ascii="Calibri" w:eastAsia="Times New Roman" w:hAnsi="Calibri" w:cs="Calibri"/>
                <w:bCs w:val="0"/>
                <w:color w:val="000000"/>
                <w:sz w:val="22"/>
                <w:lang w:val="en-US"/>
              </w:rPr>
              <w:t>Total</w:t>
            </w:r>
            <w:r>
              <w:rPr>
                <w:rFonts w:ascii="Calibri" w:eastAsia="Times New Roman" w:hAnsi="Calibri" w:cs="Calibri"/>
                <w:bCs w:val="0"/>
                <w:color w:val="000000"/>
                <w:sz w:val="22"/>
                <w:lang w:val="en-US"/>
              </w:rPr>
              <w:t xml:space="preserve"> of</w:t>
            </w:r>
            <w:r w:rsidRPr="00F86E1A">
              <w:rPr>
                <w:rFonts w:ascii="Calibri" w:eastAsia="Times New Roman" w:hAnsi="Calibri" w:cs="Calibri"/>
                <w:bCs w:val="0"/>
                <w:sz w:val="22"/>
                <w:lang w:val="en-US"/>
              </w:rPr>
              <w:t xml:space="preserve"> Subsidies in </w:t>
            </w:r>
            <w:r>
              <w:rPr>
                <w:rFonts w:ascii="Calibri" w:eastAsia="Times New Roman" w:hAnsi="Calibri" w:cs="Calibri"/>
                <w:bCs w:val="0"/>
                <w:sz w:val="22"/>
                <w:lang w:val="en-US"/>
              </w:rPr>
              <w:t>from 2019-2022</w:t>
            </w:r>
          </w:p>
        </w:tc>
        <w:tc>
          <w:tcPr>
            <w:cnfStyle w:val="000010000000" w:firstRow="0" w:lastRow="0" w:firstColumn="0" w:lastColumn="0" w:oddVBand="1" w:evenVBand="0" w:oddHBand="0" w:evenHBand="0" w:firstRowFirstColumn="0" w:firstRowLastColumn="0" w:lastRowFirstColumn="0" w:lastRowLastColumn="0"/>
            <w:tcW w:w="1885" w:type="dxa"/>
            <w:shd w:val="clear" w:color="auto" w:fill="auto"/>
            <w:noWrap/>
            <w:hideMark/>
          </w:tcPr>
          <w:p w:rsidR="009B76B9" w:rsidRPr="00964DB6" w:rsidRDefault="009B76B9" w:rsidP="005E7B2E">
            <w:pPr>
              <w:spacing w:after="0"/>
              <w:jc w:val="center"/>
              <w:rPr>
                <w:rFonts w:ascii="Calibri" w:eastAsia="Times New Roman" w:hAnsi="Calibri" w:cs="Calibri"/>
                <w:b/>
                <w:bCs/>
                <w:color w:val="000000"/>
                <w:sz w:val="22"/>
                <w:lang w:val="en-US"/>
              </w:rPr>
            </w:pPr>
            <w:r w:rsidRPr="00964DB6">
              <w:rPr>
                <w:rFonts w:ascii="Calibri" w:eastAsia="Times New Roman" w:hAnsi="Calibri" w:cs="Calibri"/>
                <w:b/>
                <w:bCs/>
                <w:color w:val="000000"/>
                <w:sz w:val="22"/>
                <w:lang w:val="en-US"/>
              </w:rPr>
              <w:t>53461</w:t>
            </w:r>
          </w:p>
        </w:tc>
      </w:tr>
    </w:tbl>
    <w:p w:rsidR="00CC0633" w:rsidRDefault="00C90A16" w:rsidP="00CC0633">
      <w:pPr>
        <w:pStyle w:val="Caption"/>
        <w:keepNext/>
      </w:pPr>
      <w:bookmarkStart w:id="839" w:name="_Toc495416878"/>
      <w:bookmarkStart w:id="840" w:name="Tab1118"/>
      <w:r>
        <w:lastRenderedPageBreak/>
        <w:t>Table 11.</w:t>
      </w:r>
      <w:r w:rsidR="009A3F5A">
        <w:fldChar w:fldCharType="begin"/>
      </w:r>
      <w:r w:rsidR="009A3F5A">
        <w:instrText xml:space="preserve"> SEQ Table_11. \* ARABIC </w:instrText>
      </w:r>
      <w:r w:rsidR="009A3F5A">
        <w:fldChar w:fldCharType="separate"/>
      </w:r>
      <w:r w:rsidR="00856E49">
        <w:rPr>
          <w:noProof/>
        </w:rPr>
        <w:t>18</w:t>
      </w:r>
      <w:r w:rsidR="009A3F5A">
        <w:rPr>
          <w:noProof/>
        </w:rPr>
        <w:fldChar w:fldCharType="end"/>
      </w:r>
      <w:r>
        <w:t xml:space="preserve">: </w:t>
      </w:r>
      <w:r w:rsidRPr="00C90A16">
        <w:t>Projected Care Subsidies by Option at July 1, 2016 rates</w:t>
      </w:r>
      <w:bookmarkEnd w:id="839"/>
    </w:p>
    <w:tbl>
      <w:tblPr>
        <w:tblStyle w:val="ListTable3-Accent515"/>
        <w:tblW w:w="9214"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11.18 is a list of the projected care subsidies for options one, two and three from 2019 to 2022. &#10;The six headers are:&#10;1. The year (up to 30 June)&#10;2. The number of residents at midyear (30 June)&#10;3. The maximum subsidy (as a percentage)&#10;4. The assumed average (as a percentage)&#10;5. The maximum subsidy rate per year (amount in dollars)&#10;6. The total amount for subsidies per year (amount in millions). &#10;This table is to be read left to right, top to bottom, noting there is a total entry only for the subsidies in year column for each option."/>
      </w:tblPr>
      <w:tblGrid>
        <w:gridCol w:w="851"/>
        <w:gridCol w:w="1134"/>
        <w:gridCol w:w="2126"/>
        <w:gridCol w:w="1701"/>
        <w:gridCol w:w="1418"/>
        <w:gridCol w:w="1984"/>
      </w:tblGrid>
      <w:tr w:rsidR="009B35CF" w:rsidRPr="001F2D8D" w:rsidTr="001F2D8D">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100" w:firstRow="0" w:lastRow="0" w:firstColumn="1" w:lastColumn="0" w:oddVBand="0" w:evenVBand="0" w:oddHBand="0" w:evenHBand="0" w:firstRowFirstColumn="1" w:firstRowLastColumn="0" w:lastRowFirstColumn="0" w:lastRowLastColumn="0"/>
            <w:tcW w:w="851" w:type="dxa"/>
            <w:noWrap/>
          </w:tcPr>
          <w:bookmarkEnd w:id="840"/>
          <w:p w:rsidR="009B76B9" w:rsidRPr="001F2D8D" w:rsidRDefault="009B76B9" w:rsidP="009B76B9">
            <w:pPr>
              <w:spacing w:after="0"/>
              <w:jc w:val="left"/>
              <w:rPr>
                <w:rFonts w:eastAsia="Times New Roman" w:cs="Calibri"/>
                <w:sz w:val="20"/>
                <w:szCs w:val="20"/>
                <w:lang w:val="en-US"/>
              </w:rPr>
            </w:pPr>
            <w:r w:rsidRPr="001F2D8D">
              <w:rPr>
                <w:rFonts w:eastAsia="Times New Roman" w:cs="Calibri"/>
                <w:sz w:val="20"/>
                <w:szCs w:val="20"/>
                <w:lang w:val="en-US"/>
              </w:rPr>
              <w:t>Year to June</w:t>
            </w:r>
          </w:p>
        </w:tc>
        <w:tc>
          <w:tcPr>
            <w:cnfStyle w:val="000010000000" w:firstRow="0" w:lastRow="0" w:firstColumn="0" w:lastColumn="0" w:oddVBand="1" w:evenVBand="0" w:oddHBand="0" w:evenHBand="0" w:firstRowFirstColumn="0" w:firstRowLastColumn="0" w:lastRowFirstColumn="0" w:lastRowLastColumn="0"/>
            <w:tcW w:w="1134" w:type="dxa"/>
            <w:noWrap/>
          </w:tcPr>
          <w:p w:rsidR="009B76B9" w:rsidRPr="001F2D8D" w:rsidRDefault="009B76B9" w:rsidP="009B35CF">
            <w:pPr>
              <w:spacing w:after="0"/>
              <w:jc w:val="center"/>
              <w:rPr>
                <w:rFonts w:eastAsia="Times New Roman" w:cs="Calibri"/>
                <w:sz w:val="20"/>
                <w:szCs w:val="20"/>
                <w:lang w:val="en-US"/>
              </w:rPr>
            </w:pPr>
            <w:r w:rsidRPr="001F2D8D">
              <w:rPr>
                <w:rFonts w:eastAsia="Times New Roman" w:cs="Calibri"/>
                <w:bCs w:val="0"/>
                <w:sz w:val="20"/>
                <w:szCs w:val="20"/>
                <w:lang w:val="en-US"/>
              </w:rPr>
              <w:t>Residents at midyear</w:t>
            </w:r>
          </w:p>
        </w:tc>
        <w:tc>
          <w:tcPr>
            <w:tcW w:w="2126" w:type="dxa"/>
            <w:noWrap/>
          </w:tcPr>
          <w:p w:rsidR="009B76B9" w:rsidRPr="001F2D8D" w:rsidRDefault="009B76B9" w:rsidP="009B35CF">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val="en-US"/>
              </w:rPr>
            </w:pPr>
            <w:r w:rsidRPr="001F2D8D">
              <w:rPr>
                <w:rFonts w:eastAsia="Times New Roman" w:cs="Calibri"/>
                <w:bCs w:val="0"/>
                <w:sz w:val="20"/>
                <w:szCs w:val="20"/>
                <w:lang w:val="en-US"/>
              </w:rPr>
              <w:t>Subsidy as percentage of maximum without optimising</w:t>
            </w:r>
          </w:p>
        </w:tc>
        <w:tc>
          <w:tcPr>
            <w:cnfStyle w:val="000010000000" w:firstRow="0" w:lastRow="0" w:firstColumn="0" w:lastColumn="0" w:oddVBand="1" w:evenVBand="0" w:oddHBand="0" w:evenHBand="0" w:firstRowFirstColumn="0" w:firstRowLastColumn="0" w:lastRowFirstColumn="0" w:lastRowLastColumn="0"/>
            <w:tcW w:w="1701" w:type="dxa"/>
            <w:noWrap/>
          </w:tcPr>
          <w:p w:rsidR="009B76B9" w:rsidRPr="001F2D8D" w:rsidRDefault="009B76B9" w:rsidP="009B35CF">
            <w:pPr>
              <w:spacing w:after="0"/>
              <w:jc w:val="center"/>
              <w:rPr>
                <w:rFonts w:eastAsia="Times New Roman" w:cs="Calibri"/>
                <w:sz w:val="20"/>
                <w:szCs w:val="20"/>
                <w:lang w:val="en-US"/>
              </w:rPr>
            </w:pPr>
            <w:r w:rsidRPr="001F2D8D">
              <w:rPr>
                <w:rFonts w:eastAsia="Times New Roman" w:cs="Calibri"/>
                <w:bCs w:val="0"/>
                <w:sz w:val="20"/>
                <w:szCs w:val="20"/>
                <w:lang w:val="en-US"/>
              </w:rPr>
              <w:t>Assumed average optimising during year</w:t>
            </w:r>
          </w:p>
        </w:tc>
        <w:tc>
          <w:tcPr>
            <w:tcW w:w="1418" w:type="dxa"/>
            <w:noWrap/>
          </w:tcPr>
          <w:p w:rsidR="009B76B9" w:rsidRPr="001F2D8D" w:rsidRDefault="009B76B9" w:rsidP="00AB24EF">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val="en-US"/>
              </w:rPr>
            </w:pPr>
            <w:r w:rsidRPr="001F2D8D">
              <w:rPr>
                <w:rFonts w:eastAsia="Times New Roman" w:cs="Calibri"/>
                <w:bCs w:val="0"/>
                <w:sz w:val="20"/>
                <w:szCs w:val="20"/>
                <w:lang w:val="en-US"/>
              </w:rPr>
              <w:t xml:space="preserve">Maximum subsidy rate in year </w:t>
            </w:r>
            <w:r w:rsidR="00AB24EF" w:rsidRPr="001F2D8D">
              <w:rPr>
                <w:rFonts w:eastAsia="Times New Roman" w:cs="Calibri"/>
                <w:bCs w:val="0"/>
                <w:sz w:val="20"/>
                <w:szCs w:val="20"/>
                <w:lang w:val="en-US"/>
              </w:rPr>
              <w:t>$</w:t>
            </w:r>
          </w:p>
        </w:tc>
        <w:tc>
          <w:tcPr>
            <w:cnfStyle w:val="000010000000" w:firstRow="0" w:lastRow="0" w:firstColumn="0" w:lastColumn="0" w:oddVBand="1" w:evenVBand="0" w:oddHBand="0" w:evenHBand="0" w:firstRowFirstColumn="0" w:firstRowLastColumn="0" w:lastRowFirstColumn="0" w:lastRowLastColumn="0"/>
            <w:tcW w:w="1984" w:type="dxa"/>
            <w:noWrap/>
          </w:tcPr>
          <w:p w:rsidR="009B76B9" w:rsidRPr="001F2D8D" w:rsidRDefault="009B76B9" w:rsidP="00AB24EF">
            <w:pPr>
              <w:spacing w:after="0"/>
              <w:jc w:val="center"/>
              <w:rPr>
                <w:rFonts w:eastAsia="Times New Roman" w:cs="Calibri"/>
                <w:sz w:val="20"/>
                <w:szCs w:val="20"/>
                <w:lang w:val="en-US"/>
              </w:rPr>
            </w:pPr>
            <w:r w:rsidRPr="001F2D8D">
              <w:rPr>
                <w:rFonts w:eastAsia="Times New Roman" w:cs="Calibri"/>
                <w:bCs w:val="0"/>
                <w:sz w:val="20"/>
                <w:szCs w:val="20"/>
                <w:lang w:val="en-US"/>
              </w:rPr>
              <w:t xml:space="preserve">Care Subsidies in year </w:t>
            </w:r>
            <w:r w:rsidR="00AB24EF" w:rsidRPr="001F2D8D">
              <w:rPr>
                <w:rFonts w:eastAsia="Times New Roman" w:cs="Calibri"/>
                <w:bCs w:val="0"/>
                <w:sz w:val="20"/>
                <w:szCs w:val="20"/>
                <w:lang w:val="en-US"/>
              </w:rPr>
              <w:t>$m</w:t>
            </w:r>
            <w:r w:rsidRPr="001F2D8D">
              <w:rPr>
                <w:rFonts w:eastAsia="Times New Roman" w:cs="Calibri"/>
                <w:bCs w:val="0"/>
                <w:sz w:val="20"/>
                <w:szCs w:val="20"/>
                <w:lang w:val="en-US"/>
              </w:rPr>
              <w:t xml:space="preserve"> as a result of Option adoption</w:t>
            </w:r>
          </w:p>
        </w:tc>
      </w:tr>
      <w:tr w:rsidR="001F2D8D" w:rsidRPr="001F2D8D" w:rsidTr="001F2D8D">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214" w:type="dxa"/>
            <w:gridSpan w:val="6"/>
            <w:shd w:val="clear" w:color="auto" w:fill="DEEAF6" w:themeFill="accent5" w:themeFillTint="33"/>
            <w:noWrap/>
          </w:tcPr>
          <w:p w:rsidR="009B76B9" w:rsidRPr="001F2D8D" w:rsidRDefault="009B76B9" w:rsidP="00F25723">
            <w:pPr>
              <w:spacing w:after="0"/>
              <w:jc w:val="left"/>
              <w:rPr>
                <w:rFonts w:eastAsia="Times New Roman" w:cs="Calibri"/>
                <w:sz w:val="20"/>
                <w:szCs w:val="20"/>
                <w:lang w:val="en-US"/>
              </w:rPr>
            </w:pPr>
            <w:r w:rsidRPr="001F2D8D">
              <w:rPr>
                <w:sz w:val="20"/>
                <w:szCs w:val="20"/>
              </w:rPr>
              <w:t>Projection</w:t>
            </w:r>
            <w:r w:rsidR="009B35CF" w:rsidRPr="001F2D8D">
              <w:rPr>
                <w:sz w:val="20"/>
                <w:szCs w:val="20"/>
              </w:rPr>
              <w:t>s</w:t>
            </w:r>
            <w:r w:rsidRPr="001F2D8D">
              <w:rPr>
                <w:sz w:val="20"/>
                <w:szCs w:val="20"/>
              </w:rPr>
              <w:t xml:space="preserve"> for Option 1</w:t>
            </w:r>
          </w:p>
        </w:tc>
      </w:tr>
      <w:tr w:rsidR="009B35CF" w:rsidRPr="001F2D8D" w:rsidTr="001F2D8D">
        <w:trPr>
          <w:trHeight w:val="144"/>
        </w:trPr>
        <w:tc>
          <w:tcPr>
            <w:cnfStyle w:val="001000000000" w:firstRow="0" w:lastRow="0" w:firstColumn="1" w:lastColumn="0" w:oddVBand="0" w:evenVBand="0" w:oddHBand="0" w:evenHBand="0" w:firstRowFirstColumn="0" w:firstRowLastColumn="0" w:lastRowFirstColumn="0" w:lastRowLastColumn="0"/>
            <w:tcW w:w="851" w:type="dxa"/>
            <w:noWrap/>
            <w:hideMark/>
          </w:tcPr>
          <w:p w:rsidR="00571656" w:rsidRPr="001F2D8D" w:rsidRDefault="00571656" w:rsidP="009B76B9">
            <w:pPr>
              <w:spacing w:after="0"/>
              <w:jc w:val="left"/>
              <w:rPr>
                <w:rFonts w:eastAsia="Times New Roman" w:cs="Calibri"/>
                <w:color w:val="000000"/>
                <w:sz w:val="20"/>
                <w:szCs w:val="20"/>
                <w:lang w:val="en-US"/>
              </w:rPr>
            </w:pPr>
            <w:r w:rsidRPr="001F2D8D">
              <w:rPr>
                <w:rFonts w:eastAsia="Times New Roman" w:cs="Calibri"/>
                <w:color w:val="000000"/>
                <w:sz w:val="20"/>
                <w:szCs w:val="20"/>
                <w:lang w:val="en-US"/>
              </w:rPr>
              <w:t>2019</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182668</w:t>
            </w:r>
          </w:p>
        </w:tc>
        <w:tc>
          <w:tcPr>
            <w:tcW w:w="2126" w:type="dxa"/>
            <w:noWrap/>
            <w:hideMark/>
          </w:tcPr>
          <w:p w:rsidR="00571656" w:rsidRPr="001F2D8D" w:rsidRDefault="00571656" w:rsidP="009B35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68.5%</w:t>
            </w:r>
          </w:p>
        </w:tc>
        <w:tc>
          <w:tcPr>
            <w:cnfStyle w:val="000010000000" w:firstRow="0" w:lastRow="0" w:firstColumn="0" w:lastColumn="0" w:oddVBand="1" w:evenVBand="0" w:oddHBand="0" w:evenHBand="0" w:firstRowFirstColumn="0" w:firstRowLastColumn="0" w:lastRowFirstColumn="0" w:lastRowLastColumn="0"/>
            <w:tcW w:w="1701" w:type="dxa"/>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18.5%</w:t>
            </w:r>
          </w:p>
        </w:tc>
        <w:tc>
          <w:tcPr>
            <w:tcW w:w="1418" w:type="dxa"/>
            <w:noWrap/>
            <w:hideMark/>
          </w:tcPr>
          <w:p w:rsidR="00571656" w:rsidRPr="001F2D8D" w:rsidRDefault="00571656" w:rsidP="009B35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217.70</w:t>
            </w:r>
          </w:p>
        </w:tc>
        <w:tc>
          <w:tcPr>
            <w:cnfStyle w:val="000010000000" w:firstRow="0" w:lastRow="0" w:firstColumn="0" w:lastColumn="0" w:oddVBand="1" w:evenVBand="0" w:oddHBand="0" w:evenHBand="0" w:firstRowFirstColumn="0" w:firstRowLastColumn="0" w:lastRowFirstColumn="0" w:lastRowLastColumn="0"/>
            <w:tcW w:w="1984" w:type="dxa"/>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11780</w:t>
            </w:r>
          </w:p>
        </w:tc>
      </w:tr>
      <w:tr w:rsidR="009B35CF" w:rsidRPr="001F2D8D" w:rsidTr="001F2D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51" w:type="dxa"/>
            <w:noWrap/>
            <w:hideMark/>
          </w:tcPr>
          <w:p w:rsidR="00571656" w:rsidRPr="001F2D8D" w:rsidRDefault="00571656" w:rsidP="009B76B9">
            <w:pPr>
              <w:spacing w:after="0"/>
              <w:jc w:val="left"/>
              <w:rPr>
                <w:rFonts w:eastAsia="Times New Roman" w:cs="Calibri"/>
                <w:color w:val="000000"/>
                <w:sz w:val="20"/>
                <w:szCs w:val="20"/>
                <w:lang w:val="en-US"/>
              </w:rPr>
            </w:pPr>
            <w:r w:rsidRPr="001F2D8D">
              <w:rPr>
                <w:rFonts w:eastAsia="Times New Roman" w:cs="Calibri"/>
                <w:color w:val="000000"/>
                <w:sz w:val="20"/>
                <w:szCs w:val="20"/>
                <w:lang w:val="en-US"/>
              </w:rPr>
              <w:t>2020</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185408</w:t>
            </w:r>
          </w:p>
        </w:tc>
        <w:tc>
          <w:tcPr>
            <w:tcW w:w="2126" w:type="dxa"/>
            <w:noWrap/>
            <w:hideMark/>
          </w:tcPr>
          <w:p w:rsidR="00571656" w:rsidRPr="001F2D8D" w:rsidRDefault="00571656" w:rsidP="009B35C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69.5%</w:t>
            </w:r>
          </w:p>
        </w:tc>
        <w:tc>
          <w:tcPr>
            <w:cnfStyle w:val="000010000000" w:firstRow="0" w:lastRow="0" w:firstColumn="0" w:lastColumn="0" w:oddVBand="1" w:evenVBand="0" w:oddHBand="0" w:evenHBand="0" w:firstRowFirstColumn="0" w:firstRowLastColumn="0" w:lastRowFirstColumn="0" w:lastRowLastColumn="0"/>
            <w:tcW w:w="1701" w:type="dxa"/>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16.2%</w:t>
            </w:r>
          </w:p>
        </w:tc>
        <w:tc>
          <w:tcPr>
            <w:tcW w:w="1418" w:type="dxa"/>
            <w:noWrap/>
            <w:hideMark/>
          </w:tcPr>
          <w:p w:rsidR="00571656" w:rsidRPr="001F2D8D" w:rsidRDefault="00571656" w:rsidP="009B35C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222.05</w:t>
            </w:r>
          </w:p>
        </w:tc>
        <w:tc>
          <w:tcPr>
            <w:cnfStyle w:val="000010000000" w:firstRow="0" w:lastRow="0" w:firstColumn="0" w:lastColumn="0" w:oddVBand="1" w:evenVBand="0" w:oddHBand="0" w:evenHBand="0" w:firstRowFirstColumn="0" w:firstRowLastColumn="0" w:lastRowFirstColumn="0" w:lastRowLastColumn="0"/>
            <w:tcW w:w="1984" w:type="dxa"/>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12138</w:t>
            </w:r>
          </w:p>
        </w:tc>
      </w:tr>
      <w:tr w:rsidR="009B35CF" w:rsidRPr="001F2D8D" w:rsidTr="001F2D8D">
        <w:trPr>
          <w:trHeight w:val="144"/>
        </w:trPr>
        <w:tc>
          <w:tcPr>
            <w:cnfStyle w:val="001000000000" w:firstRow="0" w:lastRow="0" w:firstColumn="1" w:lastColumn="0" w:oddVBand="0" w:evenVBand="0" w:oddHBand="0" w:evenHBand="0" w:firstRowFirstColumn="0" w:firstRowLastColumn="0" w:lastRowFirstColumn="0" w:lastRowLastColumn="0"/>
            <w:tcW w:w="851" w:type="dxa"/>
            <w:noWrap/>
            <w:hideMark/>
          </w:tcPr>
          <w:p w:rsidR="00571656" w:rsidRPr="001F2D8D" w:rsidRDefault="00571656" w:rsidP="009B76B9">
            <w:pPr>
              <w:spacing w:after="0"/>
              <w:jc w:val="left"/>
              <w:rPr>
                <w:rFonts w:eastAsia="Times New Roman" w:cs="Calibri"/>
                <w:color w:val="000000"/>
                <w:sz w:val="20"/>
                <w:szCs w:val="20"/>
                <w:lang w:val="en-US"/>
              </w:rPr>
            </w:pPr>
            <w:r w:rsidRPr="001F2D8D">
              <w:rPr>
                <w:rFonts w:eastAsia="Times New Roman" w:cs="Calibri"/>
                <w:color w:val="000000"/>
                <w:sz w:val="20"/>
                <w:szCs w:val="20"/>
                <w:lang w:val="en-US"/>
              </w:rPr>
              <w:t>2021</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188189</w:t>
            </w:r>
          </w:p>
        </w:tc>
        <w:tc>
          <w:tcPr>
            <w:tcW w:w="2126" w:type="dxa"/>
            <w:noWrap/>
            <w:hideMark/>
          </w:tcPr>
          <w:p w:rsidR="00571656" w:rsidRPr="001F2D8D" w:rsidRDefault="00571656" w:rsidP="009B35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70.6%</w:t>
            </w:r>
          </w:p>
        </w:tc>
        <w:tc>
          <w:tcPr>
            <w:cnfStyle w:val="000010000000" w:firstRow="0" w:lastRow="0" w:firstColumn="0" w:lastColumn="0" w:oddVBand="1" w:evenVBand="0" w:oddHBand="0" w:evenHBand="0" w:firstRowFirstColumn="0" w:firstRowLastColumn="0" w:lastRowFirstColumn="0" w:lastRowLastColumn="0"/>
            <w:tcW w:w="1701" w:type="dxa"/>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15.0%</w:t>
            </w:r>
          </w:p>
        </w:tc>
        <w:tc>
          <w:tcPr>
            <w:tcW w:w="1418" w:type="dxa"/>
            <w:noWrap/>
            <w:hideMark/>
          </w:tcPr>
          <w:p w:rsidR="00571656" w:rsidRPr="001F2D8D" w:rsidRDefault="00571656" w:rsidP="009B35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226.49</w:t>
            </w:r>
          </w:p>
        </w:tc>
        <w:tc>
          <w:tcPr>
            <w:cnfStyle w:val="000010000000" w:firstRow="0" w:lastRow="0" w:firstColumn="0" w:lastColumn="0" w:oddVBand="1" w:evenVBand="0" w:oddHBand="0" w:evenHBand="0" w:firstRowFirstColumn="0" w:firstRowLastColumn="0" w:lastRowFirstColumn="0" w:lastRowLastColumn="0"/>
            <w:tcW w:w="1984" w:type="dxa"/>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12630</w:t>
            </w:r>
          </w:p>
        </w:tc>
      </w:tr>
      <w:tr w:rsidR="009B35CF" w:rsidRPr="001F2D8D" w:rsidTr="001F2D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51" w:type="dxa"/>
            <w:noWrap/>
            <w:hideMark/>
          </w:tcPr>
          <w:p w:rsidR="00571656" w:rsidRPr="001F2D8D" w:rsidRDefault="00571656" w:rsidP="009B76B9">
            <w:pPr>
              <w:spacing w:after="0"/>
              <w:jc w:val="left"/>
              <w:rPr>
                <w:rFonts w:eastAsia="Times New Roman" w:cs="Calibri"/>
                <w:color w:val="000000"/>
                <w:sz w:val="20"/>
                <w:szCs w:val="20"/>
                <w:lang w:val="en-US"/>
              </w:rPr>
            </w:pPr>
            <w:r w:rsidRPr="001F2D8D">
              <w:rPr>
                <w:rFonts w:eastAsia="Times New Roman" w:cs="Calibri"/>
                <w:color w:val="000000"/>
                <w:sz w:val="20"/>
                <w:szCs w:val="20"/>
                <w:lang w:val="en-US"/>
              </w:rPr>
              <w:t>2022</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191012</w:t>
            </w:r>
          </w:p>
        </w:tc>
        <w:tc>
          <w:tcPr>
            <w:tcW w:w="2126" w:type="dxa"/>
            <w:noWrap/>
            <w:hideMark/>
          </w:tcPr>
          <w:p w:rsidR="00571656" w:rsidRPr="001F2D8D" w:rsidRDefault="00571656" w:rsidP="009B35C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71.6%</w:t>
            </w:r>
          </w:p>
        </w:tc>
        <w:tc>
          <w:tcPr>
            <w:cnfStyle w:val="000010000000" w:firstRow="0" w:lastRow="0" w:firstColumn="0" w:lastColumn="0" w:oddVBand="1" w:evenVBand="0" w:oddHBand="0" w:evenHBand="0" w:firstRowFirstColumn="0" w:firstRowLastColumn="0" w:lastRowFirstColumn="0" w:lastRowLastColumn="0"/>
            <w:tcW w:w="1701" w:type="dxa"/>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14.5%</w:t>
            </w:r>
          </w:p>
        </w:tc>
        <w:tc>
          <w:tcPr>
            <w:tcW w:w="1418" w:type="dxa"/>
            <w:noWrap/>
            <w:hideMark/>
          </w:tcPr>
          <w:p w:rsidR="00571656" w:rsidRPr="001F2D8D" w:rsidRDefault="00571656" w:rsidP="009B35C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231.02</w:t>
            </w:r>
          </w:p>
        </w:tc>
        <w:tc>
          <w:tcPr>
            <w:cnfStyle w:val="000010000000" w:firstRow="0" w:lastRow="0" w:firstColumn="0" w:lastColumn="0" w:oddVBand="1" w:evenVBand="0" w:oddHBand="0" w:evenHBand="0" w:firstRowFirstColumn="0" w:firstRowLastColumn="0" w:lastRowFirstColumn="0" w:lastRowLastColumn="0"/>
            <w:tcW w:w="1984" w:type="dxa"/>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13214</w:t>
            </w:r>
          </w:p>
        </w:tc>
      </w:tr>
      <w:tr w:rsidR="009B76B9" w:rsidRPr="001F2D8D" w:rsidTr="001F2D8D">
        <w:trPr>
          <w:trHeight w:val="144"/>
        </w:trPr>
        <w:tc>
          <w:tcPr>
            <w:cnfStyle w:val="001000000000" w:firstRow="0" w:lastRow="0" w:firstColumn="1" w:lastColumn="0" w:oddVBand="0" w:evenVBand="0" w:oddHBand="0" w:evenHBand="0" w:firstRowFirstColumn="0" w:firstRowLastColumn="0" w:lastRowFirstColumn="0" w:lastRowLastColumn="0"/>
            <w:tcW w:w="7230" w:type="dxa"/>
            <w:gridSpan w:val="5"/>
            <w:shd w:val="clear" w:color="auto" w:fill="auto"/>
            <w:noWrap/>
            <w:hideMark/>
          </w:tcPr>
          <w:p w:rsidR="009B76B9" w:rsidRPr="001F2D8D" w:rsidRDefault="009B76B9" w:rsidP="009B76B9">
            <w:pPr>
              <w:spacing w:after="0"/>
              <w:jc w:val="left"/>
              <w:rPr>
                <w:rFonts w:eastAsia="Times New Roman" w:cs="Times New Roman"/>
                <w:sz w:val="20"/>
                <w:szCs w:val="20"/>
                <w:lang w:val="en-US"/>
              </w:rPr>
            </w:pPr>
            <w:r w:rsidRPr="001F2D8D">
              <w:rPr>
                <w:rFonts w:eastAsia="Times New Roman" w:cs="Calibri"/>
                <w:bCs w:val="0"/>
                <w:color w:val="000000"/>
                <w:sz w:val="20"/>
                <w:szCs w:val="20"/>
                <w:lang w:val="en-US"/>
              </w:rPr>
              <w:t xml:space="preserve">Total of </w:t>
            </w:r>
            <w:r w:rsidRPr="001F2D8D">
              <w:rPr>
                <w:rFonts w:eastAsia="Times New Roman" w:cs="Calibri"/>
                <w:bCs w:val="0"/>
                <w:sz w:val="20"/>
                <w:szCs w:val="20"/>
                <w:lang w:val="en-US"/>
              </w:rPr>
              <w:t>Care Subsidies for 2019-2022 for Option 1</w:t>
            </w:r>
            <w:r w:rsidR="009B35CF" w:rsidRPr="001F2D8D">
              <w:rPr>
                <w:rFonts w:eastAsia="Times New Roman" w:cs="Calibri"/>
                <w:bCs w:val="0"/>
                <w:sz w:val="20"/>
                <w:szCs w:val="20"/>
                <w:lang w:val="en-US"/>
              </w:rPr>
              <w:t xml:space="preserve"> (funding amount in millions)</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noWrap/>
            <w:hideMark/>
          </w:tcPr>
          <w:p w:rsidR="009B76B9" w:rsidRPr="001F2D8D" w:rsidRDefault="009B76B9" w:rsidP="009B35CF">
            <w:pPr>
              <w:spacing w:after="0"/>
              <w:jc w:val="center"/>
              <w:rPr>
                <w:rFonts w:eastAsia="Times New Roman" w:cs="Calibri"/>
                <w:b/>
                <w:bCs/>
                <w:color w:val="000000"/>
                <w:sz w:val="20"/>
                <w:szCs w:val="20"/>
                <w:lang w:val="en-US"/>
              </w:rPr>
            </w:pPr>
            <w:r w:rsidRPr="001F2D8D">
              <w:rPr>
                <w:rFonts w:eastAsia="Times New Roman" w:cs="Calibri"/>
                <w:b/>
                <w:bCs/>
                <w:color w:val="000000"/>
                <w:sz w:val="20"/>
                <w:szCs w:val="20"/>
                <w:lang w:val="en-US"/>
              </w:rPr>
              <w:t>49762</w:t>
            </w:r>
          </w:p>
        </w:tc>
      </w:tr>
      <w:tr w:rsidR="001F2D8D" w:rsidRPr="001F2D8D" w:rsidTr="001F2D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214" w:type="dxa"/>
            <w:gridSpan w:val="6"/>
            <w:shd w:val="clear" w:color="auto" w:fill="DEEAF6" w:themeFill="accent5" w:themeFillTint="33"/>
            <w:noWrap/>
          </w:tcPr>
          <w:p w:rsidR="00571656" w:rsidRPr="001F2D8D" w:rsidRDefault="009B76B9" w:rsidP="009B76B9">
            <w:pPr>
              <w:spacing w:after="0"/>
              <w:jc w:val="left"/>
              <w:rPr>
                <w:rFonts w:eastAsia="Times New Roman" w:cs="Calibri"/>
                <w:b w:val="0"/>
                <w:bCs w:val="0"/>
                <w:sz w:val="20"/>
                <w:szCs w:val="20"/>
                <w:lang w:val="en-US"/>
              </w:rPr>
            </w:pPr>
            <w:r w:rsidRPr="001F2D8D">
              <w:rPr>
                <w:sz w:val="20"/>
                <w:szCs w:val="20"/>
              </w:rPr>
              <w:t>Projection</w:t>
            </w:r>
            <w:r w:rsidR="009B35CF" w:rsidRPr="001F2D8D">
              <w:rPr>
                <w:sz w:val="20"/>
                <w:szCs w:val="20"/>
              </w:rPr>
              <w:t>s</w:t>
            </w:r>
            <w:r w:rsidRPr="001F2D8D">
              <w:rPr>
                <w:sz w:val="20"/>
                <w:szCs w:val="20"/>
              </w:rPr>
              <w:t xml:space="preserve"> for </w:t>
            </w:r>
            <w:r w:rsidR="00571656" w:rsidRPr="001F2D8D">
              <w:rPr>
                <w:sz w:val="20"/>
                <w:szCs w:val="20"/>
              </w:rPr>
              <w:t>Option 2</w:t>
            </w:r>
          </w:p>
        </w:tc>
      </w:tr>
      <w:tr w:rsidR="009B35CF" w:rsidRPr="001F2D8D" w:rsidTr="001F2D8D">
        <w:trPr>
          <w:trHeight w:val="14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noWrap/>
            <w:hideMark/>
          </w:tcPr>
          <w:p w:rsidR="00571656" w:rsidRPr="001F2D8D" w:rsidRDefault="00571656" w:rsidP="009B76B9">
            <w:pPr>
              <w:spacing w:after="0"/>
              <w:jc w:val="left"/>
              <w:rPr>
                <w:rFonts w:eastAsia="Times New Roman" w:cs="Calibri"/>
                <w:color w:val="000000"/>
                <w:sz w:val="20"/>
                <w:szCs w:val="20"/>
                <w:lang w:val="en-US"/>
              </w:rPr>
            </w:pPr>
            <w:r w:rsidRPr="001F2D8D">
              <w:rPr>
                <w:rFonts w:eastAsia="Times New Roman" w:cs="Calibri"/>
                <w:color w:val="000000"/>
                <w:sz w:val="20"/>
                <w:szCs w:val="20"/>
                <w:lang w:val="en-US"/>
              </w:rPr>
              <w:t>2019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182668</w:t>
            </w:r>
          </w:p>
        </w:tc>
        <w:tc>
          <w:tcPr>
            <w:tcW w:w="2126" w:type="dxa"/>
            <w:shd w:val="clear" w:color="auto" w:fill="auto"/>
            <w:noWrap/>
            <w:hideMark/>
          </w:tcPr>
          <w:p w:rsidR="00571656" w:rsidRPr="001F2D8D" w:rsidRDefault="00571656" w:rsidP="009B35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68.5%</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auto"/>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16.4%</w:t>
            </w:r>
          </w:p>
        </w:tc>
        <w:tc>
          <w:tcPr>
            <w:tcW w:w="1418" w:type="dxa"/>
            <w:shd w:val="clear" w:color="auto" w:fill="auto"/>
            <w:noWrap/>
            <w:hideMark/>
          </w:tcPr>
          <w:p w:rsidR="00571656" w:rsidRPr="001F2D8D" w:rsidRDefault="00571656" w:rsidP="009B35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217.70</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11571</w:t>
            </w:r>
          </w:p>
        </w:tc>
      </w:tr>
      <w:tr w:rsidR="009B35CF" w:rsidRPr="001F2D8D" w:rsidTr="001F2D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51" w:type="dxa"/>
            <w:noWrap/>
            <w:hideMark/>
          </w:tcPr>
          <w:p w:rsidR="00571656" w:rsidRPr="001F2D8D" w:rsidRDefault="00571656" w:rsidP="009B76B9">
            <w:pPr>
              <w:spacing w:after="0"/>
              <w:jc w:val="left"/>
              <w:rPr>
                <w:rFonts w:eastAsia="Times New Roman" w:cs="Calibri"/>
                <w:color w:val="000000"/>
                <w:sz w:val="20"/>
                <w:szCs w:val="20"/>
                <w:lang w:val="en-US"/>
              </w:rPr>
            </w:pPr>
            <w:r w:rsidRPr="001F2D8D">
              <w:rPr>
                <w:rFonts w:eastAsia="Times New Roman" w:cs="Calibri"/>
                <w:color w:val="000000"/>
                <w:sz w:val="20"/>
                <w:szCs w:val="20"/>
                <w:lang w:val="en-US"/>
              </w:rPr>
              <w:t>2020</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185408</w:t>
            </w:r>
          </w:p>
        </w:tc>
        <w:tc>
          <w:tcPr>
            <w:tcW w:w="2126" w:type="dxa"/>
            <w:noWrap/>
            <w:hideMark/>
          </w:tcPr>
          <w:p w:rsidR="00571656" w:rsidRPr="001F2D8D" w:rsidRDefault="00571656" w:rsidP="009B35C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69.5%</w:t>
            </w:r>
          </w:p>
        </w:tc>
        <w:tc>
          <w:tcPr>
            <w:cnfStyle w:val="000010000000" w:firstRow="0" w:lastRow="0" w:firstColumn="0" w:lastColumn="0" w:oddVBand="1" w:evenVBand="0" w:oddHBand="0" w:evenHBand="0" w:firstRowFirstColumn="0" w:firstRowLastColumn="0" w:lastRowFirstColumn="0" w:lastRowLastColumn="0"/>
            <w:tcW w:w="1701" w:type="dxa"/>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11.3%</w:t>
            </w:r>
          </w:p>
        </w:tc>
        <w:tc>
          <w:tcPr>
            <w:tcW w:w="1418" w:type="dxa"/>
            <w:noWrap/>
            <w:hideMark/>
          </w:tcPr>
          <w:p w:rsidR="00571656" w:rsidRPr="001F2D8D" w:rsidRDefault="00571656" w:rsidP="009B35C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222.05</w:t>
            </w:r>
          </w:p>
        </w:tc>
        <w:tc>
          <w:tcPr>
            <w:cnfStyle w:val="000010000000" w:firstRow="0" w:lastRow="0" w:firstColumn="0" w:lastColumn="0" w:oddVBand="1" w:evenVBand="0" w:oddHBand="0" w:evenHBand="0" w:firstRowFirstColumn="0" w:firstRowLastColumn="0" w:lastRowFirstColumn="0" w:lastRowLastColumn="0"/>
            <w:tcW w:w="1984" w:type="dxa"/>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11635</w:t>
            </w:r>
          </w:p>
        </w:tc>
      </w:tr>
      <w:tr w:rsidR="009B35CF" w:rsidRPr="001F2D8D" w:rsidTr="001F2D8D">
        <w:trPr>
          <w:trHeight w:val="144"/>
        </w:trPr>
        <w:tc>
          <w:tcPr>
            <w:cnfStyle w:val="001000000000" w:firstRow="0" w:lastRow="0" w:firstColumn="1" w:lastColumn="0" w:oddVBand="0" w:evenVBand="0" w:oddHBand="0" w:evenHBand="0" w:firstRowFirstColumn="0" w:firstRowLastColumn="0" w:lastRowFirstColumn="0" w:lastRowLastColumn="0"/>
            <w:tcW w:w="851" w:type="dxa"/>
            <w:noWrap/>
            <w:hideMark/>
          </w:tcPr>
          <w:p w:rsidR="00571656" w:rsidRPr="001F2D8D" w:rsidRDefault="00571656" w:rsidP="009B76B9">
            <w:pPr>
              <w:spacing w:after="0"/>
              <w:jc w:val="left"/>
              <w:rPr>
                <w:rFonts w:eastAsia="Times New Roman" w:cs="Calibri"/>
                <w:color w:val="000000"/>
                <w:sz w:val="20"/>
                <w:szCs w:val="20"/>
                <w:lang w:val="en-US"/>
              </w:rPr>
            </w:pPr>
            <w:r w:rsidRPr="001F2D8D">
              <w:rPr>
                <w:rFonts w:eastAsia="Times New Roman" w:cs="Calibri"/>
                <w:color w:val="000000"/>
                <w:sz w:val="20"/>
                <w:szCs w:val="20"/>
                <w:lang w:val="en-US"/>
              </w:rPr>
              <w:t>2021</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188189</w:t>
            </w:r>
          </w:p>
        </w:tc>
        <w:tc>
          <w:tcPr>
            <w:tcW w:w="2126" w:type="dxa"/>
            <w:noWrap/>
            <w:hideMark/>
          </w:tcPr>
          <w:p w:rsidR="00571656" w:rsidRPr="001F2D8D" w:rsidRDefault="00571656" w:rsidP="009B35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70.6%</w:t>
            </w:r>
          </w:p>
        </w:tc>
        <w:tc>
          <w:tcPr>
            <w:cnfStyle w:val="000010000000" w:firstRow="0" w:lastRow="0" w:firstColumn="0" w:lastColumn="0" w:oddVBand="1" w:evenVBand="0" w:oddHBand="0" w:evenHBand="0" w:firstRowFirstColumn="0" w:firstRowLastColumn="0" w:lastRowFirstColumn="0" w:lastRowLastColumn="0"/>
            <w:tcW w:w="1701" w:type="dxa"/>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9.2%</w:t>
            </w:r>
          </w:p>
        </w:tc>
        <w:tc>
          <w:tcPr>
            <w:tcW w:w="1418" w:type="dxa"/>
            <w:noWrap/>
            <w:hideMark/>
          </w:tcPr>
          <w:p w:rsidR="00571656" w:rsidRPr="001F2D8D" w:rsidRDefault="00571656" w:rsidP="009B35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226.49</w:t>
            </w:r>
          </w:p>
        </w:tc>
        <w:tc>
          <w:tcPr>
            <w:cnfStyle w:val="000010000000" w:firstRow="0" w:lastRow="0" w:firstColumn="0" w:lastColumn="0" w:oddVBand="1" w:evenVBand="0" w:oddHBand="0" w:evenHBand="0" w:firstRowFirstColumn="0" w:firstRowLastColumn="0" w:lastRowFirstColumn="0" w:lastRowLastColumn="0"/>
            <w:tcW w:w="1984" w:type="dxa"/>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11988</w:t>
            </w:r>
          </w:p>
        </w:tc>
      </w:tr>
      <w:tr w:rsidR="009B35CF" w:rsidRPr="001F2D8D" w:rsidTr="001F2D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51" w:type="dxa"/>
            <w:noWrap/>
            <w:hideMark/>
          </w:tcPr>
          <w:p w:rsidR="00571656" w:rsidRPr="001F2D8D" w:rsidRDefault="00571656" w:rsidP="009B76B9">
            <w:pPr>
              <w:spacing w:after="0"/>
              <w:jc w:val="left"/>
              <w:rPr>
                <w:rFonts w:eastAsia="Times New Roman" w:cs="Calibri"/>
                <w:color w:val="000000"/>
                <w:sz w:val="20"/>
                <w:szCs w:val="20"/>
                <w:lang w:val="en-US"/>
              </w:rPr>
            </w:pPr>
            <w:r w:rsidRPr="001F2D8D">
              <w:rPr>
                <w:rFonts w:eastAsia="Times New Roman" w:cs="Calibri"/>
                <w:color w:val="000000"/>
                <w:sz w:val="20"/>
                <w:szCs w:val="20"/>
                <w:lang w:val="en-US"/>
              </w:rPr>
              <w:t>2022</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191012</w:t>
            </w:r>
          </w:p>
        </w:tc>
        <w:tc>
          <w:tcPr>
            <w:tcW w:w="2126" w:type="dxa"/>
            <w:noWrap/>
            <w:hideMark/>
          </w:tcPr>
          <w:p w:rsidR="00571656" w:rsidRPr="001F2D8D" w:rsidRDefault="00571656" w:rsidP="009B35C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71.6%</w:t>
            </w:r>
          </w:p>
        </w:tc>
        <w:tc>
          <w:tcPr>
            <w:cnfStyle w:val="000010000000" w:firstRow="0" w:lastRow="0" w:firstColumn="0" w:lastColumn="0" w:oddVBand="1" w:evenVBand="0" w:oddHBand="0" w:evenHBand="0" w:firstRowFirstColumn="0" w:firstRowLastColumn="0" w:lastRowFirstColumn="0" w:lastRowLastColumn="0"/>
            <w:tcW w:w="1701" w:type="dxa"/>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7.9%</w:t>
            </w:r>
          </w:p>
        </w:tc>
        <w:tc>
          <w:tcPr>
            <w:tcW w:w="1418" w:type="dxa"/>
            <w:noWrap/>
            <w:hideMark/>
          </w:tcPr>
          <w:p w:rsidR="00571656" w:rsidRPr="001F2D8D" w:rsidRDefault="00571656" w:rsidP="009B35C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231.02</w:t>
            </w:r>
          </w:p>
        </w:tc>
        <w:tc>
          <w:tcPr>
            <w:cnfStyle w:val="000010000000" w:firstRow="0" w:lastRow="0" w:firstColumn="0" w:lastColumn="0" w:oddVBand="1" w:evenVBand="0" w:oddHBand="0" w:evenHBand="0" w:firstRowFirstColumn="0" w:firstRowLastColumn="0" w:lastRowFirstColumn="0" w:lastRowLastColumn="0"/>
            <w:tcW w:w="1984" w:type="dxa"/>
            <w:noWrap/>
            <w:hideMark/>
          </w:tcPr>
          <w:p w:rsidR="00571656" w:rsidRPr="001F2D8D" w:rsidRDefault="00571656"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12457</w:t>
            </w:r>
          </w:p>
        </w:tc>
      </w:tr>
      <w:tr w:rsidR="009B35CF" w:rsidRPr="001F2D8D" w:rsidTr="001F2D8D">
        <w:trPr>
          <w:trHeight w:val="144"/>
        </w:trPr>
        <w:tc>
          <w:tcPr>
            <w:cnfStyle w:val="001000000000" w:firstRow="0" w:lastRow="0" w:firstColumn="1" w:lastColumn="0" w:oddVBand="0" w:evenVBand="0" w:oddHBand="0" w:evenHBand="0" w:firstRowFirstColumn="0" w:firstRowLastColumn="0" w:lastRowFirstColumn="0" w:lastRowLastColumn="0"/>
            <w:tcW w:w="7230" w:type="dxa"/>
            <w:gridSpan w:val="5"/>
            <w:shd w:val="clear" w:color="auto" w:fill="auto"/>
            <w:noWrap/>
            <w:hideMark/>
          </w:tcPr>
          <w:p w:rsidR="009B35CF" w:rsidRPr="001F2D8D" w:rsidRDefault="009B35CF" w:rsidP="009B35CF">
            <w:pPr>
              <w:spacing w:after="0"/>
              <w:jc w:val="left"/>
              <w:rPr>
                <w:rFonts w:eastAsia="Times New Roman" w:cs="Times New Roman"/>
                <w:sz w:val="20"/>
                <w:szCs w:val="20"/>
                <w:lang w:val="en-US"/>
              </w:rPr>
            </w:pPr>
            <w:r w:rsidRPr="001F2D8D">
              <w:rPr>
                <w:rFonts w:eastAsia="Times New Roman" w:cs="Calibri"/>
                <w:bCs w:val="0"/>
                <w:color w:val="000000"/>
                <w:sz w:val="20"/>
                <w:szCs w:val="20"/>
                <w:lang w:val="en-US"/>
              </w:rPr>
              <w:t xml:space="preserve">Total of </w:t>
            </w:r>
            <w:r w:rsidRPr="001F2D8D">
              <w:rPr>
                <w:rFonts w:eastAsia="Times New Roman" w:cs="Calibri"/>
                <w:bCs w:val="0"/>
                <w:sz w:val="20"/>
                <w:szCs w:val="20"/>
                <w:lang w:val="en-US"/>
              </w:rPr>
              <w:t>Care Subsidies for 2019-2022 for Option 2 (funding amount in millions)</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noWrap/>
            <w:hideMark/>
          </w:tcPr>
          <w:p w:rsidR="009B35CF" w:rsidRPr="001F2D8D" w:rsidRDefault="009B35CF" w:rsidP="009B35CF">
            <w:pPr>
              <w:spacing w:after="0"/>
              <w:jc w:val="center"/>
              <w:rPr>
                <w:rFonts w:eastAsia="Times New Roman" w:cs="Calibri"/>
                <w:b/>
                <w:bCs/>
                <w:color w:val="000000"/>
                <w:sz w:val="20"/>
                <w:szCs w:val="20"/>
                <w:lang w:val="en-US"/>
              </w:rPr>
            </w:pPr>
            <w:r w:rsidRPr="001F2D8D">
              <w:rPr>
                <w:rFonts w:eastAsia="Times New Roman" w:cs="Calibri"/>
                <w:b/>
                <w:bCs/>
                <w:color w:val="000000"/>
                <w:sz w:val="20"/>
                <w:szCs w:val="20"/>
                <w:lang w:val="en-US"/>
              </w:rPr>
              <w:t>47651</w:t>
            </w:r>
          </w:p>
        </w:tc>
      </w:tr>
      <w:tr w:rsidR="001F2D8D" w:rsidRPr="001F2D8D" w:rsidTr="001F2D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214" w:type="dxa"/>
            <w:gridSpan w:val="6"/>
            <w:shd w:val="clear" w:color="auto" w:fill="DEEAF6" w:themeFill="accent5" w:themeFillTint="33"/>
            <w:noWrap/>
          </w:tcPr>
          <w:p w:rsidR="009B35CF" w:rsidRPr="001F2D8D" w:rsidRDefault="009B35CF" w:rsidP="009B76B9">
            <w:pPr>
              <w:spacing w:after="0"/>
              <w:jc w:val="left"/>
              <w:rPr>
                <w:rFonts w:eastAsia="Times New Roman" w:cs="Calibri"/>
                <w:b w:val="0"/>
                <w:bCs w:val="0"/>
                <w:sz w:val="20"/>
                <w:szCs w:val="20"/>
                <w:lang w:val="en-US"/>
              </w:rPr>
            </w:pPr>
            <w:r w:rsidRPr="001F2D8D">
              <w:rPr>
                <w:sz w:val="20"/>
                <w:szCs w:val="20"/>
              </w:rPr>
              <w:t>Projections for Option 3</w:t>
            </w:r>
          </w:p>
        </w:tc>
      </w:tr>
      <w:tr w:rsidR="009B35CF" w:rsidRPr="001F2D8D" w:rsidTr="001F2D8D">
        <w:trPr>
          <w:trHeight w:val="14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noWrap/>
            <w:hideMark/>
          </w:tcPr>
          <w:p w:rsidR="009B35CF" w:rsidRPr="001F2D8D" w:rsidRDefault="009B35CF" w:rsidP="009B76B9">
            <w:pPr>
              <w:spacing w:after="0"/>
              <w:jc w:val="left"/>
              <w:rPr>
                <w:rFonts w:eastAsia="Times New Roman" w:cs="Calibri"/>
                <w:color w:val="000000"/>
                <w:sz w:val="20"/>
                <w:szCs w:val="20"/>
                <w:lang w:val="en-US"/>
              </w:rPr>
            </w:pPr>
            <w:r w:rsidRPr="001F2D8D">
              <w:rPr>
                <w:rFonts w:eastAsia="Times New Roman" w:cs="Calibri"/>
                <w:color w:val="000000"/>
                <w:sz w:val="20"/>
                <w:szCs w:val="20"/>
                <w:lang w:val="en-US"/>
              </w:rPr>
              <w:t>2019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hideMark/>
          </w:tcPr>
          <w:p w:rsidR="009B35CF" w:rsidRPr="001F2D8D" w:rsidRDefault="009B35CF"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182668</w:t>
            </w:r>
          </w:p>
        </w:tc>
        <w:tc>
          <w:tcPr>
            <w:tcW w:w="2126" w:type="dxa"/>
            <w:shd w:val="clear" w:color="auto" w:fill="auto"/>
            <w:noWrap/>
            <w:hideMark/>
          </w:tcPr>
          <w:p w:rsidR="009B35CF" w:rsidRPr="001F2D8D" w:rsidRDefault="009B35CF" w:rsidP="009B35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68.5%</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auto"/>
            <w:noWrap/>
            <w:hideMark/>
          </w:tcPr>
          <w:p w:rsidR="009B35CF" w:rsidRPr="001F2D8D" w:rsidRDefault="009B35CF"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16.8%</w:t>
            </w:r>
          </w:p>
        </w:tc>
        <w:tc>
          <w:tcPr>
            <w:tcW w:w="1418" w:type="dxa"/>
            <w:shd w:val="clear" w:color="auto" w:fill="auto"/>
            <w:noWrap/>
            <w:hideMark/>
          </w:tcPr>
          <w:p w:rsidR="009B35CF" w:rsidRPr="001F2D8D" w:rsidRDefault="009B35CF" w:rsidP="009B35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217.70</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noWrap/>
            <w:hideMark/>
          </w:tcPr>
          <w:p w:rsidR="009B35CF" w:rsidRPr="001F2D8D" w:rsidRDefault="009B35CF"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11617</w:t>
            </w:r>
          </w:p>
        </w:tc>
      </w:tr>
      <w:tr w:rsidR="009B35CF" w:rsidRPr="001F2D8D" w:rsidTr="001F2D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51" w:type="dxa"/>
            <w:noWrap/>
            <w:hideMark/>
          </w:tcPr>
          <w:p w:rsidR="009B35CF" w:rsidRPr="001F2D8D" w:rsidRDefault="009B35CF" w:rsidP="009B76B9">
            <w:pPr>
              <w:spacing w:after="0"/>
              <w:jc w:val="left"/>
              <w:rPr>
                <w:rFonts w:eastAsia="Times New Roman" w:cs="Calibri"/>
                <w:color w:val="000000"/>
                <w:sz w:val="20"/>
                <w:szCs w:val="20"/>
                <w:lang w:val="en-US"/>
              </w:rPr>
            </w:pPr>
            <w:r w:rsidRPr="001F2D8D">
              <w:rPr>
                <w:rFonts w:eastAsia="Times New Roman" w:cs="Calibri"/>
                <w:color w:val="000000"/>
                <w:sz w:val="20"/>
                <w:szCs w:val="20"/>
                <w:lang w:val="en-US"/>
              </w:rPr>
              <w:t>2020</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9B35CF" w:rsidRPr="001F2D8D" w:rsidRDefault="009B35CF"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185408</w:t>
            </w:r>
          </w:p>
        </w:tc>
        <w:tc>
          <w:tcPr>
            <w:tcW w:w="2126" w:type="dxa"/>
            <w:noWrap/>
            <w:hideMark/>
          </w:tcPr>
          <w:p w:rsidR="009B35CF" w:rsidRPr="001F2D8D" w:rsidRDefault="009B35CF" w:rsidP="009B35C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69.5%</w:t>
            </w:r>
          </w:p>
        </w:tc>
        <w:tc>
          <w:tcPr>
            <w:cnfStyle w:val="000010000000" w:firstRow="0" w:lastRow="0" w:firstColumn="0" w:lastColumn="0" w:oddVBand="1" w:evenVBand="0" w:oddHBand="0" w:evenHBand="0" w:firstRowFirstColumn="0" w:firstRowLastColumn="0" w:lastRowFirstColumn="0" w:lastRowLastColumn="0"/>
            <w:tcW w:w="1701" w:type="dxa"/>
            <w:noWrap/>
            <w:hideMark/>
          </w:tcPr>
          <w:p w:rsidR="009B35CF" w:rsidRPr="001F2D8D" w:rsidRDefault="009B35CF"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12.3%</w:t>
            </w:r>
          </w:p>
        </w:tc>
        <w:tc>
          <w:tcPr>
            <w:tcW w:w="1418" w:type="dxa"/>
            <w:noWrap/>
            <w:hideMark/>
          </w:tcPr>
          <w:p w:rsidR="009B35CF" w:rsidRPr="001F2D8D" w:rsidRDefault="009B35CF" w:rsidP="009B35C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222.05</w:t>
            </w:r>
          </w:p>
        </w:tc>
        <w:tc>
          <w:tcPr>
            <w:cnfStyle w:val="000010000000" w:firstRow="0" w:lastRow="0" w:firstColumn="0" w:lastColumn="0" w:oddVBand="1" w:evenVBand="0" w:oddHBand="0" w:evenHBand="0" w:firstRowFirstColumn="0" w:firstRowLastColumn="0" w:lastRowFirstColumn="0" w:lastRowLastColumn="0"/>
            <w:tcW w:w="1984" w:type="dxa"/>
            <w:noWrap/>
            <w:hideMark/>
          </w:tcPr>
          <w:p w:rsidR="009B35CF" w:rsidRPr="001F2D8D" w:rsidRDefault="009B35CF"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11732</w:t>
            </w:r>
          </w:p>
        </w:tc>
      </w:tr>
      <w:tr w:rsidR="009B35CF" w:rsidRPr="001F2D8D" w:rsidTr="001F2D8D">
        <w:trPr>
          <w:trHeight w:val="144"/>
        </w:trPr>
        <w:tc>
          <w:tcPr>
            <w:cnfStyle w:val="001000000000" w:firstRow="0" w:lastRow="0" w:firstColumn="1" w:lastColumn="0" w:oddVBand="0" w:evenVBand="0" w:oddHBand="0" w:evenHBand="0" w:firstRowFirstColumn="0" w:firstRowLastColumn="0" w:lastRowFirstColumn="0" w:lastRowLastColumn="0"/>
            <w:tcW w:w="851" w:type="dxa"/>
            <w:noWrap/>
            <w:hideMark/>
          </w:tcPr>
          <w:p w:rsidR="009B35CF" w:rsidRPr="001F2D8D" w:rsidRDefault="009B35CF" w:rsidP="009B76B9">
            <w:pPr>
              <w:spacing w:after="0"/>
              <w:jc w:val="left"/>
              <w:rPr>
                <w:rFonts w:eastAsia="Times New Roman" w:cs="Calibri"/>
                <w:color w:val="000000"/>
                <w:sz w:val="20"/>
                <w:szCs w:val="20"/>
                <w:lang w:val="en-US"/>
              </w:rPr>
            </w:pPr>
            <w:r w:rsidRPr="001F2D8D">
              <w:rPr>
                <w:rFonts w:eastAsia="Times New Roman" w:cs="Calibri"/>
                <w:color w:val="000000"/>
                <w:sz w:val="20"/>
                <w:szCs w:val="20"/>
                <w:lang w:val="en-US"/>
              </w:rPr>
              <w:t>2021</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9B35CF" w:rsidRPr="001F2D8D" w:rsidRDefault="009B35CF"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188189</w:t>
            </w:r>
          </w:p>
        </w:tc>
        <w:tc>
          <w:tcPr>
            <w:tcW w:w="2126" w:type="dxa"/>
            <w:noWrap/>
            <w:hideMark/>
          </w:tcPr>
          <w:p w:rsidR="009B35CF" w:rsidRPr="001F2D8D" w:rsidRDefault="009B35CF" w:rsidP="009B35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70.6%</w:t>
            </w:r>
          </w:p>
        </w:tc>
        <w:tc>
          <w:tcPr>
            <w:cnfStyle w:val="000010000000" w:firstRow="0" w:lastRow="0" w:firstColumn="0" w:lastColumn="0" w:oddVBand="1" w:evenVBand="0" w:oddHBand="0" w:evenHBand="0" w:firstRowFirstColumn="0" w:firstRowLastColumn="0" w:lastRowFirstColumn="0" w:lastRowLastColumn="0"/>
            <w:tcW w:w="1701" w:type="dxa"/>
            <w:noWrap/>
            <w:hideMark/>
          </w:tcPr>
          <w:p w:rsidR="009B35CF" w:rsidRPr="001F2D8D" w:rsidRDefault="009B35CF"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10.1%</w:t>
            </w:r>
          </w:p>
        </w:tc>
        <w:tc>
          <w:tcPr>
            <w:tcW w:w="1418" w:type="dxa"/>
            <w:noWrap/>
            <w:hideMark/>
          </w:tcPr>
          <w:p w:rsidR="009B35CF" w:rsidRPr="001F2D8D" w:rsidRDefault="009B35CF" w:rsidP="009B35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226.49</w:t>
            </w:r>
          </w:p>
        </w:tc>
        <w:tc>
          <w:tcPr>
            <w:cnfStyle w:val="000010000000" w:firstRow="0" w:lastRow="0" w:firstColumn="0" w:lastColumn="0" w:oddVBand="1" w:evenVBand="0" w:oddHBand="0" w:evenHBand="0" w:firstRowFirstColumn="0" w:firstRowLastColumn="0" w:lastRowFirstColumn="0" w:lastRowLastColumn="0"/>
            <w:tcW w:w="1984" w:type="dxa"/>
            <w:noWrap/>
            <w:hideMark/>
          </w:tcPr>
          <w:p w:rsidR="009B35CF" w:rsidRPr="001F2D8D" w:rsidRDefault="009B35CF"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12090</w:t>
            </w:r>
          </w:p>
        </w:tc>
      </w:tr>
      <w:tr w:rsidR="009B35CF" w:rsidRPr="001F2D8D" w:rsidTr="001F2D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51" w:type="dxa"/>
            <w:noWrap/>
            <w:hideMark/>
          </w:tcPr>
          <w:p w:rsidR="009B35CF" w:rsidRPr="001F2D8D" w:rsidRDefault="009B35CF" w:rsidP="009B76B9">
            <w:pPr>
              <w:spacing w:after="0"/>
              <w:jc w:val="left"/>
              <w:rPr>
                <w:rFonts w:eastAsia="Times New Roman" w:cs="Calibri"/>
                <w:color w:val="000000"/>
                <w:sz w:val="20"/>
                <w:szCs w:val="20"/>
                <w:lang w:val="en-US"/>
              </w:rPr>
            </w:pPr>
            <w:r w:rsidRPr="001F2D8D">
              <w:rPr>
                <w:rFonts w:eastAsia="Times New Roman" w:cs="Calibri"/>
                <w:color w:val="000000"/>
                <w:sz w:val="20"/>
                <w:szCs w:val="20"/>
                <w:lang w:val="en-US"/>
              </w:rPr>
              <w:t>2022</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9B35CF" w:rsidRPr="001F2D8D" w:rsidRDefault="009B35CF"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191012</w:t>
            </w:r>
          </w:p>
        </w:tc>
        <w:tc>
          <w:tcPr>
            <w:tcW w:w="2126" w:type="dxa"/>
            <w:noWrap/>
            <w:hideMark/>
          </w:tcPr>
          <w:p w:rsidR="009B35CF" w:rsidRPr="001F2D8D" w:rsidRDefault="009B35CF" w:rsidP="009B35C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71.6%</w:t>
            </w:r>
          </w:p>
        </w:tc>
        <w:tc>
          <w:tcPr>
            <w:cnfStyle w:val="000010000000" w:firstRow="0" w:lastRow="0" w:firstColumn="0" w:lastColumn="0" w:oddVBand="1" w:evenVBand="0" w:oddHBand="0" w:evenHBand="0" w:firstRowFirstColumn="0" w:firstRowLastColumn="0" w:lastRowFirstColumn="0" w:lastRowLastColumn="0"/>
            <w:tcW w:w="1701" w:type="dxa"/>
            <w:noWrap/>
            <w:hideMark/>
          </w:tcPr>
          <w:p w:rsidR="009B35CF" w:rsidRPr="001F2D8D" w:rsidRDefault="009B35CF"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8.9%</w:t>
            </w:r>
          </w:p>
        </w:tc>
        <w:tc>
          <w:tcPr>
            <w:tcW w:w="1418" w:type="dxa"/>
            <w:noWrap/>
            <w:hideMark/>
          </w:tcPr>
          <w:p w:rsidR="009B35CF" w:rsidRPr="001F2D8D" w:rsidRDefault="009B35CF" w:rsidP="009B35C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rPr>
            </w:pPr>
            <w:r w:rsidRPr="001F2D8D">
              <w:rPr>
                <w:rFonts w:eastAsia="Times New Roman" w:cs="Calibri"/>
                <w:color w:val="000000"/>
                <w:sz w:val="20"/>
                <w:szCs w:val="20"/>
                <w:lang w:val="en-US"/>
              </w:rPr>
              <w:t>231.02</w:t>
            </w:r>
          </w:p>
        </w:tc>
        <w:tc>
          <w:tcPr>
            <w:cnfStyle w:val="000010000000" w:firstRow="0" w:lastRow="0" w:firstColumn="0" w:lastColumn="0" w:oddVBand="1" w:evenVBand="0" w:oddHBand="0" w:evenHBand="0" w:firstRowFirstColumn="0" w:firstRowLastColumn="0" w:lastRowFirstColumn="0" w:lastRowLastColumn="0"/>
            <w:tcW w:w="1984" w:type="dxa"/>
            <w:noWrap/>
            <w:hideMark/>
          </w:tcPr>
          <w:p w:rsidR="009B35CF" w:rsidRPr="001F2D8D" w:rsidRDefault="009B35CF" w:rsidP="009B35CF">
            <w:pPr>
              <w:spacing w:after="0"/>
              <w:jc w:val="center"/>
              <w:rPr>
                <w:rFonts w:eastAsia="Times New Roman" w:cs="Calibri"/>
                <w:color w:val="000000"/>
                <w:sz w:val="20"/>
                <w:szCs w:val="20"/>
                <w:lang w:val="en-US"/>
              </w:rPr>
            </w:pPr>
            <w:r w:rsidRPr="001F2D8D">
              <w:rPr>
                <w:rFonts w:eastAsia="Times New Roman" w:cs="Calibri"/>
                <w:color w:val="000000"/>
                <w:sz w:val="20"/>
                <w:szCs w:val="20"/>
                <w:lang w:val="en-US"/>
              </w:rPr>
              <w:t>12564</w:t>
            </w:r>
          </w:p>
        </w:tc>
      </w:tr>
      <w:tr w:rsidR="009B35CF" w:rsidRPr="001F2D8D" w:rsidTr="001F2D8D">
        <w:trPr>
          <w:trHeight w:val="170"/>
        </w:trPr>
        <w:tc>
          <w:tcPr>
            <w:cnfStyle w:val="001000000000" w:firstRow="0" w:lastRow="0" w:firstColumn="1" w:lastColumn="0" w:oddVBand="0" w:evenVBand="0" w:oddHBand="0" w:evenHBand="0" w:firstRowFirstColumn="0" w:firstRowLastColumn="0" w:lastRowFirstColumn="0" w:lastRowLastColumn="0"/>
            <w:tcW w:w="7230" w:type="dxa"/>
            <w:gridSpan w:val="5"/>
            <w:shd w:val="clear" w:color="auto" w:fill="auto"/>
            <w:noWrap/>
            <w:hideMark/>
          </w:tcPr>
          <w:p w:rsidR="009B35CF" w:rsidRPr="001F2D8D" w:rsidRDefault="009B35CF" w:rsidP="009B35CF">
            <w:pPr>
              <w:spacing w:after="0"/>
              <w:jc w:val="left"/>
              <w:rPr>
                <w:rFonts w:eastAsia="Times New Roman" w:cs="Times New Roman"/>
                <w:sz w:val="20"/>
                <w:szCs w:val="20"/>
                <w:lang w:val="en-US"/>
              </w:rPr>
            </w:pPr>
            <w:r w:rsidRPr="001F2D8D">
              <w:rPr>
                <w:rFonts w:eastAsia="Times New Roman" w:cs="Calibri"/>
                <w:bCs w:val="0"/>
                <w:color w:val="000000"/>
                <w:sz w:val="20"/>
                <w:szCs w:val="20"/>
                <w:lang w:val="en-US"/>
              </w:rPr>
              <w:t xml:space="preserve">Total of </w:t>
            </w:r>
            <w:r w:rsidRPr="001F2D8D">
              <w:rPr>
                <w:rFonts w:eastAsia="Times New Roman" w:cs="Calibri"/>
                <w:bCs w:val="0"/>
                <w:sz w:val="20"/>
                <w:szCs w:val="20"/>
                <w:lang w:val="en-US"/>
              </w:rPr>
              <w:t>Care Subsidies for 2019-2022 for Option 3 (funding amount in millions)</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noWrap/>
            <w:hideMark/>
          </w:tcPr>
          <w:p w:rsidR="009B35CF" w:rsidRPr="001F2D8D" w:rsidRDefault="009B35CF" w:rsidP="009B35CF">
            <w:pPr>
              <w:spacing w:after="0"/>
              <w:jc w:val="center"/>
              <w:rPr>
                <w:rFonts w:eastAsia="Times New Roman" w:cs="Calibri"/>
                <w:b/>
                <w:bCs/>
                <w:color w:val="000000"/>
                <w:sz w:val="20"/>
                <w:szCs w:val="20"/>
                <w:lang w:val="en-US"/>
              </w:rPr>
            </w:pPr>
            <w:r w:rsidRPr="001F2D8D">
              <w:rPr>
                <w:rFonts w:eastAsia="Times New Roman" w:cs="Calibri"/>
                <w:b/>
                <w:bCs/>
                <w:color w:val="000000"/>
                <w:sz w:val="20"/>
                <w:szCs w:val="20"/>
                <w:lang w:val="en-US"/>
              </w:rPr>
              <w:t>48003</w:t>
            </w:r>
          </w:p>
        </w:tc>
      </w:tr>
    </w:tbl>
    <w:p w:rsidR="00571656" w:rsidRPr="002C331F" w:rsidRDefault="00571656" w:rsidP="001419F7">
      <w:pPr>
        <w:pStyle w:val="Heading4"/>
        <w:numPr>
          <w:ilvl w:val="0"/>
          <w:numId w:val="232"/>
        </w:numPr>
        <w:ind w:left="1134" w:hanging="1134"/>
      </w:pPr>
      <w:r w:rsidRPr="002C331F">
        <w:t>Estimated Option Costs</w:t>
      </w:r>
    </w:p>
    <w:p w:rsidR="00571656" w:rsidRPr="002B4CCD" w:rsidRDefault="00571656" w:rsidP="00DE7198">
      <w:pPr>
        <w:rPr>
          <w:lang w:val="en-US"/>
        </w:rPr>
      </w:pPr>
      <w:r w:rsidRPr="002B4CCD">
        <w:rPr>
          <w:rFonts w:cs="Times New Roman"/>
          <w:color w:val="000000"/>
          <w:lang w:val="en-US"/>
        </w:rPr>
        <w:t xml:space="preserve">The estimates of Review Officers costs in the present system and Option 1 are shown in </w:t>
      </w:r>
      <w:hyperlink w:anchor="Tab1119" w:history="1">
        <w:r w:rsidRPr="00F27718">
          <w:rPr>
            <w:rStyle w:val="Hyperlink"/>
            <w:rFonts w:cs="Times New Roman"/>
            <w:lang w:val="en-US"/>
          </w:rPr>
          <w:t>Table 11.19</w:t>
        </w:r>
      </w:hyperlink>
      <w:r w:rsidRPr="002B4CCD">
        <w:rPr>
          <w:rFonts w:cs="Times New Roman"/>
          <w:color w:val="000000"/>
          <w:lang w:val="en-US"/>
        </w:rPr>
        <w:t>.</w:t>
      </w:r>
      <w:r w:rsidR="007A576E">
        <w:rPr>
          <w:rFonts w:cs="Times New Roman"/>
          <w:color w:val="000000"/>
          <w:lang w:val="en-US"/>
        </w:rPr>
        <w:t xml:space="preserve"> </w:t>
      </w:r>
      <w:r w:rsidRPr="002B4CCD">
        <w:rPr>
          <w:rFonts w:cs="Times New Roman"/>
          <w:color w:val="000000"/>
          <w:lang w:val="en-US"/>
        </w:rPr>
        <w:t xml:space="preserve">The ACAT and SAA external assessment options estimated costs are shown in </w:t>
      </w:r>
      <w:hyperlink w:anchor="Tab1120" w:history="1">
        <w:r w:rsidRPr="00F27718">
          <w:rPr>
            <w:rStyle w:val="Hyperlink"/>
            <w:rFonts w:cs="Times New Roman"/>
            <w:lang w:val="en-US"/>
          </w:rPr>
          <w:t>Table 11.20</w:t>
        </w:r>
      </w:hyperlink>
      <w:r w:rsidRPr="002B4CCD">
        <w:rPr>
          <w:rFonts w:cs="Times New Roman"/>
          <w:color w:val="000000"/>
          <w:lang w:val="en-US"/>
        </w:rPr>
        <w:t>. No allowances are included for Department staff or for capital expenses in these estimates.</w:t>
      </w:r>
    </w:p>
    <w:p w:rsidR="00CC0633" w:rsidRDefault="00C90A16" w:rsidP="00C90A16">
      <w:pPr>
        <w:pStyle w:val="Caption"/>
        <w:keepNext/>
        <w:spacing w:before="160"/>
      </w:pPr>
      <w:bookmarkStart w:id="841" w:name="_Toc495416879"/>
      <w:bookmarkStart w:id="842" w:name="Tab1119"/>
      <w:r>
        <w:t>Table 11.</w:t>
      </w:r>
      <w:r w:rsidR="009A3F5A">
        <w:fldChar w:fldCharType="begin"/>
      </w:r>
      <w:r w:rsidR="009A3F5A">
        <w:instrText xml:space="preserve"> SEQ Table_11. \* ARABIC </w:instrText>
      </w:r>
      <w:r w:rsidR="009A3F5A">
        <w:fldChar w:fldCharType="separate"/>
      </w:r>
      <w:r w:rsidR="00856E49">
        <w:rPr>
          <w:noProof/>
        </w:rPr>
        <w:t>19</w:t>
      </w:r>
      <w:r w:rsidR="009A3F5A">
        <w:rPr>
          <w:noProof/>
        </w:rPr>
        <w:fldChar w:fldCharType="end"/>
      </w:r>
      <w:r>
        <w:t xml:space="preserve">: </w:t>
      </w:r>
      <w:r w:rsidRPr="00C90A16">
        <w:t>Estimated Review Officer costs (Option 1)</w:t>
      </w:r>
      <w:bookmarkEnd w:id="841"/>
    </w:p>
    <w:tbl>
      <w:tblPr>
        <w:tblStyle w:val="ListTable3-Accent515"/>
        <w:tblW w:w="2966"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11.19 is a list of the estimated costs for review officers for the current aged care funding instrument (ACFI) and under option one from 2019 to 2022 (amount in millions of dollars). This table is to be read left to right, top to bottom, noting the costs for option 1 are in accordance with current costs."/>
      </w:tblPr>
      <w:tblGrid>
        <w:gridCol w:w="942"/>
        <w:gridCol w:w="950"/>
        <w:gridCol w:w="1074"/>
      </w:tblGrid>
      <w:tr w:rsidR="00EF1FEC" w:rsidRPr="00472746" w:rsidTr="00EF1FE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942" w:type="dxa"/>
            <w:noWrap/>
            <w:hideMark/>
          </w:tcPr>
          <w:bookmarkEnd w:id="842"/>
          <w:p w:rsidR="00EF1FEC" w:rsidRPr="00472746" w:rsidRDefault="00EF1FEC" w:rsidP="00AB24EF">
            <w:pPr>
              <w:spacing w:after="0"/>
              <w:jc w:val="left"/>
              <w:rPr>
                <w:rFonts w:ascii="Calibri" w:eastAsia="Times New Roman" w:hAnsi="Calibri" w:cs="Times New Roman"/>
                <w:sz w:val="22"/>
                <w:lang w:val="en-US"/>
              </w:rPr>
            </w:pPr>
            <w:r w:rsidRPr="00472746">
              <w:rPr>
                <w:rFonts w:ascii="Calibri" w:eastAsia="Times New Roman" w:hAnsi="Calibri" w:cs="Times New Roman"/>
                <w:sz w:val="22"/>
                <w:lang w:val="en-US"/>
              </w:rPr>
              <w:t>Year to</w:t>
            </w:r>
            <w:r w:rsidRPr="0062124D">
              <w:rPr>
                <w:rFonts w:ascii="Calibri" w:eastAsia="Times New Roman" w:hAnsi="Calibri" w:cs="Times New Roman"/>
                <w:b w:val="0"/>
                <w:bCs w:val="0"/>
                <w:sz w:val="22"/>
                <w:lang w:val="en-US"/>
              </w:rPr>
              <w:t xml:space="preserve"> </w:t>
            </w:r>
            <w:r w:rsidRPr="00472746">
              <w:rPr>
                <w:rFonts w:ascii="Calibri" w:eastAsia="Times New Roman" w:hAnsi="Calibri" w:cs="Times New Roman"/>
                <w:sz w:val="22"/>
                <w:lang w:val="en-US"/>
              </w:rPr>
              <w:t>30 June</w:t>
            </w:r>
          </w:p>
        </w:tc>
        <w:tc>
          <w:tcPr>
            <w:cnfStyle w:val="000010000000" w:firstRow="0" w:lastRow="0" w:firstColumn="0" w:lastColumn="0" w:oddVBand="1" w:evenVBand="0" w:oddHBand="0" w:evenHBand="0" w:firstRowFirstColumn="0" w:firstRowLastColumn="0" w:lastRowFirstColumn="0" w:lastRowLastColumn="0"/>
            <w:tcW w:w="950" w:type="dxa"/>
            <w:noWrap/>
            <w:hideMark/>
          </w:tcPr>
          <w:p w:rsidR="00EF1FEC" w:rsidRPr="00472746" w:rsidRDefault="00EF1FEC" w:rsidP="00AB24EF">
            <w:pPr>
              <w:spacing w:after="0"/>
              <w:jc w:val="center"/>
              <w:rPr>
                <w:rFonts w:ascii="Calibri" w:eastAsia="Times New Roman" w:hAnsi="Calibri" w:cs="Times New Roman"/>
                <w:sz w:val="22"/>
                <w:lang w:val="en-US"/>
              </w:rPr>
            </w:pPr>
            <w:r w:rsidRPr="00472746">
              <w:rPr>
                <w:rFonts w:ascii="Calibri" w:eastAsia="Times New Roman" w:hAnsi="Calibri" w:cs="Times New Roman"/>
                <w:sz w:val="22"/>
                <w:lang w:val="en-US"/>
              </w:rPr>
              <w:t>Present</w:t>
            </w:r>
            <w:r w:rsidRPr="0062124D">
              <w:rPr>
                <w:rFonts w:ascii="Calibri" w:eastAsia="Times New Roman" w:hAnsi="Calibri" w:cs="Times New Roman"/>
                <w:b w:val="0"/>
                <w:bCs w:val="0"/>
                <w:sz w:val="22"/>
                <w:lang w:val="en-US"/>
              </w:rPr>
              <w:t xml:space="preserve"> </w:t>
            </w:r>
            <w:r w:rsidRPr="00472746">
              <w:rPr>
                <w:rFonts w:ascii="Calibri" w:eastAsia="Times New Roman" w:hAnsi="Calibri" w:cs="Times New Roman"/>
                <w:sz w:val="22"/>
                <w:lang w:val="en-US"/>
              </w:rPr>
              <w:t>$m</w:t>
            </w:r>
          </w:p>
        </w:tc>
        <w:tc>
          <w:tcPr>
            <w:tcW w:w="1074" w:type="dxa"/>
            <w:noWrap/>
            <w:hideMark/>
          </w:tcPr>
          <w:p w:rsidR="00EF1FEC" w:rsidRPr="00472746" w:rsidRDefault="00EF1FEC" w:rsidP="00AB24EF">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US"/>
              </w:rPr>
            </w:pPr>
            <w:r w:rsidRPr="00472746">
              <w:rPr>
                <w:rFonts w:ascii="Calibri" w:eastAsia="Times New Roman" w:hAnsi="Calibri" w:cs="Times New Roman"/>
                <w:sz w:val="22"/>
                <w:lang w:val="en-US"/>
              </w:rPr>
              <w:t>Option 1</w:t>
            </w:r>
            <w:r w:rsidRPr="0062124D">
              <w:rPr>
                <w:rFonts w:ascii="Calibri" w:eastAsia="Times New Roman" w:hAnsi="Calibri" w:cs="Times New Roman"/>
                <w:b w:val="0"/>
                <w:bCs w:val="0"/>
                <w:sz w:val="22"/>
                <w:lang w:val="en-US"/>
              </w:rPr>
              <w:t xml:space="preserve"> </w:t>
            </w:r>
            <w:r w:rsidRPr="00472746">
              <w:rPr>
                <w:rFonts w:ascii="Calibri" w:eastAsia="Times New Roman" w:hAnsi="Calibri" w:cs="Times New Roman"/>
                <w:sz w:val="22"/>
                <w:lang w:val="en-US"/>
              </w:rPr>
              <w:t>$m</w:t>
            </w:r>
          </w:p>
        </w:tc>
      </w:tr>
      <w:tr w:rsidR="00EF1FEC" w:rsidRPr="00472746" w:rsidTr="00EF1F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2" w:type="dxa"/>
            <w:noWrap/>
            <w:hideMark/>
          </w:tcPr>
          <w:p w:rsidR="00EF1FEC" w:rsidRPr="00472746" w:rsidRDefault="00EF1FEC" w:rsidP="00AB24EF">
            <w:pPr>
              <w:spacing w:after="0"/>
              <w:jc w:val="left"/>
              <w:rPr>
                <w:rFonts w:ascii="Calibri" w:eastAsia="Times New Roman" w:hAnsi="Calibri" w:cs="Times New Roman"/>
                <w:color w:val="000000"/>
                <w:sz w:val="22"/>
                <w:lang w:val="en-US"/>
              </w:rPr>
            </w:pPr>
            <w:r w:rsidRPr="00472746">
              <w:rPr>
                <w:rFonts w:ascii="Calibri" w:eastAsia="Times New Roman" w:hAnsi="Calibri" w:cs="Times New Roman"/>
                <w:color w:val="000000"/>
                <w:sz w:val="22"/>
                <w:lang w:val="en-US"/>
              </w:rPr>
              <w:t>2019</w:t>
            </w:r>
          </w:p>
        </w:tc>
        <w:tc>
          <w:tcPr>
            <w:cnfStyle w:val="000010000000" w:firstRow="0" w:lastRow="0" w:firstColumn="0" w:lastColumn="0" w:oddVBand="1" w:evenVBand="0" w:oddHBand="0" w:evenHBand="0" w:firstRowFirstColumn="0" w:firstRowLastColumn="0" w:lastRowFirstColumn="0" w:lastRowLastColumn="0"/>
            <w:tcW w:w="950" w:type="dxa"/>
            <w:noWrap/>
            <w:hideMark/>
          </w:tcPr>
          <w:p w:rsidR="00EF1FEC" w:rsidRPr="00472746" w:rsidRDefault="00EF1FEC" w:rsidP="00AB24EF">
            <w:pPr>
              <w:spacing w:after="0"/>
              <w:jc w:val="center"/>
              <w:rPr>
                <w:rFonts w:ascii="Calibri" w:eastAsia="Times New Roman" w:hAnsi="Calibri" w:cs="Times New Roman"/>
                <w:color w:val="000000"/>
                <w:sz w:val="22"/>
                <w:lang w:val="en-US"/>
              </w:rPr>
            </w:pPr>
            <w:r w:rsidRPr="00472746">
              <w:rPr>
                <w:rFonts w:ascii="Calibri" w:eastAsia="Times New Roman" w:hAnsi="Calibri" w:cs="Times New Roman"/>
                <w:color w:val="000000"/>
                <w:sz w:val="22"/>
                <w:lang w:val="en-US"/>
              </w:rPr>
              <w:t>12.9</w:t>
            </w:r>
          </w:p>
        </w:tc>
        <w:tc>
          <w:tcPr>
            <w:tcW w:w="1074" w:type="dxa"/>
            <w:noWrap/>
            <w:hideMark/>
          </w:tcPr>
          <w:p w:rsidR="00EF1FEC" w:rsidRPr="00472746" w:rsidRDefault="00EF1FEC" w:rsidP="00AB24EF">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val="en-US"/>
              </w:rPr>
            </w:pPr>
            <w:r w:rsidRPr="00472746">
              <w:rPr>
                <w:rFonts w:ascii="Calibri" w:eastAsia="Times New Roman" w:hAnsi="Calibri" w:cs="Times New Roman"/>
                <w:color w:val="000000"/>
                <w:sz w:val="22"/>
                <w:lang w:val="en-US"/>
              </w:rPr>
              <w:t>12.9</w:t>
            </w:r>
          </w:p>
        </w:tc>
      </w:tr>
      <w:tr w:rsidR="00EF1FEC" w:rsidRPr="00472746" w:rsidTr="00EF1FEC">
        <w:trPr>
          <w:trHeight w:val="300"/>
        </w:trPr>
        <w:tc>
          <w:tcPr>
            <w:cnfStyle w:val="001000000000" w:firstRow="0" w:lastRow="0" w:firstColumn="1" w:lastColumn="0" w:oddVBand="0" w:evenVBand="0" w:oddHBand="0" w:evenHBand="0" w:firstRowFirstColumn="0" w:firstRowLastColumn="0" w:lastRowFirstColumn="0" w:lastRowLastColumn="0"/>
            <w:tcW w:w="942" w:type="dxa"/>
            <w:noWrap/>
            <w:hideMark/>
          </w:tcPr>
          <w:p w:rsidR="00EF1FEC" w:rsidRPr="00472746" w:rsidRDefault="00EF1FEC" w:rsidP="00AB24EF">
            <w:pPr>
              <w:spacing w:after="0"/>
              <w:jc w:val="left"/>
              <w:rPr>
                <w:rFonts w:ascii="Calibri" w:eastAsia="Times New Roman" w:hAnsi="Calibri" w:cs="Times New Roman"/>
                <w:color w:val="000000"/>
                <w:sz w:val="22"/>
                <w:lang w:val="en-US"/>
              </w:rPr>
            </w:pPr>
            <w:r w:rsidRPr="00472746">
              <w:rPr>
                <w:rFonts w:ascii="Calibri" w:eastAsia="Times New Roman" w:hAnsi="Calibri" w:cs="Times New Roman"/>
                <w:color w:val="000000"/>
                <w:sz w:val="22"/>
                <w:lang w:val="en-US"/>
              </w:rPr>
              <w:t>2020</w:t>
            </w:r>
          </w:p>
        </w:tc>
        <w:tc>
          <w:tcPr>
            <w:cnfStyle w:val="000010000000" w:firstRow="0" w:lastRow="0" w:firstColumn="0" w:lastColumn="0" w:oddVBand="1" w:evenVBand="0" w:oddHBand="0" w:evenHBand="0" w:firstRowFirstColumn="0" w:firstRowLastColumn="0" w:lastRowFirstColumn="0" w:lastRowLastColumn="0"/>
            <w:tcW w:w="950" w:type="dxa"/>
            <w:noWrap/>
            <w:hideMark/>
          </w:tcPr>
          <w:p w:rsidR="00EF1FEC" w:rsidRPr="00472746" w:rsidRDefault="00EF1FEC" w:rsidP="00AB24EF">
            <w:pPr>
              <w:spacing w:after="0"/>
              <w:jc w:val="center"/>
              <w:rPr>
                <w:rFonts w:ascii="Calibri" w:eastAsia="Times New Roman" w:hAnsi="Calibri" w:cs="Times New Roman"/>
                <w:color w:val="000000"/>
                <w:sz w:val="22"/>
                <w:lang w:val="en-US"/>
              </w:rPr>
            </w:pPr>
            <w:r w:rsidRPr="00472746">
              <w:rPr>
                <w:rFonts w:ascii="Calibri" w:eastAsia="Times New Roman" w:hAnsi="Calibri" w:cs="Times New Roman"/>
                <w:color w:val="000000"/>
                <w:sz w:val="22"/>
                <w:lang w:val="en-US"/>
              </w:rPr>
              <w:t>13.3</w:t>
            </w:r>
          </w:p>
        </w:tc>
        <w:tc>
          <w:tcPr>
            <w:tcW w:w="1074" w:type="dxa"/>
            <w:noWrap/>
            <w:hideMark/>
          </w:tcPr>
          <w:p w:rsidR="00EF1FEC" w:rsidRPr="00472746" w:rsidRDefault="00EF1FEC" w:rsidP="00AB24EF">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472746">
              <w:rPr>
                <w:rFonts w:ascii="Calibri" w:eastAsia="Times New Roman" w:hAnsi="Calibri" w:cs="Times New Roman"/>
                <w:color w:val="000000"/>
                <w:sz w:val="22"/>
                <w:lang w:val="en-US"/>
              </w:rPr>
              <w:t>13.3</w:t>
            </w:r>
          </w:p>
        </w:tc>
      </w:tr>
      <w:tr w:rsidR="00EF1FEC" w:rsidRPr="00472746" w:rsidTr="00EF1F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2" w:type="dxa"/>
            <w:noWrap/>
            <w:hideMark/>
          </w:tcPr>
          <w:p w:rsidR="00EF1FEC" w:rsidRPr="00472746" w:rsidRDefault="00EF1FEC" w:rsidP="00AB24EF">
            <w:pPr>
              <w:spacing w:after="0"/>
              <w:jc w:val="left"/>
              <w:rPr>
                <w:rFonts w:ascii="Calibri" w:eastAsia="Times New Roman" w:hAnsi="Calibri" w:cs="Times New Roman"/>
                <w:color w:val="000000"/>
                <w:sz w:val="22"/>
                <w:lang w:val="en-US"/>
              </w:rPr>
            </w:pPr>
            <w:r w:rsidRPr="00472746">
              <w:rPr>
                <w:rFonts w:ascii="Calibri" w:eastAsia="Times New Roman" w:hAnsi="Calibri" w:cs="Times New Roman"/>
                <w:color w:val="000000"/>
                <w:sz w:val="22"/>
                <w:lang w:val="en-US"/>
              </w:rPr>
              <w:t>2021</w:t>
            </w:r>
          </w:p>
        </w:tc>
        <w:tc>
          <w:tcPr>
            <w:cnfStyle w:val="000010000000" w:firstRow="0" w:lastRow="0" w:firstColumn="0" w:lastColumn="0" w:oddVBand="1" w:evenVBand="0" w:oddHBand="0" w:evenHBand="0" w:firstRowFirstColumn="0" w:firstRowLastColumn="0" w:lastRowFirstColumn="0" w:lastRowLastColumn="0"/>
            <w:tcW w:w="950" w:type="dxa"/>
            <w:noWrap/>
            <w:hideMark/>
          </w:tcPr>
          <w:p w:rsidR="00EF1FEC" w:rsidRPr="00472746" w:rsidRDefault="00EF1FEC" w:rsidP="00AB24EF">
            <w:pPr>
              <w:spacing w:after="0"/>
              <w:jc w:val="center"/>
              <w:rPr>
                <w:rFonts w:ascii="Calibri" w:eastAsia="Times New Roman" w:hAnsi="Calibri" w:cs="Times New Roman"/>
                <w:color w:val="000000"/>
                <w:sz w:val="22"/>
                <w:lang w:val="en-US"/>
              </w:rPr>
            </w:pPr>
            <w:r w:rsidRPr="00472746">
              <w:rPr>
                <w:rFonts w:ascii="Calibri" w:eastAsia="Times New Roman" w:hAnsi="Calibri" w:cs="Times New Roman"/>
                <w:color w:val="000000"/>
                <w:sz w:val="22"/>
                <w:lang w:val="en-US"/>
              </w:rPr>
              <w:t>13.8</w:t>
            </w:r>
          </w:p>
        </w:tc>
        <w:tc>
          <w:tcPr>
            <w:tcW w:w="1074" w:type="dxa"/>
            <w:noWrap/>
            <w:hideMark/>
          </w:tcPr>
          <w:p w:rsidR="00EF1FEC" w:rsidRPr="00472746" w:rsidRDefault="00EF1FEC" w:rsidP="00AB24EF">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val="en-US"/>
              </w:rPr>
            </w:pPr>
            <w:r w:rsidRPr="00472746">
              <w:rPr>
                <w:rFonts w:ascii="Calibri" w:eastAsia="Times New Roman" w:hAnsi="Calibri" w:cs="Times New Roman"/>
                <w:color w:val="000000"/>
                <w:sz w:val="22"/>
                <w:lang w:val="en-US"/>
              </w:rPr>
              <w:t>13.8</w:t>
            </w:r>
          </w:p>
        </w:tc>
      </w:tr>
      <w:tr w:rsidR="00EF1FEC" w:rsidRPr="00472746" w:rsidTr="00EF1FEC">
        <w:trPr>
          <w:trHeight w:val="300"/>
        </w:trPr>
        <w:tc>
          <w:tcPr>
            <w:cnfStyle w:val="001000000000" w:firstRow="0" w:lastRow="0" w:firstColumn="1" w:lastColumn="0" w:oddVBand="0" w:evenVBand="0" w:oddHBand="0" w:evenHBand="0" w:firstRowFirstColumn="0" w:firstRowLastColumn="0" w:lastRowFirstColumn="0" w:lastRowLastColumn="0"/>
            <w:tcW w:w="942" w:type="dxa"/>
            <w:noWrap/>
            <w:hideMark/>
          </w:tcPr>
          <w:p w:rsidR="00EF1FEC" w:rsidRPr="00472746" w:rsidRDefault="00EF1FEC" w:rsidP="00AB24EF">
            <w:pPr>
              <w:spacing w:after="0"/>
              <w:jc w:val="left"/>
              <w:rPr>
                <w:rFonts w:ascii="Calibri" w:eastAsia="Times New Roman" w:hAnsi="Calibri" w:cs="Times New Roman"/>
                <w:color w:val="000000"/>
                <w:sz w:val="22"/>
                <w:lang w:val="en-US"/>
              </w:rPr>
            </w:pPr>
            <w:r w:rsidRPr="00472746">
              <w:rPr>
                <w:rFonts w:ascii="Calibri" w:eastAsia="Times New Roman" w:hAnsi="Calibri" w:cs="Times New Roman"/>
                <w:color w:val="000000"/>
                <w:sz w:val="22"/>
                <w:lang w:val="en-US"/>
              </w:rPr>
              <w:t>2022</w:t>
            </w:r>
          </w:p>
        </w:tc>
        <w:tc>
          <w:tcPr>
            <w:cnfStyle w:val="000010000000" w:firstRow="0" w:lastRow="0" w:firstColumn="0" w:lastColumn="0" w:oddVBand="1" w:evenVBand="0" w:oddHBand="0" w:evenHBand="0" w:firstRowFirstColumn="0" w:firstRowLastColumn="0" w:lastRowFirstColumn="0" w:lastRowLastColumn="0"/>
            <w:tcW w:w="950" w:type="dxa"/>
            <w:noWrap/>
            <w:hideMark/>
          </w:tcPr>
          <w:p w:rsidR="00EF1FEC" w:rsidRPr="00472746" w:rsidRDefault="00EF1FEC" w:rsidP="00AB24EF">
            <w:pPr>
              <w:spacing w:after="0"/>
              <w:jc w:val="center"/>
              <w:rPr>
                <w:rFonts w:ascii="Calibri" w:eastAsia="Times New Roman" w:hAnsi="Calibri" w:cs="Times New Roman"/>
                <w:color w:val="000000"/>
                <w:sz w:val="22"/>
                <w:lang w:val="en-US"/>
              </w:rPr>
            </w:pPr>
            <w:r w:rsidRPr="00472746">
              <w:rPr>
                <w:rFonts w:ascii="Calibri" w:eastAsia="Times New Roman" w:hAnsi="Calibri" w:cs="Times New Roman"/>
                <w:color w:val="000000"/>
                <w:sz w:val="22"/>
                <w:lang w:val="en-US"/>
              </w:rPr>
              <w:t>14.3</w:t>
            </w:r>
          </w:p>
        </w:tc>
        <w:tc>
          <w:tcPr>
            <w:tcW w:w="1074" w:type="dxa"/>
            <w:noWrap/>
            <w:hideMark/>
          </w:tcPr>
          <w:p w:rsidR="00EF1FEC" w:rsidRPr="00472746" w:rsidRDefault="00EF1FEC" w:rsidP="00AB24EF">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472746">
              <w:rPr>
                <w:rFonts w:ascii="Calibri" w:eastAsia="Times New Roman" w:hAnsi="Calibri" w:cs="Times New Roman"/>
                <w:color w:val="000000"/>
                <w:sz w:val="22"/>
                <w:lang w:val="en-US"/>
              </w:rPr>
              <w:t>14.3</w:t>
            </w:r>
          </w:p>
        </w:tc>
      </w:tr>
      <w:tr w:rsidR="00EF1FEC" w:rsidRPr="00472746" w:rsidTr="00660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2" w:type="dxa"/>
            <w:shd w:val="clear" w:color="auto" w:fill="auto"/>
            <w:noWrap/>
            <w:hideMark/>
          </w:tcPr>
          <w:p w:rsidR="00EF1FEC" w:rsidRPr="00472746" w:rsidRDefault="00EF1FEC" w:rsidP="00AB24EF">
            <w:pPr>
              <w:spacing w:after="0"/>
              <w:jc w:val="left"/>
              <w:rPr>
                <w:rFonts w:ascii="Calibri" w:eastAsia="Times New Roman" w:hAnsi="Calibri" w:cs="Times New Roman"/>
                <w:color w:val="000000"/>
                <w:sz w:val="22"/>
                <w:lang w:val="en-US"/>
              </w:rPr>
            </w:pPr>
            <w:r w:rsidRPr="00472746">
              <w:rPr>
                <w:rFonts w:ascii="Calibri" w:eastAsia="Times New Roman" w:hAnsi="Calibri" w:cs="Times New Roman"/>
                <w:color w:val="000000"/>
                <w:sz w:val="22"/>
                <w:lang w:val="en-US"/>
              </w:rPr>
              <w:t>Total</w:t>
            </w:r>
          </w:p>
        </w:tc>
        <w:tc>
          <w:tcPr>
            <w:cnfStyle w:val="000010000000" w:firstRow="0" w:lastRow="0" w:firstColumn="0" w:lastColumn="0" w:oddVBand="1" w:evenVBand="0" w:oddHBand="0" w:evenHBand="0" w:firstRowFirstColumn="0" w:firstRowLastColumn="0" w:lastRowFirstColumn="0" w:lastRowLastColumn="0"/>
            <w:tcW w:w="950" w:type="dxa"/>
            <w:shd w:val="clear" w:color="auto" w:fill="auto"/>
            <w:noWrap/>
            <w:hideMark/>
          </w:tcPr>
          <w:p w:rsidR="00EF1FEC" w:rsidRPr="00472746" w:rsidRDefault="00EF1FEC" w:rsidP="00AB24EF">
            <w:pPr>
              <w:spacing w:after="0"/>
              <w:jc w:val="center"/>
              <w:rPr>
                <w:rFonts w:ascii="Calibri" w:eastAsia="Times New Roman" w:hAnsi="Calibri" w:cs="Times New Roman"/>
                <w:b/>
                <w:bCs/>
                <w:color w:val="000000"/>
                <w:sz w:val="22"/>
                <w:lang w:val="en-US"/>
              </w:rPr>
            </w:pPr>
            <w:r w:rsidRPr="00472746">
              <w:rPr>
                <w:rFonts w:ascii="Calibri" w:eastAsia="Times New Roman" w:hAnsi="Calibri" w:cs="Times New Roman"/>
                <w:b/>
                <w:bCs/>
                <w:color w:val="000000"/>
                <w:sz w:val="22"/>
                <w:lang w:val="en-US"/>
              </w:rPr>
              <w:t>54.4</w:t>
            </w:r>
          </w:p>
        </w:tc>
        <w:tc>
          <w:tcPr>
            <w:tcW w:w="1074" w:type="dxa"/>
            <w:shd w:val="clear" w:color="auto" w:fill="auto"/>
            <w:noWrap/>
            <w:hideMark/>
          </w:tcPr>
          <w:p w:rsidR="00EF1FEC" w:rsidRPr="00472746" w:rsidRDefault="00EF1FEC" w:rsidP="00AB24EF">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lang w:val="en-US"/>
              </w:rPr>
            </w:pPr>
            <w:r w:rsidRPr="00472746">
              <w:rPr>
                <w:rFonts w:ascii="Calibri" w:eastAsia="Times New Roman" w:hAnsi="Calibri" w:cs="Times New Roman"/>
                <w:b/>
                <w:bCs/>
                <w:color w:val="000000"/>
                <w:sz w:val="22"/>
                <w:lang w:val="en-US"/>
              </w:rPr>
              <w:t>54.4</w:t>
            </w:r>
          </w:p>
        </w:tc>
      </w:tr>
    </w:tbl>
    <w:p w:rsidR="00CC0633" w:rsidRDefault="00C90A16" w:rsidP="00C90A16">
      <w:pPr>
        <w:pStyle w:val="Caption"/>
        <w:keepNext/>
        <w:spacing w:before="160"/>
      </w:pPr>
      <w:bookmarkStart w:id="843" w:name="_Toc495416880"/>
      <w:bookmarkStart w:id="844" w:name="Tab1120"/>
      <w:r>
        <w:t>Table 11.</w:t>
      </w:r>
      <w:r w:rsidR="009A3F5A">
        <w:fldChar w:fldCharType="begin"/>
      </w:r>
      <w:r w:rsidR="009A3F5A">
        <w:instrText xml:space="preserve"> SEQ Table_11. \* ARABIC </w:instrText>
      </w:r>
      <w:r w:rsidR="009A3F5A">
        <w:fldChar w:fldCharType="separate"/>
      </w:r>
      <w:r w:rsidR="00856E49">
        <w:rPr>
          <w:noProof/>
        </w:rPr>
        <w:t>20</w:t>
      </w:r>
      <w:r w:rsidR="009A3F5A">
        <w:rPr>
          <w:noProof/>
        </w:rPr>
        <w:fldChar w:fldCharType="end"/>
      </w:r>
      <w:r>
        <w:t xml:space="preserve">: </w:t>
      </w:r>
      <w:r w:rsidRPr="00C90A16">
        <w:rPr>
          <w:lang w:val="en-US"/>
        </w:rPr>
        <w:t>Estimated costs of ACAT and SAA assessments (Options 1, 2 and 3</w:t>
      </w:r>
      <w:bookmarkEnd w:id="843"/>
    </w:p>
    <w:tbl>
      <w:tblPr>
        <w:tblStyle w:val="ListTable3-Accent515"/>
        <w:tblW w:w="4960"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11.20 is a list of estimated costs for assessments undertaken by aged care assessment teams (ACATs) and specialist assessment agency assessors (SAAs) for options one, two and three from 2019 to 2022 (amount in millions of dollars). This table is to be read left to right, top to bottom."/>
      </w:tblPr>
      <w:tblGrid>
        <w:gridCol w:w="1000"/>
        <w:gridCol w:w="1440"/>
        <w:gridCol w:w="1280"/>
        <w:gridCol w:w="1240"/>
      </w:tblGrid>
      <w:tr w:rsidR="00EF1FEC" w:rsidRPr="00A22561" w:rsidTr="00EF1FE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000" w:type="dxa"/>
            <w:noWrap/>
            <w:hideMark/>
          </w:tcPr>
          <w:bookmarkEnd w:id="844"/>
          <w:p w:rsidR="00EF1FEC" w:rsidRPr="0062124D" w:rsidRDefault="00EF1FEC" w:rsidP="009F1E44">
            <w:pPr>
              <w:spacing w:after="0"/>
              <w:jc w:val="left"/>
              <w:rPr>
                <w:rFonts w:ascii="Calibri" w:eastAsia="Times New Roman" w:hAnsi="Calibri" w:cs="Calibri"/>
                <w:bCs w:val="0"/>
                <w:sz w:val="22"/>
                <w:lang w:val="en-US"/>
              </w:rPr>
            </w:pPr>
            <w:r w:rsidRPr="0062124D">
              <w:rPr>
                <w:rFonts w:ascii="Calibri" w:eastAsia="Times New Roman" w:hAnsi="Calibri" w:cs="Calibri"/>
                <w:bCs w:val="0"/>
                <w:sz w:val="22"/>
                <w:lang w:val="en-US"/>
              </w:rPr>
              <w:t>Year</w:t>
            </w:r>
          </w:p>
        </w:tc>
        <w:tc>
          <w:tcPr>
            <w:cnfStyle w:val="000010000000" w:firstRow="0" w:lastRow="0" w:firstColumn="0" w:lastColumn="0" w:oddVBand="1" w:evenVBand="0" w:oddHBand="0" w:evenHBand="0" w:firstRowFirstColumn="0" w:firstRowLastColumn="0" w:lastRowFirstColumn="0" w:lastRowLastColumn="0"/>
            <w:tcW w:w="1440" w:type="dxa"/>
            <w:noWrap/>
            <w:hideMark/>
          </w:tcPr>
          <w:p w:rsidR="00EF1FEC" w:rsidRPr="0062124D" w:rsidRDefault="00EF1FEC" w:rsidP="009F1E44">
            <w:pPr>
              <w:spacing w:after="0"/>
              <w:jc w:val="center"/>
              <w:rPr>
                <w:rFonts w:ascii="Calibri" w:eastAsia="Times New Roman" w:hAnsi="Calibri" w:cs="Calibri"/>
                <w:bCs w:val="0"/>
                <w:sz w:val="22"/>
                <w:lang w:val="en-US"/>
              </w:rPr>
            </w:pPr>
            <w:r w:rsidRPr="0062124D">
              <w:rPr>
                <w:rFonts w:ascii="Calibri" w:eastAsia="Times New Roman" w:hAnsi="Calibri" w:cs="Calibri"/>
                <w:bCs w:val="0"/>
                <w:sz w:val="22"/>
                <w:lang w:val="en-US"/>
              </w:rPr>
              <w:t>Option 1 ACAT/RO $m</w:t>
            </w:r>
          </w:p>
        </w:tc>
        <w:tc>
          <w:tcPr>
            <w:tcW w:w="1280" w:type="dxa"/>
            <w:noWrap/>
            <w:hideMark/>
          </w:tcPr>
          <w:p w:rsidR="00EF1FEC" w:rsidRPr="0062124D" w:rsidRDefault="00EF1FEC" w:rsidP="009F1E4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2"/>
                <w:lang w:val="en-US"/>
              </w:rPr>
            </w:pPr>
            <w:r w:rsidRPr="00F26079">
              <w:rPr>
                <w:rFonts w:ascii="Calibri" w:eastAsia="Times New Roman" w:hAnsi="Calibri" w:cs="Calibri"/>
                <w:bCs w:val="0"/>
                <w:sz w:val="22"/>
                <w:vertAlign w:val="superscript"/>
                <w:lang w:val="en-US"/>
              </w:rPr>
              <w:t>1</w:t>
            </w:r>
            <w:r w:rsidRPr="0062124D">
              <w:rPr>
                <w:rFonts w:ascii="Calibri" w:eastAsia="Times New Roman" w:hAnsi="Calibri" w:cs="Calibri"/>
                <w:bCs w:val="0"/>
                <w:sz w:val="22"/>
                <w:lang w:val="en-US"/>
              </w:rPr>
              <w:t>Option 2 ACAT $m</w:t>
            </w:r>
          </w:p>
        </w:tc>
        <w:tc>
          <w:tcPr>
            <w:cnfStyle w:val="000010000000" w:firstRow="0" w:lastRow="0" w:firstColumn="0" w:lastColumn="0" w:oddVBand="1" w:evenVBand="0" w:oddHBand="0" w:evenHBand="0" w:firstRowFirstColumn="0" w:firstRowLastColumn="0" w:lastRowFirstColumn="0" w:lastRowLastColumn="0"/>
            <w:tcW w:w="1240" w:type="dxa"/>
            <w:noWrap/>
            <w:hideMark/>
          </w:tcPr>
          <w:p w:rsidR="00EF1FEC" w:rsidRPr="0062124D" w:rsidRDefault="00EF1FEC" w:rsidP="009F1E44">
            <w:pPr>
              <w:spacing w:after="0"/>
              <w:jc w:val="center"/>
              <w:rPr>
                <w:rFonts w:ascii="Calibri" w:eastAsia="Times New Roman" w:hAnsi="Calibri" w:cs="Calibri"/>
                <w:bCs w:val="0"/>
                <w:sz w:val="22"/>
                <w:lang w:val="en-US"/>
              </w:rPr>
            </w:pPr>
            <w:r w:rsidRPr="00F26079">
              <w:rPr>
                <w:rFonts w:ascii="Calibri" w:eastAsia="Times New Roman" w:hAnsi="Calibri" w:cs="Calibri"/>
                <w:bCs w:val="0"/>
                <w:sz w:val="22"/>
                <w:vertAlign w:val="superscript"/>
                <w:lang w:val="en-US"/>
              </w:rPr>
              <w:t>2</w:t>
            </w:r>
            <w:r w:rsidRPr="0062124D">
              <w:rPr>
                <w:rFonts w:ascii="Calibri" w:eastAsia="Times New Roman" w:hAnsi="Calibri" w:cs="Calibri"/>
                <w:bCs w:val="0"/>
                <w:sz w:val="22"/>
                <w:lang w:val="en-US"/>
              </w:rPr>
              <w:t>Option 3 SAA $m</w:t>
            </w:r>
          </w:p>
        </w:tc>
      </w:tr>
      <w:tr w:rsidR="00EF1FEC" w:rsidRPr="00A22561" w:rsidTr="00EF1F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noWrap/>
            <w:hideMark/>
          </w:tcPr>
          <w:p w:rsidR="00EF1FEC" w:rsidRPr="00A22561" w:rsidRDefault="00EF1FEC" w:rsidP="009F1E44">
            <w:pPr>
              <w:spacing w:after="0"/>
              <w:jc w:val="left"/>
              <w:rPr>
                <w:rFonts w:ascii="Calibri" w:eastAsia="Times New Roman" w:hAnsi="Calibri" w:cs="Calibri"/>
                <w:color w:val="000000"/>
                <w:sz w:val="22"/>
                <w:lang w:val="en-US"/>
              </w:rPr>
            </w:pPr>
            <w:r w:rsidRPr="00A22561">
              <w:rPr>
                <w:rFonts w:ascii="Calibri" w:eastAsia="Times New Roman" w:hAnsi="Calibri" w:cs="Calibri"/>
                <w:color w:val="000000"/>
                <w:sz w:val="22"/>
                <w:lang w:val="en-US"/>
              </w:rPr>
              <w:t>18-19</w:t>
            </w:r>
          </w:p>
        </w:tc>
        <w:tc>
          <w:tcPr>
            <w:cnfStyle w:val="000010000000" w:firstRow="0" w:lastRow="0" w:firstColumn="0" w:lastColumn="0" w:oddVBand="1" w:evenVBand="0" w:oddHBand="0" w:evenHBand="0" w:firstRowFirstColumn="0" w:firstRowLastColumn="0" w:lastRowFirstColumn="0" w:lastRowLastColumn="0"/>
            <w:tcW w:w="1440" w:type="dxa"/>
            <w:noWrap/>
            <w:hideMark/>
          </w:tcPr>
          <w:p w:rsidR="00EF1FEC" w:rsidRPr="00A22561" w:rsidRDefault="00EF1FEC" w:rsidP="009F1E44">
            <w:pPr>
              <w:spacing w:after="0"/>
              <w:jc w:val="center"/>
              <w:rPr>
                <w:rFonts w:ascii="Calibri" w:eastAsia="Times New Roman" w:hAnsi="Calibri" w:cs="Calibri"/>
                <w:color w:val="000000"/>
                <w:sz w:val="22"/>
                <w:lang w:val="en-US"/>
              </w:rPr>
            </w:pPr>
            <w:r w:rsidRPr="00A22561">
              <w:rPr>
                <w:rFonts w:ascii="Calibri" w:eastAsia="Times New Roman" w:hAnsi="Calibri" w:cs="Calibri"/>
                <w:color w:val="000000"/>
                <w:sz w:val="22"/>
                <w:lang w:val="en-US"/>
              </w:rPr>
              <w:t>18.9</w:t>
            </w:r>
          </w:p>
        </w:tc>
        <w:tc>
          <w:tcPr>
            <w:tcW w:w="1280" w:type="dxa"/>
            <w:noWrap/>
            <w:hideMark/>
          </w:tcPr>
          <w:p w:rsidR="00EF1FEC" w:rsidRPr="00A22561" w:rsidRDefault="00EF1FEC" w:rsidP="009F1E44">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A22561">
              <w:rPr>
                <w:rFonts w:ascii="Calibri" w:eastAsia="Times New Roman" w:hAnsi="Calibri" w:cs="Calibri"/>
                <w:color w:val="000000"/>
                <w:sz w:val="22"/>
                <w:lang w:val="en-US"/>
              </w:rPr>
              <w:t>26.3</w:t>
            </w:r>
          </w:p>
        </w:tc>
        <w:tc>
          <w:tcPr>
            <w:cnfStyle w:val="000010000000" w:firstRow="0" w:lastRow="0" w:firstColumn="0" w:lastColumn="0" w:oddVBand="1" w:evenVBand="0" w:oddHBand="0" w:evenHBand="0" w:firstRowFirstColumn="0" w:firstRowLastColumn="0" w:lastRowFirstColumn="0" w:lastRowLastColumn="0"/>
            <w:tcW w:w="1240" w:type="dxa"/>
            <w:noWrap/>
            <w:hideMark/>
          </w:tcPr>
          <w:p w:rsidR="00EF1FEC" w:rsidRPr="00A22561" w:rsidRDefault="00EF1FEC" w:rsidP="009F1E44">
            <w:pPr>
              <w:spacing w:after="0"/>
              <w:jc w:val="center"/>
              <w:rPr>
                <w:rFonts w:ascii="Calibri" w:eastAsia="Times New Roman" w:hAnsi="Calibri" w:cs="Calibri"/>
                <w:color w:val="000000"/>
                <w:sz w:val="22"/>
                <w:lang w:val="en-US"/>
              </w:rPr>
            </w:pPr>
            <w:r w:rsidRPr="00A22561">
              <w:rPr>
                <w:rFonts w:ascii="Calibri" w:eastAsia="Times New Roman" w:hAnsi="Calibri" w:cs="Calibri"/>
                <w:color w:val="000000"/>
                <w:sz w:val="22"/>
                <w:lang w:val="en-US"/>
              </w:rPr>
              <w:t>33.1</w:t>
            </w:r>
          </w:p>
        </w:tc>
      </w:tr>
      <w:tr w:rsidR="00EF1FEC" w:rsidRPr="00A22561" w:rsidTr="00EF1FEC">
        <w:trPr>
          <w:trHeight w:val="300"/>
        </w:trPr>
        <w:tc>
          <w:tcPr>
            <w:cnfStyle w:val="001000000000" w:firstRow="0" w:lastRow="0" w:firstColumn="1" w:lastColumn="0" w:oddVBand="0" w:evenVBand="0" w:oddHBand="0" w:evenHBand="0" w:firstRowFirstColumn="0" w:firstRowLastColumn="0" w:lastRowFirstColumn="0" w:lastRowLastColumn="0"/>
            <w:tcW w:w="1000" w:type="dxa"/>
            <w:noWrap/>
            <w:hideMark/>
          </w:tcPr>
          <w:p w:rsidR="00EF1FEC" w:rsidRPr="00A22561" w:rsidRDefault="00EF1FEC" w:rsidP="009F1E44">
            <w:pPr>
              <w:spacing w:after="0"/>
              <w:jc w:val="left"/>
              <w:rPr>
                <w:rFonts w:ascii="Calibri" w:eastAsia="Times New Roman" w:hAnsi="Calibri" w:cs="Calibri"/>
                <w:color w:val="000000"/>
                <w:sz w:val="22"/>
                <w:lang w:val="en-US"/>
              </w:rPr>
            </w:pPr>
            <w:r w:rsidRPr="00A22561">
              <w:rPr>
                <w:rFonts w:ascii="Calibri" w:eastAsia="Times New Roman" w:hAnsi="Calibri" w:cs="Calibri"/>
                <w:color w:val="000000"/>
                <w:sz w:val="22"/>
                <w:lang w:val="en-US"/>
              </w:rPr>
              <w:t>19-20</w:t>
            </w:r>
          </w:p>
        </w:tc>
        <w:tc>
          <w:tcPr>
            <w:cnfStyle w:val="000010000000" w:firstRow="0" w:lastRow="0" w:firstColumn="0" w:lastColumn="0" w:oddVBand="1" w:evenVBand="0" w:oddHBand="0" w:evenHBand="0" w:firstRowFirstColumn="0" w:firstRowLastColumn="0" w:lastRowFirstColumn="0" w:lastRowLastColumn="0"/>
            <w:tcW w:w="1440" w:type="dxa"/>
            <w:noWrap/>
            <w:hideMark/>
          </w:tcPr>
          <w:p w:rsidR="00EF1FEC" w:rsidRPr="00A22561" w:rsidRDefault="00EF1FEC" w:rsidP="009F1E44">
            <w:pPr>
              <w:spacing w:after="0"/>
              <w:jc w:val="center"/>
              <w:rPr>
                <w:rFonts w:ascii="Calibri" w:eastAsia="Times New Roman" w:hAnsi="Calibri" w:cs="Calibri"/>
                <w:color w:val="000000"/>
                <w:sz w:val="22"/>
                <w:lang w:val="en-US"/>
              </w:rPr>
            </w:pPr>
            <w:r w:rsidRPr="00A22561">
              <w:rPr>
                <w:rFonts w:ascii="Calibri" w:eastAsia="Times New Roman" w:hAnsi="Calibri" w:cs="Calibri"/>
                <w:color w:val="000000"/>
                <w:sz w:val="22"/>
                <w:lang w:val="en-US"/>
              </w:rPr>
              <w:t>19.6</w:t>
            </w:r>
          </w:p>
        </w:tc>
        <w:tc>
          <w:tcPr>
            <w:tcW w:w="1280" w:type="dxa"/>
            <w:noWrap/>
            <w:hideMark/>
          </w:tcPr>
          <w:p w:rsidR="00EF1FEC" w:rsidRPr="00A22561" w:rsidRDefault="00EF1FEC" w:rsidP="009F1E4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A22561">
              <w:rPr>
                <w:rFonts w:ascii="Calibri" w:eastAsia="Times New Roman" w:hAnsi="Calibri" w:cs="Calibri"/>
                <w:color w:val="000000"/>
                <w:sz w:val="22"/>
                <w:lang w:val="en-US"/>
              </w:rPr>
              <w:t>27.2</w:t>
            </w:r>
          </w:p>
        </w:tc>
        <w:tc>
          <w:tcPr>
            <w:cnfStyle w:val="000010000000" w:firstRow="0" w:lastRow="0" w:firstColumn="0" w:lastColumn="0" w:oddVBand="1" w:evenVBand="0" w:oddHBand="0" w:evenHBand="0" w:firstRowFirstColumn="0" w:firstRowLastColumn="0" w:lastRowFirstColumn="0" w:lastRowLastColumn="0"/>
            <w:tcW w:w="1240" w:type="dxa"/>
            <w:noWrap/>
            <w:hideMark/>
          </w:tcPr>
          <w:p w:rsidR="00EF1FEC" w:rsidRPr="00A22561" w:rsidRDefault="00EF1FEC" w:rsidP="009F1E44">
            <w:pPr>
              <w:spacing w:after="0"/>
              <w:jc w:val="center"/>
              <w:rPr>
                <w:rFonts w:ascii="Calibri" w:eastAsia="Times New Roman" w:hAnsi="Calibri" w:cs="Calibri"/>
                <w:color w:val="000000"/>
                <w:sz w:val="22"/>
                <w:lang w:val="en-US"/>
              </w:rPr>
            </w:pPr>
            <w:r w:rsidRPr="00A22561">
              <w:rPr>
                <w:rFonts w:ascii="Calibri" w:eastAsia="Times New Roman" w:hAnsi="Calibri" w:cs="Calibri"/>
                <w:color w:val="000000"/>
                <w:sz w:val="22"/>
                <w:lang w:val="en-US"/>
              </w:rPr>
              <w:t>34.3</w:t>
            </w:r>
          </w:p>
        </w:tc>
      </w:tr>
      <w:tr w:rsidR="00EF1FEC" w:rsidRPr="00A22561" w:rsidTr="00EF1F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noWrap/>
            <w:hideMark/>
          </w:tcPr>
          <w:p w:rsidR="00EF1FEC" w:rsidRPr="00A22561" w:rsidRDefault="00EF1FEC" w:rsidP="009F1E44">
            <w:pPr>
              <w:spacing w:after="0"/>
              <w:jc w:val="left"/>
              <w:rPr>
                <w:rFonts w:ascii="Calibri" w:eastAsia="Times New Roman" w:hAnsi="Calibri" w:cs="Calibri"/>
                <w:color w:val="000000"/>
                <w:sz w:val="22"/>
                <w:lang w:val="en-US"/>
              </w:rPr>
            </w:pPr>
            <w:r w:rsidRPr="00A22561">
              <w:rPr>
                <w:rFonts w:ascii="Calibri" w:eastAsia="Times New Roman" w:hAnsi="Calibri" w:cs="Calibri"/>
                <w:color w:val="000000"/>
                <w:sz w:val="22"/>
                <w:lang w:val="en-US"/>
              </w:rPr>
              <w:t>20-21</w:t>
            </w:r>
          </w:p>
        </w:tc>
        <w:tc>
          <w:tcPr>
            <w:cnfStyle w:val="000010000000" w:firstRow="0" w:lastRow="0" w:firstColumn="0" w:lastColumn="0" w:oddVBand="1" w:evenVBand="0" w:oddHBand="0" w:evenHBand="0" w:firstRowFirstColumn="0" w:firstRowLastColumn="0" w:lastRowFirstColumn="0" w:lastRowLastColumn="0"/>
            <w:tcW w:w="1440" w:type="dxa"/>
            <w:noWrap/>
            <w:hideMark/>
          </w:tcPr>
          <w:p w:rsidR="00EF1FEC" w:rsidRPr="00A22561" w:rsidRDefault="00EF1FEC" w:rsidP="009F1E44">
            <w:pPr>
              <w:spacing w:after="0"/>
              <w:jc w:val="center"/>
              <w:rPr>
                <w:rFonts w:ascii="Calibri" w:eastAsia="Times New Roman" w:hAnsi="Calibri" w:cs="Calibri"/>
                <w:color w:val="000000"/>
                <w:sz w:val="22"/>
                <w:lang w:val="en-US"/>
              </w:rPr>
            </w:pPr>
            <w:r w:rsidRPr="00A22561">
              <w:rPr>
                <w:rFonts w:ascii="Calibri" w:eastAsia="Times New Roman" w:hAnsi="Calibri" w:cs="Calibri"/>
                <w:color w:val="000000"/>
                <w:sz w:val="22"/>
                <w:lang w:val="en-US"/>
              </w:rPr>
              <w:t>20.3</w:t>
            </w:r>
          </w:p>
        </w:tc>
        <w:tc>
          <w:tcPr>
            <w:tcW w:w="1280" w:type="dxa"/>
            <w:noWrap/>
            <w:hideMark/>
          </w:tcPr>
          <w:p w:rsidR="00EF1FEC" w:rsidRPr="00A22561" w:rsidRDefault="00EF1FEC" w:rsidP="009F1E44">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A22561">
              <w:rPr>
                <w:rFonts w:ascii="Calibri" w:eastAsia="Times New Roman" w:hAnsi="Calibri" w:cs="Calibri"/>
                <w:color w:val="000000"/>
                <w:sz w:val="22"/>
                <w:lang w:val="en-US"/>
              </w:rPr>
              <w:t>28.2</w:t>
            </w:r>
          </w:p>
        </w:tc>
        <w:tc>
          <w:tcPr>
            <w:cnfStyle w:val="000010000000" w:firstRow="0" w:lastRow="0" w:firstColumn="0" w:lastColumn="0" w:oddVBand="1" w:evenVBand="0" w:oddHBand="0" w:evenHBand="0" w:firstRowFirstColumn="0" w:firstRowLastColumn="0" w:lastRowFirstColumn="0" w:lastRowLastColumn="0"/>
            <w:tcW w:w="1240" w:type="dxa"/>
            <w:noWrap/>
            <w:hideMark/>
          </w:tcPr>
          <w:p w:rsidR="00EF1FEC" w:rsidRPr="00A22561" w:rsidRDefault="00EF1FEC" w:rsidP="009F1E44">
            <w:pPr>
              <w:spacing w:after="0"/>
              <w:jc w:val="center"/>
              <w:rPr>
                <w:rFonts w:ascii="Calibri" w:eastAsia="Times New Roman" w:hAnsi="Calibri" w:cs="Calibri"/>
                <w:color w:val="000000"/>
                <w:sz w:val="22"/>
                <w:lang w:val="en-US"/>
              </w:rPr>
            </w:pPr>
            <w:r w:rsidRPr="00A22561">
              <w:rPr>
                <w:rFonts w:ascii="Calibri" w:eastAsia="Times New Roman" w:hAnsi="Calibri" w:cs="Calibri"/>
                <w:color w:val="000000"/>
                <w:sz w:val="22"/>
                <w:lang w:val="en-US"/>
              </w:rPr>
              <w:t>35.5</w:t>
            </w:r>
          </w:p>
        </w:tc>
      </w:tr>
      <w:tr w:rsidR="00EF1FEC" w:rsidRPr="00A22561" w:rsidTr="00EF1FEC">
        <w:trPr>
          <w:trHeight w:val="300"/>
        </w:trPr>
        <w:tc>
          <w:tcPr>
            <w:cnfStyle w:val="001000000000" w:firstRow="0" w:lastRow="0" w:firstColumn="1" w:lastColumn="0" w:oddVBand="0" w:evenVBand="0" w:oddHBand="0" w:evenHBand="0" w:firstRowFirstColumn="0" w:firstRowLastColumn="0" w:lastRowFirstColumn="0" w:lastRowLastColumn="0"/>
            <w:tcW w:w="1000" w:type="dxa"/>
            <w:noWrap/>
            <w:hideMark/>
          </w:tcPr>
          <w:p w:rsidR="00EF1FEC" w:rsidRPr="00A22561" w:rsidRDefault="00EF1FEC" w:rsidP="009F1E44">
            <w:pPr>
              <w:spacing w:after="0"/>
              <w:jc w:val="left"/>
              <w:rPr>
                <w:rFonts w:ascii="Calibri" w:eastAsia="Times New Roman" w:hAnsi="Calibri" w:cs="Calibri"/>
                <w:color w:val="000000"/>
                <w:sz w:val="22"/>
                <w:lang w:val="en-US"/>
              </w:rPr>
            </w:pPr>
            <w:r w:rsidRPr="00A22561">
              <w:rPr>
                <w:rFonts w:ascii="Calibri" w:eastAsia="Times New Roman" w:hAnsi="Calibri" w:cs="Calibri"/>
                <w:color w:val="000000"/>
                <w:sz w:val="22"/>
                <w:lang w:val="en-US"/>
              </w:rPr>
              <w:t>21-22</w:t>
            </w:r>
          </w:p>
        </w:tc>
        <w:tc>
          <w:tcPr>
            <w:cnfStyle w:val="000010000000" w:firstRow="0" w:lastRow="0" w:firstColumn="0" w:lastColumn="0" w:oddVBand="1" w:evenVBand="0" w:oddHBand="0" w:evenHBand="0" w:firstRowFirstColumn="0" w:firstRowLastColumn="0" w:lastRowFirstColumn="0" w:lastRowLastColumn="0"/>
            <w:tcW w:w="1440" w:type="dxa"/>
            <w:noWrap/>
            <w:hideMark/>
          </w:tcPr>
          <w:p w:rsidR="00EF1FEC" w:rsidRPr="00A22561" w:rsidRDefault="00EF1FEC" w:rsidP="009F1E44">
            <w:pPr>
              <w:spacing w:after="0"/>
              <w:jc w:val="center"/>
              <w:rPr>
                <w:rFonts w:ascii="Calibri" w:eastAsia="Times New Roman" w:hAnsi="Calibri" w:cs="Calibri"/>
                <w:color w:val="000000"/>
                <w:sz w:val="22"/>
                <w:lang w:val="en-US"/>
              </w:rPr>
            </w:pPr>
            <w:r w:rsidRPr="00A22561">
              <w:rPr>
                <w:rFonts w:ascii="Calibri" w:eastAsia="Times New Roman" w:hAnsi="Calibri" w:cs="Calibri"/>
                <w:color w:val="000000"/>
                <w:sz w:val="22"/>
                <w:lang w:val="en-US"/>
              </w:rPr>
              <w:t>21.0</w:t>
            </w:r>
          </w:p>
        </w:tc>
        <w:tc>
          <w:tcPr>
            <w:tcW w:w="1280" w:type="dxa"/>
            <w:noWrap/>
            <w:hideMark/>
          </w:tcPr>
          <w:p w:rsidR="00EF1FEC" w:rsidRPr="00A22561" w:rsidRDefault="00EF1FEC" w:rsidP="009F1E4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A22561">
              <w:rPr>
                <w:rFonts w:ascii="Calibri" w:eastAsia="Times New Roman" w:hAnsi="Calibri" w:cs="Calibri"/>
                <w:color w:val="000000"/>
                <w:sz w:val="22"/>
                <w:lang w:val="en-US"/>
              </w:rPr>
              <w:t>29.2</w:t>
            </w:r>
          </w:p>
        </w:tc>
        <w:tc>
          <w:tcPr>
            <w:cnfStyle w:val="000010000000" w:firstRow="0" w:lastRow="0" w:firstColumn="0" w:lastColumn="0" w:oddVBand="1" w:evenVBand="0" w:oddHBand="0" w:evenHBand="0" w:firstRowFirstColumn="0" w:firstRowLastColumn="0" w:lastRowFirstColumn="0" w:lastRowLastColumn="0"/>
            <w:tcW w:w="1240" w:type="dxa"/>
            <w:noWrap/>
            <w:hideMark/>
          </w:tcPr>
          <w:p w:rsidR="00EF1FEC" w:rsidRPr="00A22561" w:rsidRDefault="00EF1FEC" w:rsidP="009F1E44">
            <w:pPr>
              <w:spacing w:after="0"/>
              <w:jc w:val="center"/>
              <w:rPr>
                <w:rFonts w:ascii="Calibri" w:eastAsia="Times New Roman" w:hAnsi="Calibri" w:cs="Calibri"/>
                <w:color w:val="000000"/>
                <w:sz w:val="22"/>
                <w:lang w:val="en-US"/>
              </w:rPr>
            </w:pPr>
            <w:r w:rsidRPr="00A22561">
              <w:rPr>
                <w:rFonts w:ascii="Calibri" w:eastAsia="Times New Roman" w:hAnsi="Calibri" w:cs="Calibri"/>
                <w:color w:val="000000"/>
                <w:sz w:val="22"/>
                <w:lang w:val="en-US"/>
              </w:rPr>
              <w:t>36.7</w:t>
            </w:r>
          </w:p>
        </w:tc>
      </w:tr>
      <w:tr w:rsidR="00EF1FEC" w:rsidRPr="00A22561" w:rsidTr="006605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rsidR="00EF1FEC" w:rsidRPr="009F1E44" w:rsidRDefault="00EF1FEC" w:rsidP="009F1E44">
            <w:pPr>
              <w:spacing w:after="0"/>
              <w:jc w:val="left"/>
              <w:rPr>
                <w:rFonts w:ascii="Calibri" w:eastAsia="Times New Roman" w:hAnsi="Calibri" w:cs="Calibri"/>
                <w:bCs w:val="0"/>
                <w:color w:val="000000"/>
                <w:sz w:val="22"/>
                <w:lang w:val="en-US"/>
              </w:rPr>
            </w:pPr>
            <w:r w:rsidRPr="009F1E44">
              <w:rPr>
                <w:rFonts w:ascii="Calibri" w:eastAsia="Times New Roman" w:hAnsi="Calibri" w:cs="Calibri"/>
                <w:bCs w:val="0"/>
                <w:color w:val="000000"/>
                <w:sz w:val="22"/>
                <w:lang w:val="en-US"/>
              </w:rPr>
              <w:t>Total</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noWrap/>
            <w:hideMark/>
          </w:tcPr>
          <w:p w:rsidR="00EF1FEC" w:rsidRPr="00A22561" w:rsidRDefault="00EF1FEC" w:rsidP="009F1E44">
            <w:pPr>
              <w:spacing w:after="0"/>
              <w:jc w:val="center"/>
              <w:rPr>
                <w:rFonts w:ascii="Calibri" w:eastAsia="Times New Roman" w:hAnsi="Calibri" w:cs="Calibri"/>
                <w:b/>
                <w:bCs/>
                <w:color w:val="000000"/>
                <w:sz w:val="22"/>
                <w:lang w:val="en-US"/>
              </w:rPr>
            </w:pPr>
            <w:r w:rsidRPr="00A22561">
              <w:rPr>
                <w:rFonts w:ascii="Calibri" w:eastAsia="Times New Roman" w:hAnsi="Calibri" w:cs="Calibri"/>
                <w:b/>
                <w:bCs/>
                <w:color w:val="000000"/>
                <w:sz w:val="22"/>
                <w:lang w:val="en-US"/>
              </w:rPr>
              <w:t>79.8</w:t>
            </w:r>
          </w:p>
        </w:tc>
        <w:tc>
          <w:tcPr>
            <w:tcW w:w="1280" w:type="dxa"/>
            <w:shd w:val="clear" w:color="auto" w:fill="auto"/>
            <w:noWrap/>
            <w:hideMark/>
          </w:tcPr>
          <w:p w:rsidR="00EF1FEC" w:rsidRPr="00A22561" w:rsidRDefault="00EF1FEC" w:rsidP="009F1E44">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lang w:val="en-US"/>
              </w:rPr>
            </w:pPr>
            <w:r w:rsidRPr="00A22561">
              <w:rPr>
                <w:rFonts w:ascii="Calibri" w:eastAsia="Times New Roman" w:hAnsi="Calibri" w:cs="Calibri"/>
                <w:b/>
                <w:bCs/>
                <w:color w:val="000000"/>
                <w:sz w:val="22"/>
                <w:lang w:val="en-US"/>
              </w:rPr>
              <w:t>110.8</w:t>
            </w:r>
          </w:p>
        </w:tc>
        <w:tc>
          <w:tcPr>
            <w:cnfStyle w:val="000010000000" w:firstRow="0" w:lastRow="0" w:firstColumn="0" w:lastColumn="0" w:oddVBand="1" w:evenVBand="0" w:oddHBand="0" w:evenHBand="0" w:firstRowFirstColumn="0" w:firstRowLastColumn="0" w:lastRowFirstColumn="0" w:lastRowLastColumn="0"/>
            <w:tcW w:w="1240" w:type="dxa"/>
            <w:shd w:val="clear" w:color="auto" w:fill="auto"/>
            <w:noWrap/>
            <w:hideMark/>
          </w:tcPr>
          <w:p w:rsidR="00EF1FEC" w:rsidRPr="00A22561" w:rsidRDefault="00EF1FEC" w:rsidP="009F1E44">
            <w:pPr>
              <w:spacing w:after="0"/>
              <w:jc w:val="center"/>
              <w:rPr>
                <w:rFonts w:ascii="Calibri" w:eastAsia="Times New Roman" w:hAnsi="Calibri" w:cs="Calibri"/>
                <w:b/>
                <w:bCs/>
                <w:color w:val="000000"/>
                <w:sz w:val="22"/>
                <w:lang w:val="en-US"/>
              </w:rPr>
            </w:pPr>
            <w:r w:rsidRPr="00A22561">
              <w:rPr>
                <w:rFonts w:ascii="Calibri" w:eastAsia="Times New Roman" w:hAnsi="Calibri" w:cs="Calibri"/>
                <w:b/>
                <w:bCs/>
                <w:color w:val="000000"/>
                <w:sz w:val="22"/>
                <w:lang w:val="en-US"/>
              </w:rPr>
              <w:t>139.6</w:t>
            </w:r>
          </w:p>
        </w:tc>
      </w:tr>
    </w:tbl>
    <w:p w:rsidR="00571656" w:rsidRPr="0046774A" w:rsidRDefault="00F26079" w:rsidP="00571656">
      <w:pPr>
        <w:spacing w:after="0" w:line="240" w:lineRule="auto"/>
        <w:rPr>
          <w:rFonts w:ascii="Calibri" w:eastAsia="Times New Roman" w:hAnsi="Calibri" w:cs="Calibri"/>
          <w:bCs/>
          <w:color w:val="000000"/>
          <w:sz w:val="18"/>
          <w:szCs w:val="18"/>
          <w:lang w:val="en-US"/>
        </w:rPr>
      </w:pPr>
      <w:r w:rsidRPr="00F26079">
        <w:rPr>
          <w:rFonts w:ascii="Calibri" w:eastAsia="Times New Roman" w:hAnsi="Calibri" w:cs="Calibri"/>
          <w:bCs/>
          <w:color w:val="000000"/>
          <w:sz w:val="18"/>
          <w:szCs w:val="18"/>
          <w:vertAlign w:val="superscript"/>
          <w:lang w:val="en-US"/>
        </w:rPr>
        <w:t>1</w:t>
      </w:r>
      <w:r w:rsidR="00571656" w:rsidRPr="0046774A">
        <w:rPr>
          <w:rFonts w:ascii="Calibri" w:eastAsia="Times New Roman" w:hAnsi="Calibri" w:cs="Calibri"/>
          <w:bCs/>
          <w:color w:val="000000"/>
          <w:sz w:val="18"/>
          <w:szCs w:val="18"/>
          <w:lang w:val="en-US"/>
        </w:rPr>
        <w:t>Option 2 costs include costs f</w:t>
      </w:r>
      <w:r w:rsidR="00571656">
        <w:rPr>
          <w:rFonts w:ascii="Calibri" w:eastAsia="Times New Roman" w:hAnsi="Calibri" w:cs="Calibri"/>
          <w:bCs/>
          <w:color w:val="000000"/>
          <w:sz w:val="18"/>
          <w:szCs w:val="18"/>
          <w:lang w:val="en-US"/>
        </w:rPr>
        <w:t>or 100</w:t>
      </w:r>
      <w:r w:rsidR="0065091B">
        <w:rPr>
          <w:rFonts w:ascii="Calibri" w:eastAsia="Times New Roman" w:hAnsi="Calibri" w:cs="Calibri"/>
          <w:bCs/>
          <w:color w:val="000000"/>
          <w:sz w:val="18"/>
          <w:szCs w:val="18"/>
          <w:lang w:val="en-US"/>
        </w:rPr>
        <w:t xml:space="preserve"> per cent</w:t>
      </w:r>
      <w:r w:rsidR="00571656">
        <w:rPr>
          <w:rFonts w:ascii="Calibri" w:eastAsia="Times New Roman" w:hAnsi="Calibri" w:cs="Calibri"/>
          <w:bCs/>
          <w:color w:val="000000"/>
          <w:sz w:val="18"/>
          <w:szCs w:val="18"/>
          <w:lang w:val="en-US"/>
        </w:rPr>
        <w:t xml:space="preserve"> of new resident reviews, </w:t>
      </w:r>
      <w:r w:rsidR="00571656" w:rsidRPr="0046774A">
        <w:rPr>
          <w:rFonts w:ascii="Calibri" w:eastAsia="Times New Roman" w:hAnsi="Calibri" w:cs="Calibri"/>
          <w:bCs/>
          <w:color w:val="000000"/>
          <w:sz w:val="18"/>
          <w:szCs w:val="18"/>
          <w:lang w:val="en-US"/>
        </w:rPr>
        <w:t>25</w:t>
      </w:r>
      <w:r w:rsidR="0065091B">
        <w:rPr>
          <w:rFonts w:ascii="Calibri" w:eastAsia="Times New Roman" w:hAnsi="Calibri" w:cs="Calibri"/>
          <w:bCs/>
          <w:color w:val="000000"/>
          <w:sz w:val="18"/>
          <w:szCs w:val="18"/>
          <w:lang w:val="en-US"/>
        </w:rPr>
        <w:t xml:space="preserve"> per cent</w:t>
      </w:r>
      <w:r w:rsidR="00571656" w:rsidRPr="0046774A">
        <w:rPr>
          <w:rFonts w:ascii="Calibri" w:eastAsia="Times New Roman" w:hAnsi="Calibri" w:cs="Calibri"/>
          <w:bCs/>
          <w:color w:val="000000"/>
          <w:sz w:val="18"/>
          <w:szCs w:val="18"/>
          <w:lang w:val="en-US"/>
        </w:rPr>
        <w:t xml:space="preserve"> of re</w:t>
      </w:r>
      <w:r w:rsidR="00571656">
        <w:rPr>
          <w:rFonts w:ascii="Calibri" w:eastAsia="Times New Roman" w:hAnsi="Calibri" w:cs="Calibri"/>
          <w:bCs/>
          <w:color w:val="000000"/>
          <w:sz w:val="18"/>
          <w:szCs w:val="18"/>
          <w:lang w:val="en-US"/>
        </w:rPr>
        <w:t>appraisal reviews &amp; pre-entry update reviews</w:t>
      </w:r>
    </w:p>
    <w:p w:rsidR="00571656" w:rsidRPr="0046774A" w:rsidRDefault="00F26079" w:rsidP="00571656">
      <w:pPr>
        <w:spacing w:after="0" w:line="240" w:lineRule="auto"/>
        <w:rPr>
          <w:sz w:val="18"/>
          <w:szCs w:val="18"/>
        </w:rPr>
      </w:pPr>
      <w:r w:rsidRPr="00F26079">
        <w:rPr>
          <w:rFonts w:ascii="Calibri" w:eastAsia="Times New Roman" w:hAnsi="Calibri" w:cs="Calibri"/>
          <w:bCs/>
          <w:color w:val="000000"/>
          <w:sz w:val="18"/>
          <w:szCs w:val="18"/>
          <w:vertAlign w:val="superscript"/>
          <w:lang w:val="en-US"/>
        </w:rPr>
        <w:t>2</w:t>
      </w:r>
      <w:r w:rsidR="00571656" w:rsidRPr="0046774A">
        <w:rPr>
          <w:rFonts w:ascii="Calibri" w:eastAsia="Times New Roman" w:hAnsi="Calibri" w:cs="Calibri"/>
          <w:bCs/>
          <w:color w:val="000000"/>
          <w:sz w:val="18"/>
          <w:szCs w:val="18"/>
          <w:lang w:val="en-US"/>
        </w:rPr>
        <w:t>Option 3 costs include</w:t>
      </w:r>
      <w:r w:rsidR="00571656">
        <w:rPr>
          <w:rFonts w:ascii="Calibri" w:eastAsia="Times New Roman" w:hAnsi="Calibri" w:cs="Calibri"/>
          <w:bCs/>
          <w:color w:val="000000"/>
          <w:sz w:val="18"/>
          <w:szCs w:val="18"/>
          <w:lang w:val="en-US"/>
        </w:rPr>
        <w:t xml:space="preserve"> </w:t>
      </w:r>
      <w:r w:rsidR="00571656" w:rsidRPr="0046774A">
        <w:rPr>
          <w:rFonts w:ascii="Calibri" w:eastAsia="Times New Roman" w:hAnsi="Calibri" w:cs="Calibri"/>
          <w:bCs/>
          <w:color w:val="000000"/>
          <w:sz w:val="18"/>
          <w:szCs w:val="18"/>
          <w:lang w:val="en-US"/>
        </w:rPr>
        <w:t>costs for 100</w:t>
      </w:r>
      <w:r w:rsidR="0065091B">
        <w:rPr>
          <w:rFonts w:ascii="Calibri" w:eastAsia="Times New Roman" w:hAnsi="Calibri" w:cs="Calibri"/>
          <w:bCs/>
          <w:color w:val="000000"/>
          <w:sz w:val="18"/>
          <w:szCs w:val="18"/>
          <w:lang w:val="en-US"/>
        </w:rPr>
        <w:t xml:space="preserve"> per cent</w:t>
      </w:r>
      <w:r w:rsidR="00571656" w:rsidRPr="0046774A">
        <w:rPr>
          <w:rFonts w:ascii="Calibri" w:eastAsia="Times New Roman" w:hAnsi="Calibri" w:cs="Calibri"/>
          <w:bCs/>
          <w:color w:val="000000"/>
          <w:sz w:val="18"/>
          <w:szCs w:val="18"/>
          <w:lang w:val="en-US"/>
        </w:rPr>
        <w:t xml:space="preserve"> of new resident reviews (108.6M) and 25</w:t>
      </w:r>
      <w:r w:rsidR="0065091B">
        <w:rPr>
          <w:rFonts w:ascii="Calibri" w:eastAsia="Times New Roman" w:hAnsi="Calibri" w:cs="Calibri"/>
          <w:bCs/>
          <w:color w:val="000000"/>
          <w:sz w:val="18"/>
          <w:szCs w:val="18"/>
          <w:lang w:val="en-US"/>
        </w:rPr>
        <w:t xml:space="preserve"> per cent</w:t>
      </w:r>
      <w:r w:rsidR="00571656" w:rsidRPr="0046774A">
        <w:rPr>
          <w:rFonts w:ascii="Calibri" w:eastAsia="Times New Roman" w:hAnsi="Calibri" w:cs="Calibri"/>
          <w:bCs/>
          <w:color w:val="000000"/>
          <w:sz w:val="18"/>
          <w:szCs w:val="18"/>
          <w:lang w:val="en-US"/>
        </w:rPr>
        <w:t xml:space="preserve"> of </w:t>
      </w:r>
      <w:r w:rsidR="00571656">
        <w:rPr>
          <w:rFonts w:ascii="Calibri" w:eastAsia="Times New Roman" w:hAnsi="Calibri" w:cs="Calibri"/>
          <w:bCs/>
          <w:color w:val="000000"/>
          <w:sz w:val="18"/>
          <w:szCs w:val="18"/>
          <w:lang w:val="en-US"/>
        </w:rPr>
        <w:t>reappraisal reviews</w:t>
      </w:r>
      <w:r w:rsidR="00571656" w:rsidRPr="0046774A">
        <w:rPr>
          <w:rFonts w:ascii="Calibri" w:eastAsia="Times New Roman" w:hAnsi="Calibri" w:cs="Calibri"/>
          <w:bCs/>
          <w:color w:val="000000"/>
          <w:sz w:val="18"/>
          <w:szCs w:val="18"/>
          <w:lang w:val="en-US"/>
        </w:rPr>
        <w:t xml:space="preserve"> (31M)</w:t>
      </w:r>
    </w:p>
    <w:p w:rsidR="00571656" w:rsidRPr="002C331F" w:rsidRDefault="00571656" w:rsidP="00CD2081">
      <w:pPr>
        <w:pStyle w:val="Heading4-Chapter1145"/>
      </w:pPr>
      <w:r w:rsidRPr="002C331F">
        <w:lastRenderedPageBreak/>
        <w:t>Total Outlays and Reductions in Care Subsidy Growth</w:t>
      </w:r>
    </w:p>
    <w:p w:rsidR="00571656" w:rsidRDefault="00571656" w:rsidP="009F75D9">
      <w:pPr>
        <w:rPr>
          <w:lang w:val="en-US"/>
        </w:rPr>
      </w:pPr>
      <w:r>
        <w:rPr>
          <w:lang w:val="en-US"/>
        </w:rPr>
        <w:t>Estimated t</w:t>
      </w:r>
      <w:r w:rsidRPr="005B39FD">
        <w:rPr>
          <w:lang w:val="en-US"/>
        </w:rPr>
        <w:t xml:space="preserve">otal outlays are described in </w:t>
      </w:r>
      <w:hyperlink w:anchor="Tab1121" w:history="1">
        <w:r w:rsidRPr="00F27718">
          <w:rPr>
            <w:rStyle w:val="Hyperlink"/>
            <w:lang w:val="en-US"/>
          </w:rPr>
          <w:t>Table 11.21</w:t>
        </w:r>
      </w:hyperlink>
      <w:r>
        <w:rPr>
          <w:lang w:val="en-US"/>
        </w:rPr>
        <w:t xml:space="preserve"> and </w:t>
      </w:r>
      <w:hyperlink w:anchor="Fig1102" w:history="1">
        <w:r w:rsidRPr="00E00E18">
          <w:rPr>
            <w:rStyle w:val="Hyperlink"/>
            <w:lang w:val="en-US"/>
          </w:rPr>
          <w:t>Figure 11.2</w:t>
        </w:r>
      </w:hyperlink>
      <w:r>
        <w:rPr>
          <w:lang w:val="en-US"/>
        </w:rPr>
        <w:t xml:space="preserve"> by year which includes the care subsidies (Tables 11.17; 11.18) and costs (Tables 11.19; 11.20) of the various assessor model options. Reductions in care subsidy growth including the costs of the current system and options is shown in </w:t>
      </w:r>
      <w:hyperlink w:anchor="Tab1122" w:history="1">
        <w:r w:rsidRPr="00883284">
          <w:rPr>
            <w:rStyle w:val="Hyperlink"/>
            <w:lang w:val="en-US"/>
          </w:rPr>
          <w:t>Table 11.22</w:t>
        </w:r>
      </w:hyperlink>
      <w:r>
        <w:rPr>
          <w:lang w:val="en-US"/>
        </w:rPr>
        <w:t xml:space="preserve"> and </w:t>
      </w:r>
      <w:hyperlink w:anchor="Fig1103" w:history="1">
        <w:r w:rsidRPr="00904246">
          <w:rPr>
            <w:rStyle w:val="Hyperlink"/>
            <w:lang w:val="en-US"/>
          </w:rPr>
          <w:t>Figure 11.3</w:t>
        </w:r>
      </w:hyperlink>
      <w:r>
        <w:rPr>
          <w:lang w:val="en-US"/>
        </w:rPr>
        <w:t>.</w:t>
      </w:r>
      <w:r w:rsidR="007A576E">
        <w:rPr>
          <w:lang w:val="en-US"/>
        </w:rPr>
        <w:t xml:space="preserve"> </w:t>
      </w:r>
      <w:bookmarkStart w:id="845" w:name="_Hlk489699214"/>
      <w:r w:rsidR="00904246">
        <w:rPr>
          <w:lang w:val="en-US"/>
        </w:rPr>
        <w:fldChar w:fldCharType="begin"/>
      </w:r>
      <w:r w:rsidR="00904246">
        <w:rPr>
          <w:lang w:val="en-US"/>
        </w:rPr>
        <w:instrText xml:space="preserve"> HYPERLINK  \l "Fig1104" </w:instrText>
      </w:r>
      <w:r w:rsidR="00904246">
        <w:rPr>
          <w:lang w:val="en-US"/>
        </w:rPr>
        <w:fldChar w:fldCharType="separate"/>
      </w:r>
      <w:r w:rsidR="002D47E8" w:rsidRPr="00904246">
        <w:rPr>
          <w:rStyle w:val="Hyperlink"/>
          <w:lang w:val="en-US"/>
        </w:rPr>
        <w:t>Figure 11.4</w:t>
      </w:r>
      <w:r w:rsidR="00904246">
        <w:rPr>
          <w:lang w:val="en-US"/>
        </w:rPr>
        <w:fldChar w:fldCharType="end"/>
      </w:r>
      <w:r w:rsidR="002D47E8">
        <w:rPr>
          <w:lang w:val="en-US"/>
        </w:rPr>
        <w:t xml:space="preserve"> shows the impact of the External Assessor options on the average care subsidies as a percentage of the maximum payment, over time.</w:t>
      </w:r>
    </w:p>
    <w:bookmarkEnd w:id="845"/>
    <w:p w:rsidR="00980F62" w:rsidRDefault="00571656" w:rsidP="005A5F55">
      <w:pPr>
        <w:rPr>
          <w:lang w:val="en-US"/>
        </w:rPr>
      </w:pPr>
      <w:r w:rsidRPr="00EE1901">
        <w:rPr>
          <w:lang w:val="en-US"/>
        </w:rPr>
        <w:t>All options show a significant reduction in growth after costs compared to the current system.</w:t>
      </w:r>
      <w:r w:rsidR="007A576E">
        <w:rPr>
          <w:lang w:val="en-US"/>
        </w:rPr>
        <w:t xml:space="preserve"> </w:t>
      </w:r>
      <w:r w:rsidRPr="00EE1901">
        <w:rPr>
          <w:lang w:val="en-US"/>
        </w:rPr>
        <w:t>The differences are significant from year 1 (2018-19) and the cumulative impact over the projected period is significant</w:t>
      </w:r>
      <w:r>
        <w:rPr>
          <w:lang w:val="en-US"/>
        </w:rPr>
        <w:t xml:space="preserve"> for all options</w:t>
      </w:r>
      <w:r w:rsidRPr="00EE1901">
        <w:rPr>
          <w:lang w:val="en-US"/>
        </w:rPr>
        <w:t>.</w:t>
      </w:r>
      <w:r w:rsidR="007A576E">
        <w:rPr>
          <w:lang w:val="en-US"/>
        </w:rPr>
        <w:t xml:space="preserve"> </w:t>
      </w:r>
      <w:r w:rsidRPr="00EE1901">
        <w:rPr>
          <w:lang w:val="en-US"/>
        </w:rPr>
        <w:t>While the specific amounts estimated in this exercise are indicative</w:t>
      </w:r>
      <w:r>
        <w:rPr>
          <w:lang w:val="en-US"/>
        </w:rPr>
        <w:t xml:space="preserve"> and open to debate regarding the specific amounts</w:t>
      </w:r>
      <w:r w:rsidRPr="00EE1901">
        <w:rPr>
          <w:lang w:val="en-US"/>
        </w:rPr>
        <w:t xml:space="preserve">, </w:t>
      </w:r>
      <w:r>
        <w:rPr>
          <w:lang w:val="en-US"/>
        </w:rPr>
        <w:t xml:space="preserve">the </w:t>
      </w:r>
      <w:r w:rsidRPr="00EE1901">
        <w:rPr>
          <w:lang w:val="en-US"/>
        </w:rPr>
        <w:t xml:space="preserve">reductions in </w:t>
      </w:r>
      <w:r>
        <w:rPr>
          <w:lang w:val="en-US"/>
        </w:rPr>
        <w:t xml:space="preserve">the care subsidy </w:t>
      </w:r>
      <w:r w:rsidRPr="00EE1901">
        <w:rPr>
          <w:lang w:val="en-US"/>
        </w:rPr>
        <w:t xml:space="preserve">growth </w:t>
      </w:r>
      <w:r>
        <w:rPr>
          <w:lang w:val="en-US"/>
        </w:rPr>
        <w:t>will be significant, particularly for the External Assessor Options 2 and 3.</w:t>
      </w:r>
      <w:r w:rsidR="007A576E">
        <w:rPr>
          <w:lang w:val="en-US"/>
        </w:rPr>
        <w:t xml:space="preserve"> </w:t>
      </w:r>
      <w:r>
        <w:rPr>
          <w:lang w:val="en-US"/>
        </w:rPr>
        <w:t xml:space="preserve">The estimated reduction in growth over the 4-year period from July 2018 to June 2022 </w:t>
      </w:r>
      <w:r w:rsidRPr="00EE1901">
        <w:rPr>
          <w:lang w:val="en-US"/>
        </w:rPr>
        <w:t xml:space="preserve">compared to the current system </w:t>
      </w:r>
      <w:r>
        <w:rPr>
          <w:lang w:val="en-US"/>
        </w:rPr>
        <w:t>is</w:t>
      </w:r>
      <w:r w:rsidRPr="00EE1901">
        <w:rPr>
          <w:lang w:val="en-US"/>
        </w:rPr>
        <w:t xml:space="preserve"> $3,</w:t>
      </w:r>
      <w:r w:rsidR="008334D6">
        <w:rPr>
          <w:lang w:val="en-US"/>
        </w:rPr>
        <w:t>328</w:t>
      </w:r>
      <w:r w:rsidR="00A83063">
        <w:rPr>
          <w:lang w:val="en-US"/>
        </w:rPr>
        <w:t xml:space="preserve"> </w:t>
      </w:r>
      <w:r w:rsidR="00A83063" w:rsidRPr="00747CAF">
        <w:t>m</w:t>
      </w:r>
      <w:r w:rsidR="00A83063">
        <w:t>illion</w:t>
      </w:r>
      <w:r w:rsidRPr="00EE1901">
        <w:rPr>
          <w:lang w:val="en-US"/>
        </w:rPr>
        <w:t xml:space="preserve"> for Option 1 (modified current), $5,</w:t>
      </w:r>
      <w:r w:rsidR="008334D6">
        <w:rPr>
          <w:lang w:val="en-US"/>
        </w:rPr>
        <w:t>851</w:t>
      </w:r>
      <w:r w:rsidR="00A83063">
        <w:rPr>
          <w:lang w:val="en-US"/>
        </w:rPr>
        <w:t xml:space="preserve"> </w:t>
      </w:r>
      <w:r w:rsidR="00A83063" w:rsidRPr="00747CAF">
        <w:t>m</w:t>
      </w:r>
      <w:r w:rsidR="00A83063">
        <w:t>illion</w:t>
      </w:r>
      <w:r w:rsidRPr="00EE1901">
        <w:rPr>
          <w:lang w:val="en-US"/>
        </w:rPr>
        <w:t xml:space="preserve"> for the ACAT Option 2 and $5,</w:t>
      </w:r>
      <w:r w:rsidR="008334D6">
        <w:rPr>
          <w:lang w:val="en-US"/>
        </w:rPr>
        <w:t>476</w:t>
      </w:r>
      <w:r w:rsidR="00A83063">
        <w:rPr>
          <w:lang w:val="en-US"/>
        </w:rPr>
        <w:t xml:space="preserve"> </w:t>
      </w:r>
      <w:r w:rsidR="00A83063" w:rsidRPr="00747CAF">
        <w:t>m</w:t>
      </w:r>
      <w:r w:rsidR="00A83063">
        <w:t>illion</w:t>
      </w:r>
      <w:r w:rsidRPr="00EE1901">
        <w:rPr>
          <w:lang w:val="en-US"/>
        </w:rPr>
        <w:t xml:space="preserve"> for the Specialist Assessment Agency Option 3.</w:t>
      </w:r>
    </w:p>
    <w:p w:rsidR="00CC0633" w:rsidRDefault="00C90A16" w:rsidP="00C90A16">
      <w:pPr>
        <w:pStyle w:val="Caption"/>
        <w:keepNext/>
        <w:spacing w:before="160"/>
      </w:pPr>
      <w:bookmarkStart w:id="846" w:name="_Toc495416881"/>
      <w:bookmarkStart w:id="847" w:name="Tab1121"/>
      <w:r>
        <w:t>Table 11.</w:t>
      </w:r>
      <w:r w:rsidR="009A3F5A">
        <w:fldChar w:fldCharType="begin"/>
      </w:r>
      <w:r w:rsidR="009A3F5A">
        <w:instrText xml:space="preserve"> SEQ Table_11. \* ARABIC </w:instrText>
      </w:r>
      <w:r w:rsidR="009A3F5A">
        <w:fldChar w:fldCharType="separate"/>
      </w:r>
      <w:r w:rsidR="00856E49">
        <w:rPr>
          <w:noProof/>
        </w:rPr>
        <w:t>21</w:t>
      </w:r>
      <w:r w:rsidR="009A3F5A">
        <w:rPr>
          <w:noProof/>
        </w:rPr>
        <w:fldChar w:fldCharType="end"/>
      </w:r>
      <w:r>
        <w:t xml:space="preserve">: </w:t>
      </w:r>
      <w:r w:rsidRPr="00C90A16">
        <w:rPr>
          <w:lang w:val="en-US"/>
        </w:rPr>
        <w:t>Total Outlays including Subsidy Payments &amp; Assessor Model Costs</w:t>
      </w:r>
      <w:bookmarkEnd w:id="846"/>
    </w:p>
    <w:tbl>
      <w:tblPr>
        <w:tblStyle w:val="ListTable3-Accent515"/>
        <w:tblW w:w="6080"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11.21 is a list of the estimated subsidy payments and costs for options one, two and three from 2019 to 2022 (amount in millions of dollars), as summarised in the text prior to this table. &#10;The table is split into five columns:&#10;1. Year with a ‘total’ field in the  bottom row.&#10;2. Current amount (for comparison)&#10;3. Estimated amount for Option 1&#10;4. Estimated amount for Option 2&#10;5. Estimated amount for Option 3.&#10;This table is to be read left to right, top to bottom."/>
      </w:tblPr>
      <w:tblGrid>
        <w:gridCol w:w="1000"/>
        <w:gridCol w:w="1120"/>
        <w:gridCol w:w="1440"/>
        <w:gridCol w:w="1280"/>
        <w:gridCol w:w="1240"/>
      </w:tblGrid>
      <w:tr w:rsidR="00571656" w:rsidRPr="00D33C4F" w:rsidTr="00A44B7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000" w:type="dxa"/>
            <w:tcBorders>
              <w:bottom w:val="none" w:sz="0" w:space="0" w:color="auto"/>
              <w:right w:val="none" w:sz="0" w:space="0" w:color="auto"/>
            </w:tcBorders>
            <w:noWrap/>
            <w:vAlign w:val="center"/>
            <w:hideMark/>
          </w:tcPr>
          <w:bookmarkEnd w:id="847"/>
          <w:p w:rsidR="00571656" w:rsidRPr="00B70C52" w:rsidRDefault="00571656" w:rsidP="00A44B71">
            <w:pPr>
              <w:spacing w:after="0"/>
              <w:jc w:val="left"/>
              <w:rPr>
                <w:rFonts w:ascii="Calibri" w:eastAsia="Times New Roman" w:hAnsi="Calibri" w:cs="Calibri"/>
                <w:bCs w:val="0"/>
                <w:sz w:val="22"/>
                <w:lang w:val="en-US"/>
              </w:rPr>
            </w:pPr>
            <w:r w:rsidRPr="00B70C52">
              <w:rPr>
                <w:rFonts w:ascii="Calibri" w:eastAsia="Times New Roman" w:hAnsi="Calibri" w:cs="Calibri"/>
                <w:bCs w:val="0"/>
                <w:sz w:val="22"/>
                <w:lang w:val="en-US"/>
              </w:rPr>
              <w:t>Year</w:t>
            </w:r>
          </w:p>
        </w:tc>
        <w:tc>
          <w:tcPr>
            <w:cnfStyle w:val="000010000000" w:firstRow="0" w:lastRow="0" w:firstColumn="0" w:lastColumn="0" w:oddVBand="1" w:evenVBand="0" w:oddHBand="0" w:evenHBand="0" w:firstRowFirstColumn="0" w:firstRowLastColumn="0" w:lastRowFirstColumn="0" w:lastRowLastColumn="0"/>
            <w:tcW w:w="1120" w:type="dxa"/>
            <w:tcBorders>
              <w:left w:val="none" w:sz="0" w:space="0" w:color="auto"/>
              <w:right w:val="none" w:sz="0" w:space="0" w:color="auto"/>
            </w:tcBorders>
            <w:noWrap/>
            <w:hideMark/>
          </w:tcPr>
          <w:p w:rsidR="00571656" w:rsidRPr="00B70C52" w:rsidRDefault="00571656" w:rsidP="000B69D5">
            <w:pPr>
              <w:spacing w:after="0"/>
              <w:jc w:val="center"/>
              <w:rPr>
                <w:rFonts w:ascii="Calibri" w:eastAsia="Times New Roman" w:hAnsi="Calibri" w:cs="Calibri"/>
                <w:bCs w:val="0"/>
                <w:sz w:val="22"/>
                <w:lang w:val="en-US"/>
              </w:rPr>
            </w:pPr>
            <w:r w:rsidRPr="00B70C52">
              <w:rPr>
                <w:rFonts w:ascii="Calibri" w:eastAsia="Times New Roman" w:hAnsi="Calibri" w:cs="Calibri"/>
                <w:bCs w:val="0"/>
                <w:sz w:val="22"/>
                <w:lang w:val="en-US"/>
              </w:rPr>
              <w:t>Present $m</w:t>
            </w:r>
          </w:p>
        </w:tc>
        <w:tc>
          <w:tcPr>
            <w:tcW w:w="1440" w:type="dxa"/>
            <w:noWrap/>
            <w:hideMark/>
          </w:tcPr>
          <w:p w:rsidR="00571656" w:rsidRPr="00B70C52" w:rsidRDefault="00571656" w:rsidP="000B69D5">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2"/>
                <w:lang w:val="en-US"/>
              </w:rPr>
            </w:pPr>
            <w:r w:rsidRPr="00B70C52">
              <w:rPr>
                <w:rFonts w:ascii="Calibri" w:eastAsia="Times New Roman" w:hAnsi="Calibri" w:cs="Calibri"/>
                <w:bCs w:val="0"/>
                <w:sz w:val="22"/>
                <w:lang w:val="en-US"/>
              </w:rPr>
              <w:t>Option 1 ACAT/RO $m</w:t>
            </w:r>
          </w:p>
        </w:tc>
        <w:tc>
          <w:tcPr>
            <w:cnfStyle w:val="000010000000" w:firstRow="0" w:lastRow="0" w:firstColumn="0" w:lastColumn="0" w:oddVBand="1" w:evenVBand="0" w:oddHBand="0" w:evenHBand="0" w:firstRowFirstColumn="0" w:firstRowLastColumn="0" w:lastRowFirstColumn="0" w:lastRowLastColumn="0"/>
            <w:tcW w:w="1280" w:type="dxa"/>
            <w:tcBorders>
              <w:left w:val="none" w:sz="0" w:space="0" w:color="auto"/>
              <w:right w:val="none" w:sz="0" w:space="0" w:color="auto"/>
            </w:tcBorders>
            <w:noWrap/>
            <w:hideMark/>
          </w:tcPr>
          <w:p w:rsidR="00571656" w:rsidRPr="00B70C52" w:rsidRDefault="00571656" w:rsidP="000B69D5">
            <w:pPr>
              <w:spacing w:after="0"/>
              <w:jc w:val="center"/>
              <w:rPr>
                <w:rFonts w:ascii="Calibri" w:eastAsia="Times New Roman" w:hAnsi="Calibri" w:cs="Calibri"/>
                <w:bCs w:val="0"/>
                <w:sz w:val="22"/>
                <w:lang w:val="en-US"/>
              </w:rPr>
            </w:pPr>
            <w:r w:rsidRPr="00B70C52">
              <w:rPr>
                <w:rFonts w:ascii="Calibri" w:eastAsia="Times New Roman" w:hAnsi="Calibri" w:cs="Calibri"/>
                <w:bCs w:val="0"/>
                <w:sz w:val="22"/>
                <w:lang w:val="en-US"/>
              </w:rPr>
              <w:t>Option 2 ACAT $m</w:t>
            </w:r>
          </w:p>
        </w:tc>
        <w:tc>
          <w:tcPr>
            <w:tcW w:w="1240" w:type="dxa"/>
            <w:noWrap/>
            <w:hideMark/>
          </w:tcPr>
          <w:p w:rsidR="00571656" w:rsidRPr="00B70C52" w:rsidRDefault="00571656" w:rsidP="000B69D5">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2"/>
                <w:lang w:val="en-US"/>
              </w:rPr>
            </w:pPr>
            <w:r w:rsidRPr="00B70C52">
              <w:rPr>
                <w:rFonts w:ascii="Calibri" w:eastAsia="Times New Roman" w:hAnsi="Calibri" w:cs="Calibri"/>
                <w:bCs w:val="0"/>
                <w:sz w:val="22"/>
                <w:lang w:val="en-US"/>
              </w:rPr>
              <w:t>Option 3 SAA $m</w:t>
            </w:r>
          </w:p>
        </w:tc>
      </w:tr>
      <w:tr w:rsidR="007D6DFD" w:rsidRPr="00D33C4F" w:rsidTr="00712B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tcBorders>
              <w:top w:val="none" w:sz="0" w:space="0" w:color="auto"/>
              <w:bottom w:val="none" w:sz="0" w:space="0" w:color="auto"/>
              <w:right w:val="none" w:sz="0" w:space="0" w:color="auto"/>
            </w:tcBorders>
            <w:noWrap/>
            <w:vAlign w:val="bottom"/>
            <w:hideMark/>
          </w:tcPr>
          <w:p w:rsidR="007D6DFD" w:rsidRPr="007D6DFD" w:rsidRDefault="007D6DFD" w:rsidP="000B69D5">
            <w:pPr>
              <w:spacing w:after="0"/>
              <w:jc w:val="left"/>
              <w:rPr>
                <w:rFonts w:ascii="Calibri" w:eastAsia="Times New Roman" w:hAnsi="Calibri" w:cs="Calibri"/>
                <w:color w:val="000000"/>
                <w:sz w:val="22"/>
                <w:lang w:val="en-US"/>
              </w:rPr>
            </w:pPr>
            <w:r w:rsidRPr="007D6DFD">
              <w:rPr>
                <w:rFonts w:ascii="Calibri" w:eastAsia="Times New Roman" w:hAnsi="Calibri" w:cs="Calibri"/>
                <w:color w:val="000000"/>
                <w:sz w:val="22"/>
                <w:lang w:val="en-US"/>
              </w:rPr>
              <w:t>2019</w:t>
            </w:r>
          </w:p>
        </w:tc>
        <w:tc>
          <w:tcPr>
            <w:cnfStyle w:val="000010000000" w:firstRow="0" w:lastRow="0" w:firstColumn="0" w:lastColumn="0" w:oddVBand="1" w:evenVBand="0" w:oddHBand="0" w:evenHBand="0" w:firstRowFirstColumn="0" w:firstRowLastColumn="0" w:lastRowFirstColumn="0" w:lastRowLastColumn="0"/>
            <w:tcW w:w="1120" w:type="dxa"/>
            <w:tcBorders>
              <w:top w:val="none" w:sz="0" w:space="0" w:color="auto"/>
              <w:left w:val="none" w:sz="0" w:space="0" w:color="auto"/>
              <w:bottom w:val="none" w:sz="0" w:space="0" w:color="auto"/>
              <w:right w:val="none" w:sz="0" w:space="0" w:color="auto"/>
            </w:tcBorders>
            <w:noWrap/>
            <w:vAlign w:val="bottom"/>
            <w:hideMark/>
          </w:tcPr>
          <w:p w:rsidR="007D6DFD" w:rsidRPr="00D33C4F" w:rsidRDefault="007D6DFD" w:rsidP="000B69D5">
            <w:pPr>
              <w:spacing w:after="0"/>
              <w:jc w:val="center"/>
              <w:rPr>
                <w:rFonts w:ascii="Calibri" w:eastAsia="Times New Roman" w:hAnsi="Calibri" w:cs="Calibri"/>
                <w:color w:val="000000"/>
                <w:sz w:val="22"/>
                <w:lang w:val="en-US"/>
              </w:rPr>
            </w:pPr>
            <w:r w:rsidRPr="007D6DFD">
              <w:rPr>
                <w:rFonts w:ascii="Calibri" w:eastAsia="Times New Roman" w:hAnsi="Calibri" w:cs="Calibri"/>
                <w:color w:val="000000"/>
                <w:sz w:val="22"/>
                <w:lang w:val="en-US"/>
              </w:rPr>
              <w:t>12325</w:t>
            </w:r>
          </w:p>
        </w:tc>
        <w:tc>
          <w:tcPr>
            <w:tcW w:w="1440" w:type="dxa"/>
            <w:tcBorders>
              <w:top w:val="none" w:sz="0" w:space="0" w:color="auto"/>
              <w:bottom w:val="none" w:sz="0" w:space="0" w:color="auto"/>
            </w:tcBorders>
            <w:noWrap/>
            <w:vAlign w:val="bottom"/>
            <w:hideMark/>
          </w:tcPr>
          <w:p w:rsidR="007D6DFD" w:rsidRPr="00D33C4F" w:rsidRDefault="007D6DFD" w:rsidP="000B69D5">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7D6DFD">
              <w:rPr>
                <w:rFonts w:ascii="Calibri" w:eastAsia="Times New Roman" w:hAnsi="Calibri" w:cs="Calibri"/>
                <w:color w:val="000000"/>
                <w:sz w:val="22"/>
                <w:lang w:val="en-US"/>
              </w:rPr>
              <w:t>12033</w:t>
            </w:r>
          </w:p>
        </w:tc>
        <w:tc>
          <w:tcPr>
            <w:cnfStyle w:val="000010000000" w:firstRow="0" w:lastRow="0" w:firstColumn="0" w:lastColumn="0" w:oddVBand="1" w:evenVBand="0" w:oddHBand="0" w:evenHBand="0" w:firstRowFirstColumn="0" w:firstRowLastColumn="0" w:lastRowFirstColumn="0" w:lastRowLastColumn="0"/>
            <w:tcW w:w="1280" w:type="dxa"/>
            <w:tcBorders>
              <w:top w:val="none" w:sz="0" w:space="0" w:color="auto"/>
              <w:left w:val="none" w:sz="0" w:space="0" w:color="auto"/>
              <w:bottom w:val="none" w:sz="0" w:space="0" w:color="auto"/>
              <w:right w:val="none" w:sz="0" w:space="0" w:color="auto"/>
            </w:tcBorders>
            <w:noWrap/>
            <w:vAlign w:val="bottom"/>
            <w:hideMark/>
          </w:tcPr>
          <w:p w:rsidR="007D6DFD" w:rsidRPr="00D33C4F" w:rsidRDefault="007D6DFD" w:rsidP="000B69D5">
            <w:pPr>
              <w:spacing w:after="0"/>
              <w:jc w:val="center"/>
              <w:rPr>
                <w:rFonts w:ascii="Calibri" w:eastAsia="Times New Roman" w:hAnsi="Calibri" w:cs="Calibri"/>
                <w:color w:val="000000"/>
                <w:sz w:val="22"/>
                <w:lang w:val="en-US"/>
              </w:rPr>
            </w:pPr>
            <w:r w:rsidRPr="007D6DFD">
              <w:rPr>
                <w:rFonts w:ascii="Calibri" w:eastAsia="Times New Roman" w:hAnsi="Calibri" w:cs="Calibri"/>
                <w:color w:val="000000"/>
                <w:sz w:val="22"/>
                <w:lang w:val="en-US"/>
              </w:rPr>
              <w:t>11779</w:t>
            </w:r>
          </w:p>
        </w:tc>
        <w:tc>
          <w:tcPr>
            <w:tcW w:w="1240" w:type="dxa"/>
            <w:tcBorders>
              <w:top w:val="none" w:sz="0" w:space="0" w:color="auto"/>
              <w:bottom w:val="none" w:sz="0" w:space="0" w:color="auto"/>
            </w:tcBorders>
            <w:noWrap/>
            <w:vAlign w:val="bottom"/>
            <w:hideMark/>
          </w:tcPr>
          <w:p w:rsidR="007D6DFD" w:rsidRPr="00D33C4F" w:rsidRDefault="007D6DFD" w:rsidP="000B69D5">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7D6DFD">
              <w:rPr>
                <w:rFonts w:ascii="Calibri" w:eastAsia="Times New Roman" w:hAnsi="Calibri" w:cs="Calibri"/>
                <w:color w:val="000000"/>
                <w:sz w:val="22"/>
                <w:lang w:val="en-US"/>
              </w:rPr>
              <w:t>11832</w:t>
            </w:r>
          </w:p>
        </w:tc>
      </w:tr>
      <w:tr w:rsidR="007D6DFD" w:rsidRPr="00D33C4F" w:rsidTr="00712BD8">
        <w:trPr>
          <w:trHeight w:val="300"/>
        </w:trPr>
        <w:tc>
          <w:tcPr>
            <w:cnfStyle w:val="001000000000" w:firstRow="0" w:lastRow="0" w:firstColumn="1" w:lastColumn="0" w:oddVBand="0" w:evenVBand="0" w:oddHBand="0" w:evenHBand="0" w:firstRowFirstColumn="0" w:firstRowLastColumn="0" w:lastRowFirstColumn="0" w:lastRowLastColumn="0"/>
            <w:tcW w:w="1000" w:type="dxa"/>
            <w:tcBorders>
              <w:right w:val="none" w:sz="0" w:space="0" w:color="auto"/>
            </w:tcBorders>
            <w:noWrap/>
            <w:vAlign w:val="bottom"/>
            <w:hideMark/>
          </w:tcPr>
          <w:p w:rsidR="007D6DFD" w:rsidRPr="007D6DFD" w:rsidRDefault="007D6DFD" w:rsidP="000B69D5">
            <w:pPr>
              <w:spacing w:after="0"/>
              <w:jc w:val="left"/>
              <w:rPr>
                <w:rFonts w:ascii="Calibri" w:eastAsia="Times New Roman" w:hAnsi="Calibri" w:cs="Calibri"/>
                <w:color w:val="000000"/>
                <w:sz w:val="22"/>
                <w:lang w:val="en-US"/>
              </w:rPr>
            </w:pPr>
            <w:r w:rsidRPr="007D6DFD">
              <w:rPr>
                <w:rFonts w:ascii="Calibri" w:eastAsia="Times New Roman" w:hAnsi="Calibri" w:cs="Calibri"/>
                <w:color w:val="000000"/>
                <w:sz w:val="22"/>
                <w:lang w:val="en-US"/>
              </w:rPr>
              <w:t>2020</w:t>
            </w:r>
          </w:p>
        </w:tc>
        <w:tc>
          <w:tcPr>
            <w:cnfStyle w:val="000010000000" w:firstRow="0" w:lastRow="0" w:firstColumn="0" w:lastColumn="0" w:oddVBand="1" w:evenVBand="0" w:oddHBand="0" w:evenHBand="0" w:firstRowFirstColumn="0" w:firstRowLastColumn="0" w:lastRowFirstColumn="0" w:lastRowLastColumn="0"/>
            <w:tcW w:w="1120" w:type="dxa"/>
            <w:tcBorders>
              <w:left w:val="none" w:sz="0" w:space="0" w:color="auto"/>
              <w:right w:val="none" w:sz="0" w:space="0" w:color="auto"/>
            </w:tcBorders>
            <w:noWrap/>
            <w:vAlign w:val="bottom"/>
            <w:hideMark/>
          </w:tcPr>
          <w:p w:rsidR="007D6DFD" w:rsidRPr="00D33C4F" w:rsidRDefault="007D6DFD" w:rsidP="000B69D5">
            <w:pPr>
              <w:spacing w:after="0"/>
              <w:jc w:val="center"/>
              <w:rPr>
                <w:rFonts w:ascii="Calibri" w:eastAsia="Times New Roman" w:hAnsi="Calibri" w:cs="Calibri"/>
                <w:color w:val="000000"/>
                <w:sz w:val="22"/>
                <w:lang w:val="en-US"/>
              </w:rPr>
            </w:pPr>
            <w:r w:rsidRPr="007D6DFD">
              <w:rPr>
                <w:rFonts w:ascii="Calibri" w:eastAsia="Times New Roman" w:hAnsi="Calibri" w:cs="Calibri"/>
                <w:color w:val="000000"/>
                <w:sz w:val="22"/>
                <w:lang w:val="en-US"/>
              </w:rPr>
              <w:t>13078</w:t>
            </w:r>
          </w:p>
        </w:tc>
        <w:tc>
          <w:tcPr>
            <w:tcW w:w="1440" w:type="dxa"/>
            <w:noWrap/>
            <w:vAlign w:val="bottom"/>
            <w:hideMark/>
          </w:tcPr>
          <w:p w:rsidR="007D6DFD" w:rsidRPr="00D33C4F" w:rsidRDefault="007D6DFD" w:rsidP="000B69D5">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7D6DFD">
              <w:rPr>
                <w:rFonts w:ascii="Calibri" w:eastAsia="Times New Roman" w:hAnsi="Calibri" w:cs="Calibri"/>
                <w:color w:val="000000"/>
                <w:sz w:val="22"/>
                <w:lang w:val="en-US"/>
              </w:rPr>
              <w:t>12276</w:t>
            </w:r>
          </w:p>
        </w:tc>
        <w:tc>
          <w:tcPr>
            <w:cnfStyle w:val="000010000000" w:firstRow="0" w:lastRow="0" w:firstColumn="0" w:lastColumn="0" w:oddVBand="1" w:evenVBand="0" w:oddHBand="0" w:evenHBand="0" w:firstRowFirstColumn="0" w:firstRowLastColumn="0" w:lastRowFirstColumn="0" w:lastRowLastColumn="0"/>
            <w:tcW w:w="1280" w:type="dxa"/>
            <w:tcBorders>
              <w:left w:val="none" w:sz="0" w:space="0" w:color="auto"/>
              <w:right w:val="none" w:sz="0" w:space="0" w:color="auto"/>
            </w:tcBorders>
            <w:noWrap/>
            <w:vAlign w:val="bottom"/>
            <w:hideMark/>
          </w:tcPr>
          <w:p w:rsidR="007D6DFD" w:rsidRPr="00D33C4F" w:rsidRDefault="007D6DFD" w:rsidP="000B69D5">
            <w:pPr>
              <w:spacing w:after="0"/>
              <w:jc w:val="center"/>
              <w:rPr>
                <w:rFonts w:ascii="Calibri" w:eastAsia="Times New Roman" w:hAnsi="Calibri" w:cs="Calibri"/>
                <w:color w:val="000000"/>
                <w:sz w:val="22"/>
                <w:lang w:val="en-US"/>
              </w:rPr>
            </w:pPr>
            <w:r w:rsidRPr="007D6DFD">
              <w:rPr>
                <w:rFonts w:ascii="Calibri" w:eastAsia="Times New Roman" w:hAnsi="Calibri" w:cs="Calibri"/>
                <w:color w:val="000000"/>
                <w:sz w:val="22"/>
                <w:lang w:val="en-US"/>
              </w:rPr>
              <w:t>11668</w:t>
            </w:r>
          </w:p>
        </w:tc>
        <w:tc>
          <w:tcPr>
            <w:tcW w:w="1240" w:type="dxa"/>
            <w:noWrap/>
            <w:vAlign w:val="bottom"/>
            <w:hideMark/>
          </w:tcPr>
          <w:p w:rsidR="007D6DFD" w:rsidRPr="00D33C4F" w:rsidRDefault="007D6DFD" w:rsidP="000B69D5">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7D6DFD">
              <w:rPr>
                <w:rFonts w:ascii="Calibri" w:eastAsia="Times New Roman" w:hAnsi="Calibri" w:cs="Calibri"/>
                <w:color w:val="000000"/>
                <w:sz w:val="22"/>
                <w:lang w:val="en-US"/>
              </w:rPr>
              <w:t>11771</w:t>
            </w:r>
          </w:p>
        </w:tc>
      </w:tr>
      <w:tr w:rsidR="007D6DFD" w:rsidRPr="00D33C4F" w:rsidTr="00712B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tcBorders>
              <w:top w:val="none" w:sz="0" w:space="0" w:color="auto"/>
              <w:bottom w:val="none" w:sz="0" w:space="0" w:color="auto"/>
              <w:right w:val="none" w:sz="0" w:space="0" w:color="auto"/>
            </w:tcBorders>
            <w:noWrap/>
            <w:vAlign w:val="bottom"/>
            <w:hideMark/>
          </w:tcPr>
          <w:p w:rsidR="007D6DFD" w:rsidRPr="007D6DFD" w:rsidRDefault="007D6DFD" w:rsidP="000B69D5">
            <w:pPr>
              <w:spacing w:after="0"/>
              <w:jc w:val="left"/>
              <w:rPr>
                <w:rFonts w:ascii="Calibri" w:eastAsia="Times New Roman" w:hAnsi="Calibri" w:cs="Calibri"/>
                <w:color w:val="000000"/>
                <w:sz w:val="22"/>
                <w:lang w:val="en-US"/>
              </w:rPr>
            </w:pPr>
            <w:r w:rsidRPr="007D6DFD">
              <w:rPr>
                <w:rFonts w:ascii="Calibri" w:eastAsia="Times New Roman" w:hAnsi="Calibri" w:cs="Calibri"/>
                <w:color w:val="000000"/>
                <w:sz w:val="22"/>
                <w:lang w:val="en-US"/>
              </w:rPr>
              <w:t>2021</w:t>
            </w:r>
          </w:p>
        </w:tc>
        <w:tc>
          <w:tcPr>
            <w:cnfStyle w:val="000010000000" w:firstRow="0" w:lastRow="0" w:firstColumn="0" w:lastColumn="0" w:oddVBand="1" w:evenVBand="0" w:oddHBand="0" w:evenHBand="0" w:firstRowFirstColumn="0" w:firstRowLastColumn="0" w:lastRowFirstColumn="0" w:lastRowLastColumn="0"/>
            <w:tcW w:w="1120" w:type="dxa"/>
            <w:tcBorders>
              <w:top w:val="none" w:sz="0" w:space="0" w:color="auto"/>
              <w:left w:val="none" w:sz="0" w:space="0" w:color="auto"/>
              <w:bottom w:val="none" w:sz="0" w:space="0" w:color="auto"/>
              <w:right w:val="none" w:sz="0" w:space="0" w:color="auto"/>
            </w:tcBorders>
            <w:noWrap/>
            <w:vAlign w:val="bottom"/>
            <w:hideMark/>
          </w:tcPr>
          <w:p w:rsidR="007D6DFD" w:rsidRPr="00D33C4F" w:rsidRDefault="007D6DFD" w:rsidP="000B69D5">
            <w:pPr>
              <w:spacing w:after="0"/>
              <w:jc w:val="center"/>
              <w:rPr>
                <w:rFonts w:ascii="Calibri" w:eastAsia="Times New Roman" w:hAnsi="Calibri" w:cs="Calibri"/>
                <w:color w:val="000000"/>
                <w:sz w:val="22"/>
                <w:lang w:val="en-US"/>
              </w:rPr>
            </w:pPr>
            <w:r w:rsidRPr="007D6DFD">
              <w:rPr>
                <w:rFonts w:ascii="Calibri" w:eastAsia="Times New Roman" w:hAnsi="Calibri" w:cs="Calibri"/>
                <w:color w:val="000000"/>
                <w:sz w:val="22"/>
                <w:lang w:val="en-US"/>
              </w:rPr>
              <w:t>13742</w:t>
            </w:r>
          </w:p>
        </w:tc>
        <w:tc>
          <w:tcPr>
            <w:tcW w:w="1440" w:type="dxa"/>
            <w:tcBorders>
              <w:top w:val="none" w:sz="0" w:space="0" w:color="auto"/>
              <w:bottom w:val="none" w:sz="0" w:space="0" w:color="auto"/>
            </w:tcBorders>
            <w:noWrap/>
            <w:vAlign w:val="bottom"/>
            <w:hideMark/>
          </w:tcPr>
          <w:p w:rsidR="007D6DFD" w:rsidRPr="00D33C4F" w:rsidRDefault="007D6DFD" w:rsidP="000B69D5">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7D6DFD">
              <w:rPr>
                <w:rFonts w:ascii="Calibri" w:eastAsia="Times New Roman" w:hAnsi="Calibri" w:cs="Calibri"/>
                <w:color w:val="000000"/>
                <w:sz w:val="22"/>
                <w:lang w:val="en-US"/>
              </w:rPr>
              <w:t>12682</w:t>
            </w:r>
          </w:p>
        </w:tc>
        <w:tc>
          <w:tcPr>
            <w:cnfStyle w:val="000010000000" w:firstRow="0" w:lastRow="0" w:firstColumn="0" w:lastColumn="0" w:oddVBand="1" w:evenVBand="0" w:oddHBand="0" w:evenHBand="0" w:firstRowFirstColumn="0" w:firstRowLastColumn="0" w:lastRowFirstColumn="0" w:lastRowLastColumn="0"/>
            <w:tcW w:w="1280" w:type="dxa"/>
            <w:tcBorders>
              <w:top w:val="none" w:sz="0" w:space="0" w:color="auto"/>
              <w:left w:val="none" w:sz="0" w:space="0" w:color="auto"/>
              <w:bottom w:val="none" w:sz="0" w:space="0" w:color="auto"/>
              <w:right w:val="none" w:sz="0" w:space="0" w:color="auto"/>
            </w:tcBorders>
            <w:noWrap/>
            <w:vAlign w:val="bottom"/>
            <w:hideMark/>
          </w:tcPr>
          <w:p w:rsidR="007D6DFD" w:rsidRPr="00D33C4F" w:rsidRDefault="007D6DFD" w:rsidP="000B69D5">
            <w:pPr>
              <w:spacing w:after="0"/>
              <w:jc w:val="center"/>
              <w:rPr>
                <w:rFonts w:ascii="Calibri" w:eastAsia="Times New Roman" w:hAnsi="Calibri" w:cs="Calibri"/>
                <w:color w:val="000000"/>
                <w:sz w:val="22"/>
                <w:lang w:val="en-US"/>
              </w:rPr>
            </w:pPr>
            <w:r w:rsidRPr="007D6DFD">
              <w:rPr>
                <w:rFonts w:ascii="Calibri" w:eastAsia="Times New Roman" w:hAnsi="Calibri" w:cs="Calibri"/>
                <w:color w:val="000000"/>
                <w:sz w:val="22"/>
                <w:lang w:val="en-US"/>
              </w:rPr>
              <w:t>11910</w:t>
            </w:r>
          </w:p>
        </w:tc>
        <w:tc>
          <w:tcPr>
            <w:tcW w:w="1240" w:type="dxa"/>
            <w:tcBorders>
              <w:top w:val="none" w:sz="0" w:space="0" w:color="auto"/>
              <w:bottom w:val="none" w:sz="0" w:space="0" w:color="auto"/>
            </w:tcBorders>
            <w:noWrap/>
            <w:vAlign w:val="bottom"/>
            <w:hideMark/>
          </w:tcPr>
          <w:p w:rsidR="007D6DFD" w:rsidRPr="00D33C4F" w:rsidRDefault="007D6DFD" w:rsidP="000B69D5">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7D6DFD">
              <w:rPr>
                <w:rFonts w:ascii="Calibri" w:eastAsia="Times New Roman" w:hAnsi="Calibri" w:cs="Calibri"/>
                <w:color w:val="000000"/>
                <w:sz w:val="22"/>
                <w:lang w:val="en-US"/>
              </w:rPr>
              <w:t>12017</w:t>
            </w:r>
          </w:p>
        </w:tc>
      </w:tr>
      <w:tr w:rsidR="007D6DFD" w:rsidRPr="00D33C4F" w:rsidTr="00712BD8">
        <w:trPr>
          <w:trHeight w:val="300"/>
        </w:trPr>
        <w:tc>
          <w:tcPr>
            <w:cnfStyle w:val="001000000000" w:firstRow="0" w:lastRow="0" w:firstColumn="1" w:lastColumn="0" w:oddVBand="0" w:evenVBand="0" w:oddHBand="0" w:evenHBand="0" w:firstRowFirstColumn="0" w:firstRowLastColumn="0" w:lastRowFirstColumn="0" w:lastRowLastColumn="0"/>
            <w:tcW w:w="1000" w:type="dxa"/>
            <w:tcBorders>
              <w:right w:val="none" w:sz="0" w:space="0" w:color="auto"/>
            </w:tcBorders>
            <w:noWrap/>
            <w:vAlign w:val="bottom"/>
            <w:hideMark/>
          </w:tcPr>
          <w:p w:rsidR="007D6DFD" w:rsidRPr="007D6DFD" w:rsidRDefault="007D6DFD" w:rsidP="000B69D5">
            <w:pPr>
              <w:spacing w:after="0"/>
              <w:jc w:val="left"/>
              <w:rPr>
                <w:rFonts w:ascii="Calibri" w:eastAsia="Times New Roman" w:hAnsi="Calibri" w:cs="Calibri"/>
                <w:color w:val="000000"/>
                <w:sz w:val="22"/>
                <w:lang w:val="en-US"/>
              </w:rPr>
            </w:pPr>
            <w:r w:rsidRPr="007D6DFD">
              <w:rPr>
                <w:rFonts w:ascii="Calibri" w:eastAsia="Times New Roman" w:hAnsi="Calibri" w:cs="Calibri"/>
                <w:color w:val="000000"/>
                <w:sz w:val="22"/>
                <w:lang w:val="en-US"/>
              </w:rPr>
              <w:t>2022</w:t>
            </w:r>
          </w:p>
        </w:tc>
        <w:tc>
          <w:tcPr>
            <w:cnfStyle w:val="000010000000" w:firstRow="0" w:lastRow="0" w:firstColumn="0" w:lastColumn="0" w:oddVBand="1" w:evenVBand="0" w:oddHBand="0" w:evenHBand="0" w:firstRowFirstColumn="0" w:firstRowLastColumn="0" w:lastRowFirstColumn="0" w:lastRowLastColumn="0"/>
            <w:tcW w:w="1120" w:type="dxa"/>
            <w:tcBorders>
              <w:left w:val="none" w:sz="0" w:space="0" w:color="auto"/>
              <w:right w:val="none" w:sz="0" w:space="0" w:color="auto"/>
            </w:tcBorders>
            <w:noWrap/>
            <w:vAlign w:val="bottom"/>
            <w:hideMark/>
          </w:tcPr>
          <w:p w:rsidR="007D6DFD" w:rsidRPr="00D33C4F" w:rsidRDefault="007D6DFD" w:rsidP="000B69D5">
            <w:pPr>
              <w:spacing w:after="0"/>
              <w:jc w:val="center"/>
              <w:rPr>
                <w:rFonts w:ascii="Calibri" w:eastAsia="Times New Roman" w:hAnsi="Calibri" w:cs="Calibri"/>
                <w:color w:val="000000"/>
                <w:sz w:val="22"/>
                <w:lang w:val="en-US"/>
              </w:rPr>
            </w:pPr>
            <w:r w:rsidRPr="007D6DFD">
              <w:rPr>
                <w:rFonts w:ascii="Calibri" w:eastAsia="Times New Roman" w:hAnsi="Calibri" w:cs="Calibri"/>
                <w:color w:val="000000"/>
                <w:sz w:val="22"/>
                <w:lang w:val="en-US"/>
              </w:rPr>
              <w:t>14369</w:t>
            </w:r>
          </w:p>
        </w:tc>
        <w:tc>
          <w:tcPr>
            <w:tcW w:w="1440" w:type="dxa"/>
            <w:noWrap/>
            <w:vAlign w:val="bottom"/>
            <w:hideMark/>
          </w:tcPr>
          <w:p w:rsidR="007D6DFD" w:rsidRPr="00D33C4F" w:rsidRDefault="007D6DFD" w:rsidP="000B69D5">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7D6DFD">
              <w:rPr>
                <w:rFonts w:ascii="Calibri" w:eastAsia="Times New Roman" w:hAnsi="Calibri" w:cs="Calibri"/>
                <w:color w:val="000000"/>
                <w:sz w:val="22"/>
                <w:lang w:val="en-US"/>
              </w:rPr>
              <w:t>13196</w:t>
            </w:r>
          </w:p>
        </w:tc>
        <w:tc>
          <w:tcPr>
            <w:cnfStyle w:val="000010000000" w:firstRow="0" w:lastRow="0" w:firstColumn="0" w:lastColumn="0" w:oddVBand="1" w:evenVBand="0" w:oddHBand="0" w:evenHBand="0" w:firstRowFirstColumn="0" w:firstRowLastColumn="0" w:lastRowFirstColumn="0" w:lastRowLastColumn="0"/>
            <w:tcW w:w="1280" w:type="dxa"/>
            <w:tcBorders>
              <w:left w:val="none" w:sz="0" w:space="0" w:color="auto"/>
              <w:right w:val="none" w:sz="0" w:space="0" w:color="auto"/>
            </w:tcBorders>
            <w:noWrap/>
            <w:vAlign w:val="bottom"/>
            <w:hideMark/>
          </w:tcPr>
          <w:p w:rsidR="007D6DFD" w:rsidRPr="00D33C4F" w:rsidRDefault="007D6DFD" w:rsidP="000B69D5">
            <w:pPr>
              <w:spacing w:after="0"/>
              <w:jc w:val="center"/>
              <w:rPr>
                <w:rFonts w:ascii="Calibri" w:eastAsia="Times New Roman" w:hAnsi="Calibri" w:cs="Calibri"/>
                <w:color w:val="000000"/>
                <w:sz w:val="22"/>
                <w:lang w:val="en-US"/>
              </w:rPr>
            </w:pPr>
            <w:r w:rsidRPr="007D6DFD">
              <w:rPr>
                <w:rFonts w:ascii="Calibri" w:eastAsia="Times New Roman" w:hAnsi="Calibri" w:cs="Calibri"/>
                <w:color w:val="000000"/>
                <w:sz w:val="22"/>
                <w:lang w:val="en-US"/>
              </w:rPr>
              <w:t>12306</w:t>
            </w:r>
          </w:p>
        </w:tc>
        <w:tc>
          <w:tcPr>
            <w:tcW w:w="1240" w:type="dxa"/>
            <w:noWrap/>
            <w:vAlign w:val="bottom"/>
            <w:hideMark/>
          </w:tcPr>
          <w:p w:rsidR="007D6DFD" w:rsidRPr="00D33C4F" w:rsidRDefault="007D6DFD" w:rsidP="000B69D5">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7D6DFD">
              <w:rPr>
                <w:rFonts w:ascii="Calibri" w:eastAsia="Times New Roman" w:hAnsi="Calibri" w:cs="Calibri"/>
                <w:color w:val="000000"/>
                <w:sz w:val="22"/>
                <w:lang w:val="en-US"/>
              </w:rPr>
              <w:t>12419</w:t>
            </w:r>
          </w:p>
        </w:tc>
      </w:tr>
      <w:tr w:rsidR="007D6DFD" w:rsidRPr="00D33C4F" w:rsidTr="00C86E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tcBorders>
              <w:top w:val="none" w:sz="0" w:space="0" w:color="auto"/>
              <w:bottom w:val="none" w:sz="0" w:space="0" w:color="auto"/>
              <w:right w:val="none" w:sz="0" w:space="0" w:color="auto"/>
            </w:tcBorders>
            <w:shd w:val="clear" w:color="auto" w:fill="auto"/>
            <w:noWrap/>
            <w:vAlign w:val="bottom"/>
            <w:hideMark/>
          </w:tcPr>
          <w:p w:rsidR="007D6DFD" w:rsidRPr="00774F35" w:rsidRDefault="007D6DFD" w:rsidP="000B69D5">
            <w:pPr>
              <w:spacing w:after="0"/>
              <w:jc w:val="left"/>
              <w:rPr>
                <w:rFonts w:ascii="Calibri" w:eastAsia="Times New Roman" w:hAnsi="Calibri" w:cs="Calibri"/>
                <w:bCs w:val="0"/>
                <w:color w:val="000000"/>
                <w:sz w:val="22"/>
                <w:lang w:val="en-US"/>
              </w:rPr>
            </w:pPr>
            <w:r w:rsidRPr="007D6DFD">
              <w:rPr>
                <w:rFonts w:ascii="Calibri" w:eastAsia="Times New Roman" w:hAnsi="Calibri" w:cs="Calibri"/>
                <w:color w:val="000000"/>
                <w:sz w:val="22"/>
                <w:lang w:val="en-US"/>
              </w:rPr>
              <w:t>Total</w:t>
            </w:r>
          </w:p>
        </w:tc>
        <w:tc>
          <w:tcPr>
            <w:cnfStyle w:val="000010000000" w:firstRow="0" w:lastRow="0" w:firstColumn="0" w:lastColumn="0" w:oddVBand="1" w:evenVBand="0" w:oddHBand="0" w:evenHBand="0" w:firstRowFirstColumn="0" w:firstRowLastColumn="0" w:lastRowFirstColumn="0" w:lastRowLastColumn="0"/>
            <w:tcW w:w="1120"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7D6DFD" w:rsidRPr="00D33C4F" w:rsidRDefault="007D6DFD" w:rsidP="000B69D5">
            <w:pPr>
              <w:spacing w:after="0"/>
              <w:jc w:val="center"/>
              <w:rPr>
                <w:rFonts w:ascii="Calibri" w:eastAsia="Times New Roman" w:hAnsi="Calibri" w:cs="Calibri"/>
                <w:b/>
                <w:bCs/>
                <w:color w:val="000000"/>
                <w:sz w:val="22"/>
                <w:lang w:val="en-US"/>
              </w:rPr>
            </w:pPr>
            <w:r w:rsidRPr="007D6DFD">
              <w:rPr>
                <w:rFonts w:ascii="Calibri" w:eastAsia="Times New Roman" w:hAnsi="Calibri" w:cs="Calibri"/>
                <w:b/>
                <w:bCs/>
                <w:color w:val="000000"/>
                <w:sz w:val="22"/>
                <w:lang w:val="en-US"/>
              </w:rPr>
              <w:t>53515</w:t>
            </w:r>
          </w:p>
        </w:tc>
        <w:tc>
          <w:tcPr>
            <w:tcW w:w="1440" w:type="dxa"/>
            <w:tcBorders>
              <w:top w:val="none" w:sz="0" w:space="0" w:color="auto"/>
              <w:bottom w:val="none" w:sz="0" w:space="0" w:color="auto"/>
            </w:tcBorders>
            <w:shd w:val="clear" w:color="auto" w:fill="auto"/>
            <w:noWrap/>
            <w:vAlign w:val="bottom"/>
            <w:hideMark/>
          </w:tcPr>
          <w:p w:rsidR="007D6DFD" w:rsidRPr="00D33C4F" w:rsidRDefault="007D6DFD" w:rsidP="000B69D5">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lang w:val="en-US"/>
              </w:rPr>
            </w:pPr>
            <w:r w:rsidRPr="007D6DFD">
              <w:rPr>
                <w:rFonts w:ascii="Calibri" w:eastAsia="Times New Roman" w:hAnsi="Calibri" w:cs="Calibri"/>
                <w:b/>
                <w:bCs/>
                <w:color w:val="000000"/>
                <w:sz w:val="22"/>
                <w:lang w:val="en-US"/>
              </w:rPr>
              <w:t>50186</w:t>
            </w:r>
          </w:p>
        </w:tc>
        <w:tc>
          <w:tcPr>
            <w:cnfStyle w:val="000010000000" w:firstRow="0" w:lastRow="0" w:firstColumn="0" w:lastColumn="0" w:oddVBand="1" w:evenVBand="0" w:oddHBand="0" w:evenHBand="0" w:firstRowFirstColumn="0" w:firstRowLastColumn="0" w:lastRowFirstColumn="0" w:lastRowLastColumn="0"/>
            <w:tcW w:w="1280"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7D6DFD" w:rsidRPr="00D33C4F" w:rsidRDefault="007D6DFD" w:rsidP="000B69D5">
            <w:pPr>
              <w:spacing w:after="0"/>
              <w:jc w:val="center"/>
              <w:rPr>
                <w:rFonts w:ascii="Calibri" w:eastAsia="Times New Roman" w:hAnsi="Calibri" w:cs="Calibri"/>
                <w:b/>
                <w:bCs/>
                <w:color w:val="000000"/>
                <w:sz w:val="22"/>
                <w:lang w:val="en-US"/>
              </w:rPr>
            </w:pPr>
            <w:r w:rsidRPr="007D6DFD">
              <w:rPr>
                <w:rFonts w:ascii="Calibri" w:eastAsia="Times New Roman" w:hAnsi="Calibri" w:cs="Calibri"/>
                <w:b/>
                <w:bCs/>
                <w:color w:val="000000"/>
                <w:sz w:val="22"/>
                <w:lang w:val="en-US"/>
              </w:rPr>
              <w:t>47664</w:t>
            </w:r>
          </w:p>
        </w:tc>
        <w:tc>
          <w:tcPr>
            <w:tcW w:w="1240" w:type="dxa"/>
            <w:tcBorders>
              <w:top w:val="none" w:sz="0" w:space="0" w:color="auto"/>
              <w:bottom w:val="none" w:sz="0" w:space="0" w:color="auto"/>
            </w:tcBorders>
            <w:shd w:val="clear" w:color="auto" w:fill="auto"/>
            <w:noWrap/>
            <w:vAlign w:val="bottom"/>
            <w:hideMark/>
          </w:tcPr>
          <w:p w:rsidR="007D6DFD" w:rsidRPr="00D33C4F" w:rsidRDefault="007D6DFD" w:rsidP="000B69D5">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lang w:val="en-US"/>
              </w:rPr>
            </w:pPr>
            <w:r w:rsidRPr="007D6DFD">
              <w:rPr>
                <w:rFonts w:ascii="Calibri" w:eastAsia="Times New Roman" w:hAnsi="Calibri" w:cs="Calibri"/>
                <w:b/>
                <w:bCs/>
                <w:color w:val="000000"/>
                <w:sz w:val="22"/>
                <w:lang w:val="en-US"/>
              </w:rPr>
              <w:t>48039</w:t>
            </w:r>
          </w:p>
        </w:tc>
      </w:tr>
    </w:tbl>
    <w:p w:rsidR="00CC0633" w:rsidRDefault="00C90A16" w:rsidP="00C90A16">
      <w:pPr>
        <w:pStyle w:val="Caption"/>
        <w:keepNext/>
        <w:spacing w:before="160"/>
      </w:pPr>
      <w:r>
        <w:t>Figure 11.</w:t>
      </w:r>
      <w:r w:rsidR="009A3F5A">
        <w:fldChar w:fldCharType="begin"/>
      </w:r>
      <w:r w:rsidR="009A3F5A">
        <w:instrText xml:space="preserve"> SEQ Figure_11. \* ARABIC </w:instrText>
      </w:r>
      <w:r w:rsidR="009A3F5A">
        <w:fldChar w:fldCharType="separate"/>
      </w:r>
      <w:r w:rsidR="00856E49">
        <w:rPr>
          <w:noProof/>
        </w:rPr>
        <w:t>2</w:t>
      </w:r>
      <w:r w:rsidR="009A3F5A">
        <w:rPr>
          <w:noProof/>
        </w:rPr>
        <w:fldChar w:fldCharType="end"/>
      </w:r>
      <w:r>
        <w:t xml:space="preserve">: </w:t>
      </w:r>
      <w:r w:rsidRPr="00C90A16">
        <w:rPr>
          <w:lang w:val="en-US"/>
        </w:rPr>
        <w:t>Outlays including Subsidy Payments &amp; Assessor Model Costs Per Year</w:t>
      </w:r>
    </w:p>
    <w:p w:rsidR="00E14487" w:rsidRDefault="00E14487" w:rsidP="00571656">
      <w:pPr>
        <w:spacing w:after="200"/>
      </w:pPr>
      <w:r>
        <w:rPr>
          <w:noProof/>
          <w:lang w:eastAsia="en-AU"/>
        </w:rPr>
        <w:drawing>
          <wp:inline distT="0" distB="0" distL="0" distR="0" wp14:anchorId="2A73FC2E" wp14:editId="3E9E3439">
            <wp:extent cx="4860000" cy="3351600"/>
            <wp:effectExtent l="0" t="0" r="0" b="1270"/>
            <wp:docPr id="262" name="Picture 262" descr="Figure 11.2 is a line diagram illustrating the comparison of the present subsidy payments and costs with the estimated payments and costs of options one, two and three from 2019 to 2022 (amount in millions of dollars), as summarised in Table 11.21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60000" cy="3351600"/>
                    </a:xfrm>
                    <a:prstGeom prst="rect">
                      <a:avLst/>
                    </a:prstGeom>
                    <a:noFill/>
                  </pic:spPr>
                </pic:pic>
              </a:graphicData>
            </a:graphic>
          </wp:inline>
        </w:drawing>
      </w:r>
    </w:p>
    <w:p w:rsidR="00CC0633" w:rsidRDefault="00C90A16" w:rsidP="00C90A16">
      <w:pPr>
        <w:pStyle w:val="Caption"/>
        <w:keepNext/>
        <w:spacing w:before="0"/>
      </w:pPr>
      <w:bookmarkStart w:id="848" w:name="_Toc495416882"/>
      <w:bookmarkStart w:id="849" w:name="Tab1122"/>
      <w:r>
        <w:lastRenderedPageBreak/>
        <w:t>Table 11.</w:t>
      </w:r>
      <w:r w:rsidR="009A3F5A">
        <w:fldChar w:fldCharType="begin"/>
      </w:r>
      <w:r w:rsidR="009A3F5A">
        <w:instrText xml:space="preserve"> SEQ Table_11. \* ARABIC </w:instrText>
      </w:r>
      <w:r w:rsidR="009A3F5A">
        <w:fldChar w:fldCharType="separate"/>
      </w:r>
      <w:r w:rsidR="00856E49">
        <w:rPr>
          <w:noProof/>
        </w:rPr>
        <w:t>22</w:t>
      </w:r>
      <w:r w:rsidR="009A3F5A">
        <w:rPr>
          <w:noProof/>
        </w:rPr>
        <w:fldChar w:fldCharType="end"/>
      </w:r>
      <w:r>
        <w:t xml:space="preserve">: </w:t>
      </w:r>
      <w:r w:rsidRPr="00C90A16">
        <w:t>Reductions in Growth Relative to the Current Funding System</w:t>
      </w:r>
      <w:bookmarkEnd w:id="848"/>
    </w:p>
    <w:tbl>
      <w:tblPr>
        <w:tblStyle w:val="ListTable3-Accent515"/>
        <w:tblW w:w="7915"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11.22 is a list of the estimated reductions in growth relative to the current funding system of options one, two and three from 2019 to 2022 (amount in millions of dollars), as summarised in the text prior to this table. &#10;The table is split into four headers:&#10;1. Year (up to 30 June) with a total at the end&#10;2. Estimated reduction for Option 1&#10;3. Estimated reduction for Option 2&#10;4. Estimated reduction for Option 3.&#10;This table is to be read left to right, top to bottom."/>
      </w:tblPr>
      <w:tblGrid>
        <w:gridCol w:w="1620"/>
        <w:gridCol w:w="2335"/>
        <w:gridCol w:w="2070"/>
        <w:gridCol w:w="1890"/>
      </w:tblGrid>
      <w:tr w:rsidR="00571656" w:rsidRPr="0055648B" w:rsidTr="00712BD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620" w:type="dxa"/>
            <w:tcBorders>
              <w:bottom w:val="none" w:sz="0" w:space="0" w:color="auto"/>
              <w:right w:val="none" w:sz="0" w:space="0" w:color="auto"/>
            </w:tcBorders>
            <w:noWrap/>
            <w:hideMark/>
          </w:tcPr>
          <w:bookmarkEnd w:id="849"/>
          <w:p w:rsidR="00571656" w:rsidRPr="0055648B" w:rsidRDefault="00571656" w:rsidP="000B69D5">
            <w:pPr>
              <w:spacing w:after="0"/>
              <w:jc w:val="left"/>
              <w:rPr>
                <w:rFonts w:ascii="Calibri" w:eastAsia="Times New Roman" w:hAnsi="Calibri" w:cs="Times New Roman"/>
                <w:sz w:val="22"/>
                <w:lang w:val="en-US"/>
              </w:rPr>
            </w:pPr>
            <w:r w:rsidRPr="0055648B">
              <w:rPr>
                <w:rFonts w:ascii="Calibri" w:eastAsia="Times New Roman" w:hAnsi="Calibri" w:cs="Times New Roman"/>
                <w:sz w:val="22"/>
                <w:lang w:val="en-US"/>
              </w:rPr>
              <w:t>Year to</w:t>
            </w:r>
            <w:r w:rsidRPr="0055648B">
              <w:rPr>
                <w:rFonts w:ascii="Calibri" w:eastAsia="Times New Roman" w:hAnsi="Calibri" w:cs="Times New Roman"/>
                <w:b w:val="0"/>
                <w:bCs w:val="0"/>
                <w:sz w:val="22"/>
                <w:lang w:val="en-US"/>
              </w:rPr>
              <w:t xml:space="preserve"> </w:t>
            </w:r>
            <w:r w:rsidRPr="0055648B">
              <w:rPr>
                <w:rFonts w:ascii="Calibri" w:eastAsia="Times New Roman" w:hAnsi="Calibri" w:cs="Times New Roman"/>
                <w:sz w:val="22"/>
                <w:lang w:val="en-US"/>
              </w:rPr>
              <w:t>30 June</w:t>
            </w:r>
          </w:p>
        </w:tc>
        <w:tc>
          <w:tcPr>
            <w:cnfStyle w:val="000010000000" w:firstRow="0" w:lastRow="0" w:firstColumn="0" w:lastColumn="0" w:oddVBand="1" w:evenVBand="0" w:oddHBand="0" w:evenHBand="0" w:firstRowFirstColumn="0" w:firstRowLastColumn="0" w:lastRowFirstColumn="0" w:lastRowLastColumn="0"/>
            <w:tcW w:w="2335" w:type="dxa"/>
            <w:tcBorders>
              <w:left w:val="none" w:sz="0" w:space="0" w:color="auto"/>
              <w:right w:val="none" w:sz="0" w:space="0" w:color="auto"/>
            </w:tcBorders>
            <w:noWrap/>
            <w:hideMark/>
          </w:tcPr>
          <w:p w:rsidR="00571656" w:rsidRPr="0055648B" w:rsidRDefault="00571656" w:rsidP="000B69D5">
            <w:pPr>
              <w:spacing w:after="0"/>
              <w:jc w:val="center"/>
              <w:rPr>
                <w:rFonts w:ascii="Calibri" w:eastAsia="Times New Roman" w:hAnsi="Calibri" w:cs="Times New Roman"/>
                <w:sz w:val="22"/>
                <w:lang w:val="en-US"/>
              </w:rPr>
            </w:pPr>
            <w:r w:rsidRPr="0055648B">
              <w:rPr>
                <w:rFonts w:ascii="Calibri" w:eastAsia="Times New Roman" w:hAnsi="Calibri" w:cs="Times New Roman"/>
                <w:sz w:val="22"/>
                <w:lang w:val="en-US"/>
              </w:rPr>
              <w:t>Option 1</w:t>
            </w:r>
            <w:r w:rsidRPr="0055648B">
              <w:rPr>
                <w:rFonts w:ascii="Calibri" w:eastAsia="Times New Roman" w:hAnsi="Calibri" w:cs="Times New Roman"/>
                <w:b w:val="0"/>
                <w:bCs w:val="0"/>
                <w:sz w:val="22"/>
                <w:lang w:val="en-US"/>
              </w:rPr>
              <w:t xml:space="preserve"> </w:t>
            </w:r>
            <w:r w:rsidRPr="0055648B">
              <w:rPr>
                <w:rFonts w:ascii="Calibri" w:eastAsia="Times New Roman" w:hAnsi="Calibri" w:cs="Times New Roman"/>
                <w:sz w:val="22"/>
                <w:lang w:val="en-US"/>
              </w:rPr>
              <w:t>ACAT/RO</w:t>
            </w:r>
            <w:r w:rsidRPr="0055648B">
              <w:rPr>
                <w:rFonts w:ascii="Calibri" w:eastAsia="Times New Roman" w:hAnsi="Calibri" w:cs="Times New Roman"/>
                <w:b w:val="0"/>
                <w:bCs w:val="0"/>
                <w:sz w:val="22"/>
                <w:lang w:val="en-US"/>
              </w:rPr>
              <w:t xml:space="preserve"> </w:t>
            </w:r>
            <w:r w:rsidRPr="0055648B">
              <w:rPr>
                <w:rFonts w:ascii="Calibri" w:eastAsia="Times New Roman" w:hAnsi="Calibri" w:cs="Times New Roman"/>
                <w:sz w:val="22"/>
                <w:lang w:val="en-US"/>
              </w:rPr>
              <w:t>$m</w:t>
            </w:r>
          </w:p>
        </w:tc>
        <w:tc>
          <w:tcPr>
            <w:tcW w:w="2070" w:type="dxa"/>
            <w:noWrap/>
            <w:hideMark/>
          </w:tcPr>
          <w:p w:rsidR="00571656" w:rsidRPr="0055648B" w:rsidRDefault="00571656" w:rsidP="000B69D5">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US"/>
              </w:rPr>
            </w:pPr>
            <w:r w:rsidRPr="0055648B">
              <w:rPr>
                <w:rFonts w:ascii="Calibri" w:eastAsia="Times New Roman" w:hAnsi="Calibri" w:cs="Times New Roman"/>
                <w:sz w:val="22"/>
                <w:lang w:val="en-US"/>
              </w:rPr>
              <w:t>Option 2</w:t>
            </w:r>
            <w:r w:rsidRPr="0055648B">
              <w:rPr>
                <w:rFonts w:ascii="Calibri" w:eastAsia="Times New Roman" w:hAnsi="Calibri" w:cs="Times New Roman"/>
                <w:b w:val="0"/>
                <w:bCs w:val="0"/>
                <w:sz w:val="22"/>
                <w:lang w:val="en-US"/>
              </w:rPr>
              <w:t xml:space="preserve"> </w:t>
            </w:r>
            <w:r w:rsidRPr="0055648B">
              <w:rPr>
                <w:rFonts w:ascii="Calibri" w:eastAsia="Times New Roman" w:hAnsi="Calibri" w:cs="Times New Roman"/>
                <w:sz w:val="22"/>
                <w:lang w:val="en-US"/>
              </w:rPr>
              <w:t>ACAT</w:t>
            </w:r>
            <w:r w:rsidRPr="0055648B">
              <w:rPr>
                <w:rFonts w:ascii="Calibri" w:eastAsia="Times New Roman" w:hAnsi="Calibri" w:cs="Times New Roman"/>
                <w:b w:val="0"/>
                <w:bCs w:val="0"/>
                <w:sz w:val="22"/>
                <w:lang w:val="en-US"/>
              </w:rPr>
              <w:t xml:space="preserve"> </w:t>
            </w:r>
            <w:r w:rsidRPr="0055648B">
              <w:rPr>
                <w:rFonts w:ascii="Calibri" w:eastAsia="Times New Roman" w:hAnsi="Calibri" w:cs="Times New Roman"/>
                <w:sz w:val="22"/>
                <w:lang w:val="en-US"/>
              </w:rPr>
              <w:t>$m</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noWrap/>
            <w:hideMark/>
          </w:tcPr>
          <w:p w:rsidR="00571656" w:rsidRPr="0055648B" w:rsidRDefault="00571656" w:rsidP="000B69D5">
            <w:pPr>
              <w:spacing w:after="0"/>
              <w:jc w:val="center"/>
              <w:rPr>
                <w:rFonts w:ascii="Calibri" w:eastAsia="Times New Roman" w:hAnsi="Calibri" w:cs="Times New Roman"/>
                <w:sz w:val="22"/>
                <w:lang w:val="en-US"/>
              </w:rPr>
            </w:pPr>
            <w:r w:rsidRPr="0055648B">
              <w:rPr>
                <w:rFonts w:ascii="Calibri" w:eastAsia="Times New Roman" w:hAnsi="Calibri" w:cs="Times New Roman"/>
                <w:sz w:val="22"/>
                <w:lang w:val="en-US"/>
              </w:rPr>
              <w:t>Option 3</w:t>
            </w:r>
            <w:r w:rsidRPr="0055648B">
              <w:rPr>
                <w:rFonts w:ascii="Calibri" w:eastAsia="Times New Roman" w:hAnsi="Calibri" w:cs="Times New Roman"/>
                <w:b w:val="0"/>
                <w:bCs w:val="0"/>
                <w:sz w:val="22"/>
                <w:lang w:val="en-US"/>
              </w:rPr>
              <w:t xml:space="preserve"> </w:t>
            </w:r>
            <w:r w:rsidRPr="0055648B">
              <w:rPr>
                <w:rFonts w:ascii="Calibri" w:eastAsia="Times New Roman" w:hAnsi="Calibri" w:cs="Times New Roman"/>
                <w:sz w:val="22"/>
                <w:lang w:val="en-US"/>
              </w:rPr>
              <w:t>SAA</w:t>
            </w:r>
            <w:r w:rsidRPr="0055648B">
              <w:rPr>
                <w:rFonts w:ascii="Calibri" w:eastAsia="Times New Roman" w:hAnsi="Calibri" w:cs="Times New Roman"/>
                <w:b w:val="0"/>
                <w:bCs w:val="0"/>
                <w:sz w:val="22"/>
                <w:lang w:val="en-US"/>
              </w:rPr>
              <w:t xml:space="preserve"> </w:t>
            </w:r>
            <w:r w:rsidRPr="0055648B">
              <w:rPr>
                <w:rFonts w:ascii="Calibri" w:eastAsia="Times New Roman" w:hAnsi="Calibri" w:cs="Times New Roman"/>
                <w:sz w:val="22"/>
                <w:lang w:val="en-US"/>
              </w:rPr>
              <w:t>$m</w:t>
            </w:r>
          </w:p>
        </w:tc>
      </w:tr>
      <w:tr w:rsidR="007D6DFD" w:rsidRPr="0055648B" w:rsidTr="004876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Borders>
              <w:top w:val="none" w:sz="0" w:space="0" w:color="auto"/>
              <w:bottom w:val="none" w:sz="0" w:space="0" w:color="auto"/>
              <w:right w:val="none" w:sz="0" w:space="0" w:color="auto"/>
            </w:tcBorders>
            <w:noWrap/>
            <w:vAlign w:val="center"/>
            <w:hideMark/>
          </w:tcPr>
          <w:p w:rsidR="007D6DFD" w:rsidRPr="0055648B" w:rsidRDefault="007D6DFD" w:rsidP="00487667">
            <w:pPr>
              <w:spacing w:after="0"/>
              <w:jc w:val="left"/>
              <w:rPr>
                <w:rFonts w:ascii="Calibri" w:eastAsia="Times New Roman" w:hAnsi="Calibri" w:cs="Times New Roman"/>
                <w:color w:val="000000"/>
                <w:sz w:val="22"/>
                <w:lang w:val="en-US"/>
              </w:rPr>
            </w:pPr>
            <w:r w:rsidRPr="0055648B">
              <w:rPr>
                <w:rFonts w:ascii="Calibri" w:eastAsia="Times New Roman" w:hAnsi="Calibri" w:cs="Times New Roman"/>
                <w:color w:val="000000"/>
                <w:sz w:val="22"/>
                <w:lang w:val="en-US"/>
              </w:rPr>
              <w:t>2019</w:t>
            </w:r>
          </w:p>
        </w:tc>
        <w:tc>
          <w:tcPr>
            <w:cnfStyle w:val="000010000000" w:firstRow="0" w:lastRow="0" w:firstColumn="0" w:lastColumn="0" w:oddVBand="1" w:evenVBand="0" w:oddHBand="0" w:evenHBand="0" w:firstRowFirstColumn="0" w:firstRowLastColumn="0" w:lastRowFirstColumn="0" w:lastRowLastColumn="0"/>
            <w:tcW w:w="2335" w:type="dxa"/>
            <w:tcBorders>
              <w:top w:val="none" w:sz="0" w:space="0" w:color="auto"/>
              <w:left w:val="none" w:sz="0" w:space="0" w:color="auto"/>
              <w:bottom w:val="none" w:sz="0" w:space="0" w:color="auto"/>
              <w:right w:val="none" w:sz="0" w:space="0" w:color="auto"/>
            </w:tcBorders>
            <w:noWrap/>
            <w:vAlign w:val="bottom"/>
            <w:hideMark/>
          </w:tcPr>
          <w:p w:rsidR="007D6DFD" w:rsidRPr="0055648B" w:rsidRDefault="007D6DFD" w:rsidP="000B69D5">
            <w:pPr>
              <w:spacing w:after="0"/>
              <w:jc w:val="center"/>
              <w:rPr>
                <w:rFonts w:ascii="Calibri" w:eastAsia="Times New Roman" w:hAnsi="Calibri" w:cs="Times New Roman"/>
                <w:color w:val="000000"/>
                <w:sz w:val="22"/>
                <w:lang w:val="en-US"/>
              </w:rPr>
            </w:pPr>
            <w:r w:rsidRPr="00C50B8D">
              <w:rPr>
                <w:rFonts w:ascii="Calibri" w:eastAsia="Times New Roman" w:hAnsi="Calibri" w:cs="Calibri"/>
                <w:color w:val="000000"/>
                <w:sz w:val="22"/>
                <w:lang w:val="en-US"/>
              </w:rPr>
              <w:t>293</w:t>
            </w:r>
          </w:p>
        </w:tc>
        <w:tc>
          <w:tcPr>
            <w:tcW w:w="2070" w:type="dxa"/>
            <w:tcBorders>
              <w:top w:val="none" w:sz="0" w:space="0" w:color="auto"/>
              <w:bottom w:val="none" w:sz="0" w:space="0" w:color="auto"/>
            </w:tcBorders>
            <w:noWrap/>
            <w:vAlign w:val="bottom"/>
            <w:hideMark/>
          </w:tcPr>
          <w:p w:rsidR="007D6DFD" w:rsidRPr="0055648B" w:rsidRDefault="007D6DFD" w:rsidP="000B69D5">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val="en-US"/>
              </w:rPr>
            </w:pPr>
            <w:r w:rsidRPr="00C50B8D">
              <w:rPr>
                <w:rFonts w:ascii="Calibri" w:eastAsia="Times New Roman" w:hAnsi="Calibri" w:cs="Calibri"/>
                <w:color w:val="000000"/>
                <w:sz w:val="22"/>
                <w:lang w:val="en-US"/>
              </w:rPr>
              <w:t>546</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noWrap/>
            <w:vAlign w:val="bottom"/>
            <w:hideMark/>
          </w:tcPr>
          <w:p w:rsidR="007D6DFD" w:rsidRPr="0055648B" w:rsidRDefault="007D6DFD" w:rsidP="000B69D5">
            <w:pPr>
              <w:spacing w:after="0"/>
              <w:jc w:val="center"/>
              <w:rPr>
                <w:rFonts w:ascii="Calibri" w:eastAsia="Times New Roman" w:hAnsi="Calibri" w:cs="Times New Roman"/>
                <w:color w:val="000000"/>
                <w:sz w:val="22"/>
                <w:lang w:val="en-US"/>
              </w:rPr>
            </w:pPr>
            <w:r w:rsidRPr="00C50B8D">
              <w:rPr>
                <w:rFonts w:ascii="Calibri" w:eastAsia="Times New Roman" w:hAnsi="Calibri" w:cs="Calibri"/>
                <w:color w:val="000000"/>
                <w:sz w:val="22"/>
                <w:lang w:val="en-US"/>
              </w:rPr>
              <w:t>494</w:t>
            </w:r>
          </w:p>
        </w:tc>
      </w:tr>
      <w:tr w:rsidR="007D6DFD" w:rsidRPr="0055648B" w:rsidTr="00487667">
        <w:trPr>
          <w:trHeight w:val="300"/>
        </w:trPr>
        <w:tc>
          <w:tcPr>
            <w:cnfStyle w:val="001000000000" w:firstRow="0" w:lastRow="0" w:firstColumn="1" w:lastColumn="0" w:oddVBand="0" w:evenVBand="0" w:oddHBand="0" w:evenHBand="0" w:firstRowFirstColumn="0" w:firstRowLastColumn="0" w:lastRowFirstColumn="0" w:lastRowLastColumn="0"/>
            <w:tcW w:w="1620" w:type="dxa"/>
            <w:tcBorders>
              <w:right w:val="none" w:sz="0" w:space="0" w:color="auto"/>
            </w:tcBorders>
            <w:noWrap/>
            <w:vAlign w:val="center"/>
            <w:hideMark/>
          </w:tcPr>
          <w:p w:rsidR="007D6DFD" w:rsidRPr="0055648B" w:rsidRDefault="007D6DFD" w:rsidP="00487667">
            <w:pPr>
              <w:spacing w:after="0"/>
              <w:jc w:val="left"/>
              <w:rPr>
                <w:rFonts w:ascii="Calibri" w:eastAsia="Times New Roman" w:hAnsi="Calibri" w:cs="Times New Roman"/>
                <w:color w:val="000000"/>
                <w:sz w:val="22"/>
                <w:lang w:val="en-US"/>
              </w:rPr>
            </w:pPr>
            <w:r w:rsidRPr="0055648B">
              <w:rPr>
                <w:rFonts w:ascii="Calibri" w:eastAsia="Times New Roman" w:hAnsi="Calibri" w:cs="Times New Roman"/>
                <w:color w:val="000000"/>
                <w:sz w:val="22"/>
                <w:lang w:val="en-US"/>
              </w:rPr>
              <w:t>2020</w:t>
            </w:r>
          </w:p>
        </w:tc>
        <w:tc>
          <w:tcPr>
            <w:cnfStyle w:val="000010000000" w:firstRow="0" w:lastRow="0" w:firstColumn="0" w:lastColumn="0" w:oddVBand="1" w:evenVBand="0" w:oddHBand="0" w:evenHBand="0" w:firstRowFirstColumn="0" w:firstRowLastColumn="0" w:lastRowFirstColumn="0" w:lastRowLastColumn="0"/>
            <w:tcW w:w="2335" w:type="dxa"/>
            <w:tcBorders>
              <w:left w:val="none" w:sz="0" w:space="0" w:color="auto"/>
              <w:right w:val="none" w:sz="0" w:space="0" w:color="auto"/>
            </w:tcBorders>
            <w:noWrap/>
            <w:vAlign w:val="bottom"/>
            <w:hideMark/>
          </w:tcPr>
          <w:p w:rsidR="007D6DFD" w:rsidRPr="0055648B" w:rsidRDefault="007D6DFD" w:rsidP="000B69D5">
            <w:pPr>
              <w:spacing w:after="0"/>
              <w:jc w:val="center"/>
              <w:rPr>
                <w:rFonts w:ascii="Calibri" w:eastAsia="Times New Roman" w:hAnsi="Calibri" w:cs="Times New Roman"/>
                <w:color w:val="000000"/>
                <w:sz w:val="22"/>
                <w:lang w:val="en-US"/>
              </w:rPr>
            </w:pPr>
            <w:r w:rsidRPr="00C50B8D">
              <w:rPr>
                <w:rFonts w:ascii="Calibri" w:eastAsia="Times New Roman" w:hAnsi="Calibri" w:cs="Calibri"/>
                <w:color w:val="000000"/>
                <w:sz w:val="22"/>
                <w:lang w:val="en-US"/>
              </w:rPr>
              <w:t>802</w:t>
            </w:r>
          </w:p>
        </w:tc>
        <w:tc>
          <w:tcPr>
            <w:tcW w:w="2070" w:type="dxa"/>
            <w:noWrap/>
            <w:vAlign w:val="bottom"/>
            <w:hideMark/>
          </w:tcPr>
          <w:p w:rsidR="007D6DFD" w:rsidRPr="0055648B" w:rsidRDefault="007D6DFD" w:rsidP="000B69D5">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C50B8D">
              <w:rPr>
                <w:rFonts w:ascii="Calibri" w:eastAsia="Times New Roman" w:hAnsi="Calibri" w:cs="Calibri"/>
                <w:color w:val="000000"/>
                <w:sz w:val="22"/>
                <w:lang w:val="en-US"/>
              </w:rPr>
              <w:t>1410</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noWrap/>
            <w:vAlign w:val="bottom"/>
            <w:hideMark/>
          </w:tcPr>
          <w:p w:rsidR="007D6DFD" w:rsidRPr="0055648B" w:rsidRDefault="007D6DFD" w:rsidP="000B69D5">
            <w:pPr>
              <w:spacing w:after="0"/>
              <w:jc w:val="center"/>
              <w:rPr>
                <w:rFonts w:ascii="Calibri" w:eastAsia="Times New Roman" w:hAnsi="Calibri" w:cs="Times New Roman"/>
                <w:color w:val="000000"/>
                <w:sz w:val="22"/>
                <w:lang w:val="en-US"/>
              </w:rPr>
            </w:pPr>
            <w:r w:rsidRPr="00C50B8D">
              <w:rPr>
                <w:rFonts w:ascii="Calibri" w:eastAsia="Times New Roman" w:hAnsi="Calibri" w:cs="Calibri"/>
                <w:color w:val="000000"/>
                <w:sz w:val="22"/>
                <w:lang w:val="en-US"/>
              </w:rPr>
              <w:t>1307</w:t>
            </w:r>
          </w:p>
        </w:tc>
      </w:tr>
      <w:tr w:rsidR="007D6DFD" w:rsidRPr="0055648B" w:rsidTr="004876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Borders>
              <w:top w:val="none" w:sz="0" w:space="0" w:color="auto"/>
              <w:bottom w:val="none" w:sz="0" w:space="0" w:color="auto"/>
              <w:right w:val="none" w:sz="0" w:space="0" w:color="auto"/>
            </w:tcBorders>
            <w:noWrap/>
            <w:vAlign w:val="center"/>
            <w:hideMark/>
          </w:tcPr>
          <w:p w:rsidR="007D6DFD" w:rsidRPr="0055648B" w:rsidRDefault="007D6DFD" w:rsidP="00487667">
            <w:pPr>
              <w:spacing w:after="0"/>
              <w:jc w:val="left"/>
              <w:rPr>
                <w:rFonts w:ascii="Calibri" w:eastAsia="Times New Roman" w:hAnsi="Calibri" w:cs="Times New Roman"/>
                <w:color w:val="000000"/>
                <w:sz w:val="22"/>
                <w:lang w:val="en-US"/>
              </w:rPr>
            </w:pPr>
            <w:r w:rsidRPr="0055648B">
              <w:rPr>
                <w:rFonts w:ascii="Calibri" w:eastAsia="Times New Roman" w:hAnsi="Calibri" w:cs="Times New Roman"/>
                <w:color w:val="000000"/>
                <w:sz w:val="22"/>
                <w:lang w:val="en-US"/>
              </w:rPr>
              <w:t>2021</w:t>
            </w:r>
          </w:p>
        </w:tc>
        <w:tc>
          <w:tcPr>
            <w:cnfStyle w:val="000010000000" w:firstRow="0" w:lastRow="0" w:firstColumn="0" w:lastColumn="0" w:oddVBand="1" w:evenVBand="0" w:oddHBand="0" w:evenHBand="0" w:firstRowFirstColumn="0" w:firstRowLastColumn="0" w:lastRowFirstColumn="0" w:lastRowLastColumn="0"/>
            <w:tcW w:w="2335" w:type="dxa"/>
            <w:tcBorders>
              <w:top w:val="none" w:sz="0" w:space="0" w:color="auto"/>
              <w:left w:val="none" w:sz="0" w:space="0" w:color="auto"/>
              <w:bottom w:val="none" w:sz="0" w:space="0" w:color="auto"/>
              <w:right w:val="none" w:sz="0" w:space="0" w:color="auto"/>
            </w:tcBorders>
            <w:noWrap/>
            <w:vAlign w:val="bottom"/>
            <w:hideMark/>
          </w:tcPr>
          <w:p w:rsidR="007D6DFD" w:rsidRPr="0055648B" w:rsidRDefault="007D6DFD" w:rsidP="000B69D5">
            <w:pPr>
              <w:spacing w:after="0"/>
              <w:jc w:val="center"/>
              <w:rPr>
                <w:rFonts w:ascii="Calibri" w:eastAsia="Times New Roman" w:hAnsi="Calibri" w:cs="Times New Roman"/>
                <w:color w:val="000000"/>
                <w:sz w:val="22"/>
                <w:lang w:val="en-US"/>
              </w:rPr>
            </w:pPr>
            <w:r w:rsidRPr="00C50B8D">
              <w:rPr>
                <w:rFonts w:ascii="Calibri" w:eastAsia="Times New Roman" w:hAnsi="Calibri" w:cs="Calibri"/>
                <w:color w:val="000000"/>
                <w:sz w:val="22"/>
                <w:lang w:val="en-US"/>
              </w:rPr>
              <w:t>1060</w:t>
            </w:r>
          </w:p>
        </w:tc>
        <w:tc>
          <w:tcPr>
            <w:tcW w:w="2070" w:type="dxa"/>
            <w:tcBorders>
              <w:top w:val="none" w:sz="0" w:space="0" w:color="auto"/>
              <w:bottom w:val="none" w:sz="0" w:space="0" w:color="auto"/>
            </w:tcBorders>
            <w:noWrap/>
            <w:vAlign w:val="bottom"/>
            <w:hideMark/>
          </w:tcPr>
          <w:p w:rsidR="007D6DFD" w:rsidRPr="0055648B" w:rsidRDefault="007D6DFD" w:rsidP="000B69D5">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val="en-US"/>
              </w:rPr>
            </w:pPr>
            <w:r w:rsidRPr="00C50B8D">
              <w:rPr>
                <w:rFonts w:ascii="Calibri" w:eastAsia="Times New Roman" w:hAnsi="Calibri" w:cs="Calibri"/>
                <w:color w:val="000000"/>
                <w:sz w:val="22"/>
                <w:lang w:val="en-US"/>
              </w:rPr>
              <w:t>1832</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noWrap/>
            <w:vAlign w:val="bottom"/>
            <w:hideMark/>
          </w:tcPr>
          <w:p w:rsidR="007D6DFD" w:rsidRPr="0055648B" w:rsidRDefault="007D6DFD" w:rsidP="000B69D5">
            <w:pPr>
              <w:spacing w:after="0"/>
              <w:jc w:val="center"/>
              <w:rPr>
                <w:rFonts w:ascii="Calibri" w:eastAsia="Times New Roman" w:hAnsi="Calibri" w:cs="Times New Roman"/>
                <w:color w:val="000000"/>
                <w:sz w:val="22"/>
                <w:lang w:val="en-US"/>
              </w:rPr>
            </w:pPr>
            <w:r w:rsidRPr="00C50B8D">
              <w:rPr>
                <w:rFonts w:ascii="Calibri" w:eastAsia="Times New Roman" w:hAnsi="Calibri" w:cs="Calibri"/>
                <w:color w:val="000000"/>
                <w:sz w:val="22"/>
                <w:lang w:val="en-US"/>
              </w:rPr>
              <w:t>1725</w:t>
            </w:r>
          </w:p>
        </w:tc>
      </w:tr>
      <w:tr w:rsidR="007D6DFD" w:rsidRPr="0055648B" w:rsidTr="00487667">
        <w:trPr>
          <w:trHeight w:val="300"/>
        </w:trPr>
        <w:tc>
          <w:tcPr>
            <w:cnfStyle w:val="001000000000" w:firstRow="0" w:lastRow="0" w:firstColumn="1" w:lastColumn="0" w:oddVBand="0" w:evenVBand="0" w:oddHBand="0" w:evenHBand="0" w:firstRowFirstColumn="0" w:firstRowLastColumn="0" w:lastRowFirstColumn="0" w:lastRowLastColumn="0"/>
            <w:tcW w:w="1620" w:type="dxa"/>
            <w:tcBorders>
              <w:right w:val="none" w:sz="0" w:space="0" w:color="auto"/>
            </w:tcBorders>
            <w:noWrap/>
            <w:vAlign w:val="center"/>
            <w:hideMark/>
          </w:tcPr>
          <w:p w:rsidR="007D6DFD" w:rsidRPr="0055648B" w:rsidRDefault="007D6DFD" w:rsidP="00487667">
            <w:pPr>
              <w:spacing w:after="0"/>
              <w:jc w:val="left"/>
              <w:rPr>
                <w:rFonts w:ascii="Calibri" w:eastAsia="Times New Roman" w:hAnsi="Calibri" w:cs="Times New Roman"/>
                <w:color w:val="000000"/>
                <w:sz w:val="22"/>
                <w:lang w:val="en-US"/>
              </w:rPr>
            </w:pPr>
            <w:r w:rsidRPr="0055648B">
              <w:rPr>
                <w:rFonts w:ascii="Calibri" w:eastAsia="Times New Roman" w:hAnsi="Calibri" w:cs="Times New Roman"/>
                <w:color w:val="000000"/>
                <w:sz w:val="22"/>
                <w:lang w:val="en-US"/>
              </w:rPr>
              <w:t>2022</w:t>
            </w:r>
          </w:p>
        </w:tc>
        <w:tc>
          <w:tcPr>
            <w:cnfStyle w:val="000010000000" w:firstRow="0" w:lastRow="0" w:firstColumn="0" w:lastColumn="0" w:oddVBand="1" w:evenVBand="0" w:oddHBand="0" w:evenHBand="0" w:firstRowFirstColumn="0" w:firstRowLastColumn="0" w:lastRowFirstColumn="0" w:lastRowLastColumn="0"/>
            <w:tcW w:w="2335" w:type="dxa"/>
            <w:tcBorders>
              <w:left w:val="none" w:sz="0" w:space="0" w:color="auto"/>
              <w:right w:val="none" w:sz="0" w:space="0" w:color="auto"/>
            </w:tcBorders>
            <w:noWrap/>
            <w:vAlign w:val="bottom"/>
            <w:hideMark/>
          </w:tcPr>
          <w:p w:rsidR="007D6DFD" w:rsidRPr="0055648B" w:rsidRDefault="007D6DFD" w:rsidP="000B69D5">
            <w:pPr>
              <w:spacing w:after="0"/>
              <w:jc w:val="center"/>
              <w:rPr>
                <w:rFonts w:ascii="Calibri" w:eastAsia="Times New Roman" w:hAnsi="Calibri" w:cs="Times New Roman"/>
                <w:color w:val="000000"/>
                <w:sz w:val="22"/>
                <w:lang w:val="en-US"/>
              </w:rPr>
            </w:pPr>
            <w:r w:rsidRPr="00C50B8D">
              <w:rPr>
                <w:rFonts w:ascii="Calibri" w:eastAsia="Times New Roman" w:hAnsi="Calibri" w:cs="Calibri"/>
                <w:color w:val="000000"/>
                <w:sz w:val="22"/>
                <w:lang w:val="en-US"/>
              </w:rPr>
              <w:t>1173</w:t>
            </w:r>
          </w:p>
        </w:tc>
        <w:tc>
          <w:tcPr>
            <w:tcW w:w="2070" w:type="dxa"/>
            <w:noWrap/>
            <w:vAlign w:val="bottom"/>
            <w:hideMark/>
          </w:tcPr>
          <w:p w:rsidR="007D6DFD" w:rsidRPr="0055648B" w:rsidRDefault="007D6DFD" w:rsidP="000B69D5">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US"/>
              </w:rPr>
            </w:pPr>
            <w:r w:rsidRPr="00C50B8D">
              <w:rPr>
                <w:rFonts w:ascii="Calibri" w:eastAsia="Times New Roman" w:hAnsi="Calibri" w:cs="Calibri"/>
                <w:color w:val="000000"/>
                <w:sz w:val="22"/>
                <w:lang w:val="en-US"/>
              </w:rPr>
              <w:t>2063</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noWrap/>
            <w:vAlign w:val="bottom"/>
            <w:hideMark/>
          </w:tcPr>
          <w:p w:rsidR="007D6DFD" w:rsidRPr="0055648B" w:rsidRDefault="007D6DFD" w:rsidP="000B69D5">
            <w:pPr>
              <w:spacing w:after="0"/>
              <w:jc w:val="center"/>
              <w:rPr>
                <w:rFonts w:ascii="Calibri" w:eastAsia="Times New Roman" w:hAnsi="Calibri" w:cs="Times New Roman"/>
                <w:color w:val="000000"/>
                <w:sz w:val="22"/>
                <w:lang w:val="en-US"/>
              </w:rPr>
            </w:pPr>
            <w:r w:rsidRPr="00C50B8D">
              <w:rPr>
                <w:rFonts w:ascii="Calibri" w:eastAsia="Times New Roman" w:hAnsi="Calibri" w:cs="Calibri"/>
                <w:color w:val="000000"/>
                <w:sz w:val="22"/>
                <w:lang w:val="en-US"/>
              </w:rPr>
              <w:t>1950</w:t>
            </w:r>
          </w:p>
        </w:tc>
      </w:tr>
      <w:tr w:rsidR="007D6DFD" w:rsidRPr="0055648B" w:rsidTr="00C86E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Borders>
              <w:top w:val="none" w:sz="0" w:space="0" w:color="auto"/>
              <w:bottom w:val="none" w:sz="0" w:space="0" w:color="auto"/>
              <w:right w:val="none" w:sz="0" w:space="0" w:color="auto"/>
            </w:tcBorders>
            <w:shd w:val="clear" w:color="auto" w:fill="auto"/>
            <w:noWrap/>
            <w:vAlign w:val="center"/>
            <w:hideMark/>
          </w:tcPr>
          <w:p w:rsidR="007D6DFD" w:rsidRPr="0055648B" w:rsidRDefault="007D6DFD" w:rsidP="00487667">
            <w:pPr>
              <w:spacing w:after="0"/>
              <w:jc w:val="left"/>
              <w:rPr>
                <w:rFonts w:ascii="Calibri" w:eastAsia="Times New Roman" w:hAnsi="Calibri" w:cs="Times New Roman"/>
                <w:color w:val="000000"/>
                <w:sz w:val="22"/>
                <w:lang w:val="en-US"/>
              </w:rPr>
            </w:pPr>
            <w:r w:rsidRPr="0055648B">
              <w:rPr>
                <w:rFonts w:ascii="Calibri" w:eastAsia="Times New Roman" w:hAnsi="Calibri" w:cs="Times New Roman"/>
                <w:color w:val="000000"/>
                <w:sz w:val="22"/>
                <w:lang w:val="en-US"/>
              </w:rPr>
              <w:t>Total</w:t>
            </w:r>
          </w:p>
        </w:tc>
        <w:tc>
          <w:tcPr>
            <w:cnfStyle w:val="000010000000" w:firstRow="0" w:lastRow="0" w:firstColumn="0" w:lastColumn="0" w:oddVBand="1" w:evenVBand="0" w:oddHBand="0" w:evenHBand="0" w:firstRowFirstColumn="0" w:firstRowLastColumn="0" w:lastRowFirstColumn="0" w:lastRowLastColumn="0"/>
            <w:tcW w:w="2335"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7D6DFD" w:rsidRPr="0055648B" w:rsidRDefault="007D6DFD" w:rsidP="000B69D5">
            <w:pPr>
              <w:spacing w:after="0"/>
              <w:jc w:val="center"/>
              <w:rPr>
                <w:rFonts w:ascii="Calibri" w:eastAsia="Times New Roman" w:hAnsi="Calibri" w:cs="Times New Roman"/>
                <w:b/>
                <w:bCs/>
                <w:color w:val="000000"/>
                <w:sz w:val="22"/>
                <w:lang w:val="en-US"/>
              </w:rPr>
            </w:pPr>
            <w:r w:rsidRPr="00C50B8D">
              <w:rPr>
                <w:rFonts w:ascii="Calibri" w:eastAsia="Times New Roman" w:hAnsi="Calibri" w:cs="Calibri"/>
                <w:b/>
                <w:bCs/>
                <w:color w:val="000000"/>
                <w:sz w:val="22"/>
                <w:lang w:val="en-US"/>
              </w:rPr>
              <w:t>3328</w:t>
            </w:r>
          </w:p>
        </w:tc>
        <w:tc>
          <w:tcPr>
            <w:tcW w:w="2070" w:type="dxa"/>
            <w:tcBorders>
              <w:top w:val="none" w:sz="0" w:space="0" w:color="auto"/>
              <w:bottom w:val="none" w:sz="0" w:space="0" w:color="auto"/>
            </w:tcBorders>
            <w:shd w:val="clear" w:color="auto" w:fill="auto"/>
            <w:noWrap/>
            <w:vAlign w:val="bottom"/>
            <w:hideMark/>
          </w:tcPr>
          <w:p w:rsidR="007D6DFD" w:rsidRPr="0055648B" w:rsidRDefault="007D6DFD" w:rsidP="000B69D5">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lang w:val="en-US"/>
              </w:rPr>
            </w:pPr>
            <w:r w:rsidRPr="00C50B8D">
              <w:rPr>
                <w:rFonts w:ascii="Calibri" w:eastAsia="Times New Roman" w:hAnsi="Calibri" w:cs="Calibri"/>
                <w:b/>
                <w:bCs/>
                <w:color w:val="000000"/>
                <w:sz w:val="22"/>
                <w:lang w:val="en-US"/>
              </w:rPr>
              <w:t>5851</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7D6DFD" w:rsidRPr="0055648B" w:rsidRDefault="007D6DFD" w:rsidP="000B69D5">
            <w:pPr>
              <w:spacing w:after="0"/>
              <w:jc w:val="center"/>
              <w:rPr>
                <w:rFonts w:ascii="Calibri" w:eastAsia="Times New Roman" w:hAnsi="Calibri" w:cs="Times New Roman"/>
                <w:b/>
                <w:bCs/>
                <w:color w:val="000000"/>
                <w:sz w:val="22"/>
                <w:lang w:val="en-US"/>
              </w:rPr>
            </w:pPr>
            <w:r w:rsidRPr="00C50B8D">
              <w:rPr>
                <w:rFonts w:ascii="Calibri" w:eastAsia="Times New Roman" w:hAnsi="Calibri" w:cs="Calibri"/>
                <w:b/>
                <w:bCs/>
                <w:color w:val="000000"/>
                <w:sz w:val="22"/>
                <w:lang w:val="en-US"/>
              </w:rPr>
              <w:t>5476</w:t>
            </w:r>
          </w:p>
        </w:tc>
      </w:tr>
    </w:tbl>
    <w:p w:rsidR="00CC0633" w:rsidRDefault="00CC0633" w:rsidP="00487667">
      <w:pPr>
        <w:pStyle w:val="Caption"/>
        <w:keepNext/>
        <w:spacing w:before="140"/>
        <w:jc w:val="both"/>
      </w:pPr>
      <w:r>
        <w:t>F</w:t>
      </w:r>
      <w:r w:rsidR="00C90A16">
        <w:t>igure 11.</w:t>
      </w:r>
      <w:r w:rsidR="009A3F5A">
        <w:fldChar w:fldCharType="begin"/>
      </w:r>
      <w:r w:rsidR="009A3F5A">
        <w:instrText xml:space="preserve"> SEQ Figure_11. \* ARABIC </w:instrText>
      </w:r>
      <w:r w:rsidR="009A3F5A">
        <w:fldChar w:fldCharType="separate"/>
      </w:r>
      <w:r w:rsidR="00856E49">
        <w:rPr>
          <w:noProof/>
        </w:rPr>
        <w:t>3</w:t>
      </w:r>
      <w:r w:rsidR="009A3F5A">
        <w:rPr>
          <w:noProof/>
        </w:rPr>
        <w:fldChar w:fldCharType="end"/>
      </w:r>
      <w:r w:rsidR="00C90A16">
        <w:t xml:space="preserve">: </w:t>
      </w:r>
      <w:r w:rsidR="00C90A16" w:rsidRPr="00C90A16">
        <w:t>Reductions in Growth by Year Relative to the Current System</w:t>
      </w:r>
    </w:p>
    <w:p w:rsidR="00E14487" w:rsidRDefault="00E14487" w:rsidP="00DA493C">
      <w:r>
        <w:rPr>
          <w:noProof/>
          <w:lang w:eastAsia="en-AU"/>
        </w:rPr>
        <w:drawing>
          <wp:inline distT="0" distB="0" distL="0" distR="0" wp14:anchorId="56463B6F" wp14:editId="5F62EB29">
            <wp:extent cx="5256000" cy="3384000"/>
            <wp:effectExtent l="0" t="0" r="1905" b="6985"/>
            <wp:docPr id="264" name="Picture 264" descr="Figure 11.3 is a line diagram illustrating the reductions in growth for options one, two and three from 2019 to 2022 (amount in millions of dollars), as summarised in Table 11.22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56000" cy="3384000"/>
                    </a:xfrm>
                    <a:prstGeom prst="rect">
                      <a:avLst/>
                    </a:prstGeom>
                    <a:noFill/>
                  </pic:spPr>
                </pic:pic>
              </a:graphicData>
            </a:graphic>
          </wp:inline>
        </w:drawing>
      </w:r>
    </w:p>
    <w:p w:rsidR="00CC0633" w:rsidRDefault="00C90A16" w:rsidP="00487667">
      <w:pPr>
        <w:pStyle w:val="Caption"/>
        <w:keepNext/>
        <w:spacing w:before="140"/>
        <w:jc w:val="both"/>
      </w:pPr>
      <w:bookmarkStart w:id="850" w:name="_Toc489386742"/>
      <w:r>
        <w:t>Figure 11.</w:t>
      </w:r>
      <w:r w:rsidR="009A3F5A">
        <w:fldChar w:fldCharType="begin"/>
      </w:r>
      <w:r w:rsidR="009A3F5A">
        <w:instrText xml:space="preserve"> SEQ Figure_11. \* ARABIC </w:instrText>
      </w:r>
      <w:r w:rsidR="009A3F5A">
        <w:fldChar w:fldCharType="separate"/>
      </w:r>
      <w:r w:rsidR="00856E49">
        <w:rPr>
          <w:noProof/>
        </w:rPr>
        <w:t>4</w:t>
      </w:r>
      <w:r w:rsidR="009A3F5A">
        <w:rPr>
          <w:noProof/>
        </w:rPr>
        <w:fldChar w:fldCharType="end"/>
      </w:r>
      <w:r>
        <w:t xml:space="preserve">: </w:t>
      </w:r>
      <w:r w:rsidRPr="00C90A16">
        <w:t>Average Subsidies as Percentage of the Maximum ACFI rate</w:t>
      </w:r>
    </w:p>
    <w:p w:rsidR="00312C06" w:rsidRPr="00DA493C" w:rsidRDefault="00E14487">
      <w:pPr>
        <w:spacing w:after="200"/>
      </w:pPr>
      <w:r>
        <w:rPr>
          <w:noProof/>
          <w:lang w:eastAsia="en-AU"/>
        </w:rPr>
        <w:drawing>
          <wp:inline distT="0" distB="0" distL="0" distR="0" wp14:anchorId="70E47BED" wp14:editId="087332DB">
            <wp:extent cx="5256000" cy="3423600"/>
            <wp:effectExtent l="0" t="0" r="1905" b="5715"/>
            <wp:docPr id="275" name="Picture 275" descr="Figure 11.4 is a line diagram illustrating the average subsidies of the maximum rate for the aged care funding instrument (as a percentage) under options one, two and three from 2018 to 2022, as summarised in text prior to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56000" cy="3423600"/>
                    </a:xfrm>
                    <a:prstGeom prst="rect">
                      <a:avLst/>
                    </a:prstGeom>
                    <a:noFill/>
                  </pic:spPr>
                </pic:pic>
              </a:graphicData>
            </a:graphic>
          </wp:inline>
        </w:drawing>
      </w:r>
      <w:r w:rsidR="00312C06">
        <w:br w:type="page"/>
      </w:r>
    </w:p>
    <w:p w:rsidR="00571656" w:rsidRPr="00B766F0" w:rsidRDefault="00571656" w:rsidP="001329BD">
      <w:pPr>
        <w:pStyle w:val="Heading2-Chapter11"/>
      </w:pPr>
      <w:bookmarkStart w:id="851" w:name="_Toc491426081"/>
      <w:r w:rsidRPr="00B766F0">
        <w:lastRenderedPageBreak/>
        <w:t>Model Comparisons – Recommendations</w:t>
      </w:r>
      <w:bookmarkEnd w:id="850"/>
      <w:bookmarkEnd w:id="851"/>
    </w:p>
    <w:p w:rsidR="00980F62" w:rsidRDefault="00571656" w:rsidP="00571656">
      <w:r w:rsidRPr="00690E8B">
        <w:t xml:space="preserve">There are several reasons to </w:t>
      </w:r>
      <w:r>
        <w:t>consider changing</w:t>
      </w:r>
      <w:r w:rsidRPr="00690E8B">
        <w:t xml:space="preserve"> the </w:t>
      </w:r>
      <w:r>
        <w:t xml:space="preserve">way funding is determined in the </w:t>
      </w:r>
      <w:r w:rsidRPr="00690E8B">
        <w:t xml:space="preserve">current aged care funding system. Modifying the system is important to ensure the stability and sustainability of the system but also to ensure that the system remains one where evidence based assessment results in the best possible care </w:t>
      </w:r>
      <w:r>
        <w:t>for residents with appropriate funding for providers to enable the delivery of the care.</w:t>
      </w:r>
    </w:p>
    <w:p w:rsidR="00571656" w:rsidRPr="00690E8B" w:rsidRDefault="00571656" w:rsidP="00765F9B">
      <w:r w:rsidRPr="00690E8B">
        <w:t xml:space="preserve">The aim of changing the current R-ACFI assessment and review system </w:t>
      </w:r>
      <w:r>
        <w:t xml:space="preserve">to an External Assessment approach </w:t>
      </w:r>
      <w:r w:rsidRPr="00690E8B">
        <w:t>is to:</w:t>
      </w:r>
    </w:p>
    <w:p w:rsidR="00571656" w:rsidRPr="00006DF4" w:rsidRDefault="00571656" w:rsidP="00DE7198">
      <w:pPr>
        <w:spacing w:before="120" w:after="0"/>
        <w:rPr>
          <w:rStyle w:val="Strong"/>
        </w:rPr>
      </w:pPr>
      <w:r w:rsidRPr="00006DF4">
        <w:rPr>
          <w:rStyle w:val="Strong"/>
        </w:rPr>
        <w:t>Improve the equity and fairness of the system</w:t>
      </w:r>
    </w:p>
    <w:p w:rsidR="00571656" w:rsidRDefault="00571656" w:rsidP="00571656">
      <w:r>
        <w:t>The basic requirement of any aged care funding system is that residents with similar levels of care needs attract the same amount of Government funding irrespective of the aged care service they are living in. At present some providers are receiving significantly more funding and others les</w:t>
      </w:r>
      <w:r w:rsidR="00430640">
        <w:t>s funding for the same resident</w:t>
      </w:r>
      <w:r>
        <w:t>s due to variations in claiming practices.</w:t>
      </w:r>
      <w:r w:rsidR="007A576E">
        <w:t xml:space="preserve"> </w:t>
      </w:r>
      <w:r>
        <w:t>While making the funding tool less susceptible to gaming will help, ultimately the ability to provide a more standardised basis for the decision about the residents funding assessment will provide the most equitable outcomes.</w:t>
      </w:r>
      <w:r w:rsidR="007A576E">
        <w:t xml:space="preserve"> </w:t>
      </w:r>
      <w:r>
        <w:t>It is important that any increases in Government expenditure on aged care residents are related to changes in resident acuity and numbers of residents rather than anomalies in claiming behaviour.</w:t>
      </w:r>
    </w:p>
    <w:p w:rsidR="00571656" w:rsidRPr="00006DF4" w:rsidRDefault="00571656" w:rsidP="00DE7198">
      <w:pPr>
        <w:spacing w:before="120" w:after="0"/>
        <w:rPr>
          <w:rStyle w:val="Strong"/>
        </w:rPr>
      </w:pPr>
      <w:r w:rsidRPr="00006DF4">
        <w:rPr>
          <w:rStyle w:val="Strong"/>
        </w:rPr>
        <w:t>Improve the surety, stability and predictability of provider income and government expenditure</w:t>
      </w:r>
    </w:p>
    <w:p w:rsidR="00980F62" w:rsidRDefault="00571656" w:rsidP="00571656">
      <w:r>
        <w:t>Most of residential aged care in Australia is undertaken by private businesses. It is important that they have funding surety, stability and predictability in their income stream so they are able to run effective and efficient businesses. It is also important that government can prepare budgets that allow for appropriate funding growth for residential care subsidies and be confident that increases in the budget are overwhelmingly due to an increase in the care needs of residents as the population ages.</w:t>
      </w:r>
    </w:p>
    <w:p w:rsidR="00571656" w:rsidRPr="00886A0C" w:rsidRDefault="00571656" w:rsidP="000B0053">
      <w:pPr>
        <w:pStyle w:val="Heading3-Chapter115"/>
        <w:numPr>
          <w:ilvl w:val="0"/>
          <w:numId w:val="242"/>
        </w:numPr>
        <w:tabs>
          <w:tab w:val="left" w:pos="993"/>
        </w:tabs>
        <w:ind w:left="0" w:firstLine="0"/>
      </w:pPr>
      <w:bookmarkStart w:id="852" w:name="_Toc489386743"/>
      <w:r w:rsidRPr="00886A0C">
        <w:t>Assessing the Options</w:t>
      </w:r>
      <w:bookmarkEnd w:id="852"/>
    </w:p>
    <w:p w:rsidR="00980F62" w:rsidRDefault="00473246" w:rsidP="00571656">
      <w:hyperlink w:anchor="Tab1123" w:history="1">
        <w:r w:rsidR="00571656" w:rsidRPr="00883284">
          <w:rPr>
            <w:rStyle w:val="Hyperlink"/>
          </w:rPr>
          <w:t>Table 11.23</w:t>
        </w:r>
      </w:hyperlink>
      <w:r w:rsidR="00571656">
        <w:t xml:space="preserve"> provides the list of indicators against whic</w:t>
      </w:r>
      <w:r w:rsidR="00430640">
        <w:t>h each of the models is rated.</w:t>
      </w:r>
      <w:r w:rsidR="007A576E">
        <w:t xml:space="preserve"> </w:t>
      </w:r>
      <w:r w:rsidR="00DE7198">
        <w:br/>
      </w:r>
      <w:r w:rsidR="00430640">
        <w:t>T</w:t>
      </w:r>
      <w:r w:rsidR="00571656">
        <w:t>he main indicators are related to:</w:t>
      </w:r>
    </w:p>
    <w:p w:rsidR="00571656" w:rsidRDefault="00571656" w:rsidP="00F02312">
      <w:pPr>
        <w:pStyle w:val="ListParagraph"/>
        <w:numPr>
          <w:ilvl w:val="0"/>
          <w:numId w:val="132"/>
        </w:numPr>
      </w:pPr>
      <w:r w:rsidRPr="00690E8B">
        <w:t>equity and fairness of the system</w:t>
      </w:r>
    </w:p>
    <w:p w:rsidR="00980F62" w:rsidRDefault="00571656" w:rsidP="00F02312">
      <w:pPr>
        <w:pStyle w:val="ListParagraph"/>
        <w:numPr>
          <w:ilvl w:val="0"/>
          <w:numId w:val="132"/>
        </w:numPr>
      </w:pPr>
      <w:r w:rsidRPr="00690E8B">
        <w:t>quality and consistency of assessment</w:t>
      </w:r>
    </w:p>
    <w:p w:rsidR="00571656" w:rsidRPr="00690E8B" w:rsidRDefault="00571656" w:rsidP="00F02312">
      <w:pPr>
        <w:pStyle w:val="ListParagraph"/>
        <w:numPr>
          <w:ilvl w:val="0"/>
          <w:numId w:val="132"/>
        </w:numPr>
      </w:pPr>
      <w:r>
        <w:t xml:space="preserve">government </w:t>
      </w:r>
      <w:r w:rsidRPr="00690E8B">
        <w:t>expenditure/funding</w:t>
      </w:r>
      <w:r w:rsidRPr="00412878">
        <w:t xml:space="preserve"> </w:t>
      </w:r>
      <w:r>
        <w:t>predictability and save costs where possible</w:t>
      </w:r>
    </w:p>
    <w:p w:rsidR="00571656" w:rsidRPr="003F5A0A" w:rsidRDefault="00571656" w:rsidP="00F02312">
      <w:pPr>
        <w:pStyle w:val="ListParagraph"/>
        <w:numPr>
          <w:ilvl w:val="0"/>
          <w:numId w:val="132"/>
        </w:numPr>
      </w:pPr>
      <w:r w:rsidRPr="003F5A0A">
        <w:t>the surety, stability and predictability of provider income</w:t>
      </w:r>
    </w:p>
    <w:p w:rsidR="00980F62" w:rsidRDefault="00571656" w:rsidP="00571656">
      <w:r>
        <w:t>The External Assessment Options 2 and 3 are almost certain to bring about a lasting change to the pattern of unpredictable growth in residential care subsidies.</w:t>
      </w:r>
      <w:r w:rsidR="007A576E">
        <w:t xml:space="preserve"> </w:t>
      </w:r>
      <w:r>
        <w:t xml:space="preserve">It is apparent that the </w:t>
      </w:r>
      <w:r w:rsidRPr="007F4BB0">
        <w:t xml:space="preserve">ACAT </w:t>
      </w:r>
      <w:r>
        <w:t>option</w:t>
      </w:r>
      <w:r w:rsidRPr="007F4BB0">
        <w:t xml:space="preserve"> is likely to bring the most benefits overall but </w:t>
      </w:r>
      <w:r>
        <w:t xml:space="preserve">it </w:t>
      </w:r>
      <w:r w:rsidRPr="007F4BB0">
        <w:t>will also be the most disruptive change in the short term</w:t>
      </w:r>
      <w:r>
        <w:t xml:space="preserve"> compared to Option 3, which is also viable and perhaps easier to introduce in the shorter term</w:t>
      </w:r>
      <w:r w:rsidRPr="007F4BB0">
        <w:t>.</w:t>
      </w:r>
      <w:r w:rsidR="007A576E">
        <w:t xml:space="preserve"> </w:t>
      </w:r>
      <w:r>
        <w:t xml:space="preserve">While a structural change will be required to introduce a </w:t>
      </w:r>
      <w:r>
        <w:lastRenderedPageBreak/>
        <w:t>national program based on a modified ACAT External Assessment model, it is viewed as having benefits beyond better control of care subsidies as it will also lead to a fairer and more equitable way to fund the care needs of people needing aged care services whether it is to be in the community or residential care.</w:t>
      </w:r>
    </w:p>
    <w:p w:rsidR="00571656" w:rsidRPr="00106F13" w:rsidRDefault="00571656" w:rsidP="00571656">
      <w:r w:rsidRPr="00106F13">
        <w:t xml:space="preserve">An </w:t>
      </w:r>
      <w:r>
        <w:t xml:space="preserve">ACAT based </w:t>
      </w:r>
      <w:r w:rsidRPr="00106F13">
        <w:t xml:space="preserve">External Assessment model </w:t>
      </w:r>
      <w:r>
        <w:t xml:space="preserve">also </w:t>
      </w:r>
      <w:r w:rsidRPr="00106F13">
        <w:t xml:space="preserve">gives the opportunity to consolidate assessment and funding in high level community care programs and residential care. </w:t>
      </w:r>
      <w:r>
        <w:t>D</w:t>
      </w:r>
      <w:r w:rsidRPr="00106F13">
        <w:t>irect comparison of R-ACFI payment and Community Care Package or CHSP funding will be possible as a person living in the community will also have an R-ACFI funding rating. This will give the basis for the single instrument and funding model in community and residential care. The External Assessor models will also enable accurate monitoring of the changes in care needs over time in the community and residential care populations and give information to drive research to inform government planning.</w:t>
      </w:r>
      <w:r w:rsidR="007A576E">
        <w:t xml:space="preserve"> </w:t>
      </w:r>
      <w:r w:rsidRPr="00106F13">
        <w:t>The Government can more accurately analyse disability trends and compare residential and community care client profiles to measure unmet demand for aged care which is a statutory government obligation.</w:t>
      </w:r>
    </w:p>
    <w:p w:rsidR="00571656" w:rsidRDefault="00571656" w:rsidP="00571656">
      <w:r>
        <w:t>Investment in the changes now would potentially result in a more streamlined system for all of Australia’s aged population that can grow with the ageing population.</w:t>
      </w:r>
    </w:p>
    <w:p w:rsidR="00571656" w:rsidRPr="007F4BB0" w:rsidRDefault="00571656" w:rsidP="00571656">
      <w:r>
        <w:t>Investment in IT and training now will ensure the system is robust and resilient into the future with costs contained to those relating to resident/care recipient acuity rather than business processes.</w:t>
      </w:r>
    </w:p>
    <w:p w:rsidR="00571656" w:rsidRDefault="00571656">
      <w:pPr>
        <w:spacing w:after="200"/>
      </w:pPr>
      <w:r>
        <w:br w:type="page"/>
      </w:r>
    </w:p>
    <w:p w:rsidR="00571656" w:rsidRDefault="00571656" w:rsidP="00571656">
      <w:pPr>
        <w:sectPr w:rsidR="00571656">
          <w:headerReference w:type="default" r:id="rId143"/>
          <w:footerReference w:type="default" r:id="rId144"/>
          <w:pgSz w:w="11906" w:h="16838"/>
          <w:pgMar w:top="1440" w:right="1440" w:bottom="1440" w:left="1440" w:header="708" w:footer="708" w:gutter="0"/>
          <w:cols w:space="708"/>
          <w:docGrid w:linePitch="360"/>
        </w:sectPr>
      </w:pPr>
    </w:p>
    <w:p w:rsidR="00CC0633" w:rsidRDefault="00487667" w:rsidP="00CC0633">
      <w:pPr>
        <w:pStyle w:val="Caption"/>
        <w:keepNext/>
      </w:pPr>
      <w:bookmarkStart w:id="853" w:name="_Toc495416883"/>
      <w:bookmarkStart w:id="854" w:name="Tab1123"/>
      <w:r>
        <w:lastRenderedPageBreak/>
        <w:t>Table 11.</w:t>
      </w:r>
      <w:r w:rsidR="009A3F5A">
        <w:fldChar w:fldCharType="begin"/>
      </w:r>
      <w:r w:rsidR="009A3F5A">
        <w:instrText xml:space="preserve"> SEQ Table_11. \* ARABIC </w:instrText>
      </w:r>
      <w:r w:rsidR="009A3F5A">
        <w:fldChar w:fldCharType="separate"/>
      </w:r>
      <w:r w:rsidR="00856E49">
        <w:rPr>
          <w:noProof/>
        </w:rPr>
        <w:t>23</w:t>
      </w:r>
      <w:r w:rsidR="009A3F5A">
        <w:rPr>
          <w:noProof/>
        </w:rPr>
        <w:fldChar w:fldCharType="end"/>
      </w:r>
      <w:r>
        <w:t xml:space="preserve">: </w:t>
      </w:r>
      <w:r w:rsidRPr="00487667">
        <w:t>Indicators of Options Improvement over the Current Model – Three New Options</w:t>
      </w:r>
      <w:bookmarkEnd w:id="853"/>
    </w:p>
    <w:tbl>
      <w:tblPr>
        <w:tblStyle w:val="CV12"/>
        <w:tblW w:w="4923" w:type="pct"/>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Description w:val="Table 11.23 is a list of model improvements (as indicators) for options one, two and three.&#10;The 18 improvement indicators cover:&#10;1. Equity and fairness of the system&#10;2. Review and audit processes&#10;3. Reduction of income maximisation by providers&#10;4. Quality and consistency of assessment&#10;5. Responsibility for initial assessment&#10;6. Responsibility for reviewing/ auditing&#10;7. Quality of the assessment model&#10;8. Appeal process for providers (where external assessors are being used)&#10;9. Is the proposed assessment tool evidence based and suited to provide an evidence base for care planning?&#10;10. Does the model improve the predictability of system expenditure/funding?&#10;11. Is there a hierarchical review and audit process that uses technology to improve the system’s review and audit processes?&#10;12. The funding determination method for new residents if fully external will reduce administration costs for providers&#10;13. Does the option lend itself to integration of RAC and Community Aged Care assessment systems?&#10;14. Does the model improve the surety, stability and predictability of provider income?&#10;15. Is the audit period limited?&#10;16. Is the length of the audit window period conducive to planning for providers?&#10;17. Are new resident R-ACFI subsidies free from auditing at entry to care? &#10;18. Will the changes result in a reduction in growth due to maximised claiming?&#10;This table is to be read left to right, top to bottom. "/>
      </w:tblPr>
      <w:tblGrid>
        <w:gridCol w:w="9344"/>
        <w:gridCol w:w="2093"/>
        <w:gridCol w:w="1115"/>
        <w:gridCol w:w="1181"/>
      </w:tblGrid>
      <w:tr w:rsidR="00F7279A" w:rsidRPr="00DA493C" w:rsidTr="00F7279A">
        <w:trPr>
          <w:tblHeader/>
        </w:trPr>
        <w:tc>
          <w:tcPr>
            <w:tcW w:w="3402" w:type="pct"/>
            <w:shd w:val="clear" w:color="auto" w:fill="5B9BD5" w:themeFill="accent5"/>
            <w:vAlign w:val="center"/>
          </w:tcPr>
          <w:bookmarkEnd w:id="854"/>
          <w:p w:rsidR="00B17978" w:rsidRPr="00DA493C" w:rsidRDefault="00B17978" w:rsidP="00F7279A">
            <w:pPr>
              <w:spacing w:after="0"/>
              <w:jc w:val="left"/>
              <w:rPr>
                <w:rFonts w:eastAsia="Times New Roman" w:cstheme="minorHAnsi"/>
                <w:b/>
                <w:color w:val="FFFFFF" w:themeColor="background1"/>
                <w:sz w:val="22"/>
                <w:lang w:eastAsia="en-AU"/>
              </w:rPr>
            </w:pPr>
            <w:r w:rsidRPr="00DA493C">
              <w:rPr>
                <w:rFonts w:eastAsia="Times New Roman" w:cstheme="minorHAnsi"/>
                <w:b/>
                <w:color w:val="FFFFFF" w:themeColor="background1"/>
                <w:sz w:val="22"/>
                <w:lang w:eastAsia="en-AU"/>
              </w:rPr>
              <w:t>Indicators</w:t>
            </w:r>
          </w:p>
        </w:tc>
        <w:tc>
          <w:tcPr>
            <w:tcW w:w="762" w:type="pct"/>
            <w:shd w:val="clear" w:color="auto" w:fill="5B9BD5" w:themeFill="accent5"/>
            <w:vAlign w:val="center"/>
          </w:tcPr>
          <w:p w:rsidR="00B17978" w:rsidRPr="00DA493C" w:rsidRDefault="00B17978" w:rsidP="00E14487">
            <w:pPr>
              <w:spacing w:after="0"/>
              <w:jc w:val="center"/>
              <w:rPr>
                <w:rFonts w:eastAsia="Times New Roman" w:cstheme="minorHAnsi"/>
                <w:b/>
                <w:color w:val="FFFFFF" w:themeColor="background1"/>
                <w:sz w:val="22"/>
                <w:lang w:eastAsia="en-AU"/>
              </w:rPr>
            </w:pPr>
            <w:r w:rsidRPr="00DA493C">
              <w:rPr>
                <w:rFonts w:eastAsia="Times New Roman" w:cstheme="minorHAnsi"/>
                <w:b/>
                <w:color w:val="FFFFFF" w:themeColor="background1"/>
                <w:sz w:val="22"/>
                <w:lang w:eastAsia="en-AU"/>
              </w:rPr>
              <w:t>Option 1</w:t>
            </w:r>
          </w:p>
          <w:p w:rsidR="00B17978" w:rsidRPr="00DA493C" w:rsidRDefault="00B17978" w:rsidP="00E14487">
            <w:pPr>
              <w:spacing w:after="0"/>
              <w:jc w:val="center"/>
              <w:rPr>
                <w:rFonts w:eastAsia="Times New Roman" w:cstheme="minorHAnsi"/>
                <w:b/>
                <w:color w:val="FFFFFF" w:themeColor="background1"/>
                <w:sz w:val="22"/>
                <w:lang w:eastAsia="en-AU"/>
              </w:rPr>
            </w:pPr>
            <w:r w:rsidRPr="00DA493C">
              <w:rPr>
                <w:rFonts w:eastAsia="Times New Roman" w:cstheme="minorHAnsi"/>
                <w:b/>
                <w:color w:val="FFFFFF" w:themeColor="background1"/>
                <w:sz w:val="22"/>
                <w:lang w:eastAsia="en-AU"/>
              </w:rPr>
              <w:t>Modified Current</w:t>
            </w:r>
          </w:p>
        </w:tc>
        <w:tc>
          <w:tcPr>
            <w:tcW w:w="406" w:type="pct"/>
            <w:shd w:val="clear" w:color="auto" w:fill="5B9BD5" w:themeFill="accent5"/>
            <w:vAlign w:val="center"/>
          </w:tcPr>
          <w:p w:rsidR="00B17978" w:rsidRPr="00DA493C" w:rsidRDefault="00B17978" w:rsidP="00E14487">
            <w:pPr>
              <w:spacing w:after="0"/>
              <w:jc w:val="center"/>
              <w:rPr>
                <w:rFonts w:eastAsia="Times New Roman" w:cstheme="minorHAnsi"/>
                <w:b/>
                <w:color w:val="FFFFFF" w:themeColor="background1"/>
                <w:sz w:val="22"/>
                <w:lang w:eastAsia="en-AU"/>
              </w:rPr>
            </w:pPr>
            <w:r w:rsidRPr="00DA493C">
              <w:rPr>
                <w:rFonts w:eastAsia="Times New Roman" w:cstheme="minorHAnsi"/>
                <w:b/>
                <w:color w:val="FFFFFF" w:themeColor="background1"/>
                <w:sz w:val="22"/>
                <w:lang w:eastAsia="en-AU"/>
              </w:rPr>
              <w:t>Option 2</w:t>
            </w:r>
          </w:p>
          <w:p w:rsidR="00B17978" w:rsidRPr="00DA493C" w:rsidRDefault="00B17978" w:rsidP="00E14487">
            <w:pPr>
              <w:spacing w:after="0"/>
              <w:jc w:val="center"/>
              <w:rPr>
                <w:rFonts w:eastAsia="Times New Roman" w:cstheme="minorHAnsi"/>
                <w:b/>
                <w:color w:val="FFFFFF" w:themeColor="background1"/>
                <w:sz w:val="22"/>
                <w:lang w:eastAsia="en-AU"/>
              </w:rPr>
            </w:pPr>
            <w:r w:rsidRPr="00DA493C">
              <w:rPr>
                <w:rFonts w:eastAsia="Times New Roman" w:cstheme="minorHAnsi"/>
                <w:b/>
                <w:color w:val="FFFFFF" w:themeColor="background1"/>
                <w:sz w:val="22"/>
                <w:lang w:eastAsia="en-AU"/>
              </w:rPr>
              <w:t>ACAT</w:t>
            </w:r>
          </w:p>
        </w:tc>
        <w:tc>
          <w:tcPr>
            <w:tcW w:w="430" w:type="pct"/>
            <w:shd w:val="clear" w:color="auto" w:fill="5B9BD5" w:themeFill="accent5"/>
            <w:vAlign w:val="center"/>
          </w:tcPr>
          <w:p w:rsidR="00B17978" w:rsidRPr="00DA493C" w:rsidRDefault="00B17978" w:rsidP="00E14487">
            <w:pPr>
              <w:spacing w:after="0"/>
              <w:jc w:val="center"/>
              <w:rPr>
                <w:rFonts w:eastAsia="Times New Roman" w:cstheme="minorHAnsi"/>
                <w:b/>
                <w:color w:val="FFFFFF" w:themeColor="background1"/>
                <w:sz w:val="22"/>
                <w:lang w:eastAsia="en-AU"/>
              </w:rPr>
            </w:pPr>
            <w:r w:rsidRPr="00DA493C">
              <w:rPr>
                <w:rFonts w:eastAsia="Times New Roman" w:cstheme="minorHAnsi"/>
                <w:b/>
                <w:color w:val="FFFFFF" w:themeColor="background1"/>
                <w:sz w:val="22"/>
                <w:lang w:eastAsia="en-AU"/>
              </w:rPr>
              <w:t>Option 3</w:t>
            </w:r>
          </w:p>
          <w:p w:rsidR="00B17978" w:rsidRPr="00DA493C" w:rsidRDefault="00B17978" w:rsidP="00E14487">
            <w:pPr>
              <w:spacing w:after="0"/>
              <w:jc w:val="center"/>
              <w:rPr>
                <w:rFonts w:eastAsia="Times New Roman" w:cstheme="minorHAnsi"/>
                <w:b/>
                <w:color w:val="FFFFFF" w:themeColor="background1"/>
                <w:sz w:val="22"/>
                <w:lang w:eastAsia="en-AU"/>
              </w:rPr>
            </w:pPr>
            <w:r w:rsidRPr="00DA493C">
              <w:rPr>
                <w:rFonts w:eastAsia="Times New Roman" w:cstheme="minorHAnsi"/>
                <w:b/>
                <w:color w:val="FFFFFF" w:themeColor="background1"/>
                <w:sz w:val="22"/>
                <w:lang w:eastAsia="en-AU"/>
              </w:rPr>
              <w:t>SAA</w:t>
            </w:r>
          </w:p>
        </w:tc>
      </w:tr>
      <w:tr w:rsidR="00F7279A" w:rsidRPr="00DA493C" w:rsidTr="00F7279A">
        <w:trPr>
          <w:trHeight w:val="211"/>
        </w:trPr>
        <w:tc>
          <w:tcPr>
            <w:tcW w:w="3402" w:type="pct"/>
          </w:tcPr>
          <w:p w:rsidR="00064B13" w:rsidRPr="00DA493C" w:rsidRDefault="00064B13" w:rsidP="00212F6E">
            <w:pPr>
              <w:spacing w:before="20" w:after="20"/>
              <w:jc w:val="left"/>
              <w:rPr>
                <w:sz w:val="22"/>
              </w:rPr>
            </w:pPr>
            <w:r w:rsidRPr="00DA493C">
              <w:rPr>
                <w:sz w:val="22"/>
              </w:rPr>
              <w:t>Does the model improve the equity and fairness of the system?</w:t>
            </w:r>
          </w:p>
        </w:tc>
        <w:tc>
          <w:tcPr>
            <w:tcW w:w="762" w:type="pct"/>
            <w:vAlign w:val="center"/>
          </w:tcPr>
          <w:p w:rsidR="00064B13" w:rsidRPr="00DA493C" w:rsidRDefault="00064B13" w:rsidP="00E14487">
            <w:pPr>
              <w:spacing w:before="20" w:after="20"/>
              <w:jc w:val="center"/>
              <w:rPr>
                <w:sz w:val="22"/>
              </w:rPr>
            </w:pPr>
            <w:r>
              <w:rPr>
                <w:sz w:val="22"/>
              </w:rPr>
              <w:t>Yes</w:t>
            </w:r>
          </w:p>
        </w:tc>
        <w:tc>
          <w:tcPr>
            <w:tcW w:w="406" w:type="pct"/>
            <w:vAlign w:val="center"/>
          </w:tcPr>
          <w:p w:rsidR="00064B13" w:rsidRPr="00DA493C" w:rsidRDefault="00064B13" w:rsidP="00E14487">
            <w:pPr>
              <w:spacing w:before="20" w:after="20"/>
              <w:jc w:val="center"/>
              <w:rPr>
                <w:sz w:val="22"/>
              </w:rPr>
            </w:pPr>
            <w:r>
              <w:rPr>
                <w:sz w:val="22"/>
              </w:rPr>
              <w:t>Yes</w:t>
            </w:r>
          </w:p>
        </w:tc>
        <w:tc>
          <w:tcPr>
            <w:tcW w:w="430" w:type="pct"/>
            <w:vAlign w:val="center"/>
          </w:tcPr>
          <w:p w:rsidR="00064B13" w:rsidRPr="00DA493C" w:rsidRDefault="00064B13" w:rsidP="00E14487">
            <w:pPr>
              <w:spacing w:before="20" w:after="20"/>
              <w:jc w:val="center"/>
              <w:rPr>
                <w:sz w:val="22"/>
              </w:rPr>
            </w:pPr>
            <w:r>
              <w:rPr>
                <w:sz w:val="22"/>
              </w:rPr>
              <w:t>Yes</w:t>
            </w:r>
          </w:p>
        </w:tc>
      </w:tr>
      <w:tr w:rsidR="00F7279A" w:rsidRPr="00DA493C" w:rsidTr="00F7279A">
        <w:tc>
          <w:tcPr>
            <w:tcW w:w="3402" w:type="pct"/>
          </w:tcPr>
          <w:p w:rsidR="00064B13" w:rsidRPr="00DA493C" w:rsidRDefault="00064B13" w:rsidP="00212F6E">
            <w:pPr>
              <w:spacing w:before="20" w:after="20"/>
              <w:jc w:val="left"/>
              <w:rPr>
                <w:rFonts w:eastAsia="Times New Roman" w:cstheme="minorHAnsi"/>
                <w:sz w:val="22"/>
                <w:lang w:eastAsia="en-AU"/>
              </w:rPr>
            </w:pPr>
            <w:r w:rsidRPr="00DA493C">
              <w:rPr>
                <w:sz w:val="22"/>
              </w:rPr>
              <w:t>Improved review and audit?</w:t>
            </w:r>
          </w:p>
        </w:tc>
        <w:tc>
          <w:tcPr>
            <w:tcW w:w="762" w:type="pct"/>
            <w:shd w:val="clear" w:color="auto" w:fill="auto"/>
            <w:vAlign w:val="center"/>
          </w:tcPr>
          <w:p w:rsidR="00064B13" w:rsidRPr="00DA493C" w:rsidRDefault="00064B13" w:rsidP="00E14487">
            <w:pPr>
              <w:spacing w:before="20" w:after="20"/>
              <w:jc w:val="center"/>
              <w:rPr>
                <w:sz w:val="22"/>
              </w:rPr>
            </w:pPr>
            <w:r>
              <w:rPr>
                <w:sz w:val="22"/>
              </w:rPr>
              <w:t>Yes</w:t>
            </w:r>
          </w:p>
        </w:tc>
        <w:tc>
          <w:tcPr>
            <w:tcW w:w="406" w:type="pct"/>
            <w:shd w:val="clear" w:color="auto" w:fill="auto"/>
            <w:vAlign w:val="center"/>
          </w:tcPr>
          <w:p w:rsidR="00064B13" w:rsidRPr="00DA493C" w:rsidRDefault="00064B13" w:rsidP="00E14487">
            <w:pPr>
              <w:spacing w:before="20" w:after="20"/>
              <w:jc w:val="center"/>
              <w:rPr>
                <w:sz w:val="22"/>
              </w:rPr>
            </w:pPr>
            <w:r>
              <w:rPr>
                <w:sz w:val="22"/>
              </w:rPr>
              <w:t>Yes</w:t>
            </w:r>
          </w:p>
        </w:tc>
        <w:tc>
          <w:tcPr>
            <w:tcW w:w="430" w:type="pct"/>
            <w:vAlign w:val="center"/>
          </w:tcPr>
          <w:p w:rsidR="00064B13" w:rsidRPr="00DA493C" w:rsidRDefault="00064B13" w:rsidP="00E14487">
            <w:pPr>
              <w:spacing w:before="20" w:after="20"/>
              <w:jc w:val="center"/>
              <w:rPr>
                <w:sz w:val="22"/>
              </w:rPr>
            </w:pPr>
            <w:r>
              <w:rPr>
                <w:sz w:val="22"/>
              </w:rPr>
              <w:t>Yes</w:t>
            </w:r>
          </w:p>
        </w:tc>
      </w:tr>
      <w:tr w:rsidR="00F7279A" w:rsidRPr="00DA493C" w:rsidTr="00F7279A">
        <w:tc>
          <w:tcPr>
            <w:tcW w:w="3402" w:type="pct"/>
          </w:tcPr>
          <w:p w:rsidR="00064B13" w:rsidRPr="00DA493C" w:rsidRDefault="00064B13" w:rsidP="00212F6E">
            <w:pPr>
              <w:spacing w:before="20" w:after="20"/>
              <w:jc w:val="left"/>
              <w:rPr>
                <w:rFonts w:eastAsia="Times New Roman" w:cstheme="minorHAnsi"/>
                <w:sz w:val="22"/>
                <w:lang w:eastAsia="en-AU"/>
              </w:rPr>
            </w:pPr>
            <w:r w:rsidRPr="00DA493C">
              <w:rPr>
                <w:sz w:val="22"/>
              </w:rPr>
              <w:t>Potential for income maximisation by providers reduced?</w:t>
            </w:r>
          </w:p>
        </w:tc>
        <w:tc>
          <w:tcPr>
            <w:tcW w:w="762" w:type="pct"/>
            <w:shd w:val="clear" w:color="auto" w:fill="auto"/>
            <w:vAlign w:val="center"/>
          </w:tcPr>
          <w:p w:rsidR="00064B13" w:rsidRPr="00DA493C" w:rsidRDefault="00064B13" w:rsidP="00E14487">
            <w:pPr>
              <w:spacing w:before="20" w:after="20"/>
              <w:jc w:val="center"/>
              <w:rPr>
                <w:sz w:val="22"/>
              </w:rPr>
            </w:pPr>
            <w:r>
              <w:rPr>
                <w:sz w:val="22"/>
              </w:rPr>
              <w:t>Yes</w:t>
            </w:r>
          </w:p>
        </w:tc>
        <w:tc>
          <w:tcPr>
            <w:tcW w:w="406" w:type="pct"/>
            <w:shd w:val="clear" w:color="auto" w:fill="auto"/>
            <w:vAlign w:val="center"/>
          </w:tcPr>
          <w:p w:rsidR="00064B13" w:rsidRPr="00DA493C" w:rsidRDefault="00064B13" w:rsidP="00E14487">
            <w:pPr>
              <w:spacing w:before="20" w:after="20"/>
              <w:jc w:val="center"/>
              <w:rPr>
                <w:sz w:val="22"/>
              </w:rPr>
            </w:pPr>
            <w:r>
              <w:rPr>
                <w:sz w:val="22"/>
              </w:rPr>
              <w:t>Yes</w:t>
            </w:r>
          </w:p>
        </w:tc>
        <w:tc>
          <w:tcPr>
            <w:tcW w:w="430" w:type="pct"/>
            <w:shd w:val="clear" w:color="auto" w:fill="auto"/>
            <w:vAlign w:val="center"/>
          </w:tcPr>
          <w:p w:rsidR="00064B13" w:rsidRPr="00DA493C" w:rsidRDefault="00064B13" w:rsidP="00E14487">
            <w:pPr>
              <w:spacing w:before="20" w:after="20"/>
              <w:jc w:val="center"/>
              <w:rPr>
                <w:sz w:val="22"/>
              </w:rPr>
            </w:pPr>
            <w:r>
              <w:rPr>
                <w:sz w:val="22"/>
              </w:rPr>
              <w:t>Yes</w:t>
            </w:r>
          </w:p>
        </w:tc>
      </w:tr>
      <w:tr w:rsidR="00F7279A" w:rsidRPr="00DA493C" w:rsidTr="00F7279A">
        <w:tc>
          <w:tcPr>
            <w:tcW w:w="3402" w:type="pct"/>
          </w:tcPr>
          <w:p w:rsidR="00064B13" w:rsidRPr="00DA493C" w:rsidRDefault="00064B13" w:rsidP="00212F6E">
            <w:pPr>
              <w:spacing w:before="20" w:after="20"/>
              <w:jc w:val="left"/>
              <w:rPr>
                <w:rFonts w:eastAsia="Times New Roman" w:cstheme="minorHAnsi"/>
                <w:sz w:val="22"/>
                <w:lang w:eastAsia="en-AU"/>
              </w:rPr>
            </w:pPr>
            <w:r w:rsidRPr="00DA493C">
              <w:rPr>
                <w:sz w:val="22"/>
              </w:rPr>
              <w:t>Does the model improve the quality and consistency of assessment?</w:t>
            </w:r>
          </w:p>
        </w:tc>
        <w:tc>
          <w:tcPr>
            <w:tcW w:w="762" w:type="pct"/>
            <w:shd w:val="clear" w:color="auto" w:fill="auto"/>
            <w:vAlign w:val="center"/>
          </w:tcPr>
          <w:p w:rsidR="00064B13" w:rsidRPr="00DA493C" w:rsidRDefault="00064B13" w:rsidP="00E14487">
            <w:pPr>
              <w:spacing w:before="20" w:after="20"/>
              <w:jc w:val="center"/>
              <w:rPr>
                <w:sz w:val="22"/>
              </w:rPr>
            </w:pPr>
            <w:r>
              <w:rPr>
                <w:rFonts w:eastAsia="Times New Roman" w:cs="Segoe UI Semibold"/>
                <w:sz w:val="22"/>
                <w:lang w:eastAsia="en-AU"/>
              </w:rPr>
              <w:t>No</w:t>
            </w:r>
          </w:p>
        </w:tc>
        <w:tc>
          <w:tcPr>
            <w:tcW w:w="406" w:type="pct"/>
            <w:shd w:val="clear" w:color="auto" w:fill="auto"/>
            <w:vAlign w:val="center"/>
          </w:tcPr>
          <w:p w:rsidR="00064B13" w:rsidRPr="00DA493C" w:rsidRDefault="00064B13" w:rsidP="00E14487">
            <w:pPr>
              <w:spacing w:before="20" w:after="20"/>
              <w:jc w:val="center"/>
              <w:rPr>
                <w:sz w:val="22"/>
              </w:rPr>
            </w:pPr>
            <w:r>
              <w:rPr>
                <w:sz w:val="22"/>
              </w:rPr>
              <w:t>Yes</w:t>
            </w:r>
          </w:p>
        </w:tc>
        <w:tc>
          <w:tcPr>
            <w:tcW w:w="430" w:type="pct"/>
            <w:shd w:val="clear" w:color="auto" w:fill="auto"/>
            <w:vAlign w:val="center"/>
          </w:tcPr>
          <w:p w:rsidR="00064B13" w:rsidRPr="00DA493C" w:rsidRDefault="00064B13" w:rsidP="00E14487">
            <w:pPr>
              <w:spacing w:before="20" w:after="20"/>
              <w:jc w:val="center"/>
              <w:rPr>
                <w:sz w:val="22"/>
              </w:rPr>
            </w:pPr>
            <w:r>
              <w:rPr>
                <w:sz w:val="22"/>
              </w:rPr>
              <w:t>Yes</w:t>
            </w:r>
          </w:p>
        </w:tc>
      </w:tr>
      <w:tr w:rsidR="00F7279A" w:rsidRPr="00DA493C" w:rsidTr="00F7279A">
        <w:tc>
          <w:tcPr>
            <w:tcW w:w="3402" w:type="pct"/>
          </w:tcPr>
          <w:p w:rsidR="00064B13" w:rsidRPr="00DA493C" w:rsidRDefault="00064B13" w:rsidP="00212F6E">
            <w:pPr>
              <w:spacing w:before="20" w:after="20"/>
              <w:jc w:val="left"/>
              <w:rPr>
                <w:rFonts w:eastAsia="Times New Roman" w:cstheme="minorHAnsi"/>
                <w:sz w:val="22"/>
                <w:lang w:eastAsia="en-AU"/>
              </w:rPr>
            </w:pPr>
            <w:r w:rsidRPr="00DA493C">
              <w:rPr>
                <w:sz w:val="22"/>
              </w:rPr>
              <w:t>Is the initial assessment by an external assessor who is a registered health professional?</w:t>
            </w:r>
          </w:p>
        </w:tc>
        <w:tc>
          <w:tcPr>
            <w:tcW w:w="762" w:type="pct"/>
            <w:shd w:val="clear" w:color="auto" w:fill="auto"/>
            <w:vAlign w:val="center"/>
          </w:tcPr>
          <w:p w:rsidR="00064B13" w:rsidRPr="00DA493C" w:rsidRDefault="00064B13" w:rsidP="00E14487">
            <w:pPr>
              <w:spacing w:before="20" w:after="20"/>
              <w:jc w:val="center"/>
              <w:rPr>
                <w:rFonts w:ascii="Segoe UI Semibold" w:eastAsia="Times New Roman" w:hAnsi="Segoe UI Semibold" w:cs="Segoe UI Semibold"/>
                <w:sz w:val="22"/>
                <w:lang w:eastAsia="en-AU"/>
              </w:rPr>
            </w:pPr>
            <w:r>
              <w:rPr>
                <w:rFonts w:eastAsia="Times New Roman" w:cs="Segoe UI Semibold"/>
                <w:sz w:val="22"/>
                <w:lang w:eastAsia="en-AU"/>
              </w:rPr>
              <w:t>No</w:t>
            </w:r>
          </w:p>
        </w:tc>
        <w:tc>
          <w:tcPr>
            <w:tcW w:w="406" w:type="pct"/>
            <w:shd w:val="clear" w:color="auto" w:fill="auto"/>
            <w:vAlign w:val="center"/>
          </w:tcPr>
          <w:p w:rsidR="00064B13" w:rsidRPr="00DA493C" w:rsidRDefault="00064B13" w:rsidP="00E14487">
            <w:pPr>
              <w:spacing w:before="20" w:after="20"/>
              <w:jc w:val="center"/>
              <w:rPr>
                <w:rFonts w:eastAsia="Times New Roman" w:cstheme="minorHAnsi"/>
                <w:sz w:val="22"/>
                <w:lang w:eastAsia="en-AU"/>
              </w:rPr>
            </w:pPr>
            <w:r>
              <w:rPr>
                <w:sz w:val="22"/>
              </w:rPr>
              <w:t>Yes</w:t>
            </w:r>
          </w:p>
        </w:tc>
        <w:tc>
          <w:tcPr>
            <w:tcW w:w="430" w:type="pct"/>
            <w:shd w:val="clear" w:color="auto" w:fill="auto"/>
            <w:vAlign w:val="center"/>
          </w:tcPr>
          <w:p w:rsidR="00064B13" w:rsidRPr="00DA493C" w:rsidRDefault="00064B13" w:rsidP="00E14487">
            <w:pPr>
              <w:spacing w:before="20" w:after="20"/>
              <w:jc w:val="center"/>
              <w:rPr>
                <w:rFonts w:eastAsia="Times New Roman" w:cstheme="minorHAnsi"/>
                <w:sz w:val="22"/>
                <w:lang w:eastAsia="en-AU"/>
              </w:rPr>
            </w:pPr>
            <w:r>
              <w:rPr>
                <w:rFonts w:eastAsia="Times New Roman" w:cs="Segoe UI Semibold"/>
                <w:sz w:val="22"/>
                <w:lang w:eastAsia="en-AU"/>
              </w:rPr>
              <w:t>No</w:t>
            </w:r>
          </w:p>
        </w:tc>
      </w:tr>
      <w:tr w:rsidR="00F7279A" w:rsidRPr="00DA493C" w:rsidTr="00F7279A">
        <w:tc>
          <w:tcPr>
            <w:tcW w:w="3402" w:type="pct"/>
          </w:tcPr>
          <w:p w:rsidR="00064B13" w:rsidRPr="00DA493C" w:rsidRDefault="00064B13" w:rsidP="00212F6E">
            <w:pPr>
              <w:spacing w:before="20" w:after="20"/>
              <w:jc w:val="left"/>
              <w:rPr>
                <w:rFonts w:eastAsia="Times New Roman" w:cstheme="minorHAnsi"/>
                <w:sz w:val="22"/>
                <w:lang w:eastAsia="en-AU"/>
              </w:rPr>
            </w:pPr>
            <w:r w:rsidRPr="00DA493C">
              <w:rPr>
                <w:sz w:val="22"/>
              </w:rPr>
              <w:t>Is the review/audit process undertaken by an independent, registered health professional?</w:t>
            </w:r>
          </w:p>
        </w:tc>
        <w:tc>
          <w:tcPr>
            <w:tcW w:w="762" w:type="pct"/>
            <w:shd w:val="clear" w:color="auto" w:fill="auto"/>
            <w:vAlign w:val="center"/>
          </w:tcPr>
          <w:p w:rsidR="00064B13" w:rsidRPr="00DA493C" w:rsidRDefault="00064B13" w:rsidP="00E14487">
            <w:pPr>
              <w:spacing w:before="20" w:after="20"/>
              <w:jc w:val="center"/>
              <w:rPr>
                <w:rFonts w:ascii="Segoe UI Semibold" w:eastAsia="Times New Roman" w:hAnsi="Segoe UI Semibold" w:cs="Segoe UI Semibold"/>
                <w:sz w:val="22"/>
                <w:lang w:eastAsia="en-AU"/>
              </w:rPr>
            </w:pPr>
            <w:r>
              <w:rPr>
                <w:rFonts w:eastAsia="Times New Roman" w:cs="Segoe UI Semibold"/>
                <w:sz w:val="22"/>
                <w:lang w:eastAsia="en-AU"/>
              </w:rPr>
              <w:t>No</w:t>
            </w:r>
          </w:p>
        </w:tc>
        <w:tc>
          <w:tcPr>
            <w:tcW w:w="406" w:type="pct"/>
            <w:shd w:val="clear" w:color="auto" w:fill="auto"/>
            <w:vAlign w:val="center"/>
          </w:tcPr>
          <w:p w:rsidR="00064B13" w:rsidRPr="00DA493C" w:rsidRDefault="00064B13" w:rsidP="00E14487">
            <w:pPr>
              <w:spacing w:before="20" w:after="20"/>
              <w:jc w:val="center"/>
              <w:rPr>
                <w:rFonts w:eastAsia="Times New Roman" w:cstheme="minorHAnsi"/>
                <w:sz w:val="22"/>
                <w:lang w:eastAsia="en-AU"/>
              </w:rPr>
            </w:pPr>
            <w:r>
              <w:rPr>
                <w:sz w:val="22"/>
              </w:rPr>
              <w:t>Yes</w:t>
            </w:r>
          </w:p>
        </w:tc>
        <w:tc>
          <w:tcPr>
            <w:tcW w:w="430" w:type="pct"/>
            <w:shd w:val="clear" w:color="auto" w:fill="auto"/>
            <w:vAlign w:val="center"/>
          </w:tcPr>
          <w:p w:rsidR="00064B13" w:rsidRPr="00DA493C" w:rsidRDefault="00064B13" w:rsidP="00E14487">
            <w:pPr>
              <w:spacing w:before="20" w:after="20"/>
              <w:jc w:val="center"/>
              <w:rPr>
                <w:rFonts w:eastAsia="Times New Roman" w:cstheme="minorHAnsi"/>
                <w:sz w:val="22"/>
                <w:lang w:eastAsia="en-AU"/>
              </w:rPr>
            </w:pPr>
            <w:r>
              <w:rPr>
                <w:sz w:val="22"/>
              </w:rPr>
              <w:t>Yes</w:t>
            </w:r>
          </w:p>
        </w:tc>
      </w:tr>
      <w:tr w:rsidR="00F7279A" w:rsidRPr="00DA493C" w:rsidTr="00F7279A">
        <w:tc>
          <w:tcPr>
            <w:tcW w:w="3402" w:type="pct"/>
          </w:tcPr>
          <w:p w:rsidR="00064B13" w:rsidRPr="00DA493C" w:rsidRDefault="00064B13" w:rsidP="00212F6E">
            <w:pPr>
              <w:spacing w:before="20" w:after="20"/>
              <w:jc w:val="left"/>
              <w:rPr>
                <w:rFonts w:eastAsia="Times New Roman" w:cstheme="minorHAnsi"/>
                <w:b/>
                <w:sz w:val="22"/>
                <w:lang w:eastAsia="en-AU"/>
              </w:rPr>
            </w:pPr>
            <w:r w:rsidRPr="00DA493C">
              <w:rPr>
                <w:sz w:val="22"/>
              </w:rPr>
              <w:t>Will the R-ACFI assessment model be more high quality than the current model?</w:t>
            </w:r>
          </w:p>
        </w:tc>
        <w:tc>
          <w:tcPr>
            <w:tcW w:w="762" w:type="pct"/>
            <w:vAlign w:val="center"/>
          </w:tcPr>
          <w:p w:rsidR="00064B13" w:rsidRPr="00DA493C" w:rsidRDefault="00064B13" w:rsidP="00E14487">
            <w:pPr>
              <w:spacing w:before="20" w:after="20"/>
              <w:jc w:val="center"/>
              <w:rPr>
                <w:rFonts w:eastAsia="Times New Roman" w:cstheme="minorHAnsi"/>
                <w:b/>
                <w:sz w:val="22"/>
                <w:lang w:eastAsia="en-AU"/>
              </w:rPr>
            </w:pPr>
            <w:r>
              <w:rPr>
                <w:sz w:val="22"/>
              </w:rPr>
              <w:t>Yes</w:t>
            </w:r>
          </w:p>
        </w:tc>
        <w:tc>
          <w:tcPr>
            <w:tcW w:w="406" w:type="pct"/>
            <w:vAlign w:val="center"/>
          </w:tcPr>
          <w:p w:rsidR="00064B13" w:rsidRPr="00DA493C" w:rsidRDefault="00064B13" w:rsidP="00E14487">
            <w:pPr>
              <w:spacing w:before="20" w:after="20"/>
              <w:jc w:val="center"/>
              <w:rPr>
                <w:sz w:val="22"/>
              </w:rPr>
            </w:pPr>
            <w:r>
              <w:rPr>
                <w:sz w:val="22"/>
              </w:rPr>
              <w:t>Yes</w:t>
            </w:r>
          </w:p>
        </w:tc>
        <w:tc>
          <w:tcPr>
            <w:tcW w:w="430" w:type="pct"/>
            <w:vAlign w:val="center"/>
          </w:tcPr>
          <w:p w:rsidR="00064B13" w:rsidRPr="00DA493C" w:rsidRDefault="00064B13" w:rsidP="00E14487">
            <w:pPr>
              <w:spacing w:before="20" w:after="20"/>
              <w:jc w:val="center"/>
              <w:rPr>
                <w:sz w:val="22"/>
              </w:rPr>
            </w:pPr>
            <w:r>
              <w:rPr>
                <w:sz w:val="22"/>
              </w:rPr>
              <w:t>Yes</w:t>
            </w:r>
          </w:p>
        </w:tc>
      </w:tr>
      <w:tr w:rsidR="00F7279A" w:rsidRPr="00DA493C" w:rsidTr="00F7279A">
        <w:tc>
          <w:tcPr>
            <w:tcW w:w="3402" w:type="pct"/>
          </w:tcPr>
          <w:p w:rsidR="00064B13" w:rsidRPr="00DA493C" w:rsidRDefault="00064B13" w:rsidP="00212F6E">
            <w:pPr>
              <w:spacing w:before="20" w:after="20"/>
              <w:jc w:val="left"/>
              <w:rPr>
                <w:rFonts w:eastAsia="Times New Roman" w:cstheme="minorHAnsi"/>
                <w:sz w:val="22"/>
                <w:lang w:eastAsia="en-AU"/>
              </w:rPr>
            </w:pPr>
            <w:r w:rsidRPr="00DA493C">
              <w:rPr>
                <w:sz w:val="22"/>
              </w:rPr>
              <w:t>Is there an appeal process for providers (where there are External Assessors?</w:t>
            </w:r>
          </w:p>
        </w:tc>
        <w:tc>
          <w:tcPr>
            <w:tcW w:w="762" w:type="pct"/>
            <w:vAlign w:val="center"/>
          </w:tcPr>
          <w:p w:rsidR="00064B13" w:rsidRPr="00DA493C" w:rsidRDefault="00064B13" w:rsidP="00E14487">
            <w:pPr>
              <w:spacing w:before="20" w:after="20"/>
              <w:jc w:val="center"/>
              <w:rPr>
                <w:sz w:val="22"/>
              </w:rPr>
            </w:pPr>
            <w:r>
              <w:rPr>
                <w:sz w:val="22"/>
              </w:rPr>
              <w:t>Yes</w:t>
            </w:r>
          </w:p>
        </w:tc>
        <w:tc>
          <w:tcPr>
            <w:tcW w:w="406" w:type="pct"/>
            <w:vAlign w:val="center"/>
          </w:tcPr>
          <w:p w:rsidR="00064B13" w:rsidRPr="00DA493C" w:rsidRDefault="00064B13" w:rsidP="00E14487">
            <w:pPr>
              <w:spacing w:before="20" w:after="20"/>
              <w:jc w:val="center"/>
              <w:rPr>
                <w:sz w:val="22"/>
              </w:rPr>
            </w:pPr>
            <w:r>
              <w:rPr>
                <w:sz w:val="22"/>
              </w:rPr>
              <w:t>Yes</w:t>
            </w:r>
          </w:p>
        </w:tc>
        <w:tc>
          <w:tcPr>
            <w:tcW w:w="430" w:type="pct"/>
            <w:vAlign w:val="center"/>
          </w:tcPr>
          <w:p w:rsidR="00064B13" w:rsidRPr="00DA493C" w:rsidRDefault="00064B13" w:rsidP="00E14487">
            <w:pPr>
              <w:spacing w:before="20" w:after="20"/>
              <w:jc w:val="center"/>
              <w:rPr>
                <w:sz w:val="22"/>
              </w:rPr>
            </w:pPr>
            <w:r>
              <w:rPr>
                <w:sz w:val="22"/>
              </w:rPr>
              <w:t>Yes</w:t>
            </w:r>
          </w:p>
        </w:tc>
      </w:tr>
      <w:tr w:rsidR="00F7279A" w:rsidRPr="00DA493C" w:rsidTr="00F7279A">
        <w:tc>
          <w:tcPr>
            <w:tcW w:w="3402" w:type="pct"/>
          </w:tcPr>
          <w:p w:rsidR="00064B13" w:rsidRPr="00DA493C" w:rsidRDefault="00064B13" w:rsidP="00212F6E">
            <w:pPr>
              <w:spacing w:before="20" w:after="20"/>
              <w:jc w:val="left"/>
              <w:rPr>
                <w:rFonts w:eastAsia="Times New Roman" w:cstheme="minorHAnsi"/>
                <w:sz w:val="22"/>
                <w:lang w:eastAsia="en-AU"/>
              </w:rPr>
            </w:pPr>
            <w:r w:rsidRPr="00DA493C">
              <w:rPr>
                <w:sz w:val="22"/>
              </w:rPr>
              <w:t>Is the proposed assessment tool evidence based and suited to provide an evidence base for care planning?</w:t>
            </w:r>
          </w:p>
        </w:tc>
        <w:tc>
          <w:tcPr>
            <w:tcW w:w="762" w:type="pct"/>
            <w:vAlign w:val="center"/>
          </w:tcPr>
          <w:p w:rsidR="00064B13" w:rsidRPr="00DA493C" w:rsidRDefault="00064B13" w:rsidP="00E14487">
            <w:pPr>
              <w:spacing w:before="20" w:after="20"/>
              <w:jc w:val="center"/>
              <w:rPr>
                <w:sz w:val="22"/>
              </w:rPr>
            </w:pPr>
            <w:r>
              <w:rPr>
                <w:sz w:val="22"/>
              </w:rPr>
              <w:t>Yes</w:t>
            </w:r>
          </w:p>
        </w:tc>
        <w:tc>
          <w:tcPr>
            <w:tcW w:w="406" w:type="pct"/>
            <w:vAlign w:val="center"/>
          </w:tcPr>
          <w:p w:rsidR="00064B13" w:rsidRPr="00DA493C" w:rsidRDefault="00064B13" w:rsidP="00E14487">
            <w:pPr>
              <w:spacing w:before="20" w:after="20"/>
              <w:jc w:val="center"/>
              <w:rPr>
                <w:sz w:val="22"/>
              </w:rPr>
            </w:pPr>
            <w:r>
              <w:rPr>
                <w:sz w:val="22"/>
              </w:rPr>
              <w:t>Yes</w:t>
            </w:r>
          </w:p>
        </w:tc>
        <w:tc>
          <w:tcPr>
            <w:tcW w:w="430" w:type="pct"/>
            <w:vAlign w:val="center"/>
          </w:tcPr>
          <w:p w:rsidR="00064B13" w:rsidRPr="00DA493C" w:rsidRDefault="00064B13" w:rsidP="00E14487">
            <w:pPr>
              <w:spacing w:before="20" w:after="20"/>
              <w:jc w:val="center"/>
              <w:rPr>
                <w:sz w:val="22"/>
              </w:rPr>
            </w:pPr>
            <w:r>
              <w:rPr>
                <w:sz w:val="22"/>
              </w:rPr>
              <w:t>Yes</w:t>
            </w:r>
          </w:p>
        </w:tc>
      </w:tr>
      <w:tr w:rsidR="00F7279A" w:rsidRPr="00DA493C" w:rsidTr="00F7279A">
        <w:tc>
          <w:tcPr>
            <w:tcW w:w="3402" w:type="pct"/>
          </w:tcPr>
          <w:p w:rsidR="00064B13" w:rsidRPr="00DA493C" w:rsidRDefault="00064B13" w:rsidP="00212F6E">
            <w:pPr>
              <w:spacing w:before="20" w:after="20"/>
              <w:jc w:val="left"/>
              <w:rPr>
                <w:rFonts w:eastAsia="Times New Roman" w:cstheme="minorHAnsi"/>
                <w:sz w:val="22"/>
                <w:lang w:eastAsia="en-AU"/>
              </w:rPr>
            </w:pPr>
            <w:r w:rsidRPr="00DA493C">
              <w:rPr>
                <w:sz w:val="22"/>
              </w:rPr>
              <w:t>Does the model improve the predictability of system expenditure/funding?</w:t>
            </w:r>
          </w:p>
        </w:tc>
        <w:tc>
          <w:tcPr>
            <w:tcW w:w="762" w:type="pct"/>
            <w:vAlign w:val="center"/>
          </w:tcPr>
          <w:p w:rsidR="00064B13" w:rsidRPr="00DA493C" w:rsidRDefault="00064B13" w:rsidP="00E14487">
            <w:pPr>
              <w:spacing w:before="20" w:after="20"/>
              <w:jc w:val="center"/>
              <w:rPr>
                <w:rFonts w:eastAsia="Times New Roman" w:cstheme="minorHAnsi"/>
                <w:sz w:val="22"/>
                <w:lang w:eastAsia="en-AU"/>
              </w:rPr>
            </w:pPr>
            <w:r>
              <w:rPr>
                <w:sz w:val="22"/>
              </w:rPr>
              <w:t>Yes</w:t>
            </w:r>
          </w:p>
        </w:tc>
        <w:tc>
          <w:tcPr>
            <w:tcW w:w="406" w:type="pct"/>
            <w:vAlign w:val="center"/>
          </w:tcPr>
          <w:p w:rsidR="00064B13" w:rsidRPr="00DA493C" w:rsidRDefault="00064B13" w:rsidP="00E14487">
            <w:pPr>
              <w:spacing w:before="20" w:after="20"/>
              <w:jc w:val="center"/>
              <w:rPr>
                <w:sz w:val="22"/>
              </w:rPr>
            </w:pPr>
            <w:r>
              <w:rPr>
                <w:sz w:val="22"/>
              </w:rPr>
              <w:t>Yes</w:t>
            </w:r>
          </w:p>
        </w:tc>
        <w:tc>
          <w:tcPr>
            <w:tcW w:w="430" w:type="pct"/>
            <w:vAlign w:val="center"/>
          </w:tcPr>
          <w:p w:rsidR="00064B13" w:rsidRPr="00DA493C" w:rsidRDefault="00064B13" w:rsidP="00E14487">
            <w:pPr>
              <w:spacing w:before="20" w:after="20"/>
              <w:jc w:val="center"/>
              <w:rPr>
                <w:sz w:val="22"/>
              </w:rPr>
            </w:pPr>
            <w:r>
              <w:rPr>
                <w:sz w:val="22"/>
              </w:rPr>
              <w:t>Yes</w:t>
            </w:r>
          </w:p>
        </w:tc>
      </w:tr>
      <w:tr w:rsidR="00F7279A" w:rsidRPr="00DA493C" w:rsidTr="00F7279A">
        <w:tc>
          <w:tcPr>
            <w:tcW w:w="3402" w:type="pct"/>
          </w:tcPr>
          <w:p w:rsidR="00064B13" w:rsidRPr="00DA493C" w:rsidRDefault="00064B13" w:rsidP="00212F6E">
            <w:pPr>
              <w:spacing w:before="20" w:after="20"/>
              <w:jc w:val="left"/>
              <w:rPr>
                <w:rFonts w:eastAsia="Times New Roman" w:cstheme="minorHAnsi"/>
                <w:sz w:val="22"/>
                <w:lang w:eastAsia="en-AU"/>
              </w:rPr>
            </w:pPr>
            <w:r w:rsidRPr="00DA493C">
              <w:rPr>
                <w:sz w:val="22"/>
              </w:rPr>
              <w:t>Is there a hierarchical review and audit process that uses technology to improve the system’s review and audit processes?</w:t>
            </w:r>
          </w:p>
        </w:tc>
        <w:tc>
          <w:tcPr>
            <w:tcW w:w="762" w:type="pct"/>
            <w:vAlign w:val="center"/>
          </w:tcPr>
          <w:p w:rsidR="00064B13" w:rsidRPr="00DA493C" w:rsidRDefault="00064B13" w:rsidP="00E14487">
            <w:pPr>
              <w:spacing w:before="20" w:after="20"/>
              <w:jc w:val="center"/>
              <w:rPr>
                <w:sz w:val="22"/>
              </w:rPr>
            </w:pPr>
            <w:r>
              <w:rPr>
                <w:sz w:val="22"/>
              </w:rPr>
              <w:t>Yes</w:t>
            </w:r>
          </w:p>
        </w:tc>
        <w:tc>
          <w:tcPr>
            <w:tcW w:w="406" w:type="pct"/>
            <w:vAlign w:val="center"/>
          </w:tcPr>
          <w:p w:rsidR="00064B13" w:rsidRPr="00DA493C" w:rsidRDefault="00064B13" w:rsidP="00E14487">
            <w:pPr>
              <w:spacing w:before="20" w:after="20"/>
              <w:jc w:val="center"/>
              <w:rPr>
                <w:sz w:val="22"/>
              </w:rPr>
            </w:pPr>
            <w:r>
              <w:rPr>
                <w:sz w:val="22"/>
              </w:rPr>
              <w:t>Yes</w:t>
            </w:r>
          </w:p>
        </w:tc>
        <w:tc>
          <w:tcPr>
            <w:tcW w:w="430" w:type="pct"/>
            <w:vAlign w:val="center"/>
          </w:tcPr>
          <w:p w:rsidR="00064B13" w:rsidRPr="00DA493C" w:rsidRDefault="00064B13" w:rsidP="00E14487">
            <w:pPr>
              <w:spacing w:before="20" w:after="20"/>
              <w:jc w:val="center"/>
              <w:rPr>
                <w:sz w:val="22"/>
              </w:rPr>
            </w:pPr>
            <w:r>
              <w:rPr>
                <w:sz w:val="22"/>
              </w:rPr>
              <w:t>Yes</w:t>
            </w:r>
          </w:p>
        </w:tc>
      </w:tr>
      <w:tr w:rsidR="00F7279A" w:rsidRPr="00DA493C" w:rsidTr="00F7279A">
        <w:tc>
          <w:tcPr>
            <w:tcW w:w="3402" w:type="pct"/>
          </w:tcPr>
          <w:p w:rsidR="00064B13" w:rsidRPr="00DA493C" w:rsidRDefault="00064B13" w:rsidP="00212F6E">
            <w:pPr>
              <w:spacing w:before="20" w:after="20"/>
              <w:jc w:val="left"/>
              <w:rPr>
                <w:rFonts w:eastAsia="Times New Roman" w:cstheme="minorHAnsi"/>
                <w:sz w:val="22"/>
                <w:lang w:eastAsia="en-AU"/>
              </w:rPr>
            </w:pPr>
            <w:r w:rsidRPr="00DA493C">
              <w:rPr>
                <w:sz w:val="22"/>
              </w:rPr>
              <w:t>The funding determination method for new residents if fully external will reduce administration costs for providers</w:t>
            </w:r>
          </w:p>
        </w:tc>
        <w:tc>
          <w:tcPr>
            <w:tcW w:w="762" w:type="pct"/>
            <w:vAlign w:val="center"/>
          </w:tcPr>
          <w:p w:rsidR="00064B13" w:rsidRPr="00DA493C" w:rsidRDefault="00064B13" w:rsidP="00E14487">
            <w:pPr>
              <w:spacing w:before="20" w:after="20"/>
              <w:jc w:val="center"/>
              <w:rPr>
                <w:rFonts w:ascii="Segoe UI Semibold" w:eastAsia="Times New Roman" w:hAnsi="Segoe UI Semibold" w:cs="Segoe UI Semibold"/>
                <w:sz w:val="22"/>
                <w:lang w:eastAsia="en-AU"/>
              </w:rPr>
            </w:pPr>
            <w:r>
              <w:rPr>
                <w:rFonts w:eastAsia="Times New Roman" w:cs="Segoe UI Semibold"/>
                <w:sz w:val="22"/>
                <w:lang w:eastAsia="en-AU"/>
              </w:rPr>
              <w:t>No</w:t>
            </w:r>
          </w:p>
        </w:tc>
        <w:tc>
          <w:tcPr>
            <w:tcW w:w="406" w:type="pct"/>
            <w:vAlign w:val="center"/>
          </w:tcPr>
          <w:p w:rsidR="00064B13" w:rsidRPr="00DA493C" w:rsidRDefault="00064B13" w:rsidP="00E14487">
            <w:pPr>
              <w:spacing w:before="20" w:after="20"/>
              <w:jc w:val="center"/>
              <w:rPr>
                <w:sz w:val="22"/>
              </w:rPr>
            </w:pPr>
            <w:r>
              <w:rPr>
                <w:sz w:val="22"/>
              </w:rPr>
              <w:t>Yes</w:t>
            </w:r>
          </w:p>
        </w:tc>
        <w:tc>
          <w:tcPr>
            <w:tcW w:w="430" w:type="pct"/>
            <w:vAlign w:val="center"/>
          </w:tcPr>
          <w:p w:rsidR="00064B13" w:rsidRPr="00DA493C" w:rsidRDefault="00064B13" w:rsidP="00E14487">
            <w:pPr>
              <w:spacing w:before="20" w:after="20"/>
              <w:jc w:val="center"/>
              <w:rPr>
                <w:sz w:val="22"/>
              </w:rPr>
            </w:pPr>
            <w:r>
              <w:rPr>
                <w:rFonts w:eastAsia="Times New Roman" w:cs="Segoe UI Semibold"/>
                <w:sz w:val="22"/>
                <w:lang w:eastAsia="en-AU"/>
              </w:rPr>
              <w:t>No</w:t>
            </w:r>
          </w:p>
        </w:tc>
      </w:tr>
      <w:tr w:rsidR="00F7279A" w:rsidRPr="00DA493C" w:rsidTr="00F7279A">
        <w:tc>
          <w:tcPr>
            <w:tcW w:w="3402" w:type="pct"/>
          </w:tcPr>
          <w:p w:rsidR="00064B13" w:rsidRPr="00DA493C" w:rsidRDefault="00064B13" w:rsidP="00212F6E">
            <w:pPr>
              <w:spacing w:before="20" w:after="20"/>
              <w:jc w:val="left"/>
              <w:rPr>
                <w:sz w:val="22"/>
              </w:rPr>
            </w:pPr>
            <w:r w:rsidRPr="00DA493C">
              <w:rPr>
                <w:sz w:val="22"/>
              </w:rPr>
              <w:t>Does the option lend itself to integration of RAC and Community Aged Care assessment systems?</w:t>
            </w:r>
          </w:p>
        </w:tc>
        <w:tc>
          <w:tcPr>
            <w:tcW w:w="762" w:type="pct"/>
            <w:vAlign w:val="center"/>
          </w:tcPr>
          <w:p w:rsidR="00064B13" w:rsidRPr="00DA493C" w:rsidRDefault="00064B13" w:rsidP="00E14487">
            <w:pPr>
              <w:spacing w:before="20" w:after="20"/>
              <w:jc w:val="center"/>
              <w:rPr>
                <w:rFonts w:ascii="Segoe UI Semibold" w:eastAsia="Times New Roman" w:hAnsi="Segoe UI Semibold" w:cs="Segoe UI Semibold"/>
                <w:sz w:val="22"/>
                <w:lang w:eastAsia="en-AU"/>
              </w:rPr>
            </w:pPr>
            <w:r>
              <w:rPr>
                <w:rFonts w:eastAsia="Times New Roman" w:cs="Segoe UI Semibold"/>
                <w:sz w:val="22"/>
                <w:lang w:eastAsia="en-AU"/>
              </w:rPr>
              <w:t>No</w:t>
            </w:r>
          </w:p>
        </w:tc>
        <w:tc>
          <w:tcPr>
            <w:tcW w:w="406" w:type="pct"/>
            <w:vAlign w:val="center"/>
          </w:tcPr>
          <w:p w:rsidR="00064B13" w:rsidRPr="00DA493C" w:rsidRDefault="00064B13" w:rsidP="00E14487">
            <w:pPr>
              <w:spacing w:before="20" w:after="20"/>
              <w:jc w:val="center"/>
              <w:rPr>
                <w:rFonts w:ascii="Segoe UI Symbol" w:hAnsi="Segoe UI Symbol" w:cs="Segoe UI Symbol"/>
                <w:color w:val="222222"/>
                <w:sz w:val="22"/>
                <w:shd w:val="clear" w:color="auto" w:fill="FFFFFF"/>
              </w:rPr>
            </w:pPr>
            <w:r>
              <w:rPr>
                <w:sz w:val="22"/>
              </w:rPr>
              <w:t>Yes</w:t>
            </w:r>
          </w:p>
        </w:tc>
        <w:tc>
          <w:tcPr>
            <w:tcW w:w="430" w:type="pct"/>
            <w:vAlign w:val="center"/>
          </w:tcPr>
          <w:p w:rsidR="00064B13" w:rsidRPr="00DA493C" w:rsidRDefault="00064B13" w:rsidP="00E14487">
            <w:pPr>
              <w:spacing w:before="20" w:after="20"/>
              <w:jc w:val="center"/>
              <w:rPr>
                <w:rFonts w:ascii="Segoe UI Symbol" w:hAnsi="Segoe UI Symbol" w:cs="Segoe UI Symbol"/>
                <w:color w:val="222222"/>
                <w:sz w:val="22"/>
                <w:shd w:val="clear" w:color="auto" w:fill="FFFFFF"/>
              </w:rPr>
            </w:pPr>
            <w:r>
              <w:rPr>
                <w:rFonts w:eastAsia="Times New Roman" w:cs="Segoe UI Semibold"/>
                <w:sz w:val="22"/>
                <w:lang w:eastAsia="en-AU"/>
              </w:rPr>
              <w:t>No</w:t>
            </w:r>
          </w:p>
        </w:tc>
      </w:tr>
      <w:tr w:rsidR="00F7279A" w:rsidRPr="00DA493C" w:rsidTr="00F7279A">
        <w:tc>
          <w:tcPr>
            <w:tcW w:w="3402" w:type="pct"/>
          </w:tcPr>
          <w:p w:rsidR="00064B13" w:rsidRPr="00DA493C" w:rsidRDefault="00064B13" w:rsidP="00212F6E">
            <w:pPr>
              <w:spacing w:before="20" w:after="20"/>
              <w:jc w:val="left"/>
              <w:rPr>
                <w:rFonts w:eastAsia="Times New Roman" w:cstheme="minorHAnsi"/>
                <w:sz w:val="22"/>
                <w:lang w:eastAsia="en-AU"/>
              </w:rPr>
            </w:pPr>
            <w:r w:rsidRPr="00DA493C">
              <w:rPr>
                <w:sz w:val="22"/>
              </w:rPr>
              <w:t>Does the model improve the surety, stability and predictability of provider income?</w:t>
            </w:r>
          </w:p>
        </w:tc>
        <w:tc>
          <w:tcPr>
            <w:tcW w:w="762" w:type="pct"/>
            <w:vAlign w:val="center"/>
          </w:tcPr>
          <w:p w:rsidR="00064B13" w:rsidRPr="00DA493C" w:rsidRDefault="00064B13" w:rsidP="00E14487">
            <w:pPr>
              <w:spacing w:before="20" w:after="20"/>
              <w:jc w:val="center"/>
              <w:rPr>
                <w:rFonts w:eastAsia="Times New Roman" w:cstheme="minorHAnsi"/>
                <w:sz w:val="22"/>
                <w:lang w:eastAsia="en-AU"/>
              </w:rPr>
            </w:pPr>
            <w:r>
              <w:rPr>
                <w:rFonts w:eastAsia="Times New Roman" w:cs="Segoe UI Semibold"/>
                <w:sz w:val="22"/>
                <w:lang w:eastAsia="en-AU"/>
              </w:rPr>
              <w:t>No</w:t>
            </w:r>
          </w:p>
        </w:tc>
        <w:tc>
          <w:tcPr>
            <w:tcW w:w="406" w:type="pct"/>
            <w:vAlign w:val="center"/>
          </w:tcPr>
          <w:p w:rsidR="00064B13" w:rsidRPr="00DA493C" w:rsidRDefault="00064B13" w:rsidP="00E14487">
            <w:pPr>
              <w:spacing w:before="20" w:after="20"/>
              <w:jc w:val="center"/>
              <w:rPr>
                <w:sz w:val="22"/>
              </w:rPr>
            </w:pPr>
            <w:r>
              <w:rPr>
                <w:sz w:val="22"/>
              </w:rPr>
              <w:t>Yes</w:t>
            </w:r>
          </w:p>
        </w:tc>
        <w:tc>
          <w:tcPr>
            <w:tcW w:w="430" w:type="pct"/>
            <w:vAlign w:val="center"/>
          </w:tcPr>
          <w:p w:rsidR="00064B13" w:rsidRPr="00DA493C" w:rsidRDefault="00064B13" w:rsidP="00E14487">
            <w:pPr>
              <w:spacing w:before="20" w:after="20"/>
              <w:jc w:val="center"/>
              <w:rPr>
                <w:sz w:val="22"/>
              </w:rPr>
            </w:pPr>
            <w:r>
              <w:rPr>
                <w:sz w:val="22"/>
              </w:rPr>
              <w:t>Yes</w:t>
            </w:r>
          </w:p>
        </w:tc>
      </w:tr>
      <w:tr w:rsidR="00F7279A" w:rsidRPr="00DA493C" w:rsidTr="00F7279A">
        <w:tc>
          <w:tcPr>
            <w:tcW w:w="3402" w:type="pct"/>
          </w:tcPr>
          <w:p w:rsidR="00064B13" w:rsidRPr="00DA493C" w:rsidRDefault="00064B13" w:rsidP="00212F6E">
            <w:pPr>
              <w:spacing w:before="20" w:after="20"/>
              <w:jc w:val="left"/>
              <w:rPr>
                <w:rFonts w:eastAsia="Times New Roman" w:cstheme="minorHAnsi"/>
                <w:sz w:val="22"/>
                <w:lang w:eastAsia="en-AU"/>
              </w:rPr>
            </w:pPr>
            <w:r w:rsidRPr="00DA493C">
              <w:rPr>
                <w:sz w:val="22"/>
              </w:rPr>
              <w:t>Is the audit period limited?</w:t>
            </w:r>
          </w:p>
        </w:tc>
        <w:tc>
          <w:tcPr>
            <w:tcW w:w="762" w:type="pct"/>
            <w:vAlign w:val="center"/>
          </w:tcPr>
          <w:p w:rsidR="00064B13" w:rsidRPr="00DA493C" w:rsidRDefault="00064B13" w:rsidP="00E14487">
            <w:pPr>
              <w:spacing w:before="20" w:after="20"/>
              <w:jc w:val="center"/>
              <w:rPr>
                <w:sz w:val="22"/>
              </w:rPr>
            </w:pPr>
            <w:r>
              <w:rPr>
                <w:sz w:val="22"/>
              </w:rPr>
              <w:t>Yes</w:t>
            </w:r>
          </w:p>
        </w:tc>
        <w:tc>
          <w:tcPr>
            <w:tcW w:w="406" w:type="pct"/>
            <w:vAlign w:val="center"/>
          </w:tcPr>
          <w:p w:rsidR="00064B13" w:rsidRPr="00DA493C" w:rsidRDefault="00064B13" w:rsidP="00E14487">
            <w:pPr>
              <w:spacing w:before="20" w:after="20"/>
              <w:jc w:val="center"/>
              <w:rPr>
                <w:sz w:val="22"/>
              </w:rPr>
            </w:pPr>
            <w:r>
              <w:rPr>
                <w:sz w:val="22"/>
              </w:rPr>
              <w:t>Yes</w:t>
            </w:r>
          </w:p>
        </w:tc>
        <w:tc>
          <w:tcPr>
            <w:tcW w:w="430" w:type="pct"/>
            <w:vAlign w:val="center"/>
          </w:tcPr>
          <w:p w:rsidR="00064B13" w:rsidRPr="00DA493C" w:rsidRDefault="00064B13" w:rsidP="00E14487">
            <w:pPr>
              <w:spacing w:before="20" w:after="20"/>
              <w:jc w:val="center"/>
              <w:rPr>
                <w:sz w:val="22"/>
              </w:rPr>
            </w:pPr>
            <w:r>
              <w:rPr>
                <w:sz w:val="22"/>
              </w:rPr>
              <w:t>Yes</w:t>
            </w:r>
          </w:p>
        </w:tc>
      </w:tr>
      <w:tr w:rsidR="00F7279A" w:rsidRPr="00DA493C" w:rsidTr="00F7279A">
        <w:tc>
          <w:tcPr>
            <w:tcW w:w="3402" w:type="pct"/>
          </w:tcPr>
          <w:p w:rsidR="00064B13" w:rsidRPr="00DA493C" w:rsidRDefault="00064B13" w:rsidP="00212F6E">
            <w:pPr>
              <w:spacing w:before="20" w:after="20"/>
              <w:jc w:val="left"/>
              <w:rPr>
                <w:rFonts w:eastAsia="Times New Roman" w:cstheme="minorHAnsi"/>
                <w:sz w:val="22"/>
                <w:lang w:eastAsia="en-AU"/>
              </w:rPr>
            </w:pPr>
            <w:r w:rsidRPr="00DA493C">
              <w:rPr>
                <w:sz w:val="22"/>
              </w:rPr>
              <w:t>Is the length of the audit window period conducive to planning for providers?</w:t>
            </w:r>
          </w:p>
        </w:tc>
        <w:tc>
          <w:tcPr>
            <w:tcW w:w="762" w:type="pct"/>
            <w:vAlign w:val="center"/>
          </w:tcPr>
          <w:p w:rsidR="00064B13" w:rsidRPr="00DA493C" w:rsidRDefault="00064B13" w:rsidP="00E14487">
            <w:pPr>
              <w:spacing w:before="20" w:after="20"/>
              <w:jc w:val="center"/>
              <w:rPr>
                <w:sz w:val="22"/>
              </w:rPr>
            </w:pPr>
            <w:r>
              <w:rPr>
                <w:sz w:val="22"/>
              </w:rPr>
              <w:t>Yes</w:t>
            </w:r>
          </w:p>
        </w:tc>
        <w:tc>
          <w:tcPr>
            <w:tcW w:w="406" w:type="pct"/>
            <w:vAlign w:val="center"/>
          </w:tcPr>
          <w:p w:rsidR="00064B13" w:rsidRPr="00DA493C" w:rsidRDefault="00064B13" w:rsidP="00E14487">
            <w:pPr>
              <w:spacing w:before="20" w:after="20"/>
              <w:jc w:val="center"/>
              <w:rPr>
                <w:sz w:val="22"/>
              </w:rPr>
            </w:pPr>
            <w:r>
              <w:rPr>
                <w:sz w:val="22"/>
              </w:rPr>
              <w:t>Yes</w:t>
            </w:r>
          </w:p>
        </w:tc>
        <w:tc>
          <w:tcPr>
            <w:tcW w:w="430" w:type="pct"/>
            <w:vAlign w:val="center"/>
          </w:tcPr>
          <w:p w:rsidR="00064B13" w:rsidRPr="00DA493C" w:rsidRDefault="00064B13" w:rsidP="00E14487">
            <w:pPr>
              <w:spacing w:before="20" w:after="20"/>
              <w:jc w:val="center"/>
              <w:rPr>
                <w:sz w:val="22"/>
              </w:rPr>
            </w:pPr>
            <w:r>
              <w:rPr>
                <w:sz w:val="22"/>
              </w:rPr>
              <w:t>Yes</w:t>
            </w:r>
          </w:p>
        </w:tc>
      </w:tr>
      <w:tr w:rsidR="00F7279A" w:rsidRPr="00DA493C" w:rsidTr="00F7279A">
        <w:tc>
          <w:tcPr>
            <w:tcW w:w="3402" w:type="pct"/>
          </w:tcPr>
          <w:p w:rsidR="00064B13" w:rsidRPr="00DA493C" w:rsidRDefault="00064B13" w:rsidP="00212F6E">
            <w:pPr>
              <w:spacing w:before="20" w:after="20"/>
              <w:jc w:val="left"/>
              <w:rPr>
                <w:rFonts w:eastAsia="Times New Roman" w:cstheme="minorHAnsi"/>
                <w:sz w:val="22"/>
                <w:lang w:eastAsia="en-AU"/>
              </w:rPr>
            </w:pPr>
            <w:r w:rsidRPr="00DA493C">
              <w:rPr>
                <w:sz w:val="22"/>
              </w:rPr>
              <w:t xml:space="preserve">Are new resident R-ACFI subsidies free from auditing at entry to care? </w:t>
            </w:r>
          </w:p>
        </w:tc>
        <w:tc>
          <w:tcPr>
            <w:tcW w:w="762" w:type="pct"/>
            <w:vAlign w:val="center"/>
          </w:tcPr>
          <w:p w:rsidR="00064B13" w:rsidRPr="00DA493C" w:rsidRDefault="00064B13" w:rsidP="00E14487">
            <w:pPr>
              <w:spacing w:before="20" w:after="20"/>
              <w:jc w:val="center"/>
              <w:rPr>
                <w:rFonts w:ascii="Segoe UI Semibold" w:eastAsia="Times New Roman" w:hAnsi="Segoe UI Semibold" w:cs="Segoe UI Semibold"/>
                <w:b/>
                <w:sz w:val="22"/>
                <w:lang w:eastAsia="en-AU"/>
              </w:rPr>
            </w:pPr>
            <w:r>
              <w:rPr>
                <w:rFonts w:eastAsia="Times New Roman" w:cs="Segoe UI Semibold"/>
                <w:sz w:val="22"/>
                <w:lang w:eastAsia="en-AU"/>
              </w:rPr>
              <w:t>No</w:t>
            </w:r>
          </w:p>
        </w:tc>
        <w:tc>
          <w:tcPr>
            <w:tcW w:w="406" w:type="pct"/>
            <w:vAlign w:val="center"/>
          </w:tcPr>
          <w:p w:rsidR="00064B13" w:rsidRPr="00DA493C" w:rsidRDefault="00064B13" w:rsidP="00E14487">
            <w:pPr>
              <w:spacing w:before="20" w:after="20"/>
              <w:jc w:val="center"/>
              <w:rPr>
                <w:sz w:val="22"/>
              </w:rPr>
            </w:pPr>
            <w:r>
              <w:rPr>
                <w:sz w:val="22"/>
              </w:rPr>
              <w:t>Yes</w:t>
            </w:r>
          </w:p>
        </w:tc>
        <w:tc>
          <w:tcPr>
            <w:tcW w:w="430" w:type="pct"/>
            <w:vAlign w:val="center"/>
          </w:tcPr>
          <w:p w:rsidR="00064B13" w:rsidRPr="00DA493C" w:rsidRDefault="00064B13" w:rsidP="00E14487">
            <w:pPr>
              <w:spacing w:before="20" w:after="20"/>
              <w:jc w:val="center"/>
              <w:rPr>
                <w:sz w:val="22"/>
              </w:rPr>
            </w:pPr>
            <w:r>
              <w:rPr>
                <w:rFonts w:eastAsia="Times New Roman" w:cs="Segoe UI Semibold"/>
                <w:sz w:val="22"/>
                <w:lang w:eastAsia="en-AU"/>
              </w:rPr>
              <w:t>No</w:t>
            </w:r>
          </w:p>
        </w:tc>
      </w:tr>
      <w:tr w:rsidR="00F7279A" w:rsidRPr="00DA493C" w:rsidTr="00F7279A">
        <w:tc>
          <w:tcPr>
            <w:tcW w:w="3402" w:type="pct"/>
          </w:tcPr>
          <w:p w:rsidR="00064B13" w:rsidRPr="00DA493C" w:rsidRDefault="00064B13" w:rsidP="00212F6E">
            <w:pPr>
              <w:spacing w:before="20" w:after="20"/>
              <w:jc w:val="left"/>
              <w:rPr>
                <w:sz w:val="22"/>
              </w:rPr>
            </w:pPr>
            <w:r w:rsidRPr="00DA493C">
              <w:rPr>
                <w:sz w:val="22"/>
              </w:rPr>
              <w:t>Will the changes result in a reduction in growth due to maximised claiming?</w:t>
            </w:r>
          </w:p>
        </w:tc>
        <w:tc>
          <w:tcPr>
            <w:tcW w:w="762" w:type="pct"/>
            <w:vAlign w:val="center"/>
          </w:tcPr>
          <w:p w:rsidR="00064B13" w:rsidRPr="00DA493C" w:rsidRDefault="00064B13" w:rsidP="00E14487">
            <w:pPr>
              <w:spacing w:before="20" w:after="20"/>
              <w:jc w:val="center"/>
              <w:rPr>
                <w:rFonts w:ascii="Segoe UI Semibold" w:eastAsia="Times New Roman" w:hAnsi="Segoe UI Semibold" w:cs="Segoe UI Semibold"/>
                <w:sz w:val="22"/>
                <w:lang w:eastAsia="en-AU"/>
              </w:rPr>
            </w:pPr>
            <w:r>
              <w:rPr>
                <w:sz w:val="22"/>
              </w:rPr>
              <w:t>Yes</w:t>
            </w:r>
          </w:p>
        </w:tc>
        <w:tc>
          <w:tcPr>
            <w:tcW w:w="406" w:type="pct"/>
            <w:vAlign w:val="center"/>
          </w:tcPr>
          <w:p w:rsidR="00064B13" w:rsidRPr="00DA493C" w:rsidRDefault="00064B13" w:rsidP="00E14487">
            <w:pPr>
              <w:spacing w:before="20" w:after="20"/>
              <w:jc w:val="center"/>
              <w:rPr>
                <w:rFonts w:ascii="Segoe UI Symbol" w:hAnsi="Segoe UI Symbol" w:cs="Segoe UI Symbol"/>
                <w:color w:val="222222"/>
                <w:sz w:val="22"/>
                <w:shd w:val="clear" w:color="auto" w:fill="FFFFFF"/>
              </w:rPr>
            </w:pPr>
            <w:r>
              <w:rPr>
                <w:sz w:val="22"/>
              </w:rPr>
              <w:t>Yes</w:t>
            </w:r>
          </w:p>
        </w:tc>
        <w:tc>
          <w:tcPr>
            <w:tcW w:w="430" w:type="pct"/>
            <w:vAlign w:val="center"/>
          </w:tcPr>
          <w:p w:rsidR="00064B13" w:rsidRPr="00DA493C" w:rsidRDefault="00064B13" w:rsidP="00E14487">
            <w:pPr>
              <w:spacing w:before="20" w:after="20"/>
              <w:jc w:val="center"/>
              <w:rPr>
                <w:rFonts w:ascii="Segoe UI Symbol" w:hAnsi="Segoe UI Symbol" w:cs="Segoe UI Symbol"/>
                <w:color w:val="222222"/>
                <w:sz w:val="22"/>
                <w:shd w:val="clear" w:color="auto" w:fill="FFFFFF"/>
              </w:rPr>
            </w:pPr>
            <w:r>
              <w:rPr>
                <w:sz w:val="22"/>
              </w:rPr>
              <w:t>Yes</w:t>
            </w:r>
          </w:p>
        </w:tc>
      </w:tr>
      <w:tr w:rsidR="00F7279A" w:rsidRPr="00DA493C" w:rsidTr="00F7279A">
        <w:tc>
          <w:tcPr>
            <w:tcW w:w="3402" w:type="pct"/>
            <w:shd w:val="clear" w:color="auto" w:fill="auto"/>
          </w:tcPr>
          <w:p w:rsidR="00B17978" w:rsidRPr="00DA493C" w:rsidRDefault="00B17978" w:rsidP="00212F6E">
            <w:pPr>
              <w:spacing w:before="20" w:after="20"/>
              <w:jc w:val="left"/>
              <w:rPr>
                <w:b/>
                <w:i/>
                <w:sz w:val="22"/>
              </w:rPr>
            </w:pPr>
            <w:r w:rsidRPr="00DA493C">
              <w:rPr>
                <w:b/>
                <w:i/>
                <w:sz w:val="22"/>
              </w:rPr>
              <w:t>Aggregate ranking of the model options</w:t>
            </w:r>
          </w:p>
        </w:tc>
        <w:tc>
          <w:tcPr>
            <w:tcW w:w="762" w:type="pct"/>
            <w:shd w:val="clear" w:color="auto" w:fill="auto"/>
          </w:tcPr>
          <w:p w:rsidR="00B17978" w:rsidRPr="00DA493C" w:rsidRDefault="00B17978" w:rsidP="00E14487">
            <w:pPr>
              <w:spacing w:before="20" w:after="20"/>
              <w:jc w:val="center"/>
              <w:rPr>
                <w:rFonts w:ascii="Segoe UI Symbol" w:hAnsi="Segoe UI Symbol" w:cs="Segoe UI Symbol"/>
                <w:b/>
                <w:i/>
                <w:color w:val="222222"/>
                <w:sz w:val="22"/>
                <w:shd w:val="clear" w:color="auto" w:fill="FFFFFF"/>
              </w:rPr>
            </w:pPr>
            <w:r w:rsidRPr="00DA493C">
              <w:rPr>
                <w:rFonts w:ascii="Segoe UI Symbol" w:hAnsi="Segoe UI Symbol" w:cs="Segoe UI Symbol"/>
                <w:b/>
                <w:i/>
                <w:color w:val="222222"/>
                <w:sz w:val="22"/>
                <w:shd w:val="clear" w:color="auto" w:fill="FFFFFF"/>
              </w:rPr>
              <w:t>3</w:t>
            </w:r>
          </w:p>
        </w:tc>
        <w:tc>
          <w:tcPr>
            <w:tcW w:w="406" w:type="pct"/>
            <w:shd w:val="clear" w:color="auto" w:fill="auto"/>
          </w:tcPr>
          <w:p w:rsidR="00B17978" w:rsidRPr="00DA493C" w:rsidRDefault="00B17978" w:rsidP="00E14487">
            <w:pPr>
              <w:spacing w:before="20" w:after="20"/>
              <w:jc w:val="center"/>
              <w:rPr>
                <w:rFonts w:ascii="Segoe UI Symbol" w:hAnsi="Segoe UI Symbol" w:cs="Segoe UI Symbol"/>
                <w:b/>
                <w:i/>
                <w:color w:val="222222"/>
                <w:sz w:val="22"/>
                <w:shd w:val="clear" w:color="auto" w:fill="FFFFFF"/>
              </w:rPr>
            </w:pPr>
            <w:r w:rsidRPr="00DA493C">
              <w:rPr>
                <w:rFonts w:ascii="Segoe UI Symbol" w:hAnsi="Segoe UI Symbol" w:cs="Segoe UI Symbol"/>
                <w:b/>
                <w:i/>
                <w:color w:val="222222"/>
                <w:sz w:val="22"/>
                <w:shd w:val="clear" w:color="auto" w:fill="FFFFFF"/>
              </w:rPr>
              <w:t>1</w:t>
            </w:r>
          </w:p>
        </w:tc>
        <w:tc>
          <w:tcPr>
            <w:tcW w:w="430" w:type="pct"/>
            <w:shd w:val="clear" w:color="auto" w:fill="auto"/>
          </w:tcPr>
          <w:p w:rsidR="00B17978" w:rsidRPr="00DA493C" w:rsidRDefault="00B17978" w:rsidP="00E14487">
            <w:pPr>
              <w:spacing w:before="20" w:after="20"/>
              <w:jc w:val="center"/>
              <w:rPr>
                <w:rFonts w:ascii="Segoe UI Symbol" w:hAnsi="Segoe UI Symbol" w:cs="Segoe UI Symbol"/>
                <w:b/>
                <w:i/>
                <w:color w:val="222222"/>
                <w:sz w:val="22"/>
                <w:shd w:val="clear" w:color="auto" w:fill="FFFFFF"/>
              </w:rPr>
            </w:pPr>
            <w:r w:rsidRPr="00DA493C">
              <w:rPr>
                <w:rFonts w:ascii="Segoe UI Symbol" w:hAnsi="Segoe UI Symbol" w:cs="Segoe UI Symbol"/>
                <w:b/>
                <w:i/>
                <w:color w:val="222222"/>
                <w:sz w:val="22"/>
                <w:shd w:val="clear" w:color="auto" w:fill="FFFFFF"/>
              </w:rPr>
              <w:t>2</w:t>
            </w:r>
          </w:p>
        </w:tc>
      </w:tr>
    </w:tbl>
    <w:p w:rsidR="00B17978" w:rsidRDefault="00B17978" w:rsidP="00E14487">
      <w:pPr>
        <w:spacing w:before="120" w:after="0" w:line="240" w:lineRule="auto"/>
        <w:rPr>
          <w:rFonts w:ascii="Calibri" w:hAnsi="Calibri" w:cs="Times New Roman"/>
          <w:b/>
          <w:iCs/>
          <w:szCs w:val="18"/>
          <w:lang w:eastAsia="en-AU"/>
        </w:rPr>
      </w:pPr>
      <w:bookmarkStart w:id="855" w:name="_Toc486605096"/>
      <w:r>
        <w:rPr>
          <w:lang w:eastAsia="en-AU"/>
        </w:rPr>
        <w:br w:type="page"/>
      </w:r>
    </w:p>
    <w:p w:rsidR="00CC0633" w:rsidRDefault="00487667" w:rsidP="00CC0633">
      <w:pPr>
        <w:pStyle w:val="Caption"/>
        <w:keepNext/>
      </w:pPr>
      <w:bookmarkStart w:id="856" w:name="_Toc495416884"/>
      <w:bookmarkStart w:id="857" w:name="Tab1124"/>
      <w:bookmarkEnd w:id="855"/>
      <w:r>
        <w:lastRenderedPageBreak/>
        <w:t>Table 11.</w:t>
      </w:r>
      <w:r w:rsidR="009A3F5A">
        <w:fldChar w:fldCharType="begin"/>
      </w:r>
      <w:r w:rsidR="009A3F5A">
        <w:instrText xml:space="preserve"> SEQ Table_11. \* ARABIC </w:instrText>
      </w:r>
      <w:r w:rsidR="009A3F5A">
        <w:fldChar w:fldCharType="separate"/>
      </w:r>
      <w:r w:rsidR="00856E49">
        <w:rPr>
          <w:noProof/>
        </w:rPr>
        <w:t>24</w:t>
      </w:r>
      <w:r w:rsidR="009A3F5A">
        <w:rPr>
          <w:noProof/>
        </w:rPr>
        <w:fldChar w:fldCharType="end"/>
      </w:r>
      <w:r>
        <w:t xml:space="preserve">: </w:t>
      </w:r>
      <w:r w:rsidRPr="00487667">
        <w:t>Comparison of the Current System and New Options</w:t>
      </w:r>
      <w:bookmarkEnd w:id="856"/>
    </w:p>
    <w:tbl>
      <w:tblPr>
        <w:tblStyle w:val="CV12"/>
        <w:tblW w:w="0" w:type="auto"/>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able 11.24 is a detailed list of comparisons between the current aged care funding instrument (ACFI) and the three new options, as summarised in the text prior to this table. The 16 aspects being compared are:&#10;1. The funding models&#10;2. Responsibility of funding assessments for new residents&#10;3. ACAT changes?&#10;4. R-ACFI Users&#10;5. Review by&#10;6. New Residents: audit %&#10;7. Funding Determination - review process.&#10;8. Funding certainty &amp; Audits&#10;9. When full funding paid? &#10;10. Provider does R-ACFI in…&#10;11. Re-appraisals: audit assess&#10;12. Funding Determination Process&#10;13. When full funding paid? Funding certainty &amp; Audit&#10;14. Method Used to Audit $&#10;15. Stable funding&#10;16. Growth Reduction: 2018-22 FYE&#10;This table is to be read left to right, top to bottom."/>
      </w:tblPr>
      <w:tblGrid>
        <w:gridCol w:w="2586"/>
        <w:gridCol w:w="2682"/>
        <w:gridCol w:w="2683"/>
        <w:gridCol w:w="2943"/>
        <w:gridCol w:w="2946"/>
      </w:tblGrid>
      <w:tr w:rsidR="00CD14F4" w:rsidRPr="00CD14F4" w:rsidTr="00CD14F4">
        <w:trPr>
          <w:tblHeader/>
        </w:trPr>
        <w:tc>
          <w:tcPr>
            <w:tcW w:w="2605" w:type="dxa"/>
            <w:shd w:val="clear" w:color="auto" w:fill="5B9BD5" w:themeFill="accent5"/>
          </w:tcPr>
          <w:bookmarkEnd w:id="857"/>
          <w:p w:rsidR="00B17978" w:rsidRPr="00CD14F4" w:rsidRDefault="00B17978" w:rsidP="00DD6610">
            <w:pPr>
              <w:spacing w:after="0"/>
              <w:rPr>
                <w:rFonts w:eastAsia="Times New Roman" w:cstheme="minorHAnsi"/>
                <w:b/>
                <w:color w:val="F2F2F2" w:themeColor="background1" w:themeShade="F2"/>
                <w:sz w:val="20"/>
                <w:szCs w:val="20"/>
                <w:lang w:eastAsia="en-AU"/>
              </w:rPr>
            </w:pPr>
            <w:r w:rsidRPr="00CD14F4">
              <w:rPr>
                <w:rFonts w:eastAsia="Times New Roman" w:cstheme="minorHAnsi"/>
                <w:b/>
                <w:color w:val="F2F2F2" w:themeColor="background1" w:themeShade="F2"/>
                <w:sz w:val="20"/>
                <w:szCs w:val="20"/>
                <w:lang w:eastAsia="en-AU"/>
              </w:rPr>
              <w:t>Aspect</w:t>
            </w:r>
          </w:p>
        </w:tc>
        <w:tc>
          <w:tcPr>
            <w:tcW w:w="2700" w:type="dxa"/>
            <w:shd w:val="clear" w:color="auto" w:fill="5B9BD5" w:themeFill="accent5"/>
          </w:tcPr>
          <w:p w:rsidR="00B17978" w:rsidRPr="00CD14F4" w:rsidRDefault="00B17978" w:rsidP="00DD6610">
            <w:pPr>
              <w:spacing w:after="0"/>
              <w:jc w:val="center"/>
              <w:rPr>
                <w:rFonts w:eastAsia="Times New Roman" w:cstheme="minorHAnsi"/>
                <w:b/>
                <w:color w:val="F2F2F2" w:themeColor="background1" w:themeShade="F2"/>
                <w:sz w:val="20"/>
                <w:szCs w:val="20"/>
                <w:lang w:eastAsia="en-AU"/>
              </w:rPr>
            </w:pPr>
            <w:r w:rsidRPr="00CD14F4">
              <w:rPr>
                <w:rFonts w:eastAsia="Times New Roman" w:cstheme="minorHAnsi"/>
                <w:b/>
                <w:color w:val="F2F2F2" w:themeColor="background1" w:themeShade="F2"/>
                <w:sz w:val="20"/>
                <w:szCs w:val="20"/>
                <w:lang w:eastAsia="en-AU"/>
              </w:rPr>
              <w:t>Current System</w:t>
            </w:r>
          </w:p>
        </w:tc>
        <w:tc>
          <w:tcPr>
            <w:tcW w:w="2700" w:type="dxa"/>
            <w:shd w:val="clear" w:color="auto" w:fill="5B9BD5" w:themeFill="accent5"/>
          </w:tcPr>
          <w:p w:rsidR="00B17978" w:rsidRPr="00CD14F4" w:rsidRDefault="00B17978" w:rsidP="00DD6610">
            <w:pPr>
              <w:spacing w:after="0"/>
              <w:jc w:val="center"/>
              <w:rPr>
                <w:rFonts w:eastAsia="Times New Roman" w:cstheme="minorHAnsi"/>
                <w:b/>
                <w:color w:val="F2F2F2" w:themeColor="background1" w:themeShade="F2"/>
                <w:sz w:val="20"/>
                <w:szCs w:val="20"/>
                <w:lang w:eastAsia="en-AU"/>
              </w:rPr>
            </w:pPr>
            <w:r w:rsidRPr="00CD14F4">
              <w:rPr>
                <w:rFonts w:eastAsia="Times New Roman" w:cstheme="minorHAnsi"/>
                <w:b/>
                <w:color w:val="F2F2F2" w:themeColor="background1" w:themeShade="F2"/>
                <w:sz w:val="20"/>
                <w:szCs w:val="20"/>
                <w:lang w:eastAsia="en-AU"/>
              </w:rPr>
              <w:t>Option 1 – Modified Current</w:t>
            </w:r>
          </w:p>
        </w:tc>
        <w:tc>
          <w:tcPr>
            <w:tcW w:w="2970" w:type="dxa"/>
            <w:shd w:val="clear" w:color="auto" w:fill="5B9BD5" w:themeFill="accent5"/>
          </w:tcPr>
          <w:p w:rsidR="00B17978" w:rsidRPr="00CD14F4" w:rsidRDefault="00B17978" w:rsidP="00DD6610">
            <w:pPr>
              <w:spacing w:after="0"/>
              <w:jc w:val="center"/>
              <w:rPr>
                <w:rFonts w:eastAsia="Times New Roman" w:cstheme="minorHAnsi"/>
                <w:b/>
                <w:color w:val="F2F2F2" w:themeColor="background1" w:themeShade="F2"/>
                <w:sz w:val="20"/>
                <w:szCs w:val="20"/>
                <w:lang w:eastAsia="en-AU"/>
              </w:rPr>
            </w:pPr>
            <w:r w:rsidRPr="00CD14F4">
              <w:rPr>
                <w:rFonts w:eastAsia="Times New Roman" w:cstheme="minorHAnsi"/>
                <w:b/>
                <w:color w:val="F2F2F2" w:themeColor="background1" w:themeShade="F2"/>
                <w:sz w:val="20"/>
                <w:szCs w:val="20"/>
                <w:lang w:eastAsia="en-AU"/>
              </w:rPr>
              <w:t>Option 2 - ACAT</w:t>
            </w:r>
          </w:p>
        </w:tc>
        <w:tc>
          <w:tcPr>
            <w:tcW w:w="2970" w:type="dxa"/>
            <w:shd w:val="clear" w:color="auto" w:fill="5B9BD5" w:themeFill="accent5"/>
          </w:tcPr>
          <w:p w:rsidR="00B17978" w:rsidRPr="00CD14F4" w:rsidRDefault="00B17978" w:rsidP="00DD6610">
            <w:pPr>
              <w:spacing w:after="0"/>
              <w:jc w:val="center"/>
              <w:rPr>
                <w:rFonts w:eastAsia="Times New Roman" w:cstheme="minorHAnsi"/>
                <w:b/>
                <w:color w:val="F2F2F2" w:themeColor="background1" w:themeShade="F2"/>
                <w:sz w:val="20"/>
                <w:szCs w:val="20"/>
                <w:lang w:eastAsia="en-AU"/>
              </w:rPr>
            </w:pPr>
            <w:r w:rsidRPr="00CD14F4">
              <w:rPr>
                <w:rFonts w:eastAsia="Times New Roman" w:cstheme="minorHAnsi"/>
                <w:b/>
                <w:color w:val="F2F2F2" w:themeColor="background1" w:themeShade="F2"/>
                <w:sz w:val="20"/>
                <w:szCs w:val="20"/>
                <w:lang w:eastAsia="en-AU"/>
              </w:rPr>
              <w:t>Option 3 - SAA</w:t>
            </w:r>
          </w:p>
        </w:tc>
      </w:tr>
      <w:tr w:rsidR="00B17978" w:rsidRPr="00326BE2" w:rsidTr="00712BD8">
        <w:tc>
          <w:tcPr>
            <w:tcW w:w="2605" w:type="dxa"/>
          </w:tcPr>
          <w:p w:rsidR="00B17978" w:rsidRPr="00326BE2" w:rsidRDefault="00B17978" w:rsidP="00212F6E">
            <w:pPr>
              <w:spacing w:after="0"/>
              <w:jc w:val="left"/>
              <w:rPr>
                <w:rFonts w:eastAsia="Times New Roman" w:cstheme="minorHAnsi"/>
                <w:b/>
                <w:sz w:val="20"/>
                <w:szCs w:val="20"/>
                <w:lang w:eastAsia="en-AU"/>
              </w:rPr>
            </w:pPr>
            <w:r w:rsidRPr="00326BE2">
              <w:rPr>
                <w:rFonts w:eastAsia="Times New Roman" w:cstheme="minorHAnsi"/>
                <w:b/>
                <w:sz w:val="20"/>
                <w:szCs w:val="20"/>
                <w:lang w:eastAsia="en-AU"/>
              </w:rPr>
              <w:t>Funding Model</w:t>
            </w:r>
          </w:p>
        </w:tc>
        <w:tc>
          <w:tcPr>
            <w:tcW w:w="2700" w:type="dxa"/>
          </w:tcPr>
          <w:p w:rsidR="00B17978" w:rsidRPr="00326BE2" w:rsidRDefault="00B17978" w:rsidP="00212F6E">
            <w:pPr>
              <w:spacing w:after="0"/>
              <w:jc w:val="center"/>
              <w:rPr>
                <w:rFonts w:eastAsia="Times New Roman" w:cstheme="minorHAnsi"/>
                <w:sz w:val="20"/>
                <w:szCs w:val="20"/>
                <w:lang w:eastAsia="en-AU"/>
              </w:rPr>
            </w:pPr>
            <w:r w:rsidRPr="00326BE2">
              <w:rPr>
                <w:rFonts w:eastAsia="Times New Roman" w:cstheme="minorHAnsi"/>
                <w:sz w:val="20"/>
                <w:szCs w:val="20"/>
                <w:lang w:eastAsia="en-AU"/>
              </w:rPr>
              <w:t>Provider self-assessment</w:t>
            </w:r>
          </w:p>
        </w:tc>
        <w:tc>
          <w:tcPr>
            <w:tcW w:w="2700" w:type="dxa"/>
          </w:tcPr>
          <w:p w:rsidR="00B17978" w:rsidRPr="00326BE2" w:rsidRDefault="00B17978" w:rsidP="00212F6E">
            <w:pPr>
              <w:spacing w:after="0"/>
              <w:jc w:val="center"/>
              <w:rPr>
                <w:rFonts w:eastAsia="Times New Roman" w:cstheme="minorHAnsi"/>
                <w:sz w:val="20"/>
                <w:szCs w:val="20"/>
                <w:lang w:eastAsia="en-AU"/>
              </w:rPr>
            </w:pPr>
            <w:r w:rsidRPr="00326BE2">
              <w:rPr>
                <w:rFonts w:eastAsia="Times New Roman" w:cstheme="minorHAnsi"/>
                <w:sz w:val="20"/>
                <w:szCs w:val="20"/>
                <w:lang w:eastAsia="en-AU"/>
              </w:rPr>
              <w:t>Provider self -assessment</w:t>
            </w:r>
          </w:p>
        </w:tc>
        <w:tc>
          <w:tcPr>
            <w:tcW w:w="2970" w:type="dxa"/>
          </w:tcPr>
          <w:p w:rsidR="00B17978" w:rsidRPr="00326BE2" w:rsidRDefault="00B17978" w:rsidP="00212F6E">
            <w:pPr>
              <w:spacing w:after="0"/>
              <w:jc w:val="center"/>
              <w:rPr>
                <w:rFonts w:eastAsia="Times New Roman" w:cstheme="minorHAnsi"/>
                <w:sz w:val="20"/>
                <w:szCs w:val="20"/>
                <w:lang w:eastAsia="en-AU"/>
              </w:rPr>
            </w:pPr>
            <w:r w:rsidRPr="00326BE2">
              <w:rPr>
                <w:rFonts w:eastAsia="Times New Roman" w:cstheme="minorHAnsi"/>
                <w:sz w:val="20"/>
                <w:szCs w:val="20"/>
                <w:lang w:eastAsia="en-AU"/>
              </w:rPr>
              <w:t>ACAT (RN/AHP)</w:t>
            </w:r>
          </w:p>
        </w:tc>
        <w:tc>
          <w:tcPr>
            <w:tcW w:w="2970" w:type="dxa"/>
          </w:tcPr>
          <w:p w:rsidR="00B17978" w:rsidRPr="00326BE2" w:rsidRDefault="00B17978" w:rsidP="00212F6E">
            <w:pPr>
              <w:spacing w:after="0"/>
              <w:jc w:val="center"/>
              <w:rPr>
                <w:rFonts w:eastAsia="Times New Roman" w:cstheme="minorHAnsi"/>
                <w:sz w:val="20"/>
                <w:szCs w:val="20"/>
                <w:lang w:eastAsia="en-AU"/>
              </w:rPr>
            </w:pPr>
            <w:r>
              <w:rPr>
                <w:rFonts w:eastAsia="Times New Roman" w:cstheme="minorHAnsi"/>
                <w:sz w:val="20"/>
                <w:szCs w:val="20"/>
                <w:lang w:eastAsia="en-AU"/>
              </w:rPr>
              <w:t>SAA assessor</w:t>
            </w:r>
          </w:p>
        </w:tc>
      </w:tr>
      <w:tr w:rsidR="00B17978" w:rsidRPr="00326BE2" w:rsidTr="00712BD8">
        <w:tc>
          <w:tcPr>
            <w:tcW w:w="2605" w:type="dxa"/>
          </w:tcPr>
          <w:p w:rsidR="00B17978" w:rsidRPr="003F0F6E" w:rsidRDefault="00B17978" w:rsidP="00212F6E">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New Resident - $ assess</w:t>
            </w:r>
          </w:p>
        </w:tc>
        <w:tc>
          <w:tcPr>
            <w:tcW w:w="2700" w:type="dxa"/>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Facility</w:t>
            </w:r>
          </w:p>
        </w:tc>
        <w:tc>
          <w:tcPr>
            <w:tcW w:w="2700" w:type="dxa"/>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Facility</w:t>
            </w:r>
          </w:p>
        </w:tc>
        <w:tc>
          <w:tcPr>
            <w:tcW w:w="2970" w:type="dxa"/>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Pre-admission; home, hospital, respite</w:t>
            </w:r>
          </w:p>
        </w:tc>
        <w:tc>
          <w:tcPr>
            <w:tcW w:w="2970" w:type="dxa"/>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Facility</w:t>
            </w:r>
          </w:p>
        </w:tc>
      </w:tr>
      <w:tr w:rsidR="00B17978" w:rsidRPr="00326BE2" w:rsidTr="00712BD8">
        <w:tc>
          <w:tcPr>
            <w:tcW w:w="2605" w:type="dxa"/>
          </w:tcPr>
          <w:p w:rsidR="00B17978" w:rsidRPr="003F0F6E" w:rsidRDefault="00B17978" w:rsidP="00212F6E">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ACAT changes?</w:t>
            </w:r>
          </w:p>
        </w:tc>
        <w:tc>
          <w:tcPr>
            <w:tcW w:w="2700" w:type="dxa"/>
            <w:shd w:val="clear" w:color="auto" w:fill="auto"/>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No: no R-ACFI pre-entry, no $ role</w:t>
            </w:r>
          </w:p>
        </w:tc>
        <w:tc>
          <w:tcPr>
            <w:tcW w:w="2700" w:type="dxa"/>
            <w:shd w:val="clear" w:color="auto" w:fill="auto"/>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Yes: 3 months R-ACFI pre-entry, no $ role</w:t>
            </w:r>
          </w:p>
        </w:tc>
        <w:tc>
          <w:tcPr>
            <w:tcW w:w="2970" w:type="dxa"/>
            <w:shd w:val="clear" w:color="auto" w:fill="auto"/>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Yes: 3 months R-ACFI pre-entry,</w:t>
            </w:r>
          </w:p>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sets $, review role</w:t>
            </w:r>
          </w:p>
        </w:tc>
        <w:tc>
          <w:tcPr>
            <w:tcW w:w="2970" w:type="dxa"/>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No: no R-ACFI pre-entry, no $ role</w:t>
            </w:r>
          </w:p>
        </w:tc>
      </w:tr>
      <w:tr w:rsidR="00B17978" w:rsidRPr="00326BE2" w:rsidTr="00712BD8">
        <w:tc>
          <w:tcPr>
            <w:tcW w:w="2605" w:type="dxa"/>
            <w:shd w:val="clear" w:color="auto" w:fill="auto"/>
          </w:tcPr>
          <w:p w:rsidR="00B17978" w:rsidRPr="003F0F6E" w:rsidRDefault="00B17978" w:rsidP="00212F6E">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R-ACFI Users</w:t>
            </w:r>
          </w:p>
        </w:tc>
        <w:tc>
          <w:tcPr>
            <w:tcW w:w="2700" w:type="dxa"/>
            <w:shd w:val="clear" w:color="auto" w:fill="auto"/>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Provider</w:t>
            </w:r>
          </w:p>
        </w:tc>
        <w:tc>
          <w:tcPr>
            <w:tcW w:w="2700" w:type="dxa"/>
            <w:shd w:val="clear" w:color="auto" w:fill="auto"/>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ACAT &amp; Provider</w:t>
            </w:r>
          </w:p>
        </w:tc>
        <w:tc>
          <w:tcPr>
            <w:tcW w:w="2970" w:type="dxa"/>
            <w:shd w:val="clear" w:color="auto" w:fill="auto"/>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ACAT &amp; Provider</w:t>
            </w:r>
          </w:p>
        </w:tc>
        <w:tc>
          <w:tcPr>
            <w:tcW w:w="2970" w:type="dxa"/>
            <w:shd w:val="clear" w:color="auto" w:fill="auto"/>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 xml:space="preserve">Provider &amp; </w:t>
            </w:r>
            <w:r w:rsidR="00C457CE" w:rsidRPr="003F0F6E">
              <w:rPr>
                <w:rFonts w:eastAsia="Times New Roman" w:cstheme="minorHAnsi"/>
                <w:sz w:val="20"/>
                <w:szCs w:val="20"/>
                <w:lang w:eastAsia="en-AU"/>
              </w:rPr>
              <w:t>S</w:t>
            </w:r>
            <w:r w:rsidR="00C457CE">
              <w:rPr>
                <w:rFonts w:eastAsia="Times New Roman" w:cstheme="minorHAnsi"/>
                <w:sz w:val="20"/>
                <w:szCs w:val="20"/>
                <w:lang w:eastAsia="en-AU"/>
              </w:rPr>
              <w:t>A</w:t>
            </w:r>
            <w:r w:rsidR="00C457CE" w:rsidRPr="003F0F6E">
              <w:rPr>
                <w:rFonts w:eastAsia="Times New Roman" w:cstheme="minorHAnsi"/>
                <w:sz w:val="20"/>
                <w:szCs w:val="20"/>
                <w:lang w:eastAsia="en-AU"/>
              </w:rPr>
              <w:t>A</w:t>
            </w:r>
          </w:p>
        </w:tc>
      </w:tr>
      <w:tr w:rsidR="00B17978" w:rsidRPr="00326BE2" w:rsidTr="00712BD8">
        <w:tc>
          <w:tcPr>
            <w:tcW w:w="2605" w:type="dxa"/>
            <w:shd w:val="clear" w:color="auto" w:fill="auto"/>
          </w:tcPr>
          <w:p w:rsidR="00B17978" w:rsidRPr="003F0F6E" w:rsidRDefault="00B17978" w:rsidP="00212F6E">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Review by</w:t>
            </w:r>
          </w:p>
        </w:tc>
        <w:tc>
          <w:tcPr>
            <w:tcW w:w="2700" w:type="dxa"/>
            <w:shd w:val="clear" w:color="auto" w:fill="auto"/>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Review Officers (RO)</w:t>
            </w:r>
          </w:p>
        </w:tc>
        <w:tc>
          <w:tcPr>
            <w:tcW w:w="2700" w:type="dxa"/>
            <w:shd w:val="clear" w:color="auto" w:fill="auto"/>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Review Officers (RO)</w:t>
            </w:r>
          </w:p>
        </w:tc>
        <w:tc>
          <w:tcPr>
            <w:tcW w:w="2970" w:type="dxa"/>
            <w:shd w:val="clear" w:color="auto" w:fill="auto"/>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ACAT (RN/AHP)</w:t>
            </w:r>
          </w:p>
        </w:tc>
        <w:tc>
          <w:tcPr>
            <w:tcW w:w="2970" w:type="dxa"/>
            <w:shd w:val="clear" w:color="auto" w:fill="auto"/>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SAA assessor</w:t>
            </w:r>
          </w:p>
        </w:tc>
      </w:tr>
      <w:tr w:rsidR="00CD14F4" w:rsidRPr="00CD14F4" w:rsidTr="00CD14F4">
        <w:tc>
          <w:tcPr>
            <w:tcW w:w="2605" w:type="dxa"/>
            <w:shd w:val="clear" w:color="auto" w:fill="D9E2F3" w:themeFill="accent1" w:themeFillTint="33"/>
          </w:tcPr>
          <w:p w:rsidR="00B17978" w:rsidRPr="00CD14F4" w:rsidRDefault="00B17978" w:rsidP="00212F6E">
            <w:pPr>
              <w:spacing w:after="0"/>
              <w:jc w:val="left"/>
              <w:rPr>
                <w:rFonts w:eastAsia="Times New Roman" w:cstheme="minorHAnsi"/>
                <w:b/>
                <w:sz w:val="20"/>
                <w:szCs w:val="20"/>
                <w:lang w:eastAsia="en-AU"/>
              </w:rPr>
            </w:pPr>
            <w:r w:rsidRPr="00CD14F4">
              <w:rPr>
                <w:rFonts w:eastAsia="Times New Roman" w:cstheme="minorHAnsi"/>
                <w:b/>
                <w:sz w:val="20"/>
                <w:szCs w:val="20"/>
                <w:lang w:eastAsia="en-AU"/>
              </w:rPr>
              <w:t>New Residents: audit %</w:t>
            </w:r>
          </w:p>
        </w:tc>
        <w:tc>
          <w:tcPr>
            <w:tcW w:w="2700" w:type="dxa"/>
            <w:shd w:val="clear" w:color="auto" w:fill="D9E2F3" w:themeFill="accent1" w:themeFillTint="33"/>
          </w:tcPr>
          <w:p w:rsidR="00B17978" w:rsidRPr="00CD14F4" w:rsidRDefault="00B17978" w:rsidP="00212F6E">
            <w:pPr>
              <w:spacing w:after="0"/>
              <w:jc w:val="center"/>
              <w:rPr>
                <w:rFonts w:eastAsia="Times New Roman" w:cstheme="minorHAnsi"/>
                <w:b/>
                <w:sz w:val="20"/>
                <w:szCs w:val="20"/>
                <w:lang w:eastAsia="en-AU"/>
              </w:rPr>
            </w:pPr>
            <w:r w:rsidRPr="00CD14F4">
              <w:rPr>
                <w:rFonts w:eastAsia="Times New Roman" w:cstheme="minorHAnsi"/>
                <w:b/>
                <w:sz w:val="20"/>
                <w:szCs w:val="20"/>
                <w:lang w:eastAsia="en-AU"/>
              </w:rPr>
              <w:t>10% (assess)</w:t>
            </w:r>
          </w:p>
        </w:tc>
        <w:tc>
          <w:tcPr>
            <w:tcW w:w="2700" w:type="dxa"/>
            <w:shd w:val="clear" w:color="auto" w:fill="D9E2F3" w:themeFill="accent1" w:themeFillTint="33"/>
          </w:tcPr>
          <w:p w:rsidR="00B17978" w:rsidRPr="00CD14F4" w:rsidRDefault="00B17978" w:rsidP="00212F6E">
            <w:pPr>
              <w:spacing w:after="0"/>
              <w:jc w:val="center"/>
              <w:rPr>
                <w:rFonts w:eastAsia="Times New Roman" w:cstheme="minorHAnsi"/>
                <w:b/>
                <w:sz w:val="20"/>
                <w:szCs w:val="20"/>
                <w:lang w:eastAsia="en-AU"/>
              </w:rPr>
            </w:pPr>
            <w:r w:rsidRPr="00CD14F4">
              <w:rPr>
                <w:rFonts w:eastAsia="Times New Roman" w:cstheme="minorHAnsi"/>
                <w:b/>
                <w:sz w:val="20"/>
                <w:szCs w:val="20"/>
                <w:lang w:eastAsia="en-AU"/>
              </w:rPr>
              <w:t>10% visit audit; 90% data</w:t>
            </w:r>
          </w:p>
        </w:tc>
        <w:tc>
          <w:tcPr>
            <w:tcW w:w="2970" w:type="dxa"/>
            <w:shd w:val="clear" w:color="auto" w:fill="D9E2F3" w:themeFill="accent1" w:themeFillTint="33"/>
          </w:tcPr>
          <w:p w:rsidR="00B17978" w:rsidRPr="00CD14F4" w:rsidRDefault="00B17978" w:rsidP="00212F6E">
            <w:pPr>
              <w:spacing w:after="0"/>
              <w:jc w:val="center"/>
              <w:rPr>
                <w:rFonts w:eastAsia="Times New Roman" w:cstheme="minorHAnsi"/>
                <w:b/>
                <w:sz w:val="20"/>
                <w:szCs w:val="20"/>
                <w:lang w:eastAsia="en-AU"/>
              </w:rPr>
            </w:pPr>
            <w:r w:rsidRPr="00CD14F4">
              <w:rPr>
                <w:rFonts w:eastAsia="Times New Roman" w:cstheme="minorHAnsi"/>
                <w:b/>
                <w:sz w:val="20"/>
                <w:szCs w:val="20"/>
                <w:lang w:eastAsia="en-AU"/>
              </w:rPr>
              <w:t>100% assessment pre/post entry</w:t>
            </w:r>
          </w:p>
        </w:tc>
        <w:tc>
          <w:tcPr>
            <w:tcW w:w="2970" w:type="dxa"/>
            <w:shd w:val="clear" w:color="auto" w:fill="D9E2F3" w:themeFill="accent1" w:themeFillTint="33"/>
          </w:tcPr>
          <w:p w:rsidR="00B17978" w:rsidRPr="00CD14F4" w:rsidRDefault="00B17978" w:rsidP="00212F6E">
            <w:pPr>
              <w:spacing w:after="0"/>
              <w:jc w:val="center"/>
              <w:rPr>
                <w:rFonts w:eastAsia="Times New Roman" w:cstheme="minorHAnsi"/>
                <w:b/>
                <w:sz w:val="20"/>
                <w:szCs w:val="20"/>
                <w:lang w:eastAsia="en-AU"/>
              </w:rPr>
            </w:pPr>
            <w:r w:rsidRPr="00CD14F4">
              <w:rPr>
                <w:rFonts w:eastAsia="Times New Roman" w:cstheme="minorHAnsi"/>
                <w:b/>
                <w:sz w:val="20"/>
                <w:szCs w:val="20"/>
                <w:lang w:eastAsia="en-AU"/>
              </w:rPr>
              <w:t>Up to 100% via visit assessment</w:t>
            </w:r>
          </w:p>
        </w:tc>
      </w:tr>
      <w:tr w:rsidR="00B17978" w:rsidRPr="00326BE2" w:rsidTr="00712BD8">
        <w:trPr>
          <w:trHeight w:val="1503"/>
        </w:trPr>
        <w:tc>
          <w:tcPr>
            <w:tcW w:w="2605" w:type="dxa"/>
          </w:tcPr>
          <w:p w:rsidR="00B17978" w:rsidRPr="003F0F6E" w:rsidRDefault="00B17978" w:rsidP="00212F6E">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Funding Determination - review process.</w:t>
            </w:r>
          </w:p>
        </w:tc>
        <w:tc>
          <w:tcPr>
            <w:tcW w:w="2700" w:type="dxa"/>
          </w:tcPr>
          <w:p w:rsidR="00B17978" w:rsidRPr="003F0F6E" w:rsidRDefault="00B17978" w:rsidP="00212F6E">
            <w:pPr>
              <w:spacing w:after="0"/>
              <w:jc w:val="center"/>
              <w:rPr>
                <w:rFonts w:eastAsia="Times New Roman" w:cstheme="minorHAnsi"/>
                <w:b/>
                <w:sz w:val="20"/>
                <w:szCs w:val="20"/>
                <w:lang w:eastAsia="en-AU"/>
              </w:rPr>
            </w:pPr>
            <w:r w:rsidRPr="003F0F6E">
              <w:rPr>
                <w:rFonts w:eastAsia="Times New Roman" w:cstheme="minorHAnsi"/>
                <w:b/>
                <w:sz w:val="20"/>
                <w:szCs w:val="20"/>
                <w:lang w:eastAsia="en-AU"/>
              </w:rPr>
              <w:t>Provider R-ACFI used for $</w:t>
            </w:r>
          </w:p>
          <w:p w:rsidR="00B17978" w:rsidRPr="003F0F6E" w:rsidRDefault="00B17978" w:rsidP="00212F6E">
            <w:pPr>
              <w:spacing w:after="0"/>
              <w:jc w:val="center"/>
              <w:rPr>
                <w:rFonts w:eastAsia="Times New Roman" w:cstheme="minorHAnsi"/>
                <w:sz w:val="20"/>
                <w:szCs w:val="20"/>
                <w:lang w:eastAsia="en-AU"/>
              </w:rPr>
            </w:pPr>
            <w:r>
              <w:rPr>
                <w:rFonts w:eastAsia="Times New Roman" w:cstheme="minorHAnsi"/>
                <w:sz w:val="20"/>
                <w:szCs w:val="20"/>
                <w:lang w:eastAsia="en-AU"/>
              </w:rPr>
              <w:t>RO audits sample (10</w:t>
            </w:r>
            <w:r w:rsidRPr="003F0F6E">
              <w:rPr>
                <w:rFonts w:eastAsia="Times New Roman" w:cstheme="minorHAnsi"/>
                <w:sz w:val="20"/>
                <w:szCs w:val="20"/>
                <w:lang w:eastAsia="en-AU"/>
              </w:rPr>
              <w:t>%) after payment using care provided</w:t>
            </w:r>
            <w:r>
              <w:rPr>
                <w:rFonts w:eastAsia="Times New Roman" w:cstheme="minorHAnsi"/>
                <w:sz w:val="20"/>
                <w:szCs w:val="20"/>
                <w:lang w:eastAsia="en-AU"/>
              </w:rPr>
              <w:t>, resident review, documentation, staff discussions</w:t>
            </w:r>
          </w:p>
        </w:tc>
        <w:tc>
          <w:tcPr>
            <w:tcW w:w="2700" w:type="dxa"/>
          </w:tcPr>
          <w:p w:rsidR="00B17978" w:rsidRPr="003F0F6E" w:rsidRDefault="00B17978" w:rsidP="00212F6E">
            <w:pPr>
              <w:spacing w:after="0"/>
              <w:jc w:val="center"/>
              <w:rPr>
                <w:rFonts w:eastAsia="Times New Roman" w:cstheme="minorHAnsi"/>
                <w:b/>
                <w:sz w:val="20"/>
                <w:szCs w:val="20"/>
                <w:lang w:eastAsia="en-AU"/>
              </w:rPr>
            </w:pPr>
            <w:r w:rsidRPr="003F0F6E">
              <w:rPr>
                <w:rFonts w:eastAsia="Times New Roman" w:cstheme="minorHAnsi"/>
                <w:b/>
                <w:sz w:val="20"/>
                <w:szCs w:val="20"/>
                <w:lang w:eastAsia="en-AU"/>
              </w:rPr>
              <w:t>Provider R-ACFI used for $</w:t>
            </w:r>
          </w:p>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RO audits 100% after payment using: Matching (ACAT/Provider), data analytics, e-audit, site visits</w:t>
            </w:r>
            <w:r>
              <w:rPr>
                <w:rFonts w:eastAsia="Times New Roman" w:cstheme="minorHAnsi"/>
                <w:sz w:val="20"/>
                <w:szCs w:val="20"/>
                <w:lang w:eastAsia="en-AU"/>
              </w:rPr>
              <w:t xml:space="preserve"> for around 10% of submissions.</w:t>
            </w:r>
          </w:p>
        </w:tc>
        <w:tc>
          <w:tcPr>
            <w:tcW w:w="2970" w:type="dxa"/>
          </w:tcPr>
          <w:p w:rsidR="00B17978" w:rsidRPr="003F0F6E" w:rsidRDefault="00B17978" w:rsidP="00212F6E">
            <w:pPr>
              <w:spacing w:after="0"/>
              <w:jc w:val="center"/>
              <w:rPr>
                <w:rFonts w:eastAsia="Times New Roman" w:cstheme="minorHAnsi"/>
                <w:b/>
                <w:sz w:val="20"/>
                <w:szCs w:val="20"/>
                <w:lang w:eastAsia="en-AU"/>
              </w:rPr>
            </w:pPr>
            <w:r w:rsidRPr="003F0F6E">
              <w:rPr>
                <w:rFonts w:eastAsia="Times New Roman" w:cstheme="minorHAnsi"/>
                <w:b/>
                <w:sz w:val="20"/>
                <w:szCs w:val="20"/>
                <w:lang w:eastAsia="en-AU"/>
              </w:rPr>
              <w:t xml:space="preserve">ACAT R-ACFI used for </w:t>
            </w:r>
            <w:r>
              <w:rPr>
                <w:rFonts w:eastAsia="Times New Roman" w:cstheme="minorHAnsi"/>
                <w:b/>
                <w:sz w:val="20"/>
                <w:szCs w:val="20"/>
                <w:lang w:eastAsia="en-AU"/>
              </w:rPr>
              <w:t xml:space="preserve">funding </w:t>
            </w:r>
            <w:r w:rsidRPr="003F0F6E">
              <w:rPr>
                <w:rFonts w:eastAsia="Times New Roman" w:cstheme="minorHAnsi"/>
                <w:b/>
                <w:sz w:val="20"/>
                <w:szCs w:val="20"/>
                <w:lang w:eastAsia="en-AU"/>
              </w:rPr>
              <w:t>$</w:t>
            </w:r>
            <w:r>
              <w:rPr>
                <w:rFonts w:eastAsia="Times New Roman" w:cstheme="minorHAnsi"/>
                <w:b/>
                <w:sz w:val="20"/>
                <w:szCs w:val="20"/>
                <w:lang w:eastAsia="en-AU"/>
              </w:rPr>
              <w:t>s</w:t>
            </w:r>
          </w:p>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ACAT assessor sets funding pre-entry. No review if accepted.</w:t>
            </w:r>
          </w:p>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Contested R-ACFI process – Matching data analytics, e-audit, site visits</w:t>
            </w:r>
            <w:r w:rsidRPr="003F0F6E" w:rsidDel="002F5D4B">
              <w:rPr>
                <w:rFonts w:eastAsia="Times New Roman" w:cstheme="minorHAnsi"/>
                <w:sz w:val="20"/>
                <w:szCs w:val="20"/>
                <w:lang w:eastAsia="en-AU"/>
              </w:rPr>
              <w:t xml:space="preserve"> </w:t>
            </w:r>
            <w:r w:rsidRPr="003F0F6E">
              <w:rPr>
                <w:rFonts w:eastAsia="Times New Roman" w:cstheme="minorHAnsi"/>
                <w:sz w:val="20"/>
                <w:szCs w:val="20"/>
                <w:lang w:eastAsia="en-AU"/>
              </w:rPr>
              <w:t>and assess</w:t>
            </w:r>
            <w:r>
              <w:rPr>
                <w:rFonts w:eastAsia="Times New Roman" w:cstheme="minorHAnsi"/>
                <w:sz w:val="20"/>
                <w:szCs w:val="20"/>
                <w:lang w:eastAsia="en-AU"/>
              </w:rPr>
              <w:t>.</w:t>
            </w:r>
          </w:p>
        </w:tc>
        <w:tc>
          <w:tcPr>
            <w:tcW w:w="2970" w:type="dxa"/>
          </w:tcPr>
          <w:p w:rsidR="00B17978" w:rsidRPr="00090920" w:rsidRDefault="00B17978" w:rsidP="00212F6E">
            <w:pPr>
              <w:spacing w:after="0"/>
              <w:jc w:val="center"/>
              <w:rPr>
                <w:rFonts w:eastAsia="Times New Roman" w:cstheme="minorHAnsi"/>
                <w:sz w:val="20"/>
                <w:szCs w:val="20"/>
                <w:lang w:eastAsia="en-AU"/>
              </w:rPr>
            </w:pPr>
            <w:r w:rsidRPr="00090920">
              <w:rPr>
                <w:rFonts w:eastAsia="Times New Roman" w:cstheme="minorHAnsi"/>
                <w:b/>
                <w:sz w:val="20"/>
                <w:szCs w:val="20"/>
                <w:lang w:eastAsia="en-AU"/>
              </w:rPr>
              <w:t>Provide</w:t>
            </w:r>
            <w:r>
              <w:rPr>
                <w:rFonts w:eastAsia="Times New Roman" w:cstheme="minorHAnsi"/>
                <w:b/>
                <w:sz w:val="20"/>
                <w:szCs w:val="20"/>
                <w:lang w:eastAsia="en-AU"/>
              </w:rPr>
              <w:t xml:space="preserve">r R-ACFI used for initial </w:t>
            </w:r>
            <w:r w:rsidRPr="00090920">
              <w:rPr>
                <w:rFonts w:eastAsia="Times New Roman" w:cstheme="minorHAnsi"/>
                <w:b/>
                <w:sz w:val="20"/>
                <w:szCs w:val="20"/>
                <w:lang w:eastAsia="en-AU"/>
              </w:rPr>
              <w:t>funding determination</w:t>
            </w:r>
            <w:r>
              <w:rPr>
                <w:rFonts w:eastAsia="Times New Roman" w:cstheme="minorHAnsi"/>
                <w:sz w:val="20"/>
                <w:szCs w:val="20"/>
                <w:lang w:eastAsia="en-AU"/>
              </w:rPr>
              <w:t xml:space="preserve"> </w:t>
            </w:r>
            <w:r w:rsidRPr="00090920">
              <w:rPr>
                <w:rFonts w:eastAsia="Times New Roman" w:cstheme="minorHAnsi"/>
                <w:sz w:val="20"/>
                <w:szCs w:val="20"/>
                <w:lang w:eastAsia="en-AU"/>
              </w:rPr>
              <w:t>but SAA assessor c</w:t>
            </w:r>
            <w:r>
              <w:rPr>
                <w:rFonts w:eastAsia="Times New Roman" w:cstheme="minorHAnsi"/>
                <w:sz w:val="20"/>
                <w:szCs w:val="20"/>
                <w:lang w:eastAsia="en-AU"/>
              </w:rPr>
              <w:t>onfirms</w:t>
            </w:r>
            <w:r w:rsidRPr="00090920">
              <w:rPr>
                <w:rFonts w:eastAsia="Times New Roman" w:cstheme="minorHAnsi"/>
                <w:sz w:val="20"/>
                <w:szCs w:val="20"/>
                <w:lang w:eastAsia="en-AU"/>
              </w:rPr>
              <w:t xml:space="preserve"> for up to 100% of R-ACFI submissions</w:t>
            </w:r>
            <w:r>
              <w:rPr>
                <w:rFonts w:eastAsia="Times New Roman" w:cstheme="minorHAnsi"/>
                <w:sz w:val="20"/>
                <w:szCs w:val="20"/>
                <w:lang w:eastAsia="en-AU"/>
              </w:rPr>
              <w:t xml:space="preserve"> via joint determination approach.</w:t>
            </w:r>
          </w:p>
          <w:p w:rsidR="00B17978" w:rsidRPr="003F0F6E" w:rsidRDefault="00B17978" w:rsidP="00212F6E">
            <w:pPr>
              <w:spacing w:after="0"/>
              <w:jc w:val="center"/>
              <w:rPr>
                <w:rFonts w:eastAsia="Times New Roman" w:cstheme="minorHAnsi"/>
                <w:sz w:val="20"/>
                <w:szCs w:val="20"/>
                <w:lang w:eastAsia="en-AU"/>
              </w:rPr>
            </w:pPr>
            <w:r>
              <w:rPr>
                <w:rFonts w:eastAsia="Times New Roman" w:cstheme="minorHAnsi"/>
                <w:sz w:val="20"/>
                <w:szCs w:val="20"/>
                <w:lang w:eastAsia="en-AU"/>
              </w:rPr>
              <w:t xml:space="preserve">SAA/DoH also checks claims using </w:t>
            </w:r>
            <w:r w:rsidRPr="003F0F6E">
              <w:rPr>
                <w:rFonts w:eastAsia="Times New Roman" w:cstheme="minorHAnsi"/>
                <w:sz w:val="20"/>
                <w:szCs w:val="20"/>
                <w:lang w:eastAsia="en-AU"/>
              </w:rPr>
              <w:t>data analytics, e-audit</w:t>
            </w:r>
            <w:r>
              <w:rPr>
                <w:rFonts w:eastAsia="Times New Roman" w:cstheme="minorHAnsi"/>
                <w:sz w:val="20"/>
                <w:szCs w:val="20"/>
                <w:lang w:eastAsia="en-AU"/>
              </w:rPr>
              <w:t>.</w:t>
            </w:r>
          </w:p>
        </w:tc>
      </w:tr>
      <w:tr w:rsidR="00B17978" w:rsidRPr="00326BE2" w:rsidTr="00712BD8">
        <w:tc>
          <w:tcPr>
            <w:tcW w:w="2605" w:type="dxa"/>
          </w:tcPr>
          <w:p w:rsidR="00B17978" w:rsidRPr="003F0F6E" w:rsidRDefault="00B17978" w:rsidP="00212F6E">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Funding certainty &amp; Audits</w:t>
            </w:r>
          </w:p>
        </w:tc>
        <w:tc>
          <w:tcPr>
            <w:tcW w:w="2700" w:type="dxa"/>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Audit: unrestricted time period</w:t>
            </w:r>
          </w:p>
        </w:tc>
        <w:tc>
          <w:tcPr>
            <w:tcW w:w="2700" w:type="dxa"/>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 xml:space="preserve">Audit: restricted to </w:t>
            </w:r>
            <w:r>
              <w:rPr>
                <w:rFonts w:eastAsia="Times New Roman" w:cstheme="minorHAnsi"/>
                <w:sz w:val="20"/>
                <w:szCs w:val="20"/>
                <w:lang w:eastAsia="en-AU"/>
              </w:rPr>
              <w:t>12</w:t>
            </w:r>
            <w:r w:rsidRPr="003F0F6E">
              <w:rPr>
                <w:rFonts w:eastAsia="Times New Roman" w:cstheme="minorHAnsi"/>
                <w:sz w:val="20"/>
                <w:szCs w:val="20"/>
                <w:lang w:eastAsia="en-AU"/>
              </w:rPr>
              <w:t xml:space="preserve"> months</w:t>
            </w:r>
          </w:p>
        </w:tc>
        <w:tc>
          <w:tcPr>
            <w:tcW w:w="2970" w:type="dxa"/>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 xml:space="preserve">Not contested: Payment on admission. If contested: Payment </w:t>
            </w:r>
            <w:r>
              <w:rPr>
                <w:rFonts w:eastAsia="Times New Roman" w:cstheme="minorHAnsi"/>
                <w:sz w:val="20"/>
                <w:szCs w:val="20"/>
                <w:lang w:eastAsia="en-AU"/>
              </w:rPr>
              <w:t xml:space="preserve">review </w:t>
            </w:r>
            <w:r w:rsidRPr="003F0F6E">
              <w:rPr>
                <w:rFonts w:eastAsia="Times New Roman" w:cstheme="minorHAnsi"/>
                <w:sz w:val="20"/>
                <w:szCs w:val="20"/>
                <w:lang w:eastAsia="en-AU"/>
              </w:rPr>
              <w:t>within one month.</w:t>
            </w:r>
          </w:p>
        </w:tc>
        <w:tc>
          <w:tcPr>
            <w:tcW w:w="2970" w:type="dxa"/>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Payment</w:t>
            </w:r>
            <w:r>
              <w:rPr>
                <w:rFonts w:eastAsia="Times New Roman" w:cstheme="minorHAnsi"/>
                <w:sz w:val="20"/>
                <w:szCs w:val="20"/>
                <w:lang w:eastAsia="en-AU"/>
              </w:rPr>
              <w:t xml:space="preserve"> 2 months after admission. Assessment audits up to 12 months.</w:t>
            </w:r>
          </w:p>
        </w:tc>
      </w:tr>
      <w:tr w:rsidR="00B17978" w:rsidRPr="00326BE2" w:rsidTr="00712BD8">
        <w:tc>
          <w:tcPr>
            <w:tcW w:w="2605" w:type="dxa"/>
          </w:tcPr>
          <w:p w:rsidR="00B17978" w:rsidRPr="003F0F6E" w:rsidRDefault="00B17978" w:rsidP="00212F6E">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When full funding paid?</w:t>
            </w:r>
            <w:r w:rsidR="007A576E">
              <w:rPr>
                <w:rFonts w:eastAsia="Times New Roman" w:cstheme="minorHAnsi"/>
                <w:b/>
                <w:sz w:val="20"/>
                <w:szCs w:val="20"/>
                <w:lang w:eastAsia="en-AU"/>
              </w:rPr>
              <w:t xml:space="preserve"> </w:t>
            </w:r>
          </w:p>
        </w:tc>
        <w:tc>
          <w:tcPr>
            <w:tcW w:w="2700" w:type="dxa"/>
          </w:tcPr>
          <w:p w:rsidR="00B17978" w:rsidRPr="003F0F6E" w:rsidRDefault="00B17978" w:rsidP="00212F6E">
            <w:pPr>
              <w:spacing w:after="0"/>
              <w:jc w:val="center"/>
              <w:rPr>
                <w:rFonts w:eastAsia="Times New Roman" w:cstheme="minorHAnsi"/>
                <w:sz w:val="20"/>
                <w:szCs w:val="20"/>
                <w:lang w:eastAsia="en-AU"/>
              </w:rPr>
            </w:pPr>
            <w:r>
              <w:rPr>
                <w:rFonts w:eastAsia="Times New Roman" w:cstheme="minorHAnsi"/>
                <w:sz w:val="20"/>
                <w:szCs w:val="20"/>
                <w:lang w:eastAsia="en-AU"/>
              </w:rPr>
              <w:t xml:space="preserve">Within </w:t>
            </w:r>
            <w:r w:rsidRPr="003F0F6E">
              <w:rPr>
                <w:rFonts w:eastAsia="Times New Roman" w:cstheme="minorHAnsi"/>
                <w:sz w:val="20"/>
                <w:szCs w:val="20"/>
                <w:lang w:eastAsia="en-AU"/>
              </w:rPr>
              <w:t xml:space="preserve">2 months </w:t>
            </w:r>
            <w:r>
              <w:rPr>
                <w:rFonts w:eastAsia="Times New Roman" w:cstheme="minorHAnsi"/>
                <w:sz w:val="20"/>
                <w:szCs w:val="20"/>
                <w:lang w:eastAsia="en-AU"/>
              </w:rPr>
              <w:t xml:space="preserve">of </w:t>
            </w:r>
            <w:r w:rsidRPr="003F0F6E">
              <w:rPr>
                <w:rFonts w:eastAsia="Times New Roman" w:cstheme="minorHAnsi"/>
                <w:sz w:val="20"/>
                <w:szCs w:val="20"/>
                <w:lang w:eastAsia="en-AU"/>
              </w:rPr>
              <w:t>admission</w:t>
            </w:r>
          </w:p>
        </w:tc>
        <w:tc>
          <w:tcPr>
            <w:tcW w:w="2700" w:type="dxa"/>
          </w:tcPr>
          <w:p w:rsidR="00B17978" w:rsidRPr="003F0F6E" w:rsidRDefault="00B17978" w:rsidP="00212F6E">
            <w:pPr>
              <w:spacing w:after="0"/>
              <w:jc w:val="center"/>
              <w:rPr>
                <w:rFonts w:eastAsia="Times New Roman" w:cstheme="minorHAnsi"/>
                <w:sz w:val="20"/>
                <w:szCs w:val="20"/>
                <w:lang w:eastAsia="en-AU"/>
              </w:rPr>
            </w:pPr>
            <w:r>
              <w:rPr>
                <w:rFonts w:eastAsia="Times New Roman" w:cstheme="minorHAnsi"/>
                <w:sz w:val="20"/>
                <w:szCs w:val="20"/>
                <w:lang w:eastAsia="en-AU"/>
              </w:rPr>
              <w:t xml:space="preserve">Within </w:t>
            </w:r>
            <w:r w:rsidRPr="003F0F6E">
              <w:rPr>
                <w:rFonts w:eastAsia="Times New Roman" w:cstheme="minorHAnsi"/>
                <w:sz w:val="20"/>
                <w:szCs w:val="20"/>
                <w:lang w:eastAsia="en-AU"/>
              </w:rPr>
              <w:t xml:space="preserve">2 months </w:t>
            </w:r>
            <w:r>
              <w:rPr>
                <w:rFonts w:eastAsia="Times New Roman" w:cstheme="minorHAnsi"/>
                <w:sz w:val="20"/>
                <w:szCs w:val="20"/>
                <w:lang w:eastAsia="en-AU"/>
              </w:rPr>
              <w:t xml:space="preserve">of </w:t>
            </w:r>
            <w:r w:rsidRPr="003F0F6E">
              <w:rPr>
                <w:rFonts w:eastAsia="Times New Roman" w:cstheme="minorHAnsi"/>
                <w:sz w:val="20"/>
                <w:szCs w:val="20"/>
                <w:lang w:eastAsia="en-AU"/>
              </w:rPr>
              <w:t>admission</w:t>
            </w:r>
          </w:p>
        </w:tc>
        <w:tc>
          <w:tcPr>
            <w:tcW w:w="2970" w:type="dxa"/>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On admission. Contest: 1 month</w:t>
            </w:r>
          </w:p>
        </w:tc>
        <w:tc>
          <w:tcPr>
            <w:tcW w:w="2970" w:type="dxa"/>
          </w:tcPr>
          <w:p w:rsidR="00B17978" w:rsidRPr="003F0F6E" w:rsidRDefault="00B17978" w:rsidP="00212F6E">
            <w:pPr>
              <w:spacing w:after="0"/>
              <w:jc w:val="center"/>
              <w:rPr>
                <w:rFonts w:eastAsia="Times New Roman" w:cstheme="minorHAnsi"/>
                <w:sz w:val="20"/>
                <w:szCs w:val="20"/>
                <w:lang w:eastAsia="en-AU"/>
              </w:rPr>
            </w:pPr>
            <w:r>
              <w:rPr>
                <w:rFonts w:eastAsia="Times New Roman" w:cstheme="minorHAnsi"/>
                <w:sz w:val="20"/>
                <w:szCs w:val="20"/>
                <w:lang w:eastAsia="en-AU"/>
              </w:rPr>
              <w:t xml:space="preserve">Within </w:t>
            </w:r>
            <w:r w:rsidRPr="003F0F6E">
              <w:rPr>
                <w:rFonts w:eastAsia="Times New Roman" w:cstheme="minorHAnsi"/>
                <w:sz w:val="20"/>
                <w:szCs w:val="20"/>
                <w:lang w:eastAsia="en-AU"/>
              </w:rPr>
              <w:t xml:space="preserve">2 months </w:t>
            </w:r>
            <w:r>
              <w:rPr>
                <w:rFonts w:eastAsia="Times New Roman" w:cstheme="minorHAnsi"/>
                <w:sz w:val="20"/>
                <w:szCs w:val="20"/>
                <w:lang w:eastAsia="en-AU"/>
              </w:rPr>
              <w:t xml:space="preserve">of </w:t>
            </w:r>
            <w:r w:rsidRPr="003F0F6E">
              <w:rPr>
                <w:rFonts w:eastAsia="Times New Roman" w:cstheme="minorHAnsi"/>
                <w:sz w:val="20"/>
                <w:szCs w:val="20"/>
                <w:lang w:eastAsia="en-AU"/>
              </w:rPr>
              <w:t>admission</w:t>
            </w:r>
          </w:p>
        </w:tc>
      </w:tr>
      <w:tr w:rsidR="00B17978" w:rsidRPr="00326BE2" w:rsidTr="00712BD8">
        <w:tc>
          <w:tcPr>
            <w:tcW w:w="2605" w:type="dxa"/>
          </w:tcPr>
          <w:p w:rsidR="00B17978" w:rsidRPr="003F0F6E" w:rsidRDefault="00B17978" w:rsidP="00212F6E">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Provider does R-ACFI in…</w:t>
            </w:r>
          </w:p>
        </w:tc>
        <w:tc>
          <w:tcPr>
            <w:tcW w:w="2700" w:type="dxa"/>
          </w:tcPr>
          <w:p w:rsidR="00B17978" w:rsidRPr="003F0F6E" w:rsidRDefault="00B17978" w:rsidP="00212F6E">
            <w:pPr>
              <w:spacing w:after="0"/>
              <w:jc w:val="center"/>
              <w:rPr>
                <w:rFonts w:eastAsia="Times New Roman" w:cstheme="minorHAnsi"/>
                <w:sz w:val="20"/>
                <w:szCs w:val="20"/>
                <w:lang w:eastAsia="en-AU"/>
              </w:rPr>
            </w:pPr>
            <w:r>
              <w:rPr>
                <w:rFonts w:eastAsia="Times New Roman" w:cstheme="minorHAnsi"/>
                <w:sz w:val="20"/>
                <w:szCs w:val="20"/>
                <w:lang w:eastAsia="en-AU"/>
              </w:rPr>
              <w:t xml:space="preserve">With </w:t>
            </w:r>
            <w:r w:rsidRPr="003F0F6E">
              <w:rPr>
                <w:rFonts w:eastAsia="Times New Roman" w:cstheme="minorHAnsi"/>
                <w:sz w:val="20"/>
                <w:szCs w:val="20"/>
                <w:lang w:eastAsia="en-AU"/>
              </w:rPr>
              <w:t>2 months</w:t>
            </w:r>
          </w:p>
        </w:tc>
        <w:tc>
          <w:tcPr>
            <w:tcW w:w="2700" w:type="dxa"/>
          </w:tcPr>
          <w:p w:rsidR="00B17978" w:rsidRPr="003F0F6E" w:rsidRDefault="00B17978" w:rsidP="00212F6E">
            <w:pPr>
              <w:spacing w:after="0"/>
              <w:jc w:val="center"/>
              <w:rPr>
                <w:rFonts w:eastAsia="Times New Roman" w:cstheme="minorHAnsi"/>
                <w:sz w:val="20"/>
                <w:szCs w:val="20"/>
                <w:lang w:eastAsia="en-AU"/>
              </w:rPr>
            </w:pPr>
            <w:r>
              <w:rPr>
                <w:rFonts w:eastAsia="Times New Roman" w:cstheme="minorHAnsi"/>
                <w:sz w:val="20"/>
                <w:szCs w:val="20"/>
                <w:lang w:eastAsia="en-AU"/>
              </w:rPr>
              <w:t>Within 2</w:t>
            </w:r>
            <w:r w:rsidRPr="003F0F6E">
              <w:rPr>
                <w:rFonts w:eastAsia="Times New Roman" w:cstheme="minorHAnsi"/>
                <w:sz w:val="20"/>
                <w:szCs w:val="20"/>
                <w:lang w:eastAsia="en-AU"/>
              </w:rPr>
              <w:t xml:space="preserve"> months</w:t>
            </w:r>
          </w:p>
        </w:tc>
        <w:tc>
          <w:tcPr>
            <w:tcW w:w="2970" w:type="dxa"/>
          </w:tcPr>
          <w:p w:rsidR="00B17978" w:rsidRPr="003F0F6E" w:rsidRDefault="00B17978" w:rsidP="00212F6E">
            <w:pPr>
              <w:spacing w:after="0"/>
              <w:jc w:val="center"/>
              <w:rPr>
                <w:rFonts w:eastAsia="Times New Roman" w:cstheme="minorHAnsi"/>
                <w:sz w:val="20"/>
                <w:szCs w:val="20"/>
                <w:lang w:eastAsia="en-AU"/>
              </w:rPr>
            </w:pPr>
            <w:r>
              <w:rPr>
                <w:rFonts w:eastAsia="Times New Roman" w:cstheme="minorHAnsi"/>
                <w:sz w:val="20"/>
                <w:szCs w:val="20"/>
                <w:lang w:eastAsia="en-AU"/>
              </w:rPr>
              <w:t>Within 1</w:t>
            </w:r>
            <w:r w:rsidRPr="003F0F6E">
              <w:rPr>
                <w:rFonts w:eastAsia="Times New Roman" w:cstheme="minorHAnsi"/>
                <w:sz w:val="20"/>
                <w:szCs w:val="20"/>
                <w:lang w:eastAsia="en-AU"/>
              </w:rPr>
              <w:t xml:space="preserve"> month but not for $</w:t>
            </w:r>
            <w:r>
              <w:rPr>
                <w:rFonts w:eastAsia="Times New Roman" w:cstheme="minorHAnsi"/>
                <w:sz w:val="20"/>
                <w:szCs w:val="20"/>
                <w:lang w:eastAsia="en-AU"/>
              </w:rPr>
              <w:t>s</w:t>
            </w:r>
          </w:p>
        </w:tc>
        <w:tc>
          <w:tcPr>
            <w:tcW w:w="2970" w:type="dxa"/>
          </w:tcPr>
          <w:p w:rsidR="00B17978" w:rsidRPr="003F0F6E" w:rsidRDefault="00B17978" w:rsidP="00212F6E">
            <w:pPr>
              <w:spacing w:after="0"/>
              <w:jc w:val="center"/>
              <w:rPr>
                <w:rFonts w:eastAsia="Times New Roman" w:cstheme="minorHAnsi"/>
                <w:sz w:val="20"/>
                <w:szCs w:val="20"/>
                <w:lang w:eastAsia="en-AU"/>
              </w:rPr>
            </w:pPr>
            <w:r>
              <w:rPr>
                <w:rFonts w:eastAsia="Times New Roman" w:cstheme="minorHAnsi"/>
                <w:sz w:val="20"/>
                <w:szCs w:val="20"/>
                <w:lang w:eastAsia="en-AU"/>
              </w:rPr>
              <w:t xml:space="preserve">Within 2 months </w:t>
            </w:r>
            <w:r w:rsidRPr="003F0F6E">
              <w:rPr>
                <w:rFonts w:eastAsia="Times New Roman" w:cstheme="minorHAnsi"/>
                <w:sz w:val="20"/>
                <w:szCs w:val="20"/>
                <w:lang w:eastAsia="en-AU"/>
              </w:rPr>
              <w:t>used for $</w:t>
            </w:r>
            <w:r>
              <w:rPr>
                <w:rFonts w:eastAsia="Times New Roman" w:cstheme="minorHAnsi"/>
                <w:sz w:val="20"/>
                <w:szCs w:val="20"/>
                <w:lang w:eastAsia="en-AU"/>
              </w:rPr>
              <w:t>s</w:t>
            </w:r>
          </w:p>
        </w:tc>
      </w:tr>
      <w:tr w:rsidR="00CD14F4" w:rsidRPr="00CD14F4" w:rsidTr="00CD14F4">
        <w:tc>
          <w:tcPr>
            <w:tcW w:w="2605" w:type="dxa"/>
            <w:shd w:val="clear" w:color="auto" w:fill="D9E2F3" w:themeFill="accent1" w:themeFillTint="33"/>
          </w:tcPr>
          <w:p w:rsidR="00B17978" w:rsidRPr="00CD14F4" w:rsidRDefault="00B17978" w:rsidP="00212F6E">
            <w:pPr>
              <w:spacing w:after="0"/>
              <w:jc w:val="left"/>
              <w:rPr>
                <w:rFonts w:eastAsia="Times New Roman" w:cstheme="minorHAnsi"/>
                <w:b/>
                <w:sz w:val="20"/>
                <w:szCs w:val="20"/>
                <w:lang w:eastAsia="en-AU"/>
              </w:rPr>
            </w:pPr>
            <w:r w:rsidRPr="00CD14F4">
              <w:rPr>
                <w:rFonts w:eastAsia="Times New Roman" w:cstheme="minorHAnsi"/>
                <w:b/>
                <w:sz w:val="20"/>
                <w:szCs w:val="20"/>
                <w:lang w:eastAsia="en-AU"/>
              </w:rPr>
              <w:t>Re-appraisals: audit assess</w:t>
            </w:r>
          </w:p>
        </w:tc>
        <w:tc>
          <w:tcPr>
            <w:tcW w:w="2700" w:type="dxa"/>
            <w:shd w:val="clear" w:color="auto" w:fill="D9E2F3" w:themeFill="accent1" w:themeFillTint="33"/>
          </w:tcPr>
          <w:p w:rsidR="00B17978" w:rsidRPr="00CD14F4" w:rsidRDefault="00B17978" w:rsidP="00212F6E">
            <w:pPr>
              <w:spacing w:after="0"/>
              <w:jc w:val="center"/>
              <w:rPr>
                <w:rFonts w:eastAsia="Times New Roman" w:cstheme="minorHAnsi"/>
                <w:b/>
                <w:sz w:val="20"/>
                <w:szCs w:val="20"/>
                <w:lang w:eastAsia="en-AU"/>
              </w:rPr>
            </w:pPr>
            <w:r w:rsidRPr="00CD14F4">
              <w:rPr>
                <w:rFonts w:eastAsia="Times New Roman" w:cstheme="minorHAnsi"/>
                <w:b/>
                <w:sz w:val="20"/>
                <w:szCs w:val="20"/>
                <w:lang w:eastAsia="en-AU"/>
              </w:rPr>
              <w:t>10% (assess)</w:t>
            </w:r>
          </w:p>
        </w:tc>
        <w:tc>
          <w:tcPr>
            <w:tcW w:w="2700" w:type="dxa"/>
            <w:shd w:val="clear" w:color="auto" w:fill="D9E2F3" w:themeFill="accent1" w:themeFillTint="33"/>
          </w:tcPr>
          <w:p w:rsidR="00B17978" w:rsidRPr="00CD14F4" w:rsidRDefault="00B17978" w:rsidP="00212F6E">
            <w:pPr>
              <w:spacing w:after="0"/>
              <w:jc w:val="center"/>
              <w:rPr>
                <w:rFonts w:eastAsia="Times New Roman" w:cstheme="minorHAnsi"/>
                <w:b/>
                <w:sz w:val="20"/>
                <w:szCs w:val="20"/>
                <w:lang w:eastAsia="en-AU"/>
              </w:rPr>
            </w:pPr>
            <w:r w:rsidRPr="00CD14F4">
              <w:rPr>
                <w:rFonts w:eastAsia="Times New Roman" w:cstheme="minorHAnsi"/>
                <w:b/>
                <w:sz w:val="20"/>
                <w:szCs w:val="20"/>
                <w:lang w:eastAsia="en-AU"/>
              </w:rPr>
              <w:t>10% visit audit; 90% data</w:t>
            </w:r>
          </w:p>
        </w:tc>
        <w:tc>
          <w:tcPr>
            <w:tcW w:w="2970" w:type="dxa"/>
            <w:shd w:val="clear" w:color="auto" w:fill="D9E2F3" w:themeFill="accent1" w:themeFillTint="33"/>
          </w:tcPr>
          <w:p w:rsidR="00B17978" w:rsidRPr="00CD14F4" w:rsidRDefault="00B17978" w:rsidP="00212F6E">
            <w:pPr>
              <w:spacing w:after="0"/>
              <w:jc w:val="center"/>
              <w:rPr>
                <w:rFonts w:eastAsia="Times New Roman" w:cstheme="minorHAnsi"/>
                <w:b/>
                <w:sz w:val="20"/>
                <w:szCs w:val="20"/>
                <w:lang w:eastAsia="en-AU"/>
              </w:rPr>
            </w:pPr>
            <w:r w:rsidRPr="00CD14F4">
              <w:rPr>
                <w:rFonts w:eastAsia="Times New Roman" w:cstheme="minorHAnsi"/>
                <w:b/>
                <w:sz w:val="20"/>
                <w:szCs w:val="20"/>
                <w:lang w:eastAsia="en-AU"/>
              </w:rPr>
              <w:t>25% visit assessment; 75% data</w:t>
            </w:r>
          </w:p>
        </w:tc>
        <w:tc>
          <w:tcPr>
            <w:tcW w:w="2970" w:type="dxa"/>
            <w:shd w:val="clear" w:color="auto" w:fill="D9E2F3" w:themeFill="accent1" w:themeFillTint="33"/>
          </w:tcPr>
          <w:p w:rsidR="00B17978" w:rsidRPr="00CD14F4" w:rsidRDefault="00B17978" w:rsidP="00212F6E">
            <w:pPr>
              <w:spacing w:after="0"/>
              <w:jc w:val="center"/>
              <w:rPr>
                <w:rFonts w:eastAsia="Times New Roman" w:cstheme="minorHAnsi"/>
                <w:b/>
                <w:sz w:val="20"/>
                <w:szCs w:val="20"/>
                <w:lang w:eastAsia="en-AU"/>
              </w:rPr>
            </w:pPr>
            <w:r w:rsidRPr="00CD14F4">
              <w:rPr>
                <w:rFonts w:eastAsia="Times New Roman" w:cstheme="minorHAnsi"/>
                <w:b/>
                <w:sz w:val="20"/>
                <w:szCs w:val="20"/>
                <w:lang w:eastAsia="en-AU"/>
              </w:rPr>
              <w:t>25% visit assessment; 75% data</w:t>
            </w:r>
          </w:p>
        </w:tc>
      </w:tr>
      <w:tr w:rsidR="00B17978" w:rsidRPr="00326BE2" w:rsidTr="00712BD8">
        <w:tc>
          <w:tcPr>
            <w:tcW w:w="2605" w:type="dxa"/>
          </w:tcPr>
          <w:p w:rsidR="00B17978" w:rsidRPr="003F0F6E" w:rsidRDefault="00B17978" w:rsidP="00212F6E">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Funding Determination Process</w:t>
            </w:r>
          </w:p>
        </w:tc>
        <w:tc>
          <w:tcPr>
            <w:tcW w:w="2700" w:type="dxa"/>
          </w:tcPr>
          <w:p w:rsidR="00B17978" w:rsidRPr="003F0F6E" w:rsidRDefault="00B17978" w:rsidP="00212F6E">
            <w:pPr>
              <w:spacing w:after="0"/>
              <w:jc w:val="center"/>
              <w:rPr>
                <w:rFonts w:eastAsia="Times New Roman" w:cstheme="minorHAnsi"/>
                <w:b/>
                <w:sz w:val="20"/>
                <w:szCs w:val="20"/>
                <w:lang w:eastAsia="en-AU"/>
              </w:rPr>
            </w:pPr>
            <w:r w:rsidRPr="003F0F6E">
              <w:rPr>
                <w:rFonts w:eastAsia="Times New Roman" w:cstheme="minorHAnsi"/>
                <w:b/>
                <w:sz w:val="20"/>
                <w:szCs w:val="20"/>
                <w:lang w:eastAsia="en-AU"/>
              </w:rPr>
              <w:t>Provider R-ACFI used for $</w:t>
            </w:r>
          </w:p>
          <w:p w:rsidR="00B17978" w:rsidRPr="003F0F6E" w:rsidRDefault="00B17978" w:rsidP="00212F6E">
            <w:pPr>
              <w:spacing w:after="0"/>
              <w:jc w:val="center"/>
              <w:rPr>
                <w:rFonts w:eastAsia="Times New Roman" w:cstheme="minorHAnsi"/>
                <w:sz w:val="20"/>
                <w:szCs w:val="20"/>
                <w:lang w:eastAsia="en-AU"/>
              </w:rPr>
            </w:pPr>
            <w:r>
              <w:rPr>
                <w:rFonts w:eastAsia="Times New Roman" w:cstheme="minorHAnsi"/>
                <w:sz w:val="20"/>
                <w:szCs w:val="20"/>
                <w:lang w:eastAsia="en-AU"/>
              </w:rPr>
              <w:t>RO checks sample (10%) as per new resident checks.</w:t>
            </w:r>
          </w:p>
        </w:tc>
        <w:tc>
          <w:tcPr>
            <w:tcW w:w="2700" w:type="dxa"/>
          </w:tcPr>
          <w:p w:rsidR="00B17978" w:rsidRPr="003F0F6E" w:rsidRDefault="00B17978" w:rsidP="00212F6E">
            <w:pPr>
              <w:spacing w:after="0"/>
              <w:jc w:val="center"/>
              <w:rPr>
                <w:rFonts w:eastAsia="Times New Roman" w:cstheme="minorHAnsi"/>
                <w:b/>
                <w:sz w:val="20"/>
                <w:szCs w:val="20"/>
                <w:lang w:eastAsia="en-AU"/>
              </w:rPr>
            </w:pPr>
            <w:r w:rsidRPr="003F0F6E">
              <w:rPr>
                <w:rFonts w:eastAsia="Times New Roman" w:cstheme="minorHAnsi"/>
                <w:b/>
                <w:sz w:val="20"/>
                <w:szCs w:val="20"/>
                <w:lang w:eastAsia="en-AU"/>
              </w:rPr>
              <w:t>Provider R-ACFI give $s</w:t>
            </w:r>
          </w:p>
          <w:p w:rsidR="00B17978" w:rsidRPr="003F0F6E" w:rsidRDefault="00B17978" w:rsidP="00212F6E">
            <w:pPr>
              <w:spacing w:after="0"/>
              <w:jc w:val="center"/>
              <w:rPr>
                <w:rFonts w:eastAsia="Times New Roman" w:cstheme="minorHAnsi"/>
                <w:sz w:val="20"/>
                <w:szCs w:val="20"/>
                <w:lang w:eastAsia="en-AU"/>
              </w:rPr>
            </w:pPr>
            <w:r>
              <w:rPr>
                <w:rFonts w:eastAsia="Times New Roman" w:cstheme="minorHAnsi"/>
                <w:sz w:val="20"/>
                <w:szCs w:val="20"/>
                <w:lang w:eastAsia="en-AU"/>
              </w:rPr>
              <w:t xml:space="preserve">RO checks </w:t>
            </w:r>
            <w:r w:rsidRPr="003F0F6E">
              <w:rPr>
                <w:rFonts w:eastAsia="Times New Roman" w:cstheme="minorHAnsi"/>
                <w:sz w:val="20"/>
                <w:szCs w:val="20"/>
                <w:lang w:eastAsia="en-AU"/>
              </w:rPr>
              <w:t>after payment using: data analytics, e-a</w:t>
            </w:r>
            <w:r>
              <w:rPr>
                <w:rFonts w:eastAsia="Times New Roman" w:cstheme="minorHAnsi"/>
                <w:sz w:val="20"/>
                <w:szCs w:val="20"/>
                <w:lang w:eastAsia="en-AU"/>
              </w:rPr>
              <w:t>udit, site visits for around 10% of submissions</w:t>
            </w:r>
            <w:r w:rsidRPr="003F0F6E">
              <w:rPr>
                <w:rFonts w:eastAsia="Times New Roman" w:cstheme="minorHAnsi"/>
                <w:sz w:val="20"/>
                <w:szCs w:val="20"/>
                <w:lang w:eastAsia="en-AU"/>
              </w:rPr>
              <w:t>.</w:t>
            </w:r>
          </w:p>
        </w:tc>
        <w:tc>
          <w:tcPr>
            <w:tcW w:w="2970" w:type="dxa"/>
          </w:tcPr>
          <w:p w:rsidR="00B17978" w:rsidRPr="003F0F6E" w:rsidRDefault="00B17978" w:rsidP="00212F6E">
            <w:pPr>
              <w:spacing w:after="0"/>
              <w:jc w:val="center"/>
              <w:rPr>
                <w:rFonts w:eastAsia="Times New Roman" w:cstheme="minorHAnsi"/>
                <w:b/>
                <w:sz w:val="20"/>
                <w:szCs w:val="20"/>
                <w:lang w:eastAsia="en-AU"/>
              </w:rPr>
            </w:pPr>
            <w:r w:rsidRPr="003F0F6E">
              <w:rPr>
                <w:rFonts w:eastAsia="Times New Roman" w:cstheme="minorHAnsi"/>
                <w:b/>
                <w:sz w:val="20"/>
                <w:szCs w:val="20"/>
                <w:lang w:eastAsia="en-AU"/>
              </w:rPr>
              <w:t>Provider &amp; ACAT R-ACFI give $s</w:t>
            </w:r>
          </w:p>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 xml:space="preserve">ACAT checks </w:t>
            </w:r>
            <w:r>
              <w:rPr>
                <w:rFonts w:eastAsia="Times New Roman" w:cstheme="minorHAnsi"/>
                <w:sz w:val="20"/>
                <w:szCs w:val="20"/>
                <w:lang w:eastAsia="en-AU"/>
              </w:rPr>
              <w:t>after</w:t>
            </w:r>
            <w:r w:rsidRPr="003F0F6E">
              <w:rPr>
                <w:rFonts w:eastAsia="Times New Roman" w:cstheme="minorHAnsi"/>
                <w:sz w:val="20"/>
                <w:szCs w:val="20"/>
                <w:lang w:eastAsia="en-AU"/>
              </w:rPr>
              <w:t xml:space="preserve"> payment</w:t>
            </w:r>
            <w:r>
              <w:rPr>
                <w:rFonts w:eastAsia="Times New Roman" w:cstheme="minorHAnsi"/>
                <w:sz w:val="20"/>
                <w:szCs w:val="20"/>
                <w:lang w:eastAsia="en-AU"/>
              </w:rPr>
              <w:t xml:space="preserve"> using: data analytics, e-audit. </w:t>
            </w:r>
            <w:r w:rsidRPr="00651A50">
              <w:rPr>
                <w:rFonts w:eastAsia="Times New Roman" w:cstheme="minorHAnsi"/>
                <w:b/>
                <w:sz w:val="20"/>
                <w:szCs w:val="20"/>
                <w:lang w:eastAsia="en-AU"/>
              </w:rPr>
              <w:t>Site assessment checks for 25% - 50% of R-ACFI submissions</w:t>
            </w:r>
          </w:p>
        </w:tc>
        <w:tc>
          <w:tcPr>
            <w:tcW w:w="2970" w:type="dxa"/>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b/>
                <w:sz w:val="20"/>
                <w:szCs w:val="20"/>
                <w:lang w:eastAsia="en-AU"/>
              </w:rPr>
              <w:t xml:space="preserve">Provider &amp; SAA R-ACFI give $s </w:t>
            </w:r>
            <w:r w:rsidRPr="003F0F6E">
              <w:rPr>
                <w:rFonts w:eastAsia="Times New Roman" w:cstheme="minorHAnsi"/>
                <w:sz w:val="20"/>
                <w:szCs w:val="20"/>
                <w:lang w:eastAsia="en-AU"/>
              </w:rPr>
              <w:t xml:space="preserve">SAA assessor checks </w:t>
            </w:r>
            <w:r>
              <w:rPr>
                <w:rFonts w:eastAsia="Times New Roman" w:cstheme="minorHAnsi"/>
                <w:sz w:val="20"/>
                <w:szCs w:val="20"/>
                <w:lang w:eastAsia="en-AU"/>
              </w:rPr>
              <w:t xml:space="preserve">after </w:t>
            </w:r>
            <w:r w:rsidRPr="003F0F6E">
              <w:rPr>
                <w:rFonts w:eastAsia="Times New Roman" w:cstheme="minorHAnsi"/>
                <w:sz w:val="20"/>
                <w:szCs w:val="20"/>
                <w:lang w:eastAsia="en-AU"/>
              </w:rPr>
              <w:t>payment usi</w:t>
            </w:r>
            <w:r>
              <w:rPr>
                <w:rFonts w:eastAsia="Times New Roman" w:cstheme="minorHAnsi"/>
                <w:sz w:val="20"/>
                <w:szCs w:val="20"/>
                <w:lang w:eastAsia="en-AU"/>
              </w:rPr>
              <w:t>ng: data analytics, e-audit.</w:t>
            </w:r>
            <w:r w:rsidRPr="003F0F6E">
              <w:rPr>
                <w:rFonts w:eastAsia="Times New Roman" w:cstheme="minorHAnsi"/>
                <w:sz w:val="20"/>
                <w:szCs w:val="20"/>
                <w:lang w:eastAsia="en-AU"/>
              </w:rPr>
              <w:t xml:space="preserve"> </w:t>
            </w:r>
            <w:r w:rsidRPr="00651A50">
              <w:rPr>
                <w:rFonts w:eastAsia="Times New Roman" w:cstheme="minorHAnsi"/>
                <w:b/>
                <w:sz w:val="20"/>
                <w:szCs w:val="20"/>
                <w:lang w:eastAsia="en-AU"/>
              </w:rPr>
              <w:t>Site assessment checks for 25% - 50% of R-ACFI submissions</w:t>
            </w:r>
          </w:p>
        </w:tc>
      </w:tr>
      <w:tr w:rsidR="00B17978" w:rsidRPr="00326BE2" w:rsidTr="00712BD8">
        <w:tc>
          <w:tcPr>
            <w:tcW w:w="2605" w:type="dxa"/>
          </w:tcPr>
          <w:p w:rsidR="00B17978" w:rsidRPr="003F0F6E" w:rsidRDefault="00B17978" w:rsidP="00212F6E">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When full funding paid?</w:t>
            </w:r>
            <w:r w:rsidR="007A576E">
              <w:rPr>
                <w:rFonts w:eastAsia="Times New Roman" w:cstheme="minorHAnsi"/>
                <w:b/>
                <w:sz w:val="20"/>
                <w:szCs w:val="20"/>
                <w:lang w:eastAsia="en-AU"/>
              </w:rPr>
              <w:t xml:space="preserve"> </w:t>
            </w:r>
            <w:r w:rsidRPr="003F0F6E">
              <w:rPr>
                <w:rFonts w:eastAsia="Times New Roman" w:cstheme="minorHAnsi"/>
                <w:b/>
                <w:sz w:val="20"/>
                <w:szCs w:val="20"/>
                <w:lang w:eastAsia="en-AU"/>
              </w:rPr>
              <w:t>Funding certainty &amp; Audit</w:t>
            </w:r>
          </w:p>
        </w:tc>
        <w:tc>
          <w:tcPr>
            <w:tcW w:w="2700" w:type="dxa"/>
          </w:tcPr>
          <w:p w:rsidR="00B17978" w:rsidRPr="003F0F6E" w:rsidRDefault="00B17978" w:rsidP="00212F6E">
            <w:pPr>
              <w:spacing w:after="0"/>
              <w:jc w:val="center"/>
              <w:rPr>
                <w:rFonts w:eastAsia="Times New Roman" w:cstheme="minorHAnsi"/>
                <w:sz w:val="20"/>
                <w:szCs w:val="20"/>
                <w:lang w:eastAsia="en-AU"/>
              </w:rPr>
            </w:pPr>
            <w:r>
              <w:rPr>
                <w:rFonts w:eastAsia="Times New Roman" w:cstheme="minorHAnsi"/>
                <w:sz w:val="20"/>
                <w:szCs w:val="20"/>
                <w:lang w:eastAsia="en-AU"/>
              </w:rPr>
              <w:t>O</w:t>
            </w:r>
            <w:r w:rsidRPr="003F0F6E">
              <w:rPr>
                <w:rFonts w:eastAsia="Times New Roman" w:cstheme="minorHAnsi"/>
                <w:sz w:val="20"/>
                <w:szCs w:val="20"/>
                <w:lang w:eastAsia="en-AU"/>
              </w:rPr>
              <w:t>n submission</w:t>
            </w:r>
            <w:r>
              <w:rPr>
                <w:rFonts w:eastAsia="Times New Roman" w:cstheme="minorHAnsi"/>
                <w:sz w:val="20"/>
                <w:szCs w:val="20"/>
                <w:lang w:eastAsia="en-AU"/>
              </w:rPr>
              <w:t xml:space="preserve"> </w:t>
            </w:r>
            <w:r w:rsidRPr="003F0F6E">
              <w:rPr>
                <w:rFonts w:eastAsia="Times New Roman" w:cstheme="minorHAnsi"/>
                <w:sz w:val="20"/>
                <w:szCs w:val="20"/>
                <w:lang w:eastAsia="en-AU"/>
              </w:rPr>
              <w:t>but subject to audit</w:t>
            </w:r>
            <w:r>
              <w:rPr>
                <w:rFonts w:eastAsia="Times New Roman" w:cstheme="minorHAnsi"/>
                <w:sz w:val="20"/>
                <w:szCs w:val="20"/>
                <w:lang w:eastAsia="en-AU"/>
              </w:rPr>
              <w:t>, no time limit</w:t>
            </w:r>
          </w:p>
        </w:tc>
        <w:tc>
          <w:tcPr>
            <w:tcW w:w="2700" w:type="dxa"/>
          </w:tcPr>
          <w:p w:rsidR="00B17978" w:rsidRPr="003F0F6E" w:rsidRDefault="00B17978" w:rsidP="00212F6E">
            <w:pPr>
              <w:spacing w:after="0"/>
              <w:jc w:val="center"/>
              <w:rPr>
                <w:rFonts w:eastAsia="Times New Roman" w:cstheme="minorHAnsi"/>
                <w:sz w:val="20"/>
                <w:szCs w:val="20"/>
                <w:lang w:eastAsia="en-AU"/>
              </w:rPr>
            </w:pPr>
            <w:r>
              <w:rPr>
                <w:rFonts w:eastAsia="Times New Roman" w:cstheme="minorHAnsi"/>
                <w:sz w:val="20"/>
                <w:szCs w:val="20"/>
                <w:lang w:eastAsia="en-AU"/>
              </w:rPr>
              <w:t>O</w:t>
            </w:r>
            <w:r w:rsidRPr="003F0F6E">
              <w:rPr>
                <w:rFonts w:eastAsia="Times New Roman" w:cstheme="minorHAnsi"/>
                <w:sz w:val="20"/>
                <w:szCs w:val="20"/>
                <w:lang w:eastAsia="en-AU"/>
              </w:rPr>
              <w:t>n submission</w:t>
            </w:r>
            <w:r>
              <w:rPr>
                <w:rFonts w:eastAsia="Times New Roman" w:cstheme="minorHAnsi"/>
                <w:sz w:val="20"/>
                <w:szCs w:val="20"/>
                <w:lang w:eastAsia="en-AU"/>
              </w:rPr>
              <w:t xml:space="preserve"> </w:t>
            </w:r>
            <w:r w:rsidRPr="003F0F6E">
              <w:rPr>
                <w:rFonts w:eastAsia="Times New Roman" w:cstheme="minorHAnsi"/>
                <w:sz w:val="20"/>
                <w:szCs w:val="20"/>
                <w:lang w:eastAsia="en-AU"/>
              </w:rPr>
              <w:t>but subject to audit</w:t>
            </w:r>
            <w:r>
              <w:rPr>
                <w:rFonts w:eastAsia="Times New Roman" w:cstheme="minorHAnsi"/>
                <w:sz w:val="20"/>
                <w:szCs w:val="20"/>
                <w:lang w:eastAsia="en-AU"/>
              </w:rPr>
              <w:t xml:space="preserve"> for 12months</w:t>
            </w:r>
          </w:p>
        </w:tc>
        <w:tc>
          <w:tcPr>
            <w:tcW w:w="2970" w:type="dxa"/>
          </w:tcPr>
          <w:p w:rsidR="00B17978" w:rsidRPr="003F0F6E" w:rsidRDefault="00B17978" w:rsidP="00212F6E">
            <w:pPr>
              <w:spacing w:after="0"/>
              <w:jc w:val="center"/>
              <w:rPr>
                <w:rFonts w:eastAsia="Times New Roman" w:cstheme="minorHAnsi"/>
                <w:sz w:val="20"/>
                <w:szCs w:val="20"/>
                <w:lang w:eastAsia="en-AU"/>
              </w:rPr>
            </w:pPr>
            <w:r>
              <w:rPr>
                <w:rFonts w:eastAsia="Times New Roman" w:cstheme="minorHAnsi"/>
                <w:sz w:val="20"/>
                <w:szCs w:val="20"/>
                <w:lang w:eastAsia="en-AU"/>
              </w:rPr>
              <w:t>On submission but can have assessments checked up to 12m</w:t>
            </w:r>
          </w:p>
        </w:tc>
        <w:tc>
          <w:tcPr>
            <w:tcW w:w="2970" w:type="dxa"/>
          </w:tcPr>
          <w:p w:rsidR="00B17978" w:rsidRPr="003F0F6E" w:rsidRDefault="00B17978" w:rsidP="00212F6E">
            <w:pPr>
              <w:spacing w:after="0"/>
              <w:jc w:val="center"/>
              <w:rPr>
                <w:rFonts w:eastAsia="Times New Roman" w:cstheme="minorHAnsi"/>
                <w:sz w:val="20"/>
                <w:szCs w:val="20"/>
                <w:lang w:eastAsia="en-AU"/>
              </w:rPr>
            </w:pPr>
            <w:r>
              <w:rPr>
                <w:rFonts w:eastAsia="Times New Roman" w:cstheme="minorHAnsi"/>
                <w:sz w:val="20"/>
                <w:szCs w:val="20"/>
                <w:lang w:eastAsia="en-AU"/>
              </w:rPr>
              <w:t>On submission but can have assessments checked up to 12m</w:t>
            </w:r>
          </w:p>
        </w:tc>
      </w:tr>
      <w:tr w:rsidR="00B17978" w:rsidRPr="00326BE2" w:rsidTr="00712BD8">
        <w:tc>
          <w:tcPr>
            <w:tcW w:w="2605" w:type="dxa"/>
          </w:tcPr>
          <w:p w:rsidR="00B17978" w:rsidRPr="003F0F6E" w:rsidRDefault="00B17978" w:rsidP="00212F6E">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Method Used to Audit $</w:t>
            </w:r>
          </w:p>
        </w:tc>
        <w:tc>
          <w:tcPr>
            <w:tcW w:w="2700" w:type="dxa"/>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Assessed care + Care provided</w:t>
            </w:r>
          </w:p>
        </w:tc>
        <w:tc>
          <w:tcPr>
            <w:tcW w:w="2700" w:type="dxa"/>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Assessed care + Care provided</w:t>
            </w:r>
          </w:p>
        </w:tc>
        <w:tc>
          <w:tcPr>
            <w:tcW w:w="2970" w:type="dxa"/>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Assessed care need</w:t>
            </w:r>
          </w:p>
        </w:tc>
        <w:tc>
          <w:tcPr>
            <w:tcW w:w="2970" w:type="dxa"/>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Assessed care need</w:t>
            </w:r>
          </w:p>
        </w:tc>
      </w:tr>
      <w:tr w:rsidR="00B17978" w:rsidRPr="00326BE2" w:rsidTr="00712BD8">
        <w:tc>
          <w:tcPr>
            <w:tcW w:w="2605" w:type="dxa"/>
          </w:tcPr>
          <w:p w:rsidR="00B17978" w:rsidRPr="003F0F6E" w:rsidRDefault="00B17978" w:rsidP="00212F6E">
            <w:pPr>
              <w:spacing w:after="0"/>
              <w:jc w:val="left"/>
              <w:rPr>
                <w:rFonts w:eastAsia="Times New Roman" w:cstheme="minorHAnsi"/>
                <w:b/>
                <w:sz w:val="20"/>
                <w:szCs w:val="20"/>
                <w:lang w:eastAsia="en-AU"/>
              </w:rPr>
            </w:pPr>
            <w:r w:rsidRPr="003F0F6E">
              <w:rPr>
                <w:rFonts w:eastAsia="Times New Roman" w:cstheme="minorHAnsi"/>
                <w:b/>
                <w:sz w:val="20"/>
                <w:szCs w:val="20"/>
                <w:lang w:eastAsia="en-AU"/>
              </w:rPr>
              <w:t>Stable funding</w:t>
            </w:r>
          </w:p>
        </w:tc>
        <w:tc>
          <w:tcPr>
            <w:tcW w:w="2700" w:type="dxa"/>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Low</w:t>
            </w:r>
          </w:p>
        </w:tc>
        <w:tc>
          <w:tcPr>
            <w:tcW w:w="2700" w:type="dxa"/>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Medium</w:t>
            </w:r>
          </w:p>
        </w:tc>
        <w:tc>
          <w:tcPr>
            <w:tcW w:w="2970" w:type="dxa"/>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High</w:t>
            </w:r>
          </w:p>
        </w:tc>
        <w:tc>
          <w:tcPr>
            <w:tcW w:w="2970" w:type="dxa"/>
          </w:tcPr>
          <w:p w:rsidR="00B17978" w:rsidRPr="003F0F6E" w:rsidRDefault="00B17978" w:rsidP="00212F6E">
            <w:pPr>
              <w:spacing w:after="0"/>
              <w:jc w:val="center"/>
              <w:rPr>
                <w:rFonts w:eastAsia="Times New Roman" w:cstheme="minorHAnsi"/>
                <w:sz w:val="20"/>
                <w:szCs w:val="20"/>
                <w:lang w:eastAsia="en-AU"/>
              </w:rPr>
            </w:pPr>
            <w:r w:rsidRPr="003F0F6E">
              <w:rPr>
                <w:rFonts w:eastAsia="Times New Roman" w:cstheme="minorHAnsi"/>
                <w:sz w:val="20"/>
                <w:szCs w:val="20"/>
                <w:lang w:eastAsia="en-AU"/>
              </w:rPr>
              <w:t>Medium-High</w:t>
            </w:r>
          </w:p>
        </w:tc>
      </w:tr>
      <w:tr w:rsidR="00B17978" w:rsidRPr="00326BE2" w:rsidTr="00712BD8">
        <w:tc>
          <w:tcPr>
            <w:tcW w:w="2605" w:type="dxa"/>
          </w:tcPr>
          <w:p w:rsidR="00B17978" w:rsidRPr="00A0213A" w:rsidRDefault="004A37E6" w:rsidP="00212F6E">
            <w:pPr>
              <w:spacing w:after="0"/>
              <w:jc w:val="left"/>
              <w:rPr>
                <w:rFonts w:eastAsia="Times New Roman" w:cstheme="minorHAnsi"/>
                <w:b/>
                <w:sz w:val="18"/>
                <w:szCs w:val="18"/>
                <w:lang w:eastAsia="en-AU"/>
              </w:rPr>
            </w:pPr>
            <w:r>
              <w:rPr>
                <w:rFonts w:eastAsia="Times New Roman" w:cstheme="minorHAnsi"/>
                <w:b/>
                <w:sz w:val="18"/>
                <w:szCs w:val="18"/>
                <w:lang w:eastAsia="en-AU"/>
              </w:rPr>
              <w:t>Growth Reduction: 2018-</w:t>
            </w:r>
            <w:r w:rsidR="00B17978" w:rsidRPr="00A0213A">
              <w:rPr>
                <w:rFonts w:eastAsia="Times New Roman" w:cstheme="minorHAnsi"/>
                <w:b/>
                <w:sz w:val="18"/>
                <w:szCs w:val="18"/>
                <w:lang w:eastAsia="en-AU"/>
              </w:rPr>
              <w:t>22 FYE</w:t>
            </w:r>
          </w:p>
        </w:tc>
        <w:tc>
          <w:tcPr>
            <w:tcW w:w="2700" w:type="dxa"/>
          </w:tcPr>
          <w:p w:rsidR="00B17978" w:rsidRPr="00E76A02" w:rsidRDefault="00B17978" w:rsidP="00212F6E">
            <w:pPr>
              <w:spacing w:after="0"/>
              <w:jc w:val="center"/>
              <w:rPr>
                <w:rFonts w:eastAsia="Times New Roman" w:cstheme="minorHAnsi"/>
                <w:b/>
                <w:sz w:val="20"/>
                <w:szCs w:val="20"/>
                <w:lang w:eastAsia="en-AU"/>
              </w:rPr>
            </w:pPr>
            <w:r>
              <w:rPr>
                <w:rFonts w:eastAsia="Times New Roman" w:cstheme="minorHAnsi"/>
                <w:b/>
                <w:sz w:val="20"/>
                <w:szCs w:val="20"/>
                <w:lang w:eastAsia="en-AU"/>
              </w:rPr>
              <w:t>NA</w:t>
            </w:r>
          </w:p>
        </w:tc>
        <w:tc>
          <w:tcPr>
            <w:tcW w:w="2700" w:type="dxa"/>
          </w:tcPr>
          <w:p w:rsidR="00B17978" w:rsidRPr="00E76A02" w:rsidRDefault="00B17978" w:rsidP="00212F6E">
            <w:pPr>
              <w:spacing w:after="0"/>
              <w:jc w:val="center"/>
              <w:rPr>
                <w:rFonts w:eastAsia="Times New Roman" w:cstheme="minorHAnsi"/>
                <w:sz w:val="20"/>
                <w:szCs w:val="20"/>
                <w:lang w:eastAsia="en-AU"/>
              </w:rPr>
            </w:pPr>
            <w:r w:rsidRPr="00E76A02">
              <w:rPr>
                <w:rFonts w:ascii="Calibri" w:hAnsi="Calibri"/>
                <w:b/>
                <w:bCs/>
                <w:sz w:val="20"/>
                <w:szCs w:val="20"/>
              </w:rPr>
              <w:t>$3,619M</w:t>
            </w:r>
          </w:p>
        </w:tc>
        <w:tc>
          <w:tcPr>
            <w:tcW w:w="2970" w:type="dxa"/>
          </w:tcPr>
          <w:p w:rsidR="00B17978" w:rsidRPr="00E76A02" w:rsidRDefault="00B17978" w:rsidP="00212F6E">
            <w:pPr>
              <w:spacing w:after="0"/>
              <w:jc w:val="center"/>
              <w:rPr>
                <w:rFonts w:eastAsia="Times New Roman" w:cstheme="minorHAnsi"/>
                <w:b/>
                <w:sz w:val="20"/>
                <w:szCs w:val="20"/>
                <w:lang w:eastAsia="en-AU"/>
              </w:rPr>
            </w:pPr>
            <w:r w:rsidRPr="00E76A02">
              <w:rPr>
                <w:rFonts w:eastAsia="Times New Roman" w:cstheme="minorHAnsi"/>
                <w:b/>
                <w:sz w:val="20"/>
                <w:szCs w:val="20"/>
                <w:lang w:eastAsia="en-AU"/>
              </w:rPr>
              <w:t>$5,753M</w:t>
            </w:r>
          </w:p>
        </w:tc>
        <w:tc>
          <w:tcPr>
            <w:tcW w:w="2970" w:type="dxa"/>
          </w:tcPr>
          <w:p w:rsidR="00B17978" w:rsidRPr="00E76A02" w:rsidRDefault="00B17978" w:rsidP="00212F6E">
            <w:pPr>
              <w:spacing w:after="0"/>
              <w:jc w:val="center"/>
              <w:rPr>
                <w:rFonts w:eastAsia="Times New Roman" w:cstheme="minorHAnsi"/>
                <w:b/>
                <w:sz w:val="20"/>
                <w:szCs w:val="20"/>
                <w:lang w:eastAsia="en-AU"/>
              </w:rPr>
            </w:pPr>
            <w:r w:rsidRPr="00E76A02">
              <w:rPr>
                <w:rFonts w:eastAsia="Times New Roman" w:cstheme="minorHAnsi"/>
                <w:b/>
                <w:sz w:val="20"/>
                <w:szCs w:val="20"/>
                <w:lang w:eastAsia="en-AU"/>
              </w:rPr>
              <w:t>$5,372M</w:t>
            </w:r>
          </w:p>
        </w:tc>
      </w:tr>
    </w:tbl>
    <w:p w:rsidR="00B17978" w:rsidRDefault="00B17978">
      <w:pPr>
        <w:spacing w:after="200"/>
        <w:rPr>
          <w:rFonts w:cstheme="minorHAnsi"/>
          <w:color w:val="44546A" w:themeColor="text2"/>
          <w:lang w:eastAsia="en-AU"/>
        </w:rPr>
        <w:sectPr w:rsidR="00B17978" w:rsidSect="00B17978">
          <w:headerReference w:type="default" r:id="rId145"/>
          <w:footerReference w:type="default" r:id="rId146"/>
          <w:pgSz w:w="16838" w:h="11906" w:orient="landscape"/>
          <w:pgMar w:top="1440" w:right="1440" w:bottom="1440" w:left="1440" w:header="567" w:footer="0" w:gutter="0"/>
          <w:cols w:space="708"/>
          <w:docGrid w:linePitch="360"/>
        </w:sectPr>
      </w:pPr>
      <w:bookmarkStart w:id="858" w:name="_Toc486280175"/>
    </w:p>
    <w:p w:rsidR="00980F62" w:rsidRDefault="00457B2C" w:rsidP="00F849D4">
      <w:pPr>
        <w:pStyle w:val="Heading1-Chapters"/>
      </w:pPr>
      <w:bookmarkStart w:id="859" w:name="_Toc489386744"/>
      <w:bookmarkStart w:id="860" w:name="_Toc491426082"/>
      <w:bookmarkStart w:id="861" w:name="Ch12"/>
      <w:bookmarkEnd w:id="858"/>
      <w:r w:rsidRPr="00C01041">
        <w:lastRenderedPageBreak/>
        <w:t>Recommended R-ACFI and External Assessor Pilot</w:t>
      </w:r>
      <w:bookmarkEnd w:id="859"/>
      <w:bookmarkEnd w:id="860"/>
    </w:p>
    <w:p w:rsidR="00530968" w:rsidRDefault="00530968" w:rsidP="001329BD">
      <w:pPr>
        <w:pStyle w:val="Heading2-Chapter12"/>
      </w:pPr>
      <w:bookmarkStart w:id="862" w:name="_Toc489386745"/>
      <w:bookmarkStart w:id="863" w:name="_Toc491426083"/>
      <w:bookmarkStart w:id="864" w:name="_Toc489386746"/>
      <w:bookmarkEnd w:id="861"/>
      <w:r>
        <w:t>Pilot Overview</w:t>
      </w:r>
      <w:bookmarkEnd w:id="862"/>
      <w:bookmarkEnd w:id="863"/>
    </w:p>
    <w:p w:rsidR="00530968" w:rsidRDefault="00530968" w:rsidP="00530968">
      <w:pPr>
        <w:spacing w:after="0" w:line="240" w:lineRule="auto"/>
      </w:pPr>
      <w:r>
        <w:rPr>
          <w:bCs/>
        </w:rPr>
        <w:t xml:space="preserve">The Review of the ACFI has recommended the implementation of a new R-ACFI covering to at least some degree, almost all areas related to the operation of the R-ACFI. </w:t>
      </w:r>
      <w:r>
        <w:t>Components of the R-ACFI system that have been reviewed and changes recommended, include:</w:t>
      </w:r>
    </w:p>
    <w:p w:rsidR="00530968" w:rsidRPr="002A77DC" w:rsidRDefault="00530968" w:rsidP="00F02312">
      <w:pPr>
        <w:pStyle w:val="ListParagraph"/>
        <w:numPr>
          <w:ilvl w:val="0"/>
          <w:numId w:val="106"/>
        </w:numPr>
      </w:pPr>
      <w:r w:rsidRPr="002A77DC">
        <w:t xml:space="preserve">The </w:t>
      </w:r>
      <w:r>
        <w:t>R-</w:t>
      </w:r>
      <w:r w:rsidRPr="002A77DC">
        <w:t xml:space="preserve">ACFI </w:t>
      </w:r>
      <w:r>
        <w:t>Questions and C</w:t>
      </w:r>
      <w:r w:rsidRPr="002A77DC">
        <w:t>hecklist items</w:t>
      </w:r>
    </w:p>
    <w:p w:rsidR="00980F62" w:rsidRDefault="00530968" w:rsidP="00F02312">
      <w:pPr>
        <w:pStyle w:val="ListParagraph"/>
        <w:numPr>
          <w:ilvl w:val="0"/>
          <w:numId w:val="106"/>
        </w:numPr>
      </w:pPr>
      <w:r w:rsidRPr="002A77DC">
        <w:t xml:space="preserve">The </w:t>
      </w:r>
      <w:r>
        <w:t>R-</w:t>
      </w:r>
      <w:r w:rsidRPr="002A77DC">
        <w:t>ACFI Assessment Tools</w:t>
      </w:r>
    </w:p>
    <w:p w:rsidR="00530968" w:rsidRPr="002A77DC" w:rsidRDefault="00530968" w:rsidP="00F02312">
      <w:pPr>
        <w:pStyle w:val="ListParagraph"/>
        <w:numPr>
          <w:ilvl w:val="0"/>
          <w:numId w:val="106"/>
        </w:numPr>
        <w:spacing w:after="200"/>
        <w:rPr>
          <w:color w:val="222222"/>
          <w:szCs w:val="24"/>
          <w:lang w:val="en-US"/>
        </w:rPr>
      </w:pPr>
      <w:r w:rsidRPr="002A77DC">
        <w:rPr>
          <w:bCs/>
          <w:color w:val="222222"/>
          <w:szCs w:val="24"/>
        </w:rPr>
        <w:t>External Assessment</w:t>
      </w:r>
    </w:p>
    <w:p w:rsidR="00530968" w:rsidRDefault="00530968" w:rsidP="00DE7198">
      <w:r>
        <w:t>Further, it is recommended that a short pilot be undertaken before implementation of the R-ACFI, to test the assessment approach, and the changes to the checklists and ratings. Two pilot design options are presented. Both test the R-ACFI assessments, checklists and compare the results to the current ACFI.</w:t>
      </w:r>
    </w:p>
    <w:p w:rsidR="00980F62" w:rsidRDefault="00530968" w:rsidP="00DE7198">
      <w:r w:rsidRPr="00006DF4">
        <w:rPr>
          <w:rStyle w:val="Strong"/>
        </w:rPr>
        <w:t>Option 1 involves provider assessors and external assessors:</w:t>
      </w:r>
      <w:r>
        <w:t xml:space="preserve"> The first option tests the recommended R-ACFI assessments and checklists across all potential users when assessing both new residents and conducting resident re-appraisals.</w:t>
      </w:r>
    </w:p>
    <w:p w:rsidR="00980F62" w:rsidRDefault="00530968" w:rsidP="00DE7198">
      <w:r w:rsidRPr="00006DF4">
        <w:rPr>
          <w:rStyle w:val="Strong"/>
        </w:rPr>
        <w:t>Option 2 involves only provider assessors:</w:t>
      </w:r>
      <w:r>
        <w:t xml:space="preserve"> The second option tests the recommended changes for providers when assessing both new residents and conducting resident re-appraisals.</w:t>
      </w:r>
    </w:p>
    <w:p w:rsidR="00530968" w:rsidRDefault="00530968" w:rsidP="00DE7198">
      <w:r>
        <w:t>Both options include collecting health professional’s feedback on the workload, R-ACFI assessments and checklists.</w:t>
      </w:r>
    </w:p>
    <w:p w:rsidR="00530968" w:rsidRDefault="00530968" w:rsidP="00DE7198">
      <w:r w:rsidRPr="00006DF4">
        <w:rPr>
          <w:rStyle w:val="Strong"/>
        </w:rPr>
        <w:t>Training and support</w:t>
      </w:r>
      <w:r>
        <w:t xml:space="preserve"> will be provided to all participants during the pilot, on-line, via email and by telephone. On-line training materials will be provided for all participants, covering the R-ACFI process (assessments and checklists). Option 1 also includes face to face training for ACATS and External Assessors and also covers the post entry review process.</w:t>
      </w:r>
    </w:p>
    <w:p w:rsidR="00530968" w:rsidRDefault="00530968" w:rsidP="00530968">
      <w:pPr>
        <w:spacing w:after="0"/>
      </w:pPr>
      <w:r w:rsidRPr="00006DF4">
        <w:rPr>
          <w:rStyle w:val="Strong"/>
        </w:rPr>
        <w:t>Recruitment requirements</w:t>
      </w:r>
      <w:r>
        <w:t xml:space="preserve"> (Options 1 &amp; 2):</w:t>
      </w:r>
    </w:p>
    <w:p w:rsidR="00530968" w:rsidRDefault="00530968" w:rsidP="00F02312">
      <w:pPr>
        <w:pStyle w:val="ListParagraph"/>
        <w:numPr>
          <w:ilvl w:val="0"/>
          <w:numId w:val="105"/>
        </w:numPr>
        <w:spacing w:after="0"/>
        <w:ind w:left="360"/>
      </w:pPr>
      <w:r w:rsidRPr="00006DF4">
        <w:rPr>
          <w:rStyle w:val="Strong"/>
        </w:rPr>
        <w:t>Options 1 &amp; 2</w:t>
      </w:r>
      <w:r>
        <w:t>: It is anticipated that up to 25 RACFs will be required to provide a sufficient sample for the pilot project. It is estimated that around 10</w:t>
      </w:r>
      <w:r w:rsidR="0065091B">
        <w:t xml:space="preserve"> per cent</w:t>
      </w:r>
      <w:r>
        <w:t xml:space="preserve"> of residents will have an R-ACFI completed per month, with an expected average of 5-10 R-ACFIs per month depending on the size of the facility.</w:t>
      </w:r>
    </w:p>
    <w:p w:rsidR="00980F62" w:rsidRDefault="00530968" w:rsidP="00F02312">
      <w:pPr>
        <w:pStyle w:val="ListParagraph"/>
        <w:numPr>
          <w:ilvl w:val="0"/>
          <w:numId w:val="105"/>
        </w:numPr>
        <w:spacing w:after="0"/>
        <w:ind w:left="360"/>
      </w:pPr>
      <w:r w:rsidRPr="00006DF4">
        <w:rPr>
          <w:rStyle w:val="Strong"/>
        </w:rPr>
        <w:t>Option 1</w:t>
      </w:r>
      <w:r>
        <w:t>: Will involve ACAT assessors that cover the pilot RACFs. It is expected that a minimum of two ACAT assessors per RACF will be required for the pilot.</w:t>
      </w:r>
    </w:p>
    <w:p w:rsidR="00530968" w:rsidRDefault="00530968" w:rsidP="001329BD">
      <w:pPr>
        <w:pStyle w:val="Heading2-Chapter12"/>
      </w:pPr>
      <w:bookmarkStart w:id="865" w:name="_Toc491426084"/>
      <w:r>
        <w:t>The Pilots in Detail</w:t>
      </w:r>
      <w:bookmarkEnd w:id="864"/>
      <w:bookmarkEnd w:id="865"/>
    </w:p>
    <w:p w:rsidR="00530968" w:rsidRDefault="00530968" w:rsidP="0031656D">
      <w:pPr>
        <w:pStyle w:val="Heading3-Chapter122"/>
      </w:pPr>
      <w:bookmarkStart w:id="866" w:name="_Toc489386747"/>
      <w:r>
        <w:t>Option 1: Involving ACAT, Providers &amp; External Assessment Agencies</w:t>
      </w:r>
      <w:bookmarkEnd w:id="866"/>
    </w:p>
    <w:p w:rsidR="00530968" w:rsidRDefault="00530968" w:rsidP="00DE7198">
      <w:r>
        <w:t>This option tests the R-ACFI assessments and checklists across all potential user types and for both new resident and resident re-appraisal assessments. The pilot will identify:</w:t>
      </w:r>
    </w:p>
    <w:p w:rsidR="00530968" w:rsidRPr="007D0990" w:rsidRDefault="00530968" w:rsidP="00F02312">
      <w:pPr>
        <w:numPr>
          <w:ilvl w:val="0"/>
          <w:numId w:val="105"/>
        </w:numPr>
        <w:spacing w:after="0"/>
        <w:ind w:left="360"/>
        <w:contextualSpacing/>
      </w:pPr>
      <w:r w:rsidRPr="00BC7DD9">
        <w:t>W</w:t>
      </w:r>
      <w:r w:rsidRPr="007D0990">
        <w:t>orkload impacts for potential health professional user types (ACAT, Specialist Assessors and RACF staff)</w:t>
      </w:r>
      <w:r w:rsidR="00ED5657">
        <w:t>.</w:t>
      </w:r>
    </w:p>
    <w:p w:rsidR="00980F62" w:rsidRDefault="00530968" w:rsidP="00F02312">
      <w:pPr>
        <w:numPr>
          <w:ilvl w:val="0"/>
          <w:numId w:val="105"/>
        </w:numPr>
        <w:ind w:left="357" w:hanging="357"/>
      </w:pPr>
      <w:r w:rsidRPr="00BC7DD9">
        <w:t>C</w:t>
      </w:r>
      <w:r w:rsidRPr="007D0990">
        <w:t>hanges to the R-ACFI assessments and checklists.</w:t>
      </w:r>
    </w:p>
    <w:p w:rsidR="00530968" w:rsidRDefault="00530968" w:rsidP="00DE7198">
      <w:r>
        <w:t>Feedback will be collected during focus groups and by user completion of an on-line survey.</w:t>
      </w:r>
    </w:p>
    <w:p w:rsidR="00530968" w:rsidRPr="00407FD7" w:rsidRDefault="00530968" w:rsidP="00407FD7">
      <w:pPr>
        <w:spacing w:after="0"/>
        <w:rPr>
          <w:rStyle w:val="Strong"/>
        </w:rPr>
      </w:pPr>
      <w:r w:rsidRPr="00407FD7">
        <w:rPr>
          <w:rStyle w:val="Strong"/>
        </w:rPr>
        <w:t>Pilot process – new residents entering a RACF</w:t>
      </w:r>
    </w:p>
    <w:p w:rsidR="00980F62" w:rsidRDefault="00530968" w:rsidP="00F02312">
      <w:pPr>
        <w:numPr>
          <w:ilvl w:val="0"/>
          <w:numId w:val="109"/>
        </w:numPr>
        <w:ind w:left="357" w:hanging="357"/>
        <w:contextualSpacing/>
      </w:pPr>
      <w:r>
        <w:t>The pilot RACFs will inform the study coordinator when they are going to accept a new resident</w:t>
      </w:r>
      <w:r w:rsidR="00ED5657">
        <w:t>.</w:t>
      </w:r>
    </w:p>
    <w:p w:rsidR="00530968" w:rsidRDefault="00530968" w:rsidP="00F02312">
      <w:pPr>
        <w:numPr>
          <w:ilvl w:val="0"/>
          <w:numId w:val="109"/>
        </w:numPr>
        <w:ind w:left="357" w:hanging="357"/>
        <w:contextualSpacing/>
      </w:pPr>
      <w:r>
        <w:t>A pilot participating ACAT assessor will then complete an R-ACFI for those about to enter the RACF (pre-entry R-ACFI)</w:t>
      </w:r>
      <w:r w:rsidR="00ED5657">
        <w:t>.</w:t>
      </w:r>
    </w:p>
    <w:p w:rsidR="00530968" w:rsidRDefault="00530968" w:rsidP="00F02312">
      <w:pPr>
        <w:numPr>
          <w:ilvl w:val="0"/>
          <w:numId w:val="109"/>
        </w:numPr>
        <w:ind w:left="357" w:hanging="357"/>
        <w:contextualSpacing/>
      </w:pPr>
      <w:r>
        <w:t>ACAT assessors will use the R-ACFI assessments and checklists (and satisfy NSAF requirements)</w:t>
      </w:r>
      <w:r w:rsidR="00ED5657">
        <w:t>.</w:t>
      </w:r>
    </w:p>
    <w:p w:rsidR="00530968" w:rsidRDefault="00530968" w:rsidP="00F02312">
      <w:pPr>
        <w:numPr>
          <w:ilvl w:val="0"/>
          <w:numId w:val="109"/>
        </w:numPr>
        <w:ind w:left="357" w:hanging="357"/>
        <w:contextualSpacing/>
      </w:pPr>
      <w:r>
        <w:t>Within one month of admission: The internal assessor at the RACF will complete an entry ACFI and R-ACFI and all associates checklists</w:t>
      </w:r>
      <w:r w:rsidR="00ED5657">
        <w:t>.</w:t>
      </w:r>
    </w:p>
    <w:p w:rsidR="00530968" w:rsidRDefault="00530968" w:rsidP="00F02312">
      <w:pPr>
        <w:numPr>
          <w:ilvl w:val="0"/>
          <w:numId w:val="109"/>
        </w:numPr>
        <w:ind w:left="357" w:hanging="357"/>
        <w:contextualSpacing/>
      </w:pPr>
      <w:r>
        <w:t xml:space="preserve">The </w:t>
      </w:r>
      <w:r w:rsidRPr="00355F92">
        <w:rPr>
          <w:b/>
        </w:rPr>
        <w:t>ACAT assessor</w:t>
      </w:r>
      <w:r>
        <w:t xml:space="preserve"> will visit the resident in the RACF, to review any variations between the ACAT pre-entry R-ACFI and the RACF R-ACFI</w:t>
      </w:r>
      <w:r w:rsidR="00ED5657">
        <w:t>.</w:t>
      </w:r>
    </w:p>
    <w:p w:rsidR="00530968" w:rsidRDefault="00530968" w:rsidP="00F02312">
      <w:pPr>
        <w:numPr>
          <w:ilvl w:val="0"/>
          <w:numId w:val="109"/>
        </w:numPr>
        <w:ind w:left="357" w:hanging="357"/>
      </w:pPr>
      <w:r>
        <w:t>The ACAT will also complete a post entry R-ACFI</w:t>
      </w:r>
      <w:r w:rsidR="00ED5657">
        <w:t>.</w:t>
      </w:r>
    </w:p>
    <w:p w:rsidR="00530968" w:rsidRPr="00407FD7" w:rsidRDefault="00530968" w:rsidP="00407FD7">
      <w:pPr>
        <w:spacing w:after="0"/>
        <w:rPr>
          <w:rStyle w:val="Strong"/>
        </w:rPr>
      </w:pPr>
      <w:r w:rsidRPr="00407FD7">
        <w:rPr>
          <w:rStyle w:val="Strong"/>
        </w:rPr>
        <w:t>Pilot process – re-appraisals for residents of pilot site RACFs</w:t>
      </w:r>
    </w:p>
    <w:p w:rsidR="00980F62" w:rsidRDefault="00530968" w:rsidP="00F02312">
      <w:pPr>
        <w:pStyle w:val="ListParagraph"/>
        <w:numPr>
          <w:ilvl w:val="0"/>
          <w:numId w:val="110"/>
        </w:numPr>
        <w:ind w:left="357" w:hanging="357"/>
      </w:pPr>
      <w:r>
        <w:t>The pilot RACFs will inform the study coordinator when a re-appraisal is due to fall within the pilot study period</w:t>
      </w:r>
      <w:r w:rsidR="00ED5657">
        <w:t>.</w:t>
      </w:r>
    </w:p>
    <w:p w:rsidR="00530968" w:rsidRDefault="00530968" w:rsidP="00F02312">
      <w:pPr>
        <w:pStyle w:val="ListParagraph"/>
        <w:numPr>
          <w:ilvl w:val="0"/>
          <w:numId w:val="110"/>
        </w:numPr>
        <w:ind w:left="357" w:hanging="357"/>
      </w:pPr>
      <w:r>
        <w:t xml:space="preserve">The </w:t>
      </w:r>
      <w:r w:rsidRPr="00006DF4">
        <w:rPr>
          <w:rStyle w:val="Strong"/>
        </w:rPr>
        <w:t>External Assessor</w:t>
      </w:r>
      <w:r>
        <w:t xml:space="preserve"> will visit the facility, to audit the RACF R-ACFI (for re-appraisals)</w:t>
      </w:r>
      <w:r w:rsidR="00ED5657">
        <w:t>.</w:t>
      </w:r>
    </w:p>
    <w:p w:rsidR="00530968" w:rsidRDefault="00530968" w:rsidP="00DE7198">
      <w:r>
        <w:t>During the 2-month pilot project period, participating RACFs will use the ACFI and R-ACFI for each new or re-appraisal assessment and will be requested to complete the data collection within one month of entry or appraisal start date.</w:t>
      </w:r>
    </w:p>
    <w:p w:rsidR="00530968" w:rsidRDefault="00530968">
      <w:pPr>
        <w:spacing w:after="200"/>
      </w:pPr>
      <w:r>
        <w:br w:type="page"/>
      </w:r>
    </w:p>
    <w:p w:rsidR="00B66E5D" w:rsidRDefault="00B66E5D" w:rsidP="00B66E5D">
      <w:pPr>
        <w:pStyle w:val="Caption"/>
        <w:keepNext/>
      </w:pPr>
      <w:bookmarkStart w:id="867" w:name="_Toc495416885"/>
      <w:r>
        <w:lastRenderedPageBreak/>
        <w:t>Table 12.</w:t>
      </w:r>
      <w:r w:rsidR="009A3F5A">
        <w:fldChar w:fldCharType="begin"/>
      </w:r>
      <w:r w:rsidR="009A3F5A">
        <w:instrText xml:space="preserve"> SEQ Table_12. \* ARABIC </w:instrText>
      </w:r>
      <w:r w:rsidR="009A3F5A">
        <w:fldChar w:fldCharType="separate"/>
      </w:r>
      <w:r w:rsidR="00856E49">
        <w:rPr>
          <w:noProof/>
        </w:rPr>
        <w:t>1</w:t>
      </w:r>
      <w:r w:rsidR="009A3F5A">
        <w:rPr>
          <w:noProof/>
        </w:rPr>
        <w:fldChar w:fldCharType="end"/>
      </w:r>
      <w:r>
        <w:t>: Option 1: Deliverables</w:t>
      </w:r>
      <w:bookmarkEnd w:id="867"/>
    </w:p>
    <w:tbl>
      <w:tblPr>
        <w:tblStyle w:val="GridTable1Light-Accent11"/>
        <w:tblW w:w="9186"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able 12.1 is a list of details for the roles and deliverables under option one, as summarised in the text prior to this table. This table is to be read left to right, top to bottom."/>
      </w:tblPr>
      <w:tblGrid>
        <w:gridCol w:w="1418"/>
        <w:gridCol w:w="7768"/>
      </w:tblGrid>
      <w:tr w:rsidR="00530968" w:rsidRPr="00CD14F4" w:rsidTr="00407F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tcBorders>
              <w:bottom w:val="none" w:sz="0" w:space="0" w:color="auto"/>
            </w:tcBorders>
            <w:shd w:val="clear" w:color="auto" w:fill="5B9BD5" w:themeFill="accent5"/>
          </w:tcPr>
          <w:p w:rsidR="00530968" w:rsidRPr="00CD14F4" w:rsidRDefault="00530968" w:rsidP="00A44B71">
            <w:pPr>
              <w:spacing w:before="60" w:after="60"/>
              <w:rPr>
                <w:color w:val="FFFFFF" w:themeColor="background1"/>
                <w:sz w:val="22"/>
              </w:rPr>
            </w:pPr>
            <w:r w:rsidRPr="00CD14F4">
              <w:rPr>
                <w:color w:val="FFFFFF" w:themeColor="background1"/>
                <w:sz w:val="22"/>
              </w:rPr>
              <w:t>Role</w:t>
            </w:r>
          </w:p>
        </w:tc>
        <w:tc>
          <w:tcPr>
            <w:tcW w:w="7768" w:type="dxa"/>
            <w:tcBorders>
              <w:bottom w:val="none" w:sz="0" w:space="0" w:color="auto"/>
            </w:tcBorders>
            <w:shd w:val="clear" w:color="auto" w:fill="5B9BD5" w:themeFill="accent5"/>
          </w:tcPr>
          <w:p w:rsidR="00530968" w:rsidRPr="00CD14F4" w:rsidRDefault="00530968" w:rsidP="00A44B71">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CD14F4">
              <w:rPr>
                <w:color w:val="FFFFFF" w:themeColor="background1"/>
                <w:sz w:val="22"/>
              </w:rPr>
              <w:t>Deliverables</w:t>
            </w:r>
          </w:p>
        </w:tc>
      </w:tr>
      <w:tr w:rsidR="00530968" w:rsidRPr="00CD14F4" w:rsidTr="00407FD7">
        <w:tc>
          <w:tcPr>
            <w:cnfStyle w:val="001000000000" w:firstRow="0" w:lastRow="0" w:firstColumn="1" w:lastColumn="0" w:oddVBand="0" w:evenVBand="0" w:oddHBand="0" w:evenHBand="0" w:firstRowFirstColumn="0" w:firstRowLastColumn="0" w:lastRowFirstColumn="0" w:lastRowLastColumn="0"/>
            <w:tcW w:w="1418" w:type="dxa"/>
          </w:tcPr>
          <w:p w:rsidR="00530968" w:rsidRPr="00CD14F4" w:rsidRDefault="00530968" w:rsidP="00530968">
            <w:pPr>
              <w:rPr>
                <w:sz w:val="22"/>
              </w:rPr>
            </w:pPr>
            <w:r w:rsidRPr="00CD14F4">
              <w:rPr>
                <w:sz w:val="22"/>
              </w:rPr>
              <w:t>ACAT</w:t>
            </w:r>
          </w:p>
        </w:tc>
        <w:tc>
          <w:tcPr>
            <w:tcW w:w="7768" w:type="dxa"/>
          </w:tcPr>
          <w:p w:rsidR="00530968" w:rsidRPr="00CD14F4" w:rsidRDefault="00530968" w:rsidP="00F02312">
            <w:pPr>
              <w:pStyle w:val="ListParagraph"/>
              <w:numPr>
                <w:ilvl w:val="0"/>
                <w:numId w:val="188"/>
              </w:numPr>
              <w:spacing w:after="0"/>
              <w:ind w:left="357" w:hanging="357"/>
              <w:cnfStyle w:val="000000000000" w:firstRow="0" w:lastRow="0" w:firstColumn="0" w:lastColumn="0" w:oddVBand="0" w:evenVBand="0" w:oddHBand="0" w:evenHBand="0" w:firstRowFirstColumn="0" w:firstRowLastColumn="0" w:lastRowFirstColumn="0" w:lastRowLastColumn="0"/>
              <w:rPr>
                <w:sz w:val="22"/>
              </w:rPr>
            </w:pPr>
            <w:r w:rsidRPr="00CD14F4">
              <w:rPr>
                <w:sz w:val="22"/>
              </w:rPr>
              <w:t>Pre-entry R-ACFI completed</w:t>
            </w:r>
          </w:p>
          <w:p w:rsidR="00530968" w:rsidRPr="00CD14F4" w:rsidRDefault="00530968" w:rsidP="00F02312">
            <w:pPr>
              <w:pStyle w:val="ListParagraph"/>
              <w:numPr>
                <w:ilvl w:val="0"/>
                <w:numId w:val="188"/>
              </w:numPr>
              <w:spacing w:after="0"/>
              <w:ind w:left="357" w:hanging="357"/>
              <w:cnfStyle w:val="000000000000" w:firstRow="0" w:lastRow="0" w:firstColumn="0" w:lastColumn="0" w:oddVBand="0" w:evenVBand="0" w:oddHBand="0" w:evenHBand="0" w:firstRowFirstColumn="0" w:firstRowLastColumn="0" w:lastRowFirstColumn="0" w:lastRowLastColumn="0"/>
              <w:rPr>
                <w:sz w:val="22"/>
              </w:rPr>
            </w:pPr>
            <w:r w:rsidRPr="00CD14F4">
              <w:rPr>
                <w:sz w:val="22"/>
              </w:rPr>
              <w:t>Feedback on workload, R-ACFI assessments and checklists</w:t>
            </w:r>
          </w:p>
        </w:tc>
      </w:tr>
      <w:tr w:rsidR="00530968" w:rsidRPr="00CD14F4" w:rsidTr="00407FD7">
        <w:tc>
          <w:tcPr>
            <w:cnfStyle w:val="001000000000" w:firstRow="0" w:lastRow="0" w:firstColumn="1" w:lastColumn="0" w:oddVBand="0" w:evenVBand="0" w:oddHBand="0" w:evenHBand="0" w:firstRowFirstColumn="0" w:firstRowLastColumn="0" w:lastRowFirstColumn="0" w:lastRowLastColumn="0"/>
            <w:tcW w:w="1418" w:type="dxa"/>
          </w:tcPr>
          <w:p w:rsidR="00530968" w:rsidRPr="00CD14F4" w:rsidRDefault="00530968" w:rsidP="00530968">
            <w:pPr>
              <w:rPr>
                <w:sz w:val="22"/>
              </w:rPr>
            </w:pPr>
            <w:r w:rsidRPr="00CD14F4">
              <w:rPr>
                <w:sz w:val="22"/>
              </w:rPr>
              <w:t>Provider</w:t>
            </w:r>
          </w:p>
        </w:tc>
        <w:tc>
          <w:tcPr>
            <w:tcW w:w="7768" w:type="dxa"/>
          </w:tcPr>
          <w:p w:rsidR="00530968" w:rsidRPr="00CD14F4" w:rsidRDefault="00530968" w:rsidP="00F02312">
            <w:pPr>
              <w:pStyle w:val="ListParagraph"/>
              <w:numPr>
                <w:ilvl w:val="0"/>
                <w:numId w:val="188"/>
              </w:numPr>
              <w:spacing w:after="0"/>
              <w:ind w:left="357" w:hanging="357"/>
              <w:cnfStyle w:val="000000000000" w:firstRow="0" w:lastRow="0" w:firstColumn="0" w:lastColumn="0" w:oddVBand="0" w:evenVBand="0" w:oddHBand="0" w:evenHBand="0" w:firstRowFirstColumn="0" w:firstRowLastColumn="0" w:lastRowFirstColumn="0" w:lastRowLastColumn="0"/>
              <w:rPr>
                <w:sz w:val="22"/>
              </w:rPr>
            </w:pPr>
            <w:r w:rsidRPr="00CD14F4">
              <w:rPr>
                <w:sz w:val="22"/>
              </w:rPr>
              <w:t>Facility completed R-ACFI &amp; ACFI (new residents &amp; re-appraisals)</w:t>
            </w:r>
          </w:p>
          <w:p w:rsidR="00530968" w:rsidRPr="00CD14F4" w:rsidRDefault="00530968" w:rsidP="00F02312">
            <w:pPr>
              <w:pStyle w:val="ListParagraph"/>
              <w:numPr>
                <w:ilvl w:val="0"/>
                <w:numId w:val="188"/>
              </w:numPr>
              <w:spacing w:after="0"/>
              <w:ind w:left="357" w:hanging="357"/>
              <w:cnfStyle w:val="000000000000" w:firstRow="0" w:lastRow="0" w:firstColumn="0" w:lastColumn="0" w:oddVBand="0" w:evenVBand="0" w:oddHBand="0" w:evenHBand="0" w:firstRowFirstColumn="0" w:firstRowLastColumn="0" w:lastRowFirstColumn="0" w:lastRowLastColumn="0"/>
              <w:rPr>
                <w:sz w:val="22"/>
              </w:rPr>
            </w:pPr>
            <w:r w:rsidRPr="00CD14F4">
              <w:rPr>
                <w:sz w:val="22"/>
              </w:rPr>
              <w:t>Comparison: R-ACFI &amp; ACFI (new residents &amp; re-appraisals)</w:t>
            </w:r>
          </w:p>
          <w:p w:rsidR="00530968" w:rsidRPr="00CD14F4" w:rsidRDefault="00530968" w:rsidP="00F02312">
            <w:pPr>
              <w:pStyle w:val="ListParagraph"/>
              <w:numPr>
                <w:ilvl w:val="0"/>
                <w:numId w:val="188"/>
              </w:numPr>
              <w:spacing w:after="0"/>
              <w:ind w:left="357" w:hanging="357"/>
              <w:cnfStyle w:val="000000000000" w:firstRow="0" w:lastRow="0" w:firstColumn="0" w:lastColumn="0" w:oddVBand="0" w:evenVBand="0" w:oddHBand="0" w:evenHBand="0" w:firstRowFirstColumn="0" w:firstRowLastColumn="0" w:lastRowFirstColumn="0" w:lastRowLastColumn="0"/>
              <w:rPr>
                <w:sz w:val="22"/>
              </w:rPr>
            </w:pPr>
            <w:r w:rsidRPr="00CD14F4">
              <w:rPr>
                <w:sz w:val="22"/>
              </w:rPr>
              <w:t>Feedback on workload, R-ACFI assessments and checklists</w:t>
            </w:r>
          </w:p>
        </w:tc>
      </w:tr>
      <w:tr w:rsidR="00530968" w:rsidRPr="00CD14F4" w:rsidTr="00407FD7">
        <w:tc>
          <w:tcPr>
            <w:cnfStyle w:val="001000000000" w:firstRow="0" w:lastRow="0" w:firstColumn="1" w:lastColumn="0" w:oddVBand="0" w:evenVBand="0" w:oddHBand="0" w:evenHBand="0" w:firstRowFirstColumn="0" w:firstRowLastColumn="0" w:lastRowFirstColumn="0" w:lastRowLastColumn="0"/>
            <w:tcW w:w="1418" w:type="dxa"/>
          </w:tcPr>
          <w:p w:rsidR="00530968" w:rsidRPr="00CD14F4" w:rsidRDefault="00530968" w:rsidP="00530968">
            <w:pPr>
              <w:rPr>
                <w:sz w:val="22"/>
              </w:rPr>
            </w:pPr>
            <w:r w:rsidRPr="00CD14F4">
              <w:rPr>
                <w:sz w:val="22"/>
              </w:rPr>
              <w:t>ACAT</w:t>
            </w:r>
          </w:p>
        </w:tc>
        <w:tc>
          <w:tcPr>
            <w:tcW w:w="7768" w:type="dxa"/>
          </w:tcPr>
          <w:p w:rsidR="00530968" w:rsidRPr="00CD14F4" w:rsidRDefault="00530968" w:rsidP="00F02312">
            <w:pPr>
              <w:pStyle w:val="ListParagraph"/>
              <w:numPr>
                <w:ilvl w:val="0"/>
                <w:numId w:val="188"/>
              </w:numPr>
              <w:spacing w:after="0"/>
              <w:ind w:left="357" w:hanging="357"/>
              <w:cnfStyle w:val="000000000000" w:firstRow="0" w:lastRow="0" w:firstColumn="0" w:lastColumn="0" w:oddVBand="0" w:evenVBand="0" w:oddHBand="0" w:evenHBand="0" w:firstRowFirstColumn="0" w:firstRowLastColumn="0" w:lastRowFirstColumn="0" w:lastRowLastColumn="0"/>
              <w:rPr>
                <w:sz w:val="22"/>
              </w:rPr>
            </w:pPr>
            <w:r w:rsidRPr="00CD14F4">
              <w:rPr>
                <w:sz w:val="22"/>
              </w:rPr>
              <w:t>Comparison: Pre-entry R-ACFI &amp; Facility R-ACFI (new residents)</w:t>
            </w:r>
          </w:p>
          <w:p w:rsidR="00530968" w:rsidRPr="00CD14F4" w:rsidRDefault="00530968" w:rsidP="00F02312">
            <w:pPr>
              <w:pStyle w:val="ListParagraph"/>
              <w:numPr>
                <w:ilvl w:val="0"/>
                <w:numId w:val="188"/>
              </w:numPr>
              <w:spacing w:after="0"/>
              <w:ind w:left="357" w:hanging="357"/>
              <w:cnfStyle w:val="000000000000" w:firstRow="0" w:lastRow="0" w:firstColumn="0" w:lastColumn="0" w:oddVBand="0" w:evenVBand="0" w:oddHBand="0" w:evenHBand="0" w:firstRowFirstColumn="0" w:firstRowLastColumn="0" w:lastRowFirstColumn="0" w:lastRowLastColumn="0"/>
              <w:rPr>
                <w:sz w:val="22"/>
              </w:rPr>
            </w:pPr>
            <w:r w:rsidRPr="00CD14F4">
              <w:rPr>
                <w:sz w:val="22"/>
              </w:rPr>
              <w:t>Post entry R-ACFI (for new residents) completed</w:t>
            </w:r>
          </w:p>
          <w:p w:rsidR="00530968" w:rsidRPr="00CD14F4" w:rsidRDefault="00530968" w:rsidP="00F02312">
            <w:pPr>
              <w:pStyle w:val="ListParagraph"/>
              <w:numPr>
                <w:ilvl w:val="0"/>
                <w:numId w:val="188"/>
              </w:numPr>
              <w:spacing w:after="0"/>
              <w:ind w:left="357" w:hanging="357"/>
              <w:cnfStyle w:val="000000000000" w:firstRow="0" w:lastRow="0" w:firstColumn="0" w:lastColumn="0" w:oddVBand="0" w:evenVBand="0" w:oddHBand="0" w:evenHBand="0" w:firstRowFirstColumn="0" w:firstRowLastColumn="0" w:lastRowFirstColumn="0" w:lastRowLastColumn="0"/>
              <w:rPr>
                <w:sz w:val="22"/>
              </w:rPr>
            </w:pPr>
            <w:r w:rsidRPr="00CD14F4">
              <w:rPr>
                <w:sz w:val="22"/>
              </w:rPr>
              <w:t>Comparison: Facility R-ACFI &amp; Post entry R-ACFI (new residents)</w:t>
            </w:r>
          </w:p>
          <w:p w:rsidR="00530968" w:rsidRPr="00CD14F4" w:rsidRDefault="00530968" w:rsidP="00F02312">
            <w:pPr>
              <w:pStyle w:val="ListParagraph"/>
              <w:numPr>
                <w:ilvl w:val="0"/>
                <w:numId w:val="188"/>
              </w:numPr>
              <w:spacing w:after="0"/>
              <w:ind w:left="357" w:hanging="357"/>
              <w:cnfStyle w:val="000000000000" w:firstRow="0" w:lastRow="0" w:firstColumn="0" w:lastColumn="0" w:oddVBand="0" w:evenVBand="0" w:oddHBand="0" w:evenHBand="0" w:firstRowFirstColumn="0" w:firstRowLastColumn="0" w:lastRowFirstColumn="0" w:lastRowLastColumn="0"/>
              <w:rPr>
                <w:sz w:val="22"/>
              </w:rPr>
            </w:pPr>
            <w:r w:rsidRPr="00CD14F4">
              <w:rPr>
                <w:sz w:val="22"/>
              </w:rPr>
              <w:t>Comparison: Pre-entry R-ACFI &amp; Post entry R-ACFI</w:t>
            </w:r>
          </w:p>
          <w:p w:rsidR="00530968" w:rsidRPr="00CD14F4" w:rsidRDefault="00530968" w:rsidP="00F02312">
            <w:pPr>
              <w:pStyle w:val="ListParagraph"/>
              <w:numPr>
                <w:ilvl w:val="0"/>
                <w:numId w:val="188"/>
              </w:numPr>
              <w:spacing w:after="0"/>
              <w:ind w:left="357" w:hanging="357"/>
              <w:cnfStyle w:val="000000000000" w:firstRow="0" w:lastRow="0" w:firstColumn="0" w:lastColumn="0" w:oddVBand="0" w:evenVBand="0" w:oddHBand="0" w:evenHBand="0" w:firstRowFirstColumn="0" w:firstRowLastColumn="0" w:lastRowFirstColumn="0" w:lastRowLastColumn="0"/>
              <w:rPr>
                <w:sz w:val="22"/>
              </w:rPr>
            </w:pPr>
            <w:r w:rsidRPr="00CD14F4">
              <w:rPr>
                <w:sz w:val="22"/>
              </w:rPr>
              <w:t>Feedback on workload, R-ACFI assessments and checklists</w:t>
            </w:r>
          </w:p>
        </w:tc>
      </w:tr>
      <w:tr w:rsidR="00530968" w:rsidRPr="00CD14F4" w:rsidTr="00407FD7">
        <w:tc>
          <w:tcPr>
            <w:cnfStyle w:val="001000000000" w:firstRow="0" w:lastRow="0" w:firstColumn="1" w:lastColumn="0" w:oddVBand="0" w:evenVBand="0" w:oddHBand="0" w:evenHBand="0" w:firstRowFirstColumn="0" w:firstRowLastColumn="0" w:lastRowFirstColumn="0" w:lastRowLastColumn="0"/>
            <w:tcW w:w="1418" w:type="dxa"/>
          </w:tcPr>
          <w:p w:rsidR="00530968" w:rsidRPr="00CD14F4" w:rsidRDefault="00530968" w:rsidP="00407FD7">
            <w:pPr>
              <w:rPr>
                <w:sz w:val="22"/>
              </w:rPr>
            </w:pPr>
            <w:r w:rsidRPr="00CD14F4">
              <w:rPr>
                <w:sz w:val="22"/>
              </w:rPr>
              <w:t>External</w:t>
            </w:r>
            <w:r w:rsidR="00407FD7">
              <w:rPr>
                <w:sz w:val="22"/>
              </w:rPr>
              <w:t xml:space="preserve"> </w:t>
            </w:r>
            <w:r w:rsidRPr="00CD14F4">
              <w:rPr>
                <w:sz w:val="22"/>
              </w:rPr>
              <w:t>Assessment</w:t>
            </w:r>
            <w:r w:rsidR="00407FD7">
              <w:rPr>
                <w:sz w:val="22"/>
              </w:rPr>
              <w:t xml:space="preserve"> </w:t>
            </w:r>
            <w:r w:rsidRPr="00CD14F4">
              <w:rPr>
                <w:sz w:val="22"/>
              </w:rPr>
              <w:t>Agency</w:t>
            </w:r>
          </w:p>
        </w:tc>
        <w:tc>
          <w:tcPr>
            <w:tcW w:w="7768" w:type="dxa"/>
          </w:tcPr>
          <w:p w:rsidR="00530968" w:rsidRPr="00CD14F4" w:rsidRDefault="00530968" w:rsidP="00F02312">
            <w:pPr>
              <w:pStyle w:val="ListParagraph"/>
              <w:numPr>
                <w:ilvl w:val="0"/>
                <w:numId w:val="188"/>
              </w:numPr>
              <w:spacing w:after="0"/>
              <w:ind w:left="357" w:hanging="357"/>
              <w:cnfStyle w:val="000000000000" w:firstRow="0" w:lastRow="0" w:firstColumn="0" w:lastColumn="0" w:oddVBand="0" w:evenVBand="0" w:oddHBand="0" w:evenHBand="0" w:firstRowFirstColumn="0" w:firstRowLastColumn="0" w:lastRowFirstColumn="0" w:lastRowLastColumn="0"/>
              <w:rPr>
                <w:sz w:val="22"/>
              </w:rPr>
            </w:pPr>
            <w:r w:rsidRPr="00CD14F4">
              <w:rPr>
                <w:sz w:val="22"/>
              </w:rPr>
              <w:t>Audit: Facility R-ACFI (re-appraisals)</w:t>
            </w:r>
          </w:p>
          <w:p w:rsidR="00530968" w:rsidRPr="00CD14F4" w:rsidRDefault="00530968" w:rsidP="00F02312">
            <w:pPr>
              <w:pStyle w:val="ListParagraph"/>
              <w:numPr>
                <w:ilvl w:val="0"/>
                <w:numId w:val="188"/>
              </w:numPr>
              <w:spacing w:after="0"/>
              <w:ind w:left="357" w:hanging="357"/>
              <w:cnfStyle w:val="000000000000" w:firstRow="0" w:lastRow="0" w:firstColumn="0" w:lastColumn="0" w:oddVBand="0" w:evenVBand="0" w:oddHBand="0" w:evenHBand="0" w:firstRowFirstColumn="0" w:firstRowLastColumn="0" w:lastRowFirstColumn="0" w:lastRowLastColumn="0"/>
              <w:rPr>
                <w:sz w:val="22"/>
              </w:rPr>
            </w:pPr>
            <w:r w:rsidRPr="00CD14F4">
              <w:rPr>
                <w:sz w:val="22"/>
              </w:rPr>
              <w:t>R-ACFI (re-appraisals) completed</w:t>
            </w:r>
          </w:p>
          <w:p w:rsidR="00530968" w:rsidRPr="00CD14F4" w:rsidRDefault="00530968" w:rsidP="00F02312">
            <w:pPr>
              <w:pStyle w:val="ListParagraph"/>
              <w:numPr>
                <w:ilvl w:val="0"/>
                <w:numId w:val="188"/>
              </w:numPr>
              <w:spacing w:after="0"/>
              <w:ind w:left="357" w:hanging="357"/>
              <w:cnfStyle w:val="000000000000" w:firstRow="0" w:lastRow="0" w:firstColumn="0" w:lastColumn="0" w:oddVBand="0" w:evenVBand="0" w:oddHBand="0" w:evenHBand="0" w:firstRowFirstColumn="0" w:firstRowLastColumn="0" w:lastRowFirstColumn="0" w:lastRowLastColumn="0"/>
              <w:rPr>
                <w:sz w:val="22"/>
              </w:rPr>
            </w:pPr>
            <w:r w:rsidRPr="00CD14F4">
              <w:rPr>
                <w:sz w:val="22"/>
              </w:rPr>
              <w:t>Comparison: Facility R-ACFI &amp; External Assessor Agency R-ACFI (re-appraisals)</w:t>
            </w:r>
          </w:p>
          <w:p w:rsidR="00530968" w:rsidRPr="00CD14F4" w:rsidRDefault="00530968" w:rsidP="00F02312">
            <w:pPr>
              <w:pStyle w:val="ListParagraph"/>
              <w:numPr>
                <w:ilvl w:val="0"/>
                <w:numId w:val="188"/>
              </w:numPr>
              <w:spacing w:after="0"/>
              <w:ind w:left="357" w:hanging="357"/>
              <w:cnfStyle w:val="000000000000" w:firstRow="0" w:lastRow="0" w:firstColumn="0" w:lastColumn="0" w:oddVBand="0" w:evenVBand="0" w:oddHBand="0" w:evenHBand="0" w:firstRowFirstColumn="0" w:firstRowLastColumn="0" w:lastRowFirstColumn="0" w:lastRowLastColumn="0"/>
              <w:rPr>
                <w:sz w:val="22"/>
              </w:rPr>
            </w:pPr>
            <w:r w:rsidRPr="00CD14F4">
              <w:rPr>
                <w:sz w:val="22"/>
              </w:rPr>
              <w:t>Feedback on workload, R-ACFI assessments and checklists</w:t>
            </w:r>
          </w:p>
        </w:tc>
      </w:tr>
    </w:tbl>
    <w:p w:rsidR="00457B2C" w:rsidRDefault="00457B2C" w:rsidP="0031656D">
      <w:pPr>
        <w:pStyle w:val="Heading3-Chapter122"/>
      </w:pPr>
      <w:bookmarkStart w:id="868" w:name="_Toc489386748"/>
      <w:r>
        <w:t>Option 2: Involving only Aged Care Providers</w:t>
      </w:r>
      <w:bookmarkEnd w:id="868"/>
    </w:p>
    <w:p w:rsidR="00980F62" w:rsidRDefault="00530968" w:rsidP="00DE7198">
      <w:bookmarkStart w:id="869" w:name="_Toc489386749"/>
      <w:r>
        <w:t>This option tests the R-ACFI assessments, R-ACFI checklists and ACFI checklists completed by RACF for new residents and re-appraisals.</w:t>
      </w:r>
    </w:p>
    <w:p w:rsidR="00530968" w:rsidRDefault="00530968" w:rsidP="00DE7198">
      <w:r>
        <w:t>This option will enable investigation of:</w:t>
      </w:r>
    </w:p>
    <w:p w:rsidR="00530968" w:rsidRDefault="00530968" w:rsidP="00F02312">
      <w:pPr>
        <w:pStyle w:val="ListParagraph"/>
        <w:numPr>
          <w:ilvl w:val="0"/>
          <w:numId w:val="105"/>
        </w:numPr>
        <w:ind w:left="357" w:hanging="357"/>
      </w:pPr>
      <w:r>
        <w:t>workload impacts associated with the introduction of R-ACFI from the perspective of the different health professionals who are involved in RACFs</w:t>
      </w:r>
      <w:r w:rsidR="00ED5657">
        <w:t>.</w:t>
      </w:r>
    </w:p>
    <w:p w:rsidR="00530968" w:rsidRDefault="00530968" w:rsidP="00F02312">
      <w:pPr>
        <w:pStyle w:val="ListParagraph"/>
        <w:numPr>
          <w:ilvl w:val="0"/>
          <w:numId w:val="105"/>
        </w:numPr>
        <w:ind w:left="357" w:hanging="357"/>
      </w:pPr>
      <w:r>
        <w:t>The R-ACFI assessments and checklists.</w:t>
      </w:r>
    </w:p>
    <w:p w:rsidR="00530968" w:rsidRDefault="00530968" w:rsidP="00DE7198">
      <w:r>
        <w:t>Feedback will be collected by user completion of an on-line survey.</w:t>
      </w:r>
    </w:p>
    <w:p w:rsidR="00530968" w:rsidRDefault="00530968" w:rsidP="00DE7198">
      <w:r>
        <w:t xml:space="preserve">The participating </w:t>
      </w:r>
      <w:r w:rsidRPr="00006DF4">
        <w:rPr>
          <w:rStyle w:val="Strong"/>
        </w:rPr>
        <w:t xml:space="preserve">RACFs </w:t>
      </w:r>
      <w:r>
        <w:t>will include the R-ACFI assessment tools into their ACFI toolset for the pilot period. The RACFs will complete all required ACFIs (for new residents and re-appraisals) during this time and complete the R</w:t>
      </w:r>
      <w:r w:rsidRPr="008479F3">
        <w:t xml:space="preserve">-ACFI assessments and checklists. </w:t>
      </w:r>
      <w:r w:rsidRPr="00B0395C">
        <w:t>They will be requested to complete all data collection within a three-month period.</w:t>
      </w:r>
    </w:p>
    <w:p w:rsidR="00B66E5D" w:rsidRDefault="00B66E5D" w:rsidP="00B66E5D">
      <w:pPr>
        <w:pStyle w:val="Caption"/>
        <w:keepNext/>
      </w:pPr>
      <w:bookmarkStart w:id="870" w:name="_Toc495416886"/>
      <w:r>
        <w:t>Table 12.</w:t>
      </w:r>
      <w:r w:rsidR="009A3F5A">
        <w:fldChar w:fldCharType="begin"/>
      </w:r>
      <w:r w:rsidR="009A3F5A">
        <w:instrText xml:space="preserve"> SEQ Table_12. \* ARABIC </w:instrText>
      </w:r>
      <w:r w:rsidR="009A3F5A">
        <w:fldChar w:fldCharType="separate"/>
      </w:r>
      <w:r w:rsidR="00856E49">
        <w:rPr>
          <w:noProof/>
        </w:rPr>
        <w:t>2</w:t>
      </w:r>
      <w:r w:rsidR="009A3F5A">
        <w:rPr>
          <w:noProof/>
        </w:rPr>
        <w:fldChar w:fldCharType="end"/>
      </w:r>
      <w:r>
        <w:t>: Option 2: Deliverables</w:t>
      </w:r>
      <w:bookmarkEnd w:id="870"/>
    </w:p>
    <w:tbl>
      <w:tblPr>
        <w:tblStyle w:val="GridTable1Light-Accent11"/>
        <w:tblW w:w="0" w:type="auto"/>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able 12.2 is a list of details for the roles and deliverables under option two, as summarised in the text prior to this table. This table is to be read left to right, top to bottom."/>
      </w:tblPr>
      <w:tblGrid>
        <w:gridCol w:w="1264"/>
        <w:gridCol w:w="7644"/>
      </w:tblGrid>
      <w:tr w:rsidR="00530968" w:rsidRPr="00CD14F4" w:rsidTr="00712B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tcBorders>
              <w:bottom w:val="none" w:sz="0" w:space="0" w:color="auto"/>
            </w:tcBorders>
            <w:shd w:val="clear" w:color="auto" w:fill="5B9BD5" w:themeFill="accent5"/>
            <w:hideMark/>
          </w:tcPr>
          <w:p w:rsidR="00530968" w:rsidRPr="00CD14F4" w:rsidRDefault="00530968" w:rsidP="00A44B71">
            <w:pPr>
              <w:spacing w:before="60" w:after="60"/>
              <w:rPr>
                <w:color w:val="FFFFFF" w:themeColor="background1"/>
                <w:sz w:val="22"/>
              </w:rPr>
            </w:pPr>
            <w:r w:rsidRPr="00CD14F4">
              <w:rPr>
                <w:color w:val="FFFFFF" w:themeColor="background1"/>
                <w:sz w:val="22"/>
              </w:rPr>
              <w:t>Role</w:t>
            </w:r>
          </w:p>
        </w:tc>
        <w:tc>
          <w:tcPr>
            <w:tcW w:w="7796" w:type="dxa"/>
            <w:tcBorders>
              <w:bottom w:val="none" w:sz="0" w:space="0" w:color="auto"/>
            </w:tcBorders>
            <w:shd w:val="clear" w:color="auto" w:fill="5B9BD5" w:themeFill="accent5"/>
            <w:hideMark/>
          </w:tcPr>
          <w:p w:rsidR="00530968" w:rsidRPr="00CD14F4" w:rsidRDefault="00530968" w:rsidP="00A44B71">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CD14F4">
              <w:rPr>
                <w:color w:val="FFFFFF" w:themeColor="background1"/>
                <w:sz w:val="22"/>
              </w:rPr>
              <w:t>Deliverables</w:t>
            </w:r>
          </w:p>
        </w:tc>
      </w:tr>
      <w:tr w:rsidR="00530968" w:rsidRPr="00CD14F4" w:rsidTr="00712BD8">
        <w:tc>
          <w:tcPr>
            <w:cnfStyle w:val="001000000000" w:firstRow="0" w:lastRow="0" w:firstColumn="1" w:lastColumn="0" w:oddVBand="0" w:evenVBand="0" w:oddHBand="0" w:evenHBand="0" w:firstRowFirstColumn="0" w:firstRowLastColumn="0" w:lastRowFirstColumn="0" w:lastRowLastColumn="0"/>
            <w:tcW w:w="1271" w:type="dxa"/>
            <w:hideMark/>
          </w:tcPr>
          <w:p w:rsidR="00530968" w:rsidRPr="00CD14F4" w:rsidRDefault="00530968" w:rsidP="00521CF4">
            <w:pPr>
              <w:rPr>
                <w:sz w:val="22"/>
              </w:rPr>
            </w:pPr>
            <w:r w:rsidRPr="00CD14F4">
              <w:rPr>
                <w:sz w:val="22"/>
              </w:rPr>
              <w:t>Provider</w:t>
            </w:r>
          </w:p>
        </w:tc>
        <w:tc>
          <w:tcPr>
            <w:tcW w:w="7796" w:type="dxa"/>
            <w:hideMark/>
          </w:tcPr>
          <w:p w:rsidR="00530968" w:rsidRPr="00CD14F4" w:rsidRDefault="00530968" w:rsidP="00F02312">
            <w:pPr>
              <w:pStyle w:val="ListParagraph"/>
              <w:numPr>
                <w:ilvl w:val="0"/>
                <w:numId w:val="188"/>
              </w:numPr>
              <w:spacing w:after="0"/>
              <w:ind w:left="357" w:hanging="357"/>
              <w:cnfStyle w:val="000000000000" w:firstRow="0" w:lastRow="0" w:firstColumn="0" w:lastColumn="0" w:oddVBand="0" w:evenVBand="0" w:oddHBand="0" w:evenHBand="0" w:firstRowFirstColumn="0" w:firstRowLastColumn="0" w:lastRowFirstColumn="0" w:lastRowLastColumn="0"/>
              <w:rPr>
                <w:sz w:val="22"/>
              </w:rPr>
            </w:pPr>
            <w:r w:rsidRPr="00CD14F4">
              <w:rPr>
                <w:sz w:val="22"/>
              </w:rPr>
              <w:t>Facility R-ACFI &amp; Facility ACFI (for new residents and re-appraisals) completed</w:t>
            </w:r>
          </w:p>
          <w:p w:rsidR="00530968" w:rsidRPr="00CD14F4" w:rsidRDefault="00530968" w:rsidP="00F02312">
            <w:pPr>
              <w:pStyle w:val="ListParagraph"/>
              <w:numPr>
                <w:ilvl w:val="0"/>
                <w:numId w:val="188"/>
              </w:numPr>
              <w:spacing w:after="0"/>
              <w:ind w:left="357" w:hanging="357"/>
              <w:cnfStyle w:val="000000000000" w:firstRow="0" w:lastRow="0" w:firstColumn="0" w:lastColumn="0" w:oddVBand="0" w:evenVBand="0" w:oddHBand="0" w:evenHBand="0" w:firstRowFirstColumn="0" w:firstRowLastColumn="0" w:lastRowFirstColumn="0" w:lastRowLastColumn="0"/>
              <w:rPr>
                <w:sz w:val="22"/>
              </w:rPr>
            </w:pPr>
            <w:r w:rsidRPr="00CD14F4">
              <w:rPr>
                <w:sz w:val="22"/>
              </w:rPr>
              <w:t>Comparison: Facility R-ACFI &amp; Facility ACFI</w:t>
            </w:r>
          </w:p>
          <w:p w:rsidR="00530968" w:rsidRPr="00CD14F4" w:rsidRDefault="00530968" w:rsidP="00F02312">
            <w:pPr>
              <w:pStyle w:val="ListParagraph"/>
              <w:numPr>
                <w:ilvl w:val="0"/>
                <w:numId w:val="188"/>
              </w:numPr>
              <w:spacing w:after="0"/>
              <w:ind w:left="357" w:hanging="357"/>
              <w:cnfStyle w:val="000000000000" w:firstRow="0" w:lastRow="0" w:firstColumn="0" w:lastColumn="0" w:oddVBand="0" w:evenVBand="0" w:oddHBand="0" w:evenHBand="0" w:firstRowFirstColumn="0" w:firstRowLastColumn="0" w:lastRowFirstColumn="0" w:lastRowLastColumn="0"/>
              <w:rPr>
                <w:sz w:val="22"/>
              </w:rPr>
            </w:pPr>
            <w:r w:rsidRPr="00CD14F4">
              <w:rPr>
                <w:sz w:val="22"/>
              </w:rPr>
              <w:t>Feedback on workload, R-ACFI assessments and checklists.</w:t>
            </w:r>
          </w:p>
        </w:tc>
      </w:tr>
    </w:tbl>
    <w:p w:rsidR="00DE7198" w:rsidRDefault="00DE7198">
      <w:pPr>
        <w:spacing w:after="200"/>
        <w:jc w:val="left"/>
      </w:pPr>
      <w:r>
        <w:br w:type="page"/>
      </w:r>
    </w:p>
    <w:p w:rsidR="00457B2C" w:rsidRDefault="00457B2C" w:rsidP="0031656D">
      <w:pPr>
        <w:pStyle w:val="Heading3-Chapter122"/>
      </w:pPr>
      <w:r>
        <w:lastRenderedPageBreak/>
        <w:t>Timeline for Options 1 &amp; 2</w:t>
      </w:r>
      <w:bookmarkEnd w:id="869"/>
    </w:p>
    <w:tbl>
      <w:tblPr>
        <w:tblStyle w:val="GridTable1Light-Accent11"/>
        <w:tblW w:w="9214"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he 12.2.3: Timeline for Options 1 &amp; 2 table is a list of details for the timelines and activities under options one and two, as summarised in the text prior to this table. This table is to be read left to right, top to bottom."/>
      </w:tblPr>
      <w:tblGrid>
        <w:gridCol w:w="1883"/>
        <w:gridCol w:w="7331"/>
      </w:tblGrid>
      <w:tr w:rsidR="00C34A26" w:rsidRPr="003837B9" w:rsidTr="00040F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5B9BD5" w:themeFill="accent5"/>
            <w:hideMark/>
          </w:tcPr>
          <w:p w:rsidR="00C34A26" w:rsidRPr="003837B9" w:rsidRDefault="00C34A26" w:rsidP="00E240B7">
            <w:pPr>
              <w:spacing w:before="40" w:after="40"/>
              <w:jc w:val="left"/>
              <w:rPr>
                <w:color w:val="FFFFFF" w:themeColor="background1"/>
                <w:sz w:val="23"/>
                <w:szCs w:val="23"/>
              </w:rPr>
            </w:pPr>
            <w:r w:rsidRPr="003837B9">
              <w:rPr>
                <w:color w:val="FFFFFF" w:themeColor="background1"/>
                <w:sz w:val="23"/>
                <w:szCs w:val="23"/>
              </w:rPr>
              <w:t>Phase 1: Preparation Phase</w:t>
            </w:r>
          </w:p>
        </w:tc>
      </w:tr>
      <w:tr w:rsidR="00CD14F4" w:rsidRPr="00DE7198" w:rsidTr="002D44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3" w:type="dxa"/>
            <w:tcBorders>
              <w:bottom w:val="none" w:sz="0" w:space="0" w:color="auto"/>
            </w:tcBorders>
            <w:shd w:val="clear" w:color="auto" w:fill="DEEAF6" w:themeFill="accent5" w:themeFillTint="33"/>
            <w:hideMark/>
          </w:tcPr>
          <w:p w:rsidR="00CD14F4" w:rsidRPr="00DE7198" w:rsidRDefault="00CD14F4" w:rsidP="00CD14F4">
            <w:pPr>
              <w:spacing w:after="0"/>
              <w:jc w:val="left"/>
              <w:rPr>
                <w:sz w:val="23"/>
                <w:szCs w:val="23"/>
              </w:rPr>
            </w:pPr>
            <w:r w:rsidRPr="00DE7198">
              <w:rPr>
                <w:sz w:val="23"/>
                <w:szCs w:val="23"/>
              </w:rPr>
              <w:t>Time</w:t>
            </w:r>
          </w:p>
        </w:tc>
        <w:tc>
          <w:tcPr>
            <w:tcW w:w="7331" w:type="dxa"/>
            <w:tcBorders>
              <w:bottom w:val="none" w:sz="0" w:space="0" w:color="auto"/>
            </w:tcBorders>
            <w:shd w:val="clear" w:color="auto" w:fill="DEEAF6" w:themeFill="accent5" w:themeFillTint="33"/>
            <w:hideMark/>
          </w:tcPr>
          <w:p w:rsidR="00CD14F4" w:rsidRPr="00DE7198" w:rsidRDefault="00CD14F4" w:rsidP="00CD14F4">
            <w:pPr>
              <w:spacing w:after="0"/>
              <w:jc w:val="left"/>
              <w:cnfStyle w:val="100000000000" w:firstRow="1" w:lastRow="0" w:firstColumn="0" w:lastColumn="0" w:oddVBand="0" w:evenVBand="0" w:oddHBand="0" w:evenHBand="0" w:firstRowFirstColumn="0" w:firstRowLastColumn="0" w:lastRowFirstColumn="0" w:lastRowLastColumn="0"/>
              <w:rPr>
                <w:sz w:val="23"/>
                <w:szCs w:val="23"/>
              </w:rPr>
            </w:pPr>
            <w:r w:rsidRPr="00DE7198">
              <w:rPr>
                <w:sz w:val="23"/>
                <w:szCs w:val="23"/>
              </w:rPr>
              <w:t>Activity</w:t>
            </w:r>
          </w:p>
        </w:tc>
      </w:tr>
      <w:tr w:rsidR="00C34A26" w:rsidRPr="00DE7198" w:rsidTr="002D4410">
        <w:tc>
          <w:tcPr>
            <w:cnfStyle w:val="001000000000" w:firstRow="0" w:lastRow="0" w:firstColumn="1" w:lastColumn="0" w:oddVBand="0" w:evenVBand="0" w:oddHBand="0" w:evenHBand="0" w:firstRowFirstColumn="0" w:firstRowLastColumn="0" w:lastRowFirstColumn="0" w:lastRowLastColumn="0"/>
            <w:tcW w:w="1883" w:type="dxa"/>
            <w:shd w:val="clear" w:color="auto" w:fill="auto"/>
            <w:hideMark/>
          </w:tcPr>
          <w:p w:rsidR="00C34A26" w:rsidRPr="00DE7198" w:rsidRDefault="00C34A26" w:rsidP="005C53EA">
            <w:pPr>
              <w:spacing w:after="60"/>
              <w:jc w:val="left"/>
              <w:rPr>
                <w:sz w:val="23"/>
                <w:szCs w:val="23"/>
              </w:rPr>
            </w:pPr>
            <w:r w:rsidRPr="00DE7198">
              <w:rPr>
                <w:sz w:val="23"/>
                <w:szCs w:val="23"/>
              </w:rPr>
              <w:t>Months 1-2</w:t>
            </w:r>
          </w:p>
          <w:p w:rsidR="00C34A26" w:rsidRPr="00DE7198" w:rsidRDefault="00C34A26" w:rsidP="00CD14F4">
            <w:pPr>
              <w:jc w:val="left"/>
              <w:rPr>
                <w:sz w:val="23"/>
                <w:szCs w:val="23"/>
              </w:rPr>
            </w:pPr>
            <w:r w:rsidRPr="00DE7198">
              <w:rPr>
                <w:b w:val="0"/>
                <w:i/>
                <w:sz w:val="23"/>
                <w:szCs w:val="23"/>
              </w:rPr>
              <w:t>Option 1</w:t>
            </w:r>
          </w:p>
        </w:tc>
        <w:tc>
          <w:tcPr>
            <w:tcW w:w="7331" w:type="dxa"/>
            <w:shd w:val="clear" w:color="auto" w:fill="auto"/>
          </w:tcPr>
          <w:p w:rsidR="00980F62" w:rsidRDefault="00C34A26" w:rsidP="00CD14F4">
            <w:pPr>
              <w:spacing w:after="0"/>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b/>
                <w:sz w:val="23"/>
                <w:szCs w:val="23"/>
              </w:rPr>
              <w:t xml:space="preserve">Production </w:t>
            </w:r>
            <w:r w:rsidRPr="00DE7198">
              <w:rPr>
                <w:sz w:val="23"/>
                <w:szCs w:val="23"/>
              </w:rPr>
              <w:t>Option 1</w:t>
            </w:r>
          </w:p>
          <w:p w:rsidR="00980F62" w:rsidRDefault="00C34A26" w:rsidP="00F02312">
            <w:pPr>
              <w:pStyle w:val="ListParagraph"/>
              <w:numPr>
                <w:ilvl w:val="0"/>
                <w:numId w:val="107"/>
              </w:numPr>
              <w:spacing w:after="60"/>
              <w:ind w:left="357" w:hanging="357"/>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On-line video training;</w:t>
            </w:r>
          </w:p>
          <w:p w:rsidR="00980F62" w:rsidRDefault="00C34A26" w:rsidP="00F02312">
            <w:pPr>
              <w:pStyle w:val="ListParagraph"/>
              <w:numPr>
                <w:ilvl w:val="0"/>
                <w:numId w:val="107"/>
              </w:numPr>
              <w:spacing w:after="60"/>
              <w:ind w:left="357" w:hanging="357"/>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Training presentation and materials to ACATs/ External Assessors;</w:t>
            </w:r>
          </w:p>
          <w:p w:rsidR="00980F62" w:rsidRDefault="00C34A26" w:rsidP="00F02312">
            <w:pPr>
              <w:pStyle w:val="ListParagraph"/>
              <w:numPr>
                <w:ilvl w:val="0"/>
                <w:numId w:val="107"/>
              </w:numPr>
              <w:spacing w:after="60"/>
              <w:ind w:left="357" w:hanging="357"/>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R-ACFI packs (paper or IT);</w:t>
            </w:r>
          </w:p>
          <w:p w:rsidR="00C34A26" w:rsidRPr="00DE7198" w:rsidRDefault="00C34A26" w:rsidP="00F02312">
            <w:pPr>
              <w:pStyle w:val="ListParagraph"/>
              <w:numPr>
                <w:ilvl w:val="0"/>
                <w:numId w:val="107"/>
              </w:numPr>
              <w:spacing w:after="60"/>
              <w:ind w:left="357" w:hanging="357"/>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Feedback (IT survey).</w:t>
            </w:r>
          </w:p>
          <w:p w:rsidR="00C34A26" w:rsidRPr="00DE7198" w:rsidRDefault="00C34A26" w:rsidP="00CD14F4">
            <w:pPr>
              <w:spacing w:after="0"/>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b/>
                <w:sz w:val="23"/>
                <w:szCs w:val="23"/>
              </w:rPr>
              <w:t xml:space="preserve">Planning </w:t>
            </w:r>
            <w:r w:rsidRPr="00DE7198">
              <w:rPr>
                <w:sz w:val="23"/>
                <w:szCs w:val="23"/>
              </w:rPr>
              <w:t>Option 1</w:t>
            </w:r>
          </w:p>
          <w:p w:rsidR="00C34A26" w:rsidRPr="00DE7198" w:rsidRDefault="00C34A26" w:rsidP="00F02312">
            <w:pPr>
              <w:pStyle w:val="ListParagraph"/>
              <w:numPr>
                <w:ilvl w:val="0"/>
                <w:numId w:val="133"/>
              </w:numPr>
              <w:spacing w:after="60"/>
              <w:ind w:left="357" w:hanging="357"/>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Face to face training - sites, requirements, invitations</w:t>
            </w:r>
          </w:p>
          <w:p w:rsidR="00C34A26" w:rsidRPr="00DE7198" w:rsidRDefault="00C34A26" w:rsidP="00F02312">
            <w:pPr>
              <w:pStyle w:val="ListParagraph"/>
              <w:numPr>
                <w:ilvl w:val="0"/>
                <w:numId w:val="133"/>
              </w:numPr>
              <w:spacing w:after="60"/>
              <w:ind w:left="357" w:hanging="357"/>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Focus groups -- sites, requirements, invitations</w:t>
            </w:r>
          </w:p>
          <w:p w:rsidR="00C34A26" w:rsidRPr="00DE7198" w:rsidRDefault="00C34A26" w:rsidP="00F02312">
            <w:pPr>
              <w:pStyle w:val="ListParagraph"/>
              <w:numPr>
                <w:ilvl w:val="0"/>
                <w:numId w:val="133"/>
              </w:numPr>
              <w:spacing w:after="60"/>
              <w:ind w:left="357" w:hanging="357"/>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Hosting of video training on-line, feedback survey</w:t>
            </w:r>
          </w:p>
        </w:tc>
      </w:tr>
      <w:tr w:rsidR="00C34A26" w:rsidRPr="00DE7198" w:rsidTr="002D4410">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C34A26" w:rsidRPr="00DE7198" w:rsidRDefault="00C34A26" w:rsidP="005C53EA">
            <w:pPr>
              <w:spacing w:after="60"/>
              <w:jc w:val="left"/>
              <w:rPr>
                <w:sz w:val="23"/>
                <w:szCs w:val="23"/>
              </w:rPr>
            </w:pPr>
            <w:r w:rsidRPr="00DE7198">
              <w:rPr>
                <w:sz w:val="23"/>
                <w:szCs w:val="23"/>
              </w:rPr>
              <w:t>Months 1-2</w:t>
            </w:r>
          </w:p>
          <w:p w:rsidR="00C34A26" w:rsidRPr="00DE7198" w:rsidRDefault="00C34A26" w:rsidP="00CD14F4">
            <w:pPr>
              <w:spacing w:after="0"/>
              <w:jc w:val="left"/>
              <w:rPr>
                <w:sz w:val="23"/>
                <w:szCs w:val="23"/>
              </w:rPr>
            </w:pPr>
            <w:r w:rsidRPr="00DE7198">
              <w:rPr>
                <w:b w:val="0"/>
                <w:i/>
                <w:sz w:val="23"/>
                <w:szCs w:val="23"/>
              </w:rPr>
              <w:t xml:space="preserve">Option 2 </w:t>
            </w:r>
          </w:p>
        </w:tc>
        <w:tc>
          <w:tcPr>
            <w:tcW w:w="7331" w:type="dxa"/>
            <w:shd w:val="clear" w:color="auto" w:fill="auto"/>
          </w:tcPr>
          <w:p w:rsidR="00980F62" w:rsidRDefault="00C34A26" w:rsidP="00CD14F4">
            <w:pPr>
              <w:spacing w:after="0"/>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b/>
                <w:sz w:val="23"/>
                <w:szCs w:val="23"/>
              </w:rPr>
              <w:t xml:space="preserve">Production </w:t>
            </w:r>
            <w:r w:rsidRPr="00DE7198">
              <w:rPr>
                <w:sz w:val="23"/>
                <w:szCs w:val="23"/>
              </w:rPr>
              <w:t>Option 2</w:t>
            </w:r>
          </w:p>
          <w:p w:rsidR="00980F62" w:rsidRDefault="00C34A26" w:rsidP="00F02312">
            <w:pPr>
              <w:pStyle w:val="ListParagraph"/>
              <w:numPr>
                <w:ilvl w:val="0"/>
                <w:numId w:val="107"/>
              </w:numPr>
              <w:spacing w:after="60"/>
              <w:ind w:left="357" w:hanging="357"/>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On-line video training;</w:t>
            </w:r>
          </w:p>
          <w:p w:rsidR="00980F62" w:rsidRDefault="00C34A26" w:rsidP="00F02312">
            <w:pPr>
              <w:pStyle w:val="ListParagraph"/>
              <w:numPr>
                <w:ilvl w:val="0"/>
                <w:numId w:val="107"/>
              </w:numPr>
              <w:spacing w:after="60"/>
              <w:ind w:left="357" w:hanging="357"/>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R-ACFI packs (paper or IT);</w:t>
            </w:r>
          </w:p>
          <w:p w:rsidR="00C34A26" w:rsidRPr="00DE7198" w:rsidRDefault="00C34A26" w:rsidP="00F02312">
            <w:pPr>
              <w:pStyle w:val="ListParagraph"/>
              <w:numPr>
                <w:ilvl w:val="0"/>
                <w:numId w:val="107"/>
              </w:numPr>
              <w:spacing w:after="60"/>
              <w:ind w:left="357" w:hanging="357"/>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Feedback (IT survey).</w:t>
            </w:r>
          </w:p>
          <w:p w:rsidR="00C34A26" w:rsidRPr="00DE7198" w:rsidRDefault="00C34A26" w:rsidP="00CD14F4">
            <w:pPr>
              <w:spacing w:after="0"/>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b/>
                <w:sz w:val="23"/>
                <w:szCs w:val="23"/>
              </w:rPr>
              <w:t xml:space="preserve">Planning </w:t>
            </w:r>
            <w:r w:rsidRPr="00DE7198">
              <w:rPr>
                <w:sz w:val="23"/>
                <w:szCs w:val="23"/>
              </w:rPr>
              <w:t>Option 2</w:t>
            </w:r>
          </w:p>
          <w:p w:rsidR="00C34A26" w:rsidRPr="00DE7198" w:rsidRDefault="00C34A26" w:rsidP="00F02312">
            <w:pPr>
              <w:pStyle w:val="ListParagraph"/>
              <w:numPr>
                <w:ilvl w:val="0"/>
                <w:numId w:val="134"/>
              </w:numPr>
              <w:spacing w:after="60"/>
              <w:ind w:left="357" w:hanging="357"/>
              <w:jc w:val="left"/>
              <w:cnfStyle w:val="000000000000" w:firstRow="0" w:lastRow="0" w:firstColumn="0" w:lastColumn="0" w:oddVBand="0" w:evenVBand="0" w:oddHBand="0" w:evenHBand="0" w:firstRowFirstColumn="0" w:firstRowLastColumn="0" w:lastRowFirstColumn="0" w:lastRowLastColumn="0"/>
              <w:rPr>
                <w:b/>
                <w:sz w:val="23"/>
                <w:szCs w:val="23"/>
              </w:rPr>
            </w:pPr>
            <w:r w:rsidRPr="00DE7198">
              <w:rPr>
                <w:sz w:val="23"/>
                <w:szCs w:val="23"/>
              </w:rPr>
              <w:t>Hosting of video training on-line, feedback survey</w:t>
            </w:r>
          </w:p>
        </w:tc>
      </w:tr>
      <w:tr w:rsidR="00C34A26" w:rsidRPr="00DE7198" w:rsidTr="002D4410">
        <w:tc>
          <w:tcPr>
            <w:cnfStyle w:val="001000000000" w:firstRow="0" w:lastRow="0" w:firstColumn="1" w:lastColumn="0" w:oddVBand="0" w:evenVBand="0" w:oddHBand="0" w:evenHBand="0" w:firstRowFirstColumn="0" w:firstRowLastColumn="0" w:lastRowFirstColumn="0" w:lastRowLastColumn="0"/>
            <w:tcW w:w="1883" w:type="dxa"/>
            <w:shd w:val="clear" w:color="auto" w:fill="auto"/>
            <w:hideMark/>
          </w:tcPr>
          <w:p w:rsidR="00980F62" w:rsidRDefault="00C34A26" w:rsidP="005C53EA">
            <w:pPr>
              <w:spacing w:after="60"/>
              <w:jc w:val="left"/>
              <w:rPr>
                <w:sz w:val="23"/>
                <w:szCs w:val="23"/>
              </w:rPr>
            </w:pPr>
            <w:r w:rsidRPr="00DE7198">
              <w:rPr>
                <w:sz w:val="23"/>
                <w:szCs w:val="23"/>
              </w:rPr>
              <w:t>Month 3</w:t>
            </w:r>
          </w:p>
          <w:p w:rsidR="00C34A26" w:rsidRPr="00DE7198" w:rsidRDefault="00C34A26" w:rsidP="00CD14F4">
            <w:pPr>
              <w:jc w:val="left"/>
              <w:rPr>
                <w:b w:val="0"/>
                <w:i/>
                <w:sz w:val="23"/>
                <w:szCs w:val="23"/>
              </w:rPr>
            </w:pPr>
            <w:r w:rsidRPr="00DE7198">
              <w:rPr>
                <w:b w:val="0"/>
                <w:i/>
                <w:sz w:val="23"/>
                <w:szCs w:val="23"/>
              </w:rPr>
              <w:t>Option 1</w:t>
            </w:r>
          </w:p>
        </w:tc>
        <w:tc>
          <w:tcPr>
            <w:tcW w:w="7331" w:type="dxa"/>
            <w:shd w:val="clear" w:color="auto" w:fill="auto"/>
            <w:hideMark/>
          </w:tcPr>
          <w:p w:rsidR="00C34A26" w:rsidRPr="00DE7198" w:rsidRDefault="00C34A26" w:rsidP="00CD14F4">
            <w:pPr>
              <w:spacing w:after="0"/>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b/>
                <w:sz w:val="23"/>
                <w:szCs w:val="23"/>
              </w:rPr>
              <w:t xml:space="preserve">Training </w:t>
            </w:r>
            <w:r w:rsidRPr="00DE7198">
              <w:rPr>
                <w:sz w:val="23"/>
                <w:szCs w:val="23"/>
              </w:rPr>
              <w:t>Option 1</w:t>
            </w:r>
          </w:p>
          <w:p w:rsidR="00C34A26" w:rsidRPr="00DE7198" w:rsidRDefault="00C34A26" w:rsidP="00CD14F4">
            <w:pPr>
              <w:spacing w:after="0"/>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Face to face training for ACATS and External Assessors - this will cover the audit/review process and requirements.</w:t>
            </w:r>
          </w:p>
          <w:p w:rsidR="00C34A26" w:rsidRPr="00DE7198" w:rsidRDefault="00C34A26" w:rsidP="00CD14F4">
            <w:pPr>
              <w:spacing w:after="60"/>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Video training on-line for all participants - this will cover the R-ACFI process (assessments and checklists).</w:t>
            </w:r>
          </w:p>
        </w:tc>
      </w:tr>
      <w:tr w:rsidR="00C34A26" w:rsidRPr="00DE7198" w:rsidTr="00F548E3">
        <w:tc>
          <w:tcPr>
            <w:cnfStyle w:val="001000000000" w:firstRow="0" w:lastRow="0" w:firstColumn="1" w:lastColumn="0" w:oddVBand="0" w:evenVBand="0" w:oddHBand="0" w:evenHBand="0" w:firstRowFirstColumn="0" w:firstRowLastColumn="0" w:lastRowFirstColumn="0" w:lastRowLastColumn="0"/>
            <w:tcW w:w="1883" w:type="dxa"/>
          </w:tcPr>
          <w:p w:rsidR="00C34A26" w:rsidRPr="00DE7198" w:rsidRDefault="00C34A26" w:rsidP="005C53EA">
            <w:pPr>
              <w:spacing w:after="60"/>
              <w:jc w:val="left"/>
              <w:rPr>
                <w:sz w:val="23"/>
                <w:szCs w:val="23"/>
              </w:rPr>
            </w:pPr>
            <w:r w:rsidRPr="00DE7198">
              <w:rPr>
                <w:sz w:val="23"/>
                <w:szCs w:val="23"/>
              </w:rPr>
              <w:t>Month 3</w:t>
            </w:r>
          </w:p>
          <w:p w:rsidR="00C34A26" w:rsidRPr="00DE7198" w:rsidRDefault="00C34A26" w:rsidP="00CD14F4">
            <w:pPr>
              <w:jc w:val="left"/>
              <w:rPr>
                <w:sz w:val="23"/>
                <w:szCs w:val="23"/>
              </w:rPr>
            </w:pPr>
            <w:r w:rsidRPr="00DE7198">
              <w:rPr>
                <w:b w:val="0"/>
                <w:i/>
                <w:sz w:val="23"/>
                <w:szCs w:val="23"/>
              </w:rPr>
              <w:t>Option 2</w:t>
            </w:r>
            <w:r w:rsidRPr="00DE7198">
              <w:rPr>
                <w:sz w:val="23"/>
                <w:szCs w:val="23"/>
              </w:rPr>
              <w:t xml:space="preserve"> </w:t>
            </w:r>
          </w:p>
        </w:tc>
        <w:tc>
          <w:tcPr>
            <w:tcW w:w="7331" w:type="dxa"/>
          </w:tcPr>
          <w:p w:rsidR="00C34A26" w:rsidRPr="00DE7198" w:rsidRDefault="00C34A26" w:rsidP="00CD14F4">
            <w:pPr>
              <w:spacing w:after="0"/>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b/>
                <w:sz w:val="23"/>
                <w:szCs w:val="23"/>
              </w:rPr>
              <w:t xml:space="preserve">Training </w:t>
            </w:r>
            <w:r w:rsidRPr="00DE7198">
              <w:rPr>
                <w:sz w:val="23"/>
                <w:szCs w:val="23"/>
              </w:rPr>
              <w:t>Option 2</w:t>
            </w:r>
          </w:p>
          <w:p w:rsidR="00C34A26" w:rsidRPr="00DE7198" w:rsidRDefault="00C34A26" w:rsidP="00CD14F4">
            <w:pPr>
              <w:spacing w:after="60"/>
              <w:jc w:val="left"/>
              <w:cnfStyle w:val="000000000000" w:firstRow="0" w:lastRow="0" w:firstColumn="0" w:lastColumn="0" w:oddVBand="0" w:evenVBand="0" w:oddHBand="0" w:evenHBand="0" w:firstRowFirstColumn="0" w:firstRowLastColumn="0" w:lastRowFirstColumn="0" w:lastRowLastColumn="0"/>
              <w:rPr>
                <w:b/>
                <w:sz w:val="23"/>
                <w:szCs w:val="23"/>
              </w:rPr>
            </w:pPr>
            <w:r w:rsidRPr="00DE7198">
              <w:rPr>
                <w:sz w:val="23"/>
                <w:szCs w:val="23"/>
              </w:rPr>
              <w:t>Video training on-line for all participants - this will cover the R-ACFI process (assessments and checklists).</w:t>
            </w:r>
          </w:p>
        </w:tc>
      </w:tr>
      <w:tr w:rsidR="00C34A26" w:rsidRPr="003837B9" w:rsidTr="00F548E3">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5B9BD5" w:themeFill="accent5"/>
            <w:hideMark/>
          </w:tcPr>
          <w:p w:rsidR="00C34A26" w:rsidRPr="003837B9" w:rsidRDefault="00C34A26" w:rsidP="00E240B7">
            <w:pPr>
              <w:spacing w:before="40" w:after="40"/>
              <w:jc w:val="left"/>
              <w:rPr>
                <w:color w:val="FFFFFF" w:themeColor="background1"/>
                <w:sz w:val="23"/>
                <w:szCs w:val="23"/>
              </w:rPr>
            </w:pPr>
            <w:r w:rsidRPr="003837B9">
              <w:rPr>
                <w:color w:val="FFFFFF" w:themeColor="background1"/>
                <w:sz w:val="23"/>
                <w:szCs w:val="23"/>
              </w:rPr>
              <w:t>Phase 2: Data Collection Phase</w:t>
            </w:r>
          </w:p>
        </w:tc>
      </w:tr>
      <w:tr w:rsidR="00CD14F4" w:rsidRPr="00DE7198" w:rsidTr="002D4410">
        <w:trPr>
          <w:tblHeader/>
        </w:trPr>
        <w:tc>
          <w:tcPr>
            <w:cnfStyle w:val="001000000000" w:firstRow="0" w:lastRow="0" w:firstColumn="1" w:lastColumn="0" w:oddVBand="0" w:evenVBand="0" w:oddHBand="0" w:evenHBand="0" w:firstRowFirstColumn="0" w:firstRowLastColumn="0" w:lastRowFirstColumn="0" w:lastRowLastColumn="0"/>
            <w:tcW w:w="1883" w:type="dxa"/>
            <w:shd w:val="clear" w:color="auto" w:fill="DEEAF6" w:themeFill="accent5" w:themeFillTint="33"/>
            <w:hideMark/>
          </w:tcPr>
          <w:p w:rsidR="00CD14F4" w:rsidRPr="00DE7198" w:rsidRDefault="00CD14F4" w:rsidP="00CD14F4">
            <w:pPr>
              <w:spacing w:after="0"/>
              <w:jc w:val="left"/>
              <w:rPr>
                <w:sz w:val="23"/>
                <w:szCs w:val="23"/>
              </w:rPr>
            </w:pPr>
            <w:r w:rsidRPr="00DE7198">
              <w:rPr>
                <w:sz w:val="23"/>
                <w:szCs w:val="23"/>
              </w:rPr>
              <w:t>Time</w:t>
            </w:r>
          </w:p>
        </w:tc>
        <w:tc>
          <w:tcPr>
            <w:tcW w:w="7331" w:type="dxa"/>
            <w:shd w:val="clear" w:color="auto" w:fill="DEEAF6" w:themeFill="accent5" w:themeFillTint="33"/>
            <w:hideMark/>
          </w:tcPr>
          <w:p w:rsidR="00CD14F4" w:rsidRPr="00DE7198" w:rsidRDefault="00CD14F4" w:rsidP="00CD14F4">
            <w:pPr>
              <w:spacing w:after="0"/>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Activity</w:t>
            </w:r>
          </w:p>
        </w:tc>
      </w:tr>
      <w:tr w:rsidR="00C34A26" w:rsidRPr="00DE7198" w:rsidTr="002D4410">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C34A26" w:rsidRPr="00DE7198" w:rsidRDefault="00C34A26" w:rsidP="005C53EA">
            <w:pPr>
              <w:spacing w:after="60"/>
              <w:jc w:val="left"/>
              <w:rPr>
                <w:sz w:val="23"/>
                <w:szCs w:val="23"/>
              </w:rPr>
            </w:pPr>
            <w:r w:rsidRPr="00DE7198">
              <w:rPr>
                <w:sz w:val="23"/>
                <w:szCs w:val="23"/>
              </w:rPr>
              <w:t>Months 4-7</w:t>
            </w:r>
          </w:p>
          <w:p w:rsidR="00C34A26" w:rsidRPr="00DE7198" w:rsidRDefault="00C34A26" w:rsidP="00CD14F4">
            <w:pPr>
              <w:spacing w:after="0"/>
              <w:jc w:val="left"/>
              <w:rPr>
                <w:b w:val="0"/>
                <w:i/>
                <w:sz w:val="23"/>
                <w:szCs w:val="23"/>
              </w:rPr>
            </w:pPr>
            <w:r w:rsidRPr="00DE7198">
              <w:rPr>
                <w:b w:val="0"/>
                <w:i/>
                <w:sz w:val="23"/>
                <w:szCs w:val="23"/>
              </w:rPr>
              <w:t>Option 1</w:t>
            </w:r>
          </w:p>
        </w:tc>
        <w:tc>
          <w:tcPr>
            <w:tcW w:w="7331" w:type="dxa"/>
            <w:shd w:val="clear" w:color="auto" w:fill="auto"/>
            <w:hideMark/>
          </w:tcPr>
          <w:p w:rsidR="00C34A26" w:rsidRPr="00DE7198" w:rsidRDefault="00C34A26" w:rsidP="00CD14F4">
            <w:pPr>
              <w:spacing w:after="0"/>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b/>
                <w:sz w:val="23"/>
                <w:szCs w:val="23"/>
              </w:rPr>
              <w:t xml:space="preserve">Data Collection </w:t>
            </w:r>
            <w:r w:rsidRPr="00DE7198">
              <w:rPr>
                <w:sz w:val="23"/>
                <w:szCs w:val="23"/>
              </w:rPr>
              <w:t>Option 1- ACATs, RACFs, External Assessors</w:t>
            </w:r>
          </w:p>
        </w:tc>
      </w:tr>
      <w:tr w:rsidR="00C34A26" w:rsidRPr="00DE7198" w:rsidTr="00F548E3">
        <w:tc>
          <w:tcPr>
            <w:cnfStyle w:val="001000000000" w:firstRow="0" w:lastRow="0" w:firstColumn="1" w:lastColumn="0" w:oddVBand="0" w:evenVBand="0" w:oddHBand="0" w:evenHBand="0" w:firstRowFirstColumn="0" w:firstRowLastColumn="0" w:lastRowFirstColumn="0" w:lastRowLastColumn="0"/>
            <w:tcW w:w="1883" w:type="dxa"/>
          </w:tcPr>
          <w:p w:rsidR="00C34A26" w:rsidRPr="00DE7198" w:rsidRDefault="00C34A26" w:rsidP="005C53EA">
            <w:pPr>
              <w:spacing w:after="60"/>
              <w:jc w:val="left"/>
              <w:rPr>
                <w:sz w:val="23"/>
                <w:szCs w:val="23"/>
              </w:rPr>
            </w:pPr>
            <w:r w:rsidRPr="00DE7198">
              <w:rPr>
                <w:sz w:val="23"/>
                <w:szCs w:val="23"/>
              </w:rPr>
              <w:t>Months 4-7</w:t>
            </w:r>
          </w:p>
          <w:p w:rsidR="00C34A26" w:rsidRPr="00DE7198" w:rsidRDefault="00C34A26" w:rsidP="00CD14F4">
            <w:pPr>
              <w:spacing w:after="0"/>
              <w:jc w:val="left"/>
              <w:rPr>
                <w:sz w:val="23"/>
                <w:szCs w:val="23"/>
              </w:rPr>
            </w:pPr>
            <w:r w:rsidRPr="00DE7198">
              <w:rPr>
                <w:b w:val="0"/>
                <w:i/>
                <w:sz w:val="23"/>
                <w:szCs w:val="23"/>
              </w:rPr>
              <w:t>Option 2</w:t>
            </w:r>
          </w:p>
        </w:tc>
        <w:tc>
          <w:tcPr>
            <w:tcW w:w="7331" w:type="dxa"/>
          </w:tcPr>
          <w:p w:rsidR="00C34A26" w:rsidRPr="00DE7198" w:rsidRDefault="00C34A26" w:rsidP="00CD14F4">
            <w:pPr>
              <w:spacing w:after="0"/>
              <w:jc w:val="left"/>
              <w:cnfStyle w:val="000000000000" w:firstRow="0" w:lastRow="0" w:firstColumn="0" w:lastColumn="0" w:oddVBand="0" w:evenVBand="0" w:oddHBand="0" w:evenHBand="0" w:firstRowFirstColumn="0" w:firstRowLastColumn="0" w:lastRowFirstColumn="0" w:lastRowLastColumn="0"/>
              <w:rPr>
                <w:b/>
                <w:sz w:val="23"/>
                <w:szCs w:val="23"/>
              </w:rPr>
            </w:pPr>
            <w:r w:rsidRPr="00DE7198">
              <w:rPr>
                <w:b/>
                <w:sz w:val="23"/>
                <w:szCs w:val="23"/>
              </w:rPr>
              <w:t xml:space="preserve">Data Collection </w:t>
            </w:r>
            <w:r w:rsidRPr="00DE7198">
              <w:rPr>
                <w:sz w:val="23"/>
                <w:szCs w:val="23"/>
              </w:rPr>
              <w:t>Option 2- RACFs</w:t>
            </w:r>
          </w:p>
        </w:tc>
      </w:tr>
      <w:tr w:rsidR="00C34A26" w:rsidRPr="003837B9" w:rsidTr="00F548E3">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5B9BD5" w:themeFill="accent5"/>
            <w:hideMark/>
          </w:tcPr>
          <w:p w:rsidR="00C34A26" w:rsidRPr="003837B9" w:rsidRDefault="00C34A26" w:rsidP="00E240B7">
            <w:pPr>
              <w:spacing w:before="40" w:after="40"/>
              <w:jc w:val="left"/>
              <w:rPr>
                <w:color w:val="FFFFFF" w:themeColor="background1"/>
                <w:sz w:val="23"/>
                <w:szCs w:val="23"/>
              </w:rPr>
            </w:pPr>
            <w:r w:rsidRPr="003837B9">
              <w:rPr>
                <w:color w:val="FFFFFF" w:themeColor="background1"/>
                <w:sz w:val="23"/>
                <w:szCs w:val="23"/>
              </w:rPr>
              <w:t>Phase 3: Feedback &amp; Analysis Phase</w:t>
            </w:r>
          </w:p>
        </w:tc>
      </w:tr>
      <w:tr w:rsidR="00CD14F4" w:rsidRPr="00DE7198" w:rsidTr="002D4410">
        <w:trPr>
          <w:tblHeader/>
        </w:trPr>
        <w:tc>
          <w:tcPr>
            <w:cnfStyle w:val="001000000000" w:firstRow="0" w:lastRow="0" w:firstColumn="1" w:lastColumn="0" w:oddVBand="0" w:evenVBand="0" w:oddHBand="0" w:evenHBand="0" w:firstRowFirstColumn="0" w:firstRowLastColumn="0" w:lastRowFirstColumn="0" w:lastRowLastColumn="0"/>
            <w:tcW w:w="1883" w:type="dxa"/>
            <w:shd w:val="clear" w:color="auto" w:fill="DEEAF6" w:themeFill="accent5" w:themeFillTint="33"/>
            <w:hideMark/>
          </w:tcPr>
          <w:p w:rsidR="00CD14F4" w:rsidRPr="00DE7198" w:rsidRDefault="00CD14F4" w:rsidP="00CD14F4">
            <w:pPr>
              <w:spacing w:after="0"/>
              <w:jc w:val="left"/>
              <w:rPr>
                <w:sz w:val="23"/>
                <w:szCs w:val="23"/>
              </w:rPr>
            </w:pPr>
            <w:r w:rsidRPr="00DE7198">
              <w:rPr>
                <w:sz w:val="23"/>
                <w:szCs w:val="23"/>
              </w:rPr>
              <w:t>Time</w:t>
            </w:r>
          </w:p>
        </w:tc>
        <w:tc>
          <w:tcPr>
            <w:tcW w:w="7331" w:type="dxa"/>
            <w:shd w:val="clear" w:color="auto" w:fill="DEEAF6" w:themeFill="accent5" w:themeFillTint="33"/>
            <w:hideMark/>
          </w:tcPr>
          <w:p w:rsidR="00CD14F4" w:rsidRPr="00DE7198" w:rsidRDefault="00CD14F4" w:rsidP="00CD14F4">
            <w:pPr>
              <w:spacing w:after="0"/>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Activity</w:t>
            </w:r>
          </w:p>
        </w:tc>
      </w:tr>
      <w:tr w:rsidR="00C34A26" w:rsidRPr="00DE7198" w:rsidTr="002D4410">
        <w:tc>
          <w:tcPr>
            <w:cnfStyle w:val="001000000000" w:firstRow="0" w:lastRow="0" w:firstColumn="1" w:lastColumn="0" w:oddVBand="0" w:evenVBand="0" w:oddHBand="0" w:evenHBand="0" w:firstRowFirstColumn="0" w:firstRowLastColumn="0" w:lastRowFirstColumn="0" w:lastRowLastColumn="0"/>
            <w:tcW w:w="1883" w:type="dxa"/>
            <w:shd w:val="clear" w:color="auto" w:fill="auto"/>
            <w:hideMark/>
          </w:tcPr>
          <w:p w:rsidR="00980F62" w:rsidRDefault="00C34A26" w:rsidP="005C53EA">
            <w:pPr>
              <w:spacing w:after="60"/>
              <w:jc w:val="left"/>
              <w:rPr>
                <w:sz w:val="23"/>
                <w:szCs w:val="23"/>
              </w:rPr>
            </w:pPr>
            <w:r w:rsidRPr="00DE7198">
              <w:rPr>
                <w:sz w:val="23"/>
                <w:szCs w:val="23"/>
              </w:rPr>
              <w:t>Month 6-9</w:t>
            </w:r>
          </w:p>
          <w:p w:rsidR="00C34A26" w:rsidRPr="00DE7198" w:rsidRDefault="00C34A26" w:rsidP="00CD14F4">
            <w:pPr>
              <w:jc w:val="left"/>
              <w:rPr>
                <w:b w:val="0"/>
                <w:i/>
                <w:sz w:val="23"/>
                <w:szCs w:val="23"/>
              </w:rPr>
            </w:pPr>
            <w:r w:rsidRPr="00DE7198">
              <w:rPr>
                <w:b w:val="0"/>
                <w:i/>
                <w:sz w:val="23"/>
                <w:szCs w:val="23"/>
              </w:rPr>
              <w:t>Option 1</w:t>
            </w:r>
          </w:p>
        </w:tc>
        <w:tc>
          <w:tcPr>
            <w:tcW w:w="7331" w:type="dxa"/>
            <w:shd w:val="clear" w:color="auto" w:fill="auto"/>
            <w:hideMark/>
          </w:tcPr>
          <w:p w:rsidR="00C34A26" w:rsidRPr="00DE7198" w:rsidRDefault="00C34A26" w:rsidP="00CD14F4">
            <w:pPr>
              <w:spacing w:after="0"/>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Option 1: Focus groups &amp; feedback survey</w:t>
            </w:r>
          </w:p>
          <w:p w:rsidR="00980F62" w:rsidRDefault="00C34A26" w:rsidP="00F02312">
            <w:pPr>
              <w:pStyle w:val="ListParagraph"/>
              <w:numPr>
                <w:ilvl w:val="0"/>
                <w:numId w:val="108"/>
              </w:numPr>
              <w:spacing w:after="60"/>
              <w:ind w:left="357" w:hanging="357"/>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Analysis of feedback</w:t>
            </w:r>
          </w:p>
          <w:p w:rsidR="00C34A26" w:rsidRPr="00DE7198" w:rsidRDefault="00C34A26" w:rsidP="00F02312">
            <w:pPr>
              <w:pStyle w:val="ListParagraph"/>
              <w:numPr>
                <w:ilvl w:val="0"/>
                <w:numId w:val="108"/>
              </w:numPr>
              <w:spacing w:after="60"/>
              <w:ind w:left="357" w:hanging="357"/>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R-ACFI data entry/cleaning</w:t>
            </w:r>
          </w:p>
          <w:p w:rsidR="00C34A26" w:rsidRPr="00DE7198" w:rsidRDefault="00C34A26" w:rsidP="00F02312">
            <w:pPr>
              <w:pStyle w:val="ListParagraph"/>
              <w:numPr>
                <w:ilvl w:val="0"/>
                <w:numId w:val="108"/>
              </w:numPr>
              <w:spacing w:after="60"/>
              <w:ind w:left="357" w:hanging="357"/>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Analysis of R-ACFI data</w:t>
            </w:r>
          </w:p>
          <w:p w:rsidR="00C34A26" w:rsidRPr="00DE7198" w:rsidRDefault="00C34A26" w:rsidP="00F02312">
            <w:pPr>
              <w:pStyle w:val="ListParagraph"/>
              <w:numPr>
                <w:ilvl w:val="0"/>
                <w:numId w:val="108"/>
              </w:numPr>
              <w:spacing w:after="60"/>
              <w:ind w:left="357" w:hanging="357"/>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Report writing</w:t>
            </w:r>
          </w:p>
        </w:tc>
      </w:tr>
      <w:tr w:rsidR="00C34A26" w:rsidRPr="00DE7198" w:rsidTr="00F548E3">
        <w:tc>
          <w:tcPr>
            <w:cnfStyle w:val="001000000000" w:firstRow="0" w:lastRow="0" w:firstColumn="1" w:lastColumn="0" w:oddVBand="0" w:evenVBand="0" w:oddHBand="0" w:evenHBand="0" w:firstRowFirstColumn="0" w:firstRowLastColumn="0" w:lastRowFirstColumn="0" w:lastRowLastColumn="0"/>
            <w:tcW w:w="1883" w:type="dxa"/>
          </w:tcPr>
          <w:p w:rsidR="00980F62" w:rsidRDefault="00C34A26" w:rsidP="00CD14F4">
            <w:pPr>
              <w:jc w:val="left"/>
              <w:rPr>
                <w:sz w:val="23"/>
                <w:szCs w:val="23"/>
              </w:rPr>
            </w:pPr>
            <w:r w:rsidRPr="00DE7198">
              <w:rPr>
                <w:sz w:val="23"/>
                <w:szCs w:val="23"/>
              </w:rPr>
              <w:t>Month 6-9</w:t>
            </w:r>
          </w:p>
          <w:p w:rsidR="00C34A26" w:rsidRPr="00DE7198" w:rsidRDefault="00C34A26" w:rsidP="00CD14F4">
            <w:pPr>
              <w:jc w:val="left"/>
              <w:rPr>
                <w:sz w:val="23"/>
                <w:szCs w:val="23"/>
              </w:rPr>
            </w:pPr>
            <w:r w:rsidRPr="00DE7198">
              <w:rPr>
                <w:b w:val="0"/>
                <w:i/>
                <w:sz w:val="23"/>
                <w:szCs w:val="23"/>
              </w:rPr>
              <w:t>Option 2</w:t>
            </w:r>
          </w:p>
        </w:tc>
        <w:tc>
          <w:tcPr>
            <w:tcW w:w="7331" w:type="dxa"/>
          </w:tcPr>
          <w:p w:rsidR="00C34A26" w:rsidRPr="00DE7198" w:rsidRDefault="00C34A26" w:rsidP="00CD14F4">
            <w:pPr>
              <w:spacing w:after="0"/>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Option 2: Feedback survey</w:t>
            </w:r>
          </w:p>
          <w:p w:rsidR="00980F62" w:rsidRDefault="00C34A26" w:rsidP="00F02312">
            <w:pPr>
              <w:pStyle w:val="ListParagraph"/>
              <w:numPr>
                <w:ilvl w:val="0"/>
                <w:numId w:val="108"/>
              </w:numPr>
              <w:spacing w:after="60"/>
              <w:ind w:left="357" w:hanging="357"/>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Analysis of feedback</w:t>
            </w:r>
          </w:p>
          <w:p w:rsidR="00C34A26" w:rsidRPr="00DE7198" w:rsidRDefault="00C34A26" w:rsidP="00F02312">
            <w:pPr>
              <w:pStyle w:val="ListParagraph"/>
              <w:numPr>
                <w:ilvl w:val="0"/>
                <w:numId w:val="108"/>
              </w:numPr>
              <w:spacing w:after="60"/>
              <w:ind w:left="357" w:hanging="357"/>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R-ACFI data entry/cleaning</w:t>
            </w:r>
          </w:p>
          <w:p w:rsidR="00C34A26" w:rsidRPr="00DE7198" w:rsidRDefault="00C34A26" w:rsidP="00F02312">
            <w:pPr>
              <w:pStyle w:val="ListParagraph"/>
              <w:numPr>
                <w:ilvl w:val="0"/>
                <w:numId w:val="108"/>
              </w:numPr>
              <w:spacing w:after="60"/>
              <w:ind w:left="357" w:hanging="357"/>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Analysis of R-ACFI data</w:t>
            </w:r>
          </w:p>
          <w:p w:rsidR="00C34A26" w:rsidRPr="00DE7198" w:rsidRDefault="00C34A26" w:rsidP="00F02312">
            <w:pPr>
              <w:pStyle w:val="ListParagraph"/>
              <w:numPr>
                <w:ilvl w:val="0"/>
                <w:numId w:val="108"/>
              </w:numPr>
              <w:spacing w:after="60"/>
              <w:ind w:left="357" w:hanging="357"/>
              <w:jc w:val="left"/>
              <w:cnfStyle w:val="000000000000" w:firstRow="0" w:lastRow="0" w:firstColumn="0" w:lastColumn="0" w:oddVBand="0" w:evenVBand="0" w:oddHBand="0" w:evenHBand="0" w:firstRowFirstColumn="0" w:firstRowLastColumn="0" w:lastRowFirstColumn="0" w:lastRowLastColumn="0"/>
              <w:rPr>
                <w:sz w:val="23"/>
                <w:szCs w:val="23"/>
              </w:rPr>
            </w:pPr>
            <w:r w:rsidRPr="00DE7198">
              <w:rPr>
                <w:sz w:val="23"/>
                <w:szCs w:val="23"/>
              </w:rPr>
              <w:t>Report writing</w:t>
            </w:r>
          </w:p>
        </w:tc>
      </w:tr>
    </w:tbl>
    <w:p w:rsidR="00C34A26" w:rsidRPr="00C34A26" w:rsidRDefault="00C34A26" w:rsidP="00C34A26"/>
    <w:p w:rsidR="00A040AE" w:rsidRDefault="00A040AE" w:rsidP="00BA236A">
      <w:pPr>
        <w:sectPr w:rsidR="00A040AE" w:rsidSect="00F6388E">
          <w:headerReference w:type="default" r:id="rId147"/>
          <w:footerReference w:type="default" r:id="rId148"/>
          <w:pgSz w:w="11906" w:h="16838"/>
          <w:pgMar w:top="1440" w:right="1440" w:bottom="1440" w:left="1440" w:header="708" w:footer="665" w:gutter="0"/>
          <w:cols w:space="708"/>
          <w:docGrid w:linePitch="360"/>
        </w:sectPr>
      </w:pPr>
    </w:p>
    <w:bookmarkEnd w:id="768"/>
    <w:p w:rsidR="00457B2C" w:rsidRDefault="00457B2C" w:rsidP="0031656D">
      <w:pPr>
        <w:pStyle w:val="Heading3-Chapter122"/>
      </w:pPr>
      <w:r>
        <w:lastRenderedPageBreak/>
        <w:t>R-ACFI Pilot Overview Chart</w:t>
      </w:r>
    </w:p>
    <w:p w:rsidR="00BA236A" w:rsidRDefault="00563222" w:rsidP="00457B2C">
      <w:pPr>
        <w:spacing w:after="0" w:line="240" w:lineRule="auto"/>
        <w:sectPr w:rsidR="00BA236A" w:rsidSect="00A51750">
          <w:headerReference w:type="default" r:id="rId149"/>
          <w:footerReference w:type="default" r:id="rId150"/>
          <w:pgSz w:w="16838" w:h="11906" w:orient="landscape"/>
          <w:pgMar w:top="1440" w:right="1440" w:bottom="1440" w:left="1440" w:header="708" w:footer="708" w:gutter="0"/>
          <w:cols w:space="708"/>
          <w:docGrid w:linePitch="360"/>
        </w:sectPr>
      </w:pPr>
      <w:r>
        <w:rPr>
          <w:noProof/>
          <w:sz w:val="16"/>
          <w:szCs w:val="16"/>
          <w:lang w:eastAsia="en-AU"/>
        </w:rPr>
        <w:drawing>
          <wp:inline distT="0" distB="0" distL="0" distR="0" wp14:anchorId="4672A37F" wp14:editId="36F711DC">
            <wp:extent cx="8848725" cy="5343525"/>
            <wp:effectExtent l="19050" t="19050" r="28575" b="28575"/>
            <wp:docPr id="579" name="Picture 579" descr="The 12.2.4: R-ACFI Pilot Overview Chart diagram is an illustration of the pilot overview for the revised aged care funding instrument (R-ACFI), as detailed in this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2 4  R-ACFI Pilot Overview Chart.jpg"/>
                    <pic:cNvPicPr/>
                  </pic:nvPicPr>
                  <pic:blipFill>
                    <a:blip r:embed="rId151">
                      <a:extLst>
                        <a:ext uri="{28A0092B-C50C-407E-A947-70E740481C1C}">
                          <a14:useLocalDpi xmlns:a14="http://schemas.microsoft.com/office/drawing/2010/main" val="0"/>
                        </a:ext>
                      </a:extLst>
                    </a:blip>
                    <a:stretch>
                      <a:fillRect/>
                    </a:stretch>
                  </pic:blipFill>
                  <pic:spPr>
                    <a:xfrm>
                      <a:off x="0" y="0"/>
                      <a:ext cx="8848725" cy="5343525"/>
                    </a:xfrm>
                    <a:prstGeom prst="rect">
                      <a:avLst/>
                    </a:prstGeom>
                    <a:ln>
                      <a:solidFill>
                        <a:schemeClr val="accent5"/>
                      </a:solidFill>
                    </a:ln>
                  </pic:spPr>
                </pic:pic>
              </a:graphicData>
            </a:graphic>
          </wp:inline>
        </w:drawing>
      </w:r>
    </w:p>
    <w:p w:rsidR="00571ADC" w:rsidRDefault="00571ADC" w:rsidP="0031656D">
      <w:pPr>
        <w:pStyle w:val="Heading3-Chapter122"/>
      </w:pPr>
      <w:r>
        <w:lastRenderedPageBreak/>
        <w:t>R-ACFI Pilot Data Collection Requirements</w:t>
      </w:r>
    </w:p>
    <w:tbl>
      <w:tblPr>
        <w:tblW w:w="14034"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he 12.2.5: R-ACFI Pilot Data Collection Requirements table details the data to be collected for the pilot of the revised aged care funding instrument (R-ACFI). This table is to be read left to right, top to bottom."/>
      </w:tblPr>
      <w:tblGrid>
        <w:gridCol w:w="6804"/>
        <w:gridCol w:w="1807"/>
        <w:gridCol w:w="1808"/>
        <w:gridCol w:w="1807"/>
        <w:gridCol w:w="1808"/>
      </w:tblGrid>
      <w:tr w:rsidR="00571ADC" w:rsidRPr="00EE0080" w:rsidTr="007A00DA">
        <w:tc>
          <w:tcPr>
            <w:tcW w:w="6804" w:type="dxa"/>
            <w:shd w:val="clear" w:color="auto" w:fill="5B9BD5" w:themeFill="accent5"/>
            <w:hideMark/>
          </w:tcPr>
          <w:p w:rsidR="00571ADC" w:rsidRPr="00EE0080" w:rsidRDefault="00571ADC" w:rsidP="007A00DA">
            <w:pPr>
              <w:spacing w:before="60" w:after="60"/>
              <w:rPr>
                <w:b/>
                <w:color w:val="FFFFFF" w:themeColor="background1"/>
                <w:sz w:val="21"/>
                <w:szCs w:val="21"/>
              </w:rPr>
            </w:pPr>
            <w:r w:rsidRPr="00EE0080">
              <w:rPr>
                <w:b/>
                <w:color w:val="FFFFFF" w:themeColor="background1"/>
                <w:sz w:val="21"/>
                <w:szCs w:val="21"/>
              </w:rPr>
              <w:t xml:space="preserve">R-ACFI Data </w:t>
            </w:r>
          </w:p>
        </w:tc>
        <w:tc>
          <w:tcPr>
            <w:tcW w:w="1807" w:type="dxa"/>
            <w:shd w:val="clear" w:color="auto" w:fill="5B9BD5" w:themeFill="accent5"/>
            <w:hideMark/>
          </w:tcPr>
          <w:p w:rsidR="00571ADC" w:rsidRPr="00EE0080" w:rsidRDefault="00571ADC" w:rsidP="0025410A">
            <w:pPr>
              <w:spacing w:before="60" w:after="60"/>
              <w:jc w:val="center"/>
              <w:rPr>
                <w:b/>
                <w:color w:val="FFFFFF" w:themeColor="background1"/>
                <w:sz w:val="21"/>
                <w:szCs w:val="21"/>
              </w:rPr>
            </w:pPr>
            <w:r w:rsidRPr="00EE0080">
              <w:rPr>
                <w:b/>
                <w:color w:val="FFFFFF" w:themeColor="background1"/>
                <w:sz w:val="21"/>
                <w:szCs w:val="21"/>
              </w:rPr>
              <w:t>Pre-entry</w:t>
            </w:r>
          </w:p>
        </w:tc>
        <w:tc>
          <w:tcPr>
            <w:tcW w:w="1808" w:type="dxa"/>
            <w:shd w:val="clear" w:color="auto" w:fill="5B9BD5" w:themeFill="accent5"/>
            <w:hideMark/>
          </w:tcPr>
          <w:p w:rsidR="00571ADC" w:rsidRPr="00EE0080" w:rsidRDefault="00571ADC" w:rsidP="00EE0080">
            <w:pPr>
              <w:spacing w:before="60" w:after="60"/>
              <w:jc w:val="center"/>
              <w:rPr>
                <w:b/>
                <w:color w:val="FFFFFF" w:themeColor="background1"/>
                <w:sz w:val="21"/>
                <w:szCs w:val="21"/>
              </w:rPr>
            </w:pPr>
            <w:r w:rsidRPr="00EE0080">
              <w:rPr>
                <w:b/>
                <w:color w:val="FFFFFF" w:themeColor="background1"/>
                <w:sz w:val="21"/>
                <w:szCs w:val="21"/>
              </w:rPr>
              <w:t xml:space="preserve">RACF </w:t>
            </w:r>
            <w:r w:rsidR="00EE0080" w:rsidRPr="00EE0080">
              <w:rPr>
                <w:b/>
                <w:color w:val="FFFFFF" w:themeColor="background1"/>
                <w:sz w:val="21"/>
                <w:szCs w:val="21"/>
              </w:rPr>
              <w:t>Assessment</w:t>
            </w:r>
          </w:p>
        </w:tc>
        <w:tc>
          <w:tcPr>
            <w:tcW w:w="1807" w:type="dxa"/>
            <w:shd w:val="clear" w:color="auto" w:fill="5B9BD5" w:themeFill="accent5"/>
            <w:hideMark/>
          </w:tcPr>
          <w:p w:rsidR="00571ADC" w:rsidRPr="00EE0080" w:rsidRDefault="00571ADC" w:rsidP="0025410A">
            <w:pPr>
              <w:spacing w:before="60" w:after="60"/>
              <w:jc w:val="center"/>
              <w:rPr>
                <w:b/>
                <w:color w:val="FFFFFF" w:themeColor="background1"/>
                <w:sz w:val="21"/>
                <w:szCs w:val="21"/>
              </w:rPr>
            </w:pPr>
            <w:r w:rsidRPr="00EE0080">
              <w:rPr>
                <w:b/>
                <w:color w:val="FFFFFF" w:themeColor="background1"/>
                <w:sz w:val="21"/>
                <w:szCs w:val="21"/>
              </w:rPr>
              <w:t>Post review</w:t>
            </w:r>
          </w:p>
        </w:tc>
        <w:tc>
          <w:tcPr>
            <w:tcW w:w="1808" w:type="dxa"/>
            <w:shd w:val="clear" w:color="auto" w:fill="5B9BD5" w:themeFill="accent5"/>
            <w:hideMark/>
          </w:tcPr>
          <w:p w:rsidR="00571ADC" w:rsidRPr="00EE0080" w:rsidRDefault="00571ADC" w:rsidP="0025410A">
            <w:pPr>
              <w:spacing w:before="60" w:after="60"/>
              <w:jc w:val="center"/>
              <w:rPr>
                <w:b/>
                <w:color w:val="FFFFFF" w:themeColor="background1"/>
                <w:sz w:val="21"/>
                <w:szCs w:val="21"/>
              </w:rPr>
            </w:pPr>
            <w:r w:rsidRPr="00EE0080">
              <w:rPr>
                <w:b/>
                <w:color w:val="FFFFFF" w:themeColor="background1"/>
                <w:sz w:val="21"/>
                <w:szCs w:val="21"/>
              </w:rPr>
              <w:t>Post audit</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Nutrition Assessment Summary (complete MNA short)</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Nutrition Checklist- Eating (Standard, Monitor, Moderate, Full)</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Mobility Assessment Summary (complete PMS &amp; FRAT)</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Mobility Checklist – Transfer (Standard, Some, Full, Mechanical/2-person)</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Mobility Checklist -Mobility (Standard, Some, Full, 2-person)</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Personal Hygiene Checklist -Dressing (Standard, Some, Full, 2-person)</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Personal Hygiene -Washing (Standard, Some, Full, 2-person)</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Toileting Checklist -Use of Toilet (Standard, Some, Full, 2-person)</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Toileting Checklist -Toilet Completion (Standard, Some, Full, 2-person)</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Continence Records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NA</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audit</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audit</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Continence Assessment Summary (collate diagnoses)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Diagnoses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Continence Checklist (frequency)</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Informant</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audit</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audit</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Cognitive Assessment Summary (complete SMMSE if appropriate)</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Cognitive Checklist: (None/minimal; Mild; Moderate; Severe)</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Behaviour Record x 3 (Wandering, Verbal, Physical)</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NA</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audit</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audit</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Behaviour Assessment Summary (Descriptions, frequency &amp; disruptiveness)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Informant</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audit</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audit</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Complex Health Care Procedures List</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r w:rsidR="00EE0080">
              <w:rPr>
                <w:rFonts w:cstheme="minorHAnsi"/>
                <w:sz w:val="20"/>
                <w:szCs w:val="20"/>
              </w:rPr>
              <w:t xml:space="preserve"> </w:t>
            </w:r>
            <w:r>
              <w:rPr>
                <w:rFonts w:cstheme="minorHAnsi"/>
                <w:sz w:val="20"/>
                <w:szCs w:val="20"/>
              </w:rPr>
              <w:t>/</w:t>
            </w:r>
            <w:r w:rsidR="00EE0080">
              <w:rPr>
                <w:rFonts w:cstheme="minorHAnsi"/>
                <w:sz w:val="20"/>
                <w:szCs w:val="20"/>
              </w:rPr>
              <w:t xml:space="preserve"> </w:t>
            </w:r>
            <w:r>
              <w:rPr>
                <w:rFonts w:cstheme="minorHAnsi"/>
                <w:sz w:val="20"/>
                <w:szCs w:val="20"/>
              </w:rPr>
              <w:t>No</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Agree</w:t>
            </w:r>
            <w:r w:rsidR="00EE0080">
              <w:rPr>
                <w:rFonts w:cstheme="minorHAnsi"/>
                <w:sz w:val="20"/>
                <w:szCs w:val="20"/>
              </w:rPr>
              <w:t xml:space="preserve"> </w:t>
            </w:r>
            <w:r>
              <w:rPr>
                <w:rFonts w:cstheme="minorHAnsi"/>
                <w:sz w:val="20"/>
                <w:szCs w:val="20"/>
              </w:rPr>
              <w:t>/</w:t>
            </w:r>
            <w:r w:rsidR="00EE0080">
              <w:rPr>
                <w:rFonts w:cstheme="minorHAnsi"/>
                <w:sz w:val="20"/>
                <w:szCs w:val="20"/>
              </w:rPr>
              <w:t xml:space="preserve"> </w:t>
            </w:r>
            <w:r>
              <w:rPr>
                <w:rFonts w:cstheme="minorHAnsi"/>
                <w:sz w:val="20"/>
                <w:szCs w:val="20"/>
              </w:rPr>
              <w:t>disagree</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Agree</w:t>
            </w:r>
            <w:r w:rsidR="00EE0080">
              <w:rPr>
                <w:rFonts w:cstheme="minorHAnsi"/>
                <w:sz w:val="20"/>
                <w:szCs w:val="20"/>
              </w:rPr>
              <w:t xml:space="preserve"> </w:t>
            </w:r>
            <w:r>
              <w:rPr>
                <w:rFonts w:cstheme="minorHAnsi"/>
                <w:sz w:val="20"/>
                <w:szCs w:val="20"/>
              </w:rPr>
              <w:t>/</w:t>
            </w:r>
            <w:r w:rsidR="00EE0080">
              <w:rPr>
                <w:rFonts w:cstheme="minorHAnsi"/>
                <w:sz w:val="20"/>
                <w:szCs w:val="20"/>
              </w:rPr>
              <w:t xml:space="preserve"> </w:t>
            </w:r>
            <w:r>
              <w:rPr>
                <w:rFonts w:cstheme="minorHAnsi"/>
                <w:sz w:val="20"/>
                <w:szCs w:val="20"/>
              </w:rPr>
              <w:t>disagree</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Complex Health Care Evidence Requirements - Diagnosis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audit</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audit</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Complex Health Care Evidence Requirements - Directives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NA</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audit</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audit</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Complex Health Care Evidence Requirements - Assessments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NA</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audit</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audit</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Complex Health Care Evidence Requirements - Records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NA</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audit</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audit</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Therapy Program Checklist</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r w:rsidR="00EE0080">
              <w:rPr>
                <w:rFonts w:cstheme="minorHAnsi"/>
                <w:sz w:val="20"/>
                <w:szCs w:val="20"/>
              </w:rPr>
              <w:t xml:space="preserve"> </w:t>
            </w:r>
            <w:r>
              <w:rPr>
                <w:rFonts w:cstheme="minorHAnsi"/>
                <w:sz w:val="20"/>
                <w:szCs w:val="20"/>
              </w:rPr>
              <w:t>/</w:t>
            </w:r>
            <w:r w:rsidR="00EE0080">
              <w:rPr>
                <w:rFonts w:cstheme="minorHAnsi"/>
                <w:sz w:val="20"/>
                <w:szCs w:val="20"/>
              </w:rPr>
              <w:t xml:space="preserve"> </w:t>
            </w:r>
            <w:r>
              <w:rPr>
                <w:rFonts w:cstheme="minorHAnsi"/>
                <w:sz w:val="20"/>
                <w:szCs w:val="20"/>
              </w:rPr>
              <w:t>No</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Agree</w:t>
            </w:r>
            <w:r w:rsidR="00EE0080">
              <w:rPr>
                <w:rFonts w:cstheme="minorHAnsi"/>
                <w:sz w:val="20"/>
                <w:szCs w:val="20"/>
              </w:rPr>
              <w:t xml:space="preserve"> </w:t>
            </w:r>
            <w:r>
              <w:rPr>
                <w:rFonts w:cstheme="minorHAnsi"/>
                <w:sz w:val="20"/>
                <w:szCs w:val="20"/>
              </w:rPr>
              <w:t>/</w:t>
            </w:r>
            <w:r w:rsidR="00EE0080">
              <w:rPr>
                <w:rFonts w:cstheme="minorHAnsi"/>
                <w:sz w:val="20"/>
                <w:szCs w:val="20"/>
              </w:rPr>
              <w:t xml:space="preserve"> </w:t>
            </w:r>
            <w:r>
              <w:rPr>
                <w:rFonts w:cstheme="minorHAnsi"/>
                <w:sz w:val="20"/>
                <w:szCs w:val="20"/>
              </w:rPr>
              <w:t>disagree</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Agree</w:t>
            </w:r>
            <w:r w:rsidR="00EE0080">
              <w:rPr>
                <w:rFonts w:cstheme="minorHAnsi"/>
                <w:sz w:val="20"/>
                <w:szCs w:val="20"/>
              </w:rPr>
              <w:t xml:space="preserve"> </w:t>
            </w:r>
            <w:r>
              <w:rPr>
                <w:rFonts w:cstheme="minorHAnsi"/>
                <w:sz w:val="20"/>
                <w:szCs w:val="20"/>
              </w:rPr>
              <w:t>/</w:t>
            </w:r>
            <w:r w:rsidR="00EE0080">
              <w:rPr>
                <w:rFonts w:cstheme="minorHAnsi"/>
                <w:sz w:val="20"/>
                <w:szCs w:val="20"/>
              </w:rPr>
              <w:t xml:space="preserve"> </w:t>
            </w:r>
            <w:r>
              <w:rPr>
                <w:rFonts w:cstheme="minorHAnsi"/>
                <w:sz w:val="20"/>
                <w:szCs w:val="20"/>
              </w:rPr>
              <w:t>disagree</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Therapy Program Functional assessment</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Therapy Program Pain assessment</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Therapy Program Care Plan</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NA</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audit</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audit</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Therapy Program Records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NA</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audit</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audit</w:t>
            </w:r>
          </w:p>
        </w:tc>
      </w:tr>
      <w:tr w:rsidR="00571ADC" w:rsidTr="007A00DA">
        <w:tc>
          <w:tcPr>
            <w:tcW w:w="6804" w:type="dxa"/>
            <w:hideMark/>
          </w:tcPr>
          <w:p w:rsidR="00571ADC" w:rsidRDefault="00571ADC" w:rsidP="00521CF4">
            <w:pPr>
              <w:spacing w:after="0"/>
              <w:rPr>
                <w:rFonts w:cstheme="minorHAnsi"/>
                <w:sz w:val="20"/>
                <w:szCs w:val="20"/>
              </w:rPr>
            </w:pPr>
            <w:r>
              <w:rPr>
                <w:rFonts w:cstheme="minorHAnsi"/>
                <w:sz w:val="20"/>
                <w:szCs w:val="20"/>
              </w:rPr>
              <w:t>Therapy Program Evaluation</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NA</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Yes</w:t>
            </w:r>
          </w:p>
        </w:tc>
        <w:tc>
          <w:tcPr>
            <w:tcW w:w="1807" w:type="dxa"/>
            <w:hideMark/>
          </w:tcPr>
          <w:p w:rsidR="00571ADC" w:rsidRDefault="00571ADC" w:rsidP="00521CF4">
            <w:pPr>
              <w:spacing w:after="0"/>
              <w:jc w:val="center"/>
              <w:rPr>
                <w:rFonts w:cstheme="minorHAnsi"/>
                <w:sz w:val="20"/>
                <w:szCs w:val="20"/>
              </w:rPr>
            </w:pPr>
            <w:r>
              <w:rPr>
                <w:rFonts w:cstheme="minorHAnsi"/>
                <w:sz w:val="20"/>
                <w:szCs w:val="20"/>
              </w:rPr>
              <w:t>audit</w:t>
            </w:r>
          </w:p>
        </w:tc>
        <w:tc>
          <w:tcPr>
            <w:tcW w:w="1808" w:type="dxa"/>
            <w:hideMark/>
          </w:tcPr>
          <w:p w:rsidR="00571ADC" w:rsidRDefault="00571ADC" w:rsidP="00521CF4">
            <w:pPr>
              <w:spacing w:after="0"/>
              <w:jc w:val="center"/>
              <w:rPr>
                <w:rFonts w:cstheme="minorHAnsi"/>
                <w:sz w:val="20"/>
                <w:szCs w:val="20"/>
              </w:rPr>
            </w:pPr>
            <w:r>
              <w:rPr>
                <w:rFonts w:cstheme="minorHAnsi"/>
                <w:sz w:val="20"/>
                <w:szCs w:val="20"/>
              </w:rPr>
              <w:t>audit</w:t>
            </w:r>
          </w:p>
        </w:tc>
      </w:tr>
    </w:tbl>
    <w:p w:rsidR="00571ADC" w:rsidRDefault="00571ADC" w:rsidP="0031656D">
      <w:pPr>
        <w:pStyle w:val="Heading3-Chapter122"/>
      </w:pPr>
      <w:r>
        <w:lastRenderedPageBreak/>
        <w:t>R-ACFI Pilot Checklist Example</w:t>
      </w:r>
    </w:p>
    <w:p w:rsidR="00571ADC" w:rsidRDefault="00571ADC" w:rsidP="0025410A">
      <w:r>
        <w:t>Type:</w:t>
      </w:r>
      <w:r w:rsidR="007A576E">
        <w:t xml:space="preserve"> </w:t>
      </w:r>
      <w:r>
        <w:sym w:font="Wingdings" w:char="F06F"/>
      </w:r>
      <w:r>
        <w:t xml:space="preserve"> ACAT pre-entry assessment;</w:t>
      </w:r>
      <w:r w:rsidR="007A576E">
        <w:t xml:space="preserve"> </w:t>
      </w:r>
      <w:r>
        <w:sym w:font="Wingdings" w:char="F06F"/>
      </w:r>
      <w:r>
        <w:t xml:space="preserve"> RACF assessment;</w:t>
      </w:r>
      <w:r w:rsidR="007A576E">
        <w:t xml:space="preserve"> </w:t>
      </w:r>
      <w:r>
        <w:sym w:font="Wingdings" w:char="F06F"/>
      </w:r>
      <w:r>
        <w:t xml:space="preserve"> ACAT post-entry;</w:t>
      </w:r>
      <w:r w:rsidR="007A576E">
        <w:t xml:space="preserve"> </w:t>
      </w:r>
      <w:r>
        <w:sym w:font="Wingdings" w:char="F06F"/>
      </w:r>
      <w:r>
        <w:t xml:space="preserve"> External </w:t>
      </w:r>
      <w:r w:rsidRPr="008479F3">
        <w:t>Agency re-appraisal</w:t>
      </w:r>
      <w:r w:rsidR="007A576E">
        <w:t xml:space="preserve"> </w:t>
      </w:r>
    </w:p>
    <w:tbl>
      <w:tblPr>
        <w:tblW w:w="0" w:type="auto"/>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he 12.2.6:R-ACFI Pilot Checklist Example table is an example of the checklist for the pilot of the revised aged care funding instrument (R-ACFI). This table is to be read left to right, top to bottom, noting tick boxes in yes/no columns are inactive."/>
      </w:tblPr>
      <w:tblGrid>
        <w:gridCol w:w="562"/>
        <w:gridCol w:w="6384"/>
        <w:gridCol w:w="913"/>
        <w:gridCol w:w="709"/>
        <w:gridCol w:w="4111"/>
      </w:tblGrid>
      <w:tr w:rsidR="00571ADC" w:rsidRPr="00747873" w:rsidTr="007A00DA">
        <w:trPr>
          <w:trHeight w:val="179"/>
        </w:trPr>
        <w:tc>
          <w:tcPr>
            <w:tcW w:w="562" w:type="dxa"/>
            <w:shd w:val="clear" w:color="auto" w:fill="5B9BD5" w:themeFill="accent5"/>
          </w:tcPr>
          <w:p w:rsidR="00571ADC" w:rsidRPr="00747873" w:rsidRDefault="00747873" w:rsidP="00521CF4">
            <w:pPr>
              <w:spacing w:after="0" w:line="240" w:lineRule="auto"/>
              <w:rPr>
                <w:b/>
                <w:color w:val="FFFFFF" w:themeColor="background1"/>
                <w:sz w:val="22"/>
              </w:rPr>
            </w:pPr>
            <w:r>
              <w:rPr>
                <w:b/>
                <w:color w:val="FFFFFF" w:themeColor="background1"/>
                <w:sz w:val="22"/>
              </w:rPr>
              <w:t>No.</w:t>
            </w:r>
          </w:p>
        </w:tc>
        <w:tc>
          <w:tcPr>
            <w:tcW w:w="6384" w:type="dxa"/>
            <w:shd w:val="clear" w:color="auto" w:fill="5B9BD5" w:themeFill="accent5"/>
            <w:hideMark/>
          </w:tcPr>
          <w:p w:rsidR="00571ADC" w:rsidRPr="00747873" w:rsidRDefault="00571ADC" w:rsidP="00521CF4">
            <w:pPr>
              <w:spacing w:after="0" w:line="240" w:lineRule="auto"/>
              <w:rPr>
                <w:b/>
                <w:color w:val="FFFFFF" w:themeColor="background1"/>
                <w:sz w:val="22"/>
                <w:lang w:eastAsia="en-AU"/>
              </w:rPr>
            </w:pPr>
            <w:r w:rsidRPr="00747873">
              <w:rPr>
                <w:b/>
                <w:color w:val="FFFFFF" w:themeColor="background1"/>
                <w:sz w:val="22"/>
                <w:lang w:eastAsia="en-AU"/>
              </w:rPr>
              <w:t>Activities completed- circle options (where applicable)</w:t>
            </w:r>
          </w:p>
        </w:tc>
        <w:tc>
          <w:tcPr>
            <w:tcW w:w="913" w:type="dxa"/>
            <w:shd w:val="clear" w:color="auto" w:fill="5B9BD5" w:themeFill="accent5"/>
            <w:hideMark/>
          </w:tcPr>
          <w:p w:rsidR="00571ADC" w:rsidRPr="00747873" w:rsidRDefault="00571ADC" w:rsidP="00EE0080">
            <w:pPr>
              <w:spacing w:after="0" w:line="240" w:lineRule="auto"/>
              <w:jc w:val="center"/>
              <w:rPr>
                <w:b/>
                <w:color w:val="FFFFFF" w:themeColor="background1"/>
                <w:sz w:val="22"/>
              </w:rPr>
            </w:pPr>
            <w:r w:rsidRPr="00747873">
              <w:rPr>
                <w:b/>
                <w:color w:val="FFFFFF" w:themeColor="background1"/>
                <w:sz w:val="22"/>
              </w:rPr>
              <w:t>Yes</w:t>
            </w:r>
          </w:p>
        </w:tc>
        <w:tc>
          <w:tcPr>
            <w:tcW w:w="709" w:type="dxa"/>
            <w:shd w:val="clear" w:color="auto" w:fill="5B9BD5" w:themeFill="accent5"/>
            <w:hideMark/>
          </w:tcPr>
          <w:p w:rsidR="00571ADC" w:rsidRPr="00747873" w:rsidRDefault="00571ADC" w:rsidP="00EE0080">
            <w:pPr>
              <w:spacing w:after="0" w:line="240" w:lineRule="auto"/>
              <w:jc w:val="center"/>
              <w:rPr>
                <w:b/>
                <w:color w:val="FFFFFF" w:themeColor="background1"/>
                <w:sz w:val="22"/>
              </w:rPr>
            </w:pPr>
            <w:r w:rsidRPr="00747873">
              <w:rPr>
                <w:b/>
                <w:color w:val="FFFFFF" w:themeColor="background1"/>
                <w:sz w:val="22"/>
              </w:rPr>
              <w:t>No</w:t>
            </w:r>
          </w:p>
        </w:tc>
        <w:tc>
          <w:tcPr>
            <w:tcW w:w="4111" w:type="dxa"/>
            <w:shd w:val="clear" w:color="auto" w:fill="5B9BD5" w:themeFill="accent5"/>
            <w:hideMark/>
          </w:tcPr>
          <w:p w:rsidR="00571ADC" w:rsidRPr="00747873" w:rsidRDefault="00571ADC" w:rsidP="00EE0080">
            <w:pPr>
              <w:spacing w:after="0" w:line="240" w:lineRule="auto"/>
              <w:jc w:val="center"/>
              <w:rPr>
                <w:b/>
                <w:color w:val="FFFFFF" w:themeColor="background1"/>
                <w:sz w:val="22"/>
              </w:rPr>
            </w:pPr>
            <w:r w:rsidRPr="00747873">
              <w:rPr>
                <w:b/>
                <w:color w:val="FFFFFF" w:themeColor="background1"/>
                <w:sz w:val="22"/>
              </w:rPr>
              <w:t>Timing</w:t>
            </w:r>
          </w:p>
        </w:tc>
      </w:tr>
      <w:tr w:rsidR="00190A02" w:rsidRPr="00747873" w:rsidTr="007A00DA">
        <w:tc>
          <w:tcPr>
            <w:tcW w:w="562" w:type="dxa"/>
            <w:hideMark/>
          </w:tcPr>
          <w:p w:rsidR="00190A02" w:rsidRPr="00747873" w:rsidRDefault="00190A02" w:rsidP="00521CF4">
            <w:pPr>
              <w:spacing w:after="0" w:line="240" w:lineRule="auto"/>
              <w:rPr>
                <w:sz w:val="22"/>
              </w:rPr>
            </w:pPr>
            <w:r w:rsidRPr="00747873">
              <w:rPr>
                <w:sz w:val="22"/>
              </w:rPr>
              <w:t>1</w:t>
            </w:r>
          </w:p>
        </w:tc>
        <w:tc>
          <w:tcPr>
            <w:tcW w:w="6384" w:type="dxa"/>
            <w:hideMark/>
          </w:tcPr>
          <w:p w:rsidR="00190A02" w:rsidRPr="00747873" w:rsidRDefault="00190A02" w:rsidP="00521CF4">
            <w:pPr>
              <w:spacing w:after="0" w:line="240" w:lineRule="auto"/>
              <w:rPr>
                <w:sz w:val="22"/>
              </w:rPr>
            </w:pPr>
            <w:r w:rsidRPr="00747873">
              <w:rPr>
                <w:sz w:val="22"/>
                <w:lang w:eastAsia="en-AU"/>
              </w:rPr>
              <w:t>Mini Nutritional Assessment (MNA Short)</w:t>
            </w:r>
          </w:p>
        </w:tc>
        <w:tc>
          <w:tcPr>
            <w:tcW w:w="913" w:type="dxa"/>
          </w:tcPr>
          <w:p w:rsidR="00190A02" w:rsidRPr="00747873" w:rsidRDefault="00190A02" w:rsidP="00EE0080">
            <w:pPr>
              <w:spacing w:after="0" w:line="240" w:lineRule="auto"/>
              <w:jc w:val="center"/>
              <w:rPr>
                <w:sz w:val="22"/>
              </w:rPr>
            </w:pPr>
            <w:r>
              <w:sym w:font="Wingdings" w:char="F06F"/>
            </w:r>
          </w:p>
        </w:tc>
        <w:tc>
          <w:tcPr>
            <w:tcW w:w="709" w:type="dxa"/>
          </w:tcPr>
          <w:p w:rsidR="00190A02" w:rsidRPr="00747873" w:rsidRDefault="00190A02" w:rsidP="00747873">
            <w:pPr>
              <w:spacing w:after="0" w:line="240" w:lineRule="auto"/>
              <w:jc w:val="center"/>
              <w:rPr>
                <w:sz w:val="22"/>
              </w:rPr>
            </w:pPr>
            <w:r>
              <w:sym w:font="Wingdings" w:char="F06F"/>
            </w:r>
          </w:p>
        </w:tc>
        <w:tc>
          <w:tcPr>
            <w:tcW w:w="4111" w:type="dxa"/>
          </w:tcPr>
          <w:p w:rsidR="00190A02" w:rsidRPr="007A00DA" w:rsidRDefault="007A00DA" w:rsidP="00EE0080">
            <w:pPr>
              <w:spacing w:after="0" w:line="240" w:lineRule="auto"/>
              <w:jc w:val="center"/>
              <w:rPr>
                <w:i/>
                <w:sz w:val="20"/>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2</w:t>
            </w:r>
          </w:p>
        </w:tc>
        <w:tc>
          <w:tcPr>
            <w:tcW w:w="6384" w:type="dxa"/>
            <w:hideMark/>
          </w:tcPr>
          <w:p w:rsidR="007A00DA" w:rsidRPr="00747873" w:rsidRDefault="007A00DA" w:rsidP="00521CF4">
            <w:pPr>
              <w:spacing w:after="0" w:line="240" w:lineRule="auto"/>
              <w:rPr>
                <w:sz w:val="22"/>
              </w:rPr>
            </w:pPr>
            <w:r w:rsidRPr="00747873">
              <w:rPr>
                <w:rFonts w:cstheme="minorHAnsi"/>
                <w:sz w:val="22"/>
              </w:rPr>
              <w:t xml:space="preserve">Physical Mobility Scale (PMS) </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3</w:t>
            </w:r>
          </w:p>
        </w:tc>
        <w:tc>
          <w:tcPr>
            <w:tcW w:w="6384" w:type="dxa"/>
            <w:hideMark/>
          </w:tcPr>
          <w:p w:rsidR="007A00DA" w:rsidRPr="00747873" w:rsidRDefault="007A00DA" w:rsidP="00521CF4">
            <w:pPr>
              <w:spacing w:after="0" w:line="240" w:lineRule="auto"/>
              <w:rPr>
                <w:sz w:val="22"/>
              </w:rPr>
            </w:pPr>
            <w:r w:rsidRPr="00747873">
              <w:rPr>
                <w:rFonts w:cstheme="minorHAnsi"/>
                <w:sz w:val="22"/>
              </w:rPr>
              <w:t>Falls Risk Assessment Tool (FRAT)</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4</w:t>
            </w:r>
          </w:p>
        </w:tc>
        <w:tc>
          <w:tcPr>
            <w:tcW w:w="6384" w:type="dxa"/>
            <w:hideMark/>
          </w:tcPr>
          <w:p w:rsidR="007A00DA" w:rsidRPr="00747873" w:rsidRDefault="007A00DA" w:rsidP="00521CF4">
            <w:pPr>
              <w:spacing w:after="0" w:line="240" w:lineRule="auto"/>
              <w:rPr>
                <w:sz w:val="22"/>
              </w:rPr>
            </w:pPr>
            <w:r w:rsidRPr="00747873">
              <w:rPr>
                <w:sz w:val="22"/>
                <w:lang w:eastAsia="en-AU"/>
              </w:rPr>
              <w:t>Continence Record</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5</w:t>
            </w:r>
          </w:p>
        </w:tc>
        <w:tc>
          <w:tcPr>
            <w:tcW w:w="6384" w:type="dxa"/>
            <w:hideMark/>
          </w:tcPr>
          <w:p w:rsidR="007A00DA" w:rsidRPr="00747873" w:rsidRDefault="007A00DA" w:rsidP="00521CF4">
            <w:pPr>
              <w:spacing w:after="0" w:line="240" w:lineRule="auto"/>
              <w:rPr>
                <w:sz w:val="22"/>
              </w:rPr>
            </w:pPr>
            <w:r w:rsidRPr="00747873">
              <w:rPr>
                <w:sz w:val="22"/>
                <w:lang w:eastAsia="en-AU"/>
              </w:rPr>
              <w:t xml:space="preserve">Continence Assessment Form and Care Plan </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6</w:t>
            </w:r>
          </w:p>
        </w:tc>
        <w:tc>
          <w:tcPr>
            <w:tcW w:w="6384" w:type="dxa"/>
            <w:hideMark/>
          </w:tcPr>
          <w:p w:rsidR="007A00DA" w:rsidRPr="00747873" w:rsidRDefault="007A00DA" w:rsidP="00521CF4">
            <w:pPr>
              <w:spacing w:after="0" w:line="240" w:lineRule="auto"/>
              <w:rPr>
                <w:sz w:val="22"/>
              </w:rPr>
            </w:pPr>
            <w:r w:rsidRPr="00747873">
              <w:rPr>
                <w:sz w:val="22"/>
              </w:rPr>
              <w:t>SMMSE</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7</w:t>
            </w:r>
          </w:p>
        </w:tc>
        <w:tc>
          <w:tcPr>
            <w:tcW w:w="6384" w:type="dxa"/>
            <w:hideMark/>
          </w:tcPr>
          <w:p w:rsidR="007A00DA" w:rsidRPr="00747873" w:rsidRDefault="007A00DA" w:rsidP="00521CF4">
            <w:pPr>
              <w:spacing w:after="0" w:line="240" w:lineRule="auto"/>
              <w:rPr>
                <w:sz w:val="22"/>
              </w:rPr>
            </w:pPr>
            <w:r w:rsidRPr="00747873">
              <w:rPr>
                <w:sz w:val="22"/>
                <w:lang w:val="en-US"/>
              </w:rPr>
              <w:t>Behaviour Records</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8</w:t>
            </w:r>
          </w:p>
        </w:tc>
        <w:tc>
          <w:tcPr>
            <w:tcW w:w="6384" w:type="dxa"/>
            <w:hideMark/>
          </w:tcPr>
          <w:p w:rsidR="007A00DA" w:rsidRPr="00747873" w:rsidRDefault="007A00DA" w:rsidP="00521CF4">
            <w:pPr>
              <w:spacing w:after="0" w:line="240" w:lineRule="auto"/>
              <w:rPr>
                <w:sz w:val="22"/>
              </w:rPr>
            </w:pPr>
            <w:r w:rsidRPr="00747873">
              <w:rPr>
                <w:sz w:val="22"/>
              </w:rPr>
              <w:t>Behaviour Assessment Form</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9</w:t>
            </w:r>
          </w:p>
        </w:tc>
        <w:tc>
          <w:tcPr>
            <w:tcW w:w="6384" w:type="dxa"/>
            <w:hideMark/>
          </w:tcPr>
          <w:p w:rsidR="007A00DA" w:rsidRPr="00747873" w:rsidRDefault="007A00DA" w:rsidP="00521CF4">
            <w:pPr>
              <w:spacing w:after="0" w:line="240" w:lineRule="auto"/>
              <w:rPr>
                <w:sz w:val="22"/>
              </w:rPr>
            </w:pPr>
            <w:r w:rsidRPr="00747873">
              <w:rPr>
                <w:sz w:val="22"/>
              </w:rPr>
              <w:t>Comprehensive Health Assessment</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10</w:t>
            </w:r>
          </w:p>
        </w:tc>
        <w:tc>
          <w:tcPr>
            <w:tcW w:w="6384" w:type="dxa"/>
            <w:hideMark/>
          </w:tcPr>
          <w:p w:rsidR="007A00DA" w:rsidRPr="00747873" w:rsidRDefault="007A00DA" w:rsidP="00521CF4">
            <w:pPr>
              <w:spacing w:after="0" w:line="240" w:lineRule="auto"/>
              <w:rPr>
                <w:sz w:val="22"/>
              </w:rPr>
            </w:pPr>
            <w:r w:rsidRPr="00747873">
              <w:rPr>
                <w:sz w:val="22"/>
              </w:rPr>
              <w:t>Skin Integrity Assessment</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11</w:t>
            </w:r>
          </w:p>
        </w:tc>
        <w:tc>
          <w:tcPr>
            <w:tcW w:w="6384" w:type="dxa"/>
            <w:hideMark/>
          </w:tcPr>
          <w:p w:rsidR="007A00DA" w:rsidRPr="00747873" w:rsidRDefault="007A00DA" w:rsidP="00521CF4">
            <w:pPr>
              <w:spacing w:after="0" w:line="240" w:lineRule="auto"/>
              <w:rPr>
                <w:sz w:val="22"/>
              </w:rPr>
            </w:pPr>
            <w:r w:rsidRPr="00747873">
              <w:rPr>
                <w:sz w:val="22"/>
              </w:rPr>
              <w:t>Wound Assessment</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12</w:t>
            </w:r>
          </w:p>
        </w:tc>
        <w:tc>
          <w:tcPr>
            <w:tcW w:w="6384" w:type="dxa"/>
            <w:hideMark/>
          </w:tcPr>
          <w:p w:rsidR="007A00DA" w:rsidRPr="00747873" w:rsidRDefault="007A00DA" w:rsidP="00521CF4">
            <w:pPr>
              <w:spacing w:after="0" w:line="240" w:lineRule="auto"/>
              <w:rPr>
                <w:sz w:val="22"/>
              </w:rPr>
            </w:pPr>
            <w:r w:rsidRPr="00747873">
              <w:rPr>
                <w:sz w:val="22"/>
              </w:rPr>
              <w:t>Depression Assessment: CSD / GDS / K10</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13</w:t>
            </w:r>
          </w:p>
        </w:tc>
        <w:tc>
          <w:tcPr>
            <w:tcW w:w="6384" w:type="dxa"/>
            <w:hideMark/>
          </w:tcPr>
          <w:p w:rsidR="007A00DA" w:rsidRPr="00747873" w:rsidRDefault="007A00DA" w:rsidP="00521CF4">
            <w:pPr>
              <w:spacing w:after="0" w:line="240" w:lineRule="auto"/>
              <w:rPr>
                <w:sz w:val="22"/>
              </w:rPr>
            </w:pPr>
            <w:r w:rsidRPr="00747873">
              <w:rPr>
                <w:sz w:val="22"/>
              </w:rPr>
              <w:t>Functional Assessment: MMT / BBS / BOOMER/ SPPB</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14</w:t>
            </w:r>
          </w:p>
        </w:tc>
        <w:tc>
          <w:tcPr>
            <w:tcW w:w="6384" w:type="dxa"/>
            <w:hideMark/>
          </w:tcPr>
          <w:p w:rsidR="007A00DA" w:rsidRPr="00747873" w:rsidRDefault="007A00DA" w:rsidP="00521CF4">
            <w:pPr>
              <w:spacing w:after="0" w:line="240" w:lineRule="auto"/>
              <w:rPr>
                <w:sz w:val="22"/>
              </w:rPr>
            </w:pPr>
            <w:r w:rsidRPr="00747873">
              <w:rPr>
                <w:sz w:val="22"/>
              </w:rPr>
              <w:t>Pain Assessment: M-VRBPI / PAINAD/ ABBEY</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15</w:t>
            </w:r>
          </w:p>
        </w:tc>
        <w:tc>
          <w:tcPr>
            <w:tcW w:w="6384" w:type="dxa"/>
            <w:hideMark/>
          </w:tcPr>
          <w:p w:rsidR="007A00DA" w:rsidRPr="00747873" w:rsidRDefault="007A00DA" w:rsidP="00521CF4">
            <w:pPr>
              <w:spacing w:after="0" w:line="240" w:lineRule="auto"/>
              <w:rPr>
                <w:sz w:val="22"/>
              </w:rPr>
            </w:pPr>
            <w:r w:rsidRPr="00747873">
              <w:rPr>
                <w:sz w:val="22"/>
              </w:rPr>
              <w:t>Resident observations of structured activity</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16</w:t>
            </w:r>
          </w:p>
        </w:tc>
        <w:tc>
          <w:tcPr>
            <w:tcW w:w="6384" w:type="dxa"/>
            <w:hideMark/>
          </w:tcPr>
          <w:p w:rsidR="007A00DA" w:rsidRPr="00747873" w:rsidRDefault="007A00DA" w:rsidP="00521CF4">
            <w:pPr>
              <w:spacing w:after="0" w:line="240" w:lineRule="auto"/>
              <w:rPr>
                <w:sz w:val="22"/>
              </w:rPr>
            </w:pPr>
            <w:r w:rsidRPr="00747873">
              <w:rPr>
                <w:sz w:val="22"/>
              </w:rPr>
              <w:t>Resident observations unstructured</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17</w:t>
            </w:r>
          </w:p>
        </w:tc>
        <w:tc>
          <w:tcPr>
            <w:tcW w:w="6384" w:type="dxa"/>
            <w:hideMark/>
          </w:tcPr>
          <w:p w:rsidR="007A00DA" w:rsidRPr="00747873" w:rsidRDefault="007A00DA" w:rsidP="00521CF4">
            <w:pPr>
              <w:spacing w:after="0" w:line="240" w:lineRule="auto"/>
              <w:rPr>
                <w:sz w:val="22"/>
              </w:rPr>
            </w:pPr>
            <w:r w:rsidRPr="00747873">
              <w:rPr>
                <w:sz w:val="22"/>
              </w:rPr>
              <w:t>Resident interview</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18</w:t>
            </w:r>
          </w:p>
        </w:tc>
        <w:tc>
          <w:tcPr>
            <w:tcW w:w="6384" w:type="dxa"/>
            <w:hideMark/>
          </w:tcPr>
          <w:p w:rsidR="007A00DA" w:rsidRPr="00747873" w:rsidRDefault="007A00DA" w:rsidP="00521CF4">
            <w:pPr>
              <w:spacing w:after="0" w:line="240" w:lineRule="auto"/>
              <w:rPr>
                <w:sz w:val="22"/>
              </w:rPr>
            </w:pPr>
            <w:r w:rsidRPr="00747873">
              <w:rPr>
                <w:sz w:val="22"/>
              </w:rPr>
              <w:t xml:space="preserve">Interview informants – Care staff, </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19</w:t>
            </w:r>
          </w:p>
        </w:tc>
        <w:tc>
          <w:tcPr>
            <w:tcW w:w="6384" w:type="dxa"/>
            <w:hideMark/>
          </w:tcPr>
          <w:p w:rsidR="007A00DA" w:rsidRPr="00747873" w:rsidRDefault="007A00DA" w:rsidP="00521CF4">
            <w:pPr>
              <w:spacing w:after="0" w:line="240" w:lineRule="auto"/>
              <w:rPr>
                <w:sz w:val="22"/>
              </w:rPr>
            </w:pPr>
            <w:r w:rsidRPr="00747873">
              <w:rPr>
                <w:sz w:val="22"/>
              </w:rPr>
              <w:t xml:space="preserve">Interview informants – Health Professionals (AHP/ MP) </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20</w:t>
            </w:r>
          </w:p>
        </w:tc>
        <w:tc>
          <w:tcPr>
            <w:tcW w:w="6384" w:type="dxa"/>
            <w:hideMark/>
          </w:tcPr>
          <w:p w:rsidR="007A00DA" w:rsidRPr="00747873" w:rsidRDefault="007A00DA" w:rsidP="00521CF4">
            <w:pPr>
              <w:spacing w:after="0" w:line="240" w:lineRule="auto"/>
              <w:rPr>
                <w:sz w:val="22"/>
              </w:rPr>
            </w:pPr>
            <w:r w:rsidRPr="00747873">
              <w:rPr>
                <w:sz w:val="22"/>
              </w:rPr>
              <w:t xml:space="preserve">Interview informants – Non-professional e.g. family </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21</w:t>
            </w:r>
          </w:p>
        </w:tc>
        <w:tc>
          <w:tcPr>
            <w:tcW w:w="6384" w:type="dxa"/>
            <w:hideMark/>
          </w:tcPr>
          <w:p w:rsidR="007A00DA" w:rsidRPr="00747873" w:rsidRDefault="007A00DA" w:rsidP="00521CF4">
            <w:pPr>
              <w:spacing w:after="0" w:line="240" w:lineRule="auto"/>
              <w:rPr>
                <w:sz w:val="22"/>
              </w:rPr>
            </w:pPr>
            <w:r w:rsidRPr="00747873">
              <w:rPr>
                <w:sz w:val="22"/>
              </w:rPr>
              <w:t>Documentation (ACFI Pack)</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22</w:t>
            </w:r>
          </w:p>
        </w:tc>
        <w:tc>
          <w:tcPr>
            <w:tcW w:w="6384" w:type="dxa"/>
            <w:hideMark/>
          </w:tcPr>
          <w:p w:rsidR="007A00DA" w:rsidRPr="00747873" w:rsidRDefault="007A00DA" w:rsidP="00521CF4">
            <w:pPr>
              <w:spacing w:after="0" w:line="240" w:lineRule="auto"/>
              <w:rPr>
                <w:sz w:val="22"/>
              </w:rPr>
            </w:pPr>
            <w:r w:rsidRPr="00747873">
              <w:rPr>
                <w:sz w:val="22"/>
              </w:rPr>
              <w:t>Documentation (File notes)</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line="240" w:lineRule="auto"/>
              <w:rPr>
                <w:sz w:val="22"/>
              </w:rPr>
            </w:pPr>
            <w:r w:rsidRPr="00747873">
              <w:rPr>
                <w:sz w:val="22"/>
              </w:rPr>
              <w:t>23</w:t>
            </w:r>
          </w:p>
        </w:tc>
        <w:tc>
          <w:tcPr>
            <w:tcW w:w="6384" w:type="dxa"/>
            <w:hideMark/>
          </w:tcPr>
          <w:p w:rsidR="007A00DA" w:rsidRPr="00747873" w:rsidRDefault="007A00DA" w:rsidP="00521CF4">
            <w:pPr>
              <w:spacing w:after="0" w:line="240" w:lineRule="auto"/>
              <w:rPr>
                <w:sz w:val="22"/>
              </w:rPr>
            </w:pPr>
            <w:r w:rsidRPr="00747873">
              <w:rPr>
                <w:sz w:val="22"/>
              </w:rPr>
              <w:t>Care Plan</w:t>
            </w:r>
          </w:p>
        </w:tc>
        <w:tc>
          <w:tcPr>
            <w:tcW w:w="913" w:type="dxa"/>
          </w:tcPr>
          <w:p w:rsidR="007A00DA" w:rsidRPr="00747873" w:rsidRDefault="007A00DA" w:rsidP="00EE0080">
            <w:pPr>
              <w:spacing w:after="0" w:line="240" w:lineRule="auto"/>
              <w:jc w:val="center"/>
              <w:rPr>
                <w:sz w:val="22"/>
              </w:rPr>
            </w:pPr>
            <w:r>
              <w:sym w:font="Wingdings" w:char="F06F"/>
            </w:r>
          </w:p>
        </w:tc>
        <w:tc>
          <w:tcPr>
            <w:tcW w:w="709" w:type="dxa"/>
          </w:tcPr>
          <w:p w:rsidR="007A00DA" w:rsidRPr="00747873" w:rsidRDefault="007A00DA" w:rsidP="00EE0080">
            <w:pPr>
              <w:spacing w:after="0" w:line="240" w:lineRule="auto"/>
              <w:jc w:val="center"/>
              <w:rPr>
                <w:sz w:val="22"/>
              </w:rPr>
            </w:pPr>
            <w:r>
              <w:sym w:font="Wingdings" w:char="F06F"/>
            </w:r>
          </w:p>
        </w:tc>
        <w:tc>
          <w:tcPr>
            <w:tcW w:w="4111" w:type="dxa"/>
          </w:tcPr>
          <w:p w:rsidR="007A00DA" w:rsidRPr="00747873" w:rsidRDefault="007A00DA" w:rsidP="00EE0080">
            <w:pPr>
              <w:spacing w:after="0" w:line="240" w:lineRule="auto"/>
              <w:jc w:val="center"/>
              <w:rPr>
                <w:sz w:val="22"/>
              </w:rPr>
            </w:pPr>
            <w:r w:rsidRPr="007A00DA">
              <w:rPr>
                <w:i/>
                <w:sz w:val="20"/>
              </w:rPr>
              <w:t>Enter timing.</w:t>
            </w:r>
          </w:p>
        </w:tc>
      </w:tr>
      <w:tr w:rsidR="007A00DA" w:rsidRPr="00747873" w:rsidTr="007A00DA">
        <w:tc>
          <w:tcPr>
            <w:tcW w:w="562" w:type="dxa"/>
            <w:hideMark/>
          </w:tcPr>
          <w:p w:rsidR="007A00DA" w:rsidRPr="00747873" w:rsidRDefault="007A00DA" w:rsidP="00521CF4">
            <w:pPr>
              <w:spacing w:after="0"/>
              <w:rPr>
                <w:sz w:val="22"/>
              </w:rPr>
            </w:pPr>
            <w:r w:rsidRPr="00747873">
              <w:rPr>
                <w:sz w:val="22"/>
              </w:rPr>
              <w:t>24</w:t>
            </w:r>
          </w:p>
        </w:tc>
        <w:tc>
          <w:tcPr>
            <w:tcW w:w="6384" w:type="dxa"/>
            <w:hideMark/>
          </w:tcPr>
          <w:p w:rsidR="007A00DA" w:rsidRPr="00747873" w:rsidRDefault="007A00DA" w:rsidP="00521CF4">
            <w:pPr>
              <w:spacing w:after="0"/>
              <w:rPr>
                <w:sz w:val="22"/>
              </w:rPr>
            </w:pPr>
            <w:r w:rsidRPr="00747873">
              <w:rPr>
                <w:sz w:val="22"/>
              </w:rPr>
              <w:t>Other- describe</w:t>
            </w:r>
          </w:p>
        </w:tc>
        <w:tc>
          <w:tcPr>
            <w:tcW w:w="913" w:type="dxa"/>
          </w:tcPr>
          <w:p w:rsidR="007A00DA" w:rsidRPr="00747873" w:rsidRDefault="007A00DA" w:rsidP="00EE0080">
            <w:pPr>
              <w:spacing w:after="0"/>
              <w:jc w:val="center"/>
              <w:rPr>
                <w:sz w:val="22"/>
              </w:rPr>
            </w:pPr>
            <w:r>
              <w:sym w:font="Wingdings" w:char="F06F"/>
            </w:r>
          </w:p>
        </w:tc>
        <w:tc>
          <w:tcPr>
            <w:tcW w:w="709" w:type="dxa"/>
          </w:tcPr>
          <w:p w:rsidR="007A00DA" w:rsidRPr="00747873" w:rsidRDefault="007A00DA" w:rsidP="00EE0080">
            <w:pPr>
              <w:spacing w:after="0"/>
              <w:jc w:val="center"/>
              <w:rPr>
                <w:sz w:val="22"/>
              </w:rPr>
            </w:pPr>
            <w:r>
              <w:sym w:font="Wingdings" w:char="F06F"/>
            </w:r>
          </w:p>
        </w:tc>
        <w:tc>
          <w:tcPr>
            <w:tcW w:w="4111" w:type="dxa"/>
          </w:tcPr>
          <w:p w:rsidR="007A00DA" w:rsidRPr="00747873" w:rsidRDefault="007A00DA" w:rsidP="00EE0080">
            <w:pPr>
              <w:spacing w:after="0"/>
              <w:jc w:val="center"/>
              <w:rPr>
                <w:sz w:val="22"/>
              </w:rPr>
            </w:pPr>
            <w:r w:rsidRPr="007A00DA">
              <w:rPr>
                <w:i/>
                <w:sz w:val="20"/>
              </w:rPr>
              <w:t>Enter timing.</w:t>
            </w:r>
          </w:p>
        </w:tc>
      </w:tr>
    </w:tbl>
    <w:p w:rsidR="000B0B48" w:rsidRDefault="000B0B48" w:rsidP="0025410A"/>
    <w:sectPr w:rsidR="000B0B48" w:rsidSect="000B0B48">
      <w:pgSz w:w="16840" w:h="1190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A10" w:rsidRDefault="000E1A10" w:rsidP="00785966">
      <w:pPr>
        <w:spacing w:after="0" w:line="240" w:lineRule="auto"/>
      </w:pPr>
      <w:r>
        <w:separator/>
      </w:r>
    </w:p>
    <w:p w:rsidR="000E1A10" w:rsidRDefault="000E1A10" w:rsidP="00617254"/>
  </w:endnote>
  <w:endnote w:type="continuationSeparator" w:id="0">
    <w:p w:rsidR="000E1A10" w:rsidRDefault="000E1A10" w:rsidP="006950FD">
      <w:pPr>
        <w:spacing w:after="0" w:line="240" w:lineRule="auto"/>
      </w:pPr>
      <w:r>
        <w:continuationSeparator/>
      </w:r>
    </w:p>
    <w:p w:rsidR="000E1A10" w:rsidRDefault="000E1A10" w:rsidP="006172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45 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FrutigerLT-Cn">
    <w:altName w:val="Calibri"/>
    <w:panose1 w:val="00000000000000000000"/>
    <w:charset w:val="00"/>
    <w:family w:val="auto"/>
    <w:notTrueType/>
    <w:pitch w:val="default"/>
    <w:sig w:usb0="00000003" w:usb1="00000000" w:usb2="00000000" w:usb3="00000000" w:csb0="00000001" w:csb1="00000000"/>
  </w:font>
  <w:font w:name="ChaparralPro-Italic">
    <w:altName w:val="Cambria"/>
    <w:panose1 w:val="00000000000000000000"/>
    <w:charset w:val="00"/>
    <w:family w:val="roman"/>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E07D14">
    <w:pPr>
      <w:pStyle w:val="Footer"/>
      <w:pBdr>
        <w:top w:val="none" w:sz="0" w:space="0" w:color="auto"/>
      </w:pBdr>
      <w:jc w:val="right"/>
    </w:pPr>
    <w:r>
      <w:rPr>
        <w:noProof/>
      </w:rPr>
      <w:drawing>
        <wp:inline distT="0" distB="0" distL="0" distR="0" wp14:anchorId="09B4F0FA" wp14:editId="7D8D57AC">
          <wp:extent cx="561975" cy="219075"/>
          <wp:effectExtent l="0" t="0" r="9525" b="9525"/>
          <wp:docPr id="508" name="Picture 50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32694BCF" wp14:editId="0C8E1473">
          <wp:extent cx="4320000" cy="36000"/>
          <wp:effectExtent l="0" t="0" r="0" b="2540"/>
          <wp:docPr id="509"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4320000" cy="36000"/>
                  </a:xfrm>
                  <a:prstGeom prst="rect">
                    <a:avLst/>
                  </a:prstGeom>
                  <a:noFill/>
                  <a:ln>
                    <a:noFill/>
                  </a:ln>
                </pic:spPr>
              </pic:pic>
            </a:graphicData>
          </a:graphic>
        </wp:inline>
      </w:drawing>
    </w:r>
    <w:r>
      <w:ptab w:relativeTo="margin" w:alignment="right" w:leader="none"/>
    </w:r>
    <w:sdt>
      <w:sdtPr>
        <w:id w:val="245008161"/>
        <w:docPartObj>
          <w:docPartGallery w:val="Page Numbers (Bottom of Page)"/>
          <w:docPartUnique/>
        </w:docPartObj>
      </w:sdtPr>
      <w:sdtEndPr/>
      <w:sdtContent>
        <w:sdt>
          <w:sdtPr>
            <w:id w:val="1306744705"/>
            <w:docPartObj>
              <w:docPartGallery w:val="Page Numbers (Top of Page)"/>
              <w:docPartUnique/>
            </w:docPartObj>
          </w:sdtPr>
          <w:sdtEndPr/>
          <w:sdtContent>
            <w:r>
              <w:t xml:space="preserve">Page | </w:t>
            </w:r>
            <w:r>
              <w:fldChar w:fldCharType="begin"/>
            </w:r>
            <w:r>
              <w:instrText xml:space="preserve"> PAGE   \* MERGEFORMAT </w:instrText>
            </w:r>
            <w:r>
              <w:fldChar w:fldCharType="separate"/>
            </w:r>
            <w:r w:rsidR="00473246">
              <w:rPr>
                <w:noProof/>
              </w:rPr>
              <w:t>17</w:t>
            </w:r>
            <w:r>
              <w:rPr>
                <w:noProof/>
              </w:rPr>
              <w:fldChar w:fldCharType="end"/>
            </w:r>
          </w:sdtContent>
        </w:sdt>
      </w:sdtContent>
    </w:sdt>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74447A">
    <w:pPr>
      <w:pStyle w:val="Footer"/>
      <w:pBdr>
        <w:top w:val="none" w:sz="0" w:space="0" w:color="auto"/>
      </w:pBdr>
      <w:jc w:val="right"/>
    </w:pPr>
    <w:r>
      <w:rPr>
        <w:noProof/>
      </w:rPr>
      <w:drawing>
        <wp:inline distT="0" distB="0" distL="0" distR="0" wp14:anchorId="4A81395A" wp14:editId="5A8210DA">
          <wp:extent cx="561975" cy="219075"/>
          <wp:effectExtent l="0" t="0" r="9525" b="9525"/>
          <wp:docPr id="239" name="Picture 23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4ACD6F42" wp14:editId="46321EAD">
          <wp:extent cx="7200000" cy="36000"/>
          <wp:effectExtent l="0" t="0" r="0" b="2540"/>
          <wp:docPr id="241"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flipV="1">
                    <a:off x="0" y="0"/>
                    <a:ext cx="7200000" cy="36000"/>
                  </a:xfrm>
                  <a:prstGeom prst="rect">
                    <a:avLst/>
                  </a:prstGeom>
                  <a:noFill/>
                  <a:ln>
                    <a:noFill/>
                  </a:ln>
                </pic:spPr>
              </pic:pic>
            </a:graphicData>
          </a:graphic>
        </wp:inline>
      </w:drawing>
    </w:r>
    <w:r>
      <w:ptab w:relativeTo="margin" w:alignment="right" w:leader="none"/>
    </w:r>
    <w:r>
      <w:t xml:space="preserve">Page | </w:t>
    </w:r>
    <w:r>
      <w:fldChar w:fldCharType="begin"/>
    </w:r>
    <w:r>
      <w:instrText xml:space="preserve"> PAGE   \* MERGEFORMAT </w:instrText>
    </w:r>
    <w:r>
      <w:fldChar w:fldCharType="separate"/>
    </w:r>
    <w:r w:rsidR="00980F62">
      <w:rPr>
        <w:noProof/>
      </w:rPr>
      <w:t>96</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74447A">
    <w:pPr>
      <w:pStyle w:val="Footer"/>
      <w:pBdr>
        <w:top w:val="none" w:sz="0" w:space="0" w:color="auto"/>
      </w:pBdr>
      <w:jc w:val="right"/>
    </w:pPr>
    <w:r>
      <w:rPr>
        <w:noProof/>
      </w:rPr>
      <w:drawing>
        <wp:inline distT="0" distB="0" distL="0" distR="0" wp14:anchorId="1C1DC056" wp14:editId="3C6861CF">
          <wp:extent cx="561975" cy="219075"/>
          <wp:effectExtent l="0" t="0" r="9525" b="9525"/>
          <wp:docPr id="495" name="Picture 49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0B7D0F61" wp14:editId="57C3B329">
          <wp:extent cx="3960000" cy="36000"/>
          <wp:effectExtent l="0" t="0" r="0" b="2540"/>
          <wp:docPr id="496"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3960000" cy="36000"/>
                  </a:xfrm>
                  <a:prstGeom prst="rect">
                    <a:avLst/>
                  </a:prstGeom>
                  <a:noFill/>
                  <a:ln>
                    <a:noFill/>
                  </a:ln>
                </pic:spPr>
              </pic:pic>
            </a:graphicData>
          </a:graphic>
        </wp:inline>
      </w:drawing>
    </w:r>
    <w:r>
      <w:ptab w:relativeTo="margin" w:alignment="right" w:leader="none"/>
    </w:r>
    <w:sdt>
      <w:sdtPr>
        <w:id w:val="1548722311"/>
        <w:docPartObj>
          <w:docPartGallery w:val="Page Numbers (Top of Page)"/>
          <w:docPartUnique/>
        </w:docPartObj>
      </w:sdtPr>
      <w:sdtEndPr/>
      <w:sdtContent>
        <w:r>
          <w:t xml:space="preserve">Page | </w:t>
        </w:r>
        <w:r>
          <w:fldChar w:fldCharType="begin"/>
        </w:r>
        <w:r>
          <w:instrText xml:space="preserve"> PAGE   \* MERGEFORMAT </w:instrText>
        </w:r>
        <w:r>
          <w:fldChar w:fldCharType="separate"/>
        </w:r>
        <w:r w:rsidR="00980F62">
          <w:rPr>
            <w:noProof/>
          </w:rPr>
          <w:t>118</w:t>
        </w:r>
        <w:r>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Footer"/>
      <w:pBdr>
        <w:top w:val="none" w:sz="0" w:space="0" w:color="auto"/>
      </w:pBdr>
      <w:jc w:val="right"/>
    </w:pPr>
    <w:r>
      <w:rPr>
        <w:noProof/>
      </w:rPr>
      <w:drawing>
        <wp:inline distT="0" distB="0" distL="0" distR="0" wp14:anchorId="68B400A4" wp14:editId="5C897729">
          <wp:extent cx="561975" cy="219075"/>
          <wp:effectExtent l="0" t="0" r="9525" b="9525"/>
          <wp:docPr id="498" name="Picture 49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20AD39BC" wp14:editId="308CB2F8">
          <wp:extent cx="7200000" cy="36000"/>
          <wp:effectExtent l="0" t="0" r="0" b="2540"/>
          <wp:docPr id="499"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flipV="1">
                    <a:off x="0" y="0"/>
                    <a:ext cx="7200000" cy="36000"/>
                  </a:xfrm>
                  <a:prstGeom prst="rect">
                    <a:avLst/>
                  </a:prstGeom>
                  <a:noFill/>
                  <a:ln>
                    <a:noFill/>
                  </a:ln>
                </pic:spPr>
              </pic:pic>
            </a:graphicData>
          </a:graphic>
        </wp:inline>
      </w:drawing>
    </w:r>
    <w:r>
      <w:ptab w:relativeTo="margin" w:alignment="right" w:leader="none"/>
    </w:r>
    <w:r>
      <w:t xml:space="preserve">Page | </w:t>
    </w:r>
    <w:r>
      <w:fldChar w:fldCharType="begin"/>
    </w:r>
    <w:r>
      <w:instrText xml:space="preserve"> PAGE   \* MERGEFORMAT </w:instrText>
    </w:r>
    <w:r>
      <w:fldChar w:fldCharType="separate"/>
    </w:r>
    <w:r w:rsidR="00980F62">
      <w:rPr>
        <w:noProof/>
      </w:rPr>
      <w:t>119</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8B7E26">
    <w:pPr>
      <w:pStyle w:val="Footer"/>
      <w:pBdr>
        <w:top w:val="none" w:sz="0" w:space="0" w:color="auto"/>
      </w:pBdr>
      <w:jc w:val="right"/>
    </w:pPr>
    <w:r>
      <w:rPr>
        <w:noProof/>
      </w:rPr>
      <w:drawing>
        <wp:inline distT="0" distB="0" distL="0" distR="0" wp14:anchorId="5FFB497E" wp14:editId="463F3E24">
          <wp:extent cx="561975" cy="219075"/>
          <wp:effectExtent l="0" t="0" r="9525" b="9525"/>
          <wp:docPr id="501" name="Picture 50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033FBCFB" wp14:editId="3F418AC0">
          <wp:extent cx="3960000" cy="36000"/>
          <wp:effectExtent l="0" t="0" r="0" b="2540"/>
          <wp:docPr id="502"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3960000" cy="36000"/>
                  </a:xfrm>
                  <a:prstGeom prst="rect">
                    <a:avLst/>
                  </a:prstGeom>
                  <a:noFill/>
                  <a:ln>
                    <a:noFill/>
                  </a:ln>
                </pic:spPr>
              </pic:pic>
            </a:graphicData>
          </a:graphic>
        </wp:inline>
      </w:drawing>
    </w:r>
    <w:r>
      <w:ptab w:relativeTo="margin" w:alignment="right" w:leader="none"/>
    </w:r>
    <w:sdt>
      <w:sdtPr>
        <w:id w:val="2020347774"/>
        <w:docPartObj>
          <w:docPartGallery w:val="Page Numbers (Top of Page)"/>
          <w:docPartUnique/>
        </w:docPartObj>
      </w:sdtPr>
      <w:sdtEndPr/>
      <w:sdtContent>
        <w:r>
          <w:t xml:space="preserve">Page | </w:t>
        </w:r>
        <w:r>
          <w:fldChar w:fldCharType="begin"/>
        </w:r>
        <w:r>
          <w:instrText xml:space="preserve"> PAGE   \* MERGEFORMAT </w:instrText>
        </w:r>
        <w:r>
          <w:fldChar w:fldCharType="separate"/>
        </w:r>
        <w:r w:rsidR="00980F62">
          <w:rPr>
            <w:noProof/>
          </w:rPr>
          <w:t>145</w:t>
        </w:r>
        <w:r>
          <w:rPr>
            <w:noProof/>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Pr="00862FBA" w:rsidRDefault="000E1A10" w:rsidP="0074447A">
    <w:pPr>
      <w:pStyle w:val="Footer"/>
      <w:pBdr>
        <w:top w:val="none" w:sz="0" w:space="0" w:color="auto"/>
      </w:pBdr>
      <w:jc w:val="right"/>
    </w:pPr>
    <w:r>
      <w:rPr>
        <w:noProof/>
      </w:rPr>
      <w:drawing>
        <wp:inline distT="0" distB="0" distL="0" distR="0" wp14:anchorId="5B65C872" wp14:editId="6AC7A50A">
          <wp:extent cx="561975" cy="219075"/>
          <wp:effectExtent l="0" t="0" r="9525" b="9525"/>
          <wp:docPr id="504" name="Picture 50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0813527E" wp14:editId="685067CA">
          <wp:extent cx="7200000" cy="36000"/>
          <wp:effectExtent l="0" t="0" r="0" b="2540"/>
          <wp:docPr id="505"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7200000" cy="36000"/>
                  </a:xfrm>
                  <a:prstGeom prst="rect">
                    <a:avLst/>
                  </a:prstGeom>
                  <a:noFill/>
                  <a:ln>
                    <a:noFill/>
                  </a:ln>
                </pic:spPr>
              </pic:pic>
            </a:graphicData>
          </a:graphic>
        </wp:inline>
      </w:drawing>
    </w:r>
    <w:r>
      <w:ptab w:relativeTo="margin" w:alignment="right" w:leader="none"/>
    </w:r>
    <w:sdt>
      <w:sdtPr>
        <w:id w:val="-1735077164"/>
        <w:docPartObj>
          <w:docPartGallery w:val="Page Numbers (Bottom of Page)"/>
          <w:docPartUnique/>
        </w:docPartObj>
      </w:sdtPr>
      <w:sdtEndPr/>
      <w:sdtContent>
        <w:sdt>
          <w:sdtPr>
            <w:id w:val="2100056556"/>
            <w:docPartObj>
              <w:docPartGallery w:val="Page Numbers (Top of Page)"/>
              <w:docPartUnique/>
            </w:docPartObj>
          </w:sdtPr>
          <w:sdtEndPr/>
          <w:sdtContent>
            <w:r>
              <w:t xml:space="preserve">Page | </w:t>
            </w:r>
            <w:r>
              <w:fldChar w:fldCharType="begin"/>
            </w:r>
            <w:r>
              <w:instrText xml:space="preserve"> PAGE   \* MERGEFORMAT </w:instrText>
            </w:r>
            <w:r>
              <w:fldChar w:fldCharType="separate"/>
            </w:r>
            <w:r w:rsidR="00980F62">
              <w:rPr>
                <w:noProof/>
              </w:rPr>
              <w:t>146</w:t>
            </w:r>
            <w:r>
              <w:rPr>
                <w:noProof/>
              </w:rPr>
              <w:fldChar w:fldCharType="end"/>
            </w:r>
          </w:sdtContent>
        </w:sdt>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8B7E26">
    <w:pPr>
      <w:pStyle w:val="Footer"/>
      <w:pBdr>
        <w:top w:val="none" w:sz="0" w:space="0" w:color="auto"/>
      </w:pBdr>
      <w:jc w:val="right"/>
    </w:pPr>
    <w:r>
      <w:rPr>
        <w:noProof/>
      </w:rPr>
      <w:drawing>
        <wp:inline distT="0" distB="0" distL="0" distR="0" wp14:anchorId="79062BDC" wp14:editId="7CCDA07D">
          <wp:extent cx="561975" cy="219075"/>
          <wp:effectExtent l="0" t="0" r="9525" b="9525"/>
          <wp:docPr id="507" name="Picture 50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7792C821" wp14:editId="55148968">
          <wp:extent cx="3960000" cy="36000"/>
          <wp:effectExtent l="0" t="0" r="0" b="2540"/>
          <wp:docPr id="511"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3960000" cy="36000"/>
                  </a:xfrm>
                  <a:prstGeom prst="rect">
                    <a:avLst/>
                  </a:prstGeom>
                  <a:noFill/>
                  <a:ln>
                    <a:noFill/>
                  </a:ln>
                </pic:spPr>
              </pic:pic>
            </a:graphicData>
          </a:graphic>
        </wp:inline>
      </w:drawing>
    </w:r>
    <w:r>
      <w:ptab w:relativeTo="margin" w:alignment="right" w:leader="none"/>
    </w:r>
    <w:sdt>
      <w:sdtPr>
        <w:id w:val="-1574972700"/>
        <w:docPartObj>
          <w:docPartGallery w:val="Page Numbers (Top of Page)"/>
          <w:docPartUnique/>
        </w:docPartObj>
      </w:sdtPr>
      <w:sdtEndPr/>
      <w:sdtContent>
        <w:r>
          <w:t xml:space="preserve">Page | </w:t>
        </w:r>
        <w:r>
          <w:fldChar w:fldCharType="begin"/>
        </w:r>
        <w:r>
          <w:instrText xml:space="preserve"> PAGE   \* MERGEFORMAT </w:instrText>
        </w:r>
        <w:r>
          <w:fldChar w:fldCharType="separate"/>
        </w:r>
        <w:r w:rsidR="00980F62">
          <w:rPr>
            <w:noProof/>
          </w:rPr>
          <w:t>206</w:t>
        </w:r>
        <w:r>
          <w:rPr>
            <w:noProof/>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pPr>
      <w:pStyle w:val="Header"/>
    </w:pPr>
    <w:r>
      <w:t>**********</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pPr>
      <w:pStyle w:val="Header"/>
    </w:pPr>
    <w:r>
      <w:t>**********</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Pr="00B52A84" w:rsidRDefault="000E1A10" w:rsidP="008B7E26">
    <w:pPr>
      <w:pStyle w:val="Footer"/>
      <w:pBdr>
        <w:top w:val="none" w:sz="0" w:space="0" w:color="auto"/>
      </w:pBdr>
      <w:jc w:val="right"/>
    </w:pPr>
    <w:r>
      <w:rPr>
        <w:noProof/>
      </w:rPr>
      <w:drawing>
        <wp:inline distT="0" distB="0" distL="0" distR="0" wp14:anchorId="7C43A17F" wp14:editId="49978198">
          <wp:extent cx="561975" cy="219075"/>
          <wp:effectExtent l="0" t="0" r="9525" b="9525"/>
          <wp:docPr id="257" name="Picture 25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545372D1" wp14:editId="2068AA86">
          <wp:extent cx="7200000" cy="36000"/>
          <wp:effectExtent l="0" t="0" r="0" b="2540"/>
          <wp:docPr id="259"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7200000" cy="36000"/>
                  </a:xfrm>
                  <a:prstGeom prst="rect">
                    <a:avLst/>
                  </a:prstGeom>
                  <a:noFill/>
                  <a:ln>
                    <a:noFill/>
                  </a:ln>
                </pic:spPr>
              </pic:pic>
            </a:graphicData>
          </a:graphic>
        </wp:inline>
      </w:drawing>
    </w:r>
    <w:r>
      <w:ptab w:relativeTo="margin" w:alignment="right" w:leader="none"/>
    </w:r>
    <w:r w:rsidRPr="00DA7B20">
      <w:t xml:space="preserve"> </w:t>
    </w:r>
    <w:r>
      <w:t xml:space="preserve">Page | </w:t>
    </w:r>
    <w:r>
      <w:fldChar w:fldCharType="begin"/>
    </w:r>
    <w:r>
      <w:instrText xml:space="preserve"> PAGE   \* MERGEFORMAT </w:instrText>
    </w:r>
    <w:r>
      <w:fldChar w:fldCharType="separate"/>
    </w:r>
    <w:r w:rsidR="00980F62">
      <w:rPr>
        <w:noProof/>
      </w:rPr>
      <w:t>210</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Pr="008B7E26" w:rsidRDefault="000E1A10" w:rsidP="008B7E26">
    <w:pPr>
      <w:pStyle w:val="Footer"/>
      <w:pBdr>
        <w:top w:val="none" w:sz="0" w:space="0" w:color="auto"/>
      </w:pBdr>
      <w:jc w:val="right"/>
    </w:pPr>
    <w:r>
      <w:rPr>
        <w:noProof/>
      </w:rPr>
      <w:drawing>
        <wp:inline distT="0" distB="0" distL="0" distR="0" wp14:anchorId="55E8AF86" wp14:editId="5AA291DA">
          <wp:extent cx="561975" cy="219075"/>
          <wp:effectExtent l="0" t="0" r="9525" b="9525"/>
          <wp:docPr id="265" name="Picture 26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29C240CC" wp14:editId="1C3C9B77">
          <wp:extent cx="3960000" cy="36000"/>
          <wp:effectExtent l="0" t="0" r="0" b="2540"/>
          <wp:docPr id="266"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3960000" cy="36000"/>
                  </a:xfrm>
                  <a:prstGeom prst="rect">
                    <a:avLst/>
                  </a:prstGeom>
                  <a:noFill/>
                  <a:ln>
                    <a:noFill/>
                  </a:ln>
                </pic:spPr>
              </pic:pic>
            </a:graphicData>
          </a:graphic>
        </wp:inline>
      </w:drawing>
    </w:r>
    <w:r>
      <w:ptab w:relativeTo="margin" w:alignment="right" w:leader="none"/>
    </w:r>
    <w:sdt>
      <w:sdtPr>
        <w:id w:val="-1919557083"/>
        <w:docPartObj>
          <w:docPartGallery w:val="Page Numbers (Top of Page)"/>
          <w:docPartUnique/>
        </w:docPartObj>
      </w:sdtPr>
      <w:sdtEndPr/>
      <w:sdtContent>
        <w:r>
          <w:t xml:space="preserve">Page | </w:t>
        </w:r>
        <w:r>
          <w:fldChar w:fldCharType="begin"/>
        </w:r>
        <w:r>
          <w:instrText xml:space="preserve"> PAGE   \* MERGEFORMAT </w:instrText>
        </w:r>
        <w:r>
          <w:fldChar w:fldCharType="separate"/>
        </w:r>
        <w:r w:rsidR="00980F62">
          <w:rPr>
            <w:noProof/>
          </w:rPr>
          <w:t>221</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473246" w:rsidP="00867BB2">
    <w:pPr>
      <w:pStyle w:val="Footer"/>
      <w:pBdr>
        <w:top w:val="none" w:sz="0" w:space="0" w:color="auto"/>
      </w:pBdr>
      <w:jc w:val="right"/>
    </w:pPr>
    <w:sdt>
      <w:sdtPr>
        <w:id w:val="-1440525609"/>
        <w:docPartObj>
          <w:docPartGallery w:val="Page Numbers (Bottom of Page)"/>
          <w:docPartUnique/>
        </w:docPartObj>
      </w:sdtPr>
      <w:sdtEndPr/>
      <w:sdtContent>
        <w:sdt>
          <w:sdtPr>
            <w:id w:val="1561292683"/>
            <w:docPartObj>
              <w:docPartGallery w:val="Page Numbers (Top of Page)"/>
              <w:docPartUnique/>
            </w:docPartObj>
          </w:sdtPr>
          <w:sdtEndPr/>
          <w:sdtContent>
            <w:r w:rsidR="000E1A10" w:rsidRPr="000C58CD">
              <w:rPr>
                <w:noProof/>
              </w:rPr>
              <w:drawing>
                <wp:inline distT="0" distB="0" distL="0" distR="0" wp14:anchorId="62001AFA" wp14:editId="3917C834">
                  <wp:extent cx="5760000" cy="18000"/>
                  <wp:effectExtent l="0" t="0" r="0" b="1270"/>
                  <wp:docPr id="510" name="Shape 90" title="End of page"/>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a:off x="0" y="0"/>
                            <a:ext cx="5760000" cy="18000"/>
                          </a:xfrm>
                          <a:prstGeom prst="rect">
                            <a:avLst/>
                          </a:prstGeom>
                          <a:noFill/>
                          <a:ln>
                            <a:noFill/>
                          </a:ln>
                        </pic:spPr>
                      </pic:pic>
                    </a:graphicData>
                  </a:graphic>
                </wp:inline>
              </w:drawing>
            </w:r>
          </w:sdtContent>
        </w:sdt>
      </w:sdtContent>
    </w:sdt>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Pr="00B52A84" w:rsidRDefault="000E1A10" w:rsidP="00523C03">
    <w:pPr>
      <w:pStyle w:val="Footer"/>
      <w:pBdr>
        <w:top w:val="none" w:sz="0" w:space="0" w:color="auto"/>
      </w:pBdr>
      <w:jc w:val="right"/>
    </w:pPr>
    <w:r>
      <w:rPr>
        <w:noProof/>
      </w:rPr>
      <w:drawing>
        <wp:inline distT="0" distB="0" distL="0" distR="0" wp14:anchorId="25ED74BA" wp14:editId="21A3D9BD">
          <wp:extent cx="561975" cy="219075"/>
          <wp:effectExtent l="0" t="0" r="9525" b="9525"/>
          <wp:docPr id="267" name="Picture 26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t xml:space="preserve"> </w:t>
    </w:r>
    <w:sdt>
      <w:sdtPr>
        <w:id w:val="422002799"/>
        <w:docPartObj>
          <w:docPartGallery w:val="Page Numbers (Bottom of Page)"/>
          <w:docPartUnique/>
        </w:docPartObj>
      </w:sdtPr>
      <w:sdtEndPr/>
      <w:sdtContent>
        <w:sdt>
          <w:sdtPr>
            <w:id w:val="1038083907"/>
            <w:docPartObj>
              <w:docPartGallery w:val="Page Numbers (Top of Page)"/>
              <w:docPartUnique/>
            </w:docPartObj>
          </w:sdtPr>
          <w:sdtEndPr/>
          <w:sdtContent>
            <w:r w:rsidRPr="000C58CD">
              <w:rPr>
                <w:noProof/>
              </w:rPr>
              <w:drawing>
                <wp:inline distT="0" distB="0" distL="0" distR="0" wp14:anchorId="25E4FD28" wp14:editId="5CD0A4AC">
                  <wp:extent cx="7560000" cy="36000"/>
                  <wp:effectExtent l="0" t="0" r="0" b="2540"/>
                  <wp:docPr id="268"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7560000" cy="36000"/>
                          </a:xfrm>
                          <a:prstGeom prst="rect">
                            <a:avLst/>
                          </a:prstGeom>
                          <a:noFill/>
                          <a:ln>
                            <a:noFill/>
                          </a:ln>
                        </pic:spPr>
                      </pic:pic>
                    </a:graphicData>
                  </a:graphic>
                </wp:inline>
              </w:drawing>
            </w:r>
            <w:r>
              <w:t xml:space="preserve">Page | </w:t>
            </w:r>
            <w:r>
              <w:fldChar w:fldCharType="begin"/>
            </w:r>
            <w:r>
              <w:instrText xml:space="preserve"> PAGE   \* MERGEFORMAT </w:instrText>
            </w:r>
            <w:r>
              <w:fldChar w:fldCharType="separate"/>
            </w:r>
            <w:r w:rsidR="00980F62">
              <w:rPr>
                <w:noProof/>
              </w:rPr>
              <w:t>260</w:t>
            </w:r>
            <w:r>
              <w:rPr>
                <w:noProof/>
              </w:rPr>
              <w:fldChar w:fldCharType="end"/>
            </w:r>
            <w:r>
              <w:t xml:space="preserve"> </w:t>
            </w:r>
          </w:sdtContent>
        </w:sdt>
      </w:sdtContent>
    </w:sdt>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Pr="00B52A84" w:rsidRDefault="000E1A10" w:rsidP="00DA7B20">
    <w:pPr>
      <w:pStyle w:val="Footer"/>
      <w:pBdr>
        <w:top w:val="none" w:sz="0" w:space="0" w:color="auto"/>
      </w:pBdr>
      <w:jc w:val="right"/>
    </w:pPr>
    <w:r>
      <w:rPr>
        <w:noProof/>
      </w:rPr>
      <w:drawing>
        <wp:inline distT="0" distB="0" distL="0" distR="0" wp14:anchorId="53E591D3" wp14:editId="291828CA">
          <wp:extent cx="561975" cy="219075"/>
          <wp:effectExtent l="0" t="0" r="9525" b="9525"/>
          <wp:docPr id="270" name="Picture 27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1EE19EC2" wp14:editId="509435FE">
          <wp:extent cx="7200000" cy="36000"/>
          <wp:effectExtent l="0" t="0" r="0" b="2540"/>
          <wp:docPr id="271"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7200000" cy="36000"/>
                  </a:xfrm>
                  <a:prstGeom prst="rect">
                    <a:avLst/>
                  </a:prstGeom>
                  <a:noFill/>
                  <a:ln>
                    <a:noFill/>
                  </a:ln>
                </pic:spPr>
              </pic:pic>
            </a:graphicData>
          </a:graphic>
        </wp:inline>
      </w:drawing>
    </w:r>
    <w:r>
      <w:ptab w:relativeTo="margin" w:alignment="right" w:leader="none"/>
    </w:r>
    <w:r w:rsidRPr="00DA7B20">
      <w:t xml:space="preserve"> </w:t>
    </w:r>
    <w:r>
      <w:t xml:space="preserve">Page | </w:t>
    </w:r>
    <w:r>
      <w:fldChar w:fldCharType="begin"/>
    </w:r>
    <w:r>
      <w:instrText xml:space="preserve"> PAGE   \* MERGEFORMAT </w:instrText>
    </w:r>
    <w:r>
      <w:fldChar w:fldCharType="separate"/>
    </w:r>
    <w:r w:rsidR="00980F62">
      <w:rPr>
        <w:noProof/>
      </w:rPr>
      <w:t>222</w:t>
    </w:r>
    <w:r>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0E1A10" w:rsidRDefault="000E1A10" w:rsidP="00A5175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Pr="002D1B8D" w:rsidRDefault="000E1A10" w:rsidP="00DA7B20">
    <w:pPr>
      <w:pStyle w:val="Footer"/>
      <w:pBdr>
        <w:top w:val="none" w:sz="0" w:space="0" w:color="auto"/>
      </w:pBdr>
      <w:jc w:val="right"/>
    </w:pPr>
    <w:r>
      <w:rPr>
        <w:noProof/>
      </w:rPr>
      <w:drawing>
        <wp:inline distT="0" distB="0" distL="0" distR="0" wp14:anchorId="247A6C3E" wp14:editId="07974FF5">
          <wp:extent cx="561975" cy="219075"/>
          <wp:effectExtent l="0" t="0" r="9525" b="9525"/>
          <wp:docPr id="273" name="Picture 27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52E31DC7" wp14:editId="6DFA48D6">
          <wp:extent cx="3960000" cy="36000"/>
          <wp:effectExtent l="0" t="0" r="0" b="2540"/>
          <wp:docPr id="274"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3960000" cy="36000"/>
                  </a:xfrm>
                  <a:prstGeom prst="rect">
                    <a:avLst/>
                  </a:prstGeom>
                  <a:noFill/>
                  <a:ln>
                    <a:noFill/>
                  </a:ln>
                </pic:spPr>
              </pic:pic>
            </a:graphicData>
          </a:graphic>
        </wp:inline>
      </w:drawing>
    </w:r>
    <w:r>
      <w:ptab w:relativeTo="margin" w:alignment="right" w:leader="none"/>
    </w:r>
    <w:sdt>
      <w:sdtPr>
        <w:id w:val="1548181218"/>
        <w:docPartObj>
          <w:docPartGallery w:val="Page Numbers (Top of Page)"/>
          <w:docPartUnique/>
        </w:docPartObj>
      </w:sdtPr>
      <w:sdtEndPr/>
      <w:sdtContent>
        <w:r>
          <w:t xml:space="preserve">Page | </w:t>
        </w:r>
        <w:r>
          <w:fldChar w:fldCharType="begin"/>
        </w:r>
        <w:r>
          <w:instrText xml:space="preserve"> PAGE   \* MERGEFORMAT </w:instrText>
        </w:r>
        <w:r>
          <w:fldChar w:fldCharType="separate"/>
        </w:r>
        <w:r w:rsidR="00980F62">
          <w:rPr>
            <w:noProof/>
          </w:rPr>
          <w:t>234</w:t>
        </w:r>
        <w:r>
          <w:rPr>
            <w:noProof/>
          </w:rPr>
          <w:fldChar w:fldCharType="end"/>
        </w:r>
      </w:sdtContent>
    </w:sdt>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Pr="002D1B8D" w:rsidRDefault="000E1A10" w:rsidP="00DA7B20">
    <w:pPr>
      <w:pStyle w:val="Footer"/>
      <w:pBdr>
        <w:top w:val="none" w:sz="0" w:space="0" w:color="auto"/>
      </w:pBdr>
      <w:jc w:val="right"/>
    </w:pPr>
    <w:r>
      <w:rPr>
        <w:noProof/>
      </w:rPr>
      <w:drawing>
        <wp:inline distT="0" distB="0" distL="0" distR="0" wp14:anchorId="472DA2D0" wp14:editId="3CCBEBB1">
          <wp:extent cx="561975" cy="219075"/>
          <wp:effectExtent l="0" t="0" r="9525" b="9525"/>
          <wp:docPr id="277" name="Picture 27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761DAEE1" wp14:editId="6BCAD5D0">
          <wp:extent cx="7200000" cy="36000"/>
          <wp:effectExtent l="0" t="0" r="0" b="2540"/>
          <wp:docPr id="278"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7200000" cy="36000"/>
                  </a:xfrm>
                  <a:prstGeom prst="rect">
                    <a:avLst/>
                  </a:prstGeom>
                  <a:noFill/>
                  <a:ln>
                    <a:noFill/>
                  </a:ln>
                </pic:spPr>
              </pic:pic>
            </a:graphicData>
          </a:graphic>
        </wp:inline>
      </w:drawing>
    </w:r>
    <w:r>
      <w:ptab w:relativeTo="margin" w:alignment="right" w:leader="none"/>
    </w:r>
    <w:sdt>
      <w:sdtPr>
        <w:id w:val="1593042982"/>
        <w:docPartObj>
          <w:docPartGallery w:val="Page Numbers (Top of Page)"/>
          <w:docPartUnique/>
        </w:docPartObj>
      </w:sdtPr>
      <w:sdtEndPr/>
      <w:sdtContent>
        <w:r>
          <w:t xml:space="preserve">Page | </w:t>
        </w:r>
        <w:r>
          <w:fldChar w:fldCharType="begin"/>
        </w:r>
        <w:r>
          <w:instrText xml:space="preserve"> PAGE   \* MERGEFORMAT </w:instrText>
        </w:r>
        <w:r>
          <w:fldChar w:fldCharType="separate"/>
        </w:r>
        <w:r w:rsidR="00980F62">
          <w:rPr>
            <w:noProof/>
          </w:rPr>
          <w:t>236</w:t>
        </w:r>
        <w:r>
          <w:rPr>
            <w:noProof/>
          </w:rPr>
          <w:fldChar w:fldCharType="end"/>
        </w:r>
        <w:r>
          <w:t xml:space="preserve"> </w:t>
        </w:r>
      </w:sdtContent>
    </w:sdt>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0E1A10" w:rsidRDefault="000E1A10" w:rsidP="00A51750">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Pr="002D1B8D" w:rsidRDefault="000E1A10" w:rsidP="00DA7B20">
    <w:pPr>
      <w:pStyle w:val="Footer"/>
      <w:pBdr>
        <w:top w:val="none" w:sz="0" w:space="0" w:color="auto"/>
      </w:pBdr>
      <w:jc w:val="right"/>
    </w:pPr>
    <w:r>
      <w:rPr>
        <w:noProof/>
      </w:rPr>
      <w:drawing>
        <wp:inline distT="0" distB="0" distL="0" distR="0" wp14:anchorId="7A82232A" wp14:editId="6D8BFCFD">
          <wp:extent cx="561975" cy="219075"/>
          <wp:effectExtent l="0" t="0" r="9525" b="9525"/>
          <wp:docPr id="280" name="Picture 28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2E7563FB" wp14:editId="68896794">
          <wp:extent cx="3960000" cy="36000"/>
          <wp:effectExtent l="0" t="0" r="0" b="2540"/>
          <wp:docPr id="281"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3960000" cy="36000"/>
                  </a:xfrm>
                  <a:prstGeom prst="rect">
                    <a:avLst/>
                  </a:prstGeom>
                  <a:noFill/>
                  <a:ln>
                    <a:noFill/>
                  </a:ln>
                </pic:spPr>
              </pic:pic>
            </a:graphicData>
          </a:graphic>
        </wp:inline>
      </w:drawing>
    </w:r>
    <w:r>
      <w:ptab w:relativeTo="margin" w:alignment="right" w:leader="none"/>
    </w:r>
    <w:sdt>
      <w:sdtPr>
        <w:id w:val="1459146165"/>
        <w:docPartObj>
          <w:docPartGallery w:val="Page Numbers (Top of Page)"/>
          <w:docPartUnique/>
        </w:docPartObj>
      </w:sdtPr>
      <w:sdtEndPr/>
      <w:sdtContent>
        <w:r>
          <w:t xml:space="preserve">Page | </w:t>
        </w:r>
        <w:r>
          <w:fldChar w:fldCharType="begin"/>
        </w:r>
        <w:r>
          <w:instrText xml:space="preserve"> PAGE   \* MERGEFORMAT </w:instrText>
        </w:r>
        <w:r>
          <w:fldChar w:fldCharType="separate"/>
        </w:r>
        <w:r w:rsidR="00980F62">
          <w:rPr>
            <w:noProof/>
          </w:rPr>
          <w:t>241</w:t>
        </w:r>
        <w:r>
          <w:rPr>
            <w:noProof/>
          </w:rPr>
          <w:fldChar w:fldCharType="end"/>
        </w:r>
      </w:sdtContent>
    </w:sdt>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Pr="002D1B8D" w:rsidRDefault="000E1A10" w:rsidP="00DA7B20">
    <w:pPr>
      <w:pStyle w:val="Footer"/>
      <w:pBdr>
        <w:top w:val="none" w:sz="0" w:space="0" w:color="auto"/>
      </w:pBdr>
      <w:jc w:val="right"/>
    </w:pPr>
    <w:r>
      <w:rPr>
        <w:noProof/>
      </w:rPr>
      <w:drawing>
        <wp:inline distT="0" distB="0" distL="0" distR="0" wp14:anchorId="3495167E" wp14:editId="568CACE0">
          <wp:extent cx="561975" cy="219075"/>
          <wp:effectExtent l="0" t="0" r="9525" b="9525"/>
          <wp:docPr id="284" name="Picture 28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6DD0E3B1" wp14:editId="01BBE0BC">
          <wp:extent cx="7200000" cy="36000"/>
          <wp:effectExtent l="0" t="0" r="0" b="2540"/>
          <wp:docPr id="285"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7200000" cy="36000"/>
                  </a:xfrm>
                  <a:prstGeom prst="rect">
                    <a:avLst/>
                  </a:prstGeom>
                  <a:noFill/>
                  <a:ln>
                    <a:noFill/>
                  </a:ln>
                </pic:spPr>
              </pic:pic>
            </a:graphicData>
          </a:graphic>
        </wp:inline>
      </w:drawing>
    </w:r>
    <w:r>
      <w:ptab w:relativeTo="margin" w:alignment="right" w:leader="none"/>
    </w:r>
    <w:sdt>
      <w:sdtPr>
        <w:id w:val="66841696"/>
        <w:docPartObj>
          <w:docPartGallery w:val="Page Numbers (Top of Page)"/>
          <w:docPartUnique/>
        </w:docPartObj>
      </w:sdtPr>
      <w:sdtEndPr/>
      <w:sdtContent>
        <w:r>
          <w:t xml:space="preserve">Page | </w:t>
        </w:r>
        <w:r>
          <w:fldChar w:fldCharType="begin"/>
        </w:r>
        <w:r>
          <w:instrText xml:space="preserve"> PAGE   \* MERGEFORMAT </w:instrText>
        </w:r>
        <w:r>
          <w:fldChar w:fldCharType="separate"/>
        </w:r>
        <w:r w:rsidR="00980F62">
          <w:rPr>
            <w:noProof/>
          </w:rPr>
          <w:t>242</w:t>
        </w:r>
        <w:r>
          <w:rPr>
            <w:noProof/>
          </w:rPr>
          <w:fldChar w:fldCharType="end"/>
        </w:r>
        <w:r>
          <w:t xml:space="preserve"> </w:t>
        </w:r>
      </w:sdtContent>
    </w:sdt>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Pr="002D1B8D" w:rsidRDefault="000E1A10" w:rsidP="00DA7B20">
    <w:pPr>
      <w:pStyle w:val="Footer"/>
      <w:pBdr>
        <w:top w:val="none" w:sz="0" w:space="0" w:color="auto"/>
      </w:pBdr>
      <w:jc w:val="right"/>
    </w:pPr>
    <w:r>
      <w:rPr>
        <w:noProof/>
      </w:rPr>
      <w:drawing>
        <wp:inline distT="0" distB="0" distL="0" distR="0" wp14:anchorId="765C4162" wp14:editId="4C455352">
          <wp:extent cx="561975" cy="219075"/>
          <wp:effectExtent l="0" t="0" r="9525" b="9525"/>
          <wp:docPr id="287" name="Picture 28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1A9A6142" wp14:editId="2F91ED1B">
          <wp:extent cx="3960000" cy="36000"/>
          <wp:effectExtent l="0" t="0" r="0" b="2540"/>
          <wp:docPr id="32"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3960000" cy="36000"/>
                  </a:xfrm>
                  <a:prstGeom prst="rect">
                    <a:avLst/>
                  </a:prstGeom>
                  <a:noFill/>
                  <a:ln>
                    <a:noFill/>
                  </a:ln>
                </pic:spPr>
              </pic:pic>
            </a:graphicData>
          </a:graphic>
        </wp:inline>
      </w:drawing>
    </w:r>
    <w:r>
      <w:ptab w:relativeTo="margin" w:alignment="right" w:leader="none"/>
    </w:r>
    <w:sdt>
      <w:sdtPr>
        <w:id w:val="-2003565242"/>
        <w:docPartObj>
          <w:docPartGallery w:val="Page Numbers (Top of Page)"/>
          <w:docPartUnique/>
        </w:docPartObj>
      </w:sdtPr>
      <w:sdtEndPr/>
      <w:sdtContent>
        <w:r>
          <w:t xml:space="preserve">Page | </w:t>
        </w:r>
        <w:r>
          <w:fldChar w:fldCharType="begin"/>
        </w:r>
        <w:r>
          <w:instrText xml:space="preserve"> PAGE   \* MERGEFORMAT </w:instrText>
        </w:r>
        <w:r>
          <w:fldChar w:fldCharType="separate"/>
        </w:r>
        <w:r w:rsidR="00980F62">
          <w:rPr>
            <w:noProof/>
          </w:rPr>
          <w:t>252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74447A">
    <w:pPr>
      <w:pStyle w:val="Footer"/>
      <w:pBdr>
        <w:top w:val="none" w:sz="0" w:space="0" w:color="auto"/>
      </w:pBdr>
      <w:ind w:left="-142"/>
      <w:jc w:val="right"/>
    </w:pPr>
    <w:r>
      <w:rPr>
        <w:noProof/>
      </w:rPr>
      <w:drawing>
        <wp:inline distT="0" distB="0" distL="0" distR="0" wp14:anchorId="6A8AA02F" wp14:editId="633018FE">
          <wp:extent cx="561975" cy="219075"/>
          <wp:effectExtent l="0" t="0" r="9525" b="9525"/>
          <wp:docPr id="21" name="Picture 2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473BB405" wp14:editId="5876054C">
          <wp:extent cx="7560000" cy="36000"/>
          <wp:effectExtent l="0" t="0" r="0" b="2540"/>
          <wp:docPr id="22"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7560000" cy="36000"/>
                  </a:xfrm>
                  <a:prstGeom prst="rect">
                    <a:avLst/>
                  </a:prstGeom>
                  <a:noFill/>
                  <a:ln>
                    <a:noFill/>
                  </a:ln>
                </pic:spPr>
              </pic:pic>
            </a:graphicData>
          </a:graphic>
        </wp:inline>
      </w:drawing>
    </w:r>
    <w:r>
      <w:ptab w:relativeTo="margin" w:alignment="right" w:leader="none"/>
    </w:r>
    <w:sdt>
      <w:sdtPr>
        <w:id w:val="-1039815313"/>
        <w:docPartObj>
          <w:docPartGallery w:val="Page Numbers (Bottom of Page)"/>
          <w:docPartUnique/>
        </w:docPartObj>
      </w:sdtPr>
      <w:sdtEndPr/>
      <w:sdtContent>
        <w:sdt>
          <w:sdtPr>
            <w:id w:val="-519390707"/>
            <w:docPartObj>
              <w:docPartGallery w:val="Page Numbers (Top of Page)"/>
              <w:docPartUnique/>
            </w:docPartObj>
          </w:sdtPr>
          <w:sdtEndPr/>
          <w:sdtContent>
            <w:r>
              <w:t xml:space="preserve">Page | </w:t>
            </w:r>
            <w:r>
              <w:fldChar w:fldCharType="begin"/>
            </w:r>
            <w:r>
              <w:instrText xml:space="preserve"> PAGE   \* MERGEFORMAT </w:instrText>
            </w:r>
            <w:r>
              <w:fldChar w:fldCharType="separate"/>
            </w:r>
            <w:r w:rsidR="00980F62">
              <w:rPr>
                <w:noProof/>
              </w:rPr>
              <w:t>25</w:t>
            </w:r>
            <w:r>
              <w:rPr>
                <w:noProof/>
              </w:rPr>
              <w:fldChar w:fldCharType="end"/>
            </w:r>
          </w:sdtContent>
        </w:sdt>
      </w:sdtContent>
    </w:sdt>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Pr="002D1B8D" w:rsidRDefault="00473246" w:rsidP="00A51750">
    <w:pPr>
      <w:pStyle w:val="Footer"/>
      <w:pBdr>
        <w:top w:val="none" w:sz="0" w:space="0" w:color="auto"/>
      </w:pBdr>
      <w:jc w:val="right"/>
    </w:pPr>
    <w:sdt>
      <w:sdtPr>
        <w:id w:val="-1637717057"/>
        <w:docPartObj>
          <w:docPartGallery w:val="Page Numbers (Bottom of Page)"/>
          <w:docPartUnique/>
        </w:docPartObj>
      </w:sdtPr>
      <w:sdtEndPr/>
      <w:sdtContent>
        <w:sdt>
          <w:sdtPr>
            <w:id w:val="-367837874"/>
            <w:docPartObj>
              <w:docPartGallery w:val="Page Numbers (Top of Page)"/>
              <w:docPartUnique/>
            </w:docPartObj>
          </w:sdtPr>
          <w:sdtEndPr/>
          <w:sdtContent>
            <w:r w:rsidR="000E1A10">
              <w:rPr>
                <w:noProof/>
              </w:rPr>
              <w:drawing>
                <wp:inline distT="0" distB="0" distL="0" distR="0" wp14:anchorId="75CB9ADB" wp14:editId="1F00A99D">
                  <wp:extent cx="561975" cy="219075"/>
                  <wp:effectExtent l="0" t="0" r="9525" b="9525"/>
                  <wp:docPr id="40" name="Picture 4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sdt>
              <w:sdtPr>
                <w:id w:val="921073972"/>
                <w:docPartObj>
                  <w:docPartGallery w:val="Page Numbers (Bottom of Page)"/>
                  <w:docPartUnique/>
                </w:docPartObj>
              </w:sdtPr>
              <w:sdtEndPr/>
              <w:sdtContent>
                <w:sdt>
                  <w:sdtPr>
                    <w:id w:val="264502581"/>
                    <w:docPartObj>
                      <w:docPartGallery w:val="Page Numbers (Top of Page)"/>
                      <w:docPartUnique/>
                    </w:docPartObj>
                  </w:sdtPr>
                  <w:sdtEndPr/>
                  <w:sdtContent>
                    <w:r w:rsidR="000E1A10">
                      <w:t xml:space="preserve"> </w:t>
                    </w:r>
                    <w:r w:rsidR="000E1A10" w:rsidRPr="000C58CD">
                      <w:rPr>
                        <w:noProof/>
                      </w:rPr>
                      <w:drawing>
                        <wp:inline distT="0" distB="0" distL="0" distR="0" wp14:anchorId="7777AEA5" wp14:editId="4573DC23">
                          <wp:extent cx="7560000" cy="36000"/>
                          <wp:effectExtent l="0" t="0" r="0" b="2540"/>
                          <wp:docPr id="42"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7560000" cy="36000"/>
                                  </a:xfrm>
                                  <a:prstGeom prst="rect">
                                    <a:avLst/>
                                  </a:prstGeom>
                                  <a:noFill/>
                                  <a:ln>
                                    <a:noFill/>
                                  </a:ln>
                                </pic:spPr>
                              </pic:pic>
                            </a:graphicData>
                          </a:graphic>
                        </wp:inline>
                      </w:drawing>
                    </w:r>
                    <w:r w:rsidR="000E1A10">
                      <w:t xml:space="preserve">Page | </w:t>
                    </w:r>
                    <w:r w:rsidR="000E1A10">
                      <w:fldChar w:fldCharType="begin"/>
                    </w:r>
                    <w:r w:rsidR="000E1A10">
                      <w:instrText xml:space="preserve"> PAGE   \* MERGEFORMAT </w:instrText>
                    </w:r>
                    <w:r w:rsidR="000E1A10">
                      <w:fldChar w:fldCharType="separate"/>
                    </w:r>
                    <w:r w:rsidR="00980F62">
                      <w:rPr>
                        <w:noProof/>
                      </w:rPr>
                      <w:t>254</w:t>
                    </w:r>
                    <w:r w:rsidR="000E1A10">
                      <w:rPr>
                        <w:noProof/>
                      </w:rPr>
                      <w:fldChar w:fldCharType="end"/>
                    </w:r>
                  </w:sdtContent>
                </w:sdt>
              </w:sdtContent>
            </w:sdt>
          </w:sdtContent>
        </w:sdt>
      </w:sdtContent>
    </w:sdt>
  </w:p>
  <w:p w:rsidR="000E1A10" w:rsidRPr="002D1B8D" w:rsidRDefault="000E1A10" w:rsidP="00A51750">
    <w:pPr>
      <w:pStyle w:val="Footer"/>
      <w:pBdr>
        <w:top w:val="none" w:sz="0" w:space="0" w:color="auto"/>
      </w:pBdr>
      <w:jc w:val="right"/>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Pr="002D1B8D" w:rsidRDefault="000E1A10" w:rsidP="00DA7B20">
    <w:pPr>
      <w:pStyle w:val="Footer"/>
      <w:pBdr>
        <w:top w:val="none" w:sz="0" w:space="0" w:color="auto"/>
      </w:pBdr>
      <w:jc w:val="right"/>
    </w:pPr>
    <w:r>
      <w:rPr>
        <w:noProof/>
      </w:rPr>
      <w:drawing>
        <wp:inline distT="0" distB="0" distL="0" distR="0" wp14:anchorId="3DFAED70" wp14:editId="5E73A57F">
          <wp:extent cx="561975" cy="219075"/>
          <wp:effectExtent l="0" t="0" r="9525" b="9525"/>
          <wp:docPr id="146" name="Picture 14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15A0E1BD" wp14:editId="5800D904">
          <wp:extent cx="4320000" cy="36000"/>
          <wp:effectExtent l="0" t="0" r="0" b="2540"/>
          <wp:docPr id="148"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4320000" cy="36000"/>
                  </a:xfrm>
                  <a:prstGeom prst="rect">
                    <a:avLst/>
                  </a:prstGeom>
                  <a:noFill/>
                  <a:ln>
                    <a:noFill/>
                  </a:ln>
                </pic:spPr>
              </pic:pic>
            </a:graphicData>
          </a:graphic>
        </wp:inline>
      </w:drawing>
    </w:r>
    <w:r>
      <w:ptab w:relativeTo="margin" w:alignment="right" w:leader="none"/>
    </w:r>
    <w:sdt>
      <w:sdtPr>
        <w:id w:val="1309132987"/>
        <w:docPartObj>
          <w:docPartGallery w:val="Page Numbers (Top of Page)"/>
          <w:docPartUnique/>
        </w:docPartObj>
      </w:sdtPr>
      <w:sdtEndPr/>
      <w:sdtContent>
        <w:r>
          <w:t xml:space="preserve">Page | </w:t>
        </w:r>
        <w:r>
          <w:fldChar w:fldCharType="begin"/>
        </w:r>
        <w:r>
          <w:instrText xml:space="preserve"> PAGE   \* MERGEFORMAT </w:instrText>
        </w:r>
        <w:r>
          <w:fldChar w:fldCharType="separate"/>
        </w:r>
        <w:r w:rsidR="00980F62">
          <w:rPr>
            <w:noProof/>
          </w:rPr>
          <w:t>258</w:t>
        </w:r>
        <w:r>
          <w:rPr>
            <w:noProof/>
          </w:rPr>
          <w:fldChar w:fldCharType="end"/>
        </w:r>
      </w:sdtContent>
    </w:sdt>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Pr="008B7E26" w:rsidRDefault="000E1A10" w:rsidP="008B7E26">
    <w:pPr>
      <w:pStyle w:val="Footer"/>
      <w:pBdr>
        <w:top w:val="none" w:sz="0" w:space="0" w:color="auto"/>
      </w:pBdr>
      <w:jc w:val="right"/>
    </w:pPr>
    <w:r>
      <w:rPr>
        <w:noProof/>
      </w:rPr>
      <w:drawing>
        <wp:inline distT="0" distB="0" distL="0" distR="0" wp14:anchorId="79F03765" wp14:editId="0F8A0878">
          <wp:extent cx="561975" cy="219075"/>
          <wp:effectExtent l="0" t="0" r="9525" b="9525"/>
          <wp:docPr id="154" name="Picture 15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3D7390ED" wp14:editId="158BA9D2">
          <wp:extent cx="7200000" cy="36000"/>
          <wp:effectExtent l="0" t="0" r="0" b="2540"/>
          <wp:docPr id="156"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7200000" cy="36000"/>
                  </a:xfrm>
                  <a:prstGeom prst="rect">
                    <a:avLst/>
                  </a:prstGeom>
                  <a:noFill/>
                  <a:ln>
                    <a:noFill/>
                  </a:ln>
                </pic:spPr>
              </pic:pic>
            </a:graphicData>
          </a:graphic>
        </wp:inline>
      </w:drawing>
    </w:r>
    <w:r>
      <w:ptab w:relativeTo="margin" w:alignment="right" w:leader="none"/>
    </w:r>
    <w:r w:rsidRPr="00DA7B20">
      <w:t xml:space="preserve"> </w:t>
    </w:r>
    <w:r>
      <w:t xml:space="preserve">Page | </w:t>
    </w:r>
    <w:r>
      <w:fldChar w:fldCharType="begin"/>
    </w:r>
    <w:r>
      <w:instrText xml:space="preserve"> PAGE   \* MERGEFORMAT </w:instrText>
    </w:r>
    <w:r>
      <w:fldChar w:fldCharType="separate"/>
    </w:r>
    <w:r w:rsidR="00980F62">
      <w:rPr>
        <w:noProof/>
      </w:rPr>
      <w:t>261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1F2491">
    <w:pPr>
      <w:pStyle w:val="Footer"/>
      <w:pBdr>
        <w:top w:val="none" w:sz="0" w:space="0" w:color="auto"/>
      </w:pBdr>
      <w:spacing w:before="120"/>
      <w:jc w:val="right"/>
    </w:pPr>
    <w:r>
      <w:rPr>
        <w:noProof/>
      </w:rPr>
      <w:drawing>
        <wp:inline distT="0" distB="0" distL="0" distR="0" wp14:anchorId="6D24FAD3" wp14:editId="3EB757AE">
          <wp:extent cx="561975" cy="219075"/>
          <wp:effectExtent l="0" t="0" r="9525" b="9525"/>
          <wp:docPr id="224" name="Picture 22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1AAB7EC3" wp14:editId="402ABC6E">
          <wp:extent cx="4320000" cy="36000"/>
          <wp:effectExtent l="0" t="0" r="0" b="2540"/>
          <wp:docPr id="225"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4320000" cy="36000"/>
                  </a:xfrm>
                  <a:prstGeom prst="rect">
                    <a:avLst/>
                  </a:prstGeom>
                  <a:noFill/>
                  <a:ln>
                    <a:noFill/>
                  </a:ln>
                </pic:spPr>
              </pic:pic>
            </a:graphicData>
          </a:graphic>
        </wp:inline>
      </w:drawing>
    </w:r>
    <w:r>
      <w:ptab w:relativeTo="margin" w:alignment="right" w:leader="none"/>
    </w:r>
    <w:sdt>
      <w:sdtPr>
        <w:id w:val="-607039394"/>
        <w:docPartObj>
          <w:docPartGallery w:val="Page Numbers (Top of Page)"/>
          <w:docPartUnique/>
        </w:docPartObj>
      </w:sdtPr>
      <w:sdtEndPr/>
      <w:sdtContent>
        <w:r>
          <w:t xml:space="preserve">Page | </w:t>
        </w:r>
        <w:r>
          <w:fldChar w:fldCharType="begin"/>
        </w:r>
        <w:r>
          <w:instrText xml:space="preserve"> PAGE   \* MERGEFORMAT </w:instrText>
        </w:r>
        <w:r>
          <w:fldChar w:fldCharType="separate"/>
        </w:r>
        <w:r w:rsidR="00980F62">
          <w:rPr>
            <w:noProof/>
          </w:rPr>
          <w:t>76</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E1A10" w:rsidRDefault="000E1A10" w:rsidP="00A51750">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Footer"/>
      <w:pBdr>
        <w:top w:val="none" w:sz="0" w:space="0" w:color="auto"/>
      </w:pBdr>
      <w:jc w:val="right"/>
    </w:pPr>
    <w:r>
      <w:rPr>
        <w:noProof/>
      </w:rPr>
      <w:drawing>
        <wp:inline distT="0" distB="0" distL="0" distR="0" wp14:anchorId="7AB89786" wp14:editId="1699EE50">
          <wp:extent cx="561975" cy="219075"/>
          <wp:effectExtent l="0" t="0" r="9525" b="9525"/>
          <wp:docPr id="227" name="Picture 22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2A58257E" wp14:editId="12A30F9E">
          <wp:extent cx="7560000" cy="36000"/>
          <wp:effectExtent l="0" t="0" r="0" b="2540"/>
          <wp:docPr id="228"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flipV="1">
                    <a:off x="0" y="0"/>
                    <a:ext cx="7560000" cy="36000"/>
                  </a:xfrm>
                  <a:prstGeom prst="rect">
                    <a:avLst/>
                  </a:prstGeom>
                  <a:noFill/>
                  <a:ln>
                    <a:noFill/>
                  </a:ln>
                </pic:spPr>
              </pic:pic>
            </a:graphicData>
          </a:graphic>
        </wp:inline>
      </w:drawing>
    </w:r>
    <w:r>
      <w:ptab w:relativeTo="margin" w:alignment="right" w:leader="none"/>
    </w:r>
    <w:r>
      <w:t xml:space="preserve">Page | </w:t>
    </w:r>
    <w:r>
      <w:fldChar w:fldCharType="begin"/>
    </w:r>
    <w:r>
      <w:instrText xml:space="preserve"> PAGE   \* MERGEFORMAT </w:instrText>
    </w:r>
    <w:r>
      <w:fldChar w:fldCharType="separate"/>
    </w:r>
    <w:r w:rsidR="00980F62">
      <w:rPr>
        <w:noProof/>
      </w:rPr>
      <w:t>79</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709762"/>
      <w:docPartObj>
        <w:docPartGallery w:val="Page Numbers (Bottom of Page)"/>
        <w:docPartUnique/>
      </w:docPartObj>
    </w:sdtPr>
    <w:sdtEndPr>
      <w:rPr>
        <w:noProof/>
      </w:rPr>
    </w:sdtEndPr>
    <w:sdtContent>
      <w:p w:rsidR="000E1A10" w:rsidRDefault="000E1A10">
        <w:pPr>
          <w:pStyle w:val="Footer"/>
        </w:pPr>
        <w:r>
          <w:fldChar w:fldCharType="begin"/>
        </w:r>
        <w:r>
          <w:instrText xml:space="preserve"> PAGE   \* MERGEFORMAT </w:instrText>
        </w:r>
        <w:r>
          <w:fldChar w:fldCharType="separate"/>
        </w:r>
        <w:r>
          <w:rPr>
            <w:noProof/>
          </w:rPr>
          <w:t>26</w:t>
        </w:r>
        <w:r>
          <w:rPr>
            <w:noProof/>
          </w:rPr>
          <w:fldChar w:fldCharType="end"/>
        </w:r>
      </w:p>
    </w:sdtContent>
  </w:sdt>
  <w:p w:rsidR="000E1A10" w:rsidRDefault="000E1A1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Footer"/>
      <w:pBdr>
        <w:top w:val="none" w:sz="0" w:space="0" w:color="auto"/>
      </w:pBdr>
      <w:jc w:val="right"/>
    </w:pPr>
    <w:r>
      <w:rPr>
        <w:noProof/>
      </w:rPr>
      <w:drawing>
        <wp:inline distT="0" distB="0" distL="0" distR="0" wp14:anchorId="28954C5B" wp14:editId="029EFA1B">
          <wp:extent cx="561975" cy="219075"/>
          <wp:effectExtent l="0" t="0" r="9525" b="9525"/>
          <wp:docPr id="235" name="Picture 235" descr="&quot;&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t xml:space="preserve">   </w:t>
    </w:r>
    <w:sdt>
      <w:sdtPr>
        <w:id w:val="2052654157"/>
        <w:docPartObj>
          <w:docPartGallery w:val="Page Numbers (Bottom of Page)"/>
          <w:docPartUnique/>
        </w:docPartObj>
      </w:sdtPr>
      <w:sdtEndPr/>
      <w:sdtContent>
        <w:sdt>
          <w:sdtPr>
            <w:id w:val="1047259612"/>
            <w:docPartObj>
              <w:docPartGallery w:val="Page Numbers (Top of Page)"/>
              <w:docPartUnique/>
            </w:docPartObj>
          </w:sdtPr>
          <w:sdtEndPr/>
          <w:sdtContent>
            <w:r w:rsidRPr="000C58CD">
              <w:rPr>
                <w:noProof/>
              </w:rPr>
              <w:drawing>
                <wp:inline distT="0" distB="0" distL="0" distR="0" wp14:anchorId="27ED9662" wp14:editId="60AEE666">
                  <wp:extent cx="4320000" cy="36000"/>
                  <wp:effectExtent l="0" t="0" r="0" b="2540"/>
                  <wp:docPr id="237"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4320000" cy="36000"/>
                          </a:xfrm>
                          <a:prstGeom prst="rect">
                            <a:avLst/>
                          </a:prstGeom>
                          <a:noFill/>
                          <a:ln>
                            <a:noFill/>
                          </a:ln>
                        </pic:spPr>
                      </pic:pic>
                    </a:graphicData>
                  </a:graphic>
                </wp:inline>
              </w:drawing>
            </w:r>
            <w:r>
              <w:t xml:space="preserve"> Page | </w:t>
            </w:r>
            <w:r>
              <w:fldChar w:fldCharType="begin"/>
            </w:r>
            <w:r>
              <w:instrText xml:space="preserve"> PAGE   \* MERGEFORMAT </w:instrText>
            </w:r>
            <w:r>
              <w:fldChar w:fldCharType="separate"/>
            </w:r>
            <w:r w:rsidR="00980F62">
              <w:rPr>
                <w:noProof/>
              </w:rPr>
              <w:t>95</w:t>
            </w:r>
            <w:r>
              <w:rPr>
                <w:noProof/>
              </w:rPr>
              <w:fldChar w:fldCharType="end"/>
            </w:r>
          </w:sdtContent>
        </w:sdt>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Pr="00136B3E" w:rsidRDefault="000E1A10" w:rsidP="00A51750">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A10" w:rsidRDefault="000E1A10" w:rsidP="00785966">
      <w:pPr>
        <w:spacing w:after="0" w:line="240" w:lineRule="auto"/>
      </w:pPr>
      <w:r>
        <w:separator/>
      </w:r>
    </w:p>
    <w:p w:rsidR="000E1A10" w:rsidRDefault="000E1A10" w:rsidP="00617254"/>
  </w:footnote>
  <w:footnote w:type="continuationSeparator" w:id="0">
    <w:p w:rsidR="000E1A10" w:rsidRDefault="000E1A10" w:rsidP="00785966">
      <w:pPr>
        <w:spacing w:after="0" w:line="240" w:lineRule="auto"/>
      </w:pPr>
      <w:r>
        <w:continuationSeparator/>
      </w:r>
    </w:p>
    <w:p w:rsidR="000E1A10" w:rsidRDefault="000E1A10" w:rsidP="0061725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E07D14">
    <w:pPr>
      <w:jc w:val="center"/>
    </w:pPr>
    <w:r>
      <w:rPr>
        <w:noProof/>
        <w:lang w:eastAsia="en-AU"/>
      </w:rPr>
      <mc:AlternateContent>
        <mc:Choice Requires="wpg">
          <w:drawing>
            <wp:inline distT="0" distB="0" distL="0" distR="0" wp14:anchorId="3D9BC27B" wp14:editId="1B80D076">
              <wp:extent cx="7113600" cy="1292400"/>
              <wp:effectExtent l="0" t="0" r="0" b="3175"/>
              <wp:docPr id="149" name="Group 149" title="Beginning of re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3600" cy="129240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title="Beginning of report"/>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C15109" id="Group 149" o:spid="_x0000_s1026" alt="Title: Beginning of report" style="width:560.15pt;height:101.75pt;mso-position-horizontal-relative:char;mso-position-vertical-relative:lin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2" o:title="" recolor="t" rotate="t" type="frame"/>
              </v:rect>
              <w10:anchorlock/>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8B7E26">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D46544" w:rsidRDefault="000E1A10" w:rsidP="008B7E26">
    <w:pPr>
      <w:pStyle w:val="Header"/>
      <w:rPr>
        <w:b/>
        <w:color w:val="808080" w:themeColor="background1" w:themeShade="80"/>
        <w:sz w:val="20"/>
        <w:szCs w:val="20"/>
        <w:lang w:val="en-AU"/>
      </w:rPr>
    </w:pPr>
    <w:r w:rsidRPr="000C58CD">
      <w:rPr>
        <w:noProof/>
        <w:lang w:val="en-AU" w:eastAsia="en-AU"/>
      </w:rPr>
      <w:drawing>
        <wp:inline distT="0" distB="0" distL="0" distR="0" wp14:anchorId="20BAAD7C" wp14:editId="349E3C46">
          <wp:extent cx="5760000" cy="18000"/>
          <wp:effectExtent l="0" t="0" r="0" b="1270"/>
          <wp:docPr id="500"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5760000" cy="1800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A616FE" w:rsidRDefault="000E1A10">
    <w:pPr>
      <w:pStyle w:val="Header"/>
      <w:rPr>
        <w:b/>
        <w:color w:val="808080" w:themeColor="background1" w:themeShade="80"/>
        <w:sz w:val="20"/>
        <w:szCs w:val="20"/>
        <w:lang w:val="en-AU"/>
      </w:rPr>
    </w:pPr>
    <w:r w:rsidRPr="000C58CD">
      <w:rPr>
        <w:noProof/>
        <w:lang w:val="en-AU" w:eastAsia="en-AU"/>
      </w:rPr>
      <w:drawing>
        <wp:inline distT="0" distB="0" distL="0" distR="0" wp14:anchorId="7A0EB3A8" wp14:editId="210F258D">
          <wp:extent cx="9000000" cy="18000"/>
          <wp:effectExtent l="0" t="0" r="0" b="1270"/>
          <wp:docPr id="503"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9000000" cy="1800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720C8D">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9B074F" w:rsidRDefault="000E1A10">
    <w:pPr>
      <w:pStyle w:val="Header"/>
      <w:rPr>
        <w:b/>
        <w:color w:val="808080" w:themeColor="background1" w:themeShade="80"/>
        <w:sz w:val="20"/>
        <w:szCs w:val="20"/>
        <w:lang w:val="en-AU"/>
      </w:rPr>
    </w:pPr>
    <w:r w:rsidRPr="000C58CD">
      <w:rPr>
        <w:noProof/>
        <w:lang w:val="en-AU" w:eastAsia="en-AU"/>
      </w:rPr>
      <w:drawing>
        <wp:inline distT="0" distB="0" distL="0" distR="0" wp14:anchorId="77E8FE41" wp14:editId="406F06D0">
          <wp:extent cx="5731510" cy="17694"/>
          <wp:effectExtent l="0" t="0" r="0" b="1905"/>
          <wp:docPr id="506"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5731510" cy="17694"/>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pPr>
      <w:pStyle w:val="Header"/>
    </w:pPr>
    <w:r>
      <w:t>**</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pPr>
      <w:pStyle w:val="Header"/>
    </w:pPr>
    <w:r>
      <w:t>**</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pPr>
      <w:pStyle w:val="Header"/>
    </w:pPr>
    <w:r>
      <w:t>**</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pPr>
      <w:pStyle w:val="Header"/>
    </w:pPr>
    <w:r>
      <w:t>**</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8B7E26">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310169" w:rsidRDefault="000E1A10" w:rsidP="008B7E26">
    <w:pPr>
      <w:pStyle w:val="Header"/>
      <w:rPr>
        <w:b/>
        <w:color w:val="808080" w:themeColor="background1" w:themeShade="80"/>
        <w:sz w:val="20"/>
        <w:szCs w:val="20"/>
        <w:lang w:val="en-AU"/>
      </w:rPr>
    </w:pPr>
    <w:r w:rsidRPr="000C58CD">
      <w:rPr>
        <w:noProof/>
        <w:lang w:val="en-AU" w:eastAsia="en-AU"/>
      </w:rPr>
      <w:drawing>
        <wp:inline distT="0" distB="0" distL="0" distR="0" wp14:anchorId="0A994520" wp14:editId="34FD80D1">
          <wp:extent cx="9000000" cy="18000"/>
          <wp:effectExtent l="0" t="0" r="0" b="1270"/>
          <wp:docPr id="256"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9000000" cy="18000"/>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8B7E26">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9B074F" w:rsidRDefault="000E1A10" w:rsidP="008B7E26">
    <w:pPr>
      <w:pStyle w:val="Header"/>
      <w:rPr>
        <w:b/>
        <w:color w:val="808080" w:themeColor="background1" w:themeShade="80"/>
        <w:sz w:val="20"/>
        <w:szCs w:val="20"/>
        <w:lang w:val="en-AU"/>
      </w:rPr>
    </w:pPr>
    <w:r w:rsidRPr="000C58CD">
      <w:rPr>
        <w:noProof/>
        <w:lang w:val="en-AU" w:eastAsia="en-AU"/>
      </w:rPr>
      <w:drawing>
        <wp:inline distT="0" distB="0" distL="0" distR="0" wp14:anchorId="6A628E0D" wp14:editId="61F06B7A">
          <wp:extent cx="5731510" cy="17694"/>
          <wp:effectExtent l="0" t="0" r="0" b="1905"/>
          <wp:docPr id="263"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5731510" cy="17694"/>
                  </a:xfrm>
                  <a:prstGeom prst="rect">
                    <a:avLst/>
                  </a:prstGeom>
                  <a:noFill/>
                  <a:ln>
                    <a:noFill/>
                  </a:ln>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36930">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FD66B6" w:rsidRDefault="000E1A10" w:rsidP="00A36930">
    <w:pPr>
      <w:pStyle w:val="Header"/>
      <w:rPr>
        <w:b/>
        <w:color w:val="808080" w:themeColor="background1" w:themeShade="80"/>
        <w:sz w:val="20"/>
        <w:szCs w:val="20"/>
        <w:lang w:val="en-AU"/>
      </w:rPr>
    </w:pPr>
    <w:r w:rsidRPr="000C58CD">
      <w:rPr>
        <w:noProof/>
        <w:lang w:val="en-AU" w:eastAsia="en-AU"/>
      </w:rPr>
      <w:drawing>
        <wp:inline distT="0" distB="0" distL="0" distR="0" wp14:anchorId="798DFDEE" wp14:editId="575382BA">
          <wp:extent cx="5760000" cy="18000"/>
          <wp:effectExtent l="0" t="0" r="0" b="1270"/>
          <wp:docPr id="582"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5760000" cy="18000"/>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525660" w:rsidRDefault="000E1A10" w:rsidP="00A51750">
    <w:pPr>
      <w:pStyle w:val="Header"/>
      <w:rPr>
        <w:b/>
        <w:color w:val="808080" w:themeColor="background1" w:themeShade="80"/>
        <w:sz w:val="20"/>
        <w:szCs w:val="20"/>
        <w:lang w:val="en-AU"/>
      </w:rPr>
    </w:pPr>
    <w:r w:rsidRPr="000C58CD">
      <w:rPr>
        <w:noProof/>
        <w:lang w:val="en-AU" w:eastAsia="en-AU"/>
      </w:rPr>
      <w:drawing>
        <wp:inline distT="0" distB="0" distL="0" distR="0" wp14:anchorId="21AC51C4" wp14:editId="6AC99EFF">
          <wp:extent cx="9000000" cy="18000"/>
          <wp:effectExtent l="0" t="0" r="0" b="1270"/>
          <wp:docPr id="269"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9000000" cy="18000"/>
                  </a:xfrm>
                  <a:prstGeom prst="rect">
                    <a:avLst/>
                  </a:prstGeom>
                  <a:noFill/>
                  <a:ln>
                    <a:noFill/>
                  </a:ln>
                </pic:spPr>
              </pic:pic>
            </a:graphicData>
          </a:graphic>
        </wp:inline>
      </w:drawing>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310169" w:rsidRDefault="000E1A10">
    <w:pPr>
      <w:pStyle w:val="Header"/>
      <w:rPr>
        <w:b/>
        <w:color w:val="808080" w:themeColor="background1" w:themeShade="80"/>
        <w:sz w:val="20"/>
        <w:szCs w:val="20"/>
        <w:lang w:val="en-AU"/>
      </w:rPr>
    </w:pPr>
    <w:r w:rsidRPr="000C58CD">
      <w:rPr>
        <w:noProof/>
        <w:lang w:val="en-AU" w:eastAsia="en-AU"/>
      </w:rPr>
      <w:drawing>
        <wp:inline distT="0" distB="0" distL="0" distR="0" wp14:anchorId="60E82FFB" wp14:editId="4685A0CD">
          <wp:extent cx="5760000" cy="18000"/>
          <wp:effectExtent l="0" t="0" r="0" b="1270"/>
          <wp:docPr id="272"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5760000" cy="18000"/>
                  </a:xfrm>
                  <a:prstGeom prst="rect">
                    <a:avLst/>
                  </a:prstGeom>
                  <a:noFill/>
                  <a:ln>
                    <a:noFill/>
                  </a:ln>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310169" w:rsidRDefault="000E1A10" w:rsidP="00A51750">
    <w:pPr>
      <w:pStyle w:val="Header"/>
      <w:rPr>
        <w:b/>
        <w:color w:val="808080" w:themeColor="background1" w:themeShade="80"/>
        <w:sz w:val="20"/>
        <w:szCs w:val="20"/>
        <w:lang w:val="en-AU"/>
      </w:rPr>
    </w:pPr>
    <w:r w:rsidRPr="000C58CD">
      <w:rPr>
        <w:noProof/>
        <w:lang w:val="en-AU" w:eastAsia="en-AU"/>
      </w:rPr>
      <w:drawing>
        <wp:inline distT="0" distB="0" distL="0" distR="0" wp14:anchorId="07DC981F" wp14:editId="34C4A02C">
          <wp:extent cx="9000000" cy="18000"/>
          <wp:effectExtent l="0" t="0" r="0" b="1270"/>
          <wp:docPr id="276"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9000000" cy="18000"/>
                  </a:xfrm>
                  <a:prstGeom prst="rect">
                    <a:avLst/>
                  </a:prstGeom>
                  <a:noFill/>
                  <a:ln>
                    <a:noFill/>
                  </a:ln>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310169" w:rsidRDefault="000E1A10">
    <w:pPr>
      <w:pStyle w:val="Header"/>
      <w:rPr>
        <w:b/>
        <w:color w:val="808080" w:themeColor="background1" w:themeShade="80"/>
        <w:sz w:val="20"/>
        <w:szCs w:val="20"/>
        <w:lang w:val="en-AU"/>
      </w:rPr>
    </w:pPr>
    <w:r w:rsidRPr="000C58CD">
      <w:rPr>
        <w:noProof/>
        <w:lang w:val="en-AU" w:eastAsia="en-AU"/>
      </w:rPr>
      <w:drawing>
        <wp:inline distT="0" distB="0" distL="0" distR="0" wp14:anchorId="1FA70099" wp14:editId="64CEAAB9">
          <wp:extent cx="5760000" cy="18000"/>
          <wp:effectExtent l="0" t="0" r="0" b="1270"/>
          <wp:docPr id="279"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5760000" cy="18000"/>
                  </a:xfrm>
                  <a:prstGeom prst="rect">
                    <a:avLst/>
                  </a:prstGeom>
                  <a:noFill/>
                  <a:ln>
                    <a:noFill/>
                  </a:ln>
                </pic:spPr>
              </pic:pic>
            </a:graphicData>
          </a:graphic>
        </wp:inline>
      </w:drawing>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523C03">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523C03" w:rsidRDefault="000E1A10">
    <w:pPr>
      <w:pStyle w:val="Header"/>
      <w:rPr>
        <w:b/>
        <w:color w:val="808080" w:themeColor="background1" w:themeShade="80"/>
        <w:sz w:val="20"/>
        <w:szCs w:val="20"/>
        <w:lang w:val="en-AU"/>
      </w:rPr>
    </w:pPr>
    <w:r w:rsidRPr="000C58CD">
      <w:rPr>
        <w:noProof/>
        <w:lang w:val="en-AU" w:eastAsia="en-AU"/>
      </w:rPr>
      <w:drawing>
        <wp:inline distT="0" distB="0" distL="0" distR="0" wp14:anchorId="31A7CAD3" wp14:editId="0D1CC6B7">
          <wp:extent cx="9000000" cy="18000"/>
          <wp:effectExtent l="0" t="0" r="0" b="1270"/>
          <wp:docPr id="282"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9000000" cy="18000"/>
                  </a:xfrm>
                  <a:prstGeom prst="rect">
                    <a:avLst/>
                  </a:prstGeom>
                  <a:noFill/>
                  <a:ln>
                    <a:noFill/>
                  </a:ln>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310169" w:rsidRDefault="000E1A10" w:rsidP="00A51750">
    <w:pPr>
      <w:pStyle w:val="Header"/>
      <w:rPr>
        <w:b/>
        <w:color w:val="808080" w:themeColor="background1" w:themeShade="80"/>
        <w:sz w:val="20"/>
        <w:szCs w:val="20"/>
        <w:lang w:val="en-AU"/>
      </w:rPr>
    </w:pPr>
    <w:r w:rsidRPr="000C58CD">
      <w:rPr>
        <w:noProof/>
        <w:lang w:val="en-AU" w:eastAsia="en-AU"/>
      </w:rPr>
      <w:drawing>
        <wp:inline distT="0" distB="0" distL="0" distR="0" wp14:anchorId="24000797" wp14:editId="302FECAB">
          <wp:extent cx="9000000" cy="18000"/>
          <wp:effectExtent l="0" t="0" r="0" b="1270"/>
          <wp:docPr id="283"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9000000" cy="18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FD66B6" w:rsidRDefault="000E1A10">
    <w:pPr>
      <w:pStyle w:val="Header"/>
      <w:rPr>
        <w:b/>
        <w:color w:val="808080" w:themeColor="background1" w:themeShade="80"/>
        <w:sz w:val="20"/>
        <w:szCs w:val="20"/>
        <w:lang w:val="en-AU"/>
      </w:rPr>
    </w:pPr>
    <w:r w:rsidRPr="000C58CD">
      <w:rPr>
        <w:noProof/>
        <w:lang w:val="en-AU" w:eastAsia="en-AU"/>
      </w:rPr>
      <w:drawing>
        <wp:inline distT="0" distB="0" distL="0" distR="0" wp14:anchorId="39CB0FBC" wp14:editId="3E2763EE">
          <wp:extent cx="9000000" cy="18000"/>
          <wp:effectExtent l="0" t="0" r="0" b="1270"/>
          <wp:docPr id="17"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9000000" cy="18000"/>
                  </a:xfrm>
                  <a:prstGeom prst="rect">
                    <a:avLst/>
                  </a:prstGeom>
                  <a:noFill/>
                  <a:ln>
                    <a:noFill/>
                  </a:ln>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310169" w:rsidRDefault="000E1A10">
    <w:pPr>
      <w:pStyle w:val="Header"/>
      <w:rPr>
        <w:b/>
        <w:color w:val="808080" w:themeColor="background1" w:themeShade="80"/>
        <w:sz w:val="20"/>
        <w:szCs w:val="20"/>
        <w:lang w:val="en-AU"/>
      </w:rPr>
    </w:pPr>
    <w:r w:rsidRPr="000C58CD">
      <w:rPr>
        <w:noProof/>
        <w:lang w:val="en-AU" w:eastAsia="en-AU"/>
      </w:rPr>
      <w:drawing>
        <wp:inline distT="0" distB="0" distL="0" distR="0" wp14:anchorId="5990A80B" wp14:editId="1D8B830B">
          <wp:extent cx="5760000" cy="18000"/>
          <wp:effectExtent l="0" t="0" r="0" b="1270"/>
          <wp:docPr id="286"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5760000" cy="18000"/>
                  </a:xfrm>
                  <a:prstGeom prst="rect">
                    <a:avLst/>
                  </a:prstGeom>
                  <a:noFill/>
                  <a:ln>
                    <a:noFill/>
                  </a:ln>
                </pic:spPr>
              </pic:pic>
            </a:graphicData>
          </a:graphic>
        </wp:inline>
      </w:drawing>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310169" w:rsidRDefault="000E1A10">
    <w:pPr>
      <w:pStyle w:val="Header"/>
      <w:rPr>
        <w:b/>
        <w:color w:val="808080" w:themeColor="background1" w:themeShade="80"/>
        <w:sz w:val="20"/>
        <w:szCs w:val="20"/>
        <w:lang w:val="en-AU"/>
      </w:rPr>
    </w:pPr>
    <w:r w:rsidRPr="000C58CD">
      <w:rPr>
        <w:noProof/>
        <w:lang w:val="en-AU" w:eastAsia="en-AU"/>
      </w:rPr>
      <w:drawing>
        <wp:inline distT="0" distB="0" distL="0" distR="0" wp14:anchorId="3F2D2F9D" wp14:editId="43885E68">
          <wp:extent cx="9000000" cy="18000"/>
          <wp:effectExtent l="0" t="0" r="0" b="1270"/>
          <wp:docPr id="36"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9000000" cy="18000"/>
                  </a:xfrm>
                  <a:prstGeom prst="rect">
                    <a:avLst/>
                  </a:prstGeom>
                  <a:noFill/>
                  <a:ln>
                    <a:noFill/>
                  </a:ln>
                </pic:spPr>
              </pic:pic>
            </a:graphicData>
          </a:graphic>
        </wp:inline>
      </w:drawing>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310169" w:rsidRDefault="000E1A10" w:rsidP="00A51750">
    <w:pPr>
      <w:pStyle w:val="Header"/>
      <w:rPr>
        <w:b/>
        <w:color w:val="808080" w:themeColor="background1" w:themeShade="80"/>
        <w:sz w:val="20"/>
        <w:szCs w:val="20"/>
        <w:lang w:val="en-AU"/>
      </w:rPr>
    </w:pPr>
    <w:r w:rsidRPr="000C58CD">
      <w:rPr>
        <w:noProof/>
        <w:lang w:val="en-AU" w:eastAsia="en-AU"/>
      </w:rPr>
      <w:drawing>
        <wp:inline distT="0" distB="0" distL="0" distR="0" wp14:anchorId="36E6465F" wp14:editId="3B266E53">
          <wp:extent cx="5760000" cy="18000"/>
          <wp:effectExtent l="0" t="0" r="0" b="1270"/>
          <wp:docPr id="144"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5760000" cy="18000"/>
                  </a:xfrm>
                  <a:prstGeom prst="rect">
                    <a:avLst/>
                  </a:prstGeom>
                  <a:noFill/>
                  <a:ln>
                    <a:noFill/>
                  </a:ln>
                </pic:spPr>
              </pic:pic>
            </a:graphicData>
          </a:graphic>
        </wp:inline>
      </w:drawing>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8B7E26">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523C03" w:rsidRDefault="000E1A10" w:rsidP="008B7E26">
    <w:pPr>
      <w:pStyle w:val="Header"/>
      <w:rPr>
        <w:b/>
        <w:color w:val="808080" w:themeColor="background1" w:themeShade="80"/>
        <w:sz w:val="20"/>
        <w:szCs w:val="20"/>
        <w:lang w:val="en-AU"/>
      </w:rPr>
    </w:pPr>
    <w:r w:rsidRPr="000C58CD">
      <w:rPr>
        <w:noProof/>
        <w:lang w:val="en-AU" w:eastAsia="en-AU"/>
      </w:rPr>
      <w:drawing>
        <wp:inline distT="0" distB="0" distL="0" distR="0" wp14:anchorId="12F1BDD6" wp14:editId="5F0C679F">
          <wp:extent cx="9000000" cy="18000"/>
          <wp:effectExtent l="0" t="0" r="0" b="1270"/>
          <wp:docPr id="152"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9000000" cy="180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FD66B6" w:rsidRDefault="000E1A10">
    <w:pPr>
      <w:pStyle w:val="Header"/>
      <w:rPr>
        <w:b/>
        <w:color w:val="808080" w:themeColor="background1" w:themeShade="80"/>
        <w:sz w:val="20"/>
        <w:szCs w:val="20"/>
        <w:lang w:val="en-AU"/>
      </w:rPr>
    </w:pPr>
    <w:r w:rsidRPr="000C58CD">
      <w:rPr>
        <w:noProof/>
        <w:lang w:val="en-AU" w:eastAsia="en-AU"/>
      </w:rPr>
      <w:drawing>
        <wp:inline distT="0" distB="0" distL="0" distR="0" wp14:anchorId="149DB7C2" wp14:editId="019F4AD9">
          <wp:extent cx="5760000" cy="18000"/>
          <wp:effectExtent l="0" t="0" r="0" b="1270"/>
          <wp:docPr id="24"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5760000" cy="1800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525660" w:rsidRDefault="000E1A10">
    <w:pPr>
      <w:pStyle w:val="Header"/>
      <w:rPr>
        <w:b/>
        <w:color w:val="808080" w:themeColor="background1" w:themeShade="80"/>
        <w:sz w:val="20"/>
        <w:szCs w:val="20"/>
        <w:lang w:val="en-AU"/>
      </w:rPr>
    </w:pPr>
    <w:r w:rsidRPr="000C58CD">
      <w:rPr>
        <w:noProof/>
        <w:lang w:val="en-AU" w:eastAsia="en-AU"/>
      </w:rPr>
      <w:drawing>
        <wp:inline distT="0" distB="0" distL="0" distR="0" wp14:anchorId="53AD08D2" wp14:editId="30384B96">
          <wp:extent cx="9000000" cy="18000"/>
          <wp:effectExtent l="0" t="0" r="0" b="1270"/>
          <wp:docPr id="226"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9000000" cy="180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525660" w:rsidRDefault="000E1A10">
    <w:pPr>
      <w:pStyle w:val="Header"/>
      <w:rPr>
        <w:b/>
        <w:color w:val="808080" w:themeColor="background1" w:themeShade="80"/>
        <w:sz w:val="20"/>
        <w:szCs w:val="20"/>
        <w:lang w:val="en-AU"/>
      </w:rPr>
    </w:pPr>
    <w:r w:rsidRPr="000C58CD">
      <w:rPr>
        <w:noProof/>
        <w:lang w:val="en-AU" w:eastAsia="en-AU"/>
      </w:rPr>
      <w:drawing>
        <wp:inline distT="0" distB="0" distL="0" distR="0" wp14:anchorId="149AE6C2" wp14:editId="15936976">
          <wp:extent cx="5760000" cy="18000"/>
          <wp:effectExtent l="0" t="0" r="0" b="1270"/>
          <wp:docPr id="232"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5760000" cy="1800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525660" w:rsidRDefault="000E1A10">
    <w:pPr>
      <w:pStyle w:val="Header"/>
      <w:rPr>
        <w:b/>
        <w:color w:val="808080" w:themeColor="background1" w:themeShade="80"/>
        <w:sz w:val="20"/>
        <w:szCs w:val="20"/>
        <w:lang w:val="en-AU"/>
      </w:rPr>
    </w:pPr>
    <w:r w:rsidRPr="000C58CD">
      <w:rPr>
        <w:noProof/>
        <w:lang w:val="en-AU" w:eastAsia="en-AU"/>
      </w:rPr>
      <w:drawing>
        <wp:inline distT="0" distB="0" distL="0" distR="0" wp14:anchorId="36E4E00B" wp14:editId="0573E768">
          <wp:extent cx="9000000" cy="18000"/>
          <wp:effectExtent l="0" t="0" r="0" b="1270"/>
          <wp:docPr id="238"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9000000" cy="1800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D46544" w:rsidRDefault="000E1A10">
    <w:pPr>
      <w:pStyle w:val="Header"/>
      <w:rPr>
        <w:b/>
        <w:color w:val="808080" w:themeColor="background1" w:themeShade="80"/>
        <w:sz w:val="20"/>
        <w:szCs w:val="20"/>
        <w:lang w:val="en-AU"/>
      </w:rPr>
    </w:pPr>
    <w:r w:rsidRPr="000C58CD">
      <w:rPr>
        <w:noProof/>
        <w:lang w:val="en-AU" w:eastAsia="en-AU"/>
      </w:rPr>
      <w:drawing>
        <wp:inline distT="0" distB="0" distL="0" distR="0" wp14:anchorId="0BCFBBAD" wp14:editId="3B5F93BF">
          <wp:extent cx="5760000" cy="18000"/>
          <wp:effectExtent l="0" t="0" r="0" b="1270"/>
          <wp:docPr id="494"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5760000" cy="1800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A10" w:rsidRDefault="000E1A10" w:rsidP="00A51750">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rsidR="000E1A10" w:rsidRPr="00D46544" w:rsidRDefault="000E1A10">
    <w:pPr>
      <w:pStyle w:val="Header"/>
      <w:rPr>
        <w:b/>
        <w:color w:val="808080" w:themeColor="background1" w:themeShade="80"/>
        <w:sz w:val="20"/>
        <w:szCs w:val="20"/>
        <w:lang w:val="en-AU"/>
      </w:rPr>
    </w:pPr>
    <w:r w:rsidRPr="000C58CD">
      <w:rPr>
        <w:noProof/>
        <w:lang w:val="en-AU" w:eastAsia="en-AU"/>
      </w:rPr>
      <w:drawing>
        <wp:inline distT="0" distB="0" distL="0" distR="0" wp14:anchorId="2F12E445" wp14:editId="02CC0A4E">
          <wp:extent cx="9000000" cy="18000"/>
          <wp:effectExtent l="0" t="0" r="0" b="1270"/>
          <wp:docPr id="497"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9000000" cy="18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13B0931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432D87"/>
    <w:multiLevelType w:val="hybridMultilevel"/>
    <w:tmpl w:val="7B500F00"/>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0BD7394"/>
    <w:multiLevelType w:val="hybridMultilevel"/>
    <w:tmpl w:val="B19E744E"/>
    <w:lvl w:ilvl="0" w:tplc="04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01320F7F"/>
    <w:multiLevelType w:val="hybridMultilevel"/>
    <w:tmpl w:val="43A47A8E"/>
    <w:lvl w:ilvl="0" w:tplc="1D9E806A">
      <w:start w:val="1"/>
      <w:numFmt w:val="decimal"/>
      <w:pStyle w:val="Heading3-Chapter11"/>
      <w:lvlText w:val="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5A0FFB"/>
    <w:multiLevelType w:val="hybridMultilevel"/>
    <w:tmpl w:val="613246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2D26A5E"/>
    <w:multiLevelType w:val="hybridMultilevel"/>
    <w:tmpl w:val="B8C607CA"/>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2DC5AF5"/>
    <w:multiLevelType w:val="hybridMultilevel"/>
    <w:tmpl w:val="884661D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4055591"/>
    <w:multiLevelType w:val="hybridMultilevel"/>
    <w:tmpl w:val="C638D7C4"/>
    <w:lvl w:ilvl="0" w:tplc="04090005">
      <w:start w:val="1"/>
      <w:numFmt w:val="bullet"/>
      <w:pStyle w:val="ListDash21"/>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40D13A1"/>
    <w:multiLevelType w:val="hybridMultilevel"/>
    <w:tmpl w:val="C0C01908"/>
    <w:lvl w:ilvl="0" w:tplc="A8CC2196">
      <w:start w:val="1"/>
      <w:numFmt w:val="lowerRoman"/>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05333554"/>
    <w:multiLevelType w:val="multilevel"/>
    <w:tmpl w:val="387A1F3A"/>
    <w:lvl w:ilvl="0">
      <w:start w:val="1"/>
      <w:numFmt w:val="decimal"/>
      <w:pStyle w:val="ListAlph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5AD66DA"/>
    <w:multiLevelType w:val="hybridMultilevel"/>
    <w:tmpl w:val="228476A4"/>
    <w:lvl w:ilvl="0" w:tplc="0428F62C">
      <w:start w:val="1"/>
      <w:numFmt w:val="decimal"/>
      <w:pStyle w:val="Heading4-Chapter1134"/>
      <w:lvlText w:val="11.3.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6B579AB"/>
    <w:multiLevelType w:val="hybridMultilevel"/>
    <w:tmpl w:val="C23E5522"/>
    <w:lvl w:ilvl="0" w:tplc="530C786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7033F87"/>
    <w:multiLevelType w:val="hybridMultilevel"/>
    <w:tmpl w:val="85161E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77D6F4C"/>
    <w:multiLevelType w:val="multilevel"/>
    <w:tmpl w:val="2606F968"/>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decimal"/>
      <w:lvlText w:val="%3."/>
      <w:lvlJc w:val="left"/>
      <w:pPr>
        <w:ind w:left="2340" w:hanging="360"/>
      </w:pPr>
      <w:rPr>
        <w:rFonts w:hint="default"/>
        <w:b/>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088D4246"/>
    <w:multiLevelType w:val="hybridMultilevel"/>
    <w:tmpl w:val="46F6A68A"/>
    <w:lvl w:ilvl="0" w:tplc="268E892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08A00403"/>
    <w:multiLevelType w:val="hybridMultilevel"/>
    <w:tmpl w:val="14066B2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9DA25DD"/>
    <w:multiLevelType w:val="hybridMultilevel"/>
    <w:tmpl w:val="8C7CD6FE"/>
    <w:lvl w:ilvl="0" w:tplc="7554A034">
      <w:start w:val="1"/>
      <w:numFmt w:val="decimal"/>
      <w:pStyle w:val="Heading3-Chapter63"/>
      <w:lvlText w:val="6.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A022913"/>
    <w:multiLevelType w:val="hybridMultilevel"/>
    <w:tmpl w:val="128CFF2E"/>
    <w:lvl w:ilvl="0" w:tplc="B6CC379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B5B588D"/>
    <w:multiLevelType w:val="hybridMultilevel"/>
    <w:tmpl w:val="D564F6F0"/>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9" w15:restartNumberingAfterBreak="0">
    <w:nsid w:val="0B991A66"/>
    <w:multiLevelType w:val="hybridMultilevel"/>
    <w:tmpl w:val="F9AAB004"/>
    <w:lvl w:ilvl="0" w:tplc="04090005">
      <w:start w:val="1"/>
      <w:numFmt w:val="bullet"/>
      <w:lvlText w:val=""/>
      <w:lvlJc w:val="left"/>
      <w:pPr>
        <w:ind w:left="360" w:hanging="360"/>
      </w:pPr>
      <w:rPr>
        <w:rFonts w:ascii="Wingdings" w:hAnsi="Wingdings" w:hint="default"/>
      </w:rPr>
    </w:lvl>
    <w:lvl w:ilvl="1" w:tplc="9B2ED8D0">
      <w:start w:val="3"/>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BAF758A"/>
    <w:multiLevelType w:val="hybridMultilevel"/>
    <w:tmpl w:val="C518AC2A"/>
    <w:lvl w:ilvl="0" w:tplc="00FAE3B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0C7E67A3"/>
    <w:multiLevelType w:val="hybridMultilevel"/>
    <w:tmpl w:val="AAA4D114"/>
    <w:lvl w:ilvl="0" w:tplc="89D07E74">
      <w:start w:val="1"/>
      <w:numFmt w:val="decimal"/>
      <w:pStyle w:val="Heading3-Chapter75"/>
      <w:lvlText w:val="7.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C8D3832"/>
    <w:multiLevelType w:val="hybridMultilevel"/>
    <w:tmpl w:val="151AF94C"/>
    <w:lvl w:ilvl="0" w:tplc="D1681CB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CB81441"/>
    <w:multiLevelType w:val="hybridMultilevel"/>
    <w:tmpl w:val="7E40E3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0CC93BF6"/>
    <w:multiLevelType w:val="hybridMultilevel"/>
    <w:tmpl w:val="FB62A12C"/>
    <w:lvl w:ilvl="0" w:tplc="BE32F54A">
      <w:start w:val="1"/>
      <w:numFmt w:val="bullet"/>
      <w:lvlText w:val=""/>
      <w:lvlJc w:val="left"/>
      <w:pPr>
        <w:ind w:left="6" w:hanging="360"/>
      </w:pPr>
      <w:rPr>
        <w:rFonts w:ascii="Wingdings" w:hAnsi="Wingdings" w:hint="default"/>
        <w:color w:val="auto"/>
        <w:sz w:val="24"/>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25" w15:restartNumberingAfterBreak="0">
    <w:nsid w:val="0CF77FC4"/>
    <w:multiLevelType w:val="multilevel"/>
    <w:tmpl w:val="B91E5FB2"/>
    <w:lvl w:ilvl="0">
      <w:start w:val="1"/>
      <w:numFmt w:val="decimal"/>
      <w:lvlText w:val="%1."/>
      <w:lvlJc w:val="left"/>
      <w:pPr>
        <w:ind w:left="720" w:hanging="360"/>
      </w:pPr>
      <w:rPr>
        <w:rFonts w:hint="default"/>
        <w:b/>
      </w:rPr>
    </w:lvl>
    <w:lvl w:ilvl="1">
      <w:start w:val="1"/>
      <w:numFmt w:val="decimal"/>
      <w:pStyle w:val="Heading2-Chapter7"/>
      <w:isLgl/>
      <w:lvlText w:val="%1.%2"/>
      <w:lvlJc w:val="left"/>
      <w:pPr>
        <w:ind w:left="1080" w:hanging="720"/>
      </w:pPr>
      <w:rPr>
        <w:rFonts w:hint="default"/>
      </w:rPr>
    </w:lvl>
    <w:lvl w:ilvl="2">
      <w:start w:val="1"/>
      <w:numFmt w:val="decimal"/>
      <w:pStyle w:val="Heading3-Chapter76"/>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0D036F73"/>
    <w:multiLevelType w:val="hybridMultilevel"/>
    <w:tmpl w:val="A0F0ABDA"/>
    <w:lvl w:ilvl="0" w:tplc="7DA6AD1A">
      <w:start w:val="1"/>
      <w:numFmt w:val="decimal"/>
      <w:pStyle w:val="Heading4-Chapter632"/>
      <w:lvlText w:val="6.3.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0D7F7BF4"/>
    <w:multiLevelType w:val="hybridMultilevel"/>
    <w:tmpl w:val="3AB233AC"/>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0D8429DE"/>
    <w:multiLevelType w:val="hybridMultilevel"/>
    <w:tmpl w:val="C872711C"/>
    <w:lvl w:ilvl="0" w:tplc="BE32F54A">
      <w:start w:val="1"/>
      <w:numFmt w:val="bullet"/>
      <w:lvlText w:val=""/>
      <w:lvlJc w:val="left"/>
      <w:pPr>
        <w:ind w:left="360" w:hanging="360"/>
      </w:pPr>
      <w:rPr>
        <w:rFonts w:ascii="Wingdings" w:hAnsi="Wingdings"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0DCC6AA0"/>
    <w:multiLevelType w:val="hybridMultilevel"/>
    <w:tmpl w:val="986AC6B0"/>
    <w:lvl w:ilvl="0" w:tplc="6E04E93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E087E2A"/>
    <w:multiLevelType w:val="hybridMultilevel"/>
    <w:tmpl w:val="C8702E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0E1331EA"/>
    <w:multiLevelType w:val="hybridMultilevel"/>
    <w:tmpl w:val="5B8C9134"/>
    <w:lvl w:ilvl="0" w:tplc="268E892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268E892E">
      <w:start w:val="1"/>
      <w:numFmt w:val="lowerRoman"/>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E3F2D46"/>
    <w:multiLevelType w:val="hybridMultilevel"/>
    <w:tmpl w:val="49F825E0"/>
    <w:lvl w:ilvl="0" w:tplc="582AC6D2">
      <w:start w:val="1"/>
      <w:numFmt w:val="decimal"/>
      <w:pStyle w:val="Heading3-Chapter22"/>
      <w:lvlText w:val="2.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0EC71B44"/>
    <w:multiLevelType w:val="hybridMultilevel"/>
    <w:tmpl w:val="66705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0F9041DD"/>
    <w:multiLevelType w:val="hybridMultilevel"/>
    <w:tmpl w:val="1BAE6060"/>
    <w:lvl w:ilvl="0" w:tplc="C18215F0">
      <w:start w:val="1"/>
      <w:numFmt w:val="decimal"/>
      <w:lvlText w:val="%1."/>
      <w:lvlJc w:val="left"/>
      <w:pPr>
        <w:ind w:left="108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00C547F"/>
    <w:multiLevelType w:val="hybridMultilevel"/>
    <w:tmpl w:val="78AA7E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0605F8F"/>
    <w:multiLevelType w:val="hybridMultilevel"/>
    <w:tmpl w:val="5EE859E8"/>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086156C"/>
    <w:multiLevelType w:val="hybridMultilevel"/>
    <w:tmpl w:val="FBA8017E"/>
    <w:lvl w:ilvl="0" w:tplc="C4A68D1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08D2765"/>
    <w:multiLevelType w:val="hybridMultilevel"/>
    <w:tmpl w:val="A89E61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0D31678"/>
    <w:multiLevelType w:val="hybridMultilevel"/>
    <w:tmpl w:val="3DBCCC9E"/>
    <w:lvl w:ilvl="0" w:tplc="04090005">
      <w:start w:val="1"/>
      <w:numFmt w:val="bullet"/>
      <w:lvlText w:val=""/>
      <w:lvlJc w:val="left"/>
      <w:pPr>
        <w:ind w:left="360" w:hanging="360"/>
      </w:pPr>
      <w:rPr>
        <w:rFonts w:ascii="Wingdings" w:hAnsi="Wingdings" w:hint="default"/>
      </w:rPr>
    </w:lvl>
    <w:lvl w:ilvl="1" w:tplc="A30A5B1A">
      <w:start w:val="1"/>
      <w:numFmt w:val="bullet"/>
      <w:lvlText w:val=""/>
      <w:lvlJc w:val="left"/>
      <w:pPr>
        <w:ind w:left="1440" w:hanging="720"/>
      </w:pPr>
      <w:rPr>
        <w:rFonts w:ascii="Symbol" w:eastAsia="Times New Roman" w:hAnsi="Symbol"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111E68EB"/>
    <w:multiLevelType w:val="hybridMultilevel"/>
    <w:tmpl w:val="6792CF32"/>
    <w:lvl w:ilvl="0" w:tplc="2B9C4F5E">
      <w:start w:val="1"/>
      <w:numFmt w:val="decimal"/>
      <w:pStyle w:val="Heading3-Chapter112"/>
      <w:lvlText w:val="11.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123119B"/>
    <w:multiLevelType w:val="hybridMultilevel"/>
    <w:tmpl w:val="3D6850FC"/>
    <w:lvl w:ilvl="0" w:tplc="BE32F54A">
      <w:start w:val="1"/>
      <w:numFmt w:val="bullet"/>
      <w:lvlText w:val=""/>
      <w:lvlJc w:val="left"/>
      <w:pPr>
        <w:ind w:left="720" w:hanging="360"/>
      </w:pPr>
      <w:rPr>
        <w:rFonts w:ascii="Wingdings" w:hAnsi="Wingdings"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1EC3963"/>
    <w:multiLevelType w:val="hybridMultilevel"/>
    <w:tmpl w:val="1236F3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120C78E0"/>
    <w:multiLevelType w:val="hybridMultilevel"/>
    <w:tmpl w:val="1CEAA55C"/>
    <w:lvl w:ilvl="0" w:tplc="BE9CEB8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1243397B"/>
    <w:multiLevelType w:val="hybridMultilevel"/>
    <w:tmpl w:val="9BA8F158"/>
    <w:lvl w:ilvl="0" w:tplc="604CD9CC">
      <w:start w:val="1"/>
      <w:numFmt w:val="decimal"/>
      <w:pStyle w:val="Heading2-Chapt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2447ED7"/>
    <w:multiLevelType w:val="hybridMultilevel"/>
    <w:tmpl w:val="85161E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3210903"/>
    <w:multiLevelType w:val="hybridMultilevel"/>
    <w:tmpl w:val="B406E4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3C63D54"/>
    <w:multiLevelType w:val="hybridMultilevel"/>
    <w:tmpl w:val="622462FA"/>
    <w:lvl w:ilvl="0" w:tplc="7E42299C">
      <w:start w:val="1"/>
      <w:numFmt w:val="decimal"/>
      <w:pStyle w:val="Heading4-Chapter1133"/>
      <w:lvlText w:val="11.3.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15784386"/>
    <w:multiLevelType w:val="hybridMultilevel"/>
    <w:tmpl w:val="436CDA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15DA053F"/>
    <w:multiLevelType w:val="hybridMultilevel"/>
    <w:tmpl w:val="ED42BB46"/>
    <w:lvl w:ilvl="0" w:tplc="223CC4AC">
      <w:start w:val="1"/>
      <w:numFmt w:val="decimal"/>
      <w:pStyle w:val="Heading3-Chapter12"/>
      <w:lvlText w:val="1.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61547DD"/>
    <w:multiLevelType w:val="hybridMultilevel"/>
    <w:tmpl w:val="F4F6187A"/>
    <w:lvl w:ilvl="0" w:tplc="79345498">
      <w:start w:val="1"/>
      <w:numFmt w:val="decimal"/>
      <w:pStyle w:val="numberedtablehead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6D23085"/>
    <w:multiLevelType w:val="hybridMultilevel"/>
    <w:tmpl w:val="72907DAC"/>
    <w:lvl w:ilvl="0" w:tplc="0C090005">
      <w:start w:val="1"/>
      <w:numFmt w:val="bullet"/>
      <w:lvlText w:val=""/>
      <w:lvlJc w:val="left"/>
      <w:pPr>
        <w:ind w:left="720" w:hanging="360"/>
      </w:pPr>
      <w:rPr>
        <w:rFonts w:ascii="Wingdings" w:hAnsi="Wingdings" w:hint="default"/>
      </w:rPr>
    </w:lvl>
    <w:lvl w:ilvl="1" w:tplc="A30A5B1A">
      <w:start w:val="1"/>
      <w:numFmt w:val="bullet"/>
      <w:lvlText w:val=""/>
      <w:lvlJc w:val="left"/>
      <w:pPr>
        <w:ind w:left="1800" w:hanging="720"/>
      </w:pPr>
      <w:rPr>
        <w:rFonts w:ascii="Symbol" w:eastAsia="Times New Roman" w:hAnsi="Symbol"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70C54E3"/>
    <w:multiLevelType w:val="hybridMultilevel"/>
    <w:tmpl w:val="9440FE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78912BB"/>
    <w:multiLevelType w:val="hybridMultilevel"/>
    <w:tmpl w:val="9ABA3C7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180646A9"/>
    <w:multiLevelType w:val="hybridMultilevel"/>
    <w:tmpl w:val="E7F41CBC"/>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55" w15:restartNumberingAfterBreak="0">
    <w:nsid w:val="18B7528B"/>
    <w:multiLevelType w:val="hybridMultilevel"/>
    <w:tmpl w:val="B1988DF6"/>
    <w:lvl w:ilvl="0" w:tplc="BF082B62">
      <w:start w:val="1"/>
      <w:numFmt w:val="decimal"/>
      <w:pStyle w:val="Heading3-Chapter62"/>
      <w:lvlText w:val="6.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1A7B0913"/>
    <w:multiLevelType w:val="hybridMultilevel"/>
    <w:tmpl w:val="A258BCAA"/>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1AC94B82"/>
    <w:multiLevelType w:val="multilevel"/>
    <w:tmpl w:val="0A72FB1C"/>
    <w:lvl w:ilvl="0">
      <w:start w:val="1"/>
      <w:numFmt w:val="decimal"/>
      <w:lvlText w:val="%1."/>
      <w:lvlJc w:val="left"/>
      <w:pPr>
        <w:tabs>
          <w:tab w:val="num" w:pos="360"/>
        </w:tabs>
        <w:ind w:left="360" w:hanging="360"/>
      </w:pPr>
      <w:rPr>
        <w:rFonts w:hint="default"/>
      </w:rPr>
    </w:lvl>
    <w:lvl w:ilvl="1">
      <w:start w:val="4"/>
      <w:numFmt w:val="decimal"/>
      <w:isLgl/>
      <w:lvlText w:val="%1.%2"/>
      <w:lvlJc w:val="left"/>
      <w:pPr>
        <w:ind w:left="735" w:hanging="735"/>
      </w:pPr>
      <w:rPr>
        <w:rFonts w:hint="default"/>
      </w:rPr>
    </w:lvl>
    <w:lvl w:ilvl="2">
      <w:start w:val="2"/>
      <w:numFmt w:val="decimal"/>
      <w:isLgl/>
      <w:lvlText w:val="%1.%2.%3"/>
      <w:lvlJc w:val="left"/>
      <w:pPr>
        <w:ind w:left="735" w:hanging="735"/>
      </w:pPr>
      <w:rPr>
        <w:rFonts w:hint="default"/>
      </w:rPr>
    </w:lvl>
    <w:lvl w:ilvl="3">
      <w:start w:val="1"/>
      <w:numFmt w:val="decimal"/>
      <w:isLgl/>
      <w:lvlText w:val="%1.%2.%3.%4"/>
      <w:lvlJc w:val="left"/>
      <w:pPr>
        <w:ind w:left="735" w:hanging="73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1B1C484A"/>
    <w:multiLevelType w:val="hybridMultilevel"/>
    <w:tmpl w:val="003EAC16"/>
    <w:lvl w:ilvl="0" w:tplc="F6F47774">
      <w:start w:val="1"/>
      <w:numFmt w:val="decimal"/>
      <w:lvlText w:val="%1."/>
      <w:lvlJc w:val="left"/>
      <w:pPr>
        <w:ind w:left="288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1B221A49"/>
    <w:multiLevelType w:val="hybridMultilevel"/>
    <w:tmpl w:val="4B2C5FB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BB6580A"/>
    <w:multiLevelType w:val="hybridMultilevel"/>
    <w:tmpl w:val="7A5451B2"/>
    <w:lvl w:ilvl="0" w:tplc="8F647BAA">
      <w:start w:val="1"/>
      <w:numFmt w:val="decimal"/>
      <w:pStyle w:val="Heading4-Chapter622"/>
      <w:lvlText w:val="6.2.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1BD449F2"/>
    <w:multiLevelType w:val="hybridMultilevel"/>
    <w:tmpl w:val="484E29A2"/>
    <w:lvl w:ilvl="0" w:tplc="13A0669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1BD86C6F"/>
    <w:multiLevelType w:val="hybridMultilevel"/>
    <w:tmpl w:val="7316900C"/>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1C052B7E"/>
    <w:multiLevelType w:val="hybridMultilevel"/>
    <w:tmpl w:val="57363330"/>
    <w:lvl w:ilvl="0" w:tplc="0C090005">
      <w:start w:val="1"/>
      <w:numFmt w:val="bullet"/>
      <w:lvlText w:val=""/>
      <w:lvlJc w:val="left"/>
      <w:pPr>
        <w:ind w:left="1080" w:hanging="720"/>
      </w:pPr>
      <w:rPr>
        <w:rFonts w:ascii="Wingdings" w:hAnsi="Wingdings" w:hint="default"/>
      </w:rPr>
    </w:lvl>
    <w:lvl w:ilvl="1" w:tplc="0C090019">
      <w:start w:val="1"/>
      <w:numFmt w:val="lowerLetter"/>
      <w:lvlText w:val="%2."/>
      <w:lvlJc w:val="left"/>
      <w:pPr>
        <w:ind w:left="1440" w:hanging="360"/>
      </w:pPr>
    </w:lvl>
    <w:lvl w:ilvl="2" w:tplc="0C090005">
      <w:start w:val="1"/>
      <w:numFmt w:val="bullet"/>
      <w:lvlText w:val=""/>
      <w:lvlJc w:val="left"/>
      <w:pPr>
        <w:ind w:left="2160" w:hanging="180"/>
      </w:pPr>
      <w:rPr>
        <w:rFonts w:ascii="Wingdings" w:hAnsi="Wingdings" w:hint="default"/>
      </w:rPr>
    </w:lvl>
    <w:lvl w:ilvl="3" w:tplc="6B82E61A">
      <w:start w:val="1"/>
      <w:numFmt w:val="decimal"/>
      <w:lvlText w:val="%4."/>
      <w:lvlJc w:val="left"/>
      <w:pPr>
        <w:ind w:left="2880" w:hanging="360"/>
      </w:pPr>
      <w:rPr>
        <w:rFonts w:hint="default"/>
        <w:b/>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1C0D4935"/>
    <w:multiLevelType w:val="hybridMultilevel"/>
    <w:tmpl w:val="885E174E"/>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65" w15:restartNumberingAfterBreak="0">
    <w:nsid w:val="1C6A36BE"/>
    <w:multiLevelType w:val="hybridMultilevel"/>
    <w:tmpl w:val="31E0E41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CBC0977"/>
    <w:multiLevelType w:val="hybridMultilevel"/>
    <w:tmpl w:val="9CC2397A"/>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1D003D1E"/>
    <w:multiLevelType w:val="multilevel"/>
    <w:tmpl w:val="7DD6F1A4"/>
    <w:lvl w:ilvl="0">
      <w:start w:val="1"/>
      <w:numFmt w:val="decimal"/>
      <w:lvlText w:val="%1."/>
      <w:lvlJc w:val="left"/>
      <w:pPr>
        <w:ind w:left="720" w:hanging="360"/>
      </w:pPr>
      <w:rPr>
        <w:rFonts w:hint="default"/>
        <w:b/>
      </w:rPr>
    </w:lvl>
    <w:lvl w:ilvl="1">
      <w:start w:val="1"/>
      <w:numFmt w:val="decimal"/>
      <w:pStyle w:val="Heading2-Chapter10"/>
      <w:lvlText w:val="10.%2."/>
      <w:lvlJc w:val="left"/>
      <w:pPr>
        <w:ind w:left="1080" w:hanging="720"/>
      </w:pPr>
      <w:rPr>
        <w:rFonts w:hint="default"/>
      </w:rPr>
    </w:lvl>
    <w:lvl w:ilvl="2">
      <w:start w:val="1"/>
      <w:numFmt w:val="decimal"/>
      <w:lvlText w:val="10.1.%3."/>
      <w:lvlJc w:val="left"/>
      <w:pPr>
        <w:ind w:left="1440" w:hanging="1080"/>
      </w:pPr>
      <w:rPr>
        <w:rFonts w:hint="default"/>
      </w:rPr>
    </w:lvl>
    <w:lvl w:ilvl="3">
      <w:start w:val="1"/>
      <w:numFmt w:val="decimal"/>
      <w:pStyle w:val="Heading4-Chapter1012"/>
      <w:lvlText w:val="10.1.2.%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8" w15:restartNumberingAfterBreak="0">
    <w:nsid w:val="1D340BB1"/>
    <w:multiLevelType w:val="hybridMultilevel"/>
    <w:tmpl w:val="083A10F4"/>
    <w:lvl w:ilvl="0" w:tplc="A1141BD4">
      <w:start w:val="1"/>
      <w:numFmt w:val="decimal"/>
      <w:pStyle w:val="Heading3-Chapter52"/>
      <w:lvlText w:val="5.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1F523A3B"/>
    <w:multiLevelType w:val="hybridMultilevel"/>
    <w:tmpl w:val="59CA181E"/>
    <w:lvl w:ilvl="0" w:tplc="EEFE4B4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1FB05800"/>
    <w:multiLevelType w:val="hybridMultilevel"/>
    <w:tmpl w:val="9514838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03B2540"/>
    <w:multiLevelType w:val="hybridMultilevel"/>
    <w:tmpl w:val="8EC8291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0AA58F4"/>
    <w:multiLevelType w:val="hybridMultilevel"/>
    <w:tmpl w:val="641AD9D0"/>
    <w:lvl w:ilvl="0" w:tplc="9D7AFF38">
      <w:start w:val="1"/>
      <w:numFmt w:val="decimal"/>
      <w:pStyle w:val="Heading3-Chapter122"/>
      <w:lvlText w:val="12.2.%1."/>
      <w:lvlJc w:val="left"/>
      <w:pPr>
        <w:ind w:left="720" w:hanging="360"/>
      </w:pPr>
      <w:rPr>
        <w:rFonts w:hint="default"/>
      </w:rPr>
    </w:lvl>
    <w:lvl w:ilvl="1" w:tplc="60E00990">
      <w:start w:val="1"/>
      <w:numFmt w:val="decimal"/>
      <w:lvlText w:val="%2."/>
      <w:lvlJc w:val="left"/>
      <w:pPr>
        <w:ind w:left="1440" w:hanging="360"/>
      </w:pPr>
      <w:rPr>
        <w:rFonts w:hint="default"/>
        <w:b/>
      </w:rPr>
    </w:lvl>
    <w:lvl w:ilvl="2" w:tplc="0C09001B">
      <w:start w:val="1"/>
      <w:numFmt w:val="lowerRoman"/>
      <w:lvlText w:val="%3."/>
      <w:lvlJc w:val="right"/>
      <w:pPr>
        <w:ind w:left="2160" w:hanging="180"/>
      </w:pPr>
    </w:lvl>
    <w:lvl w:ilvl="3" w:tplc="818E84B4">
      <w:start w:val="1"/>
      <w:numFmt w:val="lowerRoman"/>
      <w:lvlText w:val="(%4)"/>
      <w:lvlJc w:val="left"/>
      <w:pPr>
        <w:ind w:left="3240" w:hanging="720"/>
      </w:pPr>
      <w:rPr>
        <w:rFonts w:hint="default"/>
      </w:rPr>
    </w:lvl>
    <w:lvl w:ilvl="4" w:tplc="A3E297A0">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21E16FE3"/>
    <w:multiLevelType w:val="hybridMultilevel"/>
    <w:tmpl w:val="666A5C36"/>
    <w:lvl w:ilvl="0" w:tplc="04090005">
      <w:start w:val="1"/>
      <w:numFmt w:val="bullet"/>
      <w:lvlText w:val=""/>
      <w:lvlJc w:val="left"/>
      <w:pPr>
        <w:ind w:left="360" w:hanging="360"/>
      </w:pPr>
      <w:rPr>
        <w:rFonts w:ascii="Wingdings" w:hAnsi="Wingdings" w:hint="default"/>
      </w:rPr>
    </w:lvl>
    <w:lvl w:ilvl="1" w:tplc="A30A5B1A">
      <w:start w:val="1"/>
      <w:numFmt w:val="bullet"/>
      <w:lvlText w:val=""/>
      <w:lvlJc w:val="left"/>
      <w:pPr>
        <w:ind w:left="1440" w:hanging="720"/>
      </w:pPr>
      <w:rPr>
        <w:rFonts w:ascii="Symbol" w:eastAsia="Times New Roman" w:hAnsi="Symbol"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220B3C5A"/>
    <w:multiLevelType w:val="multilevel"/>
    <w:tmpl w:val="A844BE1A"/>
    <w:lvl w:ilvl="0">
      <w:start w:val="1"/>
      <w:numFmt w:val="decimal"/>
      <w:lvlText w:val="%1."/>
      <w:lvlJc w:val="left"/>
      <w:pPr>
        <w:ind w:left="720" w:hanging="360"/>
      </w:pPr>
      <w:rPr>
        <w:rFonts w:hint="default"/>
        <w:b/>
      </w:rPr>
    </w:lvl>
    <w:lvl w:ilvl="1">
      <w:start w:val="1"/>
      <w:numFmt w:val="decimal"/>
      <w:pStyle w:val="Heading2-Chapter9"/>
      <w:isLgl/>
      <w:lvlText w:val="%1.%2"/>
      <w:lvlJc w:val="left"/>
      <w:pPr>
        <w:ind w:left="1080" w:hanging="720"/>
      </w:pPr>
      <w:rPr>
        <w:rFonts w:hint="default"/>
      </w:rPr>
    </w:lvl>
    <w:lvl w:ilvl="2">
      <w:start w:val="1"/>
      <w:numFmt w:val="decimal"/>
      <w:pStyle w:val="Heading3-Chapter93"/>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5" w15:restartNumberingAfterBreak="0">
    <w:nsid w:val="23455764"/>
    <w:multiLevelType w:val="hybridMultilevel"/>
    <w:tmpl w:val="43FEED32"/>
    <w:lvl w:ilvl="0" w:tplc="13A06698">
      <w:start w:val="1"/>
      <w:numFmt w:val="lowerLetter"/>
      <w:lvlText w:val="(%1)"/>
      <w:lvlJc w:val="left"/>
      <w:pPr>
        <w:ind w:left="360" w:hanging="360"/>
      </w:pPr>
      <w:rPr>
        <w:rFonts w:hint="default"/>
      </w:rPr>
    </w:lvl>
    <w:lvl w:ilvl="1" w:tplc="1D522146">
      <w:start w:val="1"/>
      <w:numFmt w:val="decimal"/>
      <w:lvlText w:val="%2."/>
      <w:lvlJc w:val="left"/>
      <w:pPr>
        <w:ind w:left="1080" w:hanging="360"/>
      </w:pPr>
      <w:rPr>
        <w:rFonts w:hint="default"/>
        <w:b/>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23650AB4"/>
    <w:multiLevelType w:val="hybridMultilevel"/>
    <w:tmpl w:val="19B46B36"/>
    <w:lvl w:ilvl="0" w:tplc="DBD2AA54">
      <w:start w:val="1"/>
      <w:numFmt w:val="lowerRoman"/>
      <w:lvlText w:val="(%1)"/>
      <w:lvlJc w:val="left"/>
      <w:pPr>
        <w:ind w:left="720" w:hanging="720"/>
      </w:pPr>
      <w:rPr>
        <w:rFonts w:hint="default"/>
      </w:rPr>
    </w:lvl>
    <w:lvl w:ilvl="1" w:tplc="62249EE8">
      <w:start w:val="1"/>
      <w:numFmt w:val="decimal"/>
      <w:lvlText w:val="%2."/>
      <w:lvlJc w:val="left"/>
      <w:pPr>
        <w:ind w:left="1080" w:hanging="360"/>
      </w:pPr>
      <w:rPr>
        <w:rFonts w:hint="default"/>
        <w:b/>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23DE248A"/>
    <w:multiLevelType w:val="hybridMultilevel"/>
    <w:tmpl w:val="6CB61406"/>
    <w:lvl w:ilvl="0" w:tplc="B266738A">
      <w:start w:val="1"/>
      <w:numFmt w:val="decimal"/>
      <w:pStyle w:val="Heading4-Chapter1033"/>
      <w:lvlText w:val="8.5.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24396429"/>
    <w:multiLevelType w:val="hybridMultilevel"/>
    <w:tmpl w:val="AA7C04A2"/>
    <w:lvl w:ilvl="0" w:tplc="1EBC9216">
      <w:start w:val="1"/>
      <w:numFmt w:val="decimal"/>
      <w:pStyle w:val="Heading4-Chapter331"/>
      <w:lvlText w:val="3.3.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50612C1"/>
    <w:multiLevelType w:val="hybridMultilevel"/>
    <w:tmpl w:val="6734964A"/>
    <w:lvl w:ilvl="0" w:tplc="6E04E932">
      <w:start w:val="1"/>
      <w:numFmt w:val="bullet"/>
      <w:lvlText w:val="­"/>
      <w:lvlJc w:val="left"/>
      <w:pPr>
        <w:ind w:left="720" w:hanging="360"/>
      </w:pPr>
      <w:rPr>
        <w:rFonts w:ascii="Courier New" w:hAnsi="Courier New" w:hint="default"/>
      </w:rPr>
    </w:lvl>
    <w:lvl w:ilvl="1" w:tplc="6E04E932">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256B3361"/>
    <w:multiLevelType w:val="hybridMultilevel"/>
    <w:tmpl w:val="81AE8AA2"/>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257000E2"/>
    <w:multiLevelType w:val="hybridMultilevel"/>
    <w:tmpl w:val="85161E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258C3380"/>
    <w:multiLevelType w:val="hybridMultilevel"/>
    <w:tmpl w:val="83D4D6E2"/>
    <w:lvl w:ilvl="0" w:tplc="20E66AF0">
      <w:start w:val="1"/>
      <w:numFmt w:val="decimal"/>
      <w:pStyle w:val="Heading3-Chapter23"/>
      <w:lvlText w:val="2.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25921AC0"/>
    <w:multiLevelType w:val="hybridMultilevel"/>
    <w:tmpl w:val="6676256C"/>
    <w:lvl w:ilvl="0" w:tplc="253CE6E2">
      <w:start w:val="1"/>
      <w:numFmt w:val="decimal"/>
      <w:pStyle w:val="Heading3-Chapter114"/>
      <w:lvlText w:val="11.4.%1."/>
      <w:lvlJc w:val="left"/>
      <w:pPr>
        <w:ind w:left="720" w:hanging="360"/>
      </w:pPr>
      <w:rPr>
        <w:rFonts w:hint="default"/>
      </w:rPr>
    </w:lvl>
    <w:lvl w:ilvl="1" w:tplc="60E00990">
      <w:start w:val="1"/>
      <w:numFmt w:val="decimal"/>
      <w:lvlText w:val="%2."/>
      <w:lvlJc w:val="left"/>
      <w:pPr>
        <w:ind w:left="1440" w:hanging="360"/>
      </w:pPr>
      <w:rPr>
        <w:rFonts w:hint="default"/>
        <w:b/>
      </w:rPr>
    </w:lvl>
    <w:lvl w:ilvl="2" w:tplc="0C09001B">
      <w:start w:val="1"/>
      <w:numFmt w:val="lowerRoman"/>
      <w:lvlText w:val="%3."/>
      <w:lvlJc w:val="right"/>
      <w:pPr>
        <w:ind w:left="2160" w:hanging="180"/>
      </w:pPr>
    </w:lvl>
    <w:lvl w:ilvl="3" w:tplc="818E84B4">
      <w:start w:val="1"/>
      <w:numFmt w:val="lowerRoman"/>
      <w:lvlText w:val="(%4)"/>
      <w:lvlJc w:val="left"/>
      <w:pPr>
        <w:ind w:left="3240" w:hanging="720"/>
      </w:pPr>
      <w:rPr>
        <w:rFonts w:hint="default"/>
      </w:rPr>
    </w:lvl>
    <w:lvl w:ilvl="4" w:tplc="A3E297A0">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25DC1C31"/>
    <w:multiLevelType w:val="hybridMultilevel"/>
    <w:tmpl w:val="9886C7BA"/>
    <w:lvl w:ilvl="0" w:tplc="04090005">
      <w:start w:val="1"/>
      <w:numFmt w:val="bullet"/>
      <w:lvlText w:val=""/>
      <w:lvlJc w:val="left"/>
      <w:pPr>
        <w:ind w:left="360" w:hanging="360"/>
      </w:pPr>
      <w:rPr>
        <w:rFonts w:ascii="Wingdings" w:hAnsi="Wingdings" w:hint="default"/>
      </w:rPr>
    </w:lvl>
    <w:lvl w:ilvl="1" w:tplc="9B2ED8D0">
      <w:start w:val="3"/>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25F31308"/>
    <w:multiLevelType w:val="hybridMultilevel"/>
    <w:tmpl w:val="C150BC3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27E52568"/>
    <w:multiLevelType w:val="hybridMultilevel"/>
    <w:tmpl w:val="8604A6B0"/>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9387A6E"/>
    <w:multiLevelType w:val="hybridMultilevel"/>
    <w:tmpl w:val="257EC3FC"/>
    <w:lvl w:ilvl="0" w:tplc="04090005">
      <w:start w:val="1"/>
      <w:numFmt w:val="bullet"/>
      <w:lvlText w:val=""/>
      <w:lvlJc w:val="left"/>
      <w:pPr>
        <w:ind w:left="360" w:hanging="360"/>
      </w:pPr>
      <w:rPr>
        <w:rFonts w:ascii="Wingdings" w:hAnsi="Wingdings" w:hint="default"/>
      </w:rPr>
    </w:lvl>
    <w:lvl w:ilvl="1" w:tplc="9B2ED8D0">
      <w:start w:val="3"/>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29B25915"/>
    <w:multiLevelType w:val="hybridMultilevel"/>
    <w:tmpl w:val="A84257A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9FC72CA"/>
    <w:multiLevelType w:val="hybridMultilevel"/>
    <w:tmpl w:val="81D07DC0"/>
    <w:lvl w:ilvl="0" w:tplc="04090005">
      <w:start w:val="1"/>
      <w:numFmt w:val="bullet"/>
      <w:lvlText w:val=""/>
      <w:lvlJc w:val="left"/>
      <w:pPr>
        <w:ind w:left="306" w:hanging="360"/>
      </w:pPr>
      <w:rPr>
        <w:rFonts w:ascii="Wingdings" w:hAnsi="Wingdings" w:hint="default"/>
      </w:rPr>
    </w:lvl>
    <w:lvl w:ilvl="1" w:tplc="0C090003" w:tentative="1">
      <w:start w:val="1"/>
      <w:numFmt w:val="bullet"/>
      <w:lvlText w:val="o"/>
      <w:lvlJc w:val="left"/>
      <w:pPr>
        <w:ind w:left="1026" w:hanging="360"/>
      </w:pPr>
      <w:rPr>
        <w:rFonts w:ascii="Courier New" w:hAnsi="Courier New" w:cs="Courier New" w:hint="default"/>
      </w:rPr>
    </w:lvl>
    <w:lvl w:ilvl="2" w:tplc="0C090005" w:tentative="1">
      <w:start w:val="1"/>
      <w:numFmt w:val="bullet"/>
      <w:lvlText w:val=""/>
      <w:lvlJc w:val="left"/>
      <w:pPr>
        <w:ind w:left="1746" w:hanging="360"/>
      </w:pPr>
      <w:rPr>
        <w:rFonts w:ascii="Wingdings" w:hAnsi="Wingdings" w:hint="default"/>
      </w:rPr>
    </w:lvl>
    <w:lvl w:ilvl="3" w:tplc="0C090001" w:tentative="1">
      <w:start w:val="1"/>
      <w:numFmt w:val="bullet"/>
      <w:lvlText w:val=""/>
      <w:lvlJc w:val="left"/>
      <w:pPr>
        <w:ind w:left="2466" w:hanging="360"/>
      </w:pPr>
      <w:rPr>
        <w:rFonts w:ascii="Symbol" w:hAnsi="Symbol" w:hint="default"/>
      </w:rPr>
    </w:lvl>
    <w:lvl w:ilvl="4" w:tplc="0C090003" w:tentative="1">
      <w:start w:val="1"/>
      <w:numFmt w:val="bullet"/>
      <w:lvlText w:val="o"/>
      <w:lvlJc w:val="left"/>
      <w:pPr>
        <w:ind w:left="3186" w:hanging="360"/>
      </w:pPr>
      <w:rPr>
        <w:rFonts w:ascii="Courier New" w:hAnsi="Courier New" w:cs="Courier New" w:hint="default"/>
      </w:rPr>
    </w:lvl>
    <w:lvl w:ilvl="5" w:tplc="0C090005" w:tentative="1">
      <w:start w:val="1"/>
      <w:numFmt w:val="bullet"/>
      <w:lvlText w:val=""/>
      <w:lvlJc w:val="left"/>
      <w:pPr>
        <w:ind w:left="3906" w:hanging="360"/>
      </w:pPr>
      <w:rPr>
        <w:rFonts w:ascii="Wingdings" w:hAnsi="Wingdings" w:hint="default"/>
      </w:rPr>
    </w:lvl>
    <w:lvl w:ilvl="6" w:tplc="0C090001" w:tentative="1">
      <w:start w:val="1"/>
      <w:numFmt w:val="bullet"/>
      <w:lvlText w:val=""/>
      <w:lvlJc w:val="left"/>
      <w:pPr>
        <w:ind w:left="4626" w:hanging="360"/>
      </w:pPr>
      <w:rPr>
        <w:rFonts w:ascii="Symbol" w:hAnsi="Symbol" w:hint="default"/>
      </w:rPr>
    </w:lvl>
    <w:lvl w:ilvl="7" w:tplc="0C090003" w:tentative="1">
      <w:start w:val="1"/>
      <w:numFmt w:val="bullet"/>
      <w:lvlText w:val="o"/>
      <w:lvlJc w:val="left"/>
      <w:pPr>
        <w:ind w:left="5346" w:hanging="360"/>
      </w:pPr>
      <w:rPr>
        <w:rFonts w:ascii="Courier New" w:hAnsi="Courier New" w:cs="Courier New" w:hint="default"/>
      </w:rPr>
    </w:lvl>
    <w:lvl w:ilvl="8" w:tplc="0C090005" w:tentative="1">
      <w:start w:val="1"/>
      <w:numFmt w:val="bullet"/>
      <w:lvlText w:val=""/>
      <w:lvlJc w:val="left"/>
      <w:pPr>
        <w:ind w:left="6066" w:hanging="360"/>
      </w:pPr>
      <w:rPr>
        <w:rFonts w:ascii="Wingdings" w:hAnsi="Wingdings" w:hint="default"/>
      </w:rPr>
    </w:lvl>
  </w:abstractNum>
  <w:abstractNum w:abstractNumId="90" w15:restartNumberingAfterBreak="0">
    <w:nsid w:val="2A454FA8"/>
    <w:multiLevelType w:val="hybridMultilevel"/>
    <w:tmpl w:val="E4A65F6E"/>
    <w:lvl w:ilvl="0" w:tplc="8676F0C6">
      <w:start w:val="1"/>
      <w:numFmt w:val="decimal"/>
      <w:pStyle w:val="Heading3-Chapter53"/>
      <w:lvlText w:val="5.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2A6F195C"/>
    <w:multiLevelType w:val="hybridMultilevel"/>
    <w:tmpl w:val="1B0E327E"/>
    <w:lvl w:ilvl="0" w:tplc="6E04E932">
      <w:start w:val="1"/>
      <w:numFmt w:val="bullet"/>
      <w:lvlText w:val="­"/>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B5F1B10"/>
    <w:multiLevelType w:val="hybridMultilevel"/>
    <w:tmpl w:val="B0621BBC"/>
    <w:lvl w:ilvl="0" w:tplc="13A0669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15:restartNumberingAfterBreak="0">
    <w:nsid w:val="2B632800"/>
    <w:multiLevelType w:val="hybridMultilevel"/>
    <w:tmpl w:val="67580AE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B6D3638"/>
    <w:multiLevelType w:val="hybridMultilevel"/>
    <w:tmpl w:val="82D809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2C9F075B"/>
    <w:multiLevelType w:val="hybridMultilevel"/>
    <w:tmpl w:val="B3A66188"/>
    <w:lvl w:ilvl="0" w:tplc="BE32F54A">
      <w:start w:val="1"/>
      <w:numFmt w:val="bullet"/>
      <w:lvlText w:val=""/>
      <w:lvlJc w:val="left"/>
      <w:pPr>
        <w:ind w:left="720" w:hanging="360"/>
      </w:pPr>
      <w:rPr>
        <w:rFonts w:ascii="Wingdings" w:hAnsi="Wingdings"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2CAC0D43"/>
    <w:multiLevelType w:val="hybridMultilevel"/>
    <w:tmpl w:val="04A206E0"/>
    <w:lvl w:ilvl="0" w:tplc="04090005">
      <w:start w:val="1"/>
      <w:numFmt w:val="bullet"/>
      <w:lvlText w:val=""/>
      <w:lvlJc w:val="left"/>
      <w:pPr>
        <w:ind w:left="363" w:hanging="360"/>
      </w:pPr>
      <w:rPr>
        <w:rFonts w:ascii="Wingdings" w:hAnsi="Wingdings"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97" w15:restartNumberingAfterBreak="0">
    <w:nsid w:val="2CAC6E32"/>
    <w:multiLevelType w:val="hybridMultilevel"/>
    <w:tmpl w:val="8E38684C"/>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2CBA1553"/>
    <w:multiLevelType w:val="hybridMultilevel"/>
    <w:tmpl w:val="A39401A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D6421E8"/>
    <w:multiLevelType w:val="hybridMultilevel"/>
    <w:tmpl w:val="41E2E2B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E152619"/>
    <w:multiLevelType w:val="hybridMultilevel"/>
    <w:tmpl w:val="871A5830"/>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2E3D09DA"/>
    <w:multiLevelType w:val="multilevel"/>
    <w:tmpl w:val="87F0A77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pStyle w:val="Heading4-Chapter761"/>
      <w:lvlText w:val="7.6.1.%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2" w15:restartNumberingAfterBreak="0">
    <w:nsid w:val="2E6819EE"/>
    <w:multiLevelType w:val="hybridMultilevel"/>
    <w:tmpl w:val="0C129408"/>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2F8A6E19"/>
    <w:multiLevelType w:val="hybridMultilevel"/>
    <w:tmpl w:val="F38874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2FE52812"/>
    <w:multiLevelType w:val="multilevel"/>
    <w:tmpl w:val="254E99D2"/>
    <w:lvl w:ilvl="0">
      <w:start w:val="1"/>
      <w:numFmt w:val="decimal"/>
      <w:lvlText w:val="%1."/>
      <w:lvlJc w:val="left"/>
      <w:pPr>
        <w:ind w:left="720" w:hanging="360"/>
      </w:pPr>
      <w:rPr>
        <w:rFonts w:hint="default"/>
        <w:b/>
      </w:rPr>
    </w:lvl>
    <w:lvl w:ilvl="1">
      <w:start w:val="1"/>
      <w:numFmt w:val="decimal"/>
      <w:lvlText w:val="10.%2."/>
      <w:lvlJc w:val="left"/>
      <w:pPr>
        <w:ind w:left="1080" w:hanging="720"/>
      </w:pPr>
      <w:rPr>
        <w:rFonts w:hint="default"/>
      </w:rPr>
    </w:lvl>
    <w:lvl w:ilvl="2">
      <w:start w:val="1"/>
      <w:numFmt w:val="decimal"/>
      <w:lvlText w:val="10.1.%3."/>
      <w:lvlJc w:val="left"/>
      <w:pPr>
        <w:ind w:left="1440" w:hanging="1080"/>
      </w:pPr>
      <w:rPr>
        <w:rFonts w:hint="default"/>
      </w:rPr>
    </w:lvl>
    <w:lvl w:ilvl="3">
      <w:start w:val="1"/>
      <w:numFmt w:val="decimal"/>
      <w:pStyle w:val="Heading4-Chapter1011"/>
      <w:lvlText w:val="10.1.1.%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5" w15:restartNumberingAfterBreak="0">
    <w:nsid w:val="2FF462B0"/>
    <w:multiLevelType w:val="hybridMultilevel"/>
    <w:tmpl w:val="A7F6038C"/>
    <w:lvl w:ilvl="0" w:tplc="0C090005">
      <w:start w:val="1"/>
      <w:numFmt w:val="bullet"/>
      <w:lvlText w:val=""/>
      <w:lvlJc w:val="left"/>
      <w:pPr>
        <w:ind w:left="1080" w:hanging="720"/>
      </w:pPr>
      <w:rPr>
        <w:rFonts w:ascii="Wingdings" w:hAnsi="Wingdings" w:hint="default"/>
      </w:rPr>
    </w:lvl>
    <w:lvl w:ilvl="1" w:tplc="0C090019">
      <w:start w:val="1"/>
      <w:numFmt w:val="lowerLetter"/>
      <w:lvlText w:val="%2."/>
      <w:lvlJc w:val="left"/>
      <w:pPr>
        <w:ind w:left="1440" w:hanging="360"/>
      </w:pPr>
    </w:lvl>
    <w:lvl w:ilvl="2" w:tplc="0C090005">
      <w:start w:val="1"/>
      <w:numFmt w:val="bullet"/>
      <w:lvlText w:val=""/>
      <w:lvlJc w:val="left"/>
      <w:pPr>
        <w:ind w:left="2160" w:hanging="180"/>
      </w:pPr>
      <w:rPr>
        <w:rFonts w:ascii="Wingdings" w:hAnsi="Wingdings" w:hint="default"/>
      </w:rPr>
    </w:lvl>
    <w:lvl w:ilvl="3" w:tplc="7CF0897E">
      <w:start w:val="1"/>
      <w:numFmt w:val="decimal"/>
      <w:lvlText w:val="%4."/>
      <w:lvlJc w:val="left"/>
      <w:pPr>
        <w:ind w:left="2880" w:hanging="360"/>
      </w:pPr>
      <w:rPr>
        <w:rFonts w:hint="default"/>
        <w:b/>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30F85EE7"/>
    <w:multiLevelType w:val="hybridMultilevel"/>
    <w:tmpl w:val="1D826FE0"/>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31507D07"/>
    <w:multiLevelType w:val="hybridMultilevel"/>
    <w:tmpl w:val="74D2FD96"/>
    <w:lvl w:ilvl="0" w:tplc="6E04E93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31710830"/>
    <w:multiLevelType w:val="hybridMultilevel"/>
    <w:tmpl w:val="70FAC2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3183321F"/>
    <w:multiLevelType w:val="hybridMultilevel"/>
    <w:tmpl w:val="1E8E909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31FE167A"/>
    <w:multiLevelType w:val="hybridMultilevel"/>
    <w:tmpl w:val="E50A34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206483F"/>
    <w:multiLevelType w:val="hybridMultilevel"/>
    <w:tmpl w:val="DC043C96"/>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32714C0E"/>
    <w:multiLevelType w:val="hybridMultilevel"/>
    <w:tmpl w:val="4E244CF6"/>
    <w:lvl w:ilvl="0" w:tplc="FDF67786">
      <w:start w:val="1"/>
      <w:numFmt w:val="decimal"/>
      <w:pStyle w:val="Heading3-Chapter43"/>
      <w:lvlText w:val="4.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32941E55"/>
    <w:multiLevelType w:val="hybridMultilevel"/>
    <w:tmpl w:val="D9BCB6FC"/>
    <w:lvl w:ilvl="0" w:tplc="0C090005">
      <w:start w:val="1"/>
      <w:numFmt w:val="bullet"/>
      <w:lvlText w:val=""/>
      <w:lvlJc w:val="left"/>
      <w:pPr>
        <w:ind w:left="360" w:hanging="360"/>
      </w:pPr>
      <w:rPr>
        <w:rFonts w:ascii="Wingdings" w:hAnsi="Wingdings" w:hint="default"/>
      </w:rPr>
    </w:lvl>
    <w:lvl w:ilvl="1" w:tplc="9B2ED8D0">
      <w:start w:val="3"/>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32A05FD5"/>
    <w:multiLevelType w:val="hybridMultilevel"/>
    <w:tmpl w:val="763A10FC"/>
    <w:lvl w:ilvl="0" w:tplc="D75ED532">
      <w:start w:val="1"/>
      <w:numFmt w:val="decimal"/>
      <w:pStyle w:val="Heading3-Chapter51"/>
      <w:lvlText w:val="5.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32CE3AA8"/>
    <w:multiLevelType w:val="hybridMultilevel"/>
    <w:tmpl w:val="E6F4DC6A"/>
    <w:lvl w:ilvl="0" w:tplc="04090005">
      <w:start w:val="1"/>
      <w:numFmt w:val="bullet"/>
      <w:lvlText w:val=""/>
      <w:lvlJc w:val="left"/>
      <w:pPr>
        <w:ind w:left="360" w:hanging="360"/>
      </w:pPr>
      <w:rPr>
        <w:rFonts w:ascii="Wingdings" w:hAnsi="Wingdings" w:hint="default"/>
      </w:rPr>
    </w:lvl>
    <w:lvl w:ilvl="1" w:tplc="9B2ED8D0">
      <w:start w:val="3"/>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3313205A"/>
    <w:multiLevelType w:val="hybridMultilevel"/>
    <w:tmpl w:val="B77A67D6"/>
    <w:lvl w:ilvl="0" w:tplc="8B9077F4">
      <w:start w:val="1"/>
      <w:numFmt w:val="decimal"/>
      <w:lvlText w:val="11.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33A15E48"/>
    <w:multiLevelType w:val="hybridMultilevel"/>
    <w:tmpl w:val="9932980E"/>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18" w15:restartNumberingAfterBreak="0">
    <w:nsid w:val="342A61F4"/>
    <w:multiLevelType w:val="hybridMultilevel"/>
    <w:tmpl w:val="19AADAE2"/>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343109D5"/>
    <w:multiLevelType w:val="hybridMultilevel"/>
    <w:tmpl w:val="AC6C30F4"/>
    <w:lvl w:ilvl="0" w:tplc="04090005">
      <w:start w:val="1"/>
      <w:numFmt w:val="bullet"/>
      <w:lvlText w:val=""/>
      <w:lvlJc w:val="left"/>
      <w:pPr>
        <w:ind w:left="360" w:hanging="360"/>
      </w:pPr>
      <w:rPr>
        <w:rFonts w:ascii="Wingdings" w:hAnsi="Wingdings" w:hint="default"/>
      </w:rPr>
    </w:lvl>
    <w:lvl w:ilvl="1" w:tplc="9B2ED8D0">
      <w:start w:val="3"/>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34527A05"/>
    <w:multiLevelType w:val="hybridMultilevel"/>
    <w:tmpl w:val="B136174A"/>
    <w:lvl w:ilvl="0" w:tplc="FFFFFFFF">
      <w:start w:val="2"/>
      <w:numFmt w:val="bullet"/>
      <w:pStyle w:val="ListDash1"/>
      <w:lvlText w:val="-"/>
      <w:lvlJc w:val="left"/>
      <w:pPr>
        <w:tabs>
          <w:tab w:val="num" w:pos="720"/>
        </w:tabs>
        <w:ind w:left="720" w:hanging="360"/>
      </w:pPr>
      <w:rPr>
        <w:rFonts w:ascii="Tahoma" w:eastAsia="Times New Roman" w:hAnsi="Tahoma" w:cs="Tahoma"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34DC261B"/>
    <w:multiLevelType w:val="hybridMultilevel"/>
    <w:tmpl w:val="216EC23E"/>
    <w:lvl w:ilvl="0" w:tplc="6E04E932">
      <w:start w:val="1"/>
      <w:numFmt w:val="bullet"/>
      <w:lvlText w:val="­"/>
      <w:lvlJc w:val="left"/>
      <w:pPr>
        <w:ind w:left="720" w:hanging="360"/>
      </w:pPr>
      <w:rPr>
        <w:rFonts w:ascii="Courier New" w:hAnsi="Courier New" w:hint="default"/>
      </w:rPr>
    </w:lvl>
    <w:lvl w:ilvl="1" w:tplc="6E04E932">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35390ACC"/>
    <w:multiLevelType w:val="hybridMultilevel"/>
    <w:tmpl w:val="A6EE98E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3568233B"/>
    <w:multiLevelType w:val="hybridMultilevel"/>
    <w:tmpl w:val="7EC4B6A8"/>
    <w:lvl w:ilvl="0" w:tplc="6E04E93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368544CB"/>
    <w:multiLevelType w:val="hybridMultilevel"/>
    <w:tmpl w:val="1F068D36"/>
    <w:lvl w:ilvl="0" w:tplc="04090005">
      <w:start w:val="1"/>
      <w:numFmt w:val="bullet"/>
      <w:lvlText w:val=""/>
      <w:lvlJc w:val="left"/>
      <w:pPr>
        <w:ind w:left="360" w:hanging="360"/>
      </w:pPr>
      <w:rPr>
        <w:rFonts w:ascii="Wingdings" w:hAnsi="Wingdings" w:hint="default"/>
      </w:rPr>
    </w:lvl>
    <w:lvl w:ilvl="1" w:tplc="A30A5B1A">
      <w:start w:val="1"/>
      <w:numFmt w:val="bullet"/>
      <w:lvlText w:val=""/>
      <w:lvlJc w:val="left"/>
      <w:pPr>
        <w:ind w:left="1440" w:hanging="720"/>
      </w:pPr>
      <w:rPr>
        <w:rFonts w:ascii="Symbol" w:eastAsia="Times New Roman" w:hAnsi="Symbol"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37130084"/>
    <w:multiLevelType w:val="hybridMultilevel"/>
    <w:tmpl w:val="BC4C5E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371C6A12"/>
    <w:multiLevelType w:val="hybridMultilevel"/>
    <w:tmpl w:val="166464BA"/>
    <w:lvl w:ilvl="0" w:tplc="4742FE2E">
      <w:start w:val="1"/>
      <w:numFmt w:val="decimal"/>
      <w:lvlText w:val="11.%1."/>
      <w:lvlJc w:val="left"/>
      <w:pPr>
        <w:ind w:left="720" w:hanging="360"/>
      </w:pPr>
      <w:rPr>
        <w:rFonts w:hint="default"/>
      </w:rPr>
    </w:lvl>
    <w:lvl w:ilvl="1" w:tplc="60E00990">
      <w:start w:val="1"/>
      <w:numFmt w:val="decimal"/>
      <w:lvlText w:val="%2."/>
      <w:lvlJc w:val="left"/>
      <w:pPr>
        <w:ind w:left="1440" w:hanging="360"/>
      </w:pPr>
      <w:rPr>
        <w:rFonts w:hint="default"/>
        <w:b/>
      </w:rPr>
    </w:lvl>
    <w:lvl w:ilvl="2" w:tplc="0C09001B">
      <w:start w:val="1"/>
      <w:numFmt w:val="lowerRoman"/>
      <w:lvlText w:val="%3."/>
      <w:lvlJc w:val="right"/>
      <w:pPr>
        <w:ind w:left="2160" w:hanging="180"/>
      </w:pPr>
    </w:lvl>
    <w:lvl w:ilvl="3" w:tplc="2E50F960">
      <w:start w:val="1"/>
      <w:numFmt w:val="lowerRoman"/>
      <w:lvlText w:val="(%4)"/>
      <w:lvlJc w:val="left"/>
      <w:pPr>
        <w:ind w:left="3240" w:hanging="720"/>
      </w:pPr>
      <w:rPr>
        <w:rFonts w:hint="default"/>
      </w:rPr>
    </w:lvl>
    <w:lvl w:ilvl="4" w:tplc="A3E297A0">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37335682"/>
    <w:multiLevelType w:val="hybridMultilevel"/>
    <w:tmpl w:val="F2F8C2D0"/>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3757477F"/>
    <w:multiLevelType w:val="hybridMultilevel"/>
    <w:tmpl w:val="47D2AAD6"/>
    <w:lvl w:ilvl="0" w:tplc="BE32F54A">
      <w:start w:val="1"/>
      <w:numFmt w:val="bullet"/>
      <w:lvlText w:val=""/>
      <w:lvlJc w:val="left"/>
      <w:pPr>
        <w:ind w:left="360" w:hanging="360"/>
      </w:pPr>
      <w:rPr>
        <w:rFonts w:ascii="Wingdings" w:hAnsi="Wingdings"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37917BBA"/>
    <w:multiLevelType w:val="hybridMultilevel"/>
    <w:tmpl w:val="737E2098"/>
    <w:lvl w:ilvl="0" w:tplc="D8B2DD86">
      <w:start w:val="1"/>
      <w:numFmt w:val="decimal"/>
      <w:pStyle w:val="Heading3-Chapter44"/>
      <w:lvlText w:val="4.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38890C60"/>
    <w:multiLevelType w:val="hybridMultilevel"/>
    <w:tmpl w:val="9E64D8DC"/>
    <w:lvl w:ilvl="0" w:tplc="F0163B4A">
      <w:start w:val="1"/>
      <w:numFmt w:val="decimal"/>
      <w:pStyle w:val="Heading3-Chapter82"/>
      <w:lvlText w:val="8.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39302804"/>
    <w:multiLevelType w:val="hybridMultilevel"/>
    <w:tmpl w:val="A41A1B12"/>
    <w:lvl w:ilvl="0" w:tplc="04090005">
      <w:start w:val="1"/>
      <w:numFmt w:val="bullet"/>
      <w:lvlText w:val=""/>
      <w:lvlJc w:val="left"/>
      <w:pPr>
        <w:ind w:left="360" w:hanging="360"/>
      </w:pPr>
      <w:rPr>
        <w:rFonts w:ascii="Wingdings" w:hAnsi="Wingdings" w:hint="default"/>
      </w:rPr>
    </w:lvl>
    <w:lvl w:ilvl="1" w:tplc="9B2ED8D0">
      <w:start w:val="3"/>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39511E91"/>
    <w:multiLevelType w:val="hybridMultilevel"/>
    <w:tmpl w:val="B70CDBA8"/>
    <w:lvl w:ilvl="0" w:tplc="04090005">
      <w:start w:val="1"/>
      <w:numFmt w:val="bullet"/>
      <w:lvlText w:val=""/>
      <w:lvlJc w:val="left"/>
      <w:pPr>
        <w:ind w:left="360" w:hanging="360"/>
      </w:pPr>
      <w:rPr>
        <w:rFonts w:ascii="Wingdings" w:hAnsi="Wingdings" w:hint="default"/>
      </w:rPr>
    </w:lvl>
    <w:lvl w:ilvl="1" w:tplc="9B2ED8D0">
      <w:start w:val="3"/>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39733F62"/>
    <w:multiLevelType w:val="hybridMultilevel"/>
    <w:tmpl w:val="707EEA56"/>
    <w:lvl w:ilvl="0" w:tplc="997CD5E4">
      <w:start w:val="1"/>
      <w:numFmt w:val="decimal"/>
      <w:pStyle w:val="Heading3-Chapter64"/>
      <w:lvlText w:val="6.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39BB7FBB"/>
    <w:multiLevelType w:val="hybridMultilevel"/>
    <w:tmpl w:val="E17040E6"/>
    <w:lvl w:ilvl="0" w:tplc="095C8FD4">
      <w:start w:val="1"/>
      <w:numFmt w:val="decimal"/>
      <w:pStyle w:val="Heading4-Chapter222"/>
      <w:lvlText w:val="2.2.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3BD0679E"/>
    <w:multiLevelType w:val="hybridMultilevel"/>
    <w:tmpl w:val="E1BEC37A"/>
    <w:lvl w:ilvl="0" w:tplc="0C090019">
      <w:start w:val="1"/>
      <w:numFmt w:val="lowerLetter"/>
      <w:lvlText w:val="%1."/>
      <w:lvlJc w:val="left"/>
      <w:pPr>
        <w:ind w:left="720" w:hanging="360"/>
      </w:pPr>
    </w:lvl>
    <w:lvl w:ilvl="1" w:tplc="A392C6FA">
      <w:start w:val="1"/>
      <w:numFmt w:val="upperLetter"/>
      <w:lvlText w:val="%2."/>
      <w:lvlJc w:val="left"/>
      <w:pPr>
        <w:ind w:left="1440" w:hanging="360"/>
      </w:pPr>
      <w:rPr>
        <w:rFonts w:hint="default"/>
      </w:rPr>
    </w:lvl>
    <w:lvl w:ilvl="2" w:tplc="96DCE86C">
      <w:start w:val="1"/>
      <w:numFmt w:val="decimal"/>
      <w:lvlText w:val="%3."/>
      <w:lvlJc w:val="left"/>
      <w:pPr>
        <w:ind w:left="2340" w:hanging="360"/>
      </w:pPr>
      <w:rPr>
        <w:rFonts w:hint="default"/>
        <w:b/>
      </w:r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3C066AE7"/>
    <w:multiLevelType w:val="hybridMultilevel"/>
    <w:tmpl w:val="9AD0918C"/>
    <w:lvl w:ilvl="0" w:tplc="1EE24A40">
      <w:start w:val="1"/>
      <w:numFmt w:val="decimal"/>
      <w:pStyle w:val="Style1"/>
      <w:lvlText w:val="4.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3D540AFE"/>
    <w:multiLevelType w:val="hybridMultilevel"/>
    <w:tmpl w:val="C05E8704"/>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8" w15:restartNumberingAfterBreak="0">
    <w:nsid w:val="3D73158A"/>
    <w:multiLevelType w:val="hybridMultilevel"/>
    <w:tmpl w:val="EE62C102"/>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39" w15:restartNumberingAfterBreak="0">
    <w:nsid w:val="3E01629C"/>
    <w:multiLevelType w:val="hybridMultilevel"/>
    <w:tmpl w:val="881AAC74"/>
    <w:lvl w:ilvl="0" w:tplc="4DEE39BC">
      <w:start w:val="1"/>
      <w:numFmt w:val="decimal"/>
      <w:pStyle w:val="Heading4-Chapter853"/>
      <w:lvlText w:val="8.5.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3E29592B"/>
    <w:multiLevelType w:val="hybridMultilevel"/>
    <w:tmpl w:val="1F4E79B0"/>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3E3B29CD"/>
    <w:multiLevelType w:val="hybridMultilevel"/>
    <w:tmpl w:val="D76E34A8"/>
    <w:lvl w:ilvl="0" w:tplc="7EE82C98">
      <w:start w:val="1"/>
      <w:numFmt w:val="decimal"/>
      <w:pStyle w:val="Heading2-Chapter6"/>
      <w:lvlText w:val="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3EAB6E54"/>
    <w:multiLevelType w:val="hybridMultilevel"/>
    <w:tmpl w:val="FCA029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3F851B2C"/>
    <w:multiLevelType w:val="hybridMultilevel"/>
    <w:tmpl w:val="223CA58E"/>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144" w15:restartNumberingAfterBreak="0">
    <w:nsid w:val="40DD26AB"/>
    <w:multiLevelType w:val="hybridMultilevel"/>
    <w:tmpl w:val="EDD803DE"/>
    <w:lvl w:ilvl="0" w:tplc="B94AFEFA">
      <w:start w:val="1"/>
      <w:numFmt w:val="decimal"/>
      <w:pStyle w:val="Heading3-Chapter54"/>
      <w:lvlText w:val="5.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40E41BA7"/>
    <w:multiLevelType w:val="hybridMultilevel"/>
    <w:tmpl w:val="3C76C38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1690996"/>
    <w:multiLevelType w:val="hybridMultilevel"/>
    <w:tmpl w:val="7EA29D48"/>
    <w:lvl w:ilvl="0" w:tplc="729C29D2">
      <w:start w:val="1"/>
      <w:numFmt w:val="decimal"/>
      <w:pStyle w:val="Heading3-Chapter81"/>
      <w:lvlText w:val="8.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41A752BC"/>
    <w:multiLevelType w:val="hybridMultilevel"/>
    <w:tmpl w:val="A0743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41F45E60"/>
    <w:multiLevelType w:val="hybridMultilevel"/>
    <w:tmpl w:val="9BB892C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42660555"/>
    <w:multiLevelType w:val="hybridMultilevel"/>
    <w:tmpl w:val="1AF471BE"/>
    <w:lvl w:ilvl="0" w:tplc="095C88B0">
      <w:start w:val="1"/>
      <w:numFmt w:val="decimal"/>
      <w:pStyle w:val="Heading3-Chapter32"/>
      <w:lvlText w:val="3.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4369558D"/>
    <w:multiLevelType w:val="hybridMultilevel"/>
    <w:tmpl w:val="ABC433E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43B94798"/>
    <w:multiLevelType w:val="hybridMultilevel"/>
    <w:tmpl w:val="8954C690"/>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44106584"/>
    <w:multiLevelType w:val="hybridMultilevel"/>
    <w:tmpl w:val="DCB46508"/>
    <w:lvl w:ilvl="0" w:tplc="4AA2A9C6">
      <w:start w:val="1"/>
      <w:numFmt w:val="decimal"/>
      <w:pStyle w:val="Heading3-Chapter74"/>
      <w:lvlText w:val="7.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442A3647"/>
    <w:multiLevelType w:val="hybridMultilevel"/>
    <w:tmpl w:val="B90456C6"/>
    <w:lvl w:ilvl="0" w:tplc="677A103C">
      <w:start w:val="1"/>
      <w:numFmt w:val="decimal"/>
      <w:pStyle w:val="Heading3-Chapter33"/>
      <w:lvlText w:val="3.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44D27425"/>
    <w:multiLevelType w:val="hybridMultilevel"/>
    <w:tmpl w:val="DE4A56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56506ED"/>
    <w:multiLevelType w:val="hybridMultilevel"/>
    <w:tmpl w:val="D43E068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45D07AB5"/>
    <w:multiLevelType w:val="hybridMultilevel"/>
    <w:tmpl w:val="B302F5F0"/>
    <w:lvl w:ilvl="0" w:tplc="BDCE0F58">
      <w:start w:val="1"/>
      <w:numFmt w:val="decimal"/>
      <w:pStyle w:val="Heading3-Chapter113"/>
      <w:lvlText w:val="11.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46C254DC"/>
    <w:multiLevelType w:val="hybridMultilevel"/>
    <w:tmpl w:val="955C7528"/>
    <w:lvl w:ilvl="0" w:tplc="6E04E93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475C6662"/>
    <w:multiLevelType w:val="hybridMultilevel"/>
    <w:tmpl w:val="3B327C38"/>
    <w:lvl w:ilvl="0" w:tplc="4D40EEBC">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4D40EEBC">
      <w:start w:val="1"/>
      <w:numFmt w:val="lowerRoman"/>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48E7079E"/>
    <w:multiLevelType w:val="hybridMultilevel"/>
    <w:tmpl w:val="B5E83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48F77657"/>
    <w:multiLevelType w:val="hybridMultilevel"/>
    <w:tmpl w:val="977C0C4E"/>
    <w:lvl w:ilvl="0" w:tplc="04090005">
      <w:start w:val="1"/>
      <w:numFmt w:val="bullet"/>
      <w:lvlText w:val=""/>
      <w:lvlJc w:val="left"/>
      <w:pPr>
        <w:ind w:left="360" w:hanging="360"/>
      </w:pPr>
      <w:rPr>
        <w:rFonts w:ascii="Wingdings" w:hAnsi="Wingdings" w:hint="default"/>
      </w:rPr>
    </w:lvl>
    <w:lvl w:ilvl="1" w:tplc="9B2ED8D0">
      <w:start w:val="3"/>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1" w15:restartNumberingAfterBreak="0">
    <w:nsid w:val="497B2F9E"/>
    <w:multiLevelType w:val="hybridMultilevel"/>
    <w:tmpl w:val="0F2686F0"/>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2" w15:restartNumberingAfterBreak="0">
    <w:nsid w:val="497B308B"/>
    <w:multiLevelType w:val="hybridMultilevel"/>
    <w:tmpl w:val="E7068B9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4BD61026"/>
    <w:multiLevelType w:val="hybridMultilevel"/>
    <w:tmpl w:val="5AF2713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4C2455D9"/>
    <w:multiLevelType w:val="hybridMultilevel"/>
    <w:tmpl w:val="67BC117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4CA523C1"/>
    <w:multiLevelType w:val="hybridMultilevel"/>
    <w:tmpl w:val="AA6EAE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4CFA614E"/>
    <w:multiLevelType w:val="hybridMultilevel"/>
    <w:tmpl w:val="B0C64AE6"/>
    <w:lvl w:ilvl="0" w:tplc="CF601364">
      <w:start w:val="1"/>
      <w:numFmt w:val="decimal"/>
      <w:pStyle w:val="Heading4-Chapter545"/>
      <w:lvlText w:val="5.4.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4D1902D0"/>
    <w:multiLevelType w:val="hybridMultilevel"/>
    <w:tmpl w:val="3D6CDBCE"/>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8" w15:restartNumberingAfterBreak="0">
    <w:nsid w:val="4D352D95"/>
    <w:multiLevelType w:val="hybridMultilevel"/>
    <w:tmpl w:val="6D56DE94"/>
    <w:lvl w:ilvl="0" w:tplc="8FB6D9F6">
      <w:start w:val="1"/>
      <w:numFmt w:val="decimal"/>
      <w:pStyle w:val="Heading2-Chapt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4DB9722B"/>
    <w:multiLevelType w:val="hybridMultilevel"/>
    <w:tmpl w:val="63C627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4DC12B55"/>
    <w:multiLevelType w:val="hybridMultilevel"/>
    <w:tmpl w:val="3196D320"/>
    <w:lvl w:ilvl="0" w:tplc="6E04E932">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4DC12C99"/>
    <w:multiLevelType w:val="hybridMultilevel"/>
    <w:tmpl w:val="A48C0DA6"/>
    <w:lvl w:ilvl="0" w:tplc="DDEE6CBC">
      <w:start w:val="1"/>
      <w:numFmt w:val="decimal"/>
      <w:pStyle w:val="Heading3-Chapter61"/>
      <w:lvlText w:val="6.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4DD944FC"/>
    <w:multiLevelType w:val="hybridMultilevel"/>
    <w:tmpl w:val="750A7FF6"/>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3" w15:restartNumberingAfterBreak="0">
    <w:nsid w:val="4EB528F0"/>
    <w:multiLevelType w:val="hybridMultilevel"/>
    <w:tmpl w:val="51A6BA4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4D40EEBC">
      <w:start w:val="1"/>
      <w:numFmt w:val="lowerRoman"/>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50162FF7"/>
    <w:multiLevelType w:val="hybridMultilevel"/>
    <w:tmpl w:val="FC6AF696"/>
    <w:lvl w:ilvl="0" w:tplc="6BCA95BE">
      <w:start w:val="1"/>
      <w:numFmt w:val="decimal"/>
      <w:pStyle w:val="Heading3-Chapter42"/>
      <w:lvlText w:val="4.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15:restartNumberingAfterBreak="0">
    <w:nsid w:val="50396F2A"/>
    <w:multiLevelType w:val="hybridMultilevel"/>
    <w:tmpl w:val="B7140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503D0521"/>
    <w:multiLevelType w:val="hybridMultilevel"/>
    <w:tmpl w:val="CE7C0156"/>
    <w:lvl w:ilvl="0" w:tplc="BE32F54A">
      <w:start w:val="1"/>
      <w:numFmt w:val="bullet"/>
      <w:lvlText w:val=""/>
      <w:lvlJc w:val="left"/>
      <w:pPr>
        <w:ind w:left="720" w:hanging="360"/>
      </w:pPr>
      <w:rPr>
        <w:rFonts w:ascii="Wingdings" w:hAnsi="Wingdings" w:hint="default"/>
        <w:color w:val="auto"/>
        <w:sz w:val="24"/>
      </w:rPr>
    </w:lvl>
    <w:lvl w:ilvl="1" w:tplc="BE32F54A">
      <w:start w:val="1"/>
      <w:numFmt w:val="bullet"/>
      <w:lvlText w:val=""/>
      <w:lvlJc w:val="left"/>
      <w:pPr>
        <w:ind w:left="1440" w:hanging="360"/>
      </w:pPr>
      <w:rPr>
        <w:rFonts w:ascii="Wingdings" w:hAnsi="Wingdings" w:hint="default"/>
        <w:color w:val="auto"/>
        <w:sz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504C32F3"/>
    <w:multiLevelType w:val="hybridMultilevel"/>
    <w:tmpl w:val="B088060C"/>
    <w:lvl w:ilvl="0" w:tplc="04090005">
      <w:start w:val="1"/>
      <w:numFmt w:val="bullet"/>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8" w15:restartNumberingAfterBreak="0">
    <w:nsid w:val="510B5DE5"/>
    <w:multiLevelType w:val="hybridMultilevel"/>
    <w:tmpl w:val="E9A61E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1A73660"/>
    <w:multiLevelType w:val="hybridMultilevel"/>
    <w:tmpl w:val="8BCCA672"/>
    <w:lvl w:ilvl="0" w:tplc="06C06520">
      <w:start w:val="1"/>
      <w:numFmt w:val="decimal"/>
      <w:pStyle w:val="Heading4-Chapter232"/>
      <w:lvlText w:val="2.3.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0" w15:restartNumberingAfterBreak="0">
    <w:nsid w:val="520E19E5"/>
    <w:multiLevelType w:val="hybridMultilevel"/>
    <w:tmpl w:val="188C0B0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522E77B5"/>
    <w:multiLevelType w:val="hybridMultilevel"/>
    <w:tmpl w:val="37343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CF5EF844">
      <w:start w:val="1"/>
      <w:numFmt w:val="decimal"/>
      <w:pStyle w:val="Heading4-Chapter532"/>
      <w:lvlText w:val="5.3.2.%4."/>
      <w:lvlJc w:val="left"/>
      <w:pPr>
        <w:ind w:left="2880" w:hanging="360"/>
      </w:pPr>
      <w:rPr>
        <w:rFont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528C1DFC"/>
    <w:multiLevelType w:val="hybridMultilevel"/>
    <w:tmpl w:val="1C368A1E"/>
    <w:lvl w:ilvl="0" w:tplc="6E04E932">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52EA1FAE"/>
    <w:multiLevelType w:val="hybridMultilevel"/>
    <w:tmpl w:val="133A00F8"/>
    <w:lvl w:ilvl="0" w:tplc="04090005">
      <w:start w:val="1"/>
      <w:numFmt w:val="bullet"/>
      <w:lvlText w:val=""/>
      <w:lvlJc w:val="left"/>
      <w:pPr>
        <w:ind w:left="360" w:hanging="360"/>
      </w:pPr>
      <w:rPr>
        <w:rFonts w:ascii="Wingdings" w:hAnsi="Wingdings" w:hint="default"/>
      </w:rPr>
    </w:lvl>
    <w:lvl w:ilvl="1" w:tplc="9B2ED8D0">
      <w:start w:val="3"/>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4" w15:restartNumberingAfterBreak="0">
    <w:nsid w:val="53E662A6"/>
    <w:multiLevelType w:val="hybridMultilevel"/>
    <w:tmpl w:val="84E85230"/>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85" w15:restartNumberingAfterBreak="0">
    <w:nsid w:val="540D3DFC"/>
    <w:multiLevelType w:val="hybridMultilevel"/>
    <w:tmpl w:val="AD88B502"/>
    <w:lvl w:ilvl="0" w:tplc="C2909990">
      <w:start w:val="1"/>
      <w:numFmt w:val="decimal"/>
      <w:pStyle w:val="Heading4-Chapter1145"/>
      <w:lvlText w:val="11.4.5.%1."/>
      <w:lvlJc w:val="left"/>
      <w:pPr>
        <w:ind w:left="720" w:hanging="360"/>
      </w:pPr>
      <w:rPr>
        <w:rFonts w:hint="default"/>
      </w:rPr>
    </w:lvl>
    <w:lvl w:ilvl="1" w:tplc="60E00990">
      <w:start w:val="1"/>
      <w:numFmt w:val="decimal"/>
      <w:lvlText w:val="%2."/>
      <w:lvlJc w:val="left"/>
      <w:pPr>
        <w:ind w:left="1440" w:hanging="360"/>
      </w:pPr>
      <w:rPr>
        <w:rFonts w:hint="default"/>
        <w:b/>
      </w:rPr>
    </w:lvl>
    <w:lvl w:ilvl="2" w:tplc="0C09001B">
      <w:start w:val="1"/>
      <w:numFmt w:val="lowerRoman"/>
      <w:lvlText w:val="%3."/>
      <w:lvlJc w:val="right"/>
      <w:pPr>
        <w:ind w:left="2160" w:hanging="180"/>
      </w:pPr>
    </w:lvl>
    <w:lvl w:ilvl="3" w:tplc="818E84B4">
      <w:start w:val="1"/>
      <w:numFmt w:val="lowerRoman"/>
      <w:lvlText w:val="(%4)"/>
      <w:lvlJc w:val="left"/>
      <w:pPr>
        <w:ind w:left="3240" w:hanging="720"/>
      </w:pPr>
      <w:rPr>
        <w:rFonts w:hint="default"/>
      </w:rPr>
    </w:lvl>
    <w:lvl w:ilvl="4" w:tplc="A3E297A0">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6" w15:restartNumberingAfterBreak="0">
    <w:nsid w:val="543F2E7B"/>
    <w:multiLevelType w:val="hybridMultilevel"/>
    <w:tmpl w:val="DABC07A8"/>
    <w:lvl w:ilvl="0" w:tplc="0C09000F">
      <w:start w:val="1"/>
      <w:numFmt w:val="decimal"/>
      <w:lvlText w:val="%1."/>
      <w:lvlJc w:val="left"/>
      <w:pPr>
        <w:ind w:left="764" w:hanging="360"/>
      </w:pPr>
    </w:lvl>
    <w:lvl w:ilvl="1" w:tplc="0C090019" w:tentative="1">
      <w:start w:val="1"/>
      <w:numFmt w:val="lowerLetter"/>
      <w:lvlText w:val="%2."/>
      <w:lvlJc w:val="left"/>
      <w:pPr>
        <w:ind w:left="1484" w:hanging="360"/>
      </w:pPr>
    </w:lvl>
    <w:lvl w:ilvl="2" w:tplc="0C09001B" w:tentative="1">
      <w:start w:val="1"/>
      <w:numFmt w:val="lowerRoman"/>
      <w:lvlText w:val="%3."/>
      <w:lvlJc w:val="right"/>
      <w:pPr>
        <w:ind w:left="2204" w:hanging="180"/>
      </w:pPr>
    </w:lvl>
    <w:lvl w:ilvl="3" w:tplc="0C09000F" w:tentative="1">
      <w:start w:val="1"/>
      <w:numFmt w:val="decimal"/>
      <w:lvlText w:val="%4."/>
      <w:lvlJc w:val="left"/>
      <w:pPr>
        <w:ind w:left="2924" w:hanging="360"/>
      </w:pPr>
    </w:lvl>
    <w:lvl w:ilvl="4" w:tplc="0C090019" w:tentative="1">
      <w:start w:val="1"/>
      <w:numFmt w:val="lowerLetter"/>
      <w:lvlText w:val="%5."/>
      <w:lvlJc w:val="left"/>
      <w:pPr>
        <w:ind w:left="3644" w:hanging="360"/>
      </w:pPr>
    </w:lvl>
    <w:lvl w:ilvl="5" w:tplc="0C09001B" w:tentative="1">
      <w:start w:val="1"/>
      <w:numFmt w:val="lowerRoman"/>
      <w:lvlText w:val="%6."/>
      <w:lvlJc w:val="right"/>
      <w:pPr>
        <w:ind w:left="4364" w:hanging="180"/>
      </w:pPr>
    </w:lvl>
    <w:lvl w:ilvl="6" w:tplc="0C09000F" w:tentative="1">
      <w:start w:val="1"/>
      <w:numFmt w:val="decimal"/>
      <w:lvlText w:val="%7."/>
      <w:lvlJc w:val="left"/>
      <w:pPr>
        <w:ind w:left="5084" w:hanging="360"/>
      </w:pPr>
    </w:lvl>
    <w:lvl w:ilvl="7" w:tplc="0C090019" w:tentative="1">
      <w:start w:val="1"/>
      <w:numFmt w:val="lowerLetter"/>
      <w:lvlText w:val="%8."/>
      <w:lvlJc w:val="left"/>
      <w:pPr>
        <w:ind w:left="5804" w:hanging="360"/>
      </w:pPr>
    </w:lvl>
    <w:lvl w:ilvl="8" w:tplc="0C09001B" w:tentative="1">
      <w:start w:val="1"/>
      <w:numFmt w:val="lowerRoman"/>
      <w:lvlText w:val="%9."/>
      <w:lvlJc w:val="right"/>
      <w:pPr>
        <w:ind w:left="6524" w:hanging="180"/>
      </w:pPr>
    </w:lvl>
  </w:abstractNum>
  <w:abstractNum w:abstractNumId="187" w15:restartNumberingAfterBreak="0">
    <w:nsid w:val="54870A06"/>
    <w:multiLevelType w:val="hybridMultilevel"/>
    <w:tmpl w:val="0E88F2CA"/>
    <w:lvl w:ilvl="0" w:tplc="C1741864">
      <w:start w:val="1"/>
      <w:numFmt w:val="decimal"/>
      <w:pStyle w:val="Heading4-Chapter432"/>
      <w:lvlText w:val="4.3.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8" w15:restartNumberingAfterBreak="0">
    <w:nsid w:val="54BE3986"/>
    <w:multiLevelType w:val="hybridMultilevel"/>
    <w:tmpl w:val="0B401414"/>
    <w:lvl w:ilvl="0" w:tplc="04090005">
      <w:start w:val="1"/>
      <w:numFmt w:val="bullet"/>
      <w:lvlText w:val=""/>
      <w:lvlJc w:val="left"/>
      <w:pPr>
        <w:ind w:left="360" w:hanging="360"/>
      </w:pPr>
      <w:rPr>
        <w:rFonts w:ascii="Wingdings" w:hAnsi="Wingdings" w:hint="default"/>
      </w:rPr>
    </w:lvl>
    <w:lvl w:ilvl="1" w:tplc="9B2ED8D0">
      <w:start w:val="3"/>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9" w15:restartNumberingAfterBreak="0">
    <w:nsid w:val="5514328C"/>
    <w:multiLevelType w:val="hybridMultilevel"/>
    <w:tmpl w:val="E9725F1C"/>
    <w:lvl w:ilvl="0" w:tplc="1088779E">
      <w:start w:val="1"/>
      <w:numFmt w:val="decimal"/>
      <w:pStyle w:val="Heading4-Chapter1132"/>
      <w:lvlText w:val="11.3.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15:restartNumberingAfterBreak="0">
    <w:nsid w:val="55607DCB"/>
    <w:multiLevelType w:val="hybridMultilevel"/>
    <w:tmpl w:val="6008A61A"/>
    <w:lvl w:ilvl="0" w:tplc="E42053EE">
      <w:start w:val="1"/>
      <w:numFmt w:val="decimal"/>
      <w:pStyle w:val="Heading1-Chapters"/>
      <w:lvlText w:val="Chapter %1:"/>
      <w:lvlJc w:val="left"/>
      <w:pPr>
        <w:ind w:left="720" w:hanging="360"/>
      </w:pPr>
      <w:rPr>
        <w:rFonts w:hint="default"/>
      </w:rPr>
    </w:lvl>
    <w:lvl w:ilvl="1" w:tplc="60E00990">
      <w:start w:val="1"/>
      <w:numFmt w:val="decimal"/>
      <w:lvlText w:val="%2."/>
      <w:lvlJc w:val="left"/>
      <w:pPr>
        <w:ind w:left="1440" w:hanging="360"/>
      </w:pPr>
      <w:rPr>
        <w:rFonts w:hint="default"/>
        <w:b/>
      </w:rPr>
    </w:lvl>
    <w:lvl w:ilvl="2" w:tplc="0C09001B">
      <w:start w:val="1"/>
      <w:numFmt w:val="lowerRoman"/>
      <w:lvlText w:val="%3."/>
      <w:lvlJc w:val="right"/>
      <w:pPr>
        <w:ind w:left="2160" w:hanging="180"/>
      </w:pPr>
    </w:lvl>
    <w:lvl w:ilvl="3" w:tplc="818E84B4">
      <w:start w:val="1"/>
      <w:numFmt w:val="lowerRoman"/>
      <w:lvlText w:val="(%4)"/>
      <w:lvlJc w:val="left"/>
      <w:pPr>
        <w:ind w:left="3240" w:hanging="720"/>
      </w:pPr>
      <w:rPr>
        <w:rFonts w:hint="default"/>
      </w:rPr>
    </w:lvl>
    <w:lvl w:ilvl="4" w:tplc="A3E297A0">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1" w15:restartNumberingAfterBreak="0">
    <w:nsid w:val="55A96DED"/>
    <w:multiLevelType w:val="hybridMultilevel"/>
    <w:tmpl w:val="DADE3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2" w15:restartNumberingAfterBreak="0">
    <w:nsid w:val="55FD06A2"/>
    <w:multiLevelType w:val="hybridMultilevel"/>
    <w:tmpl w:val="59E28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562D5396"/>
    <w:multiLevelType w:val="hybridMultilevel"/>
    <w:tmpl w:val="D5BE8E2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56C46140"/>
    <w:multiLevelType w:val="hybridMultilevel"/>
    <w:tmpl w:val="291C7C84"/>
    <w:lvl w:ilvl="0" w:tplc="BE32F54A">
      <w:start w:val="1"/>
      <w:numFmt w:val="bullet"/>
      <w:lvlText w:val=""/>
      <w:lvlJc w:val="left"/>
      <w:pPr>
        <w:ind w:left="360" w:hanging="360"/>
      </w:pPr>
      <w:rPr>
        <w:rFonts w:ascii="Wingdings" w:hAnsi="Wingdings"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5" w15:restartNumberingAfterBreak="0">
    <w:nsid w:val="56DB6AFF"/>
    <w:multiLevelType w:val="hybridMultilevel"/>
    <w:tmpl w:val="C80E7B24"/>
    <w:lvl w:ilvl="0" w:tplc="3AF668D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15:restartNumberingAfterBreak="0">
    <w:nsid w:val="570355E3"/>
    <w:multiLevelType w:val="hybridMultilevel"/>
    <w:tmpl w:val="6F98A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15:restartNumberingAfterBreak="0">
    <w:nsid w:val="58173FAF"/>
    <w:multiLevelType w:val="hybridMultilevel"/>
    <w:tmpl w:val="B76C22B4"/>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8" w15:restartNumberingAfterBreak="0">
    <w:nsid w:val="58812781"/>
    <w:multiLevelType w:val="hybridMultilevel"/>
    <w:tmpl w:val="5A46C5F0"/>
    <w:lvl w:ilvl="0" w:tplc="0DF855A8">
      <w:start w:val="1"/>
      <w:numFmt w:val="decimal"/>
      <w:pStyle w:val="Heading2-Chapter5"/>
      <w:lvlText w:val="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15:restartNumberingAfterBreak="0">
    <w:nsid w:val="590554FF"/>
    <w:multiLevelType w:val="hybridMultilevel"/>
    <w:tmpl w:val="F260DE82"/>
    <w:lvl w:ilvl="0" w:tplc="DD06E928">
      <w:start w:val="1"/>
      <w:numFmt w:val="decimal"/>
      <w:pStyle w:val="Heading4-Chapter4413"/>
      <w:lvlText w:val="4.4.13.%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15:restartNumberingAfterBreak="0">
    <w:nsid w:val="5921150B"/>
    <w:multiLevelType w:val="hybridMultilevel"/>
    <w:tmpl w:val="106EB2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9C77E95"/>
    <w:multiLevelType w:val="hybridMultilevel"/>
    <w:tmpl w:val="FBCC587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59E037B7"/>
    <w:multiLevelType w:val="hybridMultilevel"/>
    <w:tmpl w:val="685640FC"/>
    <w:lvl w:ilvl="0" w:tplc="67A6DEB0">
      <w:start w:val="1"/>
      <w:numFmt w:val="decimal"/>
      <w:lvlText w:val="Chapter %1:"/>
      <w:lvlJc w:val="left"/>
      <w:pPr>
        <w:ind w:left="720" w:hanging="360"/>
      </w:pPr>
      <w:rPr>
        <w:rFonts w:hint="default"/>
      </w:rPr>
    </w:lvl>
    <w:lvl w:ilvl="1" w:tplc="60E00990">
      <w:start w:val="1"/>
      <w:numFmt w:val="decimal"/>
      <w:lvlText w:val="%2."/>
      <w:lvlJc w:val="left"/>
      <w:pPr>
        <w:ind w:left="1440" w:hanging="360"/>
      </w:pPr>
      <w:rPr>
        <w:rFonts w:hint="default"/>
        <w:b/>
      </w:rPr>
    </w:lvl>
    <w:lvl w:ilvl="2" w:tplc="0C090019">
      <w:start w:val="1"/>
      <w:numFmt w:val="lowerLetter"/>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3" w15:restartNumberingAfterBreak="0">
    <w:nsid w:val="5A5C47A2"/>
    <w:multiLevelType w:val="hybridMultilevel"/>
    <w:tmpl w:val="2C60C832"/>
    <w:lvl w:ilvl="0" w:tplc="CCAC6BBC">
      <w:start w:val="1"/>
      <w:numFmt w:val="decimal"/>
      <w:pStyle w:val="Heading2-Chapter12"/>
      <w:lvlText w:val="12.%1."/>
      <w:lvlJc w:val="left"/>
      <w:pPr>
        <w:ind w:left="720" w:hanging="360"/>
      </w:pPr>
      <w:rPr>
        <w:rFonts w:hint="default"/>
      </w:rPr>
    </w:lvl>
    <w:lvl w:ilvl="1" w:tplc="60E00990">
      <w:start w:val="1"/>
      <w:numFmt w:val="decimal"/>
      <w:lvlText w:val="%2."/>
      <w:lvlJc w:val="left"/>
      <w:pPr>
        <w:ind w:left="1440" w:hanging="360"/>
      </w:pPr>
      <w:rPr>
        <w:rFonts w:hint="default"/>
        <w:b/>
      </w:rPr>
    </w:lvl>
    <w:lvl w:ilvl="2" w:tplc="0C09001B">
      <w:start w:val="1"/>
      <w:numFmt w:val="lowerRoman"/>
      <w:lvlText w:val="%3."/>
      <w:lvlJc w:val="right"/>
      <w:pPr>
        <w:ind w:left="2160" w:hanging="180"/>
      </w:pPr>
    </w:lvl>
    <w:lvl w:ilvl="3" w:tplc="818E84B4">
      <w:start w:val="1"/>
      <w:numFmt w:val="lowerRoman"/>
      <w:lvlText w:val="(%4)"/>
      <w:lvlJc w:val="left"/>
      <w:pPr>
        <w:ind w:left="3240" w:hanging="720"/>
      </w:pPr>
      <w:rPr>
        <w:rFonts w:hint="default"/>
      </w:rPr>
    </w:lvl>
    <w:lvl w:ilvl="4" w:tplc="A3E297A0">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15:restartNumberingAfterBreak="0">
    <w:nsid w:val="5A5C546D"/>
    <w:multiLevelType w:val="multilevel"/>
    <w:tmpl w:val="D0447E24"/>
    <w:lvl w:ilvl="0">
      <w:start w:val="1"/>
      <w:numFmt w:val="decimal"/>
      <w:lvlText w:val="%1."/>
      <w:lvlJc w:val="left"/>
      <w:pPr>
        <w:ind w:left="720" w:hanging="360"/>
      </w:pPr>
      <w:rPr>
        <w:rFonts w:hint="default"/>
        <w:b/>
      </w:rPr>
    </w:lvl>
    <w:lvl w:ilvl="1">
      <w:start w:val="1"/>
      <w:numFmt w:val="decimal"/>
      <w:lvlText w:val="10.%2."/>
      <w:lvlJc w:val="left"/>
      <w:pPr>
        <w:ind w:left="1080" w:hanging="720"/>
      </w:pPr>
      <w:rPr>
        <w:rFonts w:hint="default"/>
      </w:rPr>
    </w:lvl>
    <w:lvl w:ilvl="2">
      <w:start w:val="1"/>
      <w:numFmt w:val="decimal"/>
      <w:lvlText w:val="10.3.%3."/>
      <w:lvlJc w:val="left"/>
      <w:pPr>
        <w:ind w:left="1440" w:hanging="1080"/>
      </w:pPr>
      <w:rPr>
        <w:rFonts w:hint="default"/>
      </w:rPr>
    </w:lvl>
    <w:lvl w:ilvl="3">
      <w:start w:val="1"/>
      <w:numFmt w:val="decimal"/>
      <w:pStyle w:val="Heading1033"/>
      <w:lvlText w:val="10.3.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5" w15:restartNumberingAfterBreak="0">
    <w:nsid w:val="5B3002D1"/>
    <w:multiLevelType w:val="hybridMultilevel"/>
    <w:tmpl w:val="9B965964"/>
    <w:lvl w:ilvl="0" w:tplc="04090005">
      <w:start w:val="1"/>
      <w:numFmt w:val="bullet"/>
      <w:lvlText w:val=""/>
      <w:lvlJc w:val="left"/>
      <w:pPr>
        <w:ind w:left="360" w:hanging="360"/>
      </w:pPr>
      <w:rPr>
        <w:rFonts w:ascii="Wingdings" w:hAnsi="Wingdings" w:hint="default"/>
      </w:rPr>
    </w:lvl>
    <w:lvl w:ilvl="1" w:tplc="9B2ED8D0">
      <w:start w:val="3"/>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6" w15:restartNumberingAfterBreak="0">
    <w:nsid w:val="5C237769"/>
    <w:multiLevelType w:val="hybridMultilevel"/>
    <w:tmpl w:val="8B18C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5C32379B"/>
    <w:multiLevelType w:val="hybridMultilevel"/>
    <w:tmpl w:val="F970F28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5E7218E5"/>
    <w:multiLevelType w:val="hybridMultilevel"/>
    <w:tmpl w:val="727A31C2"/>
    <w:lvl w:ilvl="0" w:tplc="47E23C8E">
      <w:start w:val="1"/>
      <w:numFmt w:val="lowerLetter"/>
      <w:pStyle w:val="ListRoman2"/>
      <w:lvlText w:val="%1."/>
      <w:lvlJc w:val="left"/>
      <w:pPr>
        <w:tabs>
          <w:tab w:val="num" w:pos="680"/>
        </w:tabs>
        <w:ind w:left="680" w:hanging="3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9" w15:restartNumberingAfterBreak="0">
    <w:nsid w:val="5E8609D7"/>
    <w:multiLevelType w:val="hybridMultilevel"/>
    <w:tmpl w:val="78AA7E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0" w15:restartNumberingAfterBreak="0">
    <w:nsid w:val="5EBD53BE"/>
    <w:multiLevelType w:val="hybridMultilevel"/>
    <w:tmpl w:val="D03E7CF0"/>
    <w:lvl w:ilvl="0" w:tplc="93BAC020">
      <w:start w:val="1"/>
      <w:numFmt w:val="decimal"/>
      <w:pStyle w:val="Heading3-Chapter73"/>
      <w:lvlText w:val="7.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5EC871D3"/>
    <w:multiLevelType w:val="multilevel"/>
    <w:tmpl w:val="D5EECE26"/>
    <w:lvl w:ilvl="0">
      <w:start w:val="1"/>
      <w:numFmt w:val="lowerRoman"/>
      <w:lvlText w:val="(%1)"/>
      <w:lvlJc w:val="left"/>
      <w:pPr>
        <w:ind w:left="717" w:hanging="360"/>
      </w:pPr>
      <w:rPr>
        <w:rFonts w:hint="default"/>
      </w:rPr>
    </w:lvl>
    <w:lvl w:ilvl="1">
      <w:start w:val="1"/>
      <w:numFmt w:val="lowerLetter"/>
      <w:lvlText w:val="%2)"/>
      <w:lvlJc w:val="left"/>
      <w:pPr>
        <w:ind w:left="1077" w:hanging="360"/>
      </w:pPr>
    </w:lvl>
    <w:lvl w:ilvl="2">
      <w:start w:val="1"/>
      <w:numFmt w:val="lowerRoman"/>
      <w:lvlText w:val="%3)"/>
      <w:lvlJc w:val="left"/>
      <w:pPr>
        <w:ind w:left="1437" w:hanging="360"/>
      </w:p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212" w15:restartNumberingAfterBreak="0">
    <w:nsid w:val="5F36674B"/>
    <w:multiLevelType w:val="hybridMultilevel"/>
    <w:tmpl w:val="B8A8A2B0"/>
    <w:lvl w:ilvl="0" w:tplc="D1681CB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3" w15:restartNumberingAfterBreak="0">
    <w:nsid w:val="625D561F"/>
    <w:multiLevelType w:val="hybridMultilevel"/>
    <w:tmpl w:val="7A9AF3F4"/>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214" w15:restartNumberingAfterBreak="0">
    <w:nsid w:val="63FA3844"/>
    <w:multiLevelType w:val="hybridMultilevel"/>
    <w:tmpl w:val="4DE49B3C"/>
    <w:lvl w:ilvl="0" w:tplc="04090005">
      <w:start w:val="1"/>
      <w:numFmt w:val="bullet"/>
      <w:lvlText w:val=""/>
      <w:lvlJc w:val="left"/>
      <w:pPr>
        <w:ind w:left="720" w:hanging="72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5" w15:restartNumberingAfterBreak="0">
    <w:nsid w:val="643F19D8"/>
    <w:multiLevelType w:val="hybridMultilevel"/>
    <w:tmpl w:val="3084BEE0"/>
    <w:lvl w:ilvl="0" w:tplc="28B288A0">
      <w:start w:val="1"/>
      <w:numFmt w:val="decimal"/>
      <w:pStyle w:val="Heading3-Chapter83"/>
      <w:lvlText w:val="8.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15:restartNumberingAfterBreak="0">
    <w:nsid w:val="64862C31"/>
    <w:multiLevelType w:val="hybridMultilevel"/>
    <w:tmpl w:val="327039D6"/>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7" w15:restartNumberingAfterBreak="0">
    <w:nsid w:val="64F13C0B"/>
    <w:multiLevelType w:val="hybridMultilevel"/>
    <w:tmpl w:val="3F0AD78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65C757A2"/>
    <w:multiLevelType w:val="hybridMultilevel"/>
    <w:tmpl w:val="555AF23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662613AD"/>
    <w:multiLevelType w:val="hybridMultilevel"/>
    <w:tmpl w:val="72E2D06A"/>
    <w:lvl w:ilvl="0" w:tplc="F670D6A2">
      <w:start w:val="1"/>
      <w:numFmt w:val="decimal"/>
      <w:pStyle w:val="Heading4-Chapter1131"/>
      <w:lvlText w:val="11.3.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0" w15:restartNumberingAfterBreak="0">
    <w:nsid w:val="669B07FB"/>
    <w:multiLevelType w:val="hybridMultilevel"/>
    <w:tmpl w:val="D5F803D0"/>
    <w:lvl w:ilvl="0" w:tplc="0C090005">
      <w:start w:val="1"/>
      <w:numFmt w:val="bullet"/>
      <w:lvlText w:val=""/>
      <w:lvlJc w:val="left"/>
      <w:pPr>
        <w:ind w:left="360" w:hanging="360"/>
      </w:pPr>
      <w:rPr>
        <w:rFonts w:ascii="Wingdings" w:hAnsi="Wingdings"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1" w15:restartNumberingAfterBreak="0">
    <w:nsid w:val="67806738"/>
    <w:multiLevelType w:val="hybridMultilevel"/>
    <w:tmpl w:val="52F028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2" w15:restartNumberingAfterBreak="0">
    <w:nsid w:val="67DC3CD7"/>
    <w:multiLevelType w:val="hybridMultilevel"/>
    <w:tmpl w:val="71844842"/>
    <w:lvl w:ilvl="0" w:tplc="886613EE">
      <w:start w:val="1"/>
      <w:numFmt w:val="decimal"/>
      <w:pStyle w:val="Heading2-Chapter4"/>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3" w15:restartNumberingAfterBreak="0">
    <w:nsid w:val="69035D03"/>
    <w:multiLevelType w:val="multilevel"/>
    <w:tmpl w:val="38E0531A"/>
    <w:lvl w:ilvl="0">
      <w:start w:val="1"/>
      <w:numFmt w:val="decimal"/>
      <w:lvlText w:val="%1."/>
      <w:lvlJc w:val="left"/>
      <w:pPr>
        <w:ind w:left="720" w:hanging="360"/>
      </w:pPr>
      <w:rPr>
        <w:rFonts w:hint="default"/>
        <w:b/>
      </w:rPr>
    </w:lvl>
    <w:lvl w:ilvl="1">
      <w:start w:val="1"/>
      <w:numFmt w:val="decimal"/>
      <w:lvlText w:val="10.%2."/>
      <w:lvlJc w:val="left"/>
      <w:pPr>
        <w:ind w:left="1080" w:hanging="720"/>
      </w:pPr>
      <w:rPr>
        <w:rFonts w:hint="default"/>
      </w:rPr>
    </w:lvl>
    <w:lvl w:ilvl="2">
      <w:start w:val="1"/>
      <w:numFmt w:val="decimal"/>
      <w:lvlText w:val="10.3.%3."/>
      <w:lvlJc w:val="left"/>
      <w:pPr>
        <w:ind w:left="1440" w:hanging="1080"/>
      </w:pPr>
      <w:rPr>
        <w:rFonts w:hint="default"/>
      </w:rPr>
    </w:lvl>
    <w:lvl w:ilvl="3">
      <w:start w:val="1"/>
      <w:numFmt w:val="decimal"/>
      <w:pStyle w:val="Heading4-Chapter1031"/>
      <w:lvlText w:val="10.3.1.%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4" w15:restartNumberingAfterBreak="0">
    <w:nsid w:val="6944218B"/>
    <w:multiLevelType w:val="hybridMultilevel"/>
    <w:tmpl w:val="93C2E384"/>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5" w15:restartNumberingAfterBreak="0">
    <w:nsid w:val="69E42F8A"/>
    <w:multiLevelType w:val="hybridMultilevel"/>
    <w:tmpl w:val="B282BE18"/>
    <w:lvl w:ilvl="0" w:tplc="4078B904">
      <w:start w:val="1"/>
      <w:numFmt w:val="decimal"/>
      <w:lvlText w:val="1.%1."/>
      <w:lvlJc w:val="left"/>
      <w:pPr>
        <w:ind w:left="720" w:hanging="360"/>
      </w:pPr>
      <w:rPr>
        <w:rFonts w:hint="default"/>
      </w:rPr>
    </w:lvl>
    <w:lvl w:ilvl="1" w:tplc="562A22BC">
      <w:start w:val="1"/>
      <w:numFmt w:val="decimal"/>
      <w:pStyle w:val="Heading2-Chapter1"/>
      <w:lvlText w:val="1.%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6" w15:restartNumberingAfterBreak="0">
    <w:nsid w:val="6A242B6F"/>
    <w:multiLevelType w:val="hybridMultilevel"/>
    <w:tmpl w:val="E8ACD1A0"/>
    <w:lvl w:ilvl="0" w:tplc="D29C47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7" w15:restartNumberingAfterBreak="0">
    <w:nsid w:val="6B0A29EB"/>
    <w:multiLevelType w:val="hybridMultilevel"/>
    <w:tmpl w:val="9728786E"/>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8" w15:restartNumberingAfterBreak="0">
    <w:nsid w:val="6B213119"/>
    <w:multiLevelType w:val="hybridMultilevel"/>
    <w:tmpl w:val="760C4FEE"/>
    <w:lvl w:ilvl="0" w:tplc="A392C6FA">
      <w:start w:val="1"/>
      <w:numFmt w:val="upperLetter"/>
      <w:lvlText w:val="%1."/>
      <w:lvlJc w:val="left"/>
      <w:pPr>
        <w:ind w:left="720" w:hanging="360"/>
      </w:pPr>
      <w:rPr>
        <w:rFonts w:hint="default"/>
      </w:rPr>
    </w:lvl>
    <w:lvl w:ilvl="1" w:tplc="A392C6FA">
      <w:start w:val="1"/>
      <w:numFmt w:val="upp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9" w15:restartNumberingAfterBreak="0">
    <w:nsid w:val="6B35121D"/>
    <w:multiLevelType w:val="hybridMultilevel"/>
    <w:tmpl w:val="42AC42A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6C9D125B"/>
    <w:multiLevelType w:val="multilevel"/>
    <w:tmpl w:val="C11CCFAE"/>
    <w:lvl w:ilvl="0">
      <w:start w:val="1"/>
      <w:numFmt w:val="bullet"/>
      <w:lvlText w:val=""/>
      <w:lvlJc w:val="left"/>
      <w:pPr>
        <w:ind w:left="717" w:hanging="360"/>
      </w:pPr>
      <w:rPr>
        <w:rFonts w:ascii="Wingdings" w:hAnsi="Wingdings" w:hint="default"/>
      </w:rPr>
    </w:lvl>
    <w:lvl w:ilvl="1">
      <w:start w:val="1"/>
      <w:numFmt w:val="lowerLetter"/>
      <w:lvlText w:val="%2)"/>
      <w:lvlJc w:val="left"/>
      <w:pPr>
        <w:ind w:left="1077" w:hanging="360"/>
      </w:pPr>
    </w:lvl>
    <w:lvl w:ilvl="2">
      <w:start w:val="1"/>
      <w:numFmt w:val="lowerRoman"/>
      <w:lvlText w:val="%3)"/>
      <w:lvlJc w:val="left"/>
      <w:pPr>
        <w:ind w:left="1437" w:hanging="360"/>
      </w:p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231" w15:restartNumberingAfterBreak="0">
    <w:nsid w:val="6E241A48"/>
    <w:multiLevelType w:val="hybridMultilevel"/>
    <w:tmpl w:val="C7EC6174"/>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2" w15:restartNumberingAfterBreak="0">
    <w:nsid w:val="6E690232"/>
    <w:multiLevelType w:val="hybridMultilevel"/>
    <w:tmpl w:val="ACA4C5B4"/>
    <w:lvl w:ilvl="0" w:tplc="6E04E932">
      <w:start w:val="1"/>
      <w:numFmt w:val="bullet"/>
      <w:lvlText w:val="­"/>
      <w:lvlJc w:val="left"/>
      <w:pPr>
        <w:ind w:left="720" w:hanging="360"/>
      </w:pPr>
      <w:rPr>
        <w:rFonts w:ascii="Courier New" w:hAnsi="Courier New" w:hint="default"/>
      </w:rPr>
    </w:lvl>
    <w:lvl w:ilvl="1" w:tplc="6E04E932">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3" w15:restartNumberingAfterBreak="0">
    <w:nsid w:val="6E9F1AE1"/>
    <w:multiLevelType w:val="hybridMultilevel"/>
    <w:tmpl w:val="4516B336"/>
    <w:lvl w:ilvl="0" w:tplc="D3AC087C">
      <w:start w:val="1"/>
      <w:numFmt w:val="decimal"/>
      <w:pStyle w:val="Heading2-Chapter11"/>
      <w:lvlText w:val="11.%1."/>
      <w:lvlJc w:val="left"/>
      <w:pPr>
        <w:ind w:left="720" w:hanging="360"/>
      </w:pPr>
      <w:rPr>
        <w:rFonts w:hint="default"/>
      </w:rPr>
    </w:lvl>
    <w:lvl w:ilvl="1" w:tplc="60E00990">
      <w:start w:val="1"/>
      <w:numFmt w:val="decimal"/>
      <w:lvlText w:val="%2."/>
      <w:lvlJc w:val="left"/>
      <w:pPr>
        <w:ind w:left="1440" w:hanging="360"/>
      </w:pPr>
      <w:rPr>
        <w:rFonts w:hint="default"/>
        <w:b/>
      </w:rPr>
    </w:lvl>
    <w:lvl w:ilvl="2" w:tplc="0C09001B">
      <w:start w:val="1"/>
      <w:numFmt w:val="lowerRoman"/>
      <w:lvlText w:val="%3."/>
      <w:lvlJc w:val="right"/>
      <w:pPr>
        <w:ind w:left="2160" w:hanging="180"/>
      </w:pPr>
    </w:lvl>
    <w:lvl w:ilvl="3" w:tplc="818E84B4">
      <w:start w:val="1"/>
      <w:numFmt w:val="lowerRoman"/>
      <w:lvlText w:val="(%4)"/>
      <w:lvlJc w:val="left"/>
      <w:pPr>
        <w:ind w:left="3240" w:hanging="720"/>
      </w:pPr>
      <w:rPr>
        <w:rFonts w:hint="default"/>
      </w:rPr>
    </w:lvl>
    <w:lvl w:ilvl="4" w:tplc="A3E297A0">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4" w15:restartNumberingAfterBreak="0">
    <w:nsid w:val="6EF905B3"/>
    <w:multiLevelType w:val="hybridMultilevel"/>
    <w:tmpl w:val="B7A6DC0E"/>
    <w:lvl w:ilvl="0" w:tplc="BE32F54A">
      <w:start w:val="1"/>
      <w:numFmt w:val="bullet"/>
      <w:lvlText w:val=""/>
      <w:lvlJc w:val="left"/>
      <w:pPr>
        <w:ind w:left="360" w:hanging="360"/>
      </w:pPr>
      <w:rPr>
        <w:rFonts w:ascii="Wingdings" w:hAnsi="Wingdings" w:hint="default"/>
        <w:color w:val="auto"/>
        <w:sz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5" w15:restartNumberingAfterBreak="0">
    <w:nsid w:val="6F5D1B22"/>
    <w:multiLevelType w:val="hybridMultilevel"/>
    <w:tmpl w:val="D8A4BCD4"/>
    <w:lvl w:ilvl="0" w:tplc="0C09000B">
      <w:start w:val="36"/>
      <w:numFmt w:val="bullet"/>
      <w:pStyle w:val="ListRoman0"/>
      <w:lvlText w:val=""/>
      <w:lvlJc w:val="left"/>
      <w:pPr>
        <w:tabs>
          <w:tab w:val="num" w:pos="720"/>
        </w:tabs>
        <w:ind w:left="720" w:hanging="360"/>
      </w:pPr>
      <w:rPr>
        <w:rFonts w:ascii="Symbol" w:eastAsia="MS Mincho" w:hAnsi="Symbol" w:cs="Times New Roman"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6F6C3EE7"/>
    <w:multiLevelType w:val="hybridMultilevel"/>
    <w:tmpl w:val="6D3E6486"/>
    <w:lvl w:ilvl="0" w:tplc="F8AC5F46">
      <w:start w:val="1"/>
      <w:numFmt w:val="decimal"/>
      <w:pStyle w:val="Heading4-Chapter433"/>
      <w:lvlText w:val="4.3.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7" w15:restartNumberingAfterBreak="0">
    <w:nsid w:val="6FBC5344"/>
    <w:multiLevelType w:val="hybridMultilevel"/>
    <w:tmpl w:val="556206A6"/>
    <w:lvl w:ilvl="0" w:tplc="04090005">
      <w:start w:val="1"/>
      <w:numFmt w:val="bullet"/>
      <w:lvlText w:val=""/>
      <w:lvlJc w:val="left"/>
      <w:pPr>
        <w:ind w:left="360" w:hanging="360"/>
      </w:pPr>
      <w:rPr>
        <w:rFonts w:ascii="Wingdings" w:hAnsi="Wingdings" w:hint="default"/>
      </w:rPr>
    </w:lvl>
    <w:lvl w:ilvl="1" w:tplc="9B2ED8D0">
      <w:start w:val="3"/>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8" w15:restartNumberingAfterBreak="0">
    <w:nsid w:val="6FDA611A"/>
    <w:multiLevelType w:val="hybridMultilevel"/>
    <w:tmpl w:val="E6F02E70"/>
    <w:lvl w:ilvl="0" w:tplc="04090005">
      <w:start w:val="1"/>
      <w:numFmt w:val="bullet"/>
      <w:lvlText w:val=""/>
      <w:lvlJc w:val="left"/>
      <w:pPr>
        <w:ind w:left="360" w:hanging="360"/>
      </w:pPr>
      <w:rPr>
        <w:rFonts w:ascii="Wingdings" w:hAnsi="Wingdings" w:hint="default"/>
      </w:rPr>
    </w:lvl>
    <w:lvl w:ilvl="1" w:tplc="9B2ED8D0">
      <w:start w:val="3"/>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9" w15:restartNumberingAfterBreak="0">
    <w:nsid w:val="705A742C"/>
    <w:multiLevelType w:val="hybridMultilevel"/>
    <w:tmpl w:val="30905BA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705C5AA3"/>
    <w:multiLevelType w:val="hybridMultilevel"/>
    <w:tmpl w:val="ADCAD0F2"/>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1" w15:restartNumberingAfterBreak="0">
    <w:nsid w:val="7067700C"/>
    <w:multiLevelType w:val="hybridMultilevel"/>
    <w:tmpl w:val="BC4C5E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2" w15:restartNumberingAfterBreak="0">
    <w:nsid w:val="712F7278"/>
    <w:multiLevelType w:val="hybridMultilevel"/>
    <w:tmpl w:val="FA1A42B8"/>
    <w:lvl w:ilvl="0" w:tplc="F3080E66">
      <w:start w:val="1"/>
      <w:numFmt w:val="decimal"/>
      <w:pStyle w:val="Heading4-Chapter841"/>
      <w:lvlText w:val="8.4.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3" w15:restartNumberingAfterBreak="0">
    <w:nsid w:val="71435F4C"/>
    <w:multiLevelType w:val="hybridMultilevel"/>
    <w:tmpl w:val="5080B4A2"/>
    <w:lvl w:ilvl="0" w:tplc="04090005">
      <w:start w:val="1"/>
      <w:numFmt w:val="bullet"/>
      <w:lvlText w:val=""/>
      <w:lvlJc w:val="left"/>
      <w:pPr>
        <w:ind w:left="360" w:hanging="360"/>
      </w:pPr>
      <w:rPr>
        <w:rFonts w:ascii="Wingdings" w:hAnsi="Wingdings" w:hint="default"/>
      </w:rPr>
    </w:lvl>
    <w:lvl w:ilvl="1" w:tplc="9B2ED8D0">
      <w:start w:val="3"/>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4" w15:restartNumberingAfterBreak="0">
    <w:nsid w:val="715C2659"/>
    <w:multiLevelType w:val="hybridMultilevel"/>
    <w:tmpl w:val="D98416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719070E6"/>
    <w:multiLevelType w:val="hybridMultilevel"/>
    <w:tmpl w:val="FC46D61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2CECB2C2">
      <w:start w:val="1"/>
      <w:numFmt w:val="decimal"/>
      <w:lvlText w:val="%3."/>
      <w:lvlJc w:val="left"/>
      <w:pPr>
        <w:ind w:left="2340" w:hanging="360"/>
      </w:pPr>
      <w:rPr>
        <w:rFonts w:hint="default"/>
        <w:b/>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6" w15:restartNumberingAfterBreak="0">
    <w:nsid w:val="71A51F45"/>
    <w:multiLevelType w:val="hybridMultilevel"/>
    <w:tmpl w:val="C34A8766"/>
    <w:lvl w:ilvl="0" w:tplc="BE32F54A">
      <w:start w:val="1"/>
      <w:numFmt w:val="bullet"/>
      <w:lvlText w:val=""/>
      <w:lvlJc w:val="left"/>
      <w:pPr>
        <w:ind w:left="720" w:hanging="360"/>
      </w:pPr>
      <w:rPr>
        <w:rFonts w:ascii="Wingdings" w:hAnsi="Wingdings"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7" w15:restartNumberingAfterBreak="0">
    <w:nsid w:val="71B6303A"/>
    <w:multiLevelType w:val="hybridMultilevel"/>
    <w:tmpl w:val="EE50FE0C"/>
    <w:lvl w:ilvl="0" w:tplc="9D40112A">
      <w:start w:val="1"/>
      <w:numFmt w:val="decimal"/>
      <w:pStyle w:val="Heading4-Chapter335"/>
      <w:lvlText w:val="3.3.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8" w15:restartNumberingAfterBreak="0">
    <w:nsid w:val="726B46D5"/>
    <w:multiLevelType w:val="hybridMultilevel"/>
    <w:tmpl w:val="46AE156E"/>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249" w15:restartNumberingAfterBreak="0">
    <w:nsid w:val="727A0427"/>
    <w:multiLevelType w:val="hybridMultilevel"/>
    <w:tmpl w:val="4DB47C34"/>
    <w:lvl w:ilvl="0" w:tplc="4582096A">
      <w:start w:val="1"/>
      <w:numFmt w:val="decimal"/>
      <w:pStyle w:val="Heading3-Chapter85"/>
      <w:lvlText w:val="8.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0" w15:restartNumberingAfterBreak="0">
    <w:nsid w:val="72BF5B42"/>
    <w:multiLevelType w:val="hybridMultilevel"/>
    <w:tmpl w:val="5AA4D292"/>
    <w:lvl w:ilvl="0" w:tplc="49B28EB2">
      <w:start w:val="1"/>
      <w:numFmt w:val="bullet"/>
      <w:lvlText w:val=""/>
      <w:lvlJc w:val="left"/>
      <w:pPr>
        <w:tabs>
          <w:tab w:val="num" w:pos="288"/>
        </w:tabs>
        <w:ind w:left="288" w:hanging="288"/>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72EA3F0D"/>
    <w:multiLevelType w:val="multilevel"/>
    <w:tmpl w:val="63DA1E9E"/>
    <w:lvl w:ilvl="0">
      <w:start w:val="1"/>
      <w:numFmt w:val="decimal"/>
      <w:lvlText w:val="%1."/>
      <w:lvlJc w:val="left"/>
      <w:pPr>
        <w:ind w:left="720" w:hanging="360"/>
      </w:pPr>
      <w:rPr>
        <w:rFonts w:hint="default"/>
        <w:b/>
      </w:rPr>
    </w:lvl>
    <w:lvl w:ilvl="1">
      <w:start w:val="1"/>
      <w:numFmt w:val="decimal"/>
      <w:lvlText w:val="10.%2."/>
      <w:lvlJc w:val="left"/>
      <w:pPr>
        <w:ind w:left="1080" w:hanging="720"/>
      </w:pPr>
      <w:rPr>
        <w:rFonts w:hint="default"/>
      </w:rPr>
    </w:lvl>
    <w:lvl w:ilvl="2">
      <w:start w:val="1"/>
      <w:numFmt w:val="decimal"/>
      <w:pStyle w:val="Heading3-Chapter101"/>
      <w:lvlText w:val="10.1.%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2" w15:restartNumberingAfterBreak="0">
    <w:nsid w:val="73334899"/>
    <w:multiLevelType w:val="hybridMultilevel"/>
    <w:tmpl w:val="A87E902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3" w15:restartNumberingAfterBreak="0">
    <w:nsid w:val="740D7886"/>
    <w:multiLevelType w:val="hybridMultilevel"/>
    <w:tmpl w:val="F8FA3FD0"/>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4" w15:restartNumberingAfterBreak="0">
    <w:nsid w:val="742D2975"/>
    <w:multiLevelType w:val="hybridMultilevel"/>
    <w:tmpl w:val="2102BFD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74926253"/>
    <w:multiLevelType w:val="hybridMultilevel"/>
    <w:tmpl w:val="AB9881F6"/>
    <w:lvl w:ilvl="0" w:tplc="268E892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268E892E">
      <w:start w:val="1"/>
      <w:numFmt w:val="lowerRoman"/>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6" w15:restartNumberingAfterBreak="0">
    <w:nsid w:val="752D109F"/>
    <w:multiLevelType w:val="hybridMultilevel"/>
    <w:tmpl w:val="FEACC1C2"/>
    <w:lvl w:ilvl="0" w:tplc="EA6E0A32">
      <w:start w:val="1"/>
      <w:numFmt w:val="decimal"/>
      <w:pStyle w:val="Heading3-Chapter84"/>
      <w:lvlText w:val="8.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7" w15:restartNumberingAfterBreak="0">
    <w:nsid w:val="76DA5D0D"/>
    <w:multiLevelType w:val="hybridMultilevel"/>
    <w:tmpl w:val="FFC26F1C"/>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8" w15:restartNumberingAfterBreak="0">
    <w:nsid w:val="76F031A4"/>
    <w:multiLevelType w:val="multilevel"/>
    <w:tmpl w:val="C9FC3F2C"/>
    <w:lvl w:ilvl="0">
      <w:start w:val="1"/>
      <w:numFmt w:val="decimal"/>
      <w:lvlText w:val="%1."/>
      <w:lvlJc w:val="left"/>
      <w:pPr>
        <w:ind w:left="360" w:hanging="360"/>
      </w:pPr>
      <w:rPr>
        <w:rFonts w:hint="default"/>
        <w:b/>
      </w:rPr>
    </w:lvl>
    <w:lvl w:ilvl="1">
      <w:start w:val="1"/>
      <w:numFmt w:val="decimal"/>
      <w:pStyle w:val="Heading2-Chapter8"/>
      <w:isLgl/>
      <w:lvlText w:val="%1.%2"/>
      <w:lvlJc w:val="left"/>
      <w:pPr>
        <w:ind w:left="720" w:hanging="720"/>
      </w:pPr>
      <w:rPr>
        <w:rFonts w:hint="default"/>
      </w:rPr>
    </w:lvl>
    <w:lvl w:ilvl="2">
      <w:start w:val="1"/>
      <w:numFmt w:val="decimal"/>
      <w:pStyle w:val="Heading3-Chapter86"/>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59" w15:restartNumberingAfterBreak="0">
    <w:nsid w:val="76FF5889"/>
    <w:multiLevelType w:val="multilevel"/>
    <w:tmpl w:val="C832B4B2"/>
    <w:lvl w:ilvl="0">
      <w:start w:val="1"/>
      <w:numFmt w:val="decimal"/>
      <w:lvlText w:val="%1."/>
      <w:lvlJc w:val="left"/>
      <w:pPr>
        <w:ind w:left="720" w:hanging="360"/>
      </w:pPr>
      <w:rPr>
        <w:rFonts w:hint="default"/>
        <w:b/>
      </w:rPr>
    </w:lvl>
    <w:lvl w:ilvl="1">
      <w:start w:val="1"/>
      <w:numFmt w:val="decimal"/>
      <w:lvlText w:val="10.%2."/>
      <w:lvlJc w:val="left"/>
      <w:pPr>
        <w:ind w:left="1080" w:hanging="720"/>
      </w:pPr>
      <w:rPr>
        <w:rFonts w:hint="default"/>
      </w:rPr>
    </w:lvl>
    <w:lvl w:ilvl="2">
      <w:start w:val="1"/>
      <w:numFmt w:val="decimal"/>
      <w:pStyle w:val="Heading3-Chapter102"/>
      <w:lvlText w:val="10.2.%3."/>
      <w:lvlJc w:val="left"/>
      <w:pPr>
        <w:ind w:left="1440" w:hanging="1080"/>
      </w:pPr>
      <w:rPr>
        <w:rFonts w:hint="default"/>
      </w:rPr>
    </w:lvl>
    <w:lvl w:ilvl="3">
      <w:start w:val="1"/>
      <w:numFmt w:val="decimal"/>
      <w:lvlText w:val="10.1.2.%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0" w15:restartNumberingAfterBreak="0">
    <w:nsid w:val="771711D6"/>
    <w:multiLevelType w:val="hybridMultilevel"/>
    <w:tmpl w:val="01FC75C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1" w15:restartNumberingAfterBreak="0">
    <w:nsid w:val="772E5F19"/>
    <w:multiLevelType w:val="hybridMultilevel"/>
    <w:tmpl w:val="13447D8E"/>
    <w:lvl w:ilvl="0" w:tplc="830AAE46">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2" w15:restartNumberingAfterBreak="0">
    <w:nsid w:val="78425F69"/>
    <w:multiLevelType w:val="hybridMultilevel"/>
    <w:tmpl w:val="873EE6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3" w15:restartNumberingAfterBreak="0">
    <w:nsid w:val="784E19B9"/>
    <w:multiLevelType w:val="hybridMultilevel"/>
    <w:tmpl w:val="E5A23DF0"/>
    <w:lvl w:ilvl="0" w:tplc="DBD2AA5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4" w15:restartNumberingAfterBreak="0">
    <w:nsid w:val="794068D8"/>
    <w:multiLevelType w:val="hybridMultilevel"/>
    <w:tmpl w:val="F466A6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99171D8"/>
    <w:multiLevelType w:val="hybridMultilevel"/>
    <w:tmpl w:val="86F851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7A8B7A91"/>
    <w:multiLevelType w:val="hybridMultilevel"/>
    <w:tmpl w:val="C59A1C6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7" w15:restartNumberingAfterBreak="0">
    <w:nsid w:val="7ABB1D59"/>
    <w:multiLevelType w:val="hybridMultilevel"/>
    <w:tmpl w:val="2098D3A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7AFB40BE"/>
    <w:multiLevelType w:val="multilevel"/>
    <w:tmpl w:val="C7A47386"/>
    <w:lvl w:ilvl="0">
      <w:start w:val="1"/>
      <w:numFmt w:val="decimal"/>
      <w:lvlText w:val="%1."/>
      <w:lvlJc w:val="left"/>
      <w:pPr>
        <w:ind w:left="720" w:hanging="360"/>
      </w:pPr>
      <w:rPr>
        <w:rFonts w:hint="default"/>
        <w:b/>
      </w:rPr>
    </w:lvl>
    <w:lvl w:ilvl="1">
      <w:start w:val="1"/>
      <w:numFmt w:val="decimal"/>
      <w:lvlText w:val="10.%2."/>
      <w:lvlJc w:val="left"/>
      <w:pPr>
        <w:ind w:left="1080" w:hanging="720"/>
      </w:pPr>
      <w:rPr>
        <w:rFonts w:hint="default"/>
      </w:rPr>
    </w:lvl>
    <w:lvl w:ilvl="2">
      <w:start w:val="1"/>
      <w:numFmt w:val="decimal"/>
      <w:pStyle w:val="Heading3-Chapter103"/>
      <w:lvlText w:val="10.3.%3."/>
      <w:lvlJc w:val="left"/>
      <w:pPr>
        <w:ind w:left="1440" w:hanging="1080"/>
      </w:pPr>
      <w:rPr>
        <w:rFonts w:hint="default"/>
      </w:rPr>
    </w:lvl>
    <w:lvl w:ilvl="3">
      <w:start w:val="1"/>
      <w:numFmt w:val="decimal"/>
      <w:lvlText w:val="10.1.2.%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9" w15:restartNumberingAfterBreak="0">
    <w:nsid w:val="7B3E584A"/>
    <w:multiLevelType w:val="hybridMultilevel"/>
    <w:tmpl w:val="B20E6B8E"/>
    <w:lvl w:ilvl="0" w:tplc="0C090003">
      <w:start w:val="1"/>
      <w:numFmt w:val="bullet"/>
      <w:pStyle w:val="ListBulle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0" w15:restartNumberingAfterBreak="0">
    <w:nsid w:val="7B4852A6"/>
    <w:multiLevelType w:val="hybridMultilevel"/>
    <w:tmpl w:val="051428E4"/>
    <w:lvl w:ilvl="0" w:tplc="2E3C27B6">
      <w:start w:val="1"/>
      <w:numFmt w:val="decimal"/>
      <w:lvlText w:val="%1."/>
      <w:lvlJc w:val="left"/>
      <w:pPr>
        <w:ind w:left="234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1" w15:restartNumberingAfterBreak="0">
    <w:nsid w:val="7BFF3BAE"/>
    <w:multiLevelType w:val="hybridMultilevel"/>
    <w:tmpl w:val="75FCDDEE"/>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2" w15:restartNumberingAfterBreak="0">
    <w:nsid w:val="7D1676FE"/>
    <w:multiLevelType w:val="hybridMultilevel"/>
    <w:tmpl w:val="53F69588"/>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3" w15:restartNumberingAfterBreak="0">
    <w:nsid w:val="7DBD0AAF"/>
    <w:multiLevelType w:val="hybridMultilevel"/>
    <w:tmpl w:val="FD24E50A"/>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274" w15:restartNumberingAfterBreak="0">
    <w:nsid w:val="7E265BB8"/>
    <w:multiLevelType w:val="hybridMultilevel"/>
    <w:tmpl w:val="D8FCC684"/>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5" w15:restartNumberingAfterBreak="0">
    <w:nsid w:val="7E8E527A"/>
    <w:multiLevelType w:val="hybridMultilevel"/>
    <w:tmpl w:val="CC5A1F10"/>
    <w:lvl w:ilvl="0" w:tplc="0C090005">
      <w:start w:val="1"/>
      <w:numFmt w:val="bullet"/>
      <w:lvlText w:val=""/>
      <w:lvlJc w:val="left"/>
      <w:pPr>
        <w:ind w:left="360" w:hanging="360"/>
      </w:pPr>
      <w:rPr>
        <w:rFonts w:ascii="Wingdings" w:hAnsi="Wingdings" w:hint="default"/>
      </w:rPr>
    </w:lvl>
    <w:lvl w:ilvl="1" w:tplc="9B2ED8D0">
      <w:start w:val="3"/>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69"/>
  </w:num>
  <w:num w:numId="2">
    <w:abstractNumId w:val="250"/>
  </w:num>
  <w:num w:numId="3">
    <w:abstractNumId w:val="235"/>
  </w:num>
  <w:num w:numId="4">
    <w:abstractNumId w:val="208"/>
  </w:num>
  <w:num w:numId="5">
    <w:abstractNumId w:val="120"/>
  </w:num>
  <w:num w:numId="6">
    <w:abstractNumId w:val="9"/>
  </w:num>
  <w:num w:numId="7">
    <w:abstractNumId w:val="50"/>
  </w:num>
  <w:num w:numId="8">
    <w:abstractNumId w:val="50"/>
    <w:lvlOverride w:ilvl="0">
      <w:startOverride w:val="1"/>
    </w:lvlOverride>
  </w:num>
  <w:num w:numId="9">
    <w:abstractNumId w:val="51"/>
  </w:num>
  <w:num w:numId="10">
    <w:abstractNumId w:val="0"/>
  </w:num>
  <w:num w:numId="11">
    <w:abstractNumId w:val="57"/>
  </w:num>
  <w:num w:numId="12">
    <w:abstractNumId w:val="217"/>
  </w:num>
  <w:num w:numId="13">
    <w:abstractNumId w:val="165"/>
  </w:num>
  <w:num w:numId="14">
    <w:abstractNumId w:val="148"/>
  </w:num>
  <w:num w:numId="15">
    <w:abstractNumId w:val="7"/>
  </w:num>
  <w:num w:numId="16">
    <w:abstractNumId w:val="65"/>
  </w:num>
  <w:num w:numId="17">
    <w:abstractNumId w:val="262"/>
  </w:num>
  <w:num w:numId="18">
    <w:abstractNumId w:val="272"/>
  </w:num>
  <w:num w:numId="19">
    <w:abstractNumId w:val="145"/>
  </w:num>
  <w:num w:numId="20">
    <w:abstractNumId w:val="6"/>
  </w:num>
  <w:num w:numId="21">
    <w:abstractNumId w:val="193"/>
  </w:num>
  <w:num w:numId="22">
    <w:abstractNumId w:val="105"/>
  </w:num>
  <w:num w:numId="23">
    <w:abstractNumId w:val="218"/>
  </w:num>
  <w:num w:numId="24">
    <w:abstractNumId w:val="43"/>
  </w:num>
  <w:num w:numId="25">
    <w:abstractNumId w:val="69"/>
  </w:num>
  <w:num w:numId="26">
    <w:abstractNumId w:val="37"/>
  </w:num>
  <w:num w:numId="27">
    <w:abstractNumId w:val="17"/>
  </w:num>
  <w:num w:numId="28">
    <w:abstractNumId w:val="194"/>
  </w:num>
  <w:num w:numId="29">
    <w:abstractNumId w:val="73"/>
  </w:num>
  <w:num w:numId="30">
    <w:abstractNumId w:val="39"/>
  </w:num>
  <w:num w:numId="31">
    <w:abstractNumId w:val="172"/>
  </w:num>
  <w:num w:numId="32">
    <w:abstractNumId w:val="214"/>
  </w:num>
  <w:num w:numId="33">
    <w:abstractNumId w:val="234"/>
  </w:num>
  <w:num w:numId="34">
    <w:abstractNumId w:val="28"/>
  </w:num>
  <w:num w:numId="35">
    <w:abstractNumId w:val="257"/>
  </w:num>
  <w:num w:numId="36">
    <w:abstractNumId w:val="216"/>
  </w:num>
  <w:num w:numId="37">
    <w:abstractNumId w:val="124"/>
  </w:num>
  <w:num w:numId="38">
    <w:abstractNumId w:val="62"/>
  </w:num>
  <w:num w:numId="39">
    <w:abstractNumId w:val="2"/>
  </w:num>
  <w:num w:numId="40">
    <w:abstractNumId w:val="52"/>
  </w:num>
  <w:num w:numId="41">
    <w:abstractNumId w:val="191"/>
  </w:num>
  <w:num w:numId="42">
    <w:abstractNumId w:val="96"/>
  </w:num>
  <w:num w:numId="43">
    <w:abstractNumId w:val="85"/>
  </w:num>
  <w:num w:numId="44">
    <w:abstractNumId w:val="24"/>
  </w:num>
  <w:num w:numId="45">
    <w:abstractNumId w:val="110"/>
  </w:num>
  <w:num w:numId="46">
    <w:abstractNumId w:val="260"/>
  </w:num>
  <w:num w:numId="47">
    <w:abstractNumId w:val="14"/>
  </w:num>
  <w:num w:numId="48">
    <w:abstractNumId w:val="38"/>
  </w:num>
  <w:num w:numId="49">
    <w:abstractNumId w:val="155"/>
  </w:num>
  <w:num w:numId="50">
    <w:abstractNumId w:val="164"/>
  </w:num>
  <w:num w:numId="51">
    <w:abstractNumId w:val="229"/>
  </w:num>
  <w:num w:numId="52">
    <w:abstractNumId w:val="70"/>
  </w:num>
  <w:num w:numId="53">
    <w:abstractNumId w:val="98"/>
  </w:num>
  <w:num w:numId="54">
    <w:abstractNumId w:val="244"/>
  </w:num>
  <w:num w:numId="55">
    <w:abstractNumId w:val="267"/>
  </w:num>
  <w:num w:numId="56">
    <w:abstractNumId w:val="46"/>
  </w:num>
  <w:num w:numId="57">
    <w:abstractNumId w:val="71"/>
  </w:num>
  <w:num w:numId="58">
    <w:abstractNumId w:val="264"/>
  </w:num>
  <w:num w:numId="59">
    <w:abstractNumId w:val="99"/>
  </w:num>
  <w:num w:numId="60">
    <w:abstractNumId w:val="162"/>
  </w:num>
  <w:num w:numId="61">
    <w:abstractNumId w:val="239"/>
  </w:num>
  <w:num w:numId="62">
    <w:abstractNumId w:val="59"/>
  </w:num>
  <w:num w:numId="63">
    <w:abstractNumId w:val="254"/>
  </w:num>
  <w:num w:numId="64">
    <w:abstractNumId w:val="122"/>
  </w:num>
  <w:num w:numId="65">
    <w:abstractNumId w:val="33"/>
  </w:num>
  <w:num w:numId="66">
    <w:abstractNumId w:val="196"/>
  </w:num>
  <w:num w:numId="67">
    <w:abstractNumId w:val="175"/>
  </w:num>
  <w:num w:numId="68">
    <w:abstractNumId w:val="89"/>
  </w:num>
  <w:num w:numId="69">
    <w:abstractNumId w:val="23"/>
  </w:num>
  <w:num w:numId="70">
    <w:abstractNumId w:val="261"/>
  </w:num>
  <w:num w:numId="71">
    <w:abstractNumId w:val="263"/>
  </w:num>
  <w:num w:numId="72">
    <w:abstractNumId w:val="76"/>
  </w:num>
  <w:num w:numId="73">
    <w:abstractNumId w:val="42"/>
  </w:num>
  <w:num w:numId="74">
    <w:abstractNumId w:val="93"/>
  </w:num>
  <w:num w:numId="75">
    <w:abstractNumId w:val="271"/>
  </w:num>
  <w:num w:numId="76">
    <w:abstractNumId w:val="127"/>
  </w:num>
  <w:num w:numId="77">
    <w:abstractNumId w:val="1"/>
  </w:num>
  <w:num w:numId="78">
    <w:abstractNumId w:val="36"/>
  </w:num>
  <w:num w:numId="79">
    <w:abstractNumId w:val="80"/>
  </w:num>
  <w:num w:numId="80">
    <w:abstractNumId w:val="66"/>
  </w:num>
  <w:num w:numId="81">
    <w:abstractNumId w:val="106"/>
  </w:num>
  <w:num w:numId="82">
    <w:abstractNumId w:val="118"/>
  </w:num>
  <w:num w:numId="83">
    <w:abstractNumId w:val="274"/>
  </w:num>
  <w:num w:numId="84">
    <w:abstractNumId w:val="167"/>
  </w:num>
  <w:num w:numId="85">
    <w:abstractNumId w:val="119"/>
  </w:num>
  <w:num w:numId="86">
    <w:abstractNumId w:val="227"/>
  </w:num>
  <w:num w:numId="87">
    <w:abstractNumId w:val="97"/>
  </w:num>
  <w:num w:numId="88">
    <w:abstractNumId w:val="161"/>
  </w:num>
  <w:num w:numId="89">
    <w:abstractNumId w:val="197"/>
  </w:num>
  <w:num w:numId="90">
    <w:abstractNumId w:val="160"/>
  </w:num>
  <w:num w:numId="91">
    <w:abstractNumId w:val="111"/>
  </w:num>
  <w:num w:numId="92">
    <w:abstractNumId w:val="243"/>
  </w:num>
  <w:num w:numId="93">
    <w:abstractNumId w:val="131"/>
  </w:num>
  <w:num w:numId="94">
    <w:abstractNumId w:val="84"/>
  </w:num>
  <w:num w:numId="95">
    <w:abstractNumId w:val="237"/>
  </w:num>
  <w:num w:numId="96">
    <w:abstractNumId w:val="100"/>
  </w:num>
  <w:num w:numId="97">
    <w:abstractNumId w:val="19"/>
  </w:num>
  <w:num w:numId="98">
    <w:abstractNumId w:val="140"/>
  </w:num>
  <w:num w:numId="99">
    <w:abstractNumId w:val="238"/>
  </w:num>
  <w:num w:numId="100">
    <w:abstractNumId w:val="132"/>
  </w:num>
  <w:num w:numId="101">
    <w:abstractNumId w:val="205"/>
  </w:num>
  <w:num w:numId="102">
    <w:abstractNumId w:val="87"/>
  </w:num>
  <w:num w:numId="103">
    <w:abstractNumId w:val="4"/>
  </w:num>
  <w:num w:numId="104">
    <w:abstractNumId w:val="178"/>
  </w:num>
  <w:num w:numId="105">
    <w:abstractNumId w:val="95"/>
  </w:num>
  <w:num w:numId="106">
    <w:abstractNumId w:val="265"/>
  </w:num>
  <w:num w:numId="107">
    <w:abstractNumId w:val="128"/>
  </w:num>
  <w:num w:numId="108">
    <w:abstractNumId w:val="246"/>
  </w:num>
  <w:num w:numId="109">
    <w:abstractNumId w:val="125"/>
  </w:num>
  <w:num w:numId="110">
    <w:abstractNumId w:val="241"/>
  </w:num>
  <w:num w:numId="111">
    <w:abstractNumId w:val="5"/>
  </w:num>
  <w:num w:numId="112">
    <w:abstractNumId w:val="177"/>
  </w:num>
  <w:num w:numId="113">
    <w:abstractNumId w:val="188"/>
  </w:num>
  <w:num w:numId="114">
    <w:abstractNumId w:val="27"/>
  </w:num>
  <w:num w:numId="115">
    <w:abstractNumId w:val="240"/>
  </w:num>
  <w:num w:numId="116">
    <w:abstractNumId w:val="151"/>
  </w:num>
  <w:num w:numId="117">
    <w:abstractNumId w:val="183"/>
  </w:num>
  <w:num w:numId="118">
    <w:abstractNumId w:val="115"/>
  </w:num>
  <w:num w:numId="119">
    <w:abstractNumId w:val="56"/>
  </w:num>
  <w:num w:numId="1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1"/>
  </w:num>
  <w:num w:numId="122">
    <w:abstractNumId w:val="231"/>
  </w:num>
  <w:num w:numId="123">
    <w:abstractNumId w:val="15"/>
  </w:num>
  <w:num w:numId="124">
    <w:abstractNumId w:val="154"/>
  </w:num>
  <w:num w:numId="125">
    <w:abstractNumId w:val="200"/>
  </w:num>
  <w:num w:numId="126">
    <w:abstractNumId w:val="102"/>
  </w:num>
  <w:num w:numId="127">
    <w:abstractNumId w:val="224"/>
  </w:num>
  <w:num w:numId="128">
    <w:abstractNumId w:val="253"/>
  </w:num>
  <w:num w:numId="129">
    <w:abstractNumId w:val="41"/>
  </w:num>
  <w:num w:numId="130">
    <w:abstractNumId w:val="226"/>
  </w:num>
  <w:num w:numId="131">
    <w:abstractNumId w:val="176"/>
  </w:num>
  <w:num w:numId="132">
    <w:abstractNumId w:val="88"/>
  </w:num>
  <w:num w:numId="133">
    <w:abstractNumId w:val="147"/>
  </w:num>
  <w:num w:numId="134">
    <w:abstractNumId w:val="159"/>
  </w:num>
  <w:num w:numId="135">
    <w:abstractNumId w:val="113"/>
  </w:num>
  <w:num w:numId="136">
    <w:abstractNumId w:val="275"/>
  </w:num>
  <w:num w:numId="137">
    <w:abstractNumId w:val="137"/>
  </w:num>
  <w:num w:numId="138">
    <w:abstractNumId w:val="252"/>
  </w:num>
  <w:num w:numId="139">
    <w:abstractNumId w:val="109"/>
  </w:num>
  <w:num w:numId="140">
    <w:abstractNumId w:val="150"/>
  </w:num>
  <w:num w:numId="141">
    <w:abstractNumId w:val="163"/>
  </w:num>
  <w:num w:numId="142">
    <w:abstractNumId w:val="207"/>
  </w:num>
  <w:num w:numId="143">
    <w:abstractNumId w:val="201"/>
  </w:num>
  <w:num w:numId="144">
    <w:abstractNumId w:val="211"/>
  </w:num>
  <w:num w:numId="145">
    <w:abstractNumId w:val="230"/>
  </w:num>
  <w:num w:numId="146">
    <w:abstractNumId w:val="220"/>
  </w:num>
  <w:num w:numId="147">
    <w:abstractNumId w:val="258"/>
  </w:num>
  <w:num w:numId="148">
    <w:abstractNumId w:val="75"/>
  </w:num>
  <w:num w:numId="149">
    <w:abstractNumId w:val="92"/>
  </w:num>
  <w:num w:numId="150">
    <w:abstractNumId w:val="212"/>
  </w:num>
  <w:num w:numId="151">
    <w:abstractNumId w:val="22"/>
  </w:num>
  <w:num w:numId="152">
    <w:abstractNumId w:val="74"/>
  </w:num>
  <w:num w:numId="153">
    <w:abstractNumId w:val="225"/>
  </w:num>
  <w:num w:numId="154">
    <w:abstractNumId w:val="190"/>
  </w:num>
  <w:num w:numId="155">
    <w:abstractNumId w:val="202"/>
  </w:num>
  <w:num w:numId="156">
    <w:abstractNumId w:val="44"/>
  </w:num>
  <w:num w:numId="157">
    <w:abstractNumId w:val="168"/>
  </w:num>
  <w:num w:numId="158">
    <w:abstractNumId w:val="222"/>
  </w:num>
  <w:num w:numId="159">
    <w:abstractNumId w:val="25"/>
  </w:num>
  <w:num w:numId="160">
    <w:abstractNumId w:val="173"/>
  </w:num>
  <w:num w:numId="161">
    <w:abstractNumId w:val="135"/>
  </w:num>
  <w:num w:numId="162">
    <w:abstractNumId w:val="180"/>
  </w:num>
  <w:num w:numId="163">
    <w:abstractNumId w:val="266"/>
  </w:num>
  <w:num w:numId="164">
    <w:abstractNumId w:val="86"/>
  </w:num>
  <w:num w:numId="165">
    <w:abstractNumId w:val="20"/>
  </w:num>
  <w:num w:numId="166">
    <w:abstractNumId w:val="245"/>
  </w:num>
  <w:num w:numId="167">
    <w:abstractNumId w:val="107"/>
  </w:num>
  <w:num w:numId="168">
    <w:abstractNumId w:val="123"/>
  </w:num>
  <w:num w:numId="169">
    <w:abstractNumId w:val="13"/>
  </w:num>
  <w:num w:numId="170">
    <w:abstractNumId w:val="79"/>
  </w:num>
  <w:num w:numId="171">
    <w:abstractNumId w:val="158"/>
  </w:num>
  <w:num w:numId="172">
    <w:abstractNumId w:val="255"/>
  </w:num>
  <w:num w:numId="173">
    <w:abstractNumId w:val="31"/>
  </w:num>
  <w:num w:numId="174">
    <w:abstractNumId w:val="11"/>
  </w:num>
  <w:num w:numId="175">
    <w:abstractNumId w:val="29"/>
  </w:num>
  <w:num w:numId="176">
    <w:abstractNumId w:val="91"/>
  </w:num>
  <w:num w:numId="177">
    <w:abstractNumId w:val="195"/>
  </w:num>
  <w:num w:numId="178">
    <w:abstractNumId w:val="121"/>
  </w:num>
  <w:num w:numId="179">
    <w:abstractNumId w:val="170"/>
  </w:num>
  <w:num w:numId="180">
    <w:abstractNumId w:val="232"/>
  </w:num>
  <w:num w:numId="181">
    <w:abstractNumId w:val="8"/>
  </w:num>
  <w:num w:numId="182">
    <w:abstractNumId w:val="157"/>
  </w:num>
  <w:num w:numId="183">
    <w:abstractNumId w:val="228"/>
  </w:num>
  <w:num w:numId="184">
    <w:abstractNumId w:val="53"/>
  </w:num>
  <w:num w:numId="185">
    <w:abstractNumId w:val="182"/>
  </w:num>
  <w:num w:numId="186">
    <w:abstractNumId w:val="34"/>
  </w:num>
  <w:num w:numId="187">
    <w:abstractNumId w:val="270"/>
  </w:num>
  <w:num w:numId="188">
    <w:abstractNumId w:val="206"/>
  </w:num>
  <w:num w:numId="189">
    <w:abstractNumId w:val="3"/>
  </w:num>
  <w:num w:numId="190">
    <w:abstractNumId w:val="49"/>
  </w:num>
  <w:num w:numId="191">
    <w:abstractNumId w:val="32"/>
  </w:num>
  <w:num w:numId="192">
    <w:abstractNumId w:val="82"/>
  </w:num>
  <w:num w:numId="193">
    <w:abstractNumId w:val="179"/>
  </w:num>
  <w:num w:numId="194">
    <w:abstractNumId w:val="149"/>
  </w:num>
  <w:num w:numId="195">
    <w:abstractNumId w:val="153"/>
  </w:num>
  <w:num w:numId="196">
    <w:abstractNumId w:val="78"/>
  </w:num>
  <w:num w:numId="197">
    <w:abstractNumId w:val="247"/>
  </w:num>
  <w:num w:numId="198">
    <w:abstractNumId w:val="136"/>
  </w:num>
  <w:num w:numId="199">
    <w:abstractNumId w:val="174"/>
  </w:num>
  <w:num w:numId="200">
    <w:abstractNumId w:val="112"/>
  </w:num>
  <w:num w:numId="201">
    <w:abstractNumId w:val="187"/>
  </w:num>
  <w:num w:numId="202">
    <w:abstractNumId w:val="236"/>
  </w:num>
  <w:num w:numId="203">
    <w:abstractNumId w:val="129"/>
  </w:num>
  <w:num w:numId="204">
    <w:abstractNumId w:val="199"/>
  </w:num>
  <w:num w:numId="205">
    <w:abstractNumId w:val="198"/>
  </w:num>
  <w:num w:numId="206">
    <w:abstractNumId w:val="68"/>
  </w:num>
  <w:num w:numId="207">
    <w:abstractNumId w:val="90"/>
  </w:num>
  <w:num w:numId="208">
    <w:abstractNumId w:val="181"/>
  </w:num>
  <w:num w:numId="209">
    <w:abstractNumId w:val="114"/>
  </w:num>
  <w:num w:numId="210">
    <w:abstractNumId w:val="166"/>
  </w:num>
  <w:num w:numId="211">
    <w:abstractNumId w:val="171"/>
  </w:num>
  <w:num w:numId="212">
    <w:abstractNumId w:val="141"/>
  </w:num>
  <w:num w:numId="213">
    <w:abstractNumId w:val="210"/>
  </w:num>
  <w:num w:numId="214">
    <w:abstractNumId w:val="101"/>
  </w:num>
  <w:num w:numId="215">
    <w:abstractNumId w:val="251"/>
  </w:num>
  <w:num w:numId="216">
    <w:abstractNumId w:val="104"/>
  </w:num>
  <w:num w:numId="217">
    <w:abstractNumId w:val="67"/>
  </w:num>
  <w:num w:numId="218">
    <w:abstractNumId w:val="259"/>
  </w:num>
  <w:num w:numId="219">
    <w:abstractNumId w:val="268"/>
  </w:num>
  <w:num w:numId="220">
    <w:abstractNumId w:val="223"/>
  </w:num>
  <w:num w:numId="221">
    <w:abstractNumId w:val="204"/>
  </w:num>
  <w:num w:numId="222">
    <w:abstractNumId w:val="233"/>
  </w:num>
  <w:num w:numId="223">
    <w:abstractNumId w:val="203"/>
  </w:num>
  <w:num w:numId="224">
    <w:abstractNumId w:val="40"/>
  </w:num>
  <w:num w:numId="225">
    <w:abstractNumId w:val="156"/>
  </w:num>
  <w:num w:numId="226">
    <w:abstractNumId w:val="219"/>
  </w:num>
  <w:num w:numId="227">
    <w:abstractNumId w:val="126"/>
  </w:num>
  <w:num w:numId="228">
    <w:abstractNumId w:val="47"/>
  </w:num>
  <w:num w:numId="229">
    <w:abstractNumId w:val="189"/>
  </w:num>
  <w:num w:numId="230">
    <w:abstractNumId w:val="10"/>
  </w:num>
  <w:num w:numId="231">
    <w:abstractNumId w:val="83"/>
  </w:num>
  <w:num w:numId="232">
    <w:abstractNumId w:val="185"/>
  </w:num>
  <w:num w:numId="233">
    <w:abstractNumId w:val="72"/>
  </w:num>
  <w:num w:numId="234">
    <w:abstractNumId w:val="192"/>
  </w:num>
  <w:num w:numId="235">
    <w:abstractNumId w:val="63"/>
  </w:num>
  <w:num w:numId="236">
    <w:abstractNumId w:val="48"/>
  </w:num>
  <w:num w:numId="237">
    <w:abstractNumId w:val="144"/>
  </w:num>
  <w:num w:numId="238">
    <w:abstractNumId w:val="55"/>
  </w:num>
  <w:num w:numId="239">
    <w:abstractNumId w:val="16"/>
  </w:num>
  <w:num w:numId="240">
    <w:abstractNumId w:val="26"/>
  </w:num>
  <w:num w:numId="241">
    <w:abstractNumId w:val="133"/>
  </w:num>
  <w:num w:numId="242">
    <w:abstractNumId w:val="116"/>
  </w:num>
  <w:num w:numId="243">
    <w:abstractNumId w:val="221"/>
  </w:num>
  <w:num w:numId="244">
    <w:abstractNumId w:val="186"/>
  </w:num>
  <w:num w:numId="245">
    <w:abstractNumId w:val="30"/>
  </w:num>
  <w:num w:numId="246">
    <w:abstractNumId w:val="209"/>
  </w:num>
  <w:num w:numId="247">
    <w:abstractNumId w:val="35"/>
  </w:num>
  <w:num w:numId="248">
    <w:abstractNumId w:val="94"/>
  </w:num>
  <w:num w:numId="249">
    <w:abstractNumId w:val="21"/>
  </w:num>
  <w:num w:numId="250">
    <w:abstractNumId w:val="146"/>
  </w:num>
  <w:num w:numId="251">
    <w:abstractNumId w:val="142"/>
  </w:num>
  <w:num w:numId="252">
    <w:abstractNumId w:val="45"/>
  </w:num>
  <w:num w:numId="253">
    <w:abstractNumId w:val="12"/>
  </w:num>
  <w:num w:numId="254">
    <w:abstractNumId w:val="81"/>
  </w:num>
  <w:num w:numId="255">
    <w:abstractNumId w:val="169"/>
  </w:num>
  <w:num w:numId="256">
    <w:abstractNumId w:val="58"/>
  </w:num>
  <w:num w:numId="257">
    <w:abstractNumId w:val="248"/>
  </w:num>
  <w:num w:numId="258">
    <w:abstractNumId w:val="64"/>
  </w:num>
  <w:num w:numId="259">
    <w:abstractNumId w:val="103"/>
  </w:num>
  <w:num w:numId="260">
    <w:abstractNumId w:val="108"/>
  </w:num>
  <w:num w:numId="261">
    <w:abstractNumId w:val="54"/>
  </w:num>
  <w:num w:numId="262">
    <w:abstractNumId w:val="184"/>
  </w:num>
  <w:num w:numId="263">
    <w:abstractNumId w:val="213"/>
  </w:num>
  <w:num w:numId="264">
    <w:abstractNumId w:val="273"/>
  </w:num>
  <w:num w:numId="265">
    <w:abstractNumId w:val="138"/>
  </w:num>
  <w:num w:numId="266">
    <w:abstractNumId w:val="117"/>
  </w:num>
  <w:num w:numId="267">
    <w:abstractNumId w:val="18"/>
  </w:num>
  <w:num w:numId="268">
    <w:abstractNumId w:val="134"/>
  </w:num>
  <w:num w:numId="269">
    <w:abstractNumId w:val="60"/>
  </w:num>
  <w:num w:numId="270">
    <w:abstractNumId w:val="152"/>
  </w:num>
  <w:num w:numId="271">
    <w:abstractNumId w:val="130"/>
  </w:num>
  <w:num w:numId="272">
    <w:abstractNumId w:val="215"/>
  </w:num>
  <w:num w:numId="273">
    <w:abstractNumId w:val="256"/>
  </w:num>
  <w:num w:numId="274">
    <w:abstractNumId w:val="242"/>
  </w:num>
  <w:num w:numId="275">
    <w:abstractNumId w:val="249"/>
  </w:num>
  <w:num w:numId="276">
    <w:abstractNumId w:val="139"/>
  </w:num>
  <w:num w:numId="277">
    <w:abstractNumId w:val="77"/>
  </w:num>
  <w:num w:numId="278">
    <w:abstractNumId w:val="143"/>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2D1"/>
    <w:rsid w:val="00000EF9"/>
    <w:rsid w:val="000029AB"/>
    <w:rsid w:val="00002DA7"/>
    <w:rsid w:val="00002F88"/>
    <w:rsid w:val="00003EDD"/>
    <w:rsid w:val="000042C7"/>
    <w:rsid w:val="00004920"/>
    <w:rsid w:val="0000690B"/>
    <w:rsid w:val="00006DF4"/>
    <w:rsid w:val="0000706B"/>
    <w:rsid w:val="00007847"/>
    <w:rsid w:val="00007D4E"/>
    <w:rsid w:val="00010307"/>
    <w:rsid w:val="0001127B"/>
    <w:rsid w:val="00011F20"/>
    <w:rsid w:val="00012E4E"/>
    <w:rsid w:val="00013803"/>
    <w:rsid w:val="00015589"/>
    <w:rsid w:val="00016F66"/>
    <w:rsid w:val="000228D3"/>
    <w:rsid w:val="00022917"/>
    <w:rsid w:val="00022E4C"/>
    <w:rsid w:val="00022FF1"/>
    <w:rsid w:val="00023C90"/>
    <w:rsid w:val="0002463C"/>
    <w:rsid w:val="000261CA"/>
    <w:rsid w:val="00027CCE"/>
    <w:rsid w:val="0003093B"/>
    <w:rsid w:val="00030ECD"/>
    <w:rsid w:val="0003191F"/>
    <w:rsid w:val="000331EA"/>
    <w:rsid w:val="000345C6"/>
    <w:rsid w:val="00034988"/>
    <w:rsid w:val="00034AB3"/>
    <w:rsid w:val="00034DD6"/>
    <w:rsid w:val="00035991"/>
    <w:rsid w:val="00036307"/>
    <w:rsid w:val="0003677B"/>
    <w:rsid w:val="00036798"/>
    <w:rsid w:val="00036C41"/>
    <w:rsid w:val="00037B66"/>
    <w:rsid w:val="00040107"/>
    <w:rsid w:val="00040FBB"/>
    <w:rsid w:val="00042D34"/>
    <w:rsid w:val="00043DB4"/>
    <w:rsid w:val="0004478A"/>
    <w:rsid w:val="00044BC3"/>
    <w:rsid w:val="00044FD8"/>
    <w:rsid w:val="00045CA6"/>
    <w:rsid w:val="000463A8"/>
    <w:rsid w:val="00046DF9"/>
    <w:rsid w:val="00050A53"/>
    <w:rsid w:val="00050CD6"/>
    <w:rsid w:val="0005109F"/>
    <w:rsid w:val="00051C2E"/>
    <w:rsid w:val="000529AB"/>
    <w:rsid w:val="000532A0"/>
    <w:rsid w:val="00055D7A"/>
    <w:rsid w:val="000566AF"/>
    <w:rsid w:val="000571D6"/>
    <w:rsid w:val="0005776C"/>
    <w:rsid w:val="00057962"/>
    <w:rsid w:val="00057E81"/>
    <w:rsid w:val="000606D2"/>
    <w:rsid w:val="00060800"/>
    <w:rsid w:val="00061DF1"/>
    <w:rsid w:val="00063304"/>
    <w:rsid w:val="00064B13"/>
    <w:rsid w:val="00066356"/>
    <w:rsid w:val="00067DB9"/>
    <w:rsid w:val="00070C22"/>
    <w:rsid w:val="000718BE"/>
    <w:rsid w:val="00071906"/>
    <w:rsid w:val="00071DB9"/>
    <w:rsid w:val="00072F09"/>
    <w:rsid w:val="00074E82"/>
    <w:rsid w:val="0007587B"/>
    <w:rsid w:val="0007656D"/>
    <w:rsid w:val="00076E1F"/>
    <w:rsid w:val="000812C1"/>
    <w:rsid w:val="00081512"/>
    <w:rsid w:val="000822F9"/>
    <w:rsid w:val="00083875"/>
    <w:rsid w:val="00083BAA"/>
    <w:rsid w:val="0008464D"/>
    <w:rsid w:val="00084EC4"/>
    <w:rsid w:val="00085C04"/>
    <w:rsid w:val="00087AAD"/>
    <w:rsid w:val="00090516"/>
    <w:rsid w:val="000915F8"/>
    <w:rsid w:val="00091A95"/>
    <w:rsid w:val="000935F4"/>
    <w:rsid w:val="0009421A"/>
    <w:rsid w:val="000954B1"/>
    <w:rsid w:val="00095E50"/>
    <w:rsid w:val="000A03A6"/>
    <w:rsid w:val="000A070A"/>
    <w:rsid w:val="000A5810"/>
    <w:rsid w:val="000A6B58"/>
    <w:rsid w:val="000B0053"/>
    <w:rsid w:val="000B0407"/>
    <w:rsid w:val="000B0B48"/>
    <w:rsid w:val="000B0BFA"/>
    <w:rsid w:val="000B2C29"/>
    <w:rsid w:val="000B3D0F"/>
    <w:rsid w:val="000B4560"/>
    <w:rsid w:val="000B517B"/>
    <w:rsid w:val="000B594D"/>
    <w:rsid w:val="000B5BD5"/>
    <w:rsid w:val="000B6457"/>
    <w:rsid w:val="000B69D5"/>
    <w:rsid w:val="000B6A9F"/>
    <w:rsid w:val="000B73FE"/>
    <w:rsid w:val="000B75CD"/>
    <w:rsid w:val="000B7799"/>
    <w:rsid w:val="000B7E3D"/>
    <w:rsid w:val="000C1099"/>
    <w:rsid w:val="000C1332"/>
    <w:rsid w:val="000C20E5"/>
    <w:rsid w:val="000C26C9"/>
    <w:rsid w:val="000C593C"/>
    <w:rsid w:val="000D02C9"/>
    <w:rsid w:val="000D1AA5"/>
    <w:rsid w:val="000D1D56"/>
    <w:rsid w:val="000D255C"/>
    <w:rsid w:val="000D2ECA"/>
    <w:rsid w:val="000D3743"/>
    <w:rsid w:val="000D3C94"/>
    <w:rsid w:val="000D3D66"/>
    <w:rsid w:val="000D46BB"/>
    <w:rsid w:val="000D6CDC"/>
    <w:rsid w:val="000D6F46"/>
    <w:rsid w:val="000D7759"/>
    <w:rsid w:val="000E0727"/>
    <w:rsid w:val="000E0B03"/>
    <w:rsid w:val="000E10A3"/>
    <w:rsid w:val="000E1A10"/>
    <w:rsid w:val="000E2EE9"/>
    <w:rsid w:val="000E389F"/>
    <w:rsid w:val="000E4121"/>
    <w:rsid w:val="000E471E"/>
    <w:rsid w:val="000E4C06"/>
    <w:rsid w:val="000E6755"/>
    <w:rsid w:val="000F0131"/>
    <w:rsid w:val="000F0CDA"/>
    <w:rsid w:val="000F1360"/>
    <w:rsid w:val="000F1C72"/>
    <w:rsid w:val="000F2645"/>
    <w:rsid w:val="000F2B14"/>
    <w:rsid w:val="000F2C15"/>
    <w:rsid w:val="000F2CAA"/>
    <w:rsid w:val="000F2DB9"/>
    <w:rsid w:val="000F3B46"/>
    <w:rsid w:val="000F45FA"/>
    <w:rsid w:val="000F474E"/>
    <w:rsid w:val="000F4E19"/>
    <w:rsid w:val="000F55E7"/>
    <w:rsid w:val="000F67EC"/>
    <w:rsid w:val="000F6952"/>
    <w:rsid w:val="00101B0A"/>
    <w:rsid w:val="00103B5A"/>
    <w:rsid w:val="0010458A"/>
    <w:rsid w:val="00105B10"/>
    <w:rsid w:val="001069D4"/>
    <w:rsid w:val="00106D58"/>
    <w:rsid w:val="00107607"/>
    <w:rsid w:val="001076A0"/>
    <w:rsid w:val="00107B28"/>
    <w:rsid w:val="00107D28"/>
    <w:rsid w:val="00111AB1"/>
    <w:rsid w:val="00112D2F"/>
    <w:rsid w:val="00113B90"/>
    <w:rsid w:val="00115CD0"/>
    <w:rsid w:val="001173AB"/>
    <w:rsid w:val="001175D0"/>
    <w:rsid w:val="00117602"/>
    <w:rsid w:val="0012016B"/>
    <w:rsid w:val="00122389"/>
    <w:rsid w:val="0012280B"/>
    <w:rsid w:val="0012304F"/>
    <w:rsid w:val="00123245"/>
    <w:rsid w:val="001235F6"/>
    <w:rsid w:val="00123824"/>
    <w:rsid w:val="00123F68"/>
    <w:rsid w:val="00124529"/>
    <w:rsid w:val="00124B94"/>
    <w:rsid w:val="00124BFD"/>
    <w:rsid w:val="00125201"/>
    <w:rsid w:val="00125277"/>
    <w:rsid w:val="00125630"/>
    <w:rsid w:val="0012664B"/>
    <w:rsid w:val="00126767"/>
    <w:rsid w:val="00126888"/>
    <w:rsid w:val="00126BCC"/>
    <w:rsid w:val="00126DC4"/>
    <w:rsid w:val="001276A2"/>
    <w:rsid w:val="001305B2"/>
    <w:rsid w:val="0013195C"/>
    <w:rsid w:val="001329BD"/>
    <w:rsid w:val="00133C11"/>
    <w:rsid w:val="00133F30"/>
    <w:rsid w:val="001353BB"/>
    <w:rsid w:val="00135453"/>
    <w:rsid w:val="00136C15"/>
    <w:rsid w:val="00137B52"/>
    <w:rsid w:val="001412C5"/>
    <w:rsid w:val="001413F8"/>
    <w:rsid w:val="001417B2"/>
    <w:rsid w:val="001419F7"/>
    <w:rsid w:val="00141D8B"/>
    <w:rsid w:val="0014383D"/>
    <w:rsid w:val="00143C82"/>
    <w:rsid w:val="001443BC"/>
    <w:rsid w:val="00144C0B"/>
    <w:rsid w:val="00144E8F"/>
    <w:rsid w:val="001459B4"/>
    <w:rsid w:val="00145F2D"/>
    <w:rsid w:val="001476EE"/>
    <w:rsid w:val="00147D5F"/>
    <w:rsid w:val="001514EB"/>
    <w:rsid w:val="0015173E"/>
    <w:rsid w:val="00151877"/>
    <w:rsid w:val="00151DF6"/>
    <w:rsid w:val="0015298F"/>
    <w:rsid w:val="00153657"/>
    <w:rsid w:val="00154DC3"/>
    <w:rsid w:val="00155117"/>
    <w:rsid w:val="001552F5"/>
    <w:rsid w:val="00156D02"/>
    <w:rsid w:val="00156EDA"/>
    <w:rsid w:val="0015746E"/>
    <w:rsid w:val="00160622"/>
    <w:rsid w:val="00160C7E"/>
    <w:rsid w:val="00161E9A"/>
    <w:rsid w:val="001623BB"/>
    <w:rsid w:val="00162D31"/>
    <w:rsid w:val="0016305A"/>
    <w:rsid w:val="00163436"/>
    <w:rsid w:val="00163726"/>
    <w:rsid w:val="001641C3"/>
    <w:rsid w:val="0016436D"/>
    <w:rsid w:val="001645CF"/>
    <w:rsid w:val="00164606"/>
    <w:rsid w:val="0016532D"/>
    <w:rsid w:val="00165D6E"/>
    <w:rsid w:val="00166C46"/>
    <w:rsid w:val="0017119E"/>
    <w:rsid w:val="001711F6"/>
    <w:rsid w:val="001718E4"/>
    <w:rsid w:val="0017194E"/>
    <w:rsid w:val="00172929"/>
    <w:rsid w:val="00172E0E"/>
    <w:rsid w:val="00173379"/>
    <w:rsid w:val="0017409A"/>
    <w:rsid w:val="00174C3A"/>
    <w:rsid w:val="00175160"/>
    <w:rsid w:val="00175FAF"/>
    <w:rsid w:val="001772CE"/>
    <w:rsid w:val="00177600"/>
    <w:rsid w:val="00177F1E"/>
    <w:rsid w:val="00180D99"/>
    <w:rsid w:val="00180E84"/>
    <w:rsid w:val="001813F7"/>
    <w:rsid w:val="0018185D"/>
    <w:rsid w:val="00181A96"/>
    <w:rsid w:val="00181D7F"/>
    <w:rsid w:val="00181DF7"/>
    <w:rsid w:val="00182AAD"/>
    <w:rsid w:val="00182B7E"/>
    <w:rsid w:val="0018302E"/>
    <w:rsid w:val="0018337F"/>
    <w:rsid w:val="00184AF5"/>
    <w:rsid w:val="0018646B"/>
    <w:rsid w:val="00186F31"/>
    <w:rsid w:val="001872DF"/>
    <w:rsid w:val="00190072"/>
    <w:rsid w:val="00190A02"/>
    <w:rsid w:val="00193020"/>
    <w:rsid w:val="00193809"/>
    <w:rsid w:val="0019460D"/>
    <w:rsid w:val="001948E2"/>
    <w:rsid w:val="00195326"/>
    <w:rsid w:val="00196423"/>
    <w:rsid w:val="00197868"/>
    <w:rsid w:val="001A14F9"/>
    <w:rsid w:val="001A2237"/>
    <w:rsid w:val="001A2393"/>
    <w:rsid w:val="001A345B"/>
    <w:rsid w:val="001A40C9"/>
    <w:rsid w:val="001A4797"/>
    <w:rsid w:val="001A4936"/>
    <w:rsid w:val="001A49B2"/>
    <w:rsid w:val="001A4CC1"/>
    <w:rsid w:val="001A4EFB"/>
    <w:rsid w:val="001A540A"/>
    <w:rsid w:val="001A73C9"/>
    <w:rsid w:val="001B0AFC"/>
    <w:rsid w:val="001B3530"/>
    <w:rsid w:val="001B4400"/>
    <w:rsid w:val="001B4CBF"/>
    <w:rsid w:val="001B4DD1"/>
    <w:rsid w:val="001B6A8C"/>
    <w:rsid w:val="001B72F0"/>
    <w:rsid w:val="001B760A"/>
    <w:rsid w:val="001B771C"/>
    <w:rsid w:val="001B77FD"/>
    <w:rsid w:val="001C093E"/>
    <w:rsid w:val="001C0AD9"/>
    <w:rsid w:val="001C107D"/>
    <w:rsid w:val="001C14F2"/>
    <w:rsid w:val="001C28AF"/>
    <w:rsid w:val="001C36A5"/>
    <w:rsid w:val="001C463C"/>
    <w:rsid w:val="001C6106"/>
    <w:rsid w:val="001C6C0F"/>
    <w:rsid w:val="001C6F2E"/>
    <w:rsid w:val="001C716D"/>
    <w:rsid w:val="001C7BCD"/>
    <w:rsid w:val="001C7BFC"/>
    <w:rsid w:val="001D0220"/>
    <w:rsid w:val="001D10F2"/>
    <w:rsid w:val="001D1DF9"/>
    <w:rsid w:val="001D23E4"/>
    <w:rsid w:val="001D2749"/>
    <w:rsid w:val="001D34B8"/>
    <w:rsid w:val="001D3C84"/>
    <w:rsid w:val="001D49AB"/>
    <w:rsid w:val="001D5121"/>
    <w:rsid w:val="001D515B"/>
    <w:rsid w:val="001D51E5"/>
    <w:rsid w:val="001D7CFD"/>
    <w:rsid w:val="001D7EA2"/>
    <w:rsid w:val="001E08C7"/>
    <w:rsid w:val="001E2143"/>
    <w:rsid w:val="001E2C7E"/>
    <w:rsid w:val="001E460D"/>
    <w:rsid w:val="001E539F"/>
    <w:rsid w:val="001E6FC4"/>
    <w:rsid w:val="001E7421"/>
    <w:rsid w:val="001F0125"/>
    <w:rsid w:val="001F0533"/>
    <w:rsid w:val="001F0837"/>
    <w:rsid w:val="001F09F2"/>
    <w:rsid w:val="001F0F49"/>
    <w:rsid w:val="001F19FD"/>
    <w:rsid w:val="001F1D3C"/>
    <w:rsid w:val="001F234F"/>
    <w:rsid w:val="001F2491"/>
    <w:rsid w:val="001F2B24"/>
    <w:rsid w:val="001F2D8D"/>
    <w:rsid w:val="001F423C"/>
    <w:rsid w:val="001F687C"/>
    <w:rsid w:val="001F695D"/>
    <w:rsid w:val="001F6A64"/>
    <w:rsid w:val="001F72AD"/>
    <w:rsid w:val="00202CC1"/>
    <w:rsid w:val="002034C7"/>
    <w:rsid w:val="00203E91"/>
    <w:rsid w:val="00203FC2"/>
    <w:rsid w:val="00204B23"/>
    <w:rsid w:val="00206587"/>
    <w:rsid w:val="00206FAA"/>
    <w:rsid w:val="00210415"/>
    <w:rsid w:val="002111DA"/>
    <w:rsid w:val="0021251F"/>
    <w:rsid w:val="00212F6E"/>
    <w:rsid w:val="002143B9"/>
    <w:rsid w:val="00214AB4"/>
    <w:rsid w:val="0021510C"/>
    <w:rsid w:val="00215C62"/>
    <w:rsid w:val="002160E3"/>
    <w:rsid w:val="00216CB0"/>
    <w:rsid w:val="00216EC8"/>
    <w:rsid w:val="00216EDC"/>
    <w:rsid w:val="002179D4"/>
    <w:rsid w:val="00220F82"/>
    <w:rsid w:val="00224E0B"/>
    <w:rsid w:val="002255F4"/>
    <w:rsid w:val="00225910"/>
    <w:rsid w:val="002266B2"/>
    <w:rsid w:val="002267AE"/>
    <w:rsid w:val="002269C3"/>
    <w:rsid w:val="002275CE"/>
    <w:rsid w:val="00227E2F"/>
    <w:rsid w:val="00227E92"/>
    <w:rsid w:val="00230827"/>
    <w:rsid w:val="00230B40"/>
    <w:rsid w:val="00231810"/>
    <w:rsid w:val="00233275"/>
    <w:rsid w:val="002336A4"/>
    <w:rsid w:val="00234174"/>
    <w:rsid w:val="00234848"/>
    <w:rsid w:val="00234FBB"/>
    <w:rsid w:val="002356A3"/>
    <w:rsid w:val="00235948"/>
    <w:rsid w:val="00235958"/>
    <w:rsid w:val="00235B4C"/>
    <w:rsid w:val="00236941"/>
    <w:rsid w:val="002371B8"/>
    <w:rsid w:val="00237A38"/>
    <w:rsid w:val="00237B5A"/>
    <w:rsid w:val="00237F90"/>
    <w:rsid w:val="00240337"/>
    <w:rsid w:val="00241120"/>
    <w:rsid w:val="002416ED"/>
    <w:rsid w:val="002441D3"/>
    <w:rsid w:val="00246F19"/>
    <w:rsid w:val="0025156C"/>
    <w:rsid w:val="00252CAD"/>
    <w:rsid w:val="00253DFB"/>
    <w:rsid w:val="0025410A"/>
    <w:rsid w:val="002543A8"/>
    <w:rsid w:val="00255809"/>
    <w:rsid w:val="00255EED"/>
    <w:rsid w:val="00256E3D"/>
    <w:rsid w:val="00257151"/>
    <w:rsid w:val="00257D65"/>
    <w:rsid w:val="0026039E"/>
    <w:rsid w:val="00261633"/>
    <w:rsid w:val="00261ABD"/>
    <w:rsid w:val="00262F2B"/>
    <w:rsid w:val="00263517"/>
    <w:rsid w:val="002638C3"/>
    <w:rsid w:val="00263CCC"/>
    <w:rsid w:val="00264512"/>
    <w:rsid w:val="00264986"/>
    <w:rsid w:val="00265457"/>
    <w:rsid w:val="00265ED3"/>
    <w:rsid w:val="00274057"/>
    <w:rsid w:val="0027557C"/>
    <w:rsid w:val="002820EC"/>
    <w:rsid w:val="00282745"/>
    <w:rsid w:val="002828F2"/>
    <w:rsid w:val="002831A7"/>
    <w:rsid w:val="00283235"/>
    <w:rsid w:val="00283893"/>
    <w:rsid w:val="00283DF6"/>
    <w:rsid w:val="00283FD8"/>
    <w:rsid w:val="002854A3"/>
    <w:rsid w:val="002858F1"/>
    <w:rsid w:val="00291A6C"/>
    <w:rsid w:val="00291BF5"/>
    <w:rsid w:val="002931A5"/>
    <w:rsid w:val="002940B9"/>
    <w:rsid w:val="0029633D"/>
    <w:rsid w:val="002965F2"/>
    <w:rsid w:val="00296ED1"/>
    <w:rsid w:val="002A0228"/>
    <w:rsid w:val="002A0491"/>
    <w:rsid w:val="002A0783"/>
    <w:rsid w:val="002A1160"/>
    <w:rsid w:val="002A12A2"/>
    <w:rsid w:val="002A18FA"/>
    <w:rsid w:val="002A1BA9"/>
    <w:rsid w:val="002A2AFA"/>
    <w:rsid w:val="002A3204"/>
    <w:rsid w:val="002A38EA"/>
    <w:rsid w:val="002A4315"/>
    <w:rsid w:val="002A4578"/>
    <w:rsid w:val="002A53E2"/>
    <w:rsid w:val="002A68C4"/>
    <w:rsid w:val="002A6CD4"/>
    <w:rsid w:val="002B0594"/>
    <w:rsid w:val="002B07F2"/>
    <w:rsid w:val="002B1056"/>
    <w:rsid w:val="002B1E3F"/>
    <w:rsid w:val="002B3781"/>
    <w:rsid w:val="002B4CCD"/>
    <w:rsid w:val="002B4E1A"/>
    <w:rsid w:val="002B542A"/>
    <w:rsid w:val="002B6250"/>
    <w:rsid w:val="002C069A"/>
    <w:rsid w:val="002C07E4"/>
    <w:rsid w:val="002C164A"/>
    <w:rsid w:val="002C1CC9"/>
    <w:rsid w:val="002C205F"/>
    <w:rsid w:val="002C2D01"/>
    <w:rsid w:val="002C331F"/>
    <w:rsid w:val="002C3489"/>
    <w:rsid w:val="002C3844"/>
    <w:rsid w:val="002C3889"/>
    <w:rsid w:val="002C390A"/>
    <w:rsid w:val="002C3DC7"/>
    <w:rsid w:val="002C4C5E"/>
    <w:rsid w:val="002C4E8B"/>
    <w:rsid w:val="002C5592"/>
    <w:rsid w:val="002C6695"/>
    <w:rsid w:val="002C76C4"/>
    <w:rsid w:val="002C7893"/>
    <w:rsid w:val="002D07DD"/>
    <w:rsid w:val="002D1D3B"/>
    <w:rsid w:val="002D2AEB"/>
    <w:rsid w:val="002D4410"/>
    <w:rsid w:val="002D47D0"/>
    <w:rsid w:val="002D47E8"/>
    <w:rsid w:val="002D4C8E"/>
    <w:rsid w:val="002D5330"/>
    <w:rsid w:val="002D5589"/>
    <w:rsid w:val="002D63BE"/>
    <w:rsid w:val="002D6FE6"/>
    <w:rsid w:val="002D7A2F"/>
    <w:rsid w:val="002D7FAA"/>
    <w:rsid w:val="002E0534"/>
    <w:rsid w:val="002E09E5"/>
    <w:rsid w:val="002E1694"/>
    <w:rsid w:val="002E178D"/>
    <w:rsid w:val="002E1C04"/>
    <w:rsid w:val="002E2444"/>
    <w:rsid w:val="002E4CEF"/>
    <w:rsid w:val="002E5628"/>
    <w:rsid w:val="002E6EB0"/>
    <w:rsid w:val="002E7888"/>
    <w:rsid w:val="002F05A1"/>
    <w:rsid w:val="002F08C5"/>
    <w:rsid w:val="002F0A5F"/>
    <w:rsid w:val="002F0B4C"/>
    <w:rsid w:val="002F119B"/>
    <w:rsid w:val="002F1700"/>
    <w:rsid w:val="002F1EC9"/>
    <w:rsid w:val="002F3777"/>
    <w:rsid w:val="002F3892"/>
    <w:rsid w:val="002F427B"/>
    <w:rsid w:val="002F5446"/>
    <w:rsid w:val="002F5622"/>
    <w:rsid w:val="002F576C"/>
    <w:rsid w:val="002F6255"/>
    <w:rsid w:val="002F75A1"/>
    <w:rsid w:val="002F7C7B"/>
    <w:rsid w:val="00300704"/>
    <w:rsid w:val="00303147"/>
    <w:rsid w:val="00303832"/>
    <w:rsid w:val="00303D02"/>
    <w:rsid w:val="003041FD"/>
    <w:rsid w:val="00304B01"/>
    <w:rsid w:val="00305242"/>
    <w:rsid w:val="003054B3"/>
    <w:rsid w:val="00305650"/>
    <w:rsid w:val="003071EE"/>
    <w:rsid w:val="00307A15"/>
    <w:rsid w:val="00307CC0"/>
    <w:rsid w:val="0031093B"/>
    <w:rsid w:val="00311C73"/>
    <w:rsid w:val="003120FF"/>
    <w:rsid w:val="00312C06"/>
    <w:rsid w:val="00313267"/>
    <w:rsid w:val="00314C18"/>
    <w:rsid w:val="0031589C"/>
    <w:rsid w:val="00316181"/>
    <w:rsid w:val="0031656D"/>
    <w:rsid w:val="00316771"/>
    <w:rsid w:val="00316E12"/>
    <w:rsid w:val="003175A1"/>
    <w:rsid w:val="003209B0"/>
    <w:rsid w:val="003217B9"/>
    <w:rsid w:val="00321A15"/>
    <w:rsid w:val="00321EB9"/>
    <w:rsid w:val="003223B4"/>
    <w:rsid w:val="00322470"/>
    <w:rsid w:val="00323C36"/>
    <w:rsid w:val="00323E32"/>
    <w:rsid w:val="00324AAE"/>
    <w:rsid w:val="003307D6"/>
    <w:rsid w:val="00331241"/>
    <w:rsid w:val="00334762"/>
    <w:rsid w:val="00334F72"/>
    <w:rsid w:val="003354C7"/>
    <w:rsid w:val="00336472"/>
    <w:rsid w:val="00340E3A"/>
    <w:rsid w:val="00341DC5"/>
    <w:rsid w:val="00344F2F"/>
    <w:rsid w:val="00345D71"/>
    <w:rsid w:val="003460E7"/>
    <w:rsid w:val="003473D3"/>
    <w:rsid w:val="00347A23"/>
    <w:rsid w:val="003501D2"/>
    <w:rsid w:val="003510C0"/>
    <w:rsid w:val="00351320"/>
    <w:rsid w:val="00352399"/>
    <w:rsid w:val="00352A22"/>
    <w:rsid w:val="003536AA"/>
    <w:rsid w:val="00353B4B"/>
    <w:rsid w:val="00353FEA"/>
    <w:rsid w:val="00354973"/>
    <w:rsid w:val="00354BD4"/>
    <w:rsid w:val="00362721"/>
    <w:rsid w:val="00362D43"/>
    <w:rsid w:val="00363F60"/>
    <w:rsid w:val="003641F7"/>
    <w:rsid w:val="00365721"/>
    <w:rsid w:val="0036741A"/>
    <w:rsid w:val="00367C3C"/>
    <w:rsid w:val="00367D41"/>
    <w:rsid w:val="00370BFA"/>
    <w:rsid w:val="00374577"/>
    <w:rsid w:val="003745B7"/>
    <w:rsid w:val="00374C2B"/>
    <w:rsid w:val="00375ED8"/>
    <w:rsid w:val="00376240"/>
    <w:rsid w:val="003767B5"/>
    <w:rsid w:val="00377093"/>
    <w:rsid w:val="0037746F"/>
    <w:rsid w:val="003779D8"/>
    <w:rsid w:val="003804D8"/>
    <w:rsid w:val="003815E5"/>
    <w:rsid w:val="00381ACB"/>
    <w:rsid w:val="00381DE3"/>
    <w:rsid w:val="00382212"/>
    <w:rsid w:val="003827C3"/>
    <w:rsid w:val="003835BD"/>
    <w:rsid w:val="003837B9"/>
    <w:rsid w:val="0038460C"/>
    <w:rsid w:val="00385716"/>
    <w:rsid w:val="00385CEB"/>
    <w:rsid w:val="00386655"/>
    <w:rsid w:val="00392648"/>
    <w:rsid w:val="00392F9F"/>
    <w:rsid w:val="00394001"/>
    <w:rsid w:val="003949D8"/>
    <w:rsid w:val="00394C3E"/>
    <w:rsid w:val="00394D59"/>
    <w:rsid w:val="003955D8"/>
    <w:rsid w:val="0039607D"/>
    <w:rsid w:val="00397C19"/>
    <w:rsid w:val="003A0471"/>
    <w:rsid w:val="003A14C5"/>
    <w:rsid w:val="003A15EC"/>
    <w:rsid w:val="003A1631"/>
    <w:rsid w:val="003A17ED"/>
    <w:rsid w:val="003A1DF4"/>
    <w:rsid w:val="003A2104"/>
    <w:rsid w:val="003A25DF"/>
    <w:rsid w:val="003A2675"/>
    <w:rsid w:val="003A27FA"/>
    <w:rsid w:val="003A290B"/>
    <w:rsid w:val="003A344E"/>
    <w:rsid w:val="003A39F2"/>
    <w:rsid w:val="003A4F3C"/>
    <w:rsid w:val="003A55D6"/>
    <w:rsid w:val="003A58FC"/>
    <w:rsid w:val="003A66EA"/>
    <w:rsid w:val="003A690D"/>
    <w:rsid w:val="003B192B"/>
    <w:rsid w:val="003B22B2"/>
    <w:rsid w:val="003B25AC"/>
    <w:rsid w:val="003B2812"/>
    <w:rsid w:val="003B2D34"/>
    <w:rsid w:val="003B4470"/>
    <w:rsid w:val="003B469E"/>
    <w:rsid w:val="003B4881"/>
    <w:rsid w:val="003B4A88"/>
    <w:rsid w:val="003B5228"/>
    <w:rsid w:val="003B7C87"/>
    <w:rsid w:val="003C4995"/>
    <w:rsid w:val="003C4CA3"/>
    <w:rsid w:val="003C5F4D"/>
    <w:rsid w:val="003C62E8"/>
    <w:rsid w:val="003D0B10"/>
    <w:rsid w:val="003D0DE2"/>
    <w:rsid w:val="003D158C"/>
    <w:rsid w:val="003D20C1"/>
    <w:rsid w:val="003D2199"/>
    <w:rsid w:val="003D2AFA"/>
    <w:rsid w:val="003D3D3E"/>
    <w:rsid w:val="003D41D6"/>
    <w:rsid w:val="003D4571"/>
    <w:rsid w:val="003D6148"/>
    <w:rsid w:val="003D6166"/>
    <w:rsid w:val="003D6FA4"/>
    <w:rsid w:val="003D74A2"/>
    <w:rsid w:val="003D7B8E"/>
    <w:rsid w:val="003D7FB7"/>
    <w:rsid w:val="003E0176"/>
    <w:rsid w:val="003E2E21"/>
    <w:rsid w:val="003E2FE0"/>
    <w:rsid w:val="003E5807"/>
    <w:rsid w:val="003E5D08"/>
    <w:rsid w:val="003F0460"/>
    <w:rsid w:val="003F06D0"/>
    <w:rsid w:val="003F0727"/>
    <w:rsid w:val="003F0C23"/>
    <w:rsid w:val="003F1116"/>
    <w:rsid w:val="003F12E8"/>
    <w:rsid w:val="003F1847"/>
    <w:rsid w:val="003F243B"/>
    <w:rsid w:val="003F38C7"/>
    <w:rsid w:val="003F481E"/>
    <w:rsid w:val="003F4DD7"/>
    <w:rsid w:val="003F5029"/>
    <w:rsid w:val="003F629D"/>
    <w:rsid w:val="003F6468"/>
    <w:rsid w:val="003F7654"/>
    <w:rsid w:val="003F7C93"/>
    <w:rsid w:val="004022C5"/>
    <w:rsid w:val="004034A3"/>
    <w:rsid w:val="00403732"/>
    <w:rsid w:val="00403D04"/>
    <w:rsid w:val="00404806"/>
    <w:rsid w:val="00406278"/>
    <w:rsid w:val="00407FD7"/>
    <w:rsid w:val="00410431"/>
    <w:rsid w:val="00410B4F"/>
    <w:rsid w:val="00411162"/>
    <w:rsid w:val="004113E0"/>
    <w:rsid w:val="00411E89"/>
    <w:rsid w:val="0041263F"/>
    <w:rsid w:val="0041335A"/>
    <w:rsid w:val="004135EF"/>
    <w:rsid w:val="0041429A"/>
    <w:rsid w:val="00414CEE"/>
    <w:rsid w:val="004160DB"/>
    <w:rsid w:val="00416820"/>
    <w:rsid w:val="00416A69"/>
    <w:rsid w:val="00420856"/>
    <w:rsid w:val="00420F94"/>
    <w:rsid w:val="00421923"/>
    <w:rsid w:val="0042341A"/>
    <w:rsid w:val="004239D7"/>
    <w:rsid w:val="00423B56"/>
    <w:rsid w:val="00424A0A"/>
    <w:rsid w:val="00424D60"/>
    <w:rsid w:val="004262AE"/>
    <w:rsid w:val="004265DB"/>
    <w:rsid w:val="004269B6"/>
    <w:rsid w:val="00430124"/>
    <w:rsid w:val="004302F5"/>
    <w:rsid w:val="00430635"/>
    <w:rsid w:val="00430640"/>
    <w:rsid w:val="0043099D"/>
    <w:rsid w:val="00432262"/>
    <w:rsid w:val="004328FF"/>
    <w:rsid w:val="00432FB7"/>
    <w:rsid w:val="00433154"/>
    <w:rsid w:val="00434063"/>
    <w:rsid w:val="004368E0"/>
    <w:rsid w:val="0043766D"/>
    <w:rsid w:val="00440AC6"/>
    <w:rsid w:val="00440B1A"/>
    <w:rsid w:val="00440BED"/>
    <w:rsid w:val="00441466"/>
    <w:rsid w:val="004419CB"/>
    <w:rsid w:val="004425B9"/>
    <w:rsid w:val="00442C91"/>
    <w:rsid w:val="00442D18"/>
    <w:rsid w:val="00443D36"/>
    <w:rsid w:val="0044491C"/>
    <w:rsid w:val="00445607"/>
    <w:rsid w:val="0044715D"/>
    <w:rsid w:val="0044756F"/>
    <w:rsid w:val="0045003D"/>
    <w:rsid w:val="00450C20"/>
    <w:rsid w:val="0045539E"/>
    <w:rsid w:val="00455D71"/>
    <w:rsid w:val="004566AE"/>
    <w:rsid w:val="00456780"/>
    <w:rsid w:val="00456FC0"/>
    <w:rsid w:val="0045757F"/>
    <w:rsid w:val="00457B2C"/>
    <w:rsid w:val="0046155C"/>
    <w:rsid w:val="0046234D"/>
    <w:rsid w:val="004629A4"/>
    <w:rsid w:val="004633A2"/>
    <w:rsid w:val="0046436D"/>
    <w:rsid w:val="00464896"/>
    <w:rsid w:val="00466905"/>
    <w:rsid w:val="0046743A"/>
    <w:rsid w:val="00467B84"/>
    <w:rsid w:val="00470E1E"/>
    <w:rsid w:val="00472241"/>
    <w:rsid w:val="004729AD"/>
    <w:rsid w:val="00472BE4"/>
    <w:rsid w:val="00472F85"/>
    <w:rsid w:val="00473246"/>
    <w:rsid w:val="0047473E"/>
    <w:rsid w:val="00474A5F"/>
    <w:rsid w:val="00475216"/>
    <w:rsid w:val="0047618A"/>
    <w:rsid w:val="00476B67"/>
    <w:rsid w:val="0047707B"/>
    <w:rsid w:val="004812A7"/>
    <w:rsid w:val="004826A1"/>
    <w:rsid w:val="00483480"/>
    <w:rsid w:val="0048496A"/>
    <w:rsid w:val="00484EE0"/>
    <w:rsid w:val="00485B1E"/>
    <w:rsid w:val="00486501"/>
    <w:rsid w:val="004870CA"/>
    <w:rsid w:val="00487364"/>
    <w:rsid w:val="0048747C"/>
    <w:rsid w:val="00487667"/>
    <w:rsid w:val="0049008E"/>
    <w:rsid w:val="004901DC"/>
    <w:rsid w:val="00491548"/>
    <w:rsid w:val="00491953"/>
    <w:rsid w:val="00491D4C"/>
    <w:rsid w:val="004928A9"/>
    <w:rsid w:val="00492CE4"/>
    <w:rsid w:val="0049588F"/>
    <w:rsid w:val="0049596C"/>
    <w:rsid w:val="00496448"/>
    <w:rsid w:val="00496818"/>
    <w:rsid w:val="00497D5B"/>
    <w:rsid w:val="004A01D6"/>
    <w:rsid w:val="004A025B"/>
    <w:rsid w:val="004A1726"/>
    <w:rsid w:val="004A181C"/>
    <w:rsid w:val="004A18CC"/>
    <w:rsid w:val="004A1C5B"/>
    <w:rsid w:val="004A21FC"/>
    <w:rsid w:val="004A2235"/>
    <w:rsid w:val="004A37E6"/>
    <w:rsid w:val="004A7C8F"/>
    <w:rsid w:val="004B0296"/>
    <w:rsid w:val="004B07DD"/>
    <w:rsid w:val="004B1298"/>
    <w:rsid w:val="004B360D"/>
    <w:rsid w:val="004B3C32"/>
    <w:rsid w:val="004B3CD9"/>
    <w:rsid w:val="004B3F18"/>
    <w:rsid w:val="004B512B"/>
    <w:rsid w:val="004B514A"/>
    <w:rsid w:val="004B6515"/>
    <w:rsid w:val="004B6D04"/>
    <w:rsid w:val="004C0230"/>
    <w:rsid w:val="004C0C6F"/>
    <w:rsid w:val="004C0E9A"/>
    <w:rsid w:val="004C28AB"/>
    <w:rsid w:val="004C2A25"/>
    <w:rsid w:val="004C2BD0"/>
    <w:rsid w:val="004C2EE7"/>
    <w:rsid w:val="004C4970"/>
    <w:rsid w:val="004C559B"/>
    <w:rsid w:val="004C5986"/>
    <w:rsid w:val="004C79E5"/>
    <w:rsid w:val="004D0B32"/>
    <w:rsid w:val="004D0F96"/>
    <w:rsid w:val="004D1074"/>
    <w:rsid w:val="004D153E"/>
    <w:rsid w:val="004D1C93"/>
    <w:rsid w:val="004D324E"/>
    <w:rsid w:val="004D38FE"/>
    <w:rsid w:val="004D4285"/>
    <w:rsid w:val="004D4590"/>
    <w:rsid w:val="004D4DC1"/>
    <w:rsid w:val="004D4FED"/>
    <w:rsid w:val="004D56DF"/>
    <w:rsid w:val="004D5F7C"/>
    <w:rsid w:val="004D62A0"/>
    <w:rsid w:val="004D64B8"/>
    <w:rsid w:val="004D70B3"/>
    <w:rsid w:val="004E08B8"/>
    <w:rsid w:val="004E22E9"/>
    <w:rsid w:val="004E38AB"/>
    <w:rsid w:val="004E399D"/>
    <w:rsid w:val="004E4995"/>
    <w:rsid w:val="004E5490"/>
    <w:rsid w:val="004E64C6"/>
    <w:rsid w:val="004E7FD3"/>
    <w:rsid w:val="004F0B19"/>
    <w:rsid w:val="004F1A52"/>
    <w:rsid w:val="004F2747"/>
    <w:rsid w:val="004F4054"/>
    <w:rsid w:val="004F4A26"/>
    <w:rsid w:val="004F5967"/>
    <w:rsid w:val="004F79D4"/>
    <w:rsid w:val="0050012C"/>
    <w:rsid w:val="005001E4"/>
    <w:rsid w:val="005002F0"/>
    <w:rsid w:val="0050291A"/>
    <w:rsid w:val="00502A78"/>
    <w:rsid w:val="00502C8D"/>
    <w:rsid w:val="00502D58"/>
    <w:rsid w:val="00503BCA"/>
    <w:rsid w:val="005044B8"/>
    <w:rsid w:val="00506BD6"/>
    <w:rsid w:val="00507721"/>
    <w:rsid w:val="0051020A"/>
    <w:rsid w:val="00514767"/>
    <w:rsid w:val="005164B7"/>
    <w:rsid w:val="00516CA8"/>
    <w:rsid w:val="005203C5"/>
    <w:rsid w:val="00521BA1"/>
    <w:rsid w:val="00521CF4"/>
    <w:rsid w:val="00521ED6"/>
    <w:rsid w:val="005224EA"/>
    <w:rsid w:val="00523C03"/>
    <w:rsid w:val="00525474"/>
    <w:rsid w:val="00525933"/>
    <w:rsid w:val="005266AF"/>
    <w:rsid w:val="00526852"/>
    <w:rsid w:val="00527184"/>
    <w:rsid w:val="005278FD"/>
    <w:rsid w:val="00530968"/>
    <w:rsid w:val="00530D56"/>
    <w:rsid w:val="00530DE3"/>
    <w:rsid w:val="005310C8"/>
    <w:rsid w:val="00532164"/>
    <w:rsid w:val="0053288A"/>
    <w:rsid w:val="00535502"/>
    <w:rsid w:val="00536D80"/>
    <w:rsid w:val="00536EB7"/>
    <w:rsid w:val="00537C98"/>
    <w:rsid w:val="00540346"/>
    <w:rsid w:val="00540526"/>
    <w:rsid w:val="00541097"/>
    <w:rsid w:val="00541294"/>
    <w:rsid w:val="00542209"/>
    <w:rsid w:val="0054236C"/>
    <w:rsid w:val="005432E5"/>
    <w:rsid w:val="005440E4"/>
    <w:rsid w:val="00545873"/>
    <w:rsid w:val="00545AB9"/>
    <w:rsid w:val="005465D6"/>
    <w:rsid w:val="00546D2E"/>
    <w:rsid w:val="00546DB8"/>
    <w:rsid w:val="0054725E"/>
    <w:rsid w:val="00550310"/>
    <w:rsid w:val="00550670"/>
    <w:rsid w:val="00551104"/>
    <w:rsid w:val="005531D5"/>
    <w:rsid w:val="005541A6"/>
    <w:rsid w:val="00557203"/>
    <w:rsid w:val="00557DB1"/>
    <w:rsid w:val="00557FD2"/>
    <w:rsid w:val="00560D57"/>
    <w:rsid w:val="005613C7"/>
    <w:rsid w:val="00561513"/>
    <w:rsid w:val="00561C9B"/>
    <w:rsid w:val="0056221C"/>
    <w:rsid w:val="00563093"/>
    <w:rsid w:val="00563222"/>
    <w:rsid w:val="00563291"/>
    <w:rsid w:val="00563418"/>
    <w:rsid w:val="00565175"/>
    <w:rsid w:val="00565BB6"/>
    <w:rsid w:val="00567B33"/>
    <w:rsid w:val="00571656"/>
    <w:rsid w:val="0057195E"/>
    <w:rsid w:val="00571ADC"/>
    <w:rsid w:val="0057270B"/>
    <w:rsid w:val="00573250"/>
    <w:rsid w:val="0057352F"/>
    <w:rsid w:val="00574728"/>
    <w:rsid w:val="005747B9"/>
    <w:rsid w:val="0057501F"/>
    <w:rsid w:val="00575534"/>
    <w:rsid w:val="0057697F"/>
    <w:rsid w:val="0057744F"/>
    <w:rsid w:val="005800A7"/>
    <w:rsid w:val="005809A5"/>
    <w:rsid w:val="00580F47"/>
    <w:rsid w:val="00582CF4"/>
    <w:rsid w:val="00584560"/>
    <w:rsid w:val="00585D15"/>
    <w:rsid w:val="005860DF"/>
    <w:rsid w:val="00590231"/>
    <w:rsid w:val="00590A57"/>
    <w:rsid w:val="00592015"/>
    <w:rsid w:val="005923FC"/>
    <w:rsid w:val="00592DFA"/>
    <w:rsid w:val="0059454D"/>
    <w:rsid w:val="0059477C"/>
    <w:rsid w:val="00594C41"/>
    <w:rsid w:val="00595387"/>
    <w:rsid w:val="00595EF9"/>
    <w:rsid w:val="00596822"/>
    <w:rsid w:val="005969C7"/>
    <w:rsid w:val="005974AA"/>
    <w:rsid w:val="005975F1"/>
    <w:rsid w:val="005A0C70"/>
    <w:rsid w:val="005A14FE"/>
    <w:rsid w:val="005A195F"/>
    <w:rsid w:val="005A3AA5"/>
    <w:rsid w:val="005A5053"/>
    <w:rsid w:val="005A53C0"/>
    <w:rsid w:val="005A5F55"/>
    <w:rsid w:val="005A6177"/>
    <w:rsid w:val="005A62E1"/>
    <w:rsid w:val="005A751E"/>
    <w:rsid w:val="005A77B2"/>
    <w:rsid w:val="005A7884"/>
    <w:rsid w:val="005B1146"/>
    <w:rsid w:val="005B15C0"/>
    <w:rsid w:val="005B1A85"/>
    <w:rsid w:val="005B1ACC"/>
    <w:rsid w:val="005B38A2"/>
    <w:rsid w:val="005B4639"/>
    <w:rsid w:val="005B51AE"/>
    <w:rsid w:val="005B5BA7"/>
    <w:rsid w:val="005B6165"/>
    <w:rsid w:val="005B76B2"/>
    <w:rsid w:val="005B7F01"/>
    <w:rsid w:val="005B7F3C"/>
    <w:rsid w:val="005C0913"/>
    <w:rsid w:val="005C0ACE"/>
    <w:rsid w:val="005C159C"/>
    <w:rsid w:val="005C1D67"/>
    <w:rsid w:val="005C2FC9"/>
    <w:rsid w:val="005C379E"/>
    <w:rsid w:val="005C53C4"/>
    <w:rsid w:val="005C53EA"/>
    <w:rsid w:val="005C5479"/>
    <w:rsid w:val="005C5833"/>
    <w:rsid w:val="005C64B4"/>
    <w:rsid w:val="005C6C92"/>
    <w:rsid w:val="005C6CF6"/>
    <w:rsid w:val="005C78CD"/>
    <w:rsid w:val="005C79DF"/>
    <w:rsid w:val="005C7A80"/>
    <w:rsid w:val="005C7DA4"/>
    <w:rsid w:val="005D20F6"/>
    <w:rsid w:val="005D345E"/>
    <w:rsid w:val="005D5BFB"/>
    <w:rsid w:val="005D5F8C"/>
    <w:rsid w:val="005D694F"/>
    <w:rsid w:val="005E0513"/>
    <w:rsid w:val="005E0BCA"/>
    <w:rsid w:val="005E28C9"/>
    <w:rsid w:val="005E309B"/>
    <w:rsid w:val="005E34DD"/>
    <w:rsid w:val="005E39A5"/>
    <w:rsid w:val="005E3B2A"/>
    <w:rsid w:val="005E52E3"/>
    <w:rsid w:val="005E58E1"/>
    <w:rsid w:val="005E7B2E"/>
    <w:rsid w:val="005F0D2A"/>
    <w:rsid w:val="005F121C"/>
    <w:rsid w:val="005F1B33"/>
    <w:rsid w:val="005F3E4D"/>
    <w:rsid w:val="005F5A27"/>
    <w:rsid w:val="00600679"/>
    <w:rsid w:val="00600974"/>
    <w:rsid w:val="006013A0"/>
    <w:rsid w:val="00601D2F"/>
    <w:rsid w:val="00603A43"/>
    <w:rsid w:val="006050AC"/>
    <w:rsid w:val="006053B1"/>
    <w:rsid w:val="00605FE0"/>
    <w:rsid w:val="00606FA2"/>
    <w:rsid w:val="006072E2"/>
    <w:rsid w:val="00610BAB"/>
    <w:rsid w:val="00611CCC"/>
    <w:rsid w:val="0061202D"/>
    <w:rsid w:val="00612073"/>
    <w:rsid w:val="006126D6"/>
    <w:rsid w:val="00612B1B"/>
    <w:rsid w:val="00613187"/>
    <w:rsid w:val="006133EB"/>
    <w:rsid w:val="00613587"/>
    <w:rsid w:val="006146D7"/>
    <w:rsid w:val="006153B1"/>
    <w:rsid w:val="00617254"/>
    <w:rsid w:val="00621041"/>
    <w:rsid w:val="0062110E"/>
    <w:rsid w:val="0062144D"/>
    <w:rsid w:val="0062223B"/>
    <w:rsid w:val="00622BE3"/>
    <w:rsid w:val="00622C72"/>
    <w:rsid w:val="00623F39"/>
    <w:rsid w:val="0062445B"/>
    <w:rsid w:val="006249BC"/>
    <w:rsid w:val="00624E60"/>
    <w:rsid w:val="006250B5"/>
    <w:rsid w:val="00625934"/>
    <w:rsid w:val="006263E7"/>
    <w:rsid w:val="006264C1"/>
    <w:rsid w:val="00627F9B"/>
    <w:rsid w:val="00627FA7"/>
    <w:rsid w:val="006301D3"/>
    <w:rsid w:val="00630326"/>
    <w:rsid w:val="00630A5B"/>
    <w:rsid w:val="00631630"/>
    <w:rsid w:val="00631BEE"/>
    <w:rsid w:val="006324B5"/>
    <w:rsid w:val="00632841"/>
    <w:rsid w:val="00632AE8"/>
    <w:rsid w:val="00633082"/>
    <w:rsid w:val="00633436"/>
    <w:rsid w:val="0063391D"/>
    <w:rsid w:val="00635048"/>
    <w:rsid w:val="00635CBF"/>
    <w:rsid w:val="00636458"/>
    <w:rsid w:val="00636818"/>
    <w:rsid w:val="00642084"/>
    <w:rsid w:val="00642E10"/>
    <w:rsid w:val="0064346D"/>
    <w:rsid w:val="0064496C"/>
    <w:rsid w:val="0064509F"/>
    <w:rsid w:val="00645268"/>
    <w:rsid w:val="00645F41"/>
    <w:rsid w:val="00646373"/>
    <w:rsid w:val="00646FBA"/>
    <w:rsid w:val="00647E68"/>
    <w:rsid w:val="0065091B"/>
    <w:rsid w:val="00650F1A"/>
    <w:rsid w:val="006513A2"/>
    <w:rsid w:val="006521A6"/>
    <w:rsid w:val="00653582"/>
    <w:rsid w:val="00654380"/>
    <w:rsid w:val="00654441"/>
    <w:rsid w:val="00654943"/>
    <w:rsid w:val="006549C8"/>
    <w:rsid w:val="00654BE9"/>
    <w:rsid w:val="0065525C"/>
    <w:rsid w:val="0065582B"/>
    <w:rsid w:val="00655F4B"/>
    <w:rsid w:val="00655FA1"/>
    <w:rsid w:val="0065748A"/>
    <w:rsid w:val="006577A2"/>
    <w:rsid w:val="006601A9"/>
    <w:rsid w:val="0066058F"/>
    <w:rsid w:val="006620C5"/>
    <w:rsid w:val="00662A52"/>
    <w:rsid w:val="0066371F"/>
    <w:rsid w:val="00663AFB"/>
    <w:rsid w:val="00663B4F"/>
    <w:rsid w:val="006645CD"/>
    <w:rsid w:val="00664FCB"/>
    <w:rsid w:val="00665B52"/>
    <w:rsid w:val="006673EA"/>
    <w:rsid w:val="00671274"/>
    <w:rsid w:val="00671DEC"/>
    <w:rsid w:val="006721CB"/>
    <w:rsid w:val="00672207"/>
    <w:rsid w:val="0067225D"/>
    <w:rsid w:val="006725D5"/>
    <w:rsid w:val="0067343A"/>
    <w:rsid w:val="00673956"/>
    <w:rsid w:val="006740D4"/>
    <w:rsid w:val="00674BA7"/>
    <w:rsid w:val="00675FA7"/>
    <w:rsid w:val="00677092"/>
    <w:rsid w:val="00677B50"/>
    <w:rsid w:val="00681221"/>
    <w:rsid w:val="00681937"/>
    <w:rsid w:val="00681F3D"/>
    <w:rsid w:val="0068218A"/>
    <w:rsid w:val="00682196"/>
    <w:rsid w:val="0068263B"/>
    <w:rsid w:val="00682E53"/>
    <w:rsid w:val="00682FD8"/>
    <w:rsid w:val="0068405B"/>
    <w:rsid w:val="00684B27"/>
    <w:rsid w:val="006859D4"/>
    <w:rsid w:val="0068629A"/>
    <w:rsid w:val="00686DFA"/>
    <w:rsid w:val="006873AE"/>
    <w:rsid w:val="00687C9E"/>
    <w:rsid w:val="0069105F"/>
    <w:rsid w:val="0069136C"/>
    <w:rsid w:val="00691A5B"/>
    <w:rsid w:val="00692CE0"/>
    <w:rsid w:val="006936EC"/>
    <w:rsid w:val="00693F35"/>
    <w:rsid w:val="006950FD"/>
    <w:rsid w:val="00695B4C"/>
    <w:rsid w:val="00696C4F"/>
    <w:rsid w:val="006A0135"/>
    <w:rsid w:val="006A0C7F"/>
    <w:rsid w:val="006A1406"/>
    <w:rsid w:val="006A2851"/>
    <w:rsid w:val="006A4181"/>
    <w:rsid w:val="006A41FD"/>
    <w:rsid w:val="006A5352"/>
    <w:rsid w:val="006A5E86"/>
    <w:rsid w:val="006A766B"/>
    <w:rsid w:val="006A7A36"/>
    <w:rsid w:val="006B0ECF"/>
    <w:rsid w:val="006B2D81"/>
    <w:rsid w:val="006B374E"/>
    <w:rsid w:val="006B4182"/>
    <w:rsid w:val="006B5C07"/>
    <w:rsid w:val="006B5EA4"/>
    <w:rsid w:val="006B6AAA"/>
    <w:rsid w:val="006B6B86"/>
    <w:rsid w:val="006B713E"/>
    <w:rsid w:val="006B7420"/>
    <w:rsid w:val="006C015E"/>
    <w:rsid w:val="006C1970"/>
    <w:rsid w:val="006C1AAA"/>
    <w:rsid w:val="006C2360"/>
    <w:rsid w:val="006C2FE7"/>
    <w:rsid w:val="006C35EC"/>
    <w:rsid w:val="006C4493"/>
    <w:rsid w:val="006C53EB"/>
    <w:rsid w:val="006C547D"/>
    <w:rsid w:val="006C5D13"/>
    <w:rsid w:val="006C5EDD"/>
    <w:rsid w:val="006C765C"/>
    <w:rsid w:val="006C7BD4"/>
    <w:rsid w:val="006D0045"/>
    <w:rsid w:val="006D13EE"/>
    <w:rsid w:val="006D3B20"/>
    <w:rsid w:val="006D5DF1"/>
    <w:rsid w:val="006D6890"/>
    <w:rsid w:val="006D794E"/>
    <w:rsid w:val="006E00E9"/>
    <w:rsid w:val="006E0DB6"/>
    <w:rsid w:val="006E2B91"/>
    <w:rsid w:val="006E2C7C"/>
    <w:rsid w:val="006E33AB"/>
    <w:rsid w:val="006E3D4F"/>
    <w:rsid w:val="006E6467"/>
    <w:rsid w:val="006E7AC9"/>
    <w:rsid w:val="006F1A99"/>
    <w:rsid w:val="006F2638"/>
    <w:rsid w:val="006F2F59"/>
    <w:rsid w:val="006F4590"/>
    <w:rsid w:val="006F4A56"/>
    <w:rsid w:val="006F6B8E"/>
    <w:rsid w:val="007003FC"/>
    <w:rsid w:val="00700522"/>
    <w:rsid w:val="00701657"/>
    <w:rsid w:val="00702B79"/>
    <w:rsid w:val="00702DE2"/>
    <w:rsid w:val="0070485B"/>
    <w:rsid w:val="007048C0"/>
    <w:rsid w:val="00705498"/>
    <w:rsid w:val="007055C7"/>
    <w:rsid w:val="00706537"/>
    <w:rsid w:val="007078BE"/>
    <w:rsid w:val="00707A51"/>
    <w:rsid w:val="00712BD8"/>
    <w:rsid w:val="0071331A"/>
    <w:rsid w:val="007137EA"/>
    <w:rsid w:val="00713802"/>
    <w:rsid w:val="007146A9"/>
    <w:rsid w:val="0071499F"/>
    <w:rsid w:val="007158E6"/>
    <w:rsid w:val="00717399"/>
    <w:rsid w:val="00717629"/>
    <w:rsid w:val="00717EEB"/>
    <w:rsid w:val="00720C8D"/>
    <w:rsid w:val="0072131B"/>
    <w:rsid w:val="00722A30"/>
    <w:rsid w:val="00723158"/>
    <w:rsid w:val="0072638F"/>
    <w:rsid w:val="0072773A"/>
    <w:rsid w:val="00727C86"/>
    <w:rsid w:val="00727EF2"/>
    <w:rsid w:val="0073072E"/>
    <w:rsid w:val="00730D08"/>
    <w:rsid w:val="00731028"/>
    <w:rsid w:val="00732B4C"/>
    <w:rsid w:val="00734210"/>
    <w:rsid w:val="00734B3F"/>
    <w:rsid w:val="00734C6B"/>
    <w:rsid w:val="00735127"/>
    <w:rsid w:val="007361A9"/>
    <w:rsid w:val="0073670A"/>
    <w:rsid w:val="0073683D"/>
    <w:rsid w:val="007401F8"/>
    <w:rsid w:val="007425B9"/>
    <w:rsid w:val="00742A07"/>
    <w:rsid w:val="007439AD"/>
    <w:rsid w:val="0074447A"/>
    <w:rsid w:val="00744755"/>
    <w:rsid w:val="0074482A"/>
    <w:rsid w:val="00744BCA"/>
    <w:rsid w:val="00745182"/>
    <w:rsid w:val="0074645D"/>
    <w:rsid w:val="00746B6A"/>
    <w:rsid w:val="00747531"/>
    <w:rsid w:val="00747857"/>
    <w:rsid w:val="00747873"/>
    <w:rsid w:val="00747878"/>
    <w:rsid w:val="00751A15"/>
    <w:rsid w:val="00751CD3"/>
    <w:rsid w:val="00752E8C"/>
    <w:rsid w:val="007537FC"/>
    <w:rsid w:val="0075456B"/>
    <w:rsid w:val="00755082"/>
    <w:rsid w:val="0075599F"/>
    <w:rsid w:val="00756E8A"/>
    <w:rsid w:val="00757263"/>
    <w:rsid w:val="0075799B"/>
    <w:rsid w:val="0076056F"/>
    <w:rsid w:val="007606F8"/>
    <w:rsid w:val="007608DF"/>
    <w:rsid w:val="00760E00"/>
    <w:rsid w:val="00761269"/>
    <w:rsid w:val="00761D11"/>
    <w:rsid w:val="00761D48"/>
    <w:rsid w:val="00761F00"/>
    <w:rsid w:val="00762A1C"/>
    <w:rsid w:val="00763869"/>
    <w:rsid w:val="007644D8"/>
    <w:rsid w:val="00764DAA"/>
    <w:rsid w:val="00765704"/>
    <w:rsid w:val="00765F9B"/>
    <w:rsid w:val="00767330"/>
    <w:rsid w:val="007679CF"/>
    <w:rsid w:val="00767BF0"/>
    <w:rsid w:val="00767F18"/>
    <w:rsid w:val="007701DE"/>
    <w:rsid w:val="00770623"/>
    <w:rsid w:val="00771420"/>
    <w:rsid w:val="00771421"/>
    <w:rsid w:val="00771A11"/>
    <w:rsid w:val="007725CF"/>
    <w:rsid w:val="0077278F"/>
    <w:rsid w:val="00772838"/>
    <w:rsid w:val="00772D3A"/>
    <w:rsid w:val="0077386D"/>
    <w:rsid w:val="00773CF3"/>
    <w:rsid w:val="007741AC"/>
    <w:rsid w:val="007744D2"/>
    <w:rsid w:val="007753AE"/>
    <w:rsid w:val="007753FA"/>
    <w:rsid w:val="00775BC4"/>
    <w:rsid w:val="00777431"/>
    <w:rsid w:val="00784720"/>
    <w:rsid w:val="00784AE3"/>
    <w:rsid w:val="00785966"/>
    <w:rsid w:val="007859D3"/>
    <w:rsid w:val="00786C3B"/>
    <w:rsid w:val="00787321"/>
    <w:rsid w:val="007873BC"/>
    <w:rsid w:val="00790B49"/>
    <w:rsid w:val="00790F0C"/>
    <w:rsid w:val="00791800"/>
    <w:rsid w:val="00793A30"/>
    <w:rsid w:val="00793A8E"/>
    <w:rsid w:val="00793CBB"/>
    <w:rsid w:val="00795F88"/>
    <w:rsid w:val="0079630F"/>
    <w:rsid w:val="007971CF"/>
    <w:rsid w:val="00797384"/>
    <w:rsid w:val="00797C04"/>
    <w:rsid w:val="007A00DA"/>
    <w:rsid w:val="007A0AB1"/>
    <w:rsid w:val="007A20B9"/>
    <w:rsid w:val="007A404E"/>
    <w:rsid w:val="007A576E"/>
    <w:rsid w:val="007A5D75"/>
    <w:rsid w:val="007A6275"/>
    <w:rsid w:val="007A66FB"/>
    <w:rsid w:val="007A70EC"/>
    <w:rsid w:val="007B0DCD"/>
    <w:rsid w:val="007B4093"/>
    <w:rsid w:val="007B4332"/>
    <w:rsid w:val="007B51E4"/>
    <w:rsid w:val="007B5BCF"/>
    <w:rsid w:val="007B7F50"/>
    <w:rsid w:val="007C0014"/>
    <w:rsid w:val="007C05DB"/>
    <w:rsid w:val="007C065E"/>
    <w:rsid w:val="007C1436"/>
    <w:rsid w:val="007C1D85"/>
    <w:rsid w:val="007C1E8A"/>
    <w:rsid w:val="007C2853"/>
    <w:rsid w:val="007C293F"/>
    <w:rsid w:val="007C2ABB"/>
    <w:rsid w:val="007C30EA"/>
    <w:rsid w:val="007C3D89"/>
    <w:rsid w:val="007C4FE0"/>
    <w:rsid w:val="007C6121"/>
    <w:rsid w:val="007C62E4"/>
    <w:rsid w:val="007D0F69"/>
    <w:rsid w:val="007D1171"/>
    <w:rsid w:val="007D12D0"/>
    <w:rsid w:val="007D33DE"/>
    <w:rsid w:val="007D3BA7"/>
    <w:rsid w:val="007D3C0A"/>
    <w:rsid w:val="007D3D1A"/>
    <w:rsid w:val="007D4951"/>
    <w:rsid w:val="007D5766"/>
    <w:rsid w:val="007D58FE"/>
    <w:rsid w:val="007D6369"/>
    <w:rsid w:val="007D6B05"/>
    <w:rsid w:val="007D6DFD"/>
    <w:rsid w:val="007D6FC2"/>
    <w:rsid w:val="007D7D36"/>
    <w:rsid w:val="007E0DCA"/>
    <w:rsid w:val="007E21DD"/>
    <w:rsid w:val="007E2BB9"/>
    <w:rsid w:val="007E30C3"/>
    <w:rsid w:val="007E3A6E"/>
    <w:rsid w:val="007E445C"/>
    <w:rsid w:val="007E4803"/>
    <w:rsid w:val="007E4EF3"/>
    <w:rsid w:val="007E6DC2"/>
    <w:rsid w:val="007E7942"/>
    <w:rsid w:val="007F1893"/>
    <w:rsid w:val="007F1D25"/>
    <w:rsid w:val="007F2BB0"/>
    <w:rsid w:val="007F2ED6"/>
    <w:rsid w:val="007F4002"/>
    <w:rsid w:val="007F4FCB"/>
    <w:rsid w:val="00800AAA"/>
    <w:rsid w:val="00800C39"/>
    <w:rsid w:val="0080198D"/>
    <w:rsid w:val="00802076"/>
    <w:rsid w:val="0080276C"/>
    <w:rsid w:val="00802DC1"/>
    <w:rsid w:val="0080318F"/>
    <w:rsid w:val="00803D41"/>
    <w:rsid w:val="00803F43"/>
    <w:rsid w:val="00804896"/>
    <w:rsid w:val="0080509E"/>
    <w:rsid w:val="00805526"/>
    <w:rsid w:val="008058D3"/>
    <w:rsid w:val="00805FE1"/>
    <w:rsid w:val="0080632A"/>
    <w:rsid w:val="008075D0"/>
    <w:rsid w:val="00811545"/>
    <w:rsid w:val="0081176C"/>
    <w:rsid w:val="00811923"/>
    <w:rsid w:val="00811C6D"/>
    <w:rsid w:val="00815595"/>
    <w:rsid w:val="008164FA"/>
    <w:rsid w:val="0081719E"/>
    <w:rsid w:val="00817A9F"/>
    <w:rsid w:val="0082051E"/>
    <w:rsid w:val="008208F7"/>
    <w:rsid w:val="00821900"/>
    <w:rsid w:val="00821A93"/>
    <w:rsid w:val="00822E8B"/>
    <w:rsid w:val="0082453C"/>
    <w:rsid w:val="00825936"/>
    <w:rsid w:val="00827B4E"/>
    <w:rsid w:val="00827E12"/>
    <w:rsid w:val="008302D8"/>
    <w:rsid w:val="008303F4"/>
    <w:rsid w:val="00830D2B"/>
    <w:rsid w:val="00831A64"/>
    <w:rsid w:val="00831D8D"/>
    <w:rsid w:val="00832A2B"/>
    <w:rsid w:val="008334D6"/>
    <w:rsid w:val="008337FD"/>
    <w:rsid w:val="00834064"/>
    <w:rsid w:val="00836D0D"/>
    <w:rsid w:val="00836EDD"/>
    <w:rsid w:val="00840DCE"/>
    <w:rsid w:val="00841632"/>
    <w:rsid w:val="00842B72"/>
    <w:rsid w:val="00842D68"/>
    <w:rsid w:val="008433AA"/>
    <w:rsid w:val="00843571"/>
    <w:rsid w:val="008458CC"/>
    <w:rsid w:val="00846E61"/>
    <w:rsid w:val="00847F2A"/>
    <w:rsid w:val="008507DD"/>
    <w:rsid w:val="00851969"/>
    <w:rsid w:val="00853399"/>
    <w:rsid w:val="00853F3B"/>
    <w:rsid w:val="00854765"/>
    <w:rsid w:val="00855341"/>
    <w:rsid w:val="00856102"/>
    <w:rsid w:val="00856E49"/>
    <w:rsid w:val="00857699"/>
    <w:rsid w:val="0086004B"/>
    <w:rsid w:val="00860B14"/>
    <w:rsid w:val="00861B23"/>
    <w:rsid w:val="00861DF2"/>
    <w:rsid w:val="00861E80"/>
    <w:rsid w:val="00862670"/>
    <w:rsid w:val="00862BB7"/>
    <w:rsid w:val="00862E26"/>
    <w:rsid w:val="00863D02"/>
    <w:rsid w:val="008642D6"/>
    <w:rsid w:val="00866C85"/>
    <w:rsid w:val="00867108"/>
    <w:rsid w:val="0086727A"/>
    <w:rsid w:val="00867BB2"/>
    <w:rsid w:val="00870B16"/>
    <w:rsid w:val="00871574"/>
    <w:rsid w:val="00872E39"/>
    <w:rsid w:val="00873DDA"/>
    <w:rsid w:val="00873EAB"/>
    <w:rsid w:val="00873FE2"/>
    <w:rsid w:val="008761A7"/>
    <w:rsid w:val="0087727F"/>
    <w:rsid w:val="00880BEC"/>
    <w:rsid w:val="00881292"/>
    <w:rsid w:val="00882C8D"/>
    <w:rsid w:val="0088311B"/>
    <w:rsid w:val="00883284"/>
    <w:rsid w:val="008836C8"/>
    <w:rsid w:val="00884097"/>
    <w:rsid w:val="008851B1"/>
    <w:rsid w:val="008861BC"/>
    <w:rsid w:val="00886A0C"/>
    <w:rsid w:val="00887921"/>
    <w:rsid w:val="00890ED2"/>
    <w:rsid w:val="0089181B"/>
    <w:rsid w:val="00891B6E"/>
    <w:rsid w:val="00893803"/>
    <w:rsid w:val="00896745"/>
    <w:rsid w:val="00896BCA"/>
    <w:rsid w:val="008A1198"/>
    <w:rsid w:val="008A14BF"/>
    <w:rsid w:val="008A1B34"/>
    <w:rsid w:val="008A1D6F"/>
    <w:rsid w:val="008A2857"/>
    <w:rsid w:val="008A29B5"/>
    <w:rsid w:val="008A2FC6"/>
    <w:rsid w:val="008A4578"/>
    <w:rsid w:val="008A6495"/>
    <w:rsid w:val="008A68B9"/>
    <w:rsid w:val="008B140C"/>
    <w:rsid w:val="008B3A3F"/>
    <w:rsid w:val="008B47A9"/>
    <w:rsid w:val="008B5B9F"/>
    <w:rsid w:val="008B67FF"/>
    <w:rsid w:val="008B7D4D"/>
    <w:rsid w:val="008B7E20"/>
    <w:rsid w:val="008B7E26"/>
    <w:rsid w:val="008C1EA5"/>
    <w:rsid w:val="008C24DA"/>
    <w:rsid w:val="008C2E60"/>
    <w:rsid w:val="008C2EF2"/>
    <w:rsid w:val="008C667F"/>
    <w:rsid w:val="008C7472"/>
    <w:rsid w:val="008C7AA6"/>
    <w:rsid w:val="008D0761"/>
    <w:rsid w:val="008D1C81"/>
    <w:rsid w:val="008D4A68"/>
    <w:rsid w:val="008D61C7"/>
    <w:rsid w:val="008D6C21"/>
    <w:rsid w:val="008E04CA"/>
    <w:rsid w:val="008E1353"/>
    <w:rsid w:val="008E393D"/>
    <w:rsid w:val="008E53CA"/>
    <w:rsid w:val="008E7759"/>
    <w:rsid w:val="008F04C7"/>
    <w:rsid w:val="008F0D23"/>
    <w:rsid w:val="008F1CA1"/>
    <w:rsid w:val="008F2D78"/>
    <w:rsid w:val="008F30DB"/>
    <w:rsid w:val="008F4A66"/>
    <w:rsid w:val="008F5675"/>
    <w:rsid w:val="008F6E2F"/>
    <w:rsid w:val="008F72CD"/>
    <w:rsid w:val="008F7883"/>
    <w:rsid w:val="00901BC3"/>
    <w:rsid w:val="0090228F"/>
    <w:rsid w:val="009032E0"/>
    <w:rsid w:val="00903460"/>
    <w:rsid w:val="00904246"/>
    <w:rsid w:val="00906069"/>
    <w:rsid w:val="00906486"/>
    <w:rsid w:val="009064DD"/>
    <w:rsid w:val="00906BDB"/>
    <w:rsid w:val="00907C69"/>
    <w:rsid w:val="00907EEE"/>
    <w:rsid w:val="00910F3B"/>
    <w:rsid w:val="00910F68"/>
    <w:rsid w:val="009112AE"/>
    <w:rsid w:val="00911624"/>
    <w:rsid w:val="00911965"/>
    <w:rsid w:val="00911CA1"/>
    <w:rsid w:val="00912676"/>
    <w:rsid w:val="009126B0"/>
    <w:rsid w:val="0091274A"/>
    <w:rsid w:val="009130BF"/>
    <w:rsid w:val="009143FB"/>
    <w:rsid w:val="00914501"/>
    <w:rsid w:val="0092046D"/>
    <w:rsid w:val="0092057A"/>
    <w:rsid w:val="00920FEC"/>
    <w:rsid w:val="00922CDA"/>
    <w:rsid w:val="00923000"/>
    <w:rsid w:val="00923B87"/>
    <w:rsid w:val="00924C60"/>
    <w:rsid w:val="00926175"/>
    <w:rsid w:val="00926C46"/>
    <w:rsid w:val="00927F26"/>
    <w:rsid w:val="00930602"/>
    <w:rsid w:val="00930667"/>
    <w:rsid w:val="009313BD"/>
    <w:rsid w:val="0093172F"/>
    <w:rsid w:val="00932A8B"/>
    <w:rsid w:val="00932DED"/>
    <w:rsid w:val="009330EB"/>
    <w:rsid w:val="00933563"/>
    <w:rsid w:val="009337E9"/>
    <w:rsid w:val="00933A37"/>
    <w:rsid w:val="00934661"/>
    <w:rsid w:val="00936730"/>
    <w:rsid w:val="00936766"/>
    <w:rsid w:val="00937D88"/>
    <w:rsid w:val="00941C01"/>
    <w:rsid w:val="00941E8F"/>
    <w:rsid w:val="00942588"/>
    <w:rsid w:val="009443F6"/>
    <w:rsid w:val="00944B8A"/>
    <w:rsid w:val="009452D1"/>
    <w:rsid w:val="0094756E"/>
    <w:rsid w:val="009517FF"/>
    <w:rsid w:val="00952AE2"/>
    <w:rsid w:val="00952FA0"/>
    <w:rsid w:val="00955104"/>
    <w:rsid w:val="00955436"/>
    <w:rsid w:val="00955F9B"/>
    <w:rsid w:val="00955FEF"/>
    <w:rsid w:val="009572ED"/>
    <w:rsid w:val="0095773A"/>
    <w:rsid w:val="00960F3D"/>
    <w:rsid w:val="0096158E"/>
    <w:rsid w:val="00961727"/>
    <w:rsid w:val="00961E28"/>
    <w:rsid w:val="009625FF"/>
    <w:rsid w:val="00962698"/>
    <w:rsid w:val="00962B46"/>
    <w:rsid w:val="009632E2"/>
    <w:rsid w:val="009634F9"/>
    <w:rsid w:val="00965386"/>
    <w:rsid w:val="00965B53"/>
    <w:rsid w:val="0096620D"/>
    <w:rsid w:val="009664CA"/>
    <w:rsid w:val="0097085D"/>
    <w:rsid w:val="00970A09"/>
    <w:rsid w:val="009724D7"/>
    <w:rsid w:val="00972CAB"/>
    <w:rsid w:val="00973626"/>
    <w:rsid w:val="00973CDC"/>
    <w:rsid w:val="009748B4"/>
    <w:rsid w:val="00975086"/>
    <w:rsid w:val="00975B57"/>
    <w:rsid w:val="00976119"/>
    <w:rsid w:val="00976396"/>
    <w:rsid w:val="009771B9"/>
    <w:rsid w:val="00980F62"/>
    <w:rsid w:val="00982DE7"/>
    <w:rsid w:val="00982E77"/>
    <w:rsid w:val="0098441D"/>
    <w:rsid w:val="0098538D"/>
    <w:rsid w:val="00985C3A"/>
    <w:rsid w:val="00985D19"/>
    <w:rsid w:val="00986FC7"/>
    <w:rsid w:val="009874CD"/>
    <w:rsid w:val="00990443"/>
    <w:rsid w:val="009909C9"/>
    <w:rsid w:val="00990DD3"/>
    <w:rsid w:val="00990F62"/>
    <w:rsid w:val="009915B4"/>
    <w:rsid w:val="00992236"/>
    <w:rsid w:val="00992EE3"/>
    <w:rsid w:val="00994CAB"/>
    <w:rsid w:val="0099579A"/>
    <w:rsid w:val="00995856"/>
    <w:rsid w:val="00997086"/>
    <w:rsid w:val="00997802"/>
    <w:rsid w:val="00997E16"/>
    <w:rsid w:val="00997FCD"/>
    <w:rsid w:val="009A02EC"/>
    <w:rsid w:val="009A045D"/>
    <w:rsid w:val="009A1A91"/>
    <w:rsid w:val="009A218F"/>
    <w:rsid w:val="009A22B6"/>
    <w:rsid w:val="009A2498"/>
    <w:rsid w:val="009A3626"/>
    <w:rsid w:val="009A36B3"/>
    <w:rsid w:val="009A3F5A"/>
    <w:rsid w:val="009A5312"/>
    <w:rsid w:val="009A66E1"/>
    <w:rsid w:val="009A6FEC"/>
    <w:rsid w:val="009B153F"/>
    <w:rsid w:val="009B35CF"/>
    <w:rsid w:val="009B35FF"/>
    <w:rsid w:val="009B4627"/>
    <w:rsid w:val="009B54DF"/>
    <w:rsid w:val="009B653C"/>
    <w:rsid w:val="009B67C8"/>
    <w:rsid w:val="009B76B9"/>
    <w:rsid w:val="009B782E"/>
    <w:rsid w:val="009B7B24"/>
    <w:rsid w:val="009C0CE3"/>
    <w:rsid w:val="009C1172"/>
    <w:rsid w:val="009C2BF6"/>
    <w:rsid w:val="009C2C03"/>
    <w:rsid w:val="009C3440"/>
    <w:rsid w:val="009C3538"/>
    <w:rsid w:val="009C4743"/>
    <w:rsid w:val="009C513B"/>
    <w:rsid w:val="009C5701"/>
    <w:rsid w:val="009C62B6"/>
    <w:rsid w:val="009C67F0"/>
    <w:rsid w:val="009C7EAA"/>
    <w:rsid w:val="009D0855"/>
    <w:rsid w:val="009D1211"/>
    <w:rsid w:val="009D17A8"/>
    <w:rsid w:val="009D1BCE"/>
    <w:rsid w:val="009D1D9F"/>
    <w:rsid w:val="009D295D"/>
    <w:rsid w:val="009D3184"/>
    <w:rsid w:val="009D3389"/>
    <w:rsid w:val="009D3429"/>
    <w:rsid w:val="009D42A5"/>
    <w:rsid w:val="009D42CA"/>
    <w:rsid w:val="009D4944"/>
    <w:rsid w:val="009D4E6F"/>
    <w:rsid w:val="009D4EE0"/>
    <w:rsid w:val="009D6232"/>
    <w:rsid w:val="009E0A38"/>
    <w:rsid w:val="009E0A55"/>
    <w:rsid w:val="009E0DB3"/>
    <w:rsid w:val="009E15D3"/>
    <w:rsid w:val="009E1F0E"/>
    <w:rsid w:val="009E2EAB"/>
    <w:rsid w:val="009E5199"/>
    <w:rsid w:val="009E6428"/>
    <w:rsid w:val="009E694B"/>
    <w:rsid w:val="009E6C03"/>
    <w:rsid w:val="009E6F01"/>
    <w:rsid w:val="009E7E29"/>
    <w:rsid w:val="009F1E44"/>
    <w:rsid w:val="009F3025"/>
    <w:rsid w:val="009F48D1"/>
    <w:rsid w:val="009F52FE"/>
    <w:rsid w:val="009F582C"/>
    <w:rsid w:val="009F643E"/>
    <w:rsid w:val="009F74A2"/>
    <w:rsid w:val="009F75D9"/>
    <w:rsid w:val="00A027C0"/>
    <w:rsid w:val="00A02F7F"/>
    <w:rsid w:val="00A037BB"/>
    <w:rsid w:val="00A03EC5"/>
    <w:rsid w:val="00A040AE"/>
    <w:rsid w:val="00A04239"/>
    <w:rsid w:val="00A0522E"/>
    <w:rsid w:val="00A0636A"/>
    <w:rsid w:val="00A06743"/>
    <w:rsid w:val="00A07239"/>
    <w:rsid w:val="00A0792B"/>
    <w:rsid w:val="00A12242"/>
    <w:rsid w:val="00A144F1"/>
    <w:rsid w:val="00A14731"/>
    <w:rsid w:val="00A14B49"/>
    <w:rsid w:val="00A14F65"/>
    <w:rsid w:val="00A150B4"/>
    <w:rsid w:val="00A158EB"/>
    <w:rsid w:val="00A15BC6"/>
    <w:rsid w:val="00A160FC"/>
    <w:rsid w:val="00A164D3"/>
    <w:rsid w:val="00A21E7E"/>
    <w:rsid w:val="00A22174"/>
    <w:rsid w:val="00A2245F"/>
    <w:rsid w:val="00A22E67"/>
    <w:rsid w:val="00A22F40"/>
    <w:rsid w:val="00A2549D"/>
    <w:rsid w:val="00A268CF"/>
    <w:rsid w:val="00A269A5"/>
    <w:rsid w:val="00A3001B"/>
    <w:rsid w:val="00A3168A"/>
    <w:rsid w:val="00A330DE"/>
    <w:rsid w:val="00A346ED"/>
    <w:rsid w:val="00A36930"/>
    <w:rsid w:val="00A36DC3"/>
    <w:rsid w:val="00A41403"/>
    <w:rsid w:val="00A41C69"/>
    <w:rsid w:val="00A44B71"/>
    <w:rsid w:val="00A44DDC"/>
    <w:rsid w:val="00A4539A"/>
    <w:rsid w:val="00A46A86"/>
    <w:rsid w:val="00A46CF9"/>
    <w:rsid w:val="00A50491"/>
    <w:rsid w:val="00A50951"/>
    <w:rsid w:val="00A510F2"/>
    <w:rsid w:val="00A511CE"/>
    <w:rsid w:val="00A51750"/>
    <w:rsid w:val="00A52DAE"/>
    <w:rsid w:val="00A5317E"/>
    <w:rsid w:val="00A53E06"/>
    <w:rsid w:val="00A55756"/>
    <w:rsid w:val="00A55AFD"/>
    <w:rsid w:val="00A571F6"/>
    <w:rsid w:val="00A5728C"/>
    <w:rsid w:val="00A60EA2"/>
    <w:rsid w:val="00A61A49"/>
    <w:rsid w:val="00A61F0A"/>
    <w:rsid w:val="00A62DF9"/>
    <w:rsid w:val="00A63D31"/>
    <w:rsid w:val="00A646B1"/>
    <w:rsid w:val="00A64CA8"/>
    <w:rsid w:val="00A66738"/>
    <w:rsid w:val="00A709D5"/>
    <w:rsid w:val="00A70AC4"/>
    <w:rsid w:val="00A72F1A"/>
    <w:rsid w:val="00A73056"/>
    <w:rsid w:val="00A75C1F"/>
    <w:rsid w:val="00A7646B"/>
    <w:rsid w:val="00A76B75"/>
    <w:rsid w:val="00A83063"/>
    <w:rsid w:val="00A830AA"/>
    <w:rsid w:val="00A8342C"/>
    <w:rsid w:val="00A83D89"/>
    <w:rsid w:val="00A85401"/>
    <w:rsid w:val="00A87EA0"/>
    <w:rsid w:val="00A900AA"/>
    <w:rsid w:val="00A91515"/>
    <w:rsid w:val="00A91789"/>
    <w:rsid w:val="00A91929"/>
    <w:rsid w:val="00A91C23"/>
    <w:rsid w:val="00A92A07"/>
    <w:rsid w:val="00A948C2"/>
    <w:rsid w:val="00A969A4"/>
    <w:rsid w:val="00A97ACD"/>
    <w:rsid w:val="00A97C01"/>
    <w:rsid w:val="00AA1281"/>
    <w:rsid w:val="00AA183F"/>
    <w:rsid w:val="00AA22A3"/>
    <w:rsid w:val="00AA2E7D"/>
    <w:rsid w:val="00AA4F66"/>
    <w:rsid w:val="00AA6026"/>
    <w:rsid w:val="00AA618F"/>
    <w:rsid w:val="00AA6320"/>
    <w:rsid w:val="00AA6368"/>
    <w:rsid w:val="00AA6B2F"/>
    <w:rsid w:val="00AA7C97"/>
    <w:rsid w:val="00AA7DA6"/>
    <w:rsid w:val="00AB104B"/>
    <w:rsid w:val="00AB24EF"/>
    <w:rsid w:val="00AB2860"/>
    <w:rsid w:val="00AB3944"/>
    <w:rsid w:val="00AB4697"/>
    <w:rsid w:val="00AB6070"/>
    <w:rsid w:val="00AB6E50"/>
    <w:rsid w:val="00AB758A"/>
    <w:rsid w:val="00AC0DEC"/>
    <w:rsid w:val="00AC0E0E"/>
    <w:rsid w:val="00AC1D11"/>
    <w:rsid w:val="00AC323A"/>
    <w:rsid w:val="00AC3A1A"/>
    <w:rsid w:val="00AC4364"/>
    <w:rsid w:val="00AC44E5"/>
    <w:rsid w:val="00AC63D7"/>
    <w:rsid w:val="00AC6F93"/>
    <w:rsid w:val="00AC70FE"/>
    <w:rsid w:val="00AC7133"/>
    <w:rsid w:val="00AC7753"/>
    <w:rsid w:val="00AD1E93"/>
    <w:rsid w:val="00AD20BD"/>
    <w:rsid w:val="00AD2EE9"/>
    <w:rsid w:val="00AD4BC4"/>
    <w:rsid w:val="00AD60B1"/>
    <w:rsid w:val="00AD694D"/>
    <w:rsid w:val="00AD6ADE"/>
    <w:rsid w:val="00AE003E"/>
    <w:rsid w:val="00AE0443"/>
    <w:rsid w:val="00AE0C7D"/>
    <w:rsid w:val="00AE1C10"/>
    <w:rsid w:val="00AE25B7"/>
    <w:rsid w:val="00AE272B"/>
    <w:rsid w:val="00AE2C4B"/>
    <w:rsid w:val="00AE33B5"/>
    <w:rsid w:val="00AE5EFB"/>
    <w:rsid w:val="00AE61DE"/>
    <w:rsid w:val="00AE6820"/>
    <w:rsid w:val="00AE6977"/>
    <w:rsid w:val="00AE6A54"/>
    <w:rsid w:val="00AF0CE0"/>
    <w:rsid w:val="00AF1E7A"/>
    <w:rsid w:val="00AF1F62"/>
    <w:rsid w:val="00AF2AE3"/>
    <w:rsid w:val="00AF3A57"/>
    <w:rsid w:val="00AF482E"/>
    <w:rsid w:val="00AF550C"/>
    <w:rsid w:val="00AF590E"/>
    <w:rsid w:val="00AF66BE"/>
    <w:rsid w:val="00AF6CF3"/>
    <w:rsid w:val="00AF7D42"/>
    <w:rsid w:val="00B0061D"/>
    <w:rsid w:val="00B009DB"/>
    <w:rsid w:val="00B027DF"/>
    <w:rsid w:val="00B03010"/>
    <w:rsid w:val="00B03519"/>
    <w:rsid w:val="00B03889"/>
    <w:rsid w:val="00B04B3D"/>
    <w:rsid w:val="00B05075"/>
    <w:rsid w:val="00B05739"/>
    <w:rsid w:val="00B057CC"/>
    <w:rsid w:val="00B05F7A"/>
    <w:rsid w:val="00B06124"/>
    <w:rsid w:val="00B06303"/>
    <w:rsid w:val="00B07708"/>
    <w:rsid w:val="00B10281"/>
    <w:rsid w:val="00B110F3"/>
    <w:rsid w:val="00B12C53"/>
    <w:rsid w:val="00B1437A"/>
    <w:rsid w:val="00B16C5C"/>
    <w:rsid w:val="00B17655"/>
    <w:rsid w:val="00B17711"/>
    <w:rsid w:val="00B17978"/>
    <w:rsid w:val="00B23128"/>
    <w:rsid w:val="00B23737"/>
    <w:rsid w:val="00B23CBE"/>
    <w:rsid w:val="00B265CE"/>
    <w:rsid w:val="00B2702E"/>
    <w:rsid w:val="00B273FE"/>
    <w:rsid w:val="00B27456"/>
    <w:rsid w:val="00B27BCD"/>
    <w:rsid w:val="00B30774"/>
    <w:rsid w:val="00B31487"/>
    <w:rsid w:val="00B3150B"/>
    <w:rsid w:val="00B32519"/>
    <w:rsid w:val="00B33CC9"/>
    <w:rsid w:val="00B345E1"/>
    <w:rsid w:val="00B3515E"/>
    <w:rsid w:val="00B35B74"/>
    <w:rsid w:val="00B36FBE"/>
    <w:rsid w:val="00B376B9"/>
    <w:rsid w:val="00B41488"/>
    <w:rsid w:val="00B416A7"/>
    <w:rsid w:val="00B425CE"/>
    <w:rsid w:val="00B42759"/>
    <w:rsid w:val="00B42A17"/>
    <w:rsid w:val="00B42C11"/>
    <w:rsid w:val="00B42DA8"/>
    <w:rsid w:val="00B466FF"/>
    <w:rsid w:val="00B4772A"/>
    <w:rsid w:val="00B5044E"/>
    <w:rsid w:val="00B50643"/>
    <w:rsid w:val="00B50D7A"/>
    <w:rsid w:val="00B50FFD"/>
    <w:rsid w:val="00B511D5"/>
    <w:rsid w:val="00B51A5F"/>
    <w:rsid w:val="00B521E3"/>
    <w:rsid w:val="00B525B8"/>
    <w:rsid w:val="00B53AFC"/>
    <w:rsid w:val="00B54DA9"/>
    <w:rsid w:val="00B551DA"/>
    <w:rsid w:val="00B56308"/>
    <w:rsid w:val="00B6143D"/>
    <w:rsid w:val="00B62255"/>
    <w:rsid w:val="00B62CE2"/>
    <w:rsid w:val="00B646D7"/>
    <w:rsid w:val="00B64C93"/>
    <w:rsid w:val="00B6508F"/>
    <w:rsid w:val="00B65FF7"/>
    <w:rsid w:val="00B66B5E"/>
    <w:rsid w:val="00B66E5D"/>
    <w:rsid w:val="00B7100E"/>
    <w:rsid w:val="00B712D6"/>
    <w:rsid w:val="00B712EC"/>
    <w:rsid w:val="00B72AA7"/>
    <w:rsid w:val="00B73506"/>
    <w:rsid w:val="00B73567"/>
    <w:rsid w:val="00B742A5"/>
    <w:rsid w:val="00B74830"/>
    <w:rsid w:val="00B76580"/>
    <w:rsid w:val="00B77083"/>
    <w:rsid w:val="00B77425"/>
    <w:rsid w:val="00B774EE"/>
    <w:rsid w:val="00B8109F"/>
    <w:rsid w:val="00B81DFB"/>
    <w:rsid w:val="00B836D5"/>
    <w:rsid w:val="00B84B1E"/>
    <w:rsid w:val="00B85DB1"/>
    <w:rsid w:val="00B86328"/>
    <w:rsid w:val="00B8721A"/>
    <w:rsid w:val="00B87C22"/>
    <w:rsid w:val="00B90FB1"/>
    <w:rsid w:val="00B9114C"/>
    <w:rsid w:val="00B92304"/>
    <w:rsid w:val="00B93BA8"/>
    <w:rsid w:val="00B94ECD"/>
    <w:rsid w:val="00B9667C"/>
    <w:rsid w:val="00BA046B"/>
    <w:rsid w:val="00BA0747"/>
    <w:rsid w:val="00BA1E29"/>
    <w:rsid w:val="00BA1F77"/>
    <w:rsid w:val="00BA236A"/>
    <w:rsid w:val="00BA309C"/>
    <w:rsid w:val="00BA356F"/>
    <w:rsid w:val="00BA375E"/>
    <w:rsid w:val="00BA4210"/>
    <w:rsid w:val="00BA4E34"/>
    <w:rsid w:val="00BA5AFE"/>
    <w:rsid w:val="00BA5C7F"/>
    <w:rsid w:val="00BA60D0"/>
    <w:rsid w:val="00BA69FB"/>
    <w:rsid w:val="00BA794A"/>
    <w:rsid w:val="00BB011E"/>
    <w:rsid w:val="00BB1C38"/>
    <w:rsid w:val="00BB1CFA"/>
    <w:rsid w:val="00BB2689"/>
    <w:rsid w:val="00BB2F2E"/>
    <w:rsid w:val="00BB3D23"/>
    <w:rsid w:val="00BB3F00"/>
    <w:rsid w:val="00BB5190"/>
    <w:rsid w:val="00BB580F"/>
    <w:rsid w:val="00BB5909"/>
    <w:rsid w:val="00BB609F"/>
    <w:rsid w:val="00BB6207"/>
    <w:rsid w:val="00BB6610"/>
    <w:rsid w:val="00BB7315"/>
    <w:rsid w:val="00BB731D"/>
    <w:rsid w:val="00BC1089"/>
    <w:rsid w:val="00BC1DF8"/>
    <w:rsid w:val="00BC2715"/>
    <w:rsid w:val="00BC2722"/>
    <w:rsid w:val="00BC2EED"/>
    <w:rsid w:val="00BC3B35"/>
    <w:rsid w:val="00BC48FE"/>
    <w:rsid w:val="00BC4C4F"/>
    <w:rsid w:val="00BD0832"/>
    <w:rsid w:val="00BD270F"/>
    <w:rsid w:val="00BD372C"/>
    <w:rsid w:val="00BD53FE"/>
    <w:rsid w:val="00BD6695"/>
    <w:rsid w:val="00BD6CB1"/>
    <w:rsid w:val="00BD7E59"/>
    <w:rsid w:val="00BE106E"/>
    <w:rsid w:val="00BE11C6"/>
    <w:rsid w:val="00BE149A"/>
    <w:rsid w:val="00BE1619"/>
    <w:rsid w:val="00BE1811"/>
    <w:rsid w:val="00BE189B"/>
    <w:rsid w:val="00BE2560"/>
    <w:rsid w:val="00BE2954"/>
    <w:rsid w:val="00BE3BD0"/>
    <w:rsid w:val="00BE3BD5"/>
    <w:rsid w:val="00BE3C28"/>
    <w:rsid w:val="00BE513D"/>
    <w:rsid w:val="00BE5404"/>
    <w:rsid w:val="00BE5B21"/>
    <w:rsid w:val="00BE6BEF"/>
    <w:rsid w:val="00BE6CFE"/>
    <w:rsid w:val="00BE79C0"/>
    <w:rsid w:val="00BF0EF1"/>
    <w:rsid w:val="00BF15C1"/>
    <w:rsid w:val="00BF245A"/>
    <w:rsid w:val="00BF2AC9"/>
    <w:rsid w:val="00BF2F06"/>
    <w:rsid w:val="00BF2F29"/>
    <w:rsid w:val="00BF3E4E"/>
    <w:rsid w:val="00BF463D"/>
    <w:rsid w:val="00BF4721"/>
    <w:rsid w:val="00BF4986"/>
    <w:rsid w:val="00BF4A89"/>
    <w:rsid w:val="00BF4DEC"/>
    <w:rsid w:val="00BF51AC"/>
    <w:rsid w:val="00BF5560"/>
    <w:rsid w:val="00BF5FDD"/>
    <w:rsid w:val="00BF6F5B"/>
    <w:rsid w:val="00C000BA"/>
    <w:rsid w:val="00C00594"/>
    <w:rsid w:val="00C01041"/>
    <w:rsid w:val="00C014E0"/>
    <w:rsid w:val="00C0227B"/>
    <w:rsid w:val="00C03A0A"/>
    <w:rsid w:val="00C05C39"/>
    <w:rsid w:val="00C0622C"/>
    <w:rsid w:val="00C06878"/>
    <w:rsid w:val="00C07773"/>
    <w:rsid w:val="00C10DC5"/>
    <w:rsid w:val="00C11AEB"/>
    <w:rsid w:val="00C147E5"/>
    <w:rsid w:val="00C14CEB"/>
    <w:rsid w:val="00C14F1D"/>
    <w:rsid w:val="00C15768"/>
    <w:rsid w:val="00C16758"/>
    <w:rsid w:val="00C16AA2"/>
    <w:rsid w:val="00C1761D"/>
    <w:rsid w:val="00C17923"/>
    <w:rsid w:val="00C17A63"/>
    <w:rsid w:val="00C17ADE"/>
    <w:rsid w:val="00C2100A"/>
    <w:rsid w:val="00C2133D"/>
    <w:rsid w:val="00C2272E"/>
    <w:rsid w:val="00C23205"/>
    <w:rsid w:val="00C24251"/>
    <w:rsid w:val="00C24310"/>
    <w:rsid w:val="00C24E82"/>
    <w:rsid w:val="00C25220"/>
    <w:rsid w:val="00C252EA"/>
    <w:rsid w:val="00C254E0"/>
    <w:rsid w:val="00C25B56"/>
    <w:rsid w:val="00C25FB0"/>
    <w:rsid w:val="00C27C74"/>
    <w:rsid w:val="00C30B09"/>
    <w:rsid w:val="00C30FB1"/>
    <w:rsid w:val="00C326B6"/>
    <w:rsid w:val="00C32E07"/>
    <w:rsid w:val="00C34261"/>
    <w:rsid w:val="00C34A26"/>
    <w:rsid w:val="00C357C7"/>
    <w:rsid w:val="00C36F36"/>
    <w:rsid w:val="00C4088C"/>
    <w:rsid w:val="00C40905"/>
    <w:rsid w:val="00C426FE"/>
    <w:rsid w:val="00C42C82"/>
    <w:rsid w:val="00C44DF5"/>
    <w:rsid w:val="00C45636"/>
    <w:rsid w:val="00C457CE"/>
    <w:rsid w:val="00C458B3"/>
    <w:rsid w:val="00C45E76"/>
    <w:rsid w:val="00C45E97"/>
    <w:rsid w:val="00C4770B"/>
    <w:rsid w:val="00C479E5"/>
    <w:rsid w:val="00C47DD7"/>
    <w:rsid w:val="00C47EA6"/>
    <w:rsid w:val="00C5014D"/>
    <w:rsid w:val="00C50B8D"/>
    <w:rsid w:val="00C51191"/>
    <w:rsid w:val="00C519FB"/>
    <w:rsid w:val="00C51FF8"/>
    <w:rsid w:val="00C52960"/>
    <w:rsid w:val="00C52C99"/>
    <w:rsid w:val="00C53A80"/>
    <w:rsid w:val="00C567AA"/>
    <w:rsid w:val="00C5710B"/>
    <w:rsid w:val="00C57871"/>
    <w:rsid w:val="00C57D2F"/>
    <w:rsid w:val="00C6031E"/>
    <w:rsid w:val="00C615AA"/>
    <w:rsid w:val="00C62499"/>
    <w:rsid w:val="00C62605"/>
    <w:rsid w:val="00C6264F"/>
    <w:rsid w:val="00C62981"/>
    <w:rsid w:val="00C62FF9"/>
    <w:rsid w:val="00C63FC2"/>
    <w:rsid w:val="00C64862"/>
    <w:rsid w:val="00C6580B"/>
    <w:rsid w:val="00C65B69"/>
    <w:rsid w:val="00C65BC0"/>
    <w:rsid w:val="00C67607"/>
    <w:rsid w:val="00C67C96"/>
    <w:rsid w:val="00C7012A"/>
    <w:rsid w:val="00C703D7"/>
    <w:rsid w:val="00C73203"/>
    <w:rsid w:val="00C73F4D"/>
    <w:rsid w:val="00C7450F"/>
    <w:rsid w:val="00C7651C"/>
    <w:rsid w:val="00C77EA7"/>
    <w:rsid w:val="00C82323"/>
    <w:rsid w:val="00C84D89"/>
    <w:rsid w:val="00C850A5"/>
    <w:rsid w:val="00C852B3"/>
    <w:rsid w:val="00C86365"/>
    <w:rsid w:val="00C86A56"/>
    <w:rsid w:val="00C86B67"/>
    <w:rsid w:val="00C86E24"/>
    <w:rsid w:val="00C87BE7"/>
    <w:rsid w:val="00C90A16"/>
    <w:rsid w:val="00C93392"/>
    <w:rsid w:val="00C94475"/>
    <w:rsid w:val="00C947E9"/>
    <w:rsid w:val="00C94B55"/>
    <w:rsid w:val="00C95131"/>
    <w:rsid w:val="00C95AEA"/>
    <w:rsid w:val="00C95CBC"/>
    <w:rsid w:val="00C95CFB"/>
    <w:rsid w:val="00C961BB"/>
    <w:rsid w:val="00C964A6"/>
    <w:rsid w:val="00C97C26"/>
    <w:rsid w:val="00CA334F"/>
    <w:rsid w:val="00CA377D"/>
    <w:rsid w:val="00CA399B"/>
    <w:rsid w:val="00CA3DCC"/>
    <w:rsid w:val="00CA4210"/>
    <w:rsid w:val="00CA4524"/>
    <w:rsid w:val="00CA5E09"/>
    <w:rsid w:val="00CA5FFA"/>
    <w:rsid w:val="00CA6267"/>
    <w:rsid w:val="00CA6AEA"/>
    <w:rsid w:val="00CA7918"/>
    <w:rsid w:val="00CA7C3C"/>
    <w:rsid w:val="00CA7E84"/>
    <w:rsid w:val="00CB0B18"/>
    <w:rsid w:val="00CB1545"/>
    <w:rsid w:val="00CB1949"/>
    <w:rsid w:val="00CB1EDD"/>
    <w:rsid w:val="00CB21E9"/>
    <w:rsid w:val="00CB254C"/>
    <w:rsid w:val="00CB2E15"/>
    <w:rsid w:val="00CB3B96"/>
    <w:rsid w:val="00CB44C0"/>
    <w:rsid w:val="00CB4F14"/>
    <w:rsid w:val="00CB5872"/>
    <w:rsid w:val="00CB6553"/>
    <w:rsid w:val="00CB7752"/>
    <w:rsid w:val="00CC0633"/>
    <w:rsid w:val="00CC0BB8"/>
    <w:rsid w:val="00CC1491"/>
    <w:rsid w:val="00CC14CA"/>
    <w:rsid w:val="00CC21FA"/>
    <w:rsid w:val="00CC31B2"/>
    <w:rsid w:val="00CC53C8"/>
    <w:rsid w:val="00CD05D9"/>
    <w:rsid w:val="00CD1386"/>
    <w:rsid w:val="00CD14F4"/>
    <w:rsid w:val="00CD1DB3"/>
    <w:rsid w:val="00CD2081"/>
    <w:rsid w:val="00CD2573"/>
    <w:rsid w:val="00CD3419"/>
    <w:rsid w:val="00CD40F9"/>
    <w:rsid w:val="00CD46AC"/>
    <w:rsid w:val="00CD51D5"/>
    <w:rsid w:val="00CD6AD0"/>
    <w:rsid w:val="00CD6B48"/>
    <w:rsid w:val="00CD6DAA"/>
    <w:rsid w:val="00CD6FBF"/>
    <w:rsid w:val="00CD73CB"/>
    <w:rsid w:val="00CD7437"/>
    <w:rsid w:val="00CD7569"/>
    <w:rsid w:val="00CD75A3"/>
    <w:rsid w:val="00CE0CBF"/>
    <w:rsid w:val="00CE1F8D"/>
    <w:rsid w:val="00CE3379"/>
    <w:rsid w:val="00CE3DD2"/>
    <w:rsid w:val="00CE4FA6"/>
    <w:rsid w:val="00CE54E8"/>
    <w:rsid w:val="00CE672B"/>
    <w:rsid w:val="00CE6F64"/>
    <w:rsid w:val="00CE71B1"/>
    <w:rsid w:val="00CE775C"/>
    <w:rsid w:val="00CE7A02"/>
    <w:rsid w:val="00CF0F2D"/>
    <w:rsid w:val="00CF18DB"/>
    <w:rsid w:val="00CF1C1C"/>
    <w:rsid w:val="00CF3747"/>
    <w:rsid w:val="00CF5314"/>
    <w:rsid w:val="00CF531F"/>
    <w:rsid w:val="00CF55AF"/>
    <w:rsid w:val="00CF5A8F"/>
    <w:rsid w:val="00CF5E6B"/>
    <w:rsid w:val="00CF7228"/>
    <w:rsid w:val="00CF7282"/>
    <w:rsid w:val="00CF7AFA"/>
    <w:rsid w:val="00D00CFF"/>
    <w:rsid w:val="00D00F87"/>
    <w:rsid w:val="00D0172E"/>
    <w:rsid w:val="00D01978"/>
    <w:rsid w:val="00D01A0D"/>
    <w:rsid w:val="00D02C04"/>
    <w:rsid w:val="00D030BF"/>
    <w:rsid w:val="00D035CC"/>
    <w:rsid w:val="00D0361F"/>
    <w:rsid w:val="00D03BCD"/>
    <w:rsid w:val="00D04856"/>
    <w:rsid w:val="00D049BB"/>
    <w:rsid w:val="00D05261"/>
    <w:rsid w:val="00D05BD3"/>
    <w:rsid w:val="00D05C8D"/>
    <w:rsid w:val="00D05D9A"/>
    <w:rsid w:val="00D062E1"/>
    <w:rsid w:val="00D063C6"/>
    <w:rsid w:val="00D06654"/>
    <w:rsid w:val="00D06888"/>
    <w:rsid w:val="00D121F6"/>
    <w:rsid w:val="00D12242"/>
    <w:rsid w:val="00D123BD"/>
    <w:rsid w:val="00D12E69"/>
    <w:rsid w:val="00D14C58"/>
    <w:rsid w:val="00D14EC7"/>
    <w:rsid w:val="00D15F09"/>
    <w:rsid w:val="00D16247"/>
    <w:rsid w:val="00D17B99"/>
    <w:rsid w:val="00D2092E"/>
    <w:rsid w:val="00D2214E"/>
    <w:rsid w:val="00D234C9"/>
    <w:rsid w:val="00D23651"/>
    <w:rsid w:val="00D24EFA"/>
    <w:rsid w:val="00D25091"/>
    <w:rsid w:val="00D25822"/>
    <w:rsid w:val="00D25BD7"/>
    <w:rsid w:val="00D25EDF"/>
    <w:rsid w:val="00D27730"/>
    <w:rsid w:val="00D27CE6"/>
    <w:rsid w:val="00D27D86"/>
    <w:rsid w:val="00D30416"/>
    <w:rsid w:val="00D31F24"/>
    <w:rsid w:val="00D333DA"/>
    <w:rsid w:val="00D33907"/>
    <w:rsid w:val="00D3403D"/>
    <w:rsid w:val="00D361A7"/>
    <w:rsid w:val="00D36EA2"/>
    <w:rsid w:val="00D3714B"/>
    <w:rsid w:val="00D41734"/>
    <w:rsid w:val="00D429B9"/>
    <w:rsid w:val="00D42C4D"/>
    <w:rsid w:val="00D43832"/>
    <w:rsid w:val="00D43CF2"/>
    <w:rsid w:val="00D4448D"/>
    <w:rsid w:val="00D4473B"/>
    <w:rsid w:val="00D45656"/>
    <w:rsid w:val="00D45D99"/>
    <w:rsid w:val="00D465F2"/>
    <w:rsid w:val="00D47D1A"/>
    <w:rsid w:val="00D47E72"/>
    <w:rsid w:val="00D50FAB"/>
    <w:rsid w:val="00D51089"/>
    <w:rsid w:val="00D5173D"/>
    <w:rsid w:val="00D521E1"/>
    <w:rsid w:val="00D5254D"/>
    <w:rsid w:val="00D531BD"/>
    <w:rsid w:val="00D53266"/>
    <w:rsid w:val="00D53540"/>
    <w:rsid w:val="00D53D26"/>
    <w:rsid w:val="00D560C9"/>
    <w:rsid w:val="00D61F54"/>
    <w:rsid w:val="00D62FF3"/>
    <w:rsid w:val="00D63239"/>
    <w:rsid w:val="00D63A74"/>
    <w:rsid w:val="00D63D26"/>
    <w:rsid w:val="00D65C73"/>
    <w:rsid w:val="00D661CB"/>
    <w:rsid w:val="00D66965"/>
    <w:rsid w:val="00D674D1"/>
    <w:rsid w:val="00D70BDD"/>
    <w:rsid w:val="00D70BE5"/>
    <w:rsid w:val="00D72735"/>
    <w:rsid w:val="00D72809"/>
    <w:rsid w:val="00D7448B"/>
    <w:rsid w:val="00D74A60"/>
    <w:rsid w:val="00D778A8"/>
    <w:rsid w:val="00D80C01"/>
    <w:rsid w:val="00D81042"/>
    <w:rsid w:val="00D82262"/>
    <w:rsid w:val="00D83444"/>
    <w:rsid w:val="00D83977"/>
    <w:rsid w:val="00D85772"/>
    <w:rsid w:val="00D86BEA"/>
    <w:rsid w:val="00D912BA"/>
    <w:rsid w:val="00D91BC3"/>
    <w:rsid w:val="00D935A6"/>
    <w:rsid w:val="00D9376A"/>
    <w:rsid w:val="00D95359"/>
    <w:rsid w:val="00D9603B"/>
    <w:rsid w:val="00D96963"/>
    <w:rsid w:val="00D97ECD"/>
    <w:rsid w:val="00DA01CF"/>
    <w:rsid w:val="00DA2B8E"/>
    <w:rsid w:val="00DA347E"/>
    <w:rsid w:val="00DA426B"/>
    <w:rsid w:val="00DA493C"/>
    <w:rsid w:val="00DA4D0A"/>
    <w:rsid w:val="00DA518E"/>
    <w:rsid w:val="00DA5D1A"/>
    <w:rsid w:val="00DA66FF"/>
    <w:rsid w:val="00DA6E3E"/>
    <w:rsid w:val="00DA7140"/>
    <w:rsid w:val="00DA7B12"/>
    <w:rsid w:val="00DA7B20"/>
    <w:rsid w:val="00DA7B76"/>
    <w:rsid w:val="00DA7E3B"/>
    <w:rsid w:val="00DB0DAE"/>
    <w:rsid w:val="00DB172C"/>
    <w:rsid w:val="00DB1800"/>
    <w:rsid w:val="00DB1C12"/>
    <w:rsid w:val="00DB2B4F"/>
    <w:rsid w:val="00DB35AF"/>
    <w:rsid w:val="00DB3A29"/>
    <w:rsid w:val="00DB3D73"/>
    <w:rsid w:val="00DB4F68"/>
    <w:rsid w:val="00DB4FD2"/>
    <w:rsid w:val="00DB6312"/>
    <w:rsid w:val="00DB6CD5"/>
    <w:rsid w:val="00DB6EBD"/>
    <w:rsid w:val="00DB7482"/>
    <w:rsid w:val="00DC0CA5"/>
    <w:rsid w:val="00DC1411"/>
    <w:rsid w:val="00DC19F2"/>
    <w:rsid w:val="00DC1A03"/>
    <w:rsid w:val="00DC1E6C"/>
    <w:rsid w:val="00DC2017"/>
    <w:rsid w:val="00DC36CD"/>
    <w:rsid w:val="00DC3C5A"/>
    <w:rsid w:val="00DC5DF5"/>
    <w:rsid w:val="00DC698E"/>
    <w:rsid w:val="00DD0D76"/>
    <w:rsid w:val="00DD1FC6"/>
    <w:rsid w:val="00DD27B7"/>
    <w:rsid w:val="00DD3381"/>
    <w:rsid w:val="00DD410D"/>
    <w:rsid w:val="00DD45C1"/>
    <w:rsid w:val="00DD5562"/>
    <w:rsid w:val="00DD572F"/>
    <w:rsid w:val="00DD6227"/>
    <w:rsid w:val="00DD6514"/>
    <w:rsid w:val="00DD65D6"/>
    <w:rsid w:val="00DD6610"/>
    <w:rsid w:val="00DD75A8"/>
    <w:rsid w:val="00DD764F"/>
    <w:rsid w:val="00DE0576"/>
    <w:rsid w:val="00DE10D7"/>
    <w:rsid w:val="00DE18C4"/>
    <w:rsid w:val="00DE1D77"/>
    <w:rsid w:val="00DE1E50"/>
    <w:rsid w:val="00DE248A"/>
    <w:rsid w:val="00DE275B"/>
    <w:rsid w:val="00DE2806"/>
    <w:rsid w:val="00DE28C3"/>
    <w:rsid w:val="00DE4BA1"/>
    <w:rsid w:val="00DE4D88"/>
    <w:rsid w:val="00DE5D5C"/>
    <w:rsid w:val="00DE6F35"/>
    <w:rsid w:val="00DE7198"/>
    <w:rsid w:val="00DE7661"/>
    <w:rsid w:val="00DE79A2"/>
    <w:rsid w:val="00DF02AE"/>
    <w:rsid w:val="00DF1DB9"/>
    <w:rsid w:val="00DF3488"/>
    <w:rsid w:val="00DF3645"/>
    <w:rsid w:val="00DF56E7"/>
    <w:rsid w:val="00DF6768"/>
    <w:rsid w:val="00DF7CC6"/>
    <w:rsid w:val="00E00E18"/>
    <w:rsid w:val="00E00E7A"/>
    <w:rsid w:val="00E01566"/>
    <w:rsid w:val="00E02A70"/>
    <w:rsid w:val="00E02C19"/>
    <w:rsid w:val="00E033E2"/>
    <w:rsid w:val="00E03454"/>
    <w:rsid w:val="00E04D44"/>
    <w:rsid w:val="00E052CC"/>
    <w:rsid w:val="00E053FD"/>
    <w:rsid w:val="00E05B8C"/>
    <w:rsid w:val="00E05BA7"/>
    <w:rsid w:val="00E06374"/>
    <w:rsid w:val="00E06A4A"/>
    <w:rsid w:val="00E073A0"/>
    <w:rsid w:val="00E07AF4"/>
    <w:rsid w:val="00E07D14"/>
    <w:rsid w:val="00E10833"/>
    <w:rsid w:val="00E10928"/>
    <w:rsid w:val="00E1105D"/>
    <w:rsid w:val="00E11366"/>
    <w:rsid w:val="00E1159D"/>
    <w:rsid w:val="00E11C32"/>
    <w:rsid w:val="00E1429D"/>
    <w:rsid w:val="00E143A2"/>
    <w:rsid w:val="00E14487"/>
    <w:rsid w:val="00E166DF"/>
    <w:rsid w:val="00E17E64"/>
    <w:rsid w:val="00E205EB"/>
    <w:rsid w:val="00E20805"/>
    <w:rsid w:val="00E21758"/>
    <w:rsid w:val="00E2199D"/>
    <w:rsid w:val="00E21EC4"/>
    <w:rsid w:val="00E224D5"/>
    <w:rsid w:val="00E22CCA"/>
    <w:rsid w:val="00E240B7"/>
    <w:rsid w:val="00E24BD9"/>
    <w:rsid w:val="00E257FC"/>
    <w:rsid w:val="00E25954"/>
    <w:rsid w:val="00E2660A"/>
    <w:rsid w:val="00E26A9A"/>
    <w:rsid w:val="00E3084A"/>
    <w:rsid w:val="00E31964"/>
    <w:rsid w:val="00E32FE3"/>
    <w:rsid w:val="00E340BA"/>
    <w:rsid w:val="00E341F7"/>
    <w:rsid w:val="00E3440F"/>
    <w:rsid w:val="00E344D3"/>
    <w:rsid w:val="00E34854"/>
    <w:rsid w:val="00E35102"/>
    <w:rsid w:val="00E36E68"/>
    <w:rsid w:val="00E37BB2"/>
    <w:rsid w:val="00E405D3"/>
    <w:rsid w:val="00E41EC8"/>
    <w:rsid w:val="00E4348E"/>
    <w:rsid w:val="00E43E31"/>
    <w:rsid w:val="00E450CF"/>
    <w:rsid w:val="00E452FF"/>
    <w:rsid w:val="00E46F4A"/>
    <w:rsid w:val="00E476FD"/>
    <w:rsid w:val="00E502D5"/>
    <w:rsid w:val="00E51918"/>
    <w:rsid w:val="00E5316A"/>
    <w:rsid w:val="00E532A7"/>
    <w:rsid w:val="00E533FD"/>
    <w:rsid w:val="00E53534"/>
    <w:rsid w:val="00E53DE9"/>
    <w:rsid w:val="00E5560E"/>
    <w:rsid w:val="00E56375"/>
    <w:rsid w:val="00E61B0F"/>
    <w:rsid w:val="00E6347E"/>
    <w:rsid w:val="00E63766"/>
    <w:rsid w:val="00E66356"/>
    <w:rsid w:val="00E67014"/>
    <w:rsid w:val="00E706F2"/>
    <w:rsid w:val="00E70A74"/>
    <w:rsid w:val="00E73FCD"/>
    <w:rsid w:val="00E74768"/>
    <w:rsid w:val="00E75728"/>
    <w:rsid w:val="00E75ACF"/>
    <w:rsid w:val="00E75CEC"/>
    <w:rsid w:val="00E76356"/>
    <w:rsid w:val="00E7775C"/>
    <w:rsid w:val="00E77AE6"/>
    <w:rsid w:val="00E77C0F"/>
    <w:rsid w:val="00E806D4"/>
    <w:rsid w:val="00E81D32"/>
    <w:rsid w:val="00E834D2"/>
    <w:rsid w:val="00E83E2B"/>
    <w:rsid w:val="00E851F7"/>
    <w:rsid w:val="00E8612A"/>
    <w:rsid w:val="00E8676E"/>
    <w:rsid w:val="00E868FC"/>
    <w:rsid w:val="00E879ED"/>
    <w:rsid w:val="00E87D30"/>
    <w:rsid w:val="00E92414"/>
    <w:rsid w:val="00E97B02"/>
    <w:rsid w:val="00EA04A1"/>
    <w:rsid w:val="00EA21EE"/>
    <w:rsid w:val="00EA25A9"/>
    <w:rsid w:val="00EA2FBA"/>
    <w:rsid w:val="00EA38F9"/>
    <w:rsid w:val="00EA3DF2"/>
    <w:rsid w:val="00EA40C7"/>
    <w:rsid w:val="00EA45D1"/>
    <w:rsid w:val="00EA662E"/>
    <w:rsid w:val="00EA6831"/>
    <w:rsid w:val="00EA68B2"/>
    <w:rsid w:val="00EA7120"/>
    <w:rsid w:val="00EB0008"/>
    <w:rsid w:val="00EB0824"/>
    <w:rsid w:val="00EB082E"/>
    <w:rsid w:val="00EB1F50"/>
    <w:rsid w:val="00EB2A13"/>
    <w:rsid w:val="00EB35E6"/>
    <w:rsid w:val="00EB362D"/>
    <w:rsid w:val="00EB49E2"/>
    <w:rsid w:val="00EB5234"/>
    <w:rsid w:val="00EB5572"/>
    <w:rsid w:val="00EB57C9"/>
    <w:rsid w:val="00EB7190"/>
    <w:rsid w:val="00EB7E15"/>
    <w:rsid w:val="00EC139C"/>
    <w:rsid w:val="00EC19CA"/>
    <w:rsid w:val="00EC1F48"/>
    <w:rsid w:val="00EC2942"/>
    <w:rsid w:val="00EC360B"/>
    <w:rsid w:val="00EC3F6E"/>
    <w:rsid w:val="00EC450F"/>
    <w:rsid w:val="00EC5C8D"/>
    <w:rsid w:val="00ED0609"/>
    <w:rsid w:val="00ED0AA3"/>
    <w:rsid w:val="00ED12E5"/>
    <w:rsid w:val="00ED162A"/>
    <w:rsid w:val="00ED369A"/>
    <w:rsid w:val="00ED5657"/>
    <w:rsid w:val="00ED5851"/>
    <w:rsid w:val="00ED5BBB"/>
    <w:rsid w:val="00ED6DFA"/>
    <w:rsid w:val="00EE0080"/>
    <w:rsid w:val="00EE0118"/>
    <w:rsid w:val="00EE081D"/>
    <w:rsid w:val="00EE0A1C"/>
    <w:rsid w:val="00EE0B94"/>
    <w:rsid w:val="00EE366F"/>
    <w:rsid w:val="00EE404A"/>
    <w:rsid w:val="00EE4C64"/>
    <w:rsid w:val="00EE5206"/>
    <w:rsid w:val="00EE5653"/>
    <w:rsid w:val="00EE6049"/>
    <w:rsid w:val="00EE6685"/>
    <w:rsid w:val="00EE73EF"/>
    <w:rsid w:val="00EF17CD"/>
    <w:rsid w:val="00EF1847"/>
    <w:rsid w:val="00EF1FEC"/>
    <w:rsid w:val="00EF2E45"/>
    <w:rsid w:val="00EF2E7C"/>
    <w:rsid w:val="00EF42FB"/>
    <w:rsid w:val="00EF6C8A"/>
    <w:rsid w:val="00EF6FCC"/>
    <w:rsid w:val="00F0051C"/>
    <w:rsid w:val="00F00954"/>
    <w:rsid w:val="00F00D3D"/>
    <w:rsid w:val="00F0106F"/>
    <w:rsid w:val="00F02312"/>
    <w:rsid w:val="00F02369"/>
    <w:rsid w:val="00F0427D"/>
    <w:rsid w:val="00F051C2"/>
    <w:rsid w:val="00F052F9"/>
    <w:rsid w:val="00F05D67"/>
    <w:rsid w:val="00F06656"/>
    <w:rsid w:val="00F06915"/>
    <w:rsid w:val="00F06AF0"/>
    <w:rsid w:val="00F06EC6"/>
    <w:rsid w:val="00F070E8"/>
    <w:rsid w:val="00F07208"/>
    <w:rsid w:val="00F1002D"/>
    <w:rsid w:val="00F101E1"/>
    <w:rsid w:val="00F10550"/>
    <w:rsid w:val="00F10B1E"/>
    <w:rsid w:val="00F1241C"/>
    <w:rsid w:val="00F12A1A"/>
    <w:rsid w:val="00F12C60"/>
    <w:rsid w:val="00F14718"/>
    <w:rsid w:val="00F14EF4"/>
    <w:rsid w:val="00F17B24"/>
    <w:rsid w:val="00F17BAC"/>
    <w:rsid w:val="00F17F8A"/>
    <w:rsid w:val="00F20BFA"/>
    <w:rsid w:val="00F21674"/>
    <w:rsid w:val="00F21A24"/>
    <w:rsid w:val="00F230E1"/>
    <w:rsid w:val="00F24D44"/>
    <w:rsid w:val="00F253FA"/>
    <w:rsid w:val="00F25723"/>
    <w:rsid w:val="00F25CE8"/>
    <w:rsid w:val="00F26079"/>
    <w:rsid w:val="00F2654B"/>
    <w:rsid w:val="00F27718"/>
    <w:rsid w:val="00F3077E"/>
    <w:rsid w:val="00F30DCA"/>
    <w:rsid w:val="00F31684"/>
    <w:rsid w:val="00F31F0D"/>
    <w:rsid w:val="00F32E38"/>
    <w:rsid w:val="00F34ECE"/>
    <w:rsid w:val="00F35B12"/>
    <w:rsid w:val="00F37133"/>
    <w:rsid w:val="00F375E8"/>
    <w:rsid w:val="00F37F98"/>
    <w:rsid w:val="00F40635"/>
    <w:rsid w:val="00F4081C"/>
    <w:rsid w:val="00F41BF1"/>
    <w:rsid w:val="00F4372B"/>
    <w:rsid w:val="00F44092"/>
    <w:rsid w:val="00F44BFA"/>
    <w:rsid w:val="00F4521A"/>
    <w:rsid w:val="00F50754"/>
    <w:rsid w:val="00F51277"/>
    <w:rsid w:val="00F519B5"/>
    <w:rsid w:val="00F5226C"/>
    <w:rsid w:val="00F52C1E"/>
    <w:rsid w:val="00F52CD7"/>
    <w:rsid w:val="00F5399A"/>
    <w:rsid w:val="00F53A82"/>
    <w:rsid w:val="00F54827"/>
    <w:rsid w:val="00F548E3"/>
    <w:rsid w:val="00F550A1"/>
    <w:rsid w:val="00F55415"/>
    <w:rsid w:val="00F56780"/>
    <w:rsid w:val="00F567F4"/>
    <w:rsid w:val="00F567FB"/>
    <w:rsid w:val="00F578E2"/>
    <w:rsid w:val="00F57A3F"/>
    <w:rsid w:val="00F6076B"/>
    <w:rsid w:val="00F6228F"/>
    <w:rsid w:val="00F63864"/>
    <w:rsid w:val="00F6388E"/>
    <w:rsid w:val="00F63991"/>
    <w:rsid w:val="00F648AC"/>
    <w:rsid w:val="00F64B69"/>
    <w:rsid w:val="00F666F9"/>
    <w:rsid w:val="00F6711D"/>
    <w:rsid w:val="00F70925"/>
    <w:rsid w:val="00F70DDC"/>
    <w:rsid w:val="00F70DF6"/>
    <w:rsid w:val="00F710BC"/>
    <w:rsid w:val="00F714D6"/>
    <w:rsid w:val="00F71659"/>
    <w:rsid w:val="00F71D2C"/>
    <w:rsid w:val="00F7279A"/>
    <w:rsid w:val="00F735BF"/>
    <w:rsid w:val="00F74835"/>
    <w:rsid w:val="00F759D9"/>
    <w:rsid w:val="00F76DE1"/>
    <w:rsid w:val="00F778E0"/>
    <w:rsid w:val="00F77EE7"/>
    <w:rsid w:val="00F849D4"/>
    <w:rsid w:val="00F8605A"/>
    <w:rsid w:val="00F86A99"/>
    <w:rsid w:val="00F87125"/>
    <w:rsid w:val="00F90598"/>
    <w:rsid w:val="00F919D1"/>
    <w:rsid w:val="00F91FD3"/>
    <w:rsid w:val="00F92987"/>
    <w:rsid w:val="00F942CC"/>
    <w:rsid w:val="00F956A2"/>
    <w:rsid w:val="00F95C00"/>
    <w:rsid w:val="00F95EC5"/>
    <w:rsid w:val="00F9606C"/>
    <w:rsid w:val="00F97131"/>
    <w:rsid w:val="00FA025A"/>
    <w:rsid w:val="00FA0279"/>
    <w:rsid w:val="00FA12F5"/>
    <w:rsid w:val="00FA29E5"/>
    <w:rsid w:val="00FA2C7E"/>
    <w:rsid w:val="00FA2DF2"/>
    <w:rsid w:val="00FA57FA"/>
    <w:rsid w:val="00FA5953"/>
    <w:rsid w:val="00FA5C40"/>
    <w:rsid w:val="00FA5F3F"/>
    <w:rsid w:val="00FA6E44"/>
    <w:rsid w:val="00FA7C2E"/>
    <w:rsid w:val="00FB0488"/>
    <w:rsid w:val="00FB04FA"/>
    <w:rsid w:val="00FB09E2"/>
    <w:rsid w:val="00FB0FB9"/>
    <w:rsid w:val="00FB18E3"/>
    <w:rsid w:val="00FB1D4F"/>
    <w:rsid w:val="00FB44ED"/>
    <w:rsid w:val="00FB4C99"/>
    <w:rsid w:val="00FB5314"/>
    <w:rsid w:val="00FB5903"/>
    <w:rsid w:val="00FB5CBC"/>
    <w:rsid w:val="00FB6836"/>
    <w:rsid w:val="00FB6A08"/>
    <w:rsid w:val="00FB740E"/>
    <w:rsid w:val="00FB75F9"/>
    <w:rsid w:val="00FB7B56"/>
    <w:rsid w:val="00FC0EBF"/>
    <w:rsid w:val="00FC1201"/>
    <w:rsid w:val="00FC1353"/>
    <w:rsid w:val="00FC5166"/>
    <w:rsid w:val="00FC523D"/>
    <w:rsid w:val="00FC5526"/>
    <w:rsid w:val="00FC59E1"/>
    <w:rsid w:val="00FC621E"/>
    <w:rsid w:val="00FC63B7"/>
    <w:rsid w:val="00FC6B71"/>
    <w:rsid w:val="00FC70B2"/>
    <w:rsid w:val="00FD069A"/>
    <w:rsid w:val="00FD161E"/>
    <w:rsid w:val="00FD1C59"/>
    <w:rsid w:val="00FD3A0A"/>
    <w:rsid w:val="00FD4A81"/>
    <w:rsid w:val="00FD5521"/>
    <w:rsid w:val="00FD57FB"/>
    <w:rsid w:val="00FD747B"/>
    <w:rsid w:val="00FE39FF"/>
    <w:rsid w:val="00FE4559"/>
    <w:rsid w:val="00FE4B06"/>
    <w:rsid w:val="00FE4CF6"/>
    <w:rsid w:val="00FE532A"/>
    <w:rsid w:val="00FE5407"/>
    <w:rsid w:val="00FE5BF6"/>
    <w:rsid w:val="00FE657F"/>
    <w:rsid w:val="00FE693D"/>
    <w:rsid w:val="00FE6B82"/>
    <w:rsid w:val="00FE6DB9"/>
    <w:rsid w:val="00FF0E95"/>
    <w:rsid w:val="00FF1934"/>
    <w:rsid w:val="00FF1CC6"/>
    <w:rsid w:val="00FF29C6"/>
    <w:rsid w:val="00FF4B95"/>
    <w:rsid w:val="00FF5BBE"/>
    <w:rsid w:val="00FF73CF"/>
    <w:rsid w:val="00FF7460"/>
    <w:rsid w:val="00FF75D1"/>
    <w:rsid w:val="00FF7680"/>
    <w:rsid w:val="00FF7E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459D10A5"/>
  <w15:docId w15:val="{D9BB0B38-B16D-42B9-A81A-F22A5587B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254"/>
    <w:pPr>
      <w:spacing w:after="120"/>
      <w:jc w:val="both"/>
    </w:pPr>
    <w:rPr>
      <w:sz w:val="24"/>
    </w:rPr>
  </w:style>
  <w:style w:type="paragraph" w:styleId="Heading1">
    <w:name w:val="heading 1"/>
    <w:basedOn w:val="Normal"/>
    <w:next w:val="Normal"/>
    <w:link w:val="Heading1Char"/>
    <w:uiPriority w:val="9"/>
    <w:qFormat/>
    <w:rsid w:val="00CA3DCC"/>
    <w:pPr>
      <w:keepNext/>
      <w:keepLines/>
      <w:spacing w:after="0"/>
      <w:jc w:val="left"/>
      <w:outlineLvl w:val="0"/>
    </w:pPr>
    <w:rPr>
      <w:rFonts w:eastAsiaTheme="majorEastAsia" w:cstheme="majorBidi"/>
      <w:b/>
      <w:color w:val="4472C4" w:themeColor="accent1"/>
      <w:sz w:val="40"/>
      <w:szCs w:val="32"/>
    </w:rPr>
  </w:style>
  <w:style w:type="paragraph" w:styleId="Heading2">
    <w:name w:val="heading 2"/>
    <w:basedOn w:val="Normal"/>
    <w:next w:val="Normal"/>
    <w:link w:val="Heading2Char"/>
    <w:uiPriority w:val="9"/>
    <w:unhideWhenUsed/>
    <w:qFormat/>
    <w:rsid w:val="002820EC"/>
    <w:pPr>
      <w:keepNext/>
      <w:keepLines/>
      <w:spacing w:before="360" w:after="0"/>
      <w:jc w:val="left"/>
      <w:outlineLvl w:val="1"/>
    </w:pPr>
    <w:rPr>
      <w:rFonts w:eastAsiaTheme="majorEastAsia" w:cstheme="minorHAnsi"/>
      <w:b/>
      <w:color w:val="2F5496" w:themeColor="accent1" w:themeShade="BF"/>
      <w:sz w:val="36"/>
      <w:szCs w:val="26"/>
    </w:rPr>
  </w:style>
  <w:style w:type="paragraph" w:styleId="Heading3">
    <w:name w:val="heading 3"/>
    <w:basedOn w:val="Normal"/>
    <w:next w:val="Normal"/>
    <w:link w:val="Heading3Char"/>
    <w:uiPriority w:val="9"/>
    <w:unhideWhenUsed/>
    <w:qFormat/>
    <w:rsid w:val="002820EC"/>
    <w:pPr>
      <w:keepNext/>
      <w:keepLines/>
      <w:spacing w:before="240" w:after="0"/>
      <w:jc w:val="left"/>
      <w:outlineLvl w:val="2"/>
    </w:pPr>
    <w:rPr>
      <w:rFonts w:eastAsia="Times New Roman" w:cstheme="minorHAnsi"/>
      <w:b/>
      <w:color w:val="2E74B5" w:themeColor="accent5" w:themeShade="BF"/>
      <w:sz w:val="32"/>
      <w:szCs w:val="24"/>
    </w:rPr>
  </w:style>
  <w:style w:type="paragraph" w:styleId="Heading4">
    <w:name w:val="heading 4"/>
    <w:basedOn w:val="Normal"/>
    <w:next w:val="Normal"/>
    <w:link w:val="Heading4Char"/>
    <w:uiPriority w:val="9"/>
    <w:unhideWhenUsed/>
    <w:qFormat/>
    <w:rsid w:val="002820EC"/>
    <w:pPr>
      <w:keepNext/>
      <w:keepLines/>
      <w:spacing w:before="200" w:after="0"/>
      <w:jc w:val="left"/>
      <w:outlineLvl w:val="3"/>
    </w:pPr>
    <w:rPr>
      <w:rFonts w:eastAsiaTheme="majorEastAsia" w:cstheme="minorHAnsi"/>
      <w:b/>
      <w:iCs/>
      <w:color w:val="2F5496" w:themeColor="accent1" w:themeShade="BF"/>
      <w:sz w:val="28"/>
      <w:lang w:eastAsia="en-AU"/>
    </w:rPr>
  </w:style>
  <w:style w:type="paragraph" w:styleId="Heading5">
    <w:name w:val="heading 5"/>
    <w:basedOn w:val="Normal"/>
    <w:next w:val="Normal"/>
    <w:link w:val="Heading5Char"/>
    <w:uiPriority w:val="9"/>
    <w:unhideWhenUsed/>
    <w:qFormat/>
    <w:rsid w:val="0064637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C1970"/>
    <w:pPr>
      <w:pBdr>
        <w:top w:val="single" w:sz="6" w:space="8" w:color="000000"/>
      </w:pBdr>
      <w:tabs>
        <w:tab w:val="center" w:pos="4153"/>
        <w:tab w:val="right" w:pos="8306"/>
      </w:tabs>
      <w:spacing w:after="0" w:line="360" w:lineRule="auto"/>
    </w:pPr>
    <w:rPr>
      <w:rFonts w:eastAsia="Times New Roman" w:cs="Times New Roman"/>
      <w:szCs w:val="24"/>
      <w:lang w:eastAsia="en-AU"/>
    </w:rPr>
  </w:style>
  <w:style w:type="character" w:customStyle="1" w:styleId="FooterChar">
    <w:name w:val="Footer Char"/>
    <w:basedOn w:val="DefaultParagraphFont"/>
    <w:link w:val="Footer"/>
    <w:uiPriority w:val="99"/>
    <w:rsid w:val="006C1970"/>
    <w:rPr>
      <w:rFonts w:eastAsia="Times New Roman" w:cs="Times New Roman"/>
      <w:sz w:val="24"/>
      <w:szCs w:val="24"/>
      <w:lang w:eastAsia="en-AU"/>
    </w:rPr>
  </w:style>
  <w:style w:type="paragraph" w:styleId="ListParagraph">
    <w:name w:val="List Paragraph"/>
    <w:aliases w:val="Normal-Heading,List Paragraph1,Recommendation,Bullet point,List Paragraph11,List Paragraph Number,L,Normal-Heading1,List Paragraph12,Recommendation1,Bullet point1,List Paragraph111,List Paragraph Number1,L1,Normal-Heading2"/>
    <w:basedOn w:val="Normal"/>
    <w:link w:val="ListParagraphChar"/>
    <w:uiPriority w:val="34"/>
    <w:qFormat/>
    <w:rsid w:val="004A18CC"/>
    <w:pPr>
      <w:ind w:left="720"/>
      <w:contextualSpacing/>
    </w:pPr>
  </w:style>
  <w:style w:type="character" w:customStyle="1" w:styleId="gmail-apple-tab-span">
    <w:name w:val="gmail-apple-tab-span"/>
    <w:basedOn w:val="DefaultParagraphFont"/>
    <w:rsid w:val="00773CF3"/>
  </w:style>
  <w:style w:type="paragraph" w:styleId="Header">
    <w:name w:val="header"/>
    <w:basedOn w:val="Normal"/>
    <w:link w:val="HeaderChar"/>
    <w:uiPriority w:val="99"/>
    <w:unhideWhenUsed/>
    <w:rsid w:val="00773CF3"/>
    <w:pPr>
      <w:tabs>
        <w:tab w:val="center" w:pos="4513"/>
        <w:tab w:val="right" w:pos="9026"/>
      </w:tabs>
      <w:spacing w:after="0" w:line="240" w:lineRule="auto"/>
    </w:pPr>
    <w:rPr>
      <w:rFonts w:cs="Times New Roman"/>
      <w:szCs w:val="24"/>
      <w:lang w:val="en-US"/>
    </w:rPr>
  </w:style>
  <w:style w:type="character" w:customStyle="1" w:styleId="HeaderChar">
    <w:name w:val="Header Char"/>
    <w:basedOn w:val="DefaultParagraphFont"/>
    <w:link w:val="Header"/>
    <w:uiPriority w:val="99"/>
    <w:rsid w:val="00773CF3"/>
    <w:rPr>
      <w:rFonts w:cs="Times New Roman"/>
      <w:sz w:val="24"/>
      <w:szCs w:val="24"/>
      <w:lang w:val="en-US"/>
    </w:rPr>
  </w:style>
  <w:style w:type="paragraph" w:styleId="BalloonText">
    <w:name w:val="Balloon Text"/>
    <w:basedOn w:val="Normal"/>
    <w:link w:val="BalloonTextChar"/>
    <w:uiPriority w:val="99"/>
    <w:semiHidden/>
    <w:unhideWhenUsed/>
    <w:rsid w:val="000363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307"/>
    <w:rPr>
      <w:rFonts w:ascii="Segoe UI" w:hAnsi="Segoe UI" w:cs="Segoe UI"/>
      <w:sz w:val="18"/>
      <w:szCs w:val="18"/>
    </w:rPr>
  </w:style>
  <w:style w:type="character" w:styleId="Hyperlink">
    <w:name w:val="Hyperlink"/>
    <w:basedOn w:val="DefaultParagraphFont"/>
    <w:uiPriority w:val="99"/>
    <w:unhideWhenUsed/>
    <w:rsid w:val="00F578E2"/>
    <w:rPr>
      <w:color w:val="auto"/>
      <w:u w:val="none"/>
    </w:rPr>
  </w:style>
  <w:style w:type="table" w:styleId="TableGrid">
    <w:name w:val="Table Grid"/>
    <w:aliases w:val="CV,CV1,CV2,CV3,CV4,CV5,CV6,CV7,CV8,CV9"/>
    <w:basedOn w:val="TableNormal"/>
    <w:uiPriority w:val="59"/>
    <w:rsid w:val="00862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Caption Char Char Char Char Char Char Char,Caption Char Char Char Char Char Char Char Char,Caption Char Char Char Char Char Char,c1,Caption Char Char Char Char Char Char Char2,Caption Char Char Char Char Char Char Char Char2,c2,c3,c4,c5"/>
    <w:basedOn w:val="Normal"/>
    <w:next w:val="Normal"/>
    <w:link w:val="CaptionChar"/>
    <w:uiPriority w:val="35"/>
    <w:unhideWhenUsed/>
    <w:qFormat/>
    <w:rsid w:val="009F643E"/>
    <w:pPr>
      <w:spacing w:before="200" w:after="0"/>
      <w:jc w:val="left"/>
    </w:pPr>
    <w:rPr>
      <w:rFonts w:ascii="Calibri" w:hAnsi="Calibri" w:cs="Times New Roman"/>
      <w:b/>
      <w:iCs/>
      <w:szCs w:val="18"/>
    </w:rPr>
  </w:style>
  <w:style w:type="character" w:customStyle="1" w:styleId="ListParagraphChar">
    <w:name w:val="List Paragraph Char"/>
    <w:aliases w:val="Normal-Heading Char,List Paragraph1 Char,Recommendation Char,Bullet point Char,List Paragraph11 Char,List Paragraph Number Char,L Char,Normal-Heading1 Char,List Paragraph12 Char,Recommendation1 Char,Bullet point1 Char,L1 Char"/>
    <w:basedOn w:val="DefaultParagraphFont"/>
    <w:link w:val="ListParagraph"/>
    <w:uiPriority w:val="34"/>
    <w:rsid w:val="0065748A"/>
    <w:rPr>
      <w:sz w:val="24"/>
    </w:rPr>
  </w:style>
  <w:style w:type="character" w:customStyle="1" w:styleId="Heading1Char">
    <w:name w:val="Heading 1 Char"/>
    <w:basedOn w:val="DefaultParagraphFont"/>
    <w:link w:val="Heading1"/>
    <w:uiPriority w:val="9"/>
    <w:rsid w:val="00CA3DCC"/>
    <w:rPr>
      <w:rFonts w:eastAsiaTheme="majorEastAsia" w:cstheme="majorBidi"/>
      <w:b/>
      <w:color w:val="4472C4" w:themeColor="accent1"/>
      <w:sz w:val="40"/>
      <w:szCs w:val="32"/>
    </w:rPr>
  </w:style>
  <w:style w:type="character" w:customStyle="1" w:styleId="Heading2Char">
    <w:name w:val="Heading 2 Char"/>
    <w:basedOn w:val="DefaultParagraphFont"/>
    <w:link w:val="Heading2"/>
    <w:uiPriority w:val="9"/>
    <w:rsid w:val="002820EC"/>
    <w:rPr>
      <w:rFonts w:eastAsiaTheme="majorEastAsia" w:cstheme="minorHAnsi"/>
      <w:b/>
      <w:color w:val="2F5496" w:themeColor="accent1" w:themeShade="BF"/>
      <w:sz w:val="36"/>
      <w:szCs w:val="26"/>
    </w:rPr>
  </w:style>
  <w:style w:type="character" w:customStyle="1" w:styleId="Heading3Char">
    <w:name w:val="Heading 3 Char"/>
    <w:basedOn w:val="DefaultParagraphFont"/>
    <w:link w:val="Heading3"/>
    <w:uiPriority w:val="9"/>
    <w:rsid w:val="002820EC"/>
    <w:rPr>
      <w:rFonts w:eastAsia="Times New Roman" w:cstheme="minorHAnsi"/>
      <w:b/>
      <w:color w:val="2E74B5" w:themeColor="accent5" w:themeShade="BF"/>
      <w:sz w:val="32"/>
      <w:szCs w:val="24"/>
    </w:rPr>
  </w:style>
  <w:style w:type="character" w:customStyle="1" w:styleId="Heading4Char">
    <w:name w:val="Heading 4 Char"/>
    <w:basedOn w:val="DefaultParagraphFont"/>
    <w:link w:val="Heading4"/>
    <w:uiPriority w:val="9"/>
    <w:rsid w:val="002820EC"/>
    <w:rPr>
      <w:rFonts w:eastAsiaTheme="majorEastAsia" w:cstheme="minorHAnsi"/>
      <w:b/>
      <w:iCs/>
      <w:color w:val="2F5496" w:themeColor="accent1" w:themeShade="BF"/>
      <w:sz w:val="28"/>
      <w:lang w:eastAsia="en-AU"/>
    </w:rPr>
  </w:style>
  <w:style w:type="paragraph" w:styleId="NormalWeb">
    <w:name w:val="Normal (Web)"/>
    <w:basedOn w:val="Normal"/>
    <w:uiPriority w:val="99"/>
    <w:unhideWhenUsed/>
    <w:rsid w:val="00756E8A"/>
    <w:pPr>
      <w:spacing w:before="100" w:beforeAutospacing="1" w:after="100" w:afterAutospacing="1" w:line="240" w:lineRule="auto"/>
      <w:contextualSpacing/>
    </w:pPr>
    <w:rPr>
      <w:rFonts w:ascii="Times New Roman" w:eastAsia="Times New Roman" w:hAnsi="Times New Roman" w:cs="Times New Roman"/>
      <w:szCs w:val="24"/>
      <w:lang w:eastAsia="en-AU"/>
    </w:rPr>
  </w:style>
  <w:style w:type="paragraph" w:styleId="TOCHeading">
    <w:name w:val="TOC Heading"/>
    <w:basedOn w:val="ChapterHeading"/>
    <w:next w:val="Normal"/>
    <w:uiPriority w:val="39"/>
    <w:unhideWhenUsed/>
    <w:qFormat/>
    <w:rsid w:val="00CA7E84"/>
    <w:rPr>
      <w:rFonts w:asciiTheme="minorHAnsi" w:hAnsiTheme="minorHAnsi" w:cstheme="minorHAnsi"/>
      <w:color w:val="2F5496" w:themeColor="accent1" w:themeShade="BF"/>
    </w:rPr>
  </w:style>
  <w:style w:type="paragraph" w:styleId="TOC1">
    <w:name w:val="toc 1"/>
    <w:basedOn w:val="Normal"/>
    <w:next w:val="Normal"/>
    <w:autoRedefine/>
    <w:uiPriority w:val="39"/>
    <w:unhideWhenUsed/>
    <w:rsid w:val="00352A22"/>
    <w:pPr>
      <w:spacing w:after="100"/>
    </w:pPr>
  </w:style>
  <w:style w:type="paragraph" w:styleId="TOC2">
    <w:name w:val="toc 2"/>
    <w:basedOn w:val="Normal"/>
    <w:next w:val="Normal"/>
    <w:autoRedefine/>
    <w:uiPriority w:val="39"/>
    <w:unhideWhenUsed/>
    <w:rsid w:val="001B3530"/>
    <w:pPr>
      <w:tabs>
        <w:tab w:val="right" w:leader="dot" w:pos="9016"/>
      </w:tabs>
      <w:spacing w:after="100"/>
      <w:ind w:left="238"/>
    </w:pPr>
  </w:style>
  <w:style w:type="paragraph" w:styleId="TOC3">
    <w:name w:val="toc 3"/>
    <w:basedOn w:val="Normal"/>
    <w:next w:val="Normal"/>
    <w:autoRedefine/>
    <w:uiPriority w:val="39"/>
    <w:unhideWhenUsed/>
    <w:rsid w:val="00352A22"/>
    <w:pPr>
      <w:spacing w:after="100"/>
      <w:ind w:left="480"/>
    </w:pPr>
  </w:style>
  <w:style w:type="paragraph" w:styleId="TableofFigures">
    <w:name w:val="table of figures"/>
    <w:basedOn w:val="Normal"/>
    <w:next w:val="Normal"/>
    <w:uiPriority w:val="99"/>
    <w:unhideWhenUsed/>
    <w:rsid w:val="00352A22"/>
    <w:pPr>
      <w:spacing w:after="0"/>
    </w:pPr>
  </w:style>
  <w:style w:type="table" w:customStyle="1" w:styleId="ListTable3-Accent11">
    <w:name w:val="List Table 3 - Accent 11"/>
    <w:basedOn w:val="TableNormal"/>
    <w:uiPriority w:val="48"/>
    <w:rsid w:val="00175FA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3-Accent51">
    <w:name w:val="List Table 3 - Accent 51"/>
    <w:basedOn w:val="TableNormal"/>
    <w:uiPriority w:val="48"/>
    <w:rsid w:val="0043099D"/>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NoSpacing">
    <w:name w:val="No Spacing"/>
    <w:link w:val="NoSpacingChar"/>
    <w:uiPriority w:val="1"/>
    <w:qFormat/>
    <w:rsid w:val="00BA1F77"/>
    <w:pPr>
      <w:spacing w:after="0" w:line="240" w:lineRule="auto"/>
    </w:pPr>
    <w:rPr>
      <w:sz w:val="24"/>
    </w:rPr>
  </w:style>
  <w:style w:type="character" w:styleId="Strong">
    <w:name w:val="Strong"/>
    <w:uiPriority w:val="22"/>
    <w:qFormat/>
    <w:rsid w:val="002B542A"/>
    <w:rPr>
      <w:b/>
    </w:rPr>
  </w:style>
  <w:style w:type="character" w:styleId="HTMLCite">
    <w:name w:val="HTML Cite"/>
    <w:basedOn w:val="DefaultParagraphFont"/>
    <w:uiPriority w:val="99"/>
    <w:semiHidden/>
    <w:unhideWhenUsed/>
    <w:rsid w:val="00CE54E8"/>
    <w:rPr>
      <w:i/>
      <w:iCs/>
    </w:rPr>
  </w:style>
  <w:style w:type="paragraph" w:customStyle="1" w:styleId="Default">
    <w:name w:val="Default"/>
    <w:rsid w:val="004C2A25"/>
    <w:pPr>
      <w:autoSpaceDE w:val="0"/>
      <w:autoSpaceDN w:val="0"/>
      <w:adjustRightInd w:val="0"/>
      <w:spacing w:after="0" w:line="240" w:lineRule="auto"/>
    </w:pPr>
    <w:rPr>
      <w:rFonts w:ascii="Arial" w:hAnsi="Arial" w:cs="Arial"/>
      <w:color w:val="000000"/>
      <w:sz w:val="24"/>
      <w:szCs w:val="24"/>
    </w:rPr>
  </w:style>
  <w:style w:type="character" w:customStyle="1" w:styleId="cit">
    <w:name w:val="cit"/>
    <w:basedOn w:val="DefaultParagraphFont"/>
    <w:rsid w:val="000606D2"/>
  </w:style>
  <w:style w:type="character" w:styleId="Emphasis">
    <w:name w:val="Emphasis"/>
    <w:basedOn w:val="DefaultParagraphFont"/>
    <w:uiPriority w:val="20"/>
    <w:qFormat/>
    <w:rsid w:val="00890ED2"/>
    <w:rPr>
      <w:i/>
      <w:iCs/>
    </w:rPr>
  </w:style>
  <w:style w:type="paragraph" w:customStyle="1" w:styleId="ChapterHeading">
    <w:name w:val="Chapter Heading"/>
    <w:basedOn w:val="Normal"/>
    <w:rsid w:val="003A66EA"/>
    <w:pPr>
      <w:spacing w:after="180" w:line="240" w:lineRule="auto"/>
    </w:pPr>
    <w:rPr>
      <w:rFonts w:ascii="Tahoma" w:eastAsia="Times New Roman" w:hAnsi="Tahoma" w:cs="Tahoma"/>
      <w:b/>
      <w:sz w:val="32"/>
      <w:szCs w:val="32"/>
      <w:lang w:eastAsia="en-AU"/>
    </w:rPr>
  </w:style>
  <w:style w:type="paragraph" w:styleId="BodyText">
    <w:name w:val="Body Text"/>
    <w:basedOn w:val="Normal"/>
    <w:link w:val="BodyTextChar"/>
    <w:qFormat/>
    <w:rsid w:val="00206FAA"/>
    <w:pPr>
      <w:spacing w:before="120" w:line="240" w:lineRule="auto"/>
    </w:pPr>
    <w:rPr>
      <w:rFonts w:ascii="Times New Roman" w:eastAsia="Times New Roman" w:hAnsi="Times New Roman" w:cs="Times New Roman"/>
      <w:szCs w:val="24"/>
      <w:lang w:eastAsia="en-AU"/>
    </w:rPr>
  </w:style>
  <w:style w:type="character" w:customStyle="1" w:styleId="BodyTextChar">
    <w:name w:val="Body Text Char"/>
    <w:basedOn w:val="DefaultParagraphFont"/>
    <w:link w:val="BodyText"/>
    <w:rsid w:val="00206FAA"/>
    <w:rPr>
      <w:rFonts w:ascii="Times New Roman" w:eastAsia="Times New Roman" w:hAnsi="Times New Roman" w:cs="Times New Roman"/>
      <w:sz w:val="24"/>
      <w:szCs w:val="24"/>
      <w:lang w:eastAsia="en-AU"/>
    </w:rPr>
  </w:style>
  <w:style w:type="paragraph" w:customStyle="1" w:styleId="ListAlpha0">
    <w:name w:val="List Alpha 0"/>
    <w:basedOn w:val="Normal"/>
    <w:rsid w:val="00206FAA"/>
    <w:pPr>
      <w:spacing w:before="240" w:after="0" w:line="240" w:lineRule="auto"/>
    </w:pPr>
    <w:rPr>
      <w:rFonts w:ascii="Tahoma" w:eastAsia="Times New Roman" w:hAnsi="Tahoma" w:cs="Tahoma"/>
      <w:b/>
      <w:sz w:val="22"/>
      <w:lang w:eastAsia="en-AU"/>
    </w:rPr>
  </w:style>
  <w:style w:type="paragraph" w:customStyle="1" w:styleId="TableName">
    <w:name w:val="Table Name"/>
    <w:basedOn w:val="Normal"/>
    <w:rsid w:val="00206FAA"/>
    <w:pPr>
      <w:spacing w:before="240" w:line="240" w:lineRule="auto"/>
    </w:pPr>
    <w:rPr>
      <w:rFonts w:ascii="Arial" w:eastAsia="Times New Roman" w:hAnsi="Arial" w:cs="Tahoma"/>
      <w:b/>
      <w:i/>
      <w:sz w:val="22"/>
      <w:lang w:eastAsia="en-AU"/>
    </w:rPr>
  </w:style>
  <w:style w:type="paragraph" w:customStyle="1" w:styleId="ListRoman0">
    <w:name w:val="List Roman 0"/>
    <w:basedOn w:val="Normal"/>
    <w:rsid w:val="00206FAA"/>
    <w:pPr>
      <w:numPr>
        <w:numId w:val="3"/>
      </w:numPr>
      <w:tabs>
        <w:tab w:val="clear" w:pos="720"/>
      </w:tabs>
      <w:spacing w:line="240" w:lineRule="auto"/>
      <w:ind w:left="540" w:hanging="540"/>
    </w:pPr>
    <w:rPr>
      <w:rFonts w:ascii="Times New Roman" w:eastAsia="Times New Roman" w:hAnsi="Times New Roman" w:cs="Times New Roman"/>
      <w:szCs w:val="24"/>
      <w:lang w:eastAsia="en-AU"/>
    </w:rPr>
  </w:style>
  <w:style w:type="paragraph" w:styleId="ListBullet2">
    <w:name w:val="List Bullet 2"/>
    <w:basedOn w:val="Normal"/>
    <w:rsid w:val="00206FAA"/>
    <w:pPr>
      <w:numPr>
        <w:numId w:val="1"/>
      </w:numPr>
      <w:spacing w:after="60" w:line="240" w:lineRule="auto"/>
      <w:ind w:left="714" w:hanging="357"/>
    </w:pPr>
    <w:rPr>
      <w:rFonts w:ascii="Times New Roman" w:eastAsia="Times New Roman" w:hAnsi="Times New Roman" w:cs="Times New Roman"/>
      <w:szCs w:val="24"/>
      <w:lang w:eastAsia="en-AU"/>
    </w:rPr>
  </w:style>
  <w:style w:type="paragraph" w:styleId="ListNumber">
    <w:name w:val="List Number"/>
    <w:basedOn w:val="Normal"/>
    <w:rsid w:val="00561513"/>
    <w:pPr>
      <w:spacing w:line="240" w:lineRule="auto"/>
      <w:ind w:left="357" w:hanging="357"/>
    </w:pPr>
    <w:rPr>
      <w:rFonts w:ascii="Times New Roman" w:eastAsia="Times New Roman" w:hAnsi="Times New Roman" w:cs="Times New Roman"/>
      <w:szCs w:val="24"/>
      <w:lang w:eastAsia="en-AU"/>
    </w:rPr>
  </w:style>
  <w:style w:type="character" w:customStyle="1" w:styleId="Heading5Char">
    <w:name w:val="Heading 5 Char"/>
    <w:basedOn w:val="DefaultParagraphFont"/>
    <w:link w:val="Heading5"/>
    <w:uiPriority w:val="9"/>
    <w:rsid w:val="00646373"/>
    <w:rPr>
      <w:rFonts w:asciiTheme="majorHAnsi" w:eastAsiaTheme="majorEastAsia" w:hAnsiTheme="majorHAnsi" w:cstheme="majorBidi"/>
      <w:color w:val="2F5496" w:themeColor="accent1" w:themeShade="BF"/>
      <w:sz w:val="24"/>
    </w:rPr>
  </w:style>
  <w:style w:type="paragraph" w:customStyle="1" w:styleId="ListRoman1">
    <w:name w:val="List Roman 1"/>
    <w:basedOn w:val="Normal"/>
    <w:rsid w:val="00646373"/>
    <w:pPr>
      <w:spacing w:line="240" w:lineRule="auto"/>
      <w:ind w:left="896" w:hanging="539"/>
    </w:pPr>
    <w:rPr>
      <w:rFonts w:ascii="Times New Roman" w:eastAsia="Times New Roman" w:hAnsi="Times New Roman" w:cs="Times New Roman"/>
      <w:szCs w:val="24"/>
      <w:lang w:eastAsia="en-AU"/>
    </w:rPr>
  </w:style>
  <w:style w:type="paragraph" w:styleId="BlockText">
    <w:name w:val="Block Text"/>
    <w:basedOn w:val="Normal"/>
    <w:semiHidden/>
    <w:rsid w:val="00B511D5"/>
    <w:pPr>
      <w:spacing w:line="240" w:lineRule="auto"/>
      <w:ind w:left="1440" w:right="1440"/>
    </w:pPr>
    <w:rPr>
      <w:rFonts w:ascii="Book Antiqua" w:eastAsia="MS Mincho" w:hAnsi="Book Antiqua" w:cs="Times New Roman"/>
      <w:szCs w:val="24"/>
      <w:lang w:eastAsia="ja-JP"/>
    </w:rPr>
  </w:style>
  <w:style w:type="paragraph" w:styleId="BodyTextIndent">
    <w:name w:val="Body Text Indent"/>
    <w:basedOn w:val="Normal"/>
    <w:link w:val="BodyTextIndentChar"/>
    <w:uiPriority w:val="99"/>
    <w:semiHidden/>
    <w:unhideWhenUsed/>
    <w:rsid w:val="00A92A07"/>
    <w:pPr>
      <w:ind w:left="360"/>
    </w:pPr>
  </w:style>
  <w:style w:type="character" w:customStyle="1" w:styleId="BodyTextIndentChar">
    <w:name w:val="Body Text Indent Char"/>
    <w:basedOn w:val="DefaultParagraphFont"/>
    <w:link w:val="BodyTextIndent"/>
    <w:uiPriority w:val="99"/>
    <w:rsid w:val="00A92A07"/>
    <w:rPr>
      <w:sz w:val="24"/>
    </w:rPr>
  </w:style>
  <w:style w:type="paragraph" w:customStyle="1" w:styleId="ListRoman2">
    <w:name w:val="List Roman 2"/>
    <w:basedOn w:val="ListRoman1"/>
    <w:rsid w:val="00A92A07"/>
    <w:pPr>
      <w:numPr>
        <w:numId w:val="4"/>
      </w:numPr>
    </w:pPr>
    <w:rPr>
      <w:rFonts w:eastAsia="MS Mincho"/>
    </w:rPr>
  </w:style>
  <w:style w:type="paragraph" w:customStyle="1" w:styleId="ListAlpha1">
    <w:name w:val="List Alpha 1"/>
    <w:basedOn w:val="ListAlpha0"/>
    <w:rsid w:val="00A92A07"/>
    <w:pPr>
      <w:numPr>
        <w:numId w:val="6"/>
      </w:numPr>
      <w:spacing w:after="120"/>
    </w:pPr>
    <w:rPr>
      <w:rFonts w:ascii="Times New Roman" w:hAnsi="Times New Roman"/>
      <w:b w:val="0"/>
    </w:rPr>
  </w:style>
  <w:style w:type="paragraph" w:styleId="Subtitle">
    <w:name w:val="Subtitle"/>
    <w:basedOn w:val="Normal"/>
    <w:link w:val="SubtitleChar"/>
    <w:qFormat/>
    <w:rsid w:val="006C35EC"/>
    <w:pPr>
      <w:tabs>
        <w:tab w:val="left" w:pos="6946"/>
        <w:tab w:val="decimal" w:pos="10490"/>
      </w:tabs>
      <w:spacing w:before="240" w:line="240" w:lineRule="auto"/>
      <w:ind w:left="709" w:right="851"/>
      <w:jc w:val="center"/>
    </w:pPr>
    <w:rPr>
      <w:rFonts w:eastAsia="Calibri"/>
      <w:bCs/>
      <w:color w:val="1F3864" w:themeColor="accent1" w:themeShade="80"/>
      <w:spacing w:val="-1"/>
      <w:sz w:val="44"/>
      <w:szCs w:val="44"/>
    </w:rPr>
  </w:style>
  <w:style w:type="character" w:customStyle="1" w:styleId="SubtitleChar">
    <w:name w:val="Subtitle Char"/>
    <w:basedOn w:val="DefaultParagraphFont"/>
    <w:link w:val="Subtitle"/>
    <w:rsid w:val="006C35EC"/>
    <w:rPr>
      <w:rFonts w:eastAsia="Calibri"/>
      <w:bCs/>
      <w:color w:val="1F3864" w:themeColor="accent1" w:themeShade="80"/>
      <w:spacing w:val="-1"/>
      <w:sz w:val="44"/>
      <w:szCs w:val="44"/>
    </w:rPr>
  </w:style>
  <w:style w:type="paragraph" w:styleId="Title">
    <w:name w:val="Title"/>
    <w:basedOn w:val="Normal"/>
    <w:next w:val="Normal"/>
    <w:link w:val="TitleChar"/>
    <w:uiPriority w:val="10"/>
    <w:qFormat/>
    <w:rsid w:val="006C35EC"/>
    <w:pPr>
      <w:tabs>
        <w:tab w:val="decimal" w:pos="10490"/>
      </w:tabs>
      <w:spacing w:before="600" w:after="600"/>
      <w:ind w:left="851" w:right="851"/>
      <w:jc w:val="center"/>
    </w:pPr>
    <w:rPr>
      <w:rFonts w:ascii="Calibri" w:hAnsi="Calibri"/>
      <w:b/>
      <w:caps/>
      <w:color w:val="4472C4" w:themeColor="accent1"/>
      <w:sz w:val="60"/>
      <w:szCs w:val="60"/>
    </w:rPr>
  </w:style>
  <w:style w:type="character" w:customStyle="1" w:styleId="TitleChar">
    <w:name w:val="Title Char"/>
    <w:basedOn w:val="DefaultParagraphFont"/>
    <w:link w:val="Title"/>
    <w:uiPriority w:val="10"/>
    <w:rsid w:val="006C35EC"/>
    <w:rPr>
      <w:rFonts w:ascii="Calibri" w:hAnsi="Calibri"/>
      <w:b/>
      <w:caps/>
      <w:color w:val="4472C4" w:themeColor="accent1"/>
      <w:sz w:val="60"/>
      <w:szCs w:val="60"/>
    </w:rPr>
  </w:style>
  <w:style w:type="character" w:customStyle="1" w:styleId="CaptionChar">
    <w:name w:val="Caption Char"/>
    <w:aliases w:val="c Char,Caption Char Char Char Char Char Char Char Char1,Caption Char Char Char Char Char Char Char Char Char,Caption Char Char Char Char Char Char Char1,c1 Char,Caption Char Char Char Char Char Char Char2 Char,c2 Char,c3 Char,c4 Char"/>
    <w:link w:val="Caption"/>
    <w:uiPriority w:val="35"/>
    <w:rsid w:val="009F643E"/>
    <w:rPr>
      <w:rFonts w:ascii="Calibri" w:hAnsi="Calibri" w:cs="Times New Roman"/>
      <w:b/>
      <w:iCs/>
      <w:sz w:val="24"/>
      <w:szCs w:val="18"/>
    </w:rPr>
  </w:style>
  <w:style w:type="paragraph" w:customStyle="1" w:styleId="ListDash1">
    <w:name w:val="List Dash 1"/>
    <w:basedOn w:val="Normal"/>
    <w:rsid w:val="001A73C9"/>
    <w:pPr>
      <w:numPr>
        <w:numId w:val="5"/>
      </w:numPr>
      <w:spacing w:after="60" w:line="240" w:lineRule="auto"/>
      <w:ind w:left="714" w:hanging="357"/>
    </w:pPr>
    <w:rPr>
      <w:rFonts w:ascii="Times New Roman" w:eastAsia="Times New Roman" w:hAnsi="Times New Roman" w:cs="Times New Roman"/>
      <w:szCs w:val="24"/>
      <w:lang w:eastAsia="en-AU"/>
    </w:rPr>
  </w:style>
  <w:style w:type="paragraph" w:customStyle="1" w:styleId="Tablebody">
    <w:name w:val="Table body"/>
    <w:basedOn w:val="Normal"/>
    <w:semiHidden/>
    <w:rsid w:val="001A73C9"/>
    <w:pPr>
      <w:spacing w:after="40" w:line="200" w:lineRule="exact"/>
      <w:jc w:val="center"/>
    </w:pPr>
    <w:rPr>
      <w:rFonts w:ascii="Century Gothic" w:eastAsia="Times New Roman" w:hAnsi="Century Gothic" w:cs="Times New Roman"/>
      <w:color w:val="000000"/>
      <w:sz w:val="16"/>
      <w:szCs w:val="20"/>
      <w:lang w:eastAsia="en-AU"/>
    </w:rPr>
  </w:style>
  <w:style w:type="paragraph" w:customStyle="1" w:styleId="Tablecolumnheadings">
    <w:name w:val="Table column headings"/>
    <w:basedOn w:val="Normal"/>
    <w:semiHidden/>
    <w:rsid w:val="001A73C9"/>
    <w:pPr>
      <w:spacing w:before="120" w:line="220" w:lineRule="exact"/>
      <w:jc w:val="center"/>
    </w:pPr>
    <w:rPr>
      <w:rFonts w:ascii="Century Gothic" w:eastAsia="Times New Roman" w:hAnsi="Century Gothic" w:cs="Times New Roman"/>
      <w:sz w:val="18"/>
      <w:szCs w:val="20"/>
      <w:lang w:eastAsia="en-AU"/>
    </w:rPr>
  </w:style>
  <w:style w:type="paragraph" w:customStyle="1" w:styleId="Table">
    <w:name w:val="Table"/>
    <w:basedOn w:val="BodyText"/>
    <w:rsid w:val="001A73C9"/>
    <w:pPr>
      <w:spacing w:before="0" w:after="0"/>
    </w:pPr>
    <w:rPr>
      <w:rFonts w:ascii="Tahoma" w:hAnsi="Tahoma"/>
      <w:b/>
      <w:sz w:val="22"/>
      <w:szCs w:val="20"/>
    </w:rPr>
  </w:style>
  <w:style w:type="paragraph" w:styleId="Quote">
    <w:name w:val="Quote"/>
    <w:basedOn w:val="Normal"/>
    <w:link w:val="QuoteChar"/>
    <w:qFormat/>
    <w:rsid w:val="001A73C9"/>
    <w:pPr>
      <w:spacing w:after="60" w:line="240" w:lineRule="auto"/>
      <w:ind w:left="902" w:right="1106"/>
    </w:pPr>
    <w:rPr>
      <w:rFonts w:ascii="Times New Roman" w:eastAsia="Times New Roman" w:hAnsi="Times New Roman" w:cs="Times New Roman"/>
      <w:i/>
      <w:sz w:val="22"/>
      <w:lang w:eastAsia="en-AU"/>
    </w:rPr>
  </w:style>
  <w:style w:type="character" w:customStyle="1" w:styleId="QuoteChar">
    <w:name w:val="Quote Char"/>
    <w:basedOn w:val="DefaultParagraphFont"/>
    <w:link w:val="Quote"/>
    <w:rsid w:val="001A73C9"/>
    <w:rPr>
      <w:rFonts w:ascii="Times New Roman" w:eastAsia="Times New Roman" w:hAnsi="Times New Roman" w:cs="Times New Roman"/>
      <w:i/>
      <w:lang w:eastAsia="en-AU"/>
    </w:rPr>
  </w:style>
  <w:style w:type="paragraph" w:customStyle="1" w:styleId="ListDash2">
    <w:name w:val="List Dash 2"/>
    <w:basedOn w:val="ListDash1"/>
    <w:rsid w:val="001A73C9"/>
    <w:pPr>
      <w:tabs>
        <w:tab w:val="clear" w:pos="720"/>
        <w:tab w:val="num" w:pos="1080"/>
      </w:tabs>
      <w:ind w:left="1080"/>
    </w:pPr>
  </w:style>
  <w:style w:type="character" w:styleId="PageNumber">
    <w:name w:val="page number"/>
    <w:basedOn w:val="DefaultParagraphFont"/>
    <w:rsid w:val="002F75A1"/>
  </w:style>
  <w:style w:type="table" w:customStyle="1" w:styleId="GridTable4-Accent11">
    <w:name w:val="Grid Table 4 - Accent 11"/>
    <w:basedOn w:val="TableNormal"/>
    <w:uiPriority w:val="49"/>
    <w:rsid w:val="002A320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type">
    <w:name w:val="Table type"/>
    <w:basedOn w:val="Normal"/>
    <w:qFormat/>
    <w:rsid w:val="002A3204"/>
    <w:pPr>
      <w:spacing w:line="240" w:lineRule="auto"/>
    </w:pPr>
    <w:rPr>
      <w:rFonts w:ascii="Arial" w:eastAsia="Times New Roman" w:hAnsi="Arial" w:cs="Times New Roman"/>
      <w:sz w:val="18"/>
      <w:szCs w:val="18"/>
    </w:rPr>
  </w:style>
  <w:style w:type="paragraph" w:customStyle="1" w:styleId="numberedtableheader">
    <w:name w:val="numbered table header"/>
    <w:basedOn w:val="Normal"/>
    <w:qFormat/>
    <w:rsid w:val="002A3204"/>
    <w:pPr>
      <w:numPr>
        <w:numId w:val="7"/>
      </w:numPr>
      <w:spacing w:line="240" w:lineRule="auto"/>
      <w:ind w:left="360"/>
    </w:pPr>
    <w:rPr>
      <w:rFonts w:ascii="Arial" w:eastAsia="Times New Roman" w:hAnsi="Arial" w:cs="Times New Roman"/>
      <w:b/>
      <w:sz w:val="18"/>
    </w:rPr>
  </w:style>
  <w:style w:type="table" w:customStyle="1" w:styleId="PlainTable31">
    <w:name w:val="Plain Table 31"/>
    <w:basedOn w:val="TableNormal"/>
    <w:uiPriority w:val="43"/>
    <w:rsid w:val="002A320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2A32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2A32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semiHidden/>
    <w:unhideWhenUsed/>
    <w:rsid w:val="002A3204"/>
    <w:rPr>
      <w:color w:val="2B579A"/>
      <w:shd w:val="clear" w:color="auto" w:fill="E6E6E6"/>
    </w:rPr>
  </w:style>
  <w:style w:type="paragraph" w:styleId="ListBullet3">
    <w:name w:val="List Bullet 3"/>
    <w:basedOn w:val="Normal"/>
    <w:uiPriority w:val="99"/>
    <w:unhideWhenUsed/>
    <w:rsid w:val="005C64B4"/>
    <w:pPr>
      <w:numPr>
        <w:numId w:val="10"/>
      </w:numPr>
      <w:contextualSpacing/>
    </w:pPr>
  </w:style>
  <w:style w:type="character" w:customStyle="1" w:styleId="StyleLinespacingAtleast165ptChar">
    <w:name w:val="Style Line spacing:  At least 16.5 pt Char"/>
    <w:basedOn w:val="DefaultParagraphFont"/>
    <w:link w:val="StyleLinespacingAtleast165pt"/>
    <w:locked/>
    <w:rsid w:val="005C64B4"/>
    <w:rPr>
      <w:lang w:eastAsia="en-AU"/>
    </w:rPr>
  </w:style>
  <w:style w:type="paragraph" w:customStyle="1" w:styleId="StyleLinespacingAtleast165pt">
    <w:name w:val="Style Line spacing:  At least 16.5 pt"/>
    <w:basedOn w:val="Normal"/>
    <w:link w:val="StyleLinespacingAtleast165ptChar"/>
    <w:rsid w:val="005C64B4"/>
    <w:pPr>
      <w:autoSpaceDE w:val="0"/>
      <w:autoSpaceDN w:val="0"/>
      <w:spacing w:after="0" w:line="330" w:lineRule="atLeast"/>
    </w:pPr>
    <w:rPr>
      <w:sz w:val="22"/>
      <w:lang w:eastAsia="en-AU"/>
    </w:rPr>
  </w:style>
  <w:style w:type="paragraph" w:customStyle="1" w:styleId="TableParagraph">
    <w:name w:val="Table Paragraph"/>
    <w:basedOn w:val="Normal"/>
    <w:uiPriority w:val="1"/>
    <w:qFormat/>
    <w:rsid w:val="00ED162A"/>
    <w:pPr>
      <w:widowControl w:val="0"/>
      <w:autoSpaceDE w:val="0"/>
      <w:autoSpaceDN w:val="0"/>
      <w:spacing w:before="13" w:after="0" w:line="240" w:lineRule="auto"/>
      <w:ind w:right="103"/>
      <w:jc w:val="right"/>
    </w:pPr>
    <w:rPr>
      <w:rFonts w:ascii="Tahoma" w:eastAsia="Tahoma" w:hAnsi="Tahoma" w:cs="Tahoma"/>
      <w:sz w:val="22"/>
      <w:lang w:val="en-US"/>
    </w:rPr>
  </w:style>
  <w:style w:type="character" w:customStyle="1" w:styleId="Date1">
    <w:name w:val="Date1"/>
    <w:basedOn w:val="DefaultParagraphFont"/>
    <w:rsid w:val="009130BF"/>
  </w:style>
  <w:style w:type="character" w:customStyle="1" w:styleId="categories-links">
    <w:name w:val="categories-links"/>
    <w:basedOn w:val="DefaultParagraphFont"/>
    <w:rsid w:val="009130BF"/>
  </w:style>
  <w:style w:type="character" w:customStyle="1" w:styleId="tags-links">
    <w:name w:val="tags-links"/>
    <w:basedOn w:val="DefaultParagraphFont"/>
    <w:rsid w:val="009130BF"/>
  </w:style>
  <w:style w:type="character" w:customStyle="1" w:styleId="ssbasharecount">
    <w:name w:val="ssba_sharecount"/>
    <w:basedOn w:val="DefaultParagraphFont"/>
    <w:rsid w:val="009130BF"/>
  </w:style>
  <w:style w:type="character" w:styleId="BookTitle">
    <w:name w:val="Book Title"/>
    <w:uiPriority w:val="33"/>
    <w:qFormat/>
    <w:rsid w:val="00D47D1A"/>
    <w:rPr>
      <w:i/>
      <w:iCs/>
      <w:smallCaps/>
      <w:spacing w:val="5"/>
    </w:rPr>
  </w:style>
  <w:style w:type="character" w:customStyle="1" w:styleId="NoSpacingChar">
    <w:name w:val="No Spacing Char"/>
    <w:basedOn w:val="DefaultParagraphFont"/>
    <w:link w:val="NoSpacing"/>
    <w:uiPriority w:val="1"/>
    <w:rsid w:val="00834064"/>
    <w:rPr>
      <w:sz w:val="24"/>
    </w:rPr>
  </w:style>
  <w:style w:type="table" w:customStyle="1" w:styleId="GridTable1Light-Accent11">
    <w:name w:val="Grid Table 1 Light - Accent 11"/>
    <w:basedOn w:val="TableNormal"/>
    <w:uiPriority w:val="46"/>
    <w:rsid w:val="00557FD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557FD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51">
    <w:name w:val="Grid Table 1 Light - Accent 51"/>
    <w:basedOn w:val="TableNormal"/>
    <w:uiPriority w:val="46"/>
    <w:rsid w:val="00557FD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Mention15">
    <w:name w:val="Mention15"/>
    <w:basedOn w:val="DefaultParagraphFont"/>
    <w:uiPriority w:val="99"/>
    <w:semiHidden/>
    <w:unhideWhenUsed/>
    <w:rsid w:val="00557FD2"/>
    <w:rPr>
      <w:color w:val="2B579A"/>
      <w:shd w:val="clear" w:color="auto" w:fill="E6E6E6"/>
    </w:rPr>
  </w:style>
  <w:style w:type="paragraph" w:customStyle="1" w:styleId="StyleCaptionTahoma1">
    <w:name w:val="Style Caption + Tahoma1"/>
    <w:basedOn w:val="Caption"/>
    <w:rsid w:val="00557FD2"/>
    <w:pPr>
      <w:spacing w:before="120" w:after="120"/>
    </w:pPr>
    <w:rPr>
      <w:rFonts w:ascii="Tahoma" w:eastAsia="Times New Roman" w:hAnsi="Tahoma"/>
      <w:bCs/>
      <w:iCs w:val="0"/>
      <w:sz w:val="22"/>
      <w:szCs w:val="22"/>
    </w:rPr>
  </w:style>
  <w:style w:type="paragraph" w:customStyle="1" w:styleId="Tableheader">
    <w:name w:val="Table header"/>
    <w:basedOn w:val="Normal"/>
    <w:qFormat/>
    <w:rsid w:val="00557FD2"/>
    <w:pPr>
      <w:spacing w:line="240" w:lineRule="auto"/>
    </w:pPr>
    <w:rPr>
      <w:rFonts w:ascii="Arial" w:eastAsia="Times New Roman" w:hAnsi="Arial" w:cs="Times New Roman"/>
      <w:b/>
      <w:sz w:val="20"/>
    </w:rPr>
  </w:style>
  <w:style w:type="paragraph" w:customStyle="1" w:styleId="Tabletitle">
    <w:name w:val="Table title"/>
    <w:basedOn w:val="Normal"/>
    <w:next w:val="Normal"/>
    <w:qFormat/>
    <w:rsid w:val="00557FD2"/>
    <w:pPr>
      <w:keepNext/>
      <w:pBdr>
        <w:bottom w:val="single" w:sz="18" w:space="1" w:color="A6A6A6" w:themeColor="background1" w:themeShade="A6"/>
      </w:pBdr>
      <w:spacing w:line="240" w:lineRule="auto"/>
    </w:pPr>
    <w:rPr>
      <w:rFonts w:ascii="Arial" w:eastAsia="Times New Roman" w:hAnsi="Arial" w:cs="Times New Roman"/>
      <w:b/>
      <w:szCs w:val="24"/>
    </w:rPr>
  </w:style>
  <w:style w:type="paragraph" w:customStyle="1" w:styleId="StyleListParagraph9pt">
    <w:name w:val="Style List Paragraph + 9 pt"/>
    <w:basedOn w:val="ListParagraph"/>
    <w:rsid w:val="00557FD2"/>
    <w:pPr>
      <w:spacing w:before="120" w:line="240" w:lineRule="auto"/>
      <w:ind w:left="0"/>
    </w:pPr>
    <w:rPr>
      <w:rFonts w:ascii="Arial" w:eastAsia="Times New Roman" w:hAnsi="Arial" w:cs="Times New Roman"/>
      <w:sz w:val="18"/>
      <w:szCs w:val="24"/>
    </w:rPr>
  </w:style>
  <w:style w:type="paragraph" w:customStyle="1" w:styleId="Tablebullet">
    <w:name w:val="Table bullet"/>
    <w:basedOn w:val="Tabletype"/>
    <w:qFormat/>
    <w:rsid w:val="00557FD2"/>
    <w:pPr>
      <w:spacing w:after="0"/>
    </w:pPr>
  </w:style>
  <w:style w:type="paragraph" w:styleId="CommentText">
    <w:name w:val="annotation text"/>
    <w:basedOn w:val="Normal"/>
    <w:link w:val="CommentTextChar"/>
    <w:uiPriority w:val="99"/>
    <w:unhideWhenUsed/>
    <w:rsid w:val="00557FD2"/>
    <w:pPr>
      <w:spacing w:line="240" w:lineRule="auto"/>
    </w:pPr>
    <w:rPr>
      <w:sz w:val="20"/>
      <w:szCs w:val="20"/>
    </w:rPr>
  </w:style>
  <w:style w:type="character" w:customStyle="1" w:styleId="CommentTextChar">
    <w:name w:val="Comment Text Char"/>
    <w:basedOn w:val="DefaultParagraphFont"/>
    <w:link w:val="CommentText"/>
    <w:uiPriority w:val="99"/>
    <w:rsid w:val="00557FD2"/>
    <w:rPr>
      <w:sz w:val="20"/>
      <w:szCs w:val="20"/>
    </w:rPr>
  </w:style>
  <w:style w:type="character" w:customStyle="1" w:styleId="CommentSubjectChar">
    <w:name w:val="Comment Subject Char"/>
    <w:basedOn w:val="CommentTextChar"/>
    <w:link w:val="CommentSubject"/>
    <w:uiPriority w:val="99"/>
    <w:semiHidden/>
    <w:rsid w:val="00557FD2"/>
    <w:rPr>
      <w:b/>
      <w:bCs/>
      <w:sz w:val="20"/>
      <w:szCs w:val="20"/>
    </w:rPr>
  </w:style>
  <w:style w:type="paragraph" w:styleId="CommentSubject">
    <w:name w:val="annotation subject"/>
    <w:basedOn w:val="CommentText"/>
    <w:next w:val="CommentText"/>
    <w:link w:val="CommentSubjectChar"/>
    <w:uiPriority w:val="99"/>
    <w:semiHidden/>
    <w:unhideWhenUsed/>
    <w:rsid w:val="00557FD2"/>
    <w:rPr>
      <w:b/>
      <w:bCs/>
    </w:rPr>
  </w:style>
  <w:style w:type="character" w:customStyle="1" w:styleId="CommentSubjectChar1">
    <w:name w:val="Comment Subject Char1"/>
    <w:basedOn w:val="CommentTextChar"/>
    <w:uiPriority w:val="99"/>
    <w:semiHidden/>
    <w:rsid w:val="00557FD2"/>
    <w:rPr>
      <w:b/>
      <w:bCs/>
      <w:sz w:val="20"/>
      <w:szCs w:val="20"/>
    </w:rPr>
  </w:style>
  <w:style w:type="character" w:customStyle="1" w:styleId="st">
    <w:name w:val="st"/>
    <w:basedOn w:val="DefaultParagraphFont"/>
    <w:rsid w:val="00557FD2"/>
  </w:style>
  <w:style w:type="character" w:customStyle="1" w:styleId="font71">
    <w:name w:val="font71"/>
    <w:basedOn w:val="DefaultParagraphFont"/>
    <w:rsid w:val="00557FD2"/>
    <w:rPr>
      <w:rFonts w:ascii="Calibri" w:hAnsi="Calibri" w:cs="Calibri" w:hint="default"/>
      <w:b w:val="0"/>
      <w:bCs w:val="0"/>
      <w:i w:val="0"/>
      <w:iCs w:val="0"/>
      <w:strike w:val="0"/>
      <w:dstrike w:val="0"/>
      <w:color w:val="4472C4"/>
      <w:sz w:val="20"/>
      <w:szCs w:val="20"/>
      <w:u w:val="none"/>
      <w:effect w:val="none"/>
    </w:rPr>
  </w:style>
  <w:style w:type="character" w:styleId="CommentReference">
    <w:name w:val="annotation reference"/>
    <w:basedOn w:val="DefaultParagraphFont"/>
    <w:uiPriority w:val="99"/>
    <w:unhideWhenUsed/>
    <w:rsid w:val="00557FD2"/>
    <w:rPr>
      <w:sz w:val="16"/>
      <w:szCs w:val="16"/>
    </w:rPr>
  </w:style>
  <w:style w:type="table" w:customStyle="1" w:styleId="ListTable3-Accent510">
    <w:name w:val="List Table 3 - Accent 51"/>
    <w:basedOn w:val="TableNormal"/>
    <w:uiPriority w:val="48"/>
    <w:rsid w:val="00557FD2"/>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Revision">
    <w:name w:val="Revision"/>
    <w:hidden/>
    <w:uiPriority w:val="99"/>
    <w:semiHidden/>
    <w:rsid w:val="00557FD2"/>
    <w:pPr>
      <w:spacing w:after="0" w:line="240" w:lineRule="auto"/>
    </w:pPr>
    <w:rPr>
      <w:sz w:val="24"/>
    </w:rPr>
  </w:style>
  <w:style w:type="table" w:customStyle="1" w:styleId="TableGrid0">
    <w:name w:val="TableGrid"/>
    <w:rsid w:val="00557FD2"/>
    <w:pPr>
      <w:spacing w:after="0" w:line="240" w:lineRule="auto"/>
    </w:pPr>
    <w:rPr>
      <w:rFonts w:eastAsiaTheme="minorEastAsia"/>
      <w:lang w:eastAsia="en-AU"/>
    </w:rPr>
    <w:tblPr>
      <w:tblCellMar>
        <w:top w:w="0" w:type="dxa"/>
        <w:left w:w="0" w:type="dxa"/>
        <w:bottom w:w="0" w:type="dxa"/>
        <w:right w:w="0" w:type="dxa"/>
      </w:tblCellMar>
    </w:tblPr>
  </w:style>
  <w:style w:type="paragraph" w:customStyle="1" w:styleId="Tabletext">
    <w:name w:val="Tabletext"/>
    <w:aliases w:val="tt"/>
    <w:basedOn w:val="Normal"/>
    <w:rsid w:val="00557FD2"/>
    <w:pPr>
      <w:spacing w:before="60" w:after="0" w:line="240" w:lineRule="atLeast"/>
    </w:pPr>
    <w:rPr>
      <w:rFonts w:ascii="Times New Roman" w:eastAsia="Times New Roman" w:hAnsi="Times New Roman" w:cs="Times New Roman"/>
      <w:sz w:val="20"/>
      <w:szCs w:val="20"/>
      <w:lang w:eastAsia="en-AU"/>
    </w:rPr>
  </w:style>
  <w:style w:type="paragraph" w:customStyle="1" w:styleId="TableHeading">
    <w:name w:val="TableHeading"/>
    <w:aliases w:val="th"/>
    <w:basedOn w:val="Normal"/>
    <w:next w:val="Tabletext"/>
    <w:rsid w:val="00557FD2"/>
    <w:pPr>
      <w:keepNext/>
      <w:spacing w:before="60" w:after="0" w:line="240" w:lineRule="atLeast"/>
    </w:pPr>
    <w:rPr>
      <w:rFonts w:ascii="Times New Roman" w:eastAsia="Times New Roman" w:hAnsi="Times New Roman" w:cs="Times New Roman"/>
      <w:b/>
      <w:sz w:val="20"/>
      <w:szCs w:val="20"/>
      <w:lang w:eastAsia="en-AU"/>
    </w:rPr>
  </w:style>
  <w:style w:type="character" w:customStyle="1" w:styleId="BalloonTextChar1">
    <w:name w:val="Balloon Text Char1"/>
    <w:basedOn w:val="DefaultParagraphFont"/>
    <w:uiPriority w:val="99"/>
    <w:semiHidden/>
    <w:rsid w:val="00557FD2"/>
    <w:rPr>
      <w:rFonts w:ascii="Segoe UI" w:hAnsi="Segoe UI" w:cs="Segoe UI"/>
      <w:sz w:val="18"/>
      <w:szCs w:val="18"/>
    </w:rPr>
  </w:style>
  <w:style w:type="character" w:styleId="FollowedHyperlink">
    <w:name w:val="FollowedHyperlink"/>
    <w:basedOn w:val="DefaultParagraphFont"/>
    <w:uiPriority w:val="99"/>
    <w:semiHidden/>
    <w:unhideWhenUsed/>
    <w:rsid w:val="00557FD2"/>
    <w:rPr>
      <w:color w:val="954F72" w:themeColor="followedHyperlink"/>
      <w:u w:val="single"/>
    </w:rPr>
  </w:style>
  <w:style w:type="character" w:customStyle="1" w:styleId="font581">
    <w:name w:val="font581"/>
    <w:basedOn w:val="DefaultParagraphFont"/>
    <w:rsid w:val="00557FD2"/>
    <w:rPr>
      <w:rFonts w:ascii="Calibri" w:hAnsi="Calibri" w:cs="Calibri" w:hint="default"/>
      <w:b w:val="0"/>
      <w:bCs w:val="0"/>
      <w:i w:val="0"/>
      <w:iCs w:val="0"/>
      <w:strike w:val="0"/>
      <w:dstrike w:val="0"/>
      <w:color w:val="000000"/>
      <w:sz w:val="20"/>
      <w:szCs w:val="20"/>
      <w:u w:val="none"/>
      <w:effect w:val="none"/>
    </w:rPr>
  </w:style>
  <w:style w:type="character" w:customStyle="1" w:styleId="font171">
    <w:name w:val="font171"/>
    <w:basedOn w:val="DefaultParagraphFont"/>
    <w:rsid w:val="00557FD2"/>
    <w:rPr>
      <w:rFonts w:ascii="Calibri" w:hAnsi="Calibri" w:cs="Calibri" w:hint="default"/>
      <w:b w:val="0"/>
      <w:bCs w:val="0"/>
      <w:i w:val="0"/>
      <w:iCs w:val="0"/>
      <w:strike w:val="0"/>
      <w:dstrike w:val="0"/>
      <w:color w:val="000000"/>
      <w:sz w:val="20"/>
      <w:szCs w:val="20"/>
      <w:u w:val="none"/>
      <w:effect w:val="none"/>
    </w:rPr>
  </w:style>
  <w:style w:type="character" w:styleId="HTMLAcronym">
    <w:name w:val="HTML Acronym"/>
    <w:basedOn w:val="DefaultParagraphFont"/>
    <w:uiPriority w:val="99"/>
    <w:semiHidden/>
    <w:unhideWhenUsed/>
    <w:rsid w:val="00557FD2"/>
  </w:style>
  <w:style w:type="character" w:customStyle="1" w:styleId="FooterChar1">
    <w:name w:val="Footer Char1"/>
    <w:basedOn w:val="DefaultParagraphFont"/>
    <w:rsid w:val="00557FD2"/>
    <w:rPr>
      <w:rFonts w:eastAsia="Times New Roman" w:cs="Times New Roman"/>
      <w:sz w:val="24"/>
      <w:szCs w:val="24"/>
      <w:lang w:eastAsia="en-AU"/>
    </w:rPr>
  </w:style>
  <w:style w:type="character" w:customStyle="1" w:styleId="Heading1Char1">
    <w:name w:val="Heading 1 Char1"/>
    <w:basedOn w:val="DefaultParagraphFont"/>
    <w:uiPriority w:val="9"/>
    <w:rsid w:val="00557FD2"/>
    <w:rPr>
      <w:rFonts w:eastAsiaTheme="majorEastAsia" w:cstheme="majorBidi"/>
      <w:b/>
      <w:color w:val="4472C4" w:themeColor="accent1"/>
      <w:sz w:val="40"/>
      <w:szCs w:val="32"/>
    </w:rPr>
  </w:style>
  <w:style w:type="character" w:customStyle="1" w:styleId="Heading2Char1">
    <w:name w:val="Heading 2 Char1"/>
    <w:basedOn w:val="DefaultParagraphFont"/>
    <w:uiPriority w:val="9"/>
    <w:rsid w:val="00557FD2"/>
    <w:rPr>
      <w:rFonts w:eastAsiaTheme="majorEastAsia" w:cstheme="majorBidi"/>
      <w:b/>
      <w:color w:val="2F5496" w:themeColor="accent1" w:themeShade="BF"/>
      <w:sz w:val="36"/>
      <w:szCs w:val="26"/>
    </w:rPr>
  </w:style>
  <w:style w:type="character" w:customStyle="1" w:styleId="Heading3Char1">
    <w:name w:val="Heading 3 Char1"/>
    <w:basedOn w:val="DefaultParagraphFont"/>
    <w:uiPriority w:val="9"/>
    <w:rsid w:val="00557FD2"/>
    <w:rPr>
      <w:rFonts w:eastAsiaTheme="majorEastAsia" w:cstheme="majorBidi"/>
      <w:b/>
      <w:color w:val="2E74B5" w:themeColor="accent5" w:themeShade="BF"/>
      <w:sz w:val="32"/>
      <w:szCs w:val="24"/>
    </w:rPr>
  </w:style>
  <w:style w:type="character" w:customStyle="1" w:styleId="FooterChar2">
    <w:name w:val="Footer Char2"/>
    <w:basedOn w:val="DefaultParagraphFont"/>
    <w:rsid w:val="00557FD2"/>
    <w:rPr>
      <w:rFonts w:eastAsia="Times New Roman" w:cs="Times New Roman"/>
      <w:sz w:val="24"/>
      <w:szCs w:val="24"/>
      <w:lang w:eastAsia="en-AU"/>
    </w:rPr>
  </w:style>
  <w:style w:type="character" w:customStyle="1" w:styleId="Heading1Char2">
    <w:name w:val="Heading 1 Char2"/>
    <w:basedOn w:val="DefaultParagraphFont"/>
    <w:uiPriority w:val="9"/>
    <w:rsid w:val="00557FD2"/>
    <w:rPr>
      <w:rFonts w:eastAsiaTheme="majorEastAsia" w:cstheme="majorBidi"/>
      <w:b/>
      <w:color w:val="4472C4" w:themeColor="accent1"/>
      <w:sz w:val="40"/>
      <w:szCs w:val="32"/>
    </w:rPr>
  </w:style>
  <w:style w:type="character" w:customStyle="1" w:styleId="Heading2Char2">
    <w:name w:val="Heading 2 Char2"/>
    <w:basedOn w:val="DefaultParagraphFont"/>
    <w:uiPriority w:val="9"/>
    <w:rsid w:val="00557FD2"/>
    <w:rPr>
      <w:rFonts w:eastAsiaTheme="majorEastAsia" w:cstheme="majorBidi"/>
      <w:b/>
      <w:color w:val="2F5496" w:themeColor="accent1" w:themeShade="BF"/>
      <w:sz w:val="36"/>
      <w:szCs w:val="26"/>
    </w:rPr>
  </w:style>
  <w:style w:type="character" w:customStyle="1" w:styleId="Heading3Char2">
    <w:name w:val="Heading 3 Char2"/>
    <w:basedOn w:val="DefaultParagraphFont"/>
    <w:uiPriority w:val="9"/>
    <w:rsid w:val="00557FD2"/>
    <w:rPr>
      <w:rFonts w:eastAsiaTheme="majorEastAsia" w:cstheme="majorBidi"/>
      <w:b/>
      <w:color w:val="2E74B5" w:themeColor="accent5" w:themeShade="BF"/>
      <w:sz w:val="32"/>
      <w:szCs w:val="24"/>
    </w:rPr>
  </w:style>
  <w:style w:type="character" w:customStyle="1" w:styleId="Heading1Char3">
    <w:name w:val="Heading 1 Char3"/>
    <w:basedOn w:val="DefaultParagraphFont"/>
    <w:uiPriority w:val="9"/>
    <w:rsid w:val="00557FD2"/>
    <w:rPr>
      <w:rFonts w:eastAsiaTheme="majorEastAsia" w:cstheme="majorBidi"/>
      <w:b/>
      <w:color w:val="4472C4" w:themeColor="accent1"/>
      <w:sz w:val="40"/>
      <w:szCs w:val="32"/>
    </w:rPr>
  </w:style>
  <w:style w:type="character" w:customStyle="1" w:styleId="Heading2Char3">
    <w:name w:val="Heading 2 Char3"/>
    <w:basedOn w:val="DefaultParagraphFont"/>
    <w:uiPriority w:val="9"/>
    <w:rsid w:val="00557FD2"/>
    <w:rPr>
      <w:rFonts w:eastAsiaTheme="majorEastAsia" w:cstheme="majorBidi"/>
      <w:b/>
      <w:color w:val="2F5496" w:themeColor="accent1" w:themeShade="BF"/>
      <w:sz w:val="36"/>
      <w:szCs w:val="26"/>
    </w:rPr>
  </w:style>
  <w:style w:type="character" w:customStyle="1" w:styleId="Heading3Char3">
    <w:name w:val="Heading 3 Char3"/>
    <w:basedOn w:val="DefaultParagraphFont"/>
    <w:uiPriority w:val="9"/>
    <w:rsid w:val="00557FD2"/>
    <w:rPr>
      <w:rFonts w:eastAsiaTheme="majorEastAsia" w:cstheme="majorBidi"/>
      <w:b/>
      <w:color w:val="2E74B5" w:themeColor="accent5" w:themeShade="BF"/>
      <w:sz w:val="32"/>
      <w:szCs w:val="24"/>
    </w:rPr>
  </w:style>
  <w:style w:type="character" w:customStyle="1" w:styleId="Heading4Char1">
    <w:name w:val="Heading 4 Char1"/>
    <w:basedOn w:val="DefaultParagraphFont"/>
    <w:uiPriority w:val="9"/>
    <w:rsid w:val="00557FD2"/>
    <w:rPr>
      <w:rFonts w:ascii="Calibri" w:eastAsiaTheme="majorEastAsia" w:hAnsi="Calibri" w:cstheme="majorBidi"/>
      <w:b/>
      <w:iCs/>
      <w:color w:val="2F5496" w:themeColor="accent1" w:themeShade="BF"/>
      <w:sz w:val="28"/>
    </w:rPr>
  </w:style>
  <w:style w:type="character" w:customStyle="1" w:styleId="FooterChar3">
    <w:name w:val="Footer Char3"/>
    <w:basedOn w:val="DefaultParagraphFont"/>
    <w:uiPriority w:val="99"/>
    <w:rsid w:val="00557FD2"/>
    <w:rPr>
      <w:rFonts w:eastAsia="Times New Roman" w:cs="Times New Roman"/>
      <w:sz w:val="24"/>
      <w:szCs w:val="24"/>
      <w:lang w:eastAsia="en-AU"/>
    </w:rPr>
  </w:style>
  <w:style w:type="character" w:customStyle="1" w:styleId="ListParagraphChar1">
    <w:name w:val="List Paragraph Char1"/>
    <w:aliases w:val="Normal-Heading Char1,List Paragraph1 Char1,Recommendation Char1,Bullet point Char1,List Paragraph11 Char1,List Paragraph Number Char1,L Char1"/>
    <w:basedOn w:val="DefaultParagraphFont"/>
    <w:uiPriority w:val="34"/>
    <w:rsid w:val="00557FD2"/>
    <w:rPr>
      <w:sz w:val="24"/>
    </w:rPr>
  </w:style>
  <w:style w:type="character" w:customStyle="1" w:styleId="HeaderChar1">
    <w:name w:val="Header Char1"/>
    <w:basedOn w:val="DefaultParagraphFont"/>
    <w:uiPriority w:val="99"/>
    <w:rsid w:val="00557FD2"/>
    <w:rPr>
      <w:rFonts w:cs="Times New Roman"/>
      <w:sz w:val="24"/>
      <w:szCs w:val="24"/>
      <w:lang w:val="en-US"/>
    </w:rPr>
  </w:style>
  <w:style w:type="character" w:customStyle="1" w:styleId="CaptionChar1">
    <w:name w:val="Caption Char1"/>
    <w:aliases w:val="c Char1,Caption Char Char Char Char Char Char Char Char11,Caption Char Char Char Char Char Char Char Char Char1,Caption Char Char Char Char Char Char Char11"/>
    <w:uiPriority w:val="35"/>
    <w:rsid w:val="00557FD2"/>
    <w:rPr>
      <w:rFonts w:ascii="Calibri" w:hAnsi="Calibri" w:cs="Times New Roman"/>
      <w:b/>
      <w:iCs/>
      <w:sz w:val="24"/>
      <w:szCs w:val="18"/>
    </w:rPr>
  </w:style>
  <w:style w:type="paragraph" w:customStyle="1" w:styleId="Default1">
    <w:name w:val="Default1"/>
    <w:rsid w:val="00557FD2"/>
    <w:pPr>
      <w:autoSpaceDE w:val="0"/>
      <w:autoSpaceDN w:val="0"/>
      <w:adjustRightInd w:val="0"/>
      <w:spacing w:after="0" w:line="240" w:lineRule="auto"/>
    </w:pPr>
    <w:rPr>
      <w:rFonts w:ascii="Arial" w:hAnsi="Arial" w:cs="Arial"/>
      <w:color w:val="000000"/>
      <w:sz w:val="24"/>
      <w:szCs w:val="24"/>
    </w:rPr>
  </w:style>
  <w:style w:type="paragraph" w:customStyle="1" w:styleId="ChapterHeading1">
    <w:name w:val="Chapter Heading1"/>
    <w:basedOn w:val="Normal"/>
    <w:rsid w:val="00557FD2"/>
    <w:pPr>
      <w:spacing w:after="180" w:line="240" w:lineRule="auto"/>
    </w:pPr>
    <w:rPr>
      <w:rFonts w:ascii="Tahoma" w:eastAsia="Times New Roman" w:hAnsi="Tahoma" w:cs="Tahoma"/>
      <w:b/>
      <w:sz w:val="32"/>
      <w:szCs w:val="32"/>
      <w:lang w:eastAsia="en-AU"/>
    </w:rPr>
  </w:style>
  <w:style w:type="character" w:customStyle="1" w:styleId="BodyTextChar1">
    <w:name w:val="Body Text Char1"/>
    <w:basedOn w:val="DefaultParagraphFont"/>
    <w:rsid w:val="00557FD2"/>
    <w:rPr>
      <w:rFonts w:ascii="Times New Roman" w:eastAsia="Times New Roman" w:hAnsi="Times New Roman" w:cs="Times New Roman"/>
      <w:sz w:val="24"/>
      <w:szCs w:val="24"/>
      <w:lang w:eastAsia="en-AU"/>
    </w:rPr>
  </w:style>
  <w:style w:type="paragraph" w:customStyle="1" w:styleId="ListAlpha01">
    <w:name w:val="List Alpha 01"/>
    <w:basedOn w:val="Normal"/>
    <w:rsid w:val="00557FD2"/>
    <w:pPr>
      <w:spacing w:before="240" w:after="0" w:line="240" w:lineRule="auto"/>
    </w:pPr>
    <w:rPr>
      <w:rFonts w:ascii="Tahoma" w:eastAsia="Times New Roman" w:hAnsi="Tahoma" w:cs="Tahoma"/>
      <w:b/>
      <w:sz w:val="22"/>
      <w:lang w:eastAsia="en-AU"/>
    </w:rPr>
  </w:style>
  <w:style w:type="paragraph" w:customStyle="1" w:styleId="TableName1">
    <w:name w:val="Table Name1"/>
    <w:basedOn w:val="Normal"/>
    <w:rsid w:val="00557FD2"/>
    <w:pPr>
      <w:spacing w:before="240" w:line="240" w:lineRule="auto"/>
    </w:pPr>
    <w:rPr>
      <w:rFonts w:ascii="Arial" w:eastAsia="Times New Roman" w:hAnsi="Arial" w:cs="Tahoma"/>
      <w:b/>
      <w:i/>
      <w:sz w:val="22"/>
      <w:lang w:eastAsia="en-AU"/>
    </w:rPr>
  </w:style>
  <w:style w:type="paragraph" w:customStyle="1" w:styleId="ListRoman01">
    <w:name w:val="List Roman 01"/>
    <w:basedOn w:val="Normal"/>
    <w:rsid w:val="00557FD2"/>
    <w:pPr>
      <w:spacing w:line="240" w:lineRule="auto"/>
      <w:ind w:left="540" w:hanging="540"/>
    </w:pPr>
    <w:rPr>
      <w:rFonts w:ascii="Times New Roman" w:eastAsia="Times New Roman" w:hAnsi="Times New Roman" w:cs="Times New Roman"/>
      <w:szCs w:val="24"/>
      <w:lang w:eastAsia="en-AU"/>
    </w:rPr>
  </w:style>
  <w:style w:type="paragraph" w:customStyle="1" w:styleId="ListRoman11">
    <w:name w:val="List Roman 11"/>
    <w:basedOn w:val="Normal"/>
    <w:rsid w:val="00557FD2"/>
    <w:pPr>
      <w:spacing w:line="240" w:lineRule="auto"/>
      <w:ind w:left="896" w:hanging="539"/>
    </w:pPr>
    <w:rPr>
      <w:rFonts w:ascii="Times New Roman" w:eastAsia="Times New Roman" w:hAnsi="Times New Roman" w:cs="Times New Roman"/>
      <w:szCs w:val="24"/>
      <w:lang w:eastAsia="en-AU"/>
    </w:rPr>
  </w:style>
  <w:style w:type="paragraph" w:customStyle="1" w:styleId="ListRoman21">
    <w:name w:val="List Roman 21"/>
    <w:basedOn w:val="ListRoman1"/>
    <w:rsid w:val="00557FD2"/>
    <w:pPr>
      <w:tabs>
        <w:tab w:val="num" w:pos="680"/>
      </w:tabs>
      <w:ind w:left="680" w:hanging="320"/>
    </w:pPr>
    <w:rPr>
      <w:rFonts w:eastAsia="MS Mincho"/>
    </w:rPr>
  </w:style>
  <w:style w:type="paragraph" w:customStyle="1" w:styleId="ListAlpha11">
    <w:name w:val="List Alpha 11"/>
    <w:basedOn w:val="ListAlpha0"/>
    <w:rsid w:val="00557FD2"/>
    <w:pPr>
      <w:tabs>
        <w:tab w:val="num" w:pos="720"/>
      </w:tabs>
      <w:spacing w:after="120"/>
      <w:ind w:left="720" w:hanging="720"/>
    </w:pPr>
    <w:rPr>
      <w:rFonts w:ascii="Times New Roman" w:hAnsi="Times New Roman"/>
      <w:b w:val="0"/>
    </w:rPr>
  </w:style>
  <w:style w:type="character" w:customStyle="1" w:styleId="SubtitleChar1">
    <w:name w:val="Subtitle Char1"/>
    <w:basedOn w:val="DefaultParagraphFont"/>
    <w:rsid w:val="00557FD2"/>
    <w:rPr>
      <w:rFonts w:ascii="Arial" w:eastAsia="Times New Roman" w:hAnsi="Arial" w:cs="Times New Roman"/>
      <w:b/>
      <w:sz w:val="48"/>
      <w:szCs w:val="48"/>
      <w:lang w:val="en-US"/>
    </w:rPr>
  </w:style>
  <w:style w:type="paragraph" w:customStyle="1" w:styleId="ListDash11">
    <w:name w:val="List Dash 11"/>
    <w:basedOn w:val="Normal"/>
    <w:rsid w:val="00557FD2"/>
    <w:pPr>
      <w:tabs>
        <w:tab w:val="num" w:pos="720"/>
      </w:tabs>
      <w:spacing w:after="60" w:line="240" w:lineRule="auto"/>
      <w:ind w:left="714" w:hanging="357"/>
    </w:pPr>
    <w:rPr>
      <w:rFonts w:ascii="Times New Roman" w:eastAsia="Times New Roman" w:hAnsi="Times New Roman" w:cs="Times New Roman"/>
      <w:szCs w:val="24"/>
      <w:lang w:eastAsia="en-AU"/>
    </w:rPr>
  </w:style>
  <w:style w:type="paragraph" w:customStyle="1" w:styleId="Table1">
    <w:name w:val="Table1"/>
    <w:basedOn w:val="BodyText"/>
    <w:rsid w:val="00557FD2"/>
    <w:pPr>
      <w:spacing w:before="0" w:after="0"/>
    </w:pPr>
    <w:rPr>
      <w:rFonts w:ascii="Tahoma" w:hAnsi="Tahoma"/>
      <w:b/>
      <w:sz w:val="22"/>
      <w:szCs w:val="20"/>
    </w:rPr>
  </w:style>
  <w:style w:type="paragraph" w:customStyle="1" w:styleId="numberedtableheader1">
    <w:name w:val="numbered table header1"/>
    <w:basedOn w:val="Normal"/>
    <w:qFormat/>
    <w:rsid w:val="00557FD2"/>
    <w:pPr>
      <w:spacing w:line="240" w:lineRule="auto"/>
      <w:ind w:left="360" w:hanging="360"/>
    </w:pPr>
    <w:rPr>
      <w:rFonts w:ascii="Arial" w:eastAsia="Times New Roman" w:hAnsi="Arial" w:cs="Times New Roman"/>
      <w:b/>
      <w:sz w:val="18"/>
    </w:rPr>
  </w:style>
  <w:style w:type="character" w:customStyle="1" w:styleId="CommentTextChar1">
    <w:name w:val="Comment Text Char1"/>
    <w:basedOn w:val="DefaultParagraphFont"/>
    <w:uiPriority w:val="99"/>
    <w:rsid w:val="00557FD2"/>
    <w:rPr>
      <w:sz w:val="20"/>
      <w:szCs w:val="20"/>
    </w:rPr>
  </w:style>
  <w:style w:type="character" w:customStyle="1" w:styleId="BalloonTextChar11">
    <w:name w:val="Balloon Text Char11"/>
    <w:basedOn w:val="DefaultParagraphFont"/>
    <w:uiPriority w:val="99"/>
    <w:semiHidden/>
    <w:rsid w:val="00557FD2"/>
    <w:rPr>
      <w:rFonts w:ascii="Segoe UI" w:hAnsi="Segoe UI" w:cs="Segoe UI"/>
      <w:sz w:val="18"/>
      <w:szCs w:val="18"/>
    </w:rPr>
  </w:style>
  <w:style w:type="character" w:customStyle="1" w:styleId="Mention11">
    <w:name w:val="Mention11"/>
    <w:basedOn w:val="DefaultParagraphFont"/>
    <w:uiPriority w:val="99"/>
    <w:semiHidden/>
    <w:unhideWhenUsed/>
    <w:rsid w:val="00557FD2"/>
    <w:rPr>
      <w:color w:val="2B579A"/>
      <w:shd w:val="clear" w:color="auto" w:fill="E6E6E6"/>
    </w:rPr>
  </w:style>
  <w:style w:type="character" w:customStyle="1" w:styleId="NoSpacingChar1">
    <w:name w:val="No Spacing Char1"/>
    <w:basedOn w:val="DefaultParagraphFont"/>
    <w:uiPriority w:val="1"/>
    <w:rsid w:val="00557FD2"/>
    <w:rPr>
      <w:sz w:val="24"/>
    </w:rPr>
  </w:style>
  <w:style w:type="character" w:customStyle="1" w:styleId="Heading1Char4">
    <w:name w:val="Heading 1 Char4"/>
    <w:basedOn w:val="DefaultParagraphFont"/>
    <w:uiPriority w:val="9"/>
    <w:rsid w:val="00557FD2"/>
    <w:rPr>
      <w:rFonts w:eastAsiaTheme="majorEastAsia" w:cstheme="majorBidi"/>
      <w:b/>
      <w:color w:val="4472C4" w:themeColor="accent1"/>
      <w:sz w:val="40"/>
      <w:szCs w:val="32"/>
    </w:rPr>
  </w:style>
  <w:style w:type="character" w:customStyle="1" w:styleId="Heading2Char4">
    <w:name w:val="Heading 2 Char4"/>
    <w:basedOn w:val="DefaultParagraphFont"/>
    <w:uiPriority w:val="9"/>
    <w:rsid w:val="00557FD2"/>
    <w:rPr>
      <w:rFonts w:eastAsiaTheme="majorEastAsia" w:cstheme="majorBidi"/>
      <w:b/>
      <w:color w:val="2F5496" w:themeColor="accent1" w:themeShade="BF"/>
      <w:sz w:val="36"/>
      <w:szCs w:val="26"/>
    </w:rPr>
  </w:style>
  <w:style w:type="character" w:customStyle="1" w:styleId="Heading3Char4">
    <w:name w:val="Heading 3 Char4"/>
    <w:basedOn w:val="DefaultParagraphFont"/>
    <w:uiPriority w:val="9"/>
    <w:rsid w:val="00557FD2"/>
    <w:rPr>
      <w:rFonts w:eastAsiaTheme="majorEastAsia" w:cstheme="majorBidi"/>
      <w:b/>
      <w:color w:val="2E74B5" w:themeColor="accent5" w:themeShade="BF"/>
      <w:sz w:val="32"/>
      <w:szCs w:val="24"/>
    </w:rPr>
  </w:style>
  <w:style w:type="character" w:customStyle="1" w:styleId="Heading4Char2">
    <w:name w:val="Heading 4 Char2"/>
    <w:basedOn w:val="DefaultParagraphFont"/>
    <w:uiPriority w:val="9"/>
    <w:rsid w:val="00557FD2"/>
    <w:rPr>
      <w:rFonts w:eastAsiaTheme="majorEastAsia" w:cstheme="majorBidi"/>
      <w:b/>
      <w:iCs/>
      <w:color w:val="2F5496" w:themeColor="accent1" w:themeShade="BF"/>
      <w:sz w:val="28"/>
    </w:rPr>
  </w:style>
  <w:style w:type="character" w:customStyle="1" w:styleId="FooterChar4">
    <w:name w:val="Footer Char4"/>
    <w:basedOn w:val="DefaultParagraphFont"/>
    <w:uiPriority w:val="99"/>
    <w:rsid w:val="00557FD2"/>
    <w:rPr>
      <w:rFonts w:eastAsia="Times New Roman" w:cs="Times New Roman"/>
      <w:sz w:val="24"/>
      <w:szCs w:val="24"/>
      <w:lang w:eastAsia="en-AU"/>
    </w:rPr>
  </w:style>
  <w:style w:type="character" w:customStyle="1" w:styleId="ListParagraphChar2">
    <w:name w:val="List Paragraph Char2"/>
    <w:aliases w:val="Normal-Heading Char2,List Paragraph1 Char2,Recommendation Char2,Bullet point Char2,List Paragraph11 Char2,List Paragraph Number Char2,L Char2"/>
    <w:basedOn w:val="DefaultParagraphFont"/>
    <w:uiPriority w:val="34"/>
    <w:rsid w:val="00557FD2"/>
    <w:rPr>
      <w:sz w:val="24"/>
    </w:rPr>
  </w:style>
  <w:style w:type="character" w:customStyle="1" w:styleId="HeaderChar2">
    <w:name w:val="Header Char2"/>
    <w:basedOn w:val="DefaultParagraphFont"/>
    <w:uiPriority w:val="99"/>
    <w:rsid w:val="00557FD2"/>
    <w:rPr>
      <w:rFonts w:cs="Times New Roman"/>
      <w:sz w:val="24"/>
      <w:szCs w:val="24"/>
      <w:lang w:val="en-US"/>
    </w:rPr>
  </w:style>
  <w:style w:type="character" w:customStyle="1" w:styleId="BalloonTextChar2">
    <w:name w:val="Balloon Text Char2"/>
    <w:basedOn w:val="DefaultParagraphFont"/>
    <w:uiPriority w:val="99"/>
    <w:semiHidden/>
    <w:rsid w:val="00557FD2"/>
    <w:rPr>
      <w:rFonts w:ascii="Segoe UI" w:hAnsi="Segoe UI" w:cs="Segoe UI"/>
      <w:sz w:val="18"/>
      <w:szCs w:val="18"/>
    </w:rPr>
  </w:style>
  <w:style w:type="table" w:customStyle="1" w:styleId="ListTable3-Accent511">
    <w:name w:val="List Table 3 - Accent 511"/>
    <w:basedOn w:val="TableNormal"/>
    <w:uiPriority w:val="48"/>
    <w:rsid w:val="00557FD2"/>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Default2">
    <w:name w:val="Default2"/>
    <w:rsid w:val="00557FD2"/>
    <w:pPr>
      <w:autoSpaceDE w:val="0"/>
      <w:autoSpaceDN w:val="0"/>
      <w:adjustRightInd w:val="0"/>
      <w:spacing w:after="0" w:line="240" w:lineRule="auto"/>
    </w:pPr>
    <w:rPr>
      <w:rFonts w:ascii="Arial" w:hAnsi="Arial" w:cs="Arial"/>
      <w:color w:val="000000"/>
      <w:sz w:val="24"/>
      <w:szCs w:val="24"/>
    </w:rPr>
  </w:style>
  <w:style w:type="paragraph" w:customStyle="1" w:styleId="Tabletitle1">
    <w:name w:val="Table title1"/>
    <w:basedOn w:val="Normal"/>
    <w:next w:val="Normal"/>
    <w:qFormat/>
    <w:rsid w:val="00557FD2"/>
    <w:pPr>
      <w:keepNext/>
      <w:pBdr>
        <w:bottom w:val="single" w:sz="18" w:space="1" w:color="A6A6A6" w:themeColor="background1" w:themeShade="A6"/>
      </w:pBdr>
      <w:spacing w:line="240" w:lineRule="auto"/>
    </w:pPr>
    <w:rPr>
      <w:rFonts w:ascii="Arial" w:eastAsia="Times New Roman" w:hAnsi="Arial" w:cs="Times New Roman"/>
      <w:b/>
      <w:szCs w:val="24"/>
    </w:rPr>
  </w:style>
  <w:style w:type="paragraph" w:customStyle="1" w:styleId="Tableheader1">
    <w:name w:val="Table header1"/>
    <w:basedOn w:val="Normal"/>
    <w:qFormat/>
    <w:rsid w:val="00557FD2"/>
    <w:pPr>
      <w:spacing w:line="240" w:lineRule="auto"/>
    </w:pPr>
    <w:rPr>
      <w:rFonts w:ascii="Arial" w:eastAsia="Times New Roman" w:hAnsi="Arial" w:cs="Times New Roman"/>
      <w:b/>
      <w:sz w:val="20"/>
    </w:rPr>
  </w:style>
  <w:style w:type="paragraph" w:customStyle="1" w:styleId="Tabletype1">
    <w:name w:val="Table type1"/>
    <w:basedOn w:val="Normal"/>
    <w:qFormat/>
    <w:rsid w:val="00557FD2"/>
    <w:pPr>
      <w:spacing w:line="240" w:lineRule="auto"/>
    </w:pPr>
    <w:rPr>
      <w:rFonts w:ascii="Arial" w:eastAsia="Times New Roman" w:hAnsi="Arial" w:cs="Times New Roman"/>
      <w:sz w:val="18"/>
      <w:szCs w:val="18"/>
    </w:rPr>
  </w:style>
  <w:style w:type="paragraph" w:customStyle="1" w:styleId="numberedtableheader2">
    <w:name w:val="numbered table header2"/>
    <w:basedOn w:val="Tableheader"/>
    <w:qFormat/>
    <w:rsid w:val="00557FD2"/>
    <w:pPr>
      <w:ind w:left="360" w:hanging="360"/>
    </w:pPr>
    <w:rPr>
      <w:sz w:val="18"/>
    </w:rPr>
  </w:style>
  <w:style w:type="paragraph" w:customStyle="1" w:styleId="StyleListParagraph9pt1">
    <w:name w:val="Style List Paragraph + 9 pt1"/>
    <w:basedOn w:val="ListParagraph"/>
    <w:rsid w:val="00557FD2"/>
    <w:pPr>
      <w:spacing w:before="120" w:line="240" w:lineRule="auto"/>
      <w:ind w:left="0"/>
    </w:pPr>
    <w:rPr>
      <w:rFonts w:ascii="Arial" w:eastAsia="Times New Roman" w:hAnsi="Arial" w:cs="Times New Roman"/>
      <w:sz w:val="18"/>
      <w:szCs w:val="24"/>
    </w:rPr>
  </w:style>
  <w:style w:type="character" w:customStyle="1" w:styleId="CommentTextChar2">
    <w:name w:val="Comment Text Char2"/>
    <w:basedOn w:val="DefaultParagraphFont"/>
    <w:uiPriority w:val="99"/>
    <w:rsid w:val="00557FD2"/>
    <w:rPr>
      <w:sz w:val="20"/>
      <w:szCs w:val="20"/>
    </w:rPr>
  </w:style>
  <w:style w:type="character" w:customStyle="1" w:styleId="CommentSubjectChar2">
    <w:name w:val="Comment Subject Char2"/>
    <w:basedOn w:val="CommentTextChar"/>
    <w:uiPriority w:val="99"/>
    <w:semiHidden/>
    <w:rsid w:val="00557FD2"/>
    <w:rPr>
      <w:b/>
      <w:bCs/>
      <w:sz w:val="20"/>
      <w:szCs w:val="20"/>
    </w:rPr>
  </w:style>
  <w:style w:type="table" w:customStyle="1" w:styleId="TableGrid1">
    <w:name w:val="TableGrid1"/>
    <w:rsid w:val="00557FD2"/>
    <w:pPr>
      <w:spacing w:after="0" w:line="240" w:lineRule="auto"/>
    </w:pPr>
    <w:rPr>
      <w:rFonts w:eastAsiaTheme="minorEastAsia"/>
      <w:lang w:eastAsia="en-AU"/>
    </w:rPr>
    <w:tblPr>
      <w:tblCellMar>
        <w:top w:w="0" w:type="dxa"/>
        <w:left w:w="0" w:type="dxa"/>
        <w:bottom w:w="0" w:type="dxa"/>
        <w:right w:w="0" w:type="dxa"/>
      </w:tblCellMar>
    </w:tblPr>
  </w:style>
  <w:style w:type="character" w:customStyle="1" w:styleId="BodyTextChar2">
    <w:name w:val="Body Text Char2"/>
    <w:basedOn w:val="DefaultParagraphFont"/>
    <w:uiPriority w:val="1"/>
    <w:rsid w:val="00557FD2"/>
    <w:rPr>
      <w:rFonts w:ascii="Arial" w:eastAsia="Arial" w:hAnsi="Arial" w:cs="Arial"/>
      <w:sz w:val="16"/>
      <w:szCs w:val="16"/>
      <w:lang w:val="en-US"/>
    </w:rPr>
  </w:style>
  <w:style w:type="paragraph" w:customStyle="1" w:styleId="Tabletext1">
    <w:name w:val="Tabletext1"/>
    <w:aliases w:val="tt1"/>
    <w:basedOn w:val="Normal"/>
    <w:rsid w:val="00557FD2"/>
    <w:pPr>
      <w:spacing w:before="60" w:after="0" w:line="240" w:lineRule="atLeast"/>
    </w:pPr>
    <w:rPr>
      <w:rFonts w:ascii="Times New Roman" w:eastAsia="Times New Roman" w:hAnsi="Times New Roman" w:cs="Times New Roman"/>
      <w:sz w:val="20"/>
      <w:szCs w:val="20"/>
      <w:lang w:eastAsia="en-AU"/>
    </w:rPr>
  </w:style>
  <w:style w:type="paragraph" w:customStyle="1" w:styleId="TableHeading1">
    <w:name w:val="TableHeading1"/>
    <w:aliases w:val="th1"/>
    <w:basedOn w:val="Normal"/>
    <w:next w:val="Tabletext"/>
    <w:rsid w:val="00557FD2"/>
    <w:pPr>
      <w:keepNext/>
      <w:spacing w:before="60" w:after="0" w:line="240" w:lineRule="atLeast"/>
    </w:pPr>
    <w:rPr>
      <w:rFonts w:ascii="Times New Roman" w:eastAsia="Times New Roman" w:hAnsi="Times New Roman" w:cs="Times New Roman"/>
      <w:b/>
      <w:sz w:val="20"/>
      <w:szCs w:val="20"/>
      <w:lang w:eastAsia="en-AU"/>
    </w:rPr>
  </w:style>
  <w:style w:type="character" w:customStyle="1" w:styleId="font711">
    <w:name w:val="font711"/>
    <w:basedOn w:val="DefaultParagraphFont"/>
    <w:rsid w:val="00557FD2"/>
    <w:rPr>
      <w:rFonts w:ascii="Calibri" w:hAnsi="Calibri" w:cs="Calibri" w:hint="default"/>
      <w:b w:val="0"/>
      <w:bCs w:val="0"/>
      <w:i w:val="0"/>
      <w:iCs w:val="0"/>
      <w:strike w:val="0"/>
      <w:dstrike w:val="0"/>
      <w:color w:val="4472C4"/>
      <w:sz w:val="20"/>
      <w:szCs w:val="20"/>
      <w:u w:val="none"/>
      <w:effect w:val="none"/>
    </w:rPr>
  </w:style>
  <w:style w:type="character" w:customStyle="1" w:styleId="Heading1Char5">
    <w:name w:val="Heading 1 Char5"/>
    <w:basedOn w:val="DefaultParagraphFont"/>
    <w:uiPriority w:val="9"/>
    <w:rsid w:val="00557FD2"/>
    <w:rPr>
      <w:rFonts w:eastAsiaTheme="majorEastAsia" w:cstheme="majorBidi"/>
      <w:b/>
      <w:color w:val="4472C4" w:themeColor="accent1"/>
      <w:sz w:val="40"/>
      <w:szCs w:val="32"/>
    </w:rPr>
  </w:style>
  <w:style w:type="character" w:customStyle="1" w:styleId="Heading2Char5">
    <w:name w:val="Heading 2 Char5"/>
    <w:basedOn w:val="DefaultParagraphFont"/>
    <w:uiPriority w:val="9"/>
    <w:rsid w:val="00557FD2"/>
    <w:rPr>
      <w:rFonts w:eastAsiaTheme="majorEastAsia" w:cstheme="majorBidi"/>
      <w:b/>
      <w:color w:val="2F5496" w:themeColor="accent1" w:themeShade="BF"/>
      <w:sz w:val="36"/>
      <w:szCs w:val="26"/>
    </w:rPr>
  </w:style>
  <w:style w:type="character" w:customStyle="1" w:styleId="Heading3Char5">
    <w:name w:val="Heading 3 Char5"/>
    <w:basedOn w:val="DefaultParagraphFont"/>
    <w:uiPriority w:val="9"/>
    <w:rsid w:val="00557FD2"/>
    <w:rPr>
      <w:rFonts w:eastAsiaTheme="majorEastAsia" w:cstheme="majorBidi"/>
      <w:b/>
      <w:color w:val="2E74B5" w:themeColor="accent5" w:themeShade="BF"/>
      <w:sz w:val="32"/>
      <w:szCs w:val="24"/>
    </w:rPr>
  </w:style>
  <w:style w:type="character" w:customStyle="1" w:styleId="Heading4Char3">
    <w:name w:val="Heading 4 Char3"/>
    <w:basedOn w:val="DefaultParagraphFont"/>
    <w:uiPriority w:val="9"/>
    <w:rsid w:val="00557FD2"/>
    <w:rPr>
      <w:rFonts w:eastAsiaTheme="majorEastAsia" w:cstheme="majorBidi"/>
      <w:b/>
      <w:iCs/>
      <w:color w:val="2F5496" w:themeColor="accent1" w:themeShade="BF"/>
      <w:sz w:val="28"/>
    </w:rPr>
  </w:style>
  <w:style w:type="character" w:customStyle="1" w:styleId="FooterChar5">
    <w:name w:val="Footer Char5"/>
    <w:basedOn w:val="DefaultParagraphFont"/>
    <w:uiPriority w:val="99"/>
    <w:rsid w:val="00557FD2"/>
    <w:rPr>
      <w:rFonts w:eastAsia="Times New Roman" w:cs="Times New Roman"/>
      <w:sz w:val="24"/>
      <w:szCs w:val="24"/>
      <w:lang w:eastAsia="en-AU"/>
    </w:rPr>
  </w:style>
  <w:style w:type="character" w:customStyle="1" w:styleId="ListParagraphChar3">
    <w:name w:val="List Paragraph Char3"/>
    <w:aliases w:val="Normal-Heading Char3,List Paragraph1 Char3,Recommendation Char3,Bullet point Char3,List Paragraph11 Char3,List Paragraph Number Char3,L Char3"/>
    <w:basedOn w:val="DefaultParagraphFont"/>
    <w:uiPriority w:val="34"/>
    <w:rsid w:val="00557FD2"/>
    <w:rPr>
      <w:sz w:val="24"/>
    </w:rPr>
  </w:style>
  <w:style w:type="character" w:customStyle="1" w:styleId="HeaderChar3">
    <w:name w:val="Header Char3"/>
    <w:basedOn w:val="DefaultParagraphFont"/>
    <w:uiPriority w:val="99"/>
    <w:rsid w:val="00557FD2"/>
    <w:rPr>
      <w:rFonts w:cs="Times New Roman"/>
      <w:sz w:val="24"/>
      <w:szCs w:val="24"/>
      <w:lang w:val="en-US"/>
    </w:rPr>
  </w:style>
  <w:style w:type="character" w:customStyle="1" w:styleId="BalloonTextChar3">
    <w:name w:val="Balloon Text Char3"/>
    <w:basedOn w:val="DefaultParagraphFont"/>
    <w:uiPriority w:val="99"/>
    <w:semiHidden/>
    <w:rsid w:val="00557FD2"/>
    <w:rPr>
      <w:rFonts w:ascii="Segoe UI" w:hAnsi="Segoe UI" w:cs="Segoe UI"/>
      <w:sz w:val="18"/>
      <w:szCs w:val="18"/>
    </w:rPr>
  </w:style>
  <w:style w:type="table" w:customStyle="1" w:styleId="ListTable3-Accent512">
    <w:name w:val="List Table 3 - Accent 512"/>
    <w:basedOn w:val="TableNormal"/>
    <w:uiPriority w:val="48"/>
    <w:rsid w:val="00557FD2"/>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Default3">
    <w:name w:val="Default3"/>
    <w:rsid w:val="00557FD2"/>
    <w:pPr>
      <w:autoSpaceDE w:val="0"/>
      <w:autoSpaceDN w:val="0"/>
      <w:adjustRightInd w:val="0"/>
      <w:spacing w:after="0" w:line="240" w:lineRule="auto"/>
    </w:pPr>
    <w:rPr>
      <w:rFonts w:ascii="Arial" w:hAnsi="Arial" w:cs="Arial"/>
      <w:color w:val="000000"/>
      <w:sz w:val="24"/>
      <w:szCs w:val="24"/>
    </w:rPr>
  </w:style>
  <w:style w:type="paragraph" w:customStyle="1" w:styleId="Tabletitle2">
    <w:name w:val="Table title2"/>
    <w:basedOn w:val="Normal"/>
    <w:next w:val="Normal"/>
    <w:qFormat/>
    <w:rsid w:val="00557FD2"/>
    <w:pPr>
      <w:keepNext/>
      <w:pBdr>
        <w:bottom w:val="single" w:sz="18" w:space="1" w:color="A6A6A6" w:themeColor="background1" w:themeShade="A6"/>
      </w:pBdr>
      <w:spacing w:line="240" w:lineRule="auto"/>
    </w:pPr>
    <w:rPr>
      <w:rFonts w:ascii="Arial" w:eastAsia="Times New Roman" w:hAnsi="Arial" w:cs="Times New Roman"/>
      <w:b/>
      <w:szCs w:val="24"/>
    </w:rPr>
  </w:style>
  <w:style w:type="paragraph" w:customStyle="1" w:styleId="Tableheader2">
    <w:name w:val="Table header2"/>
    <w:basedOn w:val="Normal"/>
    <w:qFormat/>
    <w:rsid w:val="00557FD2"/>
    <w:pPr>
      <w:spacing w:line="240" w:lineRule="auto"/>
    </w:pPr>
    <w:rPr>
      <w:rFonts w:ascii="Arial" w:eastAsia="Times New Roman" w:hAnsi="Arial" w:cs="Times New Roman"/>
      <w:b/>
      <w:sz w:val="20"/>
    </w:rPr>
  </w:style>
  <w:style w:type="paragraph" w:customStyle="1" w:styleId="Tabletype2">
    <w:name w:val="Table type2"/>
    <w:basedOn w:val="Normal"/>
    <w:qFormat/>
    <w:rsid w:val="00557FD2"/>
    <w:pPr>
      <w:spacing w:line="240" w:lineRule="auto"/>
    </w:pPr>
    <w:rPr>
      <w:rFonts w:ascii="Arial" w:eastAsia="Times New Roman" w:hAnsi="Arial" w:cs="Times New Roman"/>
      <w:sz w:val="18"/>
      <w:szCs w:val="18"/>
    </w:rPr>
  </w:style>
  <w:style w:type="paragraph" w:customStyle="1" w:styleId="numberedtableheader3">
    <w:name w:val="numbered table header3"/>
    <w:basedOn w:val="Tableheader"/>
    <w:qFormat/>
    <w:rsid w:val="00557FD2"/>
    <w:pPr>
      <w:ind w:left="360" w:hanging="360"/>
    </w:pPr>
    <w:rPr>
      <w:sz w:val="18"/>
    </w:rPr>
  </w:style>
  <w:style w:type="paragraph" w:customStyle="1" w:styleId="StyleListParagraph9pt2">
    <w:name w:val="Style List Paragraph + 9 pt2"/>
    <w:basedOn w:val="ListParagraph"/>
    <w:rsid w:val="00557FD2"/>
    <w:pPr>
      <w:spacing w:before="120" w:line="240" w:lineRule="auto"/>
      <w:ind w:left="0"/>
    </w:pPr>
    <w:rPr>
      <w:rFonts w:ascii="Arial" w:eastAsia="Times New Roman" w:hAnsi="Arial" w:cs="Times New Roman"/>
      <w:sz w:val="18"/>
      <w:szCs w:val="24"/>
    </w:rPr>
  </w:style>
  <w:style w:type="paragraph" w:customStyle="1" w:styleId="Tablebullet1">
    <w:name w:val="Table bullet1"/>
    <w:basedOn w:val="Tabletype"/>
    <w:qFormat/>
    <w:rsid w:val="00557FD2"/>
    <w:pPr>
      <w:spacing w:after="0"/>
    </w:pPr>
  </w:style>
  <w:style w:type="character" w:customStyle="1" w:styleId="CommentTextChar3">
    <w:name w:val="Comment Text Char3"/>
    <w:basedOn w:val="DefaultParagraphFont"/>
    <w:uiPriority w:val="99"/>
    <w:rsid w:val="00557FD2"/>
    <w:rPr>
      <w:sz w:val="20"/>
      <w:szCs w:val="20"/>
    </w:rPr>
  </w:style>
  <w:style w:type="character" w:customStyle="1" w:styleId="CommentSubjectChar3">
    <w:name w:val="Comment Subject Char3"/>
    <w:basedOn w:val="CommentTextChar"/>
    <w:uiPriority w:val="99"/>
    <w:semiHidden/>
    <w:rsid w:val="00557FD2"/>
    <w:rPr>
      <w:b/>
      <w:bCs/>
      <w:sz w:val="20"/>
      <w:szCs w:val="20"/>
    </w:rPr>
  </w:style>
  <w:style w:type="paragraph" w:customStyle="1" w:styleId="TableParagraph1">
    <w:name w:val="Table Paragraph1"/>
    <w:basedOn w:val="Normal"/>
    <w:uiPriority w:val="1"/>
    <w:qFormat/>
    <w:rsid w:val="00557FD2"/>
    <w:pPr>
      <w:widowControl w:val="0"/>
      <w:autoSpaceDE w:val="0"/>
      <w:autoSpaceDN w:val="0"/>
      <w:spacing w:before="75" w:after="0" w:line="240" w:lineRule="auto"/>
      <w:jc w:val="right"/>
    </w:pPr>
    <w:rPr>
      <w:rFonts w:ascii="Arial" w:eastAsia="Arial" w:hAnsi="Arial" w:cs="Arial"/>
      <w:sz w:val="22"/>
      <w:lang w:val="en-US"/>
    </w:rPr>
  </w:style>
  <w:style w:type="character" w:customStyle="1" w:styleId="st1">
    <w:name w:val="st1"/>
    <w:basedOn w:val="DefaultParagraphFont"/>
    <w:rsid w:val="00557FD2"/>
  </w:style>
  <w:style w:type="character" w:customStyle="1" w:styleId="font712">
    <w:name w:val="font712"/>
    <w:basedOn w:val="DefaultParagraphFont"/>
    <w:rsid w:val="00557FD2"/>
    <w:rPr>
      <w:rFonts w:ascii="Calibri" w:hAnsi="Calibri" w:cs="Calibri" w:hint="default"/>
      <w:b w:val="0"/>
      <w:bCs w:val="0"/>
      <w:i w:val="0"/>
      <w:iCs w:val="0"/>
      <w:strike w:val="0"/>
      <w:dstrike w:val="0"/>
      <w:color w:val="4472C4"/>
      <w:sz w:val="20"/>
      <w:szCs w:val="20"/>
      <w:u w:val="none"/>
      <w:effect w:val="none"/>
    </w:rPr>
  </w:style>
  <w:style w:type="character" w:customStyle="1" w:styleId="Heading1Char6">
    <w:name w:val="Heading 1 Char6"/>
    <w:basedOn w:val="DefaultParagraphFont"/>
    <w:uiPriority w:val="9"/>
    <w:rsid w:val="00557FD2"/>
    <w:rPr>
      <w:rFonts w:eastAsiaTheme="majorEastAsia" w:cstheme="majorBidi"/>
      <w:b/>
      <w:color w:val="4472C4" w:themeColor="accent1"/>
      <w:sz w:val="40"/>
      <w:szCs w:val="32"/>
    </w:rPr>
  </w:style>
  <w:style w:type="character" w:customStyle="1" w:styleId="Heading2Char6">
    <w:name w:val="Heading 2 Char6"/>
    <w:basedOn w:val="DefaultParagraphFont"/>
    <w:uiPriority w:val="9"/>
    <w:rsid w:val="00557FD2"/>
    <w:rPr>
      <w:rFonts w:eastAsiaTheme="majorEastAsia" w:cstheme="majorBidi"/>
      <w:b/>
      <w:color w:val="2F5496" w:themeColor="accent1" w:themeShade="BF"/>
      <w:sz w:val="36"/>
      <w:szCs w:val="26"/>
    </w:rPr>
  </w:style>
  <w:style w:type="character" w:customStyle="1" w:styleId="Heading3Char6">
    <w:name w:val="Heading 3 Char6"/>
    <w:basedOn w:val="DefaultParagraphFont"/>
    <w:uiPriority w:val="9"/>
    <w:rsid w:val="00557FD2"/>
    <w:rPr>
      <w:rFonts w:eastAsiaTheme="majorEastAsia" w:cstheme="majorBidi"/>
      <w:b/>
      <w:color w:val="2E74B5" w:themeColor="accent5" w:themeShade="BF"/>
      <w:sz w:val="32"/>
      <w:szCs w:val="24"/>
    </w:rPr>
  </w:style>
  <w:style w:type="character" w:customStyle="1" w:styleId="Heading4Char4">
    <w:name w:val="Heading 4 Char4"/>
    <w:basedOn w:val="DefaultParagraphFont"/>
    <w:uiPriority w:val="9"/>
    <w:rsid w:val="00557FD2"/>
    <w:rPr>
      <w:rFonts w:eastAsiaTheme="majorEastAsia" w:cstheme="majorBidi"/>
      <w:b/>
      <w:iCs/>
      <w:color w:val="2F5496" w:themeColor="accent1" w:themeShade="BF"/>
      <w:sz w:val="28"/>
    </w:rPr>
  </w:style>
  <w:style w:type="character" w:customStyle="1" w:styleId="FooterChar6">
    <w:name w:val="Footer Char6"/>
    <w:basedOn w:val="DefaultParagraphFont"/>
    <w:uiPriority w:val="99"/>
    <w:rsid w:val="00557FD2"/>
    <w:rPr>
      <w:rFonts w:eastAsia="Times New Roman" w:cs="Times New Roman"/>
      <w:sz w:val="24"/>
      <w:szCs w:val="24"/>
      <w:lang w:eastAsia="en-AU"/>
    </w:rPr>
  </w:style>
  <w:style w:type="character" w:customStyle="1" w:styleId="ListParagraphChar4">
    <w:name w:val="List Paragraph Char4"/>
    <w:aliases w:val="Normal-Heading Char4,List Paragraph1 Char4,Recommendation Char4,Bullet point Char4,List Paragraph11 Char4,List Paragraph Number Char4,L Char4"/>
    <w:basedOn w:val="DefaultParagraphFont"/>
    <w:uiPriority w:val="34"/>
    <w:rsid w:val="00557FD2"/>
    <w:rPr>
      <w:sz w:val="24"/>
    </w:rPr>
  </w:style>
  <w:style w:type="character" w:customStyle="1" w:styleId="HeaderChar4">
    <w:name w:val="Header Char4"/>
    <w:basedOn w:val="DefaultParagraphFont"/>
    <w:uiPriority w:val="99"/>
    <w:rsid w:val="00557FD2"/>
    <w:rPr>
      <w:rFonts w:cs="Times New Roman"/>
      <w:sz w:val="24"/>
      <w:szCs w:val="24"/>
      <w:lang w:val="en-US"/>
    </w:rPr>
  </w:style>
  <w:style w:type="character" w:customStyle="1" w:styleId="BalloonTextChar4">
    <w:name w:val="Balloon Text Char4"/>
    <w:basedOn w:val="DefaultParagraphFont"/>
    <w:uiPriority w:val="99"/>
    <w:semiHidden/>
    <w:rsid w:val="00557FD2"/>
    <w:rPr>
      <w:rFonts w:ascii="Segoe UI" w:hAnsi="Segoe UI" w:cs="Segoe UI"/>
      <w:sz w:val="18"/>
      <w:szCs w:val="18"/>
    </w:rPr>
  </w:style>
  <w:style w:type="table" w:customStyle="1" w:styleId="ListTable3-Accent513">
    <w:name w:val="List Table 3 - Accent 513"/>
    <w:basedOn w:val="TableNormal"/>
    <w:uiPriority w:val="48"/>
    <w:rsid w:val="00557FD2"/>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Default4">
    <w:name w:val="Default4"/>
    <w:rsid w:val="00557FD2"/>
    <w:pPr>
      <w:autoSpaceDE w:val="0"/>
      <w:autoSpaceDN w:val="0"/>
      <w:adjustRightInd w:val="0"/>
      <w:spacing w:after="0" w:line="240" w:lineRule="auto"/>
    </w:pPr>
    <w:rPr>
      <w:rFonts w:ascii="Arial" w:hAnsi="Arial" w:cs="Arial"/>
      <w:color w:val="000000"/>
      <w:sz w:val="24"/>
      <w:szCs w:val="24"/>
    </w:rPr>
  </w:style>
  <w:style w:type="paragraph" w:customStyle="1" w:styleId="Tabletitle3">
    <w:name w:val="Table title3"/>
    <w:basedOn w:val="Normal"/>
    <w:next w:val="Normal"/>
    <w:qFormat/>
    <w:rsid w:val="00557FD2"/>
    <w:pPr>
      <w:keepNext/>
      <w:pBdr>
        <w:bottom w:val="single" w:sz="18" w:space="1" w:color="A6A6A6" w:themeColor="background1" w:themeShade="A6"/>
      </w:pBdr>
      <w:spacing w:after="200" w:line="240" w:lineRule="auto"/>
    </w:pPr>
    <w:rPr>
      <w:rFonts w:ascii="Arial" w:eastAsia="Times New Roman" w:hAnsi="Arial" w:cs="Times New Roman"/>
      <w:b/>
      <w:szCs w:val="24"/>
    </w:rPr>
  </w:style>
  <w:style w:type="paragraph" w:customStyle="1" w:styleId="Tableheader3">
    <w:name w:val="Table header3"/>
    <w:basedOn w:val="Normal"/>
    <w:qFormat/>
    <w:rsid w:val="00557FD2"/>
    <w:pPr>
      <w:spacing w:after="200" w:line="240" w:lineRule="auto"/>
    </w:pPr>
    <w:rPr>
      <w:rFonts w:ascii="Arial" w:eastAsia="Times New Roman" w:hAnsi="Arial" w:cs="Times New Roman"/>
      <w:b/>
      <w:sz w:val="20"/>
    </w:rPr>
  </w:style>
  <w:style w:type="paragraph" w:customStyle="1" w:styleId="Tabletype3">
    <w:name w:val="Table type3"/>
    <w:basedOn w:val="Normal"/>
    <w:qFormat/>
    <w:rsid w:val="00557FD2"/>
    <w:pPr>
      <w:spacing w:after="200" w:line="240" w:lineRule="auto"/>
    </w:pPr>
    <w:rPr>
      <w:rFonts w:ascii="Arial" w:eastAsia="Times New Roman" w:hAnsi="Arial" w:cs="Times New Roman"/>
      <w:sz w:val="18"/>
      <w:szCs w:val="18"/>
    </w:rPr>
  </w:style>
  <w:style w:type="paragraph" w:customStyle="1" w:styleId="numberedtableheader4">
    <w:name w:val="numbered table header4"/>
    <w:basedOn w:val="Tableheader"/>
    <w:qFormat/>
    <w:rsid w:val="00557FD2"/>
    <w:pPr>
      <w:spacing w:after="200"/>
      <w:ind w:left="360" w:hanging="360"/>
    </w:pPr>
    <w:rPr>
      <w:sz w:val="18"/>
    </w:rPr>
  </w:style>
  <w:style w:type="paragraph" w:customStyle="1" w:styleId="StyleListParagraph9pt3">
    <w:name w:val="Style List Paragraph + 9 pt3"/>
    <w:basedOn w:val="ListParagraph"/>
    <w:rsid w:val="00557FD2"/>
    <w:pPr>
      <w:spacing w:before="120" w:after="200" w:line="240" w:lineRule="auto"/>
      <w:ind w:left="0"/>
    </w:pPr>
    <w:rPr>
      <w:rFonts w:ascii="Arial" w:eastAsia="Times New Roman" w:hAnsi="Arial" w:cs="Times New Roman"/>
      <w:sz w:val="18"/>
      <w:szCs w:val="24"/>
    </w:rPr>
  </w:style>
  <w:style w:type="paragraph" w:customStyle="1" w:styleId="Tablebullet2">
    <w:name w:val="Table bullet2"/>
    <w:basedOn w:val="Tabletype"/>
    <w:qFormat/>
    <w:rsid w:val="00557FD2"/>
    <w:pPr>
      <w:spacing w:after="0"/>
    </w:pPr>
  </w:style>
  <w:style w:type="character" w:customStyle="1" w:styleId="Mention12">
    <w:name w:val="Mention12"/>
    <w:basedOn w:val="DefaultParagraphFont"/>
    <w:uiPriority w:val="99"/>
    <w:semiHidden/>
    <w:unhideWhenUsed/>
    <w:rsid w:val="00557FD2"/>
    <w:rPr>
      <w:color w:val="2B579A"/>
      <w:shd w:val="clear" w:color="auto" w:fill="E6E6E6"/>
    </w:rPr>
  </w:style>
  <w:style w:type="character" w:customStyle="1" w:styleId="CommentTextChar4">
    <w:name w:val="Comment Text Char4"/>
    <w:basedOn w:val="DefaultParagraphFont"/>
    <w:uiPriority w:val="99"/>
    <w:rsid w:val="00557FD2"/>
    <w:rPr>
      <w:sz w:val="20"/>
      <w:szCs w:val="20"/>
    </w:rPr>
  </w:style>
  <w:style w:type="character" w:customStyle="1" w:styleId="CommentSubjectChar4">
    <w:name w:val="Comment Subject Char4"/>
    <w:basedOn w:val="CommentTextChar"/>
    <w:uiPriority w:val="99"/>
    <w:semiHidden/>
    <w:rsid w:val="00557FD2"/>
    <w:rPr>
      <w:b/>
      <w:bCs/>
      <w:sz w:val="20"/>
      <w:szCs w:val="20"/>
    </w:rPr>
  </w:style>
  <w:style w:type="character" w:customStyle="1" w:styleId="font5811">
    <w:name w:val="font5811"/>
    <w:basedOn w:val="DefaultParagraphFont"/>
    <w:rsid w:val="00557FD2"/>
    <w:rPr>
      <w:rFonts w:ascii="Calibri" w:hAnsi="Calibri" w:cs="Calibri" w:hint="default"/>
      <w:b w:val="0"/>
      <w:bCs w:val="0"/>
      <w:i w:val="0"/>
      <w:iCs w:val="0"/>
      <w:strike w:val="0"/>
      <w:dstrike w:val="0"/>
      <w:color w:val="000000"/>
      <w:sz w:val="20"/>
      <w:szCs w:val="20"/>
      <w:u w:val="none"/>
      <w:effect w:val="none"/>
    </w:rPr>
  </w:style>
  <w:style w:type="character" w:customStyle="1" w:styleId="font713">
    <w:name w:val="font713"/>
    <w:basedOn w:val="DefaultParagraphFont"/>
    <w:rsid w:val="00557FD2"/>
    <w:rPr>
      <w:rFonts w:ascii="Calibri" w:hAnsi="Calibri" w:cs="Calibri" w:hint="default"/>
      <w:b w:val="0"/>
      <w:bCs w:val="0"/>
      <w:i w:val="0"/>
      <w:iCs w:val="0"/>
      <w:strike w:val="0"/>
      <w:dstrike w:val="0"/>
      <w:color w:val="000000"/>
      <w:sz w:val="22"/>
      <w:szCs w:val="22"/>
      <w:u w:val="none"/>
      <w:effect w:val="none"/>
    </w:rPr>
  </w:style>
  <w:style w:type="character" w:customStyle="1" w:styleId="font1711">
    <w:name w:val="font1711"/>
    <w:basedOn w:val="DefaultParagraphFont"/>
    <w:rsid w:val="00557FD2"/>
    <w:rPr>
      <w:rFonts w:ascii="Calibri" w:hAnsi="Calibri" w:cs="Calibri" w:hint="default"/>
      <w:b w:val="0"/>
      <w:bCs w:val="0"/>
      <w:i w:val="0"/>
      <w:iCs w:val="0"/>
      <w:strike w:val="0"/>
      <w:dstrike w:val="0"/>
      <w:color w:val="000000"/>
      <w:sz w:val="20"/>
      <w:szCs w:val="20"/>
      <w:u w:val="none"/>
      <w:effect w:val="none"/>
    </w:rPr>
  </w:style>
  <w:style w:type="character" w:customStyle="1" w:styleId="Heading1Char7">
    <w:name w:val="Heading 1 Char7"/>
    <w:basedOn w:val="DefaultParagraphFont"/>
    <w:uiPriority w:val="9"/>
    <w:rsid w:val="00557FD2"/>
    <w:rPr>
      <w:rFonts w:eastAsiaTheme="majorEastAsia" w:cstheme="majorBidi"/>
      <w:b/>
      <w:color w:val="4472C4" w:themeColor="accent1"/>
      <w:sz w:val="40"/>
      <w:szCs w:val="32"/>
    </w:rPr>
  </w:style>
  <w:style w:type="character" w:customStyle="1" w:styleId="Heading2Char7">
    <w:name w:val="Heading 2 Char7"/>
    <w:basedOn w:val="DefaultParagraphFont"/>
    <w:uiPriority w:val="9"/>
    <w:rsid w:val="00557FD2"/>
    <w:rPr>
      <w:rFonts w:eastAsiaTheme="majorEastAsia" w:cstheme="majorBidi"/>
      <w:b/>
      <w:color w:val="2F5496" w:themeColor="accent1" w:themeShade="BF"/>
      <w:sz w:val="36"/>
      <w:szCs w:val="26"/>
    </w:rPr>
  </w:style>
  <w:style w:type="character" w:customStyle="1" w:styleId="Heading3Char7">
    <w:name w:val="Heading 3 Char7"/>
    <w:basedOn w:val="DefaultParagraphFont"/>
    <w:uiPriority w:val="9"/>
    <w:rsid w:val="00557FD2"/>
    <w:rPr>
      <w:rFonts w:eastAsiaTheme="majorEastAsia" w:cstheme="majorBidi"/>
      <w:b/>
      <w:color w:val="2E74B5" w:themeColor="accent5" w:themeShade="BF"/>
      <w:sz w:val="32"/>
      <w:szCs w:val="24"/>
    </w:rPr>
  </w:style>
  <w:style w:type="character" w:customStyle="1" w:styleId="FooterChar7">
    <w:name w:val="Footer Char7"/>
    <w:basedOn w:val="DefaultParagraphFont"/>
    <w:uiPriority w:val="99"/>
    <w:rsid w:val="00557FD2"/>
    <w:rPr>
      <w:rFonts w:eastAsia="Times New Roman" w:cs="Times New Roman"/>
      <w:sz w:val="24"/>
      <w:szCs w:val="24"/>
      <w:lang w:eastAsia="en-AU"/>
    </w:rPr>
  </w:style>
  <w:style w:type="character" w:customStyle="1" w:styleId="ListParagraphChar5">
    <w:name w:val="List Paragraph Char5"/>
    <w:aliases w:val="Normal-Heading Char5,List Paragraph1 Char5,Recommendation Char5,Bullet point Char5,List Paragraph11 Char5,List Paragraph Number Char5,L Char5"/>
    <w:basedOn w:val="DefaultParagraphFont"/>
    <w:uiPriority w:val="34"/>
    <w:rsid w:val="00557FD2"/>
    <w:rPr>
      <w:sz w:val="24"/>
    </w:rPr>
  </w:style>
  <w:style w:type="character" w:customStyle="1" w:styleId="HeaderChar5">
    <w:name w:val="Header Char5"/>
    <w:basedOn w:val="DefaultParagraphFont"/>
    <w:uiPriority w:val="99"/>
    <w:rsid w:val="00557FD2"/>
    <w:rPr>
      <w:rFonts w:cs="Times New Roman"/>
      <w:sz w:val="24"/>
      <w:szCs w:val="24"/>
      <w:lang w:val="en-US"/>
    </w:rPr>
  </w:style>
  <w:style w:type="character" w:customStyle="1" w:styleId="BalloonTextChar5">
    <w:name w:val="Balloon Text Char5"/>
    <w:basedOn w:val="DefaultParagraphFont"/>
    <w:uiPriority w:val="99"/>
    <w:semiHidden/>
    <w:rsid w:val="00557FD2"/>
    <w:rPr>
      <w:rFonts w:ascii="Segoe UI" w:hAnsi="Segoe UI" w:cs="Segoe UI"/>
      <w:sz w:val="18"/>
      <w:szCs w:val="18"/>
    </w:rPr>
  </w:style>
  <w:style w:type="table" w:customStyle="1" w:styleId="ListTable3-Accent514">
    <w:name w:val="List Table 3 - Accent 514"/>
    <w:basedOn w:val="TableNormal"/>
    <w:uiPriority w:val="48"/>
    <w:rsid w:val="00557FD2"/>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Default5">
    <w:name w:val="Default5"/>
    <w:rsid w:val="00557FD2"/>
    <w:pPr>
      <w:autoSpaceDE w:val="0"/>
      <w:autoSpaceDN w:val="0"/>
      <w:adjustRightInd w:val="0"/>
      <w:spacing w:after="0" w:line="240" w:lineRule="auto"/>
    </w:pPr>
    <w:rPr>
      <w:rFonts w:ascii="Arial" w:hAnsi="Arial" w:cs="Arial"/>
      <w:color w:val="000000"/>
      <w:sz w:val="24"/>
      <w:szCs w:val="24"/>
    </w:rPr>
  </w:style>
  <w:style w:type="paragraph" w:customStyle="1" w:styleId="Tabletitle4">
    <w:name w:val="Table title4"/>
    <w:basedOn w:val="Normal"/>
    <w:next w:val="Normal"/>
    <w:qFormat/>
    <w:rsid w:val="00557FD2"/>
    <w:pPr>
      <w:keepNext/>
      <w:pBdr>
        <w:bottom w:val="single" w:sz="18" w:space="1" w:color="A6A6A6" w:themeColor="background1" w:themeShade="A6"/>
      </w:pBdr>
      <w:spacing w:line="240" w:lineRule="auto"/>
    </w:pPr>
    <w:rPr>
      <w:rFonts w:ascii="Arial" w:eastAsia="Times New Roman" w:hAnsi="Arial" w:cs="Times New Roman"/>
      <w:b/>
      <w:szCs w:val="24"/>
    </w:rPr>
  </w:style>
  <w:style w:type="paragraph" w:customStyle="1" w:styleId="Tableheader4">
    <w:name w:val="Table header4"/>
    <w:basedOn w:val="Normal"/>
    <w:qFormat/>
    <w:rsid w:val="00557FD2"/>
    <w:pPr>
      <w:spacing w:line="240" w:lineRule="auto"/>
    </w:pPr>
    <w:rPr>
      <w:rFonts w:ascii="Arial" w:eastAsia="Times New Roman" w:hAnsi="Arial" w:cs="Times New Roman"/>
      <w:b/>
      <w:sz w:val="20"/>
    </w:rPr>
  </w:style>
  <w:style w:type="paragraph" w:customStyle="1" w:styleId="Tabletype4">
    <w:name w:val="Table type4"/>
    <w:basedOn w:val="Normal"/>
    <w:qFormat/>
    <w:rsid w:val="00557FD2"/>
    <w:pPr>
      <w:spacing w:line="240" w:lineRule="auto"/>
    </w:pPr>
    <w:rPr>
      <w:rFonts w:ascii="Arial" w:eastAsia="Times New Roman" w:hAnsi="Arial" w:cs="Times New Roman"/>
      <w:sz w:val="18"/>
      <w:szCs w:val="18"/>
    </w:rPr>
  </w:style>
  <w:style w:type="paragraph" w:customStyle="1" w:styleId="numberedtableheader5">
    <w:name w:val="numbered table header5"/>
    <w:basedOn w:val="Tableheader"/>
    <w:qFormat/>
    <w:rsid w:val="00557FD2"/>
    <w:pPr>
      <w:ind w:left="360" w:hanging="360"/>
    </w:pPr>
    <w:rPr>
      <w:sz w:val="18"/>
    </w:rPr>
  </w:style>
  <w:style w:type="paragraph" w:customStyle="1" w:styleId="StyleListParagraph9pt4">
    <w:name w:val="Style List Paragraph + 9 pt4"/>
    <w:basedOn w:val="ListParagraph"/>
    <w:rsid w:val="00557FD2"/>
    <w:pPr>
      <w:spacing w:before="120" w:line="240" w:lineRule="auto"/>
      <w:ind w:left="0"/>
    </w:pPr>
    <w:rPr>
      <w:rFonts w:ascii="Arial" w:eastAsia="Times New Roman" w:hAnsi="Arial" w:cs="Times New Roman"/>
      <w:sz w:val="18"/>
      <w:szCs w:val="24"/>
    </w:rPr>
  </w:style>
  <w:style w:type="paragraph" w:customStyle="1" w:styleId="Tablebullet3">
    <w:name w:val="Table bullet3"/>
    <w:basedOn w:val="Tabletype"/>
    <w:qFormat/>
    <w:rsid w:val="00557FD2"/>
    <w:pPr>
      <w:spacing w:after="0"/>
    </w:pPr>
  </w:style>
  <w:style w:type="character" w:customStyle="1" w:styleId="Mention13">
    <w:name w:val="Mention13"/>
    <w:basedOn w:val="DefaultParagraphFont"/>
    <w:uiPriority w:val="99"/>
    <w:semiHidden/>
    <w:unhideWhenUsed/>
    <w:rsid w:val="00557FD2"/>
    <w:rPr>
      <w:color w:val="2B579A"/>
      <w:shd w:val="clear" w:color="auto" w:fill="E6E6E6"/>
    </w:rPr>
  </w:style>
  <w:style w:type="paragraph" w:customStyle="1" w:styleId="Tabletext2">
    <w:name w:val="Tabletext2"/>
    <w:aliases w:val="tt2"/>
    <w:basedOn w:val="Normal"/>
    <w:rsid w:val="00557FD2"/>
    <w:pPr>
      <w:spacing w:before="60" w:after="0" w:line="240" w:lineRule="atLeast"/>
    </w:pPr>
    <w:rPr>
      <w:rFonts w:ascii="Times New Roman" w:eastAsia="Times New Roman" w:hAnsi="Times New Roman" w:cs="Times New Roman"/>
      <w:sz w:val="20"/>
      <w:szCs w:val="20"/>
      <w:lang w:eastAsia="en-AU"/>
    </w:rPr>
  </w:style>
  <w:style w:type="paragraph" w:customStyle="1" w:styleId="Tablea">
    <w:name w:val="Table(a)"/>
    <w:aliases w:val="ta"/>
    <w:basedOn w:val="Normal"/>
    <w:rsid w:val="00557FD2"/>
    <w:pPr>
      <w:spacing w:before="60" w:after="0" w:line="240" w:lineRule="auto"/>
      <w:ind w:left="284" w:hanging="284"/>
    </w:pPr>
    <w:rPr>
      <w:rFonts w:ascii="Times New Roman" w:eastAsia="Times New Roman" w:hAnsi="Times New Roman" w:cs="Times New Roman"/>
      <w:sz w:val="20"/>
      <w:szCs w:val="20"/>
      <w:lang w:eastAsia="en-AU"/>
    </w:rPr>
  </w:style>
  <w:style w:type="character" w:customStyle="1" w:styleId="Heading5Char1">
    <w:name w:val="Heading 5 Char1"/>
    <w:basedOn w:val="DefaultParagraphFont"/>
    <w:uiPriority w:val="9"/>
    <w:semiHidden/>
    <w:rsid w:val="00557FD2"/>
    <w:rPr>
      <w:rFonts w:asciiTheme="majorHAnsi" w:eastAsiaTheme="majorEastAsia" w:hAnsiTheme="majorHAnsi" w:cstheme="majorBidi"/>
      <w:color w:val="2F5496" w:themeColor="accent1" w:themeShade="BF"/>
      <w:sz w:val="24"/>
    </w:rPr>
  </w:style>
  <w:style w:type="character" w:customStyle="1" w:styleId="CommentTextChar5">
    <w:name w:val="Comment Text Char5"/>
    <w:basedOn w:val="DefaultParagraphFont"/>
    <w:uiPriority w:val="99"/>
    <w:semiHidden/>
    <w:rsid w:val="00557FD2"/>
    <w:rPr>
      <w:sz w:val="20"/>
      <w:szCs w:val="20"/>
    </w:rPr>
  </w:style>
  <w:style w:type="character" w:customStyle="1" w:styleId="CommentSubjectChar5">
    <w:name w:val="Comment Subject Char5"/>
    <w:basedOn w:val="CommentTextChar"/>
    <w:uiPriority w:val="99"/>
    <w:semiHidden/>
    <w:rsid w:val="00557FD2"/>
    <w:rPr>
      <w:b/>
      <w:bCs/>
      <w:sz w:val="20"/>
      <w:szCs w:val="20"/>
    </w:rPr>
  </w:style>
  <w:style w:type="paragraph" w:styleId="TOC4">
    <w:name w:val="toc 4"/>
    <w:basedOn w:val="Normal"/>
    <w:next w:val="Normal"/>
    <w:autoRedefine/>
    <w:uiPriority w:val="39"/>
    <w:unhideWhenUsed/>
    <w:rsid w:val="00557FD2"/>
    <w:pPr>
      <w:spacing w:after="100" w:line="259" w:lineRule="auto"/>
      <w:ind w:left="660"/>
    </w:pPr>
    <w:rPr>
      <w:rFonts w:eastAsiaTheme="minorEastAsia"/>
      <w:sz w:val="22"/>
      <w:lang w:eastAsia="en-AU"/>
    </w:rPr>
  </w:style>
  <w:style w:type="paragraph" w:styleId="TOC5">
    <w:name w:val="toc 5"/>
    <w:basedOn w:val="Normal"/>
    <w:next w:val="Normal"/>
    <w:autoRedefine/>
    <w:uiPriority w:val="39"/>
    <w:unhideWhenUsed/>
    <w:rsid w:val="00557FD2"/>
    <w:pPr>
      <w:spacing w:after="100" w:line="259" w:lineRule="auto"/>
      <w:ind w:left="880"/>
    </w:pPr>
    <w:rPr>
      <w:rFonts w:eastAsiaTheme="minorEastAsia"/>
      <w:sz w:val="22"/>
      <w:lang w:eastAsia="en-AU"/>
    </w:rPr>
  </w:style>
  <w:style w:type="paragraph" w:styleId="TOC6">
    <w:name w:val="toc 6"/>
    <w:basedOn w:val="Normal"/>
    <w:next w:val="Normal"/>
    <w:autoRedefine/>
    <w:uiPriority w:val="39"/>
    <w:unhideWhenUsed/>
    <w:rsid w:val="00557FD2"/>
    <w:pPr>
      <w:spacing w:after="100" w:line="259" w:lineRule="auto"/>
      <w:ind w:left="1100"/>
    </w:pPr>
    <w:rPr>
      <w:rFonts w:eastAsiaTheme="minorEastAsia"/>
      <w:sz w:val="22"/>
      <w:lang w:eastAsia="en-AU"/>
    </w:rPr>
  </w:style>
  <w:style w:type="paragraph" w:styleId="TOC7">
    <w:name w:val="toc 7"/>
    <w:basedOn w:val="Normal"/>
    <w:next w:val="Normal"/>
    <w:autoRedefine/>
    <w:uiPriority w:val="39"/>
    <w:unhideWhenUsed/>
    <w:rsid w:val="00557FD2"/>
    <w:pPr>
      <w:spacing w:after="100" w:line="259" w:lineRule="auto"/>
      <w:ind w:left="1320"/>
    </w:pPr>
    <w:rPr>
      <w:rFonts w:eastAsiaTheme="minorEastAsia"/>
      <w:sz w:val="22"/>
      <w:lang w:eastAsia="en-AU"/>
    </w:rPr>
  </w:style>
  <w:style w:type="paragraph" w:styleId="TOC8">
    <w:name w:val="toc 8"/>
    <w:basedOn w:val="Normal"/>
    <w:next w:val="Normal"/>
    <w:autoRedefine/>
    <w:uiPriority w:val="39"/>
    <w:unhideWhenUsed/>
    <w:rsid w:val="00557FD2"/>
    <w:pPr>
      <w:spacing w:after="100" w:line="259" w:lineRule="auto"/>
      <w:ind w:left="1540"/>
    </w:pPr>
    <w:rPr>
      <w:rFonts w:eastAsiaTheme="minorEastAsia"/>
      <w:sz w:val="22"/>
      <w:lang w:eastAsia="en-AU"/>
    </w:rPr>
  </w:style>
  <w:style w:type="paragraph" w:styleId="TOC9">
    <w:name w:val="toc 9"/>
    <w:basedOn w:val="Normal"/>
    <w:next w:val="Normal"/>
    <w:autoRedefine/>
    <w:uiPriority w:val="39"/>
    <w:unhideWhenUsed/>
    <w:rsid w:val="00557FD2"/>
    <w:pPr>
      <w:spacing w:after="100" w:line="259" w:lineRule="auto"/>
      <w:ind w:left="1760"/>
    </w:pPr>
    <w:rPr>
      <w:rFonts w:eastAsiaTheme="minorEastAsia"/>
      <w:sz w:val="22"/>
      <w:lang w:eastAsia="en-AU"/>
    </w:rPr>
  </w:style>
  <w:style w:type="character" w:customStyle="1" w:styleId="UnresolvedMention1">
    <w:name w:val="Unresolved Mention1"/>
    <w:basedOn w:val="DefaultParagraphFont"/>
    <w:uiPriority w:val="99"/>
    <w:semiHidden/>
    <w:unhideWhenUsed/>
    <w:rsid w:val="00557FD2"/>
    <w:rPr>
      <w:color w:val="808080"/>
      <w:shd w:val="clear" w:color="auto" w:fill="E6E6E6"/>
    </w:rPr>
  </w:style>
  <w:style w:type="character" w:customStyle="1" w:styleId="Heading1Char8">
    <w:name w:val="Heading 1 Char8"/>
    <w:basedOn w:val="DefaultParagraphFont"/>
    <w:uiPriority w:val="9"/>
    <w:rsid w:val="00557FD2"/>
    <w:rPr>
      <w:rFonts w:eastAsiaTheme="majorEastAsia" w:cstheme="majorBidi"/>
      <w:b/>
      <w:color w:val="4472C4" w:themeColor="accent1"/>
      <w:sz w:val="40"/>
      <w:szCs w:val="32"/>
    </w:rPr>
  </w:style>
  <w:style w:type="character" w:customStyle="1" w:styleId="Heading2Char8">
    <w:name w:val="Heading 2 Char8"/>
    <w:basedOn w:val="DefaultParagraphFont"/>
    <w:uiPriority w:val="9"/>
    <w:rsid w:val="00557FD2"/>
    <w:rPr>
      <w:rFonts w:eastAsiaTheme="majorEastAsia" w:cstheme="majorBidi"/>
      <w:b/>
      <w:color w:val="2F5496" w:themeColor="accent1" w:themeShade="BF"/>
      <w:sz w:val="36"/>
      <w:szCs w:val="26"/>
    </w:rPr>
  </w:style>
  <w:style w:type="character" w:customStyle="1" w:styleId="Heading3Char8">
    <w:name w:val="Heading 3 Char8"/>
    <w:basedOn w:val="DefaultParagraphFont"/>
    <w:uiPriority w:val="9"/>
    <w:rsid w:val="00557FD2"/>
    <w:rPr>
      <w:rFonts w:ascii="Calibri" w:eastAsiaTheme="majorEastAsia" w:hAnsi="Calibri" w:cstheme="majorBidi"/>
      <w:b/>
      <w:color w:val="2E74B5" w:themeColor="accent5" w:themeShade="BF"/>
      <w:sz w:val="32"/>
      <w:szCs w:val="24"/>
    </w:rPr>
  </w:style>
  <w:style w:type="character" w:customStyle="1" w:styleId="FooterChar8">
    <w:name w:val="Footer Char8"/>
    <w:basedOn w:val="DefaultParagraphFont"/>
    <w:rsid w:val="00557FD2"/>
    <w:rPr>
      <w:rFonts w:eastAsia="Times New Roman" w:cs="Times New Roman"/>
      <w:sz w:val="24"/>
      <w:szCs w:val="24"/>
      <w:lang w:eastAsia="en-AU"/>
    </w:rPr>
  </w:style>
  <w:style w:type="character" w:customStyle="1" w:styleId="ListParagraphChar6">
    <w:name w:val="List Paragraph Char6"/>
    <w:aliases w:val="Normal-Heading Char6,List Paragraph1 Char6,Recommendation Char6,Bullet point Char6,List Paragraph11 Char6,List Paragraph Number Char6,L Char6"/>
    <w:basedOn w:val="DefaultParagraphFont"/>
    <w:uiPriority w:val="34"/>
    <w:rsid w:val="00557FD2"/>
    <w:rPr>
      <w:sz w:val="24"/>
    </w:rPr>
  </w:style>
  <w:style w:type="character" w:customStyle="1" w:styleId="HeaderChar6">
    <w:name w:val="Header Char6"/>
    <w:basedOn w:val="DefaultParagraphFont"/>
    <w:uiPriority w:val="99"/>
    <w:rsid w:val="00557FD2"/>
    <w:rPr>
      <w:rFonts w:cs="Times New Roman"/>
      <w:sz w:val="24"/>
      <w:szCs w:val="24"/>
      <w:lang w:val="en-US"/>
    </w:rPr>
  </w:style>
  <w:style w:type="character" w:customStyle="1" w:styleId="BalloonTextChar6">
    <w:name w:val="Balloon Text Char6"/>
    <w:basedOn w:val="DefaultParagraphFont"/>
    <w:uiPriority w:val="99"/>
    <w:semiHidden/>
    <w:rsid w:val="00557FD2"/>
    <w:rPr>
      <w:rFonts w:ascii="Segoe UI" w:hAnsi="Segoe UI" w:cs="Segoe UI"/>
      <w:sz w:val="18"/>
      <w:szCs w:val="18"/>
    </w:rPr>
  </w:style>
  <w:style w:type="table" w:customStyle="1" w:styleId="ListTable3-Accent515">
    <w:name w:val="List Table 3 - Accent 515"/>
    <w:basedOn w:val="TableNormal"/>
    <w:uiPriority w:val="48"/>
    <w:rsid w:val="00557FD2"/>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Default6">
    <w:name w:val="Default6"/>
    <w:rsid w:val="00557FD2"/>
    <w:pPr>
      <w:autoSpaceDE w:val="0"/>
      <w:autoSpaceDN w:val="0"/>
      <w:adjustRightInd w:val="0"/>
      <w:spacing w:after="0" w:line="240" w:lineRule="auto"/>
    </w:pPr>
    <w:rPr>
      <w:rFonts w:ascii="Arial" w:hAnsi="Arial" w:cs="Arial"/>
      <w:color w:val="000000"/>
      <w:sz w:val="24"/>
      <w:szCs w:val="24"/>
    </w:rPr>
  </w:style>
  <w:style w:type="paragraph" w:customStyle="1" w:styleId="Tabletitle5">
    <w:name w:val="Table title5"/>
    <w:basedOn w:val="Normal"/>
    <w:next w:val="Normal"/>
    <w:qFormat/>
    <w:rsid w:val="00557FD2"/>
    <w:pPr>
      <w:keepNext/>
      <w:pBdr>
        <w:bottom w:val="single" w:sz="18" w:space="1" w:color="A6A6A6" w:themeColor="background1" w:themeShade="A6"/>
      </w:pBdr>
      <w:spacing w:line="240" w:lineRule="auto"/>
    </w:pPr>
    <w:rPr>
      <w:rFonts w:ascii="Arial" w:eastAsia="Times New Roman" w:hAnsi="Arial" w:cs="Times New Roman"/>
      <w:b/>
      <w:szCs w:val="24"/>
    </w:rPr>
  </w:style>
  <w:style w:type="paragraph" w:customStyle="1" w:styleId="Tableheader5">
    <w:name w:val="Table header5"/>
    <w:basedOn w:val="Normal"/>
    <w:qFormat/>
    <w:rsid w:val="00557FD2"/>
    <w:pPr>
      <w:spacing w:line="240" w:lineRule="auto"/>
    </w:pPr>
    <w:rPr>
      <w:rFonts w:ascii="Arial" w:eastAsia="Times New Roman" w:hAnsi="Arial" w:cs="Times New Roman"/>
      <w:b/>
      <w:sz w:val="20"/>
    </w:rPr>
  </w:style>
  <w:style w:type="paragraph" w:customStyle="1" w:styleId="Tabletype5">
    <w:name w:val="Table type5"/>
    <w:basedOn w:val="Normal"/>
    <w:qFormat/>
    <w:rsid w:val="00557FD2"/>
    <w:pPr>
      <w:spacing w:line="240" w:lineRule="auto"/>
    </w:pPr>
    <w:rPr>
      <w:rFonts w:ascii="Arial" w:eastAsia="Times New Roman" w:hAnsi="Arial" w:cs="Times New Roman"/>
      <w:sz w:val="18"/>
      <w:szCs w:val="18"/>
    </w:rPr>
  </w:style>
  <w:style w:type="paragraph" w:customStyle="1" w:styleId="numberedtableheader6">
    <w:name w:val="numbered table header6"/>
    <w:basedOn w:val="Tableheader"/>
    <w:qFormat/>
    <w:rsid w:val="00557FD2"/>
    <w:pPr>
      <w:ind w:left="360" w:hanging="360"/>
    </w:pPr>
    <w:rPr>
      <w:sz w:val="18"/>
    </w:rPr>
  </w:style>
  <w:style w:type="paragraph" w:customStyle="1" w:styleId="StyleListParagraph9pt5">
    <w:name w:val="Style List Paragraph + 9 pt5"/>
    <w:basedOn w:val="ListParagraph"/>
    <w:rsid w:val="00557FD2"/>
    <w:pPr>
      <w:spacing w:before="120" w:line="240" w:lineRule="auto"/>
      <w:ind w:left="0"/>
    </w:pPr>
    <w:rPr>
      <w:rFonts w:ascii="Arial" w:eastAsia="Times New Roman" w:hAnsi="Arial" w:cs="Times New Roman"/>
      <w:sz w:val="18"/>
      <w:szCs w:val="24"/>
    </w:rPr>
  </w:style>
  <w:style w:type="paragraph" w:customStyle="1" w:styleId="Tablebullet4">
    <w:name w:val="Table bullet4"/>
    <w:basedOn w:val="Tabletype"/>
    <w:qFormat/>
    <w:rsid w:val="00557FD2"/>
    <w:pPr>
      <w:spacing w:after="0"/>
    </w:pPr>
  </w:style>
  <w:style w:type="character" w:customStyle="1" w:styleId="Mention14">
    <w:name w:val="Mention14"/>
    <w:basedOn w:val="DefaultParagraphFont"/>
    <w:uiPriority w:val="99"/>
    <w:semiHidden/>
    <w:unhideWhenUsed/>
    <w:rsid w:val="00557FD2"/>
    <w:rPr>
      <w:color w:val="2B579A"/>
      <w:shd w:val="clear" w:color="auto" w:fill="E6E6E6"/>
    </w:rPr>
  </w:style>
  <w:style w:type="paragraph" w:customStyle="1" w:styleId="Tabletext3">
    <w:name w:val="Tabletext3"/>
    <w:aliases w:val="tt3"/>
    <w:basedOn w:val="Normal"/>
    <w:rsid w:val="00557FD2"/>
    <w:pPr>
      <w:spacing w:before="60" w:after="0" w:line="240" w:lineRule="atLeast"/>
    </w:pPr>
    <w:rPr>
      <w:rFonts w:ascii="Times New Roman" w:eastAsia="Times New Roman" w:hAnsi="Times New Roman" w:cs="Times New Roman"/>
      <w:sz w:val="20"/>
      <w:szCs w:val="20"/>
      <w:lang w:eastAsia="en-AU"/>
    </w:rPr>
  </w:style>
  <w:style w:type="paragraph" w:customStyle="1" w:styleId="Tablea1">
    <w:name w:val="Table(a)1"/>
    <w:aliases w:val="ta1"/>
    <w:basedOn w:val="Normal"/>
    <w:rsid w:val="00557FD2"/>
    <w:pPr>
      <w:spacing w:before="60" w:after="0" w:line="240" w:lineRule="auto"/>
      <w:ind w:left="284" w:hanging="284"/>
    </w:pPr>
    <w:rPr>
      <w:rFonts w:ascii="Times New Roman" w:eastAsia="Times New Roman" w:hAnsi="Times New Roman" w:cs="Times New Roman"/>
      <w:sz w:val="20"/>
      <w:szCs w:val="20"/>
      <w:lang w:eastAsia="en-AU"/>
    </w:rPr>
  </w:style>
  <w:style w:type="character" w:customStyle="1" w:styleId="Heading5Char2">
    <w:name w:val="Heading 5 Char2"/>
    <w:basedOn w:val="DefaultParagraphFont"/>
    <w:uiPriority w:val="9"/>
    <w:semiHidden/>
    <w:rsid w:val="00557FD2"/>
    <w:rPr>
      <w:rFonts w:asciiTheme="majorHAnsi" w:eastAsiaTheme="majorEastAsia" w:hAnsiTheme="majorHAnsi" w:cstheme="majorBidi"/>
      <w:color w:val="2F5496" w:themeColor="accent1" w:themeShade="BF"/>
      <w:sz w:val="24"/>
    </w:rPr>
  </w:style>
  <w:style w:type="character" w:customStyle="1" w:styleId="CommentTextChar6">
    <w:name w:val="Comment Text Char6"/>
    <w:basedOn w:val="DefaultParagraphFont"/>
    <w:uiPriority w:val="99"/>
    <w:rsid w:val="00557FD2"/>
    <w:rPr>
      <w:sz w:val="20"/>
      <w:szCs w:val="20"/>
    </w:rPr>
  </w:style>
  <w:style w:type="character" w:customStyle="1" w:styleId="CommentSubjectChar6">
    <w:name w:val="Comment Subject Char6"/>
    <w:basedOn w:val="CommentTextChar"/>
    <w:uiPriority w:val="99"/>
    <w:semiHidden/>
    <w:rsid w:val="00557FD2"/>
    <w:rPr>
      <w:b/>
      <w:bCs/>
      <w:sz w:val="20"/>
      <w:szCs w:val="20"/>
    </w:rPr>
  </w:style>
  <w:style w:type="character" w:customStyle="1" w:styleId="BodyTextChar3">
    <w:name w:val="Body Text Char3"/>
    <w:basedOn w:val="DefaultParagraphFont"/>
    <w:rsid w:val="00557FD2"/>
    <w:rPr>
      <w:rFonts w:ascii="Times New Roman" w:eastAsia="Times New Roman" w:hAnsi="Times New Roman" w:cs="Times New Roman"/>
      <w:sz w:val="24"/>
      <w:szCs w:val="24"/>
      <w:lang w:eastAsia="en-AU"/>
    </w:rPr>
  </w:style>
  <w:style w:type="paragraph" w:customStyle="1" w:styleId="TableParagraph2">
    <w:name w:val="Table Paragraph2"/>
    <w:basedOn w:val="Normal"/>
    <w:uiPriority w:val="1"/>
    <w:qFormat/>
    <w:rsid w:val="00557FD2"/>
    <w:pPr>
      <w:widowControl w:val="0"/>
      <w:autoSpaceDE w:val="0"/>
      <w:autoSpaceDN w:val="0"/>
      <w:spacing w:before="13" w:after="0" w:line="240" w:lineRule="auto"/>
      <w:ind w:right="103"/>
      <w:jc w:val="right"/>
    </w:pPr>
    <w:rPr>
      <w:rFonts w:ascii="Tahoma" w:eastAsia="Tahoma" w:hAnsi="Tahoma" w:cs="Tahoma"/>
      <w:sz w:val="22"/>
      <w:lang w:val="en-US"/>
    </w:rPr>
  </w:style>
  <w:style w:type="paragraph" w:customStyle="1" w:styleId="Job">
    <w:name w:val="Job"/>
    <w:basedOn w:val="Normal"/>
    <w:autoRedefine/>
    <w:rsid w:val="00557FD2"/>
    <w:pPr>
      <w:spacing w:after="0" w:line="240" w:lineRule="auto"/>
    </w:pPr>
    <w:rPr>
      <w:rFonts w:ascii="Courier New" w:eastAsia="Times New Roman" w:hAnsi="Courier New" w:cs="Times New Roman"/>
      <w:b/>
      <w:color w:val="0000FF"/>
      <w:sz w:val="20"/>
      <w:szCs w:val="24"/>
      <w:lang w:val="fr-FR"/>
    </w:rPr>
  </w:style>
  <w:style w:type="character" w:customStyle="1" w:styleId="CaptionChar2">
    <w:name w:val="Caption Char2"/>
    <w:aliases w:val="c Char2,Caption Char Char Char Char Char Char Char Char12,Caption Char Char Char Char Char Char Char Char Char2,Caption Char Char Char Char Char Char Char12"/>
    <w:uiPriority w:val="35"/>
    <w:rsid w:val="00557FD2"/>
    <w:rPr>
      <w:rFonts w:ascii="Calibri" w:hAnsi="Calibri" w:cs="Times New Roman"/>
      <w:b/>
      <w:iCs/>
      <w:sz w:val="24"/>
      <w:szCs w:val="18"/>
    </w:rPr>
  </w:style>
  <w:style w:type="paragraph" w:customStyle="1" w:styleId="TableName2">
    <w:name w:val="Table Name2"/>
    <w:basedOn w:val="Normal"/>
    <w:rsid w:val="00557FD2"/>
    <w:pPr>
      <w:spacing w:before="240" w:line="240" w:lineRule="auto"/>
    </w:pPr>
    <w:rPr>
      <w:rFonts w:ascii="Arial" w:eastAsia="Times New Roman" w:hAnsi="Arial" w:cs="Tahoma"/>
      <w:b/>
      <w:i/>
      <w:sz w:val="22"/>
      <w:lang w:eastAsia="en-AU"/>
    </w:rPr>
  </w:style>
  <w:style w:type="character" w:customStyle="1" w:styleId="Heading2Char9">
    <w:name w:val="Heading 2 Char9"/>
    <w:basedOn w:val="DefaultParagraphFont"/>
    <w:uiPriority w:val="9"/>
    <w:rsid w:val="00557FD2"/>
    <w:rPr>
      <w:rFonts w:eastAsiaTheme="majorEastAsia" w:cstheme="majorBidi"/>
      <w:b/>
      <w:color w:val="2F5496" w:themeColor="accent1" w:themeShade="BF"/>
      <w:sz w:val="36"/>
      <w:szCs w:val="26"/>
    </w:rPr>
  </w:style>
  <w:style w:type="character" w:customStyle="1" w:styleId="Heading3Char9">
    <w:name w:val="Heading 3 Char9"/>
    <w:basedOn w:val="DefaultParagraphFont"/>
    <w:uiPriority w:val="9"/>
    <w:rsid w:val="00557FD2"/>
    <w:rPr>
      <w:rFonts w:asciiTheme="majorHAnsi" w:eastAsiaTheme="majorEastAsia" w:hAnsiTheme="majorHAnsi" w:cstheme="majorBidi"/>
      <w:color w:val="1F3763" w:themeColor="accent1" w:themeShade="7F"/>
      <w:sz w:val="24"/>
      <w:szCs w:val="24"/>
    </w:rPr>
  </w:style>
  <w:style w:type="character" w:customStyle="1" w:styleId="Heading1Char9">
    <w:name w:val="Heading 1 Char9"/>
    <w:basedOn w:val="DefaultParagraphFont"/>
    <w:uiPriority w:val="9"/>
    <w:rsid w:val="00557FD2"/>
    <w:rPr>
      <w:rFonts w:eastAsiaTheme="majorEastAsia" w:cstheme="majorBidi"/>
      <w:b/>
      <w:color w:val="2F5496" w:themeColor="accent1" w:themeShade="BF"/>
      <w:sz w:val="40"/>
      <w:szCs w:val="32"/>
    </w:rPr>
  </w:style>
  <w:style w:type="character" w:customStyle="1" w:styleId="ListParagraphChar7">
    <w:name w:val="List Paragraph Char7"/>
    <w:aliases w:val="Normal-Heading Char7,List Paragraph1 Char7,Recommendation Char7,Bullet point Char7,List Paragraph11 Char7,List Paragraph Number Char7,L Char7"/>
    <w:basedOn w:val="DefaultParagraphFont"/>
    <w:uiPriority w:val="34"/>
    <w:rsid w:val="00557FD2"/>
    <w:rPr>
      <w:sz w:val="24"/>
    </w:rPr>
  </w:style>
  <w:style w:type="character" w:customStyle="1" w:styleId="CaptionChar3">
    <w:name w:val="Caption Char3"/>
    <w:aliases w:val="c Char3,Caption Char Char Char Char Char Char Char Char13,Caption Char Char Char Char Char Char Char Char Char3,Caption Char Char Char Char Char Char Char13"/>
    <w:uiPriority w:val="35"/>
    <w:rsid w:val="00557FD2"/>
    <w:rPr>
      <w:rFonts w:ascii="Calibri" w:hAnsi="Calibri" w:cs="Times New Roman"/>
      <w:b/>
      <w:iCs/>
      <w:sz w:val="24"/>
      <w:szCs w:val="18"/>
    </w:rPr>
  </w:style>
  <w:style w:type="character" w:customStyle="1" w:styleId="FooterChar9">
    <w:name w:val="Footer Char9"/>
    <w:basedOn w:val="DefaultParagraphFont"/>
    <w:uiPriority w:val="99"/>
    <w:rsid w:val="00557FD2"/>
    <w:rPr>
      <w:rFonts w:eastAsia="Times New Roman" w:cs="Times New Roman"/>
      <w:sz w:val="24"/>
      <w:szCs w:val="24"/>
      <w:lang w:eastAsia="en-AU"/>
    </w:rPr>
  </w:style>
  <w:style w:type="character" w:customStyle="1" w:styleId="HeaderChar7">
    <w:name w:val="Header Char7"/>
    <w:basedOn w:val="DefaultParagraphFont"/>
    <w:uiPriority w:val="99"/>
    <w:rsid w:val="00557FD2"/>
    <w:rPr>
      <w:rFonts w:cs="Times New Roman"/>
      <w:sz w:val="24"/>
      <w:szCs w:val="24"/>
      <w:lang w:val="en-US"/>
    </w:rPr>
  </w:style>
  <w:style w:type="character" w:customStyle="1" w:styleId="Heading2Char10">
    <w:name w:val="Heading 2 Char10"/>
    <w:basedOn w:val="DefaultParagraphFont"/>
    <w:uiPriority w:val="9"/>
    <w:rsid w:val="00557FD2"/>
    <w:rPr>
      <w:rFonts w:eastAsiaTheme="majorEastAsia" w:cstheme="majorBidi"/>
      <w:b/>
      <w:color w:val="2F5496" w:themeColor="accent1" w:themeShade="BF"/>
      <w:sz w:val="36"/>
      <w:szCs w:val="26"/>
    </w:rPr>
  </w:style>
  <w:style w:type="character" w:customStyle="1" w:styleId="Heading3Char10">
    <w:name w:val="Heading 3 Char10"/>
    <w:basedOn w:val="DefaultParagraphFont"/>
    <w:uiPriority w:val="9"/>
    <w:rsid w:val="00557FD2"/>
    <w:rPr>
      <w:rFonts w:eastAsiaTheme="majorEastAsia" w:cstheme="majorBidi"/>
      <w:color w:val="1F3763" w:themeColor="accent1" w:themeShade="7F"/>
      <w:sz w:val="28"/>
      <w:szCs w:val="24"/>
    </w:rPr>
  </w:style>
  <w:style w:type="character" w:customStyle="1" w:styleId="Heading1Char10">
    <w:name w:val="Heading 1 Char10"/>
    <w:basedOn w:val="DefaultParagraphFont"/>
    <w:uiPriority w:val="9"/>
    <w:rsid w:val="00557FD2"/>
    <w:rPr>
      <w:rFonts w:eastAsiaTheme="majorEastAsia" w:cstheme="majorBidi"/>
      <w:b/>
      <w:color w:val="2F5496" w:themeColor="accent1" w:themeShade="BF"/>
      <w:sz w:val="40"/>
      <w:szCs w:val="32"/>
    </w:rPr>
  </w:style>
  <w:style w:type="character" w:customStyle="1" w:styleId="Heading4Char5">
    <w:name w:val="Heading 4 Char5"/>
    <w:basedOn w:val="DefaultParagraphFont"/>
    <w:uiPriority w:val="9"/>
    <w:rsid w:val="00557FD2"/>
    <w:rPr>
      <w:rFonts w:asciiTheme="majorHAnsi" w:eastAsiaTheme="majorEastAsia" w:hAnsiTheme="majorHAnsi" w:cstheme="majorBidi"/>
      <w:i/>
      <w:iCs/>
      <w:color w:val="2F5496" w:themeColor="accent1" w:themeShade="BF"/>
      <w:sz w:val="24"/>
    </w:rPr>
  </w:style>
  <w:style w:type="character" w:customStyle="1" w:styleId="ListParagraphChar8">
    <w:name w:val="List Paragraph Char8"/>
    <w:basedOn w:val="DefaultParagraphFont"/>
    <w:uiPriority w:val="34"/>
    <w:rsid w:val="00557FD2"/>
    <w:rPr>
      <w:sz w:val="24"/>
    </w:rPr>
  </w:style>
  <w:style w:type="character" w:customStyle="1" w:styleId="BodyTextChar4">
    <w:name w:val="Body Text Char4"/>
    <w:basedOn w:val="DefaultParagraphFont"/>
    <w:rsid w:val="00557FD2"/>
    <w:rPr>
      <w:rFonts w:ascii="Times New Roman" w:eastAsia="Times New Roman" w:hAnsi="Times New Roman" w:cs="Times New Roman"/>
      <w:sz w:val="24"/>
      <w:szCs w:val="24"/>
      <w:lang w:eastAsia="en-AU"/>
    </w:rPr>
  </w:style>
  <w:style w:type="character" w:customStyle="1" w:styleId="StyleLinespacingAtleast165ptChar1">
    <w:name w:val="Style Line spacing:  At least 16.5 pt Char1"/>
    <w:basedOn w:val="DefaultParagraphFont"/>
    <w:locked/>
    <w:rsid w:val="00557FD2"/>
    <w:rPr>
      <w:lang w:eastAsia="en-AU"/>
    </w:rPr>
  </w:style>
  <w:style w:type="paragraph" w:customStyle="1" w:styleId="StyleLinespacingAtleast165pt1">
    <w:name w:val="Style Line spacing:  At least 16.5 pt1"/>
    <w:basedOn w:val="Normal"/>
    <w:rsid w:val="00557FD2"/>
    <w:pPr>
      <w:autoSpaceDE w:val="0"/>
      <w:autoSpaceDN w:val="0"/>
      <w:spacing w:after="0" w:line="330" w:lineRule="atLeast"/>
    </w:pPr>
    <w:rPr>
      <w:sz w:val="22"/>
      <w:lang w:eastAsia="en-AU"/>
    </w:rPr>
  </w:style>
  <w:style w:type="paragraph" w:customStyle="1" w:styleId="ChapterHeading2">
    <w:name w:val="Chapter Heading2"/>
    <w:basedOn w:val="Normal"/>
    <w:rsid w:val="00557FD2"/>
    <w:pPr>
      <w:spacing w:after="180" w:line="240" w:lineRule="auto"/>
    </w:pPr>
    <w:rPr>
      <w:rFonts w:ascii="Tahoma" w:eastAsia="Times New Roman" w:hAnsi="Tahoma" w:cs="Tahoma"/>
      <w:b/>
      <w:sz w:val="32"/>
      <w:szCs w:val="32"/>
      <w:lang w:eastAsia="en-AU"/>
    </w:rPr>
  </w:style>
  <w:style w:type="paragraph" w:customStyle="1" w:styleId="TableName3">
    <w:name w:val="Table Name3"/>
    <w:basedOn w:val="Normal"/>
    <w:rsid w:val="00557FD2"/>
    <w:pPr>
      <w:spacing w:before="240" w:line="240" w:lineRule="auto"/>
    </w:pPr>
    <w:rPr>
      <w:rFonts w:ascii="Arial" w:eastAsia="Times New Roman" w:hAnsi="Arial" w:cs="Tahoma"/>
      <w:b/>
      <w:i/>
      <w:sz w:val="22"/>
      <w:lang w:eastAsia="en-AU"/>
    </w:rPr>
  </w:style>
  <w:style w:type="paragraph" w:customStyle="1" w:styleId="ListRoman12">
    <w:name w:val="List Roman 12"/>
    <w:basedOn w:val="Normal"/>
    <w:rsid w:val="00557FD2"/>
    <w:pPr>
      <w:spacing w:line="240" w:lineRule="auto"/>
      <w:ind w:left="896" w:hanging="539"/>
    </w:pPr>
    <w:rPr>
      <w:rFonts w:ascii="Times New Roman" w:eastAsia="Times New Roman" w:hAnsi="Times New Roman" w:cs="Times New Roman"/>
      <w:szCs w:val="24"/>
      <w:lang w:eastAsia="en-AU"/>
    </w:rPr>
  </w:style>
  <w:style w:type="character" w:customStyle="1" w:styleId="BodyTextIndentChar2">
    <w:name w:val="Body Text Indent Char2"/>
    <w:basedOn w:val="DefaultParagraphFont"/>
    <w:uiPriority w:val="99"/>
    <w:semiHidden/>
    <w:rsid w:val="00557FD2"/>
    <w:rPr>
      <w:sz w:val="24"/>
    </w:rPr>
  </w:style>
  <w:style w:type="paragraph" w:customStyle="1" w:styleId="ListRoman22">
    <w:name w:val="List Roman 22"/>
    <w:basedOn w:val="ListRoman1"/>
    <w:rsid w:val="00557FD2"/>
    <w:pPr>
      <w:tabs>
        <w:tab w:val="num" w:pos="680"/>
      </w:tabs>
      <w:ind w:left="680" w:hanging="320"/>
    </w:pPr>
    <w:rPr>
      <w:rFonts w:eastAsia="MS Mincho"/>
    </w:rPr>
  </w:style>
  <w:style w:type="paragraph" w:customStyle="1" w:styleId="ListAlpha12">
    <w:name w:val="List Alpha 12"/>
    <w:basedOn w:val="Normal"/>
    <w:rsid w:val="00557FD2"/>
    <w:pPr>
      <w:tabs>
        <w:tab w:val="num" w:pos="720"/>
      </w:tabs>
      <w:spacing w:before="240" w:line="240" w:lineRule="auto"/>
      <w:ind w:left="720" w:hanging="720"/>
    </w:pPr>
    <w:rPr>
      <w:rFonts w:ascii="Times New Roman" w:eastAsia="Times New Roman" w:hAnsi="Times New Roman" w:cs="Tahoma"/>
      <w:sz w:val="22"/>
      <w:lang w:eastAsia="en-AU"/>
    </w:rPr>
  </w:style>
  <w:style w:type="character" w:customStyle="1" w:styleId="SubtitleChar2">
    <w:name w:val="Subtitle Char2"/>
    <w:basedOn w:val="DefaultParagraphFont"/>
    <w:rsid w:val="00557FD2"/>
    <w:rPr>
      <w:rFonts w:ascii="Arial" w:eastAsia="Times New Roman" w:hAnsi="Arial" w:cs="Times New Roman"/>
      <w:b/>
      <w:sz w:val="48"/>
      <w:szCs w:val="48"/>
      <w:lang w:val="en-US"/>
    </w:rPr>
  </w:style>
  <w:style w:type="character" w:customStyle="1" w:styleId="QuoteChar1">
    <w:name w:val="Quote Char1"/>
    <w:basedOn w:val="DefaultParagraphFont"/>
    <w:rsid w:val="00557FD2"/>
    <w:rPr>
      <w:rFonts w:ascii="Times New Roman" w:eastAsia="Times New Roman" w:hAnsi="Times New Roman" w:cs="Times New Roman"/>
      <w:i/>
      <w:lang w:eastAsia="en-AU"/>
    </w:rPr>
  </w:style>
  <w:style w:type="character" w:customStyle="1" w:styleId="TitleChar1">
    <w:name w:val="Title Char1"/>
    <w:basedOn w:val="DefaultParagraphFont"/>
    <w:uiPriority w:val="10"/>
    <w:rsid w:val="00557FD2"/>
    <w:rPr>
      <w:rFonts w:asciiTheme="majorHAnsi" w:eastAsiaTheme="majorEastAsia" w:hAnsiTheme="majorHAnsi" w:cstheme="majorBidi"/>
      <w:spacing w:val="-10"/>
      <w:kern w:val="28"/>
      <w:sz w:val="56"/>
      <w:szCs w:val="56"/>
    </w:rPr>
  </w:style>
  <w:style w:type="character" w:customStyle="1" w:styleId="CaptionChar4">
    <w:name w:val="Caption Char4"/>
    <w:aliases w:val="c Char4,Caption Char Char Char Char Char Char Char Char14,Caption Char Char Char Char Char Char Char Char Char4,Caption Char Char Char Char Char Char Char14"/>
    <w:uiPriority w:val="35"/>
    <w:rsid w:val="00557FD2"/>
    <w:rPr>
      <w:rFonts w:ascii="Calibri" w:hAnsi="Calibri" w:cs="Times New Roman"/>
      <w:b/>
      <w:iCs/>
      <w:sz w:val="24"/>
      <w:szCs w:val="18"/>
    </w:rPr>
  </w:style>
  <w:style w:type="paragraph" w:customStyle="1" w:styleId="ListDash12">
    <w:name w:val="List Dash 12"/>
    <w:basedOn w:val="Normal"/>
    <w:rsid w:val="00557FD2"/>
    <w:pPr>
      <w:tabs>
        <w:tab w:val="num" w:pos="720"/>
      </w:tabs>
      <w:spacing w:after="60" w:line="240" w:lineRule="auto"/>
      <w:ind w:left="714" w:hanging="357"/>
    </w:pPr>
    <w:rPr>
      <w:rFonts w:ascii="Times New Roman" w:eastAsia="Times New Roman" w:hAnsi="Times New Roman" w:cs="Times New Roman"/>
      <w:szCs w:val="24"/>
      <w:lang w:eastAsia="en-AU"/>
    </w:rPr>
  </w:style>
  <w:style w:type="paragraph" w:customStyle="1" w:styleId="Table2">
    <w:name w:val="Table2"/>
    <w:basedOn w:val="BodyText"/>
    <w:rsid w:val="00557FD2"/>
    <w:pPr>
      <w:spacing w:before="0" w:after="0"/>
    </w:pPr>
    <w:rPr>
      <w:rFonts w:ascii="Tahoma" w:hAnsi="Tahoma"/>
      <w:b/>
      <w:sz w:val="22"/>
      <w:szCs w:val="20"/>
    </w:rPr>
  </w:style>
  <w:style w:type="paragraph" w:customStyle="1" w:styleId="ListDash21">
    <w:name w:val="List Dash 21"/>
    <w:basedOn w:val="ListDash1"/>
    <w:rsid w:val="00557FD2"/>
    <w:pPr>
      <w:numPr>
        <w:numId w:val="15"/>
      </w:numPr>
      <w:tabs>
        <w:tab w:val="num" w:pos="1080"/>
      </w:tabs>
      <w:ind w:left="1080" w:hanging="357"/>
    </w:pPr>
  </w:style>
  <w:style w:type="character" w:customStyle="1" w:styleId="FooterChar10">
    <w:name w:val="Footer Char10"/>
    <w:basedOn w:val="DefaultParagraphFont"/>
    <w:uiPriority w:val="99"/>
    <w:rsid w:val="00557FD2"/>
    <w:rPr>
      <w:rFonts w:eastAsia="Times New Roman" w:cs="Times New Roman"/>
      <w:sz w:val="24"/>
      <w:szCs w:val="24"/>
      <w:lang w:eastAsia="en-AU"/>
    </w:rPr>
  </w:style>
  <w:style w:type="character" w:customStyle="1" w:styleId="HeaderChar8">
    <w:name w:val="Header Char8"/>
    <w:basedOn w:val="DefaultParagraphFont"/>
    <w:uiPriority w:val="99"/>
    <w:rsid w:val="00557FD2"/>
    <w:rPr>
      <w:rFonts w:cs="Times New Roman"/>
      <w:sz w:val="24"/>
      <w:szCs w:val="24"/>
      <w:lang w:val="en-US"/>
    </w:rPr>
  </w:style>
  <w:style w:type="character" w:customStyle="1" w:styleId="A1">
    <w:name w:val="A1"/>
    <w:uiPriority w:val="99"/>
    <w:rsid w:val="00557FD2"/>
    <w:rPr>
      <w:rFonts w:cs="Helvetica 45 Light"/>
      <w:i/>
      <w:iCs/>
      <w:color w:val="221E1F"/>
      <w:sz w:val="16"/>
      <w:szCs w:val="16"/>
    </w:rPr>
  </w:style>
  <w:style w:type="paragraph" w:customStyle="1" w:styleId="TableParagraph3">
    <w:name w:val="Table Paragraph3"/>
    <w:basedOn w:val="Normal"/>
    <w:uiPriority w:val="1"/>
    <w:qFormat/>
    <w:rsid w:val="00557FD2"/>
    <w:pPr>
      <w:widowControl w:val="0"/>
      <w:autoSpaceDE w:val="0"/>
      <w:autoSpaceDN w:val="0"/>
      <w:spacing w:before="82" w:after="0" w:line="240" w:lineRule="auto"/>
      <w:jc w:val="right"/>
    </w:pPr>
    <w:rPr>
      <w:rFonts w:ascii="Arial" w:eastAsia="Arial" w:hAnsi="Arial" w:cs="Arial"/>
      <w:sz w:val="22"/>
      <w:lang w:val="en-US"/>
    </w:rPr>
  </w:style>
  <w:style w:type="table" w:customStyle="1" w:styleId="CV11">
    <w:name w:val="CV11"/>
    <w:basedOn w:val="TableNormal"/>
    <w:next w:val="TableGrid"/>
    <w:uiPriority w:val="39"/>
    <w:rsid w:val="00557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1">
    <w:name w:val="CV111"/>
    <w:basedOn w:val="TableNormal"/>
    <w:next w:val="TableGrid"/>
    <w:uiPriority w:val="39"/>
    <w:rsid w:val="00557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7">
    <w:name w:val="Default7"/>
    <w:rsid w:val="00557FD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EmailStyle61">
    <w:name w:val="EmailStyle61"/>
    <w:semiHidden/>
    <w:rsid w:val="00557FD2"/>
    <w:rPr>
      <w:rFonts w:ascii="Arial" w:hAnsi="Arial" w:cs="Arial"/>
      <w:color w:val="auto"/>
      <w:sz w:val="20"/>
      <w:szCs w:val="20"/>
    </w:rPr>
  </w:style>
  <w:style w:type="character" w:customStyle="1" w:styleId="BalloonTextChar7">
    <w:name w:val="Balloon Text Char7"/>
    <w:basedOn w:val="DefaultParagraphFont"/>
    <w:uiPriority w:val="99"/>
    <w:semiHidden/>
    <w:rsid w:val="00557FD2"/>
    <w:rPr>
      <w:rFonts w:ascii="Segoe UI" w:hAnsi="Segoe UI" w:cs="Segoe UI"/>
      <w:sz w:val="18"/>
      <w:szCs w:val="18"/>
    </w:rPr>
  </w:style>
  <w:style w:type="character" w:customStyle="1" w:styleId="CommentTextChar7">
    <w:name w:val="Comment Text Char7"/>
    <w:basedOn w:val="DefaultParagraphFont"/>
    <w:uiPriority w:val="99"/>
    <w:semiHidden/>
    <w:rsid w:val="00557FD2"/>
    <w:rPr>
      <w:sz w:val="20"/>
      <w:szCs w:val="20"/>
    </w:rPr>
  </w:style>
  <w:style w:type="character" w:customStyle="1" w:styleId="CommentSubjectChar7">
    <w:name w:val="Comment Subject Char7"/>
    <w:basedOn w:val="CommentTextChar"/>
    <w:uiPriority w:val="99"/>
    <w:semiHidden/>
    <w:rsid w:val="00557FD2"/>
    <w:rPr>
      <w:b/>
      <w:bCs/>
      <w:sz w:val="20"/>
      <w:szCs w:val="20"/>
    </w:rPr>
  </w:style>
  <w:style w:type="table" w:customStyle="1" w:styleId="GridTable5Dark-Accent11">
    <w:name w:val="Grid Table 5 Dark - Accent 11"/>
    <w:basedOn w:val="TableNormal"/>
    <w:uiPriority w:val="50"/>
    <w:rsid w:val="00557F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31">
    <w:name w:val="Grid Table 4 - Accent 31"/>
    <w:basedOn w:val="TableNormal"/>
    <w:uiPriority w:val="49"/>
    <w:rsid w:val="00557FD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2Char11">
    <w:name w:val="Heading 2 Char11"/>
    <w:basedOn w:val="DefaultParagraphFont"/>
    <w:uiPriority w:val="9"/>
    <w:rsid w:val="00557FD2"/>
    <w:rPr>
      <w:rFonts w:eastAsiaTheme="majorEastAsia" w:cstheme="majorBidi"/>
      <w:b/>
      <w:color w:val="2F5496" w:themeColor="accent1" w:themeShade="BF"/>
      <w:sz w:val="36"/>
      <w:szCs w:val="26"/>
    </w:rPr>
  </w:style>
  <w:style w:type="character" w:customStyle="1" w:styleId="Heading3Char11">
    <w:name w:val="Heading 3 Char11"/>
    <w:basedOn w:val="DefaultParagraphFont"/>
    <w:uiPriority w:val="9"/>
    <w:rsid w:val="00557FD2"/>
    <w:rPr>
      <w:rFonts w:eastAsiaTheme="majorEastAsia" w:cstheme="minorHAnsi"/>
      <w:b/>
      <w:color w:val="1F3763" w:themeColor="accent1" w:themeShade="7F"/>
      <w:sz w:val="28"/>
      <w:szCs w:val="28"/>
    </w:rPr>
  </w:style>
  <w:style w:type="character" w:customStyle="1" w:styleId="Heading1Char11">
    <w:name w:val="Heading 1 Char11"/>
    <w:basedOn w:val="DefaultParagraphFont"/>
    <w:uiPriority w:val="9"/>
    <w:rsid w:val="00557FD2"/>
    <w:rPr>
      <w:rFonts w:eastAsiaTheme="majorEastAsia" w:cstheme="majorBidi"/>
      <w:b/>
      <w:color w:val="2F5496" w:themeColor="accent1" w:themeShade="BF"/>
      <w:sz w:val="40"/>
      <w:szCs w:val="32"/>
    </w:rPr>
  </w:style>
  <w:style w:type="character" w:customStyle="1" w:styleId="Heading4Char6">
    <w:name w:val="Heading 4 Char6"/>
    <w:basedOn w:val="DefaultParagraphFont"/>
    <w:uiPriority w:val="9"/>
    <w:rsid w:val="00557FD2"/>
    <w:rPr>
      <w:rFonts w:eastAsiaTheme="majorEastAsia" w:cstheme="majorBidi"/>
      <w:b/>
      <w:iCs/>
      <w:color w:val="2F5496" w:themeColor="accent1" w:themeShade="BF"/>
      <w:sz w:val="24"/>
    </w:rPr>
  </w:style>
  <w:style w:type="character" w:customStyle="1" w:styleId="ListParagraphChar9">
    <w:name w:val="List Paragraph Char9"/>
    <w:basedOn w:val="DefaultParagraphFont"/>
    <w:uiPriority w:val="34"/>
    <w:rsid w:val="00557FD2"/>
    <w:rPr>
      <w:sz w:val="24"/>
    </w:rPr>
  </w:style>
  <w:style w:type="character" w:customStyle="1" w:styleId="BodyTextChar5">
    <w:name w:val="Body Text Char5"/>
    <w:basedOn w:val="DefaultParagraphFont"/>
    <w:rsid w:val="00557FD2"/>
    <w:rPr>
      <w:rFonts w:ascii="Times New Roman" w:eastAsia="Times New Roman" w:hAnsi="Times New Roman" w:cs="Times New Roman"/>
      <w:sz w:val="24"/>
      <w:szCs w:val="24"/>
      <w:lang w:eastAsia="en-AU"/>
    </w:rPr>
  </w:style>
  <w:style w:type="character" w:customStyle="1" w:styleId="StyleLinespacingAtleast165ptChar2">
    <w:name w:val="Style Line spacing:  At least 16.5 pt Char2"/>
    <w:basedOn w:val="DefaultParagraphFont"/>
    <w:locked/>
    <w:rsid w:val="00557FD2"/>
    <w:rPr>
      <w:lang w:eastAsia="en-AU"/>
    </w:rPr>
  </w:style>
  <w:style w:type="paragraph" w:customStyle="1" w:styleId="StyleLinespacingAtleast165pt2">
    <w:name w:val="Style Line spacing:  At least 16.5 pt2"/>
    <w:basedOn w:val="Normal"/>
    <w:rsid w:val="00557FD2"/>
    <w:pPr>
      <w:autoSpaceDE w:val="0"/>
      <w:autoSpaceDN w:val="0"/>
      <w:spacing w:after="0" w:line="330" w:lineRule="atLeast"/>
    </w:pPr>
    <w:rPr>
      <w:sz w:val="22"/>
      <w:lang w:eastAsia="en-AU"/>
    </w:rPr>
  </w:style>
  <w:style w:type="paragraph" w:customStyle="1" w:styleId="ChapterHeading3">
    <w:name w:val="Chapter Heading3"/>
    <w:basedOn w:val="Normal"/>
    <w:rsid w:val="00557FD2"/>
    <w:pPr>
      <w:spacing w:after="180" w:line="240" w:lineRule="auto"/>
    </w:pPr>
    <w:rPr>
      <w:rFonts w:ascii="Tahoma" w:eastAsia="Times New Roman" w:hAnsi="Tahoma" w:cs="Tahoma"/>
      <w:b/>
      <w:sz w:val="32"/>
      <w:szCs w:val="32"/>
      <w:lang w:eastAsia="en-AU"/>
    </w:rPr>
  </w:style>
  <w:style w:type="paragraph" w:customStyle="1" w:styleId="TableName4">
    <w:name w:val="Table Name4"/>
    <w:basedOn w:val="Normal"/>
    <w:rsid w:val="00557FD2"/>
    <w:pPr>
      <w:spacing w:before="240" w:line="240" w:lineRule="auto"/>
    </w:pPr>
    <w:rPr>
      <w:rFonts w:ascii="Arial" w:eastAsia="Times New Roman" w:hAnsi="Arial" w:cs="Tahoma"/>
      <w:b/>
      <w:i/>
      <w:sz w:val="22"/>
      <w:lang w:eastAsia="en-AU"/>
    </w:rPr>
  </w:style>
  <w:style w:type="paragraph" w:customStyle="1" w:styleId="ListRoman13">
    <w:name w:val="List Roman 13"/>
    <w:basedOn w:val="Normal"/>
    <w:rsid w:val="00557FD2"/>
    <w:pPr>
      <w:spacing w:line="240" w:lineRule="auto"/>
      <w:ind w:left="896" w:hanging="539"/>
    </w:pPr>
    <w:rPr>
      <w:rFonts w:ascii="Times New Roman" w:eastAsia="Times New Roman" w:hAnsi="Times New Roman" w:cs="Times New Roman"/>
      <w:szCs w:val="24"/>
      <w:lang w:eastAsia="en-AU"/>
    </w:rPr>
  </w:style>
  <w:style w:type="character" w:customStyle="1" w:styleId="BodyTextIndentChar3">
    <w:name w:val="Body Text Indent Char3"/>
    <w:basedOn w:val="DefaultParagraphFont"/>
    <w:uiPriority w:val="99"/>
    <w:semiHidden/>
    <w:rsid w:val="00557FD2"/>
    <w:rPr>
      <w:sz w:val="24"/>
    </w:rPr>
  </w:style>
  <w:style w:type="paragraph" w:customStyle="1" w:styleId="ListRoman23">
    <w:name w:val="List Roman 23"/>
    <w:basedOn w:val="ListRoman1"/>
    <w:rsid w:val="00557FD2"/>
    <w:pPr>
      <w:tabs>
        <w:tab w:val="num" w:pos="680"/>
      </w:tabs>
      <w:ind w:left="680" w:hanging="320"/>
    </w:pPr>
    <w:rPr>
      <w:rFonts w:eastAsia="MS Mincho"/>
    </w:rPr>
  </w:style>
  <w:style w:type="paragraph" w:customStyle="1" w:styleId="ListAlpha13">
    <w:name w:val="List Alpha 13"/>
    <w:basedOn w:val="Normal"/>
    <w:rsid w:val="00557FD2"/>
    <w:pPr>
      <w:tabs>
        <w:tab w:val="num" w:pos="720"/>
      </w:tabs>
      <w:spacing w:before="240" w:line="240" w:lineRule="auto"/>
      <w:ind w:left="720" w:hanging="720"/>
    </w:pPr>
    <w:rPr>
      <w:rFonts w:ascii="Times New Roman" w:eastAsia="Times New Roman" w:hAnsi="Times New Roman" w:cs="Tahoma"/>
      <w:sz w:val="22"/>
      <w:lang w:eastAsia="en-AU"/>
    </w:rPr>
  </w:style>
  <w:style w:type="character" w:customStyle="1" w:styleId="SubtitleChar3">
    <w:name w:val="Subtitle Char3"/>
    <w:basedOn w:val="DefaultParagraphFont"/>
    <w:rsid w:val="00557FD2"/>
    <w:rPr>
      <w:rFonts w:ascii="Arial" w:eastAsia="Times New Roman" w:hAnsi="Arial" w:cs="Times New Roman"/>
      <w:b/>
      <w:sz w:val="48"/>
      <w:szCs w:val="48"/>
      <w:lang w:val="en-US"/>
    </w:rPr>
  </w:style>
  <w:style w:type="character" w:customStyle="1" w:styleId="QuoteChar2">
    <w:name w:val="Quote Char2"/>
    <w:basedOn w:val="DefaultParagraphFont"/>
    <w:rsid w:val="00557FD2"/>
    <w:rPr>
      <w:rFonts w:ascii="Times New Roman" w:eastAsia="Times New Roman" w:hAnsi="Times New Roman" w:cs="Times New Roman"/>
      <w:i/>
      <w:lang w:eastAsia="en-AU"/>
    </w:rPr>
  </w:style>
  <w:style w:type="character" w:customStyle="1" w:styleId="TitleChar2">
    <w:name w:val="Title Char2"/>
    <w:basedOn w:val="DefaultParagraphFont"/>
    <w:uiPriority w:val="10"/>
    <w:rsid w:val="00557FD2"/>
    <w:rPr>
      <w:rFonts w:asciiTheme="majorHAnsi" w:eastAsiaTheme="majorEastAsia" w:hAnsiTheme="majorHAnsi" w:cstheme="majorBidi"/>
      <w:spacing w:val="-10"/>
      <w:kern w:val="28"/>
      <w:sz w:val="56"/>
      <w:szCs w:val="56"/>
    </w:rPr>
  </w:style>
  <w:style w:type="character" w:customStyle="1" w:styleId="CaptionChar5">
    <w:name w:val="Caption Char5"/>
    <w:aliases w:val="c Char5,Caption Char Char Char Char Char Char Char Char15,Caption Char Char Char Char Char Char Char Char Char5,Caption Char Char Char Char Char Char Char15"/>
    <w:uiPriority w:val="35"/>
    <w:rsid w:val="00557FD2"/>
    <w:rPr>
      <w:rFonts w:ascii="Calibri" w:hAnsi="Calibri" w:cs="Times New Roman"/>
      <w:b/>
      <w:iCs/>
      <w:sz w:val="24"/>
      <w:szCs w:val="18"/>
    </w:rPr>
  </w:style>
  <w:style w:type="paragraph" w:customStyle="1" w:styleId="ListDash13">
    <w:name w:val="List Dash 13"/>
    <w:basedOn w:val="Normal"/>
    <w:rsid w:val="00557FD2"/>
    <w:pPr>
      <w:tabs>
        <w:tab w:val="num" w:pos="720"/>
      </w:tabs>
      <w:spacing w:after="60" w:line="240" w:lineRule="auto"/>
      <w:ind w:left="714" w:hanging="357"/>
    </w:pPr>
    <w:rPr>
      <w:rFonts w:ascii="Times New Roman" w:eastAsia="Times New Roman" w:hAnsi="Times New Roman" w:cs="Times New Roman"/>
      <w:szCs w:val="24"/>
      <w:lang w:eastAsia="en-AU"/>
    </w:rPr>
  </w:style>
  <w:style w:type="paragraph" w:customStyle="1" w:styleId="Table3">
    <w:name w:val="Table3"/>
    <w:basedOn w:val="BodyText"/>
    <w:rsid w:val="00557FD2"/>
    <w:pPr>
      <w:spacing w:before="0" w:after="0"/>
    </w:pPr>
    <w:rPr>
      <w:rFonts w:ascii="Tahoma" w:hAnsi="Tahoma"/>
      <w:b/>
      <w:sz w:val="22"/>
      <w:szCs w:val="20"/>
    </w:rPr>
  </w:style>
  <w:style w:type="paragraph" w:customStyle="1" w:styleId="ListDash22">
    <w:name w:val="List Dash 22"/>
    <w:basedOn w:val="ListDash1"/>
    <w:rsid w:val="00557FD2"/>
    <w:pPr>
      <w:numPr>
        <w:numId w:val="0"/>
      </w:numPr>
      <w:tabs>
        <w:tab w:val="num" w:pos="1080"/>
      </w:tabs>
      <w:ind w:left="1080" w:hanging="357"/>
    </w:pPr>
  </w:style>
  <w:style w:type="character" w:customStyle="1" w:styleId="FooterChar11">
    <w:name w:val="Footer Char11"/>
    <w:basedOn w:val="DefaultParagraphFont"/>
    <w:uiPriority w:val="99"/>
    <w:rsid w:val="00557FD2"/>
    <w:rPr>
      <w:rFonts w:eastAsia="Times New Roman" w:cs="Times New Roman"/>
      <w:sz w:val="24"/>
      <w:szCs w:val="24"/>
      <w:lang w:eastAsia="en-AU"/>
    </w:rPr>
  </w:style>
  <w:style w:type="character" w:customStyle="1" w:styleId="HeaderChar9">
    <w:name w:val="Header Char9"/>
    <w:basedOn w:val="DefaultParagraphFont"/>
    <w:uiPriority w:val="99"/>
    <w:rsid w:val="00557FD2"/>
    <w:rPr>
      <w:rFonts w:cs="Times New Roman"/>
      <w:sz w:val="24"/>
      <w:szCs w:val="24"/>
      <w:lang w:val="en-US"/>
    </w:rPr>
  </w:style>
  <w:style w:type="character" w:customStyle="1" w:styleId="A11">
    <w:name w:val="A11"/>
    <w:uiPriority w:val="99"/>
    <w:rsid w:val="00557FD2"/>
    <w:rPr>
      <w:rFonts w:cs="Helvetica 45 Light"/>
      <w:i/>
      <w:iCs/>
      <w:color w:val="221E1F"/>
      <w:sz w:val="16"/>
      <w:szCs w:val="16"/>
    </w:rPr>
  </w:style>
  <w:style w:type="paragraph" w:customStyle="1" w:styleId="TableParagraph4">
    <w:name w:val="Table Paragraph4"/>
    <w:basedOn w:val="Normal"/>
    <w:uiPriority w:val="1"/>
    <w:qFormat/>
    <w:rsid w:val="00557FD2"/>
    <w:pPr>
      <w:widowControl w:val="0"/>
      <w:autoSpaceDE w:val="0"/>
      <w:autoSpaceDN w:val="0"/>
      <w:spacing w:before="82" w:after="0" w:line="240" w:lineRule="auto"/>
      <w:jc w:val="right"/>
    </w:pPr>
    <w:rPr>
      <w:rFonts w:ascii="Arial" w:eastAsia="Arial" w:hAnsi="Arial" w:cs="Arial"/>
      <w:sz w:val="22"/>
      <w:lang w:val="en-US"/>
    </w:rPr>
  </w:style>
  <w:style w:type="table" w:customStyle="1" w:styleId="CV12">
    <w:name w:val="CV12"/>
    <w:basedOn w:val="TableNormal"/>
    <w:next w:val="TableGrid"/>
    <w:uiPriority w:val="39"/>
    <w:rsid w:val="00557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2">
    <w:name w:val="CV112"/>
    <w:basedOn w:val="TableNormal"/>
    <w:next w:val="TableGrid"/>
    <w:uiPriority w:val="39"/>
    <w:rsid w:val="00557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8">
    <w:name w:val="Default8"/>
    <w:rsid w:val="00557FD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EmailStyle611">
    <w:name w:val="EmailStyle611"/>
    <w:semiHidden/>
    <w:rsid w:val="00557FD2"/>
    <w:rPr>
      <w:rFonts w:ascii="Arial" w:hAnsi="Arial" w:cs="Arial"/>
      <w:color w:val="auto"/>
      <w:sz w:val="20"/>
      <w:szCs w:val="20"/>
    </w:rPr>
  </w:style>
  <w:style w:type="character" w:customStyle="1" w:styleId="BalloonTextChar8">
    <w:name w:val="Balloon Text Char8"/>
    <w:basedOn w:val="DefaultParagraphFont"/>
    <w:uiPriority w:val="99"/>
    <w:semiHidden/>
    <w:rsid w:val="00557FD2"/>
    <w:rPr>
      <w:rFonts w:ascii="Segoe UI" w:hAnsi="Segoe UI" w:cs="Segoe UI"/>
      <w:sz w:val="18"/>
      <w:szCs w:val="18"/>
    </w:rPr>
  </w:style>
  <w:style w:type="character" w:customStyle="1" w:styleId="CommentTextChar8">
    <w:name w:val="Comment Text Char8"/>
    <w:basedOn w:val="DefaultParagraphFont"/>
    <w:uiPriority w:val="99"/>
    <w:semiHidden/>
    <w:rsid w:val="00557FD2"/>
    <w:rPr>
      <w:sz w:val="20"/>
      <w:szCs w:val="20"/>
    </w:rPr>
  </w:style>
  <w:style w:type="character" w:customStyle="1" w:styleId="CommentSubjectChar8">
    <w:name w:val="Comment Subject Char8"/>
    <w:basedOn w:val="CommentTextChar"/>
    <w:uiPriority w:val="99"/>
    <w:semiHidden/>
    <w:rsid w:val="00557FD2"/>
    <w:rPr>
      <w:b/>
      <w:bCs/>
      <w:sz w:val="20"/>
      <w:szCs w:val="20"/>
    </w:rPr>
  </w:style>
  <w:style w:type="character" w:customStyle="1" w:styleId="UnresolvedMention">
    <w:name w:val="Unresolved Mention"/>
    <w:basedOn w:val="DefaultParagraphFont"/>
    <w:uiPriority w:val="99"/>
    <w:semiHidden/>
    <w:unhideWhenUsed/>
    <w:rsid w:val="00EC1F48"/>
    <w:rPr>
      <w:color w:val="808080"/>
      <w:shd w:val="clear" w:color="auto" w:fill="E6E6E6"/>
    </w:rPr>
  </w:style>
  <w:style w:type="paragraph" w:customStyle="1" w:styleId="m-235865268959371134tabletype">
    <w:name w:val="m_-235865268959371134tabletype"/>
    <w:basedOn w:val="Normal"/>
    <w:rsid w:val="00B5044E"/>
    <w:pPr>
      <w:spacing w:before="100" w:beforeAutospacing="1" w:after="100" w:afterAutospacing="1" w:line="240" w:lineRule="auto"/>
    </w:pPr>
    <w:rPr>
      <w:rFonts w:ascii="Calibri" w:hAnsi="Calibri" w:cs="Calibri"/>
      <w:sz w:val="22"/>
      <w:lang w:val="en-US"/>
    </w:rPr>
  </w:style>
  <w:style w:type="paragraph" w:customStyle="1" w:styleId="Heading1-Chapters">
    <w:name w:val="Heading 1 - Chapters"/>
    <w:basedOn w:val="Heading1"/>
    <w:link w:val="Heading1-ChaptersChar"/>
    <w:qFormat/>
    <w:rsid w:val="00557203"/>
    <w:pPr>
      <w:numPr>
        <w:numId w:val="154"/>
      </w:numPr>
      <w:tabs>
        <w:tab w:val="left" w:pos="1843"/>
      </w:tabs>
      <w:ind w:left="0" w:firstLine="0"/>
    </w:pPr>
    <w:rPr>
      <w:rFonts w:cstheme="minorHAnsi"/>
    </w:rPr>
  </w:style>
  <w:style w:type="paragraph" w:customStyle="1" w:styleId="Heading2-Chapter1">
    <w:name w:val="Heading 2 - Chapter 1"/>
    <w:basedOn w:val="Heading2"/>
    <w:link w:val="Heading2-Chapter1Char"/>
    <w:qFormat/>
    <w:rsid w:val="00B6508F"/>
    <w:pPr>
      <w:numPr>
        <w:ilvl w:val="1"/>
        <w:numId w:val="153"/>
      </w:numPr>
      <w:spacing w:before="240"/>
      <w:ind w:left="357" w:hanging="357"/>
    </w:pPr>
  </w:style>
  <w:style w:type="character" w:customStyle="1" w:styleId="Heading1-ChaptersChar">
    <w:name w:val="Heading 1 - Chapters Char"/>
    <w:basedOn w:val="Heading1Char"/>
    <w:link w:val="Heading1-Chapters"/>
    <w:rsid w:val="00557203"/>
    <w:rPr>
      <w:rFonts w:eastAsiaTheme="majorEastAsia" w:cstheme="minorHAnsi"/>
      <w:b/>
      <w:color w:val="4472C4" w:themeColor="accent1"/>
      <w:sz w:val="40"/>
      <w:szCs w:val="32"/>
    </w:rPr>
  </w:style>
  <w:style w:type="paragraph" w:customStyle="1" w:styleId="Heading2-Chapter2">
    <w:name w:val="Heading 2 - Chapter 2"/>
    <w:basedOn w:val="Heading2"/>
    <w:link w:val="Heading2-Chapter2Char"/>
    <w:qFormat/>
    <w:rsid w:val="00530D56"/>
    <w:pPr>
      <w:numPr>
        <w:numId w:val="156"/>
      </w:numPr>
      <w:spacing w:before="120"/>
      <w:ind w:left="357" w:hanging="357"/>
    </w:pPr>
    <w:rPr>
      <w:lang w:eastAsia="en-AU"/>
    </w:rPr>
  </w:style>
  <w:style w:type="character" w:customStyle="1" w:styleId="Heading2-Chapter1Char">
    <w:name w:val="Heading 2 - Chapter 1 Char"/>
    <w:basedOn w:val="Heading2Char"/>
    <w:link w:val="Heading2-Chapter1"/>
    <w:rsid w:val="00B6508F"/>
    <w:rPr>
      <w:rFonts w:eastAsiaTheme="majorEastAsia" w:cstheme="minorHAnsi"/>
      <w:b/>
      <w:color w:val="2F5496" w:themeColor="accent1" w:themeShade="BF"/>
      <w:sz w:val="36"/>
      <w:szCs w:val="26"/>
    </w:rPr>
  </w:style>
  <w:style w:type="paragraph" w:customStyle="1" w:styleId="Heading2-Chapter3">
    <w:name w:val="Heading 2 - Chapter 3"/>
    <w:basedOn w:val="Heading2"/>
    <w:link w:val="Heading2-Chapter3Char"/>
    <w:qFormat/>
    <w:rsid w:val="00530D56"/>
    <w:pPr>
      <w:numPr>
        <w:numId w:val="157"/>
      </w:numPr>
      <w:ind w:left="357" w:hanging="357"/>
    </w:pPr>
  </w:style>
  <w:style w:type="character" w:customStyle="1" w:styleId="Heading2-Chapter2Char">
    <w:name w:val="Heading 2 - Chapter 2 Char"/>
    <w:basedOn w:val="Heading2Char"/>
    <w:link w:val="Heading2-Chapter2"/>
    <w:rsid w:val="00530D56"/>
    <w:rPr>
      <w:rFonts w:eastAsiaTheme="majorEastAsia" w:cstheme="minorHAnsi"/>
      <w:b/>
      <w:color w:val="2F5496" w:themeColor="accent1" w:themeShade="BF"/>
      <w:sz w:val="36"/>
      <w:szCs w:val="26"/>
      <w:lang w:eastAsia="en-AU"/>
    </w:rPr>
  </w:style>
  <w:style w:type="paragraph" w:customStyle="1" w:styleId="Heading2-Chapter4">
    <w:name w:val="Heading 2 - Chapter 4"/>
    <w:basedOn w:val="Heading2"/>
    <w:link w:val="Heading2-Chapter4Char"/>
    <w:qFormat/>
    <w:rsid w:val="00530D56"/>
    <w:pPr>
      <w:numPr>
        <w:numId w:val="158"/>
      </w:numPr>
      <w:spacing w:before="160"/>
      <w:ind w:left="357" w:hanging="357"/>
    </w:pPr>
    <w:rPr>
      <w:lang w:eastAsia="en-AU"/>
    </w:rPr>
  </w:style>
  <w:style w:type="character" w:customStyle="1" w:styleId="Heading2-Chapter3Char">
    <w:name w:val="Heading 2 - Chapter 3 Char"/>
    <w:basedOn w:val="Heading2Char"/>
    <w:link w:val="Heading2-Chapter3"/>
    <w:rsid w:val="00530D56"/>
    <w:rPr>
      <w:rFonts w:eastAsiaTheme="majorEastAsia" w:cstheme="minorHAnsi"/>
      <w:b/>
      <w:color w:val="2F5496" w:themeColor="accent1" w:themeShade="BF"/>
      <w:sz w:val="36"/>
      <w:szCs w:val="26"/>
    </w:rPr>
  </w:style>
  <w:style w:type="paragraph" w:customStyle="1" w:styleId="Heading2-Chapter5">
    <w:name w:val="Heading 2 - Chapter 5"/>
    <w:basedOn w:val="Heading2"/>
    <w:link w:val="Heading2-Chapter5Char"/>
    <w:qFormat/>
    <w:rsid w:val="00530D56"/>
    <w:pPr>
      <w:numPr>
        <w:numId w:val="205"/>
      </w:numPr>
      <w:spacing w:before="120"/>
      <w:ind w:left="680" w:hanging="680"/>
    </w:pPr>
    <w:rPr>
      <w:lang w:eastAsia="en-AU"/>
    </w:rPr>
  </w:style>
  <w:style w:type="character" w:customStyle="1" w:styleId="Heading2-Chapter4Char">
    <w:name w:val="Heading 2 - Chapter 4 Char"/>
    <w:basedOn w:val="Heading2Char"/>
    <w:link w:val="Heading2-Chapter4"/>
    <w:rsid w:val="00530D56"/>
    <w:rPr>
      <w:rFonts w:eastAsiaTheme="majorEastAsia" w:cstheme="minorHAnsi"/>
      <w:b/>
      <w:color w:val="2F5496" w:themeColor="accent1" w:themeShade="BF"/>
      <w:sz w:val="36"/>
      <w:szCs w:val="26"/>
      <w:lang w:eastAsia="en-AU"/>
    </w:rPr>
  </w:style>
  <w:style w:type="paragraph" w:customStyle="1" w:styleId="Heading2-Chapter6">
    <w:name w:val="Heading 2 - Chapter 6"/>
    <w:basedOn w:val="Heading2"/>
    <w:link w:val="Heading2-Chapter6Char"/>
    <w:qFormat/>
    <w:rsid w:val="00530D56"/>
    <w:pPr>
      <w:numPr>
        <w:numId w:val="212"/>
      </w:numPr>
      <w:ind w:left="680" w:hanging="680"/>
    </w:pPr>
    <w:rPr>
      <w:lang w:eastAsia="en-AU"/>
    </w:rPr>
  </w:style>
  <w:style w:type="character" w:customStyle="1" w:styleId="Heading2-Chapter5Char">
    <w:name w:val="Heading 2 - Chapter 5 Char"/>
    <w:basedOn w:val="Heading2Char"/>
    <w:link w:val="Heading2-Chapter5"/>
    <w:rsid w:val="00530D56"/>
    <w:rPr>
      <w:rFonts w:eastAsiaTheme="majorEastAsia" w:cstheme="minorHAnsi"/>
      <w:b/>
      <w:color w:val="2F5496" w:themeColor="accent1" w:themeShade="BF"/>
      <w:sz w:val="36"/>
      <w:szCs w:val="26"/>
      <w:lang w:eastAsia="en-AU"/>
    </w:rPr>
  </w:style>
  <w:style w:type="paragraph" w:customStyle="1" w:styleId="Heading2-Chapter7">
    <w:name w:val="Heading 2 - Chapter 7"/>
    <w:basedOn w:val="Heading2"/>
    <w:link w:val="Heading2-Chapter7Char"/>
    <w:qFormat/>
    <w:rsid w:val="005E0BCA"/>
    <w:pPr>
      <w:numPr>
        <w:ilvl w:val="1"/>
        <w:numId w:val="159"/>
      </w:numPr>
      <w:ind w:left="624" w:hanging="624"/>
    </w:pPr>
    <w:rPr>
      <w:lang w:eastAsia="en-AU"/>
    </w:rPr>
  </w:style>
  <w:style w:type="character" w:customStyle="1" w:styleId="Heading2-Chapter6Char">
    <w:name w:val="Heading 2 - Chapter 6 Char"/>
    <w:basedOn w:val="Heading2Char"/>
    <w:link w:val="Heading2-Chapter6"/>
    <w:rsid w:val="00530D56"/>
    <w:rPr>
      <w:rFonts w:eastAsiaTheme="majorEastAsia" w:cstheme="minorHAnsi"/>
      <w:b/>
      <w:color w:val="2F5496" w:themeColor="accent1" w:themeShade="BF"/>
      <w:sz w:val="36"/>
      <w:szCs w:val="26"/>
      <w:lang w:eastAsia="en-AU"/>
    </w:rPr>
  </w:style>
  <w:style w:type="paragraph" w:customStyle="1" w:styleId="Heading2-Chapter8">
    <w:name w:val="Heading 2 - Chapter 8"/>
    <w:basedOn w:val="Heading2"/>
    <w:link w:val="Heading2-Chapter8Char"/>
    <w:qFormat/>
    <w:rsid w:val="005E0BCA"/>
    <w:pPr>
      <w:numPr>
        <w:ilvl w:val="1"/>
        <w:numId w:val="147"/>
      </w:numPr>
      <w:spacing w:before="240"/>
      <w:ind w:left="567" w:hanging="567"/>
    </w:pPr>
  </w:style>
  <w:style w:type="character" w:customStyle="1" w:styleId="Heading2-Chapter7Char">
    <w:name w:val="Heading 2 - Chapter 7 Char"/>
    <w:basedOn w:val="Heading2Char"/>
    <w:link w:val="Heading2-Chapter7"/>
    <w:rsid w:val="005E0BCA"/>
    <w:rPr>
      <w:rFonts w:eastAsiaTheme="majorEastAsia" w:cstheme="minorHAnsi"/>
      <w:b/>
      <w:color w:val="2F5496" w:themeColor="accent1" w:themeShade="BF"/>
      <w:sz w:val="36"/>
      <w:szCs w:val="26"/>
      <w:lang w:eastAsia="en-AU"/>
    </w:rPr>
  </w:style>
  <w:style w:type="paragraph" w:customStyle="1" w:styleId="Heading2-Chapter9">
    <w:name w:val="Heading 2 - Chapter 9"/>
    <w:basedOn w:val="Heading2"/>
    <w:link w:val="Heading2-Chapter9Char"/>
    <w:qFormat/>
    <w:rsid w:val="008F1CA1"/>
    <w:pPr>
      <w:numPr>
        <w:ilvl w:val="1"/>
        <w:numId w:val="152"/>
      </w:numPr>
      <w:tabs>
        <w:tab w:val="left" w:pos="567"/>
      </w:tabs>
      <w:ind w:left="0" w:firstLine="0"/>
    </w:pPr>
  </w:style>
  <w:style w:type="character" w:customStyle="1" w:styleId="Heading2-Chapter8Char">
    <w:name w:val="Heading 2 - Chapter 8 Char"/>
    <w:basedOn w:val="Heading2Char"/>
    <w:link w:val="Heading2-Chapter8"/>
    <w:rsid w:val="005E0BCA"/>
    <w:rPr>
      <w:rFonts w:eastAsiaTheme="majorEastAsia" w:cstheme="minorHAnsi"/>
      <w:b/>
      <w:color w:val="2F5496" w:themeColor="accent1" w:themeShade="BF"/>
      <w:sz w:val="36"/>
      <w:szCs w:val="26"/>
    </w:rPr>
  </w:style>
  <w:style w:type="paragraph" w:customStyle="1" w:styleId="Heading2-Chapter10">
    <w:name w:val="Heading 2 - Chapter 10"/>
    <w:basedOn w:val="Heading2"/>
    <w:link w:val="Heading2-Chapter10Char"/>
    <w:qFormat/>
    <w:rsid w:val="008F1CA1"/>
    <w:pPr>
      <w:numPr>
        <w:ilvl w:val="1"/>
        <w:numId w:val="217"/>
      </w:numPr>
      <w:tabs>
        <w:tab w:val="left" w:pos="851"/>
      </w:tabs>
      <w:ind w:left="0" w:firstLine="0"/>
    </w:pPr>
    <w:rPr>
      <w:lang w:eastAsia="en-AU"/>
    </w:rPr>
  </w:style>
  <w:style w:type="character" w:customStyle="1" w:styleId="Heading2-Chapter9Char">
    <w:name w:val="Heading 2 - Chapter 9 Char"/>
    <w:basedOn w:val="Heading2Char"/>
    <w:link w:val="Heading2-Chapter9"/>
    <w:rsid w:val="008F1CA1"/>
    <w:rPr>
      <w:rFonts w:eastAsiaTheme="majorEastAsia" w:cstheme="minorHAnsi"/>
      <w:b/>
      <w:color w:val="2F5496" w:themeColor="accent1" w:themeShade="BF"/>
      <w:sz w:val="36"/>
      <w:szCs w:val="26"/>
    </w:rPr>
  </w:style>
  <w:style w:type="paragraph" w:customStyle="1" w:styleId="Heading2-Chapter11">
    <w:name w:val="Heading 2 - Chapter 11"/>
    <w:basedOn w:val="Heading2"/>
    <w:link w:val="Heading2-Chapter11Char"/>
    <w:qFormat/>
    <w:rsid w:val="001329BD"/>
    <w:pPr>
      <w:numPr>
        <w:numId w:val="222"/>
      </w:numPr>
      <w:tabs>
        <w:tab w:val="left" w:pos="851"/>
      </w:tabs>
      <w:spacing w:before="120"/>
      <w:ind w:left="0" w:firstLine="0"/>
    </w:pPr>
  </w:style>
  <w:style w:type="character" w:customStyle="1" w:styleId="Heading2-Chapter10Char">
    <w:name w:val="Heading 2 - Chapter 10 Char"/>
    <w:basedOn w:val="Heading2Char"/>
    <w:link w:val="Heading2-Chapter10"/>
    <w:rsid w:val="008F1CA1"/>
    <w:rPr>
      <w:rFonts w:eastAsiaTheme="majorEastAsia" w:cstheme="minorHAnsi"/>
      <w:b/>
      <w:color w:val="2F5496" w:themeColor="accent1" w:themeShade="BF"/>
      <w:sz w:val="36"/>
      <w:szCs w:val="26"/>
      <w:lang w:eastAsia="en-AU"/>
    </w:rPr>
  </w:style>
  <w:style w:type="paragraph" w:customStyle="1" w:styleId="Heading2-Chapter12">
    <w:name w:val="Heading 2 - Chapter 12"/>
    <w:basedOn w:val="Heading2"/>
    <w:link w:val="Heading2-Chapter12Char"/>
    <w:qFormat/>
    <w:rsid w:val="001329BD"/>
    <w:pPr>
      <w:numPr>
        <w:numId w:val="223"/>
      </w:numPr>
      <w:tabs>
        <w:tab w:val="left" w:pos="851"/>
      </w:tabs>
      <w:spacing w:before="120"/>
      <w:ind w:left="851" w:hanging="851"/>
    </w:pPr>
  </w:style>
  <w:style w:type="character" w:customStyle="1" w:styleId="Heading2-Chapter11Char">
    <w:name w:val="Heading 2 - Chapter 11 Char"/>
    <w:basedOn w:val="Heading2Char"/>
    <w:link w:val="Heading2-Chapter11"/>
    <w:rsid w:val="001329BD"/>
    <w:rPr>
      <w:rFonts w:eastAsiaTheme="majorEastAsia" w:cstheme="minorHAnsi"/>
      <w:b/>
      <w:color w:val="2F5496" w:themeColor="accent1" w:themeShade="BF"/>
      <w:sz w:val="36"/>
      <w:szCs w:val="26"/>
    </w:rPr>
  </w:style>
  <w:style w:type="paragraph" w:customStyle="1" w:styleId="Heading3-Chapter11">
    <w:name w:val="Heading 3 - Chapter 1.1"/>
    <w:basedOn w:val="Heading3"/>
    <w:link w:val="Heading3-Chapter11Char"/>
    <w:qFormat/>
    <w:rsid w:val="00730D08"/>
    <w:pPr>
      <w:numPr>
        <w:numId w:val="189"/>
      </w:numPr>
      <w:tabs>
        <w:tab w:val="left" w:pos="851"/>
      </w:tabs>
      <w:ind w:left="0" w:firstLine="0"/>
    </w:pPr>
  </w:style>
  <w:style w:type="character" w:customStyle="1" w:styleId="Heading2-Chapter12Char">
    <w:name w:val="Heading 2 - Chapter 12 Char"/>
    <w:basedOn w:val="Heading2Char"/>
    <w:link w:val="Heading2-Chapter12"/>
    <w:rsid w:val="001329BD"/>
    <w:rPr>
      <w:rFonts w:eastAsiaTheme="majorEastAsia" w:cstheme="minorHAnsi"/>
      <w:b/>
      <w:color w:val="2F5496" w:themeColor="accent1" w:themeShade="BF"/>
      <w:sz w:val="36"/>
      <w:szCs w:val="26"/>
    </w:rPr>
  </w:style>
  <w:style w:type="paragraph" w:customStyle="1" w:styleId="Heading3-Chapter12">
    <w:name w:val="Heading 3 - Chapter 1.2"/>
    <w:basedOn w:val="Heading3"/>
    <w:link w:val="Heading3-Chapter12Char"/>
    <w:qFormat/>
    <w:rsid w:val="00112D2F"/>
    <w:pPr>
      <w:numPr>
        <w:numId w:val="190"/>
      </w:numPr>
      <w:ind w:left="851" w:hanging="851"/>
    </w:pPr>
  </w:style>
  <w:style w:type="character" w:customStyle="1" w:styleId="Heading3-Chapter11Char">
    <w:name w:val="Heading 3 - Chapter 1.1 Char"/>
    <w:basedOn w:val="Heading3Char"/>
    <w:link w:val="Heading3-Chapter11"/>
    <w:rsid w:val="00730D08"/>
    <w:rPr>
      <w:rFonts w:eastAsia="Times New Roman" w:cstheme="minorHAnsi"/>
      <w:b/>
      <w:color w:val="2E74B5" w:themeColor="accent5" w:themeShade="BF"/>
      <w:sz w:val="32"/>
      <w:szCs w:val="24"/>
    </w:rPr>
  </w:style>
  <w:style w:type="paragraph" w:customStyle="1" w:styleId="Heading3-Chapter22">
    <w:name w:val="Heading 3 - Chapter 2.2"/>
    <w:basedOn w:val="Heading3"/>
    <w:link w:val="Heading3-Chapter22Char"/>
    <w:qFormat/>
    <w:rsid w:val="007E0DCA"/>
    <w:pPr>
      <w:numPr>
        <w:numId w:val="191"/>
      </w:numPr>
      <w:spacing w:before="120"/>
      <w:ind w:left="851" w:hanging="851"/>
    </w:pPr>
    <w:rPr>
      <w:lang w:eastAsia="en-AU"/>
    </w:rPr>
  </w:style>
  <w:style w:type="character" w:customStyle="1" w:styleId="Heading3-Chapter12Char">
    <w:name w:val="Heading 3 - Chapter 1.2 Char"/>
    <w:basedOn w:val="Heading3Char"/>
    <w:link w:val="Heading3-Chapter12"/>
    <w:rsid w:val="00112D2F"/>
    <w:rPr>
      <w:rFonts w:eastAsia="Times New Roman" w:cstheme="minorHAnsi"/>
      <w:b/>
      <w:color w:val="2E74B5" w:themeColor="accent5" w:themeShade="BF"/>
      <w:sz w:val="32"/>
      <w:szCs w:val="24"/>
    </w:rPr>
  </w:style>
  <w:style w:type="paragraph" w:customStyle="1" w:styleId="Heading3-Chapter23">
    <w:name w:val="Heading 3 - Chapter 2.3"/>
    <w:basedOn w:val="Heading3"/>
    <w:link w:val="Heading3-Chapter23Char"/>
    <w:qFormat/>
    <w:rsid w:val="007E0DCA"/>
    <w:pPr>
      <w:numPr>
        <w:numId w:val="192"/>
      </w:numPr>
      <w:spacing w:before="120"/>
      <w:ind w:left="851" w:hanging="851"/>
    </w:pPr>
    <w:rPr>
      <w:lang w:eastAsia="en-AU"/>
    </w:rPr>
  </w:style>
  <w:style w:type="character" w:customStyle="1" w:styleId="Heading3-Chapter22Char">
    <w:name w:val="Heading 3 - Chapter 2.2 Char"/>
    <w:basedOn w:val="Heading3Char"/>
    <w:link w:val="Heading3-Chapter22"/>
    <w:rsid w:val="007E0DCA"/>
    <w:rPr>
      <w:rFonts w:eastAsia="Times New Roman" w:cstheme="minorHAnsi"/>
      <w:b/>
      <w:color w:val="2E74B5" w:themeColor="accent5" w:themeShade="BF"/>
      <w:sz w:val="32"/>
      <w:szCs w:val="24"/>
      <w:lang w:eastAsia="en-AU"/>
    </w:rPr>
  </w:style>
  <w:style w:type="paragraph" w:customStyle="1" w:styleId="Heading4-Chapter232">
    <w:name w:val="Heading 4 - Chapter 2.3.2"/>
    <w:basedOn w:val="Heading4"/>
    <w:link w:val="Heading4-Chapter232Char"/>
    <w:qFormat/>
    <w:rsid w:val="007E0DCA"/>
    <w:pPr>
      <w:numPr>
        <w:numId w:val="193"/>
      </w:numPr>
      <w:ind w:left="907" w:hanging="907"/>
    </w:pPr>
  </w:style>
  <w:style w:type="character" w:customStyle="1" w:styleId="Heading3-Chapter23Char">
    <w:name w:val="Heading 3 - Chapter 2.3 Char"/>
    <w:basedOn w:val="Heading3Char"/>
    <w:link w:val="Heading3-Chapter23"/>
    <w:rsid w:val="007E0DCA"/>
    <w:rPr>
      <w:rFonts w:eastAsia="Times New Roman" w:cstheme="minorHAnsi"/>
      <w:b/>
      <w:color w:val="2E74B5" w:themeColor="accent5" w:themeShade="BF"/>
      <w:sz w:val="32"/>
      <w:szCs w:val="24"/>
      <w:lang w:eastAsia="en-AU"/>
    </w:rPr>
  </w:style>
  <w:style w:type="paragraph" w:customStyle="1" w:styleId="Heading3-Chapter32">
    <w:name w:val="Heading 3 - Chapter 3.2"/>
    <w:basedOn w:val="Heading3"/>
    <w:link w:val="Heading3-Chapter32Char"/>
    <w:qFormat/>
    <w:rsid w:val="003F1847"/>
    <w:pPr>
      <w:numPr>
        <w:numId w:val="194"/>
      </w:numPr>
      <w:ind w:left="851" w:hanging="851"/>
    </w:pPr>
  </w:style>
  <w:style w:type="character" w:customStyle="1" w:styleId="Heading4-Chapter232Char">
    <w:name w:val="Heading 4 - Chapter 2.3.2 Char"/>
    <w:basedOn w:val="Heading4Char"/>
    <w:link w:val="Heading4-Chapter232"/>
    <w:rsid w:val="007E0DCA"/>
    <w:rPr>
      <w:rFonts w:eastAsiaTheme="majorEastAsia" w:cstheme="minorHAnsi"/>
      <w:b/>
      <w:iCs/>
      <w:color w:val="2F5496" w:themeColor="accent1" w:themeShade="BF"/>
      <w:sz w:val="28"/>
      <w:lang w:eastAsia="en-AU"/>
    </w:rPr>
  </w:style>
  <w:style w:type="paragraph" w:customStyle="1" w:styleId="Heading3-Chapter33">
    <w:name w:val="Heading 3 - Chapter 3.3"/>
    <w:basedOn w:val="Heading3"/>
    <w:link w:val="Heading3-Chapter33Char"/>
    <w:qFormat/>
    <w:rsid w:val="00730D08"/>
    <w:pPr>
      <w:numPr>
        <w:numId w:val="195"/>
      </w:numPr>
      <w:tabs>
        <w:tab w:val="left" w:pos="851"/>
      </w:tabs>
      <w:ind w:left="0" w:firstLine="0"/>
    </w:pPr>
  </w:style>
  <w:style w:type="character" w:customStyle="1" w:styleId="Heading3-Chapter32Char">
    <w:name w:val="Heading 3 - Chapter 3.2 Char"/>
    <w:basedOn w:val="Heading3Char"/>
    <w:link w:val="Heading3-Chapter32"/>
    <w:rsid w:val="003F1847"/>
    <w:rPr>
      <w:rFonts w:eastAsia="Times New Roman" w:cstheme="minorHAnsi"/>
      <w:b/>
      <w:color w:val="2E74B5" w:themeColor="accent5" w:themeShade="BF"/>
      <w:sz w:val="32"/>
      <w:szCs w:val="24"/>
    </w:rPr>
  </w:style>
  <w:style w:type="paragraph" w:customStyle="1" w:styleId="Heading4-Chapter331">
    <w:name w:val="Heading 4 - Chapter 3.3.1"/>
    <w:basedOn w:val="Heading4"/>
    <w:link w:val="Heading4-Chapter331Char"/>
    <w:qFormat/>
    <w:rsid w:val="003F1847"/>
    <w:pPr>
      <w:numPr>
        <w:numId w:val="196"/>
      </w:numPr>
      <w:ind w:left="907" w:right="-194" w:hanging="907"/>
    </w:pPr>
  </w:style>
  <w:style w:type="character" w:customStyle="1" w:styleId="Heading3-Chapter33Char">
    <w:name w:val="Heading 3 - Chapter 3.3 Char"/>
    <w:basedOn w:val="Heading3Char"/>
    <w:link w:val="Heading3-Chapter33"/>
    <w:rsid w:val="00730D08"/>
    <w:rPr>
      <w:rFonts w:eastAsia="Times New Roman" w:cstheme="minorHAnsi"/>
      <w:b/>
      <w:color w:val="2E74B5" w:themeColor="accent5" w:themeShade="BF"/>
      <w:sz w:val="32"/>
      <w:szCs w:val="24"/>
    </w:rPr>
  </w:style>
  <w:style w:type="paragraph" w:customStyle="1" w:styleId="Heading4-Chapter335">
    <w:name w:val="Heading 4 - Chapter3.3.5"/>
    <w:basedOn w:val="Heading4"/>
    <w:link w:val="Heading4-Chapter335Char"/>
    <w:qFormat/>
    <w:rsid w:val="003F1847"/>
    <w:pPr>
      <w:numPr>
        <w:numId w:val="197"/>
      </w:numPr>
      <w:ind w:left="907" w:hanging="907"/>
    </w:pPr>
  </w:style>
  <w:style w:type="character" w:customStyle="1" w:styleId="Heading4-Chapter331Char">
    <w:name w:val="Heading 4 - Chapter 3.3.1 Char"/>
    <w:basedOn w:val="Heading4Char"/>
    <w:link w:val="Heading4-Chapter331"/>
    <w:rsid w:val="003F1847"/>
    <w:rPr>
      <w:rFonts w:eastAsiaTheme="majorEastAsia" w:cstheme="minorHAnsi"/>
      <w:b/>
      <w:iCs/>
      <w:color w:val="2F5496" w:themeColor="accent1" w:themeShade="BF"/>
      <w:sz w:val="28"/>
      <w:lang w:eastAsia="en-AU"/>
    </w:rPr>
  </w:style>
  <w:style w:type="paragraph" w:customStyle="1" w:styleId="Style1">
    <w:name w:val="Style1"/>
    <w:basedOn w:val="Heading3"/>
    <w:link w:val="Style1Char"/>
    <w:qFormat/>
    <w:rsid w:val="003F1847"/>
    <w:pPr>
      <w:numPr>
        <w:numId w:val="198"/>
      </w:numPr>
      <w:spacing w:before="100"/>
      <w:ind w:left="851" w:hanging="851"/>
    </w:pPr>
  </w:style>
  <w:style w:type="character" w:customStyle="1" w:styleId="Heading4-Chapter335Char">
    <w:name w:val="Heading 4 - Chapter3.3.5 Char"/>
    <w:basedOn w:val="Heading4Char"/>
    <w:link w:val="Heading4-Chapter335"/>
    <w:rsid w:val="003F1847"/>
    <w:rPr>
      <w:rFonts w:eastAsiaTheme="majorEastAsia" w:cstheme="minorHAnsi"/>
      <w:b/>
      <w:iCs/>
      <w:color w:val="2F5496" w:themeColor="accent1" w:themeShade="BF"/>
      <w:sz w:val="28"/>
      <w:lang w:eastAsia="en-AU"/>
    </w:rPr>
  </w:style>
  <w:style w:type="paragraph" w:customStyle="1" w:styleId="Heading3-Chapter41">
    <w:name w:val="Heading 3 - Chapter 4.1"/>
    <w:basedOn w:val="Style1"/>
    <w:link w:val="Heading3-Chapter41Char"/>
    <w:qFormat/>
    <w:rsid w:val="008058D3"/>
  </w:style>
  <w:style w:type="character" w:customStyle="1" w:styleId="Style1Char">
    <w:name w:val="Style1 Char"/>
    <w:basedOn w:val="Heading3Char"/>
    <w:link w:val="Style1"/>
    <w:rsid w:val="003F1847"/>
    <w:rPr>
      <w:rFonts w:eastAsia="Times New Roman" w:cstheme="minorHAnsi"/>
      <w:b/>
      <w:color w:val="2E74B5" w:themeColor="accent5" w:themeShade="BF"/>
      <w:sz w:val="32"/>
      <w:szCs w:val="24"/>
    </w:rPr>
  </w:style>
  <w:style w:type="paragraph" w:customStyle="1" w:styleId="Heading3-Chapter42">
    <w:name w:val="Heading 3 - Chapter 4.2"/>
    <w:basedOn w:val="Heading3"/>
    <w:link w:val="Heading3-Chapter42Char"/>
    <w:qFormat/>
    <w:rsid w:val="008058D3"/>
    <w:pPr>
      <w:numPr>
        <w:numId w:val="199"/>
      </w:numPr>
      <w:ind w:left="851" w:hanging="851"/>
    </w:pPr>
  </w:style>
  <w:style w:type="character" w:customStyle="1" w:styleId="Heading3-Chapter41Char">
    <w:name w:val="Heading 3 - Chapter 4.1 Char"/>
    <w:basedOn w:val="Style1Char"/>
    <w:link w:val="Heading3-Chapter41"/>
    <w:rsid w:val="008058D3"/>
    <w:rPr>
      <w:rFonts w:eastAsia="Times New Roman" w:cstheme="minorHAnsi"/>
      <w:b/>
      <w:color w:val="2E74B5" w:themeColor="accent5" w:themeShade="BF"/>
      <w:sz w:val="32"/>
      <w:szCs w:val="24"/>
    </w:rPr>
  </w:style>
  <w:style w:type="paragraph" w:customStyle="1" w:styleId="Heading3-Chapter43">
    <w:name w:val="Heading 3 - Chapter 4.3"/>
    <w:basedOn w:val="Heading3"/>
    <w:link w:val="Heading3-Chapter43Char"/>
    <w:qFormat/>
    <w:rsid w:val="008058D3"/>
    <w:pPr>
      <w:numPr>
        <w:numId w:val="200"/>
      </w:numPr>
      <w:ind w:left="851" w:hanging="851"/>
    </w:pPr>
  </w:style>
  <w:style w:type="character" w:customStyle="1" w:styleId="Heading3-Chapter42Char">
    <w:name w:val="Heading 3 - Chapter 4.2 Char"/>
    <w:basedOn w:val="Heading3Char"/>
    <w:link w:val="Heading3-Chapter42"/>
    <w:rsid w:val="008058D3"/>
    <w:rPr>
      <w:rFonts w:eastAsia="Times New Roman" w:cstheme="minorHAnsi"/>
      <w:b/>
      <w:color w:val="2E74B5" w:themeColor="accent5" w:themeShade="BF"/>
      <w:sz w:val="32"/>
      <w:szCs w:val="24"/>
    </w:rPr>
  </w:style>
  <w:style w:type="paragraph" w:customStyle="1" w:styleId="Heading4-Chapter432">
    <w:name w:val="Heading 4 - Chapter 4.3.2"/>
    <w:basedOn w:val="Heading4"/>
    <w:link w:val="Heading4-Chapter432Char"/>
    <w:qFormat/>
    <w:rsid w:val="008058D3"/>
    <w:pPr>
      <w:numPr>
        <w:numId w:val="201"/>
      </w:numPr>
      <w:ind w:left="907" w:hanging="907"/>
    </w:pPr>
  </w:style>
  <w:style w:type="character" w:customStyle="1" w:styleId="Heading3-Chapter43Char">
    <w:name w:val="Heading 3 - Chapter 4.3 Char"/>
    <w:basedOn w:val="Heading3Char"/>
    <w:link w:val="Heading3-Chapter43"/>
    <w:rsid w:val="008058D3"/>
    <w:rPr>
      <w:rFonts w:eastAsia="Times New Roman" w:cstheme="minorHAnsi"/>
      <w:b/>
      <w:color w:val="2E74B5" w:themeColor="accent5" w:themeShade="BF"/>
      <w:sz w:val="32"/>
      <w:szCs w:val="24"/>
    </w:rPr>
  </w:style>
  <w:style w:type="paragraph" w:customStyle="1" w:styleId="Heading4-Chapter433">
    <w:name w:val="Heading 4 - Chapter 4.3.3"/>
    <w:basedOn w:val="Heading4"/>
    <w:link w:val="Heading4-Chapter433Char"/>
    <w:qFormat/>
    <w:rsid w:val="008058D3"/>
    <w:pPr>
      <w:numPr>
        <w:numId w:val="202"/>
      </w:numPr>
      <w:spacing w:before="120"/>
      <w:ind w:left="964" w:hanging="964"/>
    </w:pPr>
  </w:style>
  <w:style w:type="character" w:customStyle="1" w:styleId="Heading4-Chapter432Char">
    <w:name w:val="Heading 4 - Chapter 4.3.2 Char"/>
    <w:basedOn w:val="Heading4Char"/>
    <w:link w:val="Heading4-Chapter432"/>
    <w:rsid w:val="008058D3"/>
    <w:rPr>
      <w:rFonts w:eastAsiaTheme="majorEastAsia" w:cstheme="minorHAnsi"/>
      <w:b/>
      <w:iCs/>
      <w:color w:val="2F5496" w:themeColor="accent1" w:themeShade="BF"/>
      <w:sz w:val="28"/>
      <w:lang w:eastAsia="en-AU"/>
    </w:rPr>
  </w:style>
  <w:style w:type="paragraph" w:customStyle="1" w:styleId="Heading3-Chapter44">
    <w:name w:val="Heading 3 - Chapter 4.4"/>
    <w:basedOn w:val="Heading3"/>
    <w:link w:val="Heading3-Chapter44Char"/>
    <w:qFormat/>
    <w:rsid w:val="001F2491"/>
    <w:pPr>
      <w:numPr>
        <w:numId w:val="203"/>
      </w:numPr>
      <w:tabs>
        <w:tab w:val="left" w:pos="851"/>
        <w:tab w:val="left" w:pos="993"/>
      </w:tabs>
      <w:ind w:left="0" w:firstLine="0"/>
    </w:pPr>
  </w:style>
  <w:style w:type="character" w:customStyle="1" w:styleId="Heading4-Chapter433Char">
    <w:name w:val="Heading 4 - Chapter 4.3.3 Char"/>
    <w:basedOn w:val="Heading4Char"/>
    <w:link w:val="Heading4-Chapter433"/>
    <w:rsid w:val="008058D3"/>
    <w:rPr>
      <w:rFonts w:eastAsiaTheme="majorEastAsia" w:cstheme="minorHAnsi"/>
      <w:b/>
      <w:iCs/>
      <w:color w:val="2F5496" w:themeColor="accent1" w:themeShade="BF"/>
      <w:sz w:val="28"/>
      <w:lang w:eastAsia="en-AU"/>
    </w:rPr>
  </w:style>
  <w:style w:type="paragraph" w:customStyle="1" w:styleId="Heading4-Chapter4413">
    <w:name w:val="Heading 4 - Chapter 4.4.13"/>
    <w:basedOn w:val="Heading4"/>
    <w:link w:val="Heading4-Chapter4413Char"/>
    <w:qFormat/>
    <w:rsid w:val="006577A2"/>
    <w:pPr>
      <w:numPr>
        <w:numId w:val="204"/>
      </w:numPr>
      <w:ind w:left="1021" w:hanging="1021"/>
    </w:pPr>
  </w:style>
  <w:style w:type="character" w:customStyle="1" w:styleId="Heading3-Chapter44Char">
    <w:name w:val="Heading 3 - Chapter 4.4 Char"/>
    <w:basedOn w:val="Heading3Char"/>
    <w:link w:val="Heading3-Chapter44"/>
    <w:rsid w:val="001F2491"/>
    <w:rPr>
      <w:rFonts w:eastAsia="Times New Roman" w:cstheme="minorHAnsi"/>
      <w:b/>
      <w:color w:val="2E74B5" w:themeColor="accent5" w:themeShade="BF"/>
      <w:sz w:val="32"/>
      <w:szCs w:val="24"/>
    </w:rPr>
  </w:style>
  <w:style w:type="paragraph" w:customStyle="1" w:styleId="Heading3-Chapter51">
    <w:name w:val="Heading 3 - Chapter 5.1"/>
    <w:basedOn w:val="Heading3"/>
    <w:link w:val="Heading3-Chapter51Char"/>
    <w:qFormat/>
    <w:rsid w:val="006577A2"/>
    <w:pPr>
      <w:numPr>
        <w:numId w:val="209"/>
      </w:numPr>
      <w:spacing w:before="120"/>
      <w:ind w:left="851" w:hanging="851"/>
    </w:pPr>
  </w:style>
  <w:style w:type="character" w:customStyle="1" w:styleId="Heading4-Chapter4413Char">
    <w:name w:val="Heading 4 - Chapter 4.4.13 Char"/>
    <w:basedOn w:val="Heading4Char"/>
    <w:link w:val="Heading4-Chapter4413"/>
    <w:rsid w:val="006577A2"/>
    <w:rPr>
      <w:rFonts w:eastAsiaTheme="majorEastAsia" w:cstheme="minorHAnsi"/>
      <w:b/>
      <w:iCs/>
      <w:color w:val="2F5496" w:themeColor="accent1" w:themeShade="BF"/>
      <w:sz w:val="28"/>
      <w:lang w:eastAsia="en-AU"/>
    </w:rPr>
  </w:style>
  <w:style w:type="paragraph" w:customStyle="1" w:styleId="Heading3-Chapter52">
    <w:name w:val="Heading 3 - Chapter 5.2"/>
    <w:basedOn w:val="Heading3"/>
    <w:link w:val="Heading3-Chapter52Char"/>
    <w:qFormat/>
    <w:rsid w:val="006577A2"/>
    <w:pPr>
      <w:numPr>
        <w:numId w:val="206"/>
      </w:numPr>
      <w:ind w:left="851" w:hanging="851"/>
    </w:pPr>
  </w:style>
  <w:style w:type="character" w:customStyle="1" w:styleId="Heading3-Chapter51Char">
    <w:name w:val="Heading 3 - Chapter 5.1 Char"/>
    <w:basedOn w:val="Heading3Char"/>
    <w:link w:val="Heading3-Chapter51"/>
    <w:rsid w:val="006577A2"/>
    <w:rPr>
      <w:rFonts w:eastAsia="Times New Roman" w:cstheme="minorHAnsi"/>
      <w:b/>
      <w:color w:val="2E74B5" w:themeColor="accent5" w:themeShade="BF"/>
      <w:sz w:val="32"/>
      <w:szCs w:val="24"/>
    </w:rPr>
  </w:style>
  <w:style w:type="paragraph" w:customStyle="1" w:styleId="Heading3-Chapter53">
    <w:name w:val="Heading 3 - Chapter 5.3"/>
    <w:basedOn w:val="Heading3"/>
    <w:link w:val="Heading3-Chapter53Char"/>
    <w:qFormat/>
    <w:rsid w:val="006577A2"/>
    <w:pPr>
      <w:numPr>
        <w:numId w:val="207"/>
      </w:numPr>
      <w:ind w:left="851" w:hanging="851"/>
    </w:pPr>
  </w:style>
  <w:style w:type="character" w:customStyle="1" w:styleId="Heading3-Chapter52Char">
    <w:name w:val="Heading 3 - Chapter 5.2 Char"/>
    <w:basedOn w:val="Heading3Char"/>
    <w:link w:val="Heading3-Chapter52"/>
    <w:rsid w:val="006577A2"/>
    <w:rPr>
      <w:rFonts w:eastAsia="Times New Roman" w:cstheme="minorHAnsi"/>
      <w:b/>
      <w:color w:val="2E74B5" w:themeColor="accent5" w:themeShade="BF"/>
      <w:sz w:val="32"/>
      <w:szCs w:val="24"/>
    </w:rPr>
  </w:style>
  <w:style w:type="paragraph" w:customStyle="1" w:styleId="Heading4-Chapter532">
    <w:name w:val="Heading 4 - Chapter 5.3.2"/>
    <w:basedOn w:val="Heading4"/>
    <w:link w:val="Heading4-Chapter532Char"/>
    <w:qFormat/>
    <w:rsid w:val="006577A2"/>
    <w:pPr>
      <w:numPr>
        <w:ilvl w:val="3"/>
        <w:numId w:val="208"/>
      </w:numPr>
      <w:ind w:left="907" w:hanging="907"/>
    </w:pPr>
  </w:style>
  <w:style w:type="character" w:customStyle="1" w:styleId="Heading3-Chapter53Char">
    <w:name w:val="Heading 3 - Chapter 5.3 Char"/>
    <w:basedOn w:val="Heading3Char"/>
    <w:link w:val="Heading3-Chapter53"/>
    <w:rsid w:val="006577A2"/>
    <w:rPr>
      <w:rFonts w:eastAsia="Times New Roman" w:cstheme="minorHAnsi"/>
      <w:b/>
      <w:color w:val="2E74B5" w:themeColor="accent5" w:themeShade="BF"/>
      <w:sz w:val="32"/>
      <w:szCs w:val="24"/>
    </w:rPr>
  </w:style>
  <w:style w:type="paragraph" w:customStyle="1" w:styleId="Heading3-Chapter54">
    <w:name w:val="Heading 3 - Chapter 5.4"/>
    <w:basedOn w:val="Heading3"/>
    <w:link w:val="Heading3-Chapter54Char"/>
    <w:qFormat/>
    <w:rsid w:val="001F2491"/>
    <w:pPr>
      <w:numPr>
        <w:numId w:val="237"/>
      </w:numPr>
      <w:tabs>
        <w:tab w:val="left" w:pos="851"/>
      </w:tabs>
      <w:ind w:left="0" w:firstLine="0"/>
    </w:pPr>
  </w:style>
  <w:style w:type="character" w:customStyle="1" w:styleId="Heading4-Chapter532Char">
    <w:name w:val="Heading 4 - Chapter 5.3.2 Char"/>
    <w:basedOn w:val="Heading4Char"/>
    <w:link w:val="Heading4-Chapter532"/>
    <w:rsid w:val="006577A2"/>
    <w:rPr>
      <w:rFonts w:eastAsiaTheme="majorEastAsia" w:cstheme="minorHAnsi"/>
      <w:b/>
      <w:iCs/>
      <w:color w:val="2F5496" w:themeColor="accent1" w:themeShade="BF"/>
      <w:sz w:val="28"/>
      <w:lang w:eastAsia="en-AU"/>
    </w:rPr>
  </w:style>
  <w:style w:type="paragraph" w:customStyle="1" w:styleId="Heading3-Chapter61">
    <w:name w:val="Heading 3 - Chapter 6.1"/>
    <w:basedOn w:val="Heading3"/>
    <w:link w:val="Heading3-Chapter61Char"/>
    <w:qFormat/>
    <w:rsid w:val="00117602"/>
    <w:pPr>
      <w:numPr>
        <w:numId w:val="211"/>
      </w:numPr>
      <w:ind w:left="907" w:hanging="907"/>
    </w:pPr>
    <w:rPr>
      <w:lang w:eastAsia="en-AU"/>
    </w:rPr>
  </w:style>
  <w:style w:type="character" w:customStyle="1" w:styleId="Heading3-Chapter54Char">
    <w:name w:val="Heading 3 - Chapter 5.4 Char"/>
    <w:basedOn w:val="Heading3Char"/>
    <w:link w:val="Heading3-Chapter54"/>
    <w:rsid w:val="001F2491"/>
    <w:rPr>
      <w:rFonts w:eastAsia="Times New Roman" w:cstheme="minorHAnsi"/>
      <w:b/>
      <w:color w:val="2E74B5" w:themeColor="accent5" w:themeShade="BF"/>
      <w:sz w:val="32"/>
      <w:szCs w:val="24"/>
    </w:rPr>
  </w:style>
  <w:style w:type="paragraph" w:customStyle="1" w:styleId="Heading3-Chapter62">
    <w:name w:val="Heading 3 - Chapter 6.2"/>
    <w:basedOn w:val="Heading3-Chapter54"/>
    <w:link w:val="Heading3-Chapter62Char"/>
    <w:qFormat/>
    <w:rsid w:val="003F12E8"/>
    <w:pPr>
      <w:numPr>
        <w:numId w:val="238"/>
      </w:numPr>
      <w:ind w:left="0" w:firstLine="0"/>
    </w:pPr>
  </w:style>
  <w:style w:type="character" w:customStyle="1" w:styleId="Heading3-Chapter61Char">
    <w:name w:val="Heading 3 - Chapter 6.1 Char"/>
    <w:basedOn w:val="Heading3Char"/>
    <w:link w:val="Heading3-Chapter61"/>
    <w:rsid w:val="00117602"/>
    <w:rPr>
      <w:rFonts w:eastAsia="Times New Roman" w:cstheme="minorHAnsi"/>
      <w:b/>
      <w:color w:val="2E74B5" w:themeColor="accent5" w:themeShade="BF"/>
      <w:sz w:val="32"/>
      <w:szCs w:val="24"/>
      <w:lang w:eastAsia="en-AU"/>
    </w:rPr>
  </w:style>
  <w:style w:type="paragraph" w:customStyle="1" w:styleId="Heading3-Chapter63">
    <w:name w:val="Heading 3 - Chapter 6.3"/>
    <w:basedOn w:val="Heading3"/>
    <w:link w:val="Heading3-Chapter63Char"/>
    <w:qFormat/>
    <w:rsid w:val="007439AD"/>
    <w:pPr>
      <w:numPr>
        <w:numId w:val="239"/>
      </w:numPr>
      <w:tabs>
        <w:tab w:val="left" w:pos="851"/>
      </w:tabs>
      <w:ind w:left="0" w:firstLine="0"/>
    </w:pPr>
  </w:style>
  <w:style w:type="character" w:customStyle="1" w:styleId="Heading3-Chapter62Char">
    <w:name w:val="Heading 3 - Chapter 6.2 Char"/>
    <w:basedOn w:val="Heading3Char"/>
    <w:link w:val="Heading3-Chapter62"/>
    <w:rsid w:val="003F12E8"/>
    <w:rPr>
      <w:rFonts w:eastAsia="Times New Roman" w:cstheme="minorHAnsi"/>
      <w:b/>
      <w:color w:val="2E74B5" w:themeColor="accent5" w:themeShade="BF"/>
      <w:sz w:val="32"/>
      <w:szCs w:val="24"/>
    </w:rPr>
  </w:style>
  <w:style w:type="paragraph" w:customStyle="1" w:styleId="Heading3-Chapter73">
    <w:name w:val="Heading 3 - Chapter 7.3"/>
    <w:basedOn w:val="Heading3"/>
    <w:link w:val="Heading3-Chapter73Char"/>
    <w:qFormat/>
    <w:rsid w:val="008F72CD"/>
    <w:pPr>
      <w:numPr>
        <w:numId w:val="213"/>
      </w:numPr>
      <w:tabs>
        <w:tab w:val="left" w:pos="851"/>
      </w:tabs>
      <w:ind w:left="0" w:right="-46" w:firstLine="0"/>
    </w:pPr>
    <w:rPr>
      <w:lang w:eastAsia="en-AU"/>
    </w:rPr>
  </w:style>
  <w:style w:type="character" w:customStyle="1" w:styleId="Heading3-Chapter63Char">
    <w:name w:val="Heading 3 - Chapter 6.3 Char"/>
    <w:basedOn w:val="Heading3Char"/>
    <w:link w:val="Heading3-Chapter63"/>
    <w:rsid w:val="007439AD"/>
    <w:rPr>
      <w:rFonts w:eastAsia="Times New Roman" w:cstheme="minorHAnsi"/>
      <w:b/>
      <w:color w:val="2E74B5" w:themeColor="accent5" w:themeShade="BF"/>
      <w:sz w:val="32"/>
      <w:szCs w:val="24"/>
    </w:rPr>
  </w:style>
  <w:style w:type="paragraph" w:customStyle="1" w:styleId="Heading3-Chapter74">
    <w:name w:val="Heading 3 - Chapter 7.4"/>
    <w:basedOn w:val="Heading3"/>
    <w:link w:val="Heading3-Chapter74Char"/>
    <w:qFormat/>
    <w:rsid w:val="00990F62"/>
    <w:pPr>
      <w:numPr>
        <w:numId w:val="270"/>
      </w:numPr>
      <w:tabs>
        <w:tab w:val="left" w:pos="851"/>
      </w:tabs>
      <w:spacing w:before="120"/>
      <w:ind w:left="0" w:firstLine="0"/>
    </w:pPr>
    <w:rPr>
      <w:lang w:eastAsia="en-AU"/>
    </w:rPr>
  </w:style>
  <w:style w:type="character" w:customStyle="1" w:styleId="Heading3-Chapter73Char">
    <w:name w:val="Heading 3 - Chapter 7.3 Char"/>
    <w:basedOn w:val="Heading3Char"/>
    <w:link w:val="Heading3-Chapter73"/>
    <w:rsid w:val="008F72CD"/>
    <w:rPr>
      <w:rFonts w:eastAsia="Times New Roman" w:cstheme="minorHAnsi"/>
      <w:b/>
      <w:color w:val="2E74B5" w:themeColor="accent5" w:themeShade="BF"/>
      <w:sz w:val="32"/>
      <w:szCs w:val="24"/>
      <w:lang w:eastAsia="en-AU"/>
    </w:rPr>
  </w:style>
  <w:style w:type="paragraph" w:customStyle="1" w:styleId="Heading3-Chapter75">
    <w:name w:val="Heading 3 - Chapter 7.5"/>
    <w:basedOn w:val="Heading3"/>
    <w:link w:val="Heading3-Chapter75Char"/>
    <w:qFormat/>
    <w:rsid w:val="006126D6"/>
    <w:pPr>
      <w:numPr>
        <w:numId w:val="249"/>
      </w:numPr>
      <w:tabs>
        <w:tab w:val="left" w:pos="851"/>
      </w:tabs>
      <w:spacing w:before="120"/>
      <w:ind w:left="0" w:firstLine="0"/>
    </w:pPr>
    <w:rPr>
      <w:lang w:eastAsia="en-AU"/>
    </w:rPr>
  </w:style>
  <w:style w:type="character" w:customStyle="1" w:styleId="Heading3-Chapter74Char">
    <w:name w:val="Heading 3 - Chapter 7.4 Char"/>
    <w:basedOn w:val="Heading3Char"/>
    <w:link w:val="Heading3-Chapter74"/>
    <w:rsid w:val="00990F62"/>
    <w:rPr>
      <w:rFonts w:eastAsia="Times New Roman" w:cstheme="minorHAnsi"/>
      <w:b/>
      <w:color w:val="2E74B5" w:themeColor="accent5" w:themeShade="BF"/>
      <w:sz w:val="32"/>
      <w:szCs w:val="24"/>
      <w:lang w:eastAsia="en-AU"/>
    </w:rPr>
  </w:style>
  <w:style w:type="paragraph" w:customStyle="1" w:styleId="Heading3-Chapter76">
    <w:name w:val="Heading 3 - Chapter 7.6"/>
    <w:basedOn w:val="Heading3"/>
    <w:link w:val="Heading3-Chapter76Char"/>
    <w:qFormat/>
    <w:rsid w:val="008F72CD"/>
    <w:pPr>
      <w:numPr>
        <w:ilvl w:val="2"/>
        <w:numId w:val="159"/>
      </w:numPr>
      <w:spacing w:before="120"/>
      <w:ind w:left="851" w:hanging="851"/>
    </w:pPr>
  </w:style>
  <w:style w:type="character" w:customStyle="1" w:styleId="Heading3-Chapter75Char">
    <w:name w:val="Heading 3 - Chapter 7.5 Char"/>
    <w:basedOn w:val="Heading3Char"/>
    <w:link w:val="Heading3-Chapter75"/>
    <w:rsid w:val="006126D6"/>
    <w:rPr>
      <w:rFonts w:eastAsia="Times New Roman" w:cstheme="minorHAnsi"/>
      <w:b/>
      <w:color w:val="2E74B5" w:themeColor="accent5" w:themeShade="BF"/>
      <w:sz w:val="32"/>
      <w:szCs w:val="24"/>
      <w:lang w:eastAsia="en-AU"/>
    </w:rPr>
  </w:style>
  <w:style w:type="paragraph" w:customStyle="1" w:styleId="Heading4-Chapter761">
    <w:name w:val="Heading 4 - Chapter 7.6.1"/>
    <w:basedOn w:val="Heading4"/>
    <w:link w:val="Heading4-Chapter761Char"/>
    <w:qFormat/>
    <w:rsid w:val="008F72CD"/>
    <w:pPr>
      <w:numPr>
        <w:ilvl w:val="3"/>
        <w:numId w:val="214"/>
      </w:numPr>
      <w:ind w:left="1021" w:hanging="1021"/>
    </w:pPr>
  </w:style>
  <w:style w:type="character" w:customStyle="1" w:styleId="Heading3-Chapter76Char">
    <w:name w:val="Heading 3 - Chapter 7.6 Char"/>
    <w:basedOn w:val="Heading3Char"/>
    <w:link w:val="Heading3-Chapter76"/>
    <w:rsid w:val="008F72CD"/>
    <w:rPr>
      <w:rFonts w:eastAsia="Times New Roman" w:cstheme="minorHAnsi"/>
      <w:b/>
      <w:color w:val="2E74B5" w:themeColor="accent5" w:themeShade="BF"/>
      <w:sz w:val="32"/>
      <w:szCs w:val="24"/>
    </w:rPr>
  </w:style>
  <w:style w:type="paragraph" w:customStyle="1" w:styleId="Heading3-Chapter81">
    <w:name w:val="Heading 3 - Chapter 8.1"/>
    <w:basedOn w:val="Heading3"/>
    <w:link w:val="Heading3-Chapter81Char"/>
    <w:qFormat/>
    <w:rsid w:val="002E7888"/>
    <w:pPr>
      <w:numPr>
        <w:numId w:val="250"/>
      </w:numPr>
      <w:tabs>
        <w:tab w:val="left" w:pos="709"/>
        <w:tab w:val="left" w:pos="851"/>
      </w:tabs>
      <w:ind w:left="0" w:firstLine="0"/>
    </w:pPr>
  </w:style>
  <w:style w:type="character" w:customStyle="1" w:styleId="Heading4-Chapter761Char">
    <w:name w:val="Heading 4 - Chapter 7.6.1 Char"/>
    <w:basedOn w:val="Heading4Char"/>
    <w:link w:val="Heading4-Chapter761"/>
    <w:rsid w:val="008F72CD"/>
    <w:rPr>
      <w:rFonts w:eastAsiaTheme="majorEastAsia" w:cstheme="minorHAnsi"/>
      <w:b/>
      <w:iCs/>
      <w:color w:val="2F5496" w:themeColor="accent1" w:themeShade="BF"/>
      <w:sz w:val="28"/>
      <w:lang w:eastAsia="en-AU"/>
    </w:rPr>
  </w:style>
  <w:style w:type="paragraph" w:customStyle="1" w:styleId="Heading3-Chapter82">
    <w:name w:val="Heading 3 - Chapter 8.2"/>
    <w:basedOn w:val="Heading3"/>
    <w:link w:val="Heading3-Chapter82Char"/>
    <w:qFormat/>
    <w:rsid w:val="003F06D0"/>
    <w:pPr>
      <w:numPr>
        <w:numId w:val="271"/>
      </w:numPr>
      <w:tabs>
        <w:tab w:val="left" w:pos="851"/>
      </w:tabs>
      <w:ind w:left="0" w:firstLine="0"/>
    </w:pPr>
  </w:style>
  <w:style w:type="character" w:customStyle="1" w:styleId="Heading3-Chapter81Char">
    <w:name w:val="Heading 3 - Chapter 8.1 Char"/>
    <w:basedOn w:val="Heading3Char"/>
    <w:link w:val="Heading3-Chapter81"/>
    <w:rsid w:val="002E7888"/>
    <w:rPr>
      <w:rFonts w:eastAsia="Times New Roman" w:cstheme="minorHAnsi"/>
      <w:b/>
      <w:color w:val="2E74B5" w:themeColor="accent5" w:themeShade="BF"/>
      <w:sz w:val="32"/>
      <w:szCs w:val="24"/>
    </w:rPr>
  </w:style>
  <w:style w:type="paragraph" w:customStyle="1" w:styleId="Heading3-Chapter83">
    <w:name w:val="Heading 3 - Chapter 8.3"/>
    <w:basedOn w:val="Heading3"/>
    <w:link w:val="Heading3-Chapter83Char"/>
    <w:qFormat/>
    <w:rsid w:val="0092046D"/>
    <w:pPr>
      <w:numPr>
        <w:numId w:val="272"/>
      </w:numPr>
      <w:tabs>
        <w:tab w:val="left" w:pos="851"/>
      </w:tabs>
      <w:spacing w:before="120"/>
      <w:ind w:left="0" w:firstLine="0"/>
    </w:pPr>
  </w:style>
  <w:style w:type="character" w:customStyle="1" w:styleId="Heading3-Chapter82Char">
    <w:name w:val="Heading 3 - Chapter 8.2 Char"/>
    <w:basedOn w:val="Heading3Char"/>
    <w:link w:val="Heading3-Chapter82"/>
    <w:rsid w:val="003F06D0"/>
    <w:rPr>
      <w:rFonts w:eastAsia="Times New Roman" w:cstheme="minorHAnsi"/>
      <w:b/>
      <w:color w:val="2E74B5" w:themeColor="accent5" w:themeShade="BF"/>
      <w:sz w:val="32"/>
      <w:szCs w:val="24"/>
    </w:rPr>
  </w:style>
  <w:style w:type="paragraph" w:customStyle="1" w:styleId="Heading3-Chapter84">
    <w:name w:val="Heading 3 - Chapter 8.4"/>
    <w:basedOn w:val="Heading3"/>
    <w:link w:val="Heading3-Chapter84Char"/>
    <w:qFormat/>
    <w:rsid w:val="00787321"/>
    <w:pPr>
      <w:numPr>
        <w:numId w:val="273"/>
      </w:numPr>
      <w:tabs>
        <w:tab w:val="left" w:pos="851"/>
      </w:tabs>
      <w:spacing w:before="120"/>
      <w:ind w:left="0" w:firstLine="0"/>
    </w:pPr>
  </w:style>
  <w:style w:type="character" w:customStyle="1" w:styleId="Heading3-Chapter83Char">
    <w:name w:val="Heading 3 - Chapter 8.3 Char"/>
    <w:basedOn w:val="Heading3Char"/>
    <w:link w:val="Heading3-Chapter83"/>
    <w:rsid w:val="0092046D"/>
    <w:rPr>
      <w:rFonts w:eastAsia="Times New Roman" w:cstheme="minorHAnsi"/>
      <w:b/>
      <w:color w:val="2E74B5" w:themeColor="accent5" w:themeShade="BF"/>
      <w:sz w:val="32"/>
      <w:szCs w:val="24"/>
    </w:rPr>
  </w:style>
  <w:style w:type="paragraph" w:customStyle="1" w:styleId="Heading4-Chapter841">
    <w:name w:val="Heading 4 - Chapter 8.4.1"/>
    <w:basedOn w:val="Heading4"/>
    <w:link w:val="Heading4-Chapter841Char"/>
    <w:qFormat/>
    <w:rsid w:val="001A4797"/>
    <w:pPr>
      <w:numPr>
        <w:numId w:val="274"/>
      </w:numPr>
      <w:tabs>
        <w:tab w:val="left" w:pos="993"/>
      </w:tabs>
      <w:ind w:left="0" w:firstLine="0"/>
    </w:pPr>
    <w:rPr>
      <w:rFonts w:eastAsia="Times New Roman"/>
    </w:rPr>
  </w:style>
  <w:style w:type="character" w:customStyle="1" w:styleId="Heading3-Chapter84Char">
    <w:name w:val="Heading 3 - Chapter 8.4 Char"/>
    <w:basedOn w:val="Heading3Char"/>
    <w:link w:val="Heading3-Chapter84"/>
    <w:rsid w:val="00787321"/>
    <w:rPr>
      <w:rFonts w:eastAsia="Times New Roman" w:cstheme="minorHAnsi"/>
      <w:b/>
      <w:color w:val="2E74B5" w:themeColor="accent5" w:themeShade="BF"/>
      <w:sz w:val="32"/>
      <w:szCs w:val="24"/>
    </w:rPr>
  </w:style>
  <w:style w:type="paragraph" w:customStyle="1" w:styleId="Heading3-Chapter85">
    <w:name w:val="Heading 3 - Chapter 8.5"/>
    <w:basedOn w:val="Heading3"/>
    <w:link w:val="Heading3-Chapter85Char"/>
    <w:qFormat/>
    <w:rsid w:val="008F1CA1"/>
    <w:pPr>
      <w:numPr>
        <w:numId w:val="275"/>
      </w:numPr>
      <w:tabs>
        <w:tab w:val="left" w:pos="851"/>
      </w:tabs>
      <w:ind w:left="0" w:firstLine="0"/>
    </w:pPr>
    <w:rPr>
      <w:lang w:eastAsia="en-AU"/>
    </w:rPr>
  </w:style>
  <w:style w:type="character" w:customStyle="1" w:styleId="Heading4-Chapter841Char">
    <w:name w:val="Heading 4 - Chapter 8.4.1 Char"/>
    <w:basedOn w:val="Heading4Char"/>
    <w:link w:val="Heading4-Chapter841"/>
    <w:rsid w:val="001A4797"/>
    <w:rPr>
      <w:rFonts w:eastAsia="Times New Roman" w:cstheme="minorHAnsi"/>
      <w:b/>
      <w:iCs/>
      <w:color w:val="2F5496" w:themeColor="accent1" w:themeShade="BF"/>
      <w:sz w:val="28"/>
      <w:lang w:eastAsia="en-AU"/>
    </w:rPr>
  </w:style>
  <w:style w:type="paragraph" w:customStyle="1" w:styleId="Heading4-Chapter853">
    <w:name w:val="Heading 4 - Chapter 8.5.3"/>
    <w:basedOn w:val="Heading4"/>
    <w:link w:val="Heading4-Chapter853Char"/>
    <w:qFormat/>
    <w:rsid w:val="008F1CA1"/>
    <w:pPr>
      <w:numPr>
        <w:numId w:val="276"/>
      </w:numPr>
      <w:tabs>
        <w:tab w:val="left" w:pos="993"/>
      </w:tabs>
      <w:ind w:left="0" w:firstLine="0"/>
    </w:pPr>
    <w:rPr>
      <w:rFonts w:eastAsia="Times New Roman"/>
    </w:rPr>
  </w:style>
  <w:style w:type="character" w:customStyle="1" w:styleId="Heading3-Chapter85Char">
    <w:name w:val="Heading 3 - Chapter 8.5 Char"/>
    <w:basedOn w:val="Heading3Char"/>
    <w:link w:val="Heading3-Chapter85"/>
    <w:rsid w:val="008F1CA1"/>
    <w:rPr>
      <w:rFonts w:eastAsia="Times New Roman" w:cstheme="minorHAnsi"/>
      <w:b/>
      <w:color w:val="2E74B5" w:themeColor="accent5" w:themeShade="BF"/>
      <w:sz w:val="32"/>
      <w:szCs w:val="24"/>
      <w:lang w:eastAsia="en-AU"/>
    </w:rPr>
  </w:style>
  <w:style w:type="paragraph" w:customStyle="1" w:styleId="Heading3-Chapter86">
    <w:name w:val="Heading 3 - Chapter 8.6"/>
    <w:basedOn w:val="Heading3"/>
    <w:link w:val="Heading3-Chapter86Char"/>
    <w:qFormat/>
    <w:rsid w:val="00872E39"/>
    <w:pPr>
      <w:numPr>
        <w:ilvl w:val="2"/>
        <w:numId w:val="147"/>
      </w:numPr>
      <w:spacing w:before="120"/>
      <w:ind w:left="851" w:hanging="851"/>
    </w:pPr>
  </w:style>
  <w:style w:type="character" w:customStyle="1" w:styleId="Heading4-Chapter853Char">
    <w:name w:val="Heading 4 - Chapter 8.5.3 Char"/>
    <w:basedOn w:val="Heading4Char"/>
    <w:link w:val="Heading4-Chapter853"/>
    <w:rsid w:val="008F1CA1"/>
    <w:rPr>
      <w:rFonts w:eastAsia="Times New Roman" w:cstheme="minorHAnsi"/>
      <w:b/>
      <w:iCs/>
      <w:color w:val="2F5496" w:themeColor="accent1" w:themeShade="BF"/>
      <w:sz w:val="28"/>
      <w:lang w:eastAsia="en-AU"/>
    </w:rPr>
  </w:style>
  <w:style w:type="paragraph" w:customStyle="1" w:styleId="Heading3-Chapter93">
    <w:name w:val="Heading 3 - Chapter 9.3"/>
    <w:basedOn w:val="Heading3"/>
    <w:link w:val="Heading3-Chapter93Char"/>
    <w:qFormat/>
    <w:rsid w:val="00872E39"/>
    <w:pPr>
      <w:numPr>
        <w:ilvl w:val="2"/>
        <w:numId w:val="152"/>
      </w:numPr>
      <w:ind w:left="851" w:hanging="851"/>
    </w:pPr>
    <w:rPr>
      <w:lang w:eastAsia="en-AU"/>
    </w:rPr>
  </w:style>
  <w:style w:type="character" w:customStyle="1" w:styleId="Heading3-Chapter86Char">
    <w:name w:val="Heading 3 - Chapter 8.6 Char"/>
    <w:basedOn w:val="Heading3Char"/>
    <w:link w:val="Heading3-Chapter86"/>
    <w:rsid w:val="00872E39"/>
    <w:rPr>
      <w:rFonts w:eastAsia="Times New Roman" w:cstheme="minorHAnsi"/>
      <w:b/>
      <w:color w:val="2E74B5" w:themeColor="accent5" w:themeShade="BF"/>
      <w:sz w:val="32"/>
      <w:szCs w:val="24"/>
    </w:rPr>
  </w:style>
  <w:style w:type="paragraph" w:customStyle="1" w:styleId="Heading3-Chapter101">
    <w:name w:val="Heading 3 - Chapter 10.1"/>
    <w:basedOn w:val="Heading3"/>
    <w:link w:val="Heading3-Chapter101Char"/>
    <w:qFormat/>
    <w:rsid w:val="00872E39"/>
    <w:pPr>
      <w:numPr>
        <w:ilvl w:val="2"/>
        <w:numId w:val="215"/>
      </w:numPr>
      <w:ind w:left="964" w:hanging="964"/>
    </w:pPr>
  </w:style>
  <w:style w:type="character" w:customStyle="1" w:styleId="Heading3-Chapter93Char">
    <w:name w:val="Heading 3 - Chapter 9.3 Char"/>
    <w:basedOn w:val="Heading3Char"/>
    <w:link w:val="Heading3-Chapter93"/>
    <w:rsid w:val="00872E39"/>
    <w:rPr>
      <w:rFonts w:eastAsia="Times New Roman" w:cstheme="minorHAnsi"/>
      <w:b/>
      <w:color w:val="2E74B5" w:themeColor="accent5" w:themeShade="BF"/>
      <w:sz w:val="32"/>
      <w:szCs w:val="24"/>
      <w:lang w:eastAsia="en-AU"/>
    </w:rPr>
  </w:style>
  <w:style w:type="paragraph" w:customStyle="1" w:styleId="Heading4-Chapter1011">
    <w:name w:val="Heading 4 - Chapter 10.1.1"/>
    <w:basedOn w:val="Heading4"/>
    <w:link w:val="Heading4-Chapter1011Char"/>
    <w:qFormat/>
    <w:rsid w:val="00872E39"/>
    <w:pPr>
      <w:numPr>
        <w:ilvl w:val="3"/>
        <w:numId w:val="216"/>
      </w:numPr>
      <w:spacing w:before="120"/>
      <w:ind w:left="1077" w:hanging="1077"/>
    </w:pPr>
  </w:style>
  <w:style w:type="character" w:customStyle="1" w:styleId="Heading3-Chapter101Char">
    <w:name w:val="Heading 3 - Chapter 10.1 Char"/>
    <w:basedOn w:val="Heading3Char"/>
    <w:link w:val="Heading3-Chapter101"/>
    <w:rsid w:val="00872E39"/>
    <w:rPr>
      <w:rFonts w:eastAsia="Times New Roman" w:cstheme="minorHAnsi"/>
      <w:b/>
      <w:color w:val="2E74B5" w:themeColor="accent5" w:themeShade="BF"/>
      <w:sz w:val="32"/>
      <w:szCs w:val="24"/>
    </w:rPr>
  </w:style>
  <w:style w:type="paragraph" w:customStyle="1" w:styleId="Heading4-Chapter1012">
    <w:name w:val="Heading 4 - Chapter 10.1.2"/>
    <w:basedOn w:val="Heading4"/>
    <w:link w:val="Heading4-Chapter1012Char"/>
    <w:qFormat/>
    <w:rsid w:val="00872E39"/>
    <w:pPr>
      <w:numPr>
        <w:ilvl w:val="3"/>
        <w:numId w:val="217"/>
      </w:numPr>
      <w:spacing w:before="120"/>
      <w:ind w:left="1077" w:hanging="1077"/>
    </w:pPr>
  </w:style>
  <w:style w:type="character" w:customStyle="1" w:styleId="Heading4-Chapter1011Char">
    <w:name w:val="Heading 4 - Chapter 10.1.1 Char"/>
    <w:basedOn w:val="Heading4Char"/>
    <w:link w:val="Heading4-Chapter1011"/>
    <w:rsid w:val="00872E39"/>
    <w:rPr>
      <w:rFonts w:eastAsiaTheme="majorEastAsia" w:cstheme="minorHAnsi"/>
      <w:b/>
      <w:iCs/>
      <w:color w:val="2F5496" w:themeColor="accent1" w:themeShade="BF"/>
      <w:sz w:val="28"/>
      <w:lang w:eastAsia="en-AU"/>
    </w:rPr>
  </w:style>
  <w:style w:type="paragraph" w:customStyle="1" w:styleId="Heading3-Chapter102">
    <w:name w:val="Heading 3 - Chapter 10.2"/>
    <w:basedOn w:val="Heading3"/>
    <w:link w:val="Heading3-Chapter102Char"/>
    <w:qFormat/>
    <w:rsid w:val="00872E39"/>
    <w:pPr>
      <w:numPr>
        <w:ilvl w:val="2"/>
        <w:numId w:val="218"/>
      </w:numPr>
      <w:ind w:left="1021" w:hanging="1021"/>
    </w:pPr>
  </w:style>
  <w:style w:type="character" w:customStyle="1" w:styleId="Heading4-Chapter1012Char">
    <w:name w:val="Heading 4 - Chapter 10.1.2 Char"/>
    <w:basedOn w:val="Heading4Char"/>
    <w:link w:val="Heading4-Chapter1012"/>
    <w:rsid w:val="00872E39"/>
    <w:rPr>
      <w:rFonts w:eastAsiaTheme="majorEastAsia" w:cstheme="minorHAnsi"/>
      <w:b/>
      <w:iCs/>
      <w:color w:val="2F5496" w:themeColor="accent1" w:themeShade="BF"/>
      <w:sz w:val="28"/>
      <w:lang w:eastAsia="en-AU"/>
    </w:rPr>
  </w:style>
  <w:style w:type="paragraph" w:customStyle="1" w:styleId="Heading3-Chapter103">
    <w:name w:val="Heading 3 - Chapter 10.3"/>
    <w:basedOn w:val="Heading3"/>
    <w:link w:val="Heading3-Chapter103Char"/>
    <w:qFormat/>
    <w:rsid w:val="00872E39"/>
    <w:pPr>
      <w:numPr>
        <w:ilvl w:val="2"/>
        <w:numId w:val="219"/>
      </w:numPr>
      <w:spacing w:before="120"/>
      <w:ind w:left="1021" w:hanging="1021"/>
    </w:pPr>
  </w:style>
  <w:style w:type="character" w:customStyle="1" w:styleId="Heading3-Chapter102Char">
    <w:name w:val="Heading 3 - Chapter 10.2 Char"/>
    <w:basedOn w:val="Heading3Char"/>
    <w:link w:val="Heading3-Chapter102"/>
    <w:rsid w:val="00872E39"/>
    <w:rPr>
      <w:rFonts w:eastAsia="Times New Roman" w:cstheme="minorHAnsi"/>
      <w:b/>
      <w:color w:val="2E74B5" w:themeColor="accent5" w:themeShade="BF"/>
      <w:sz w:val="32"/>
      <w:szCs w:val="24"/>
    </w:rPr>
  </w:style>
  <w:style w:type="paragraph" w:customStyle="1" w:styleId="Heading4-Chapter1031">
    <w:name w:val="Heading 4 - Chapter 10.3.1"/>
    <w:basedOn w:val="Heading4"/>
    <w:link w:val="Heading4-Chapter1031Char"/>
    <w:qFormat/>
    <w:rsid w:val="00872E39"/>
    <w:pPr>
      <w:numPr>
        <w:ilvl w:val="3"/>
        <w:numId w:val="220"/>
      </w:numPr>
      <w:ind w:left="1077" w:hanging="1077"/>
    </w:pPr>
  </w:style>
  <w:style w:type="character" w:customStyle="1" w:styleId="Heading3-Chapter103Char">
    <w:name w:val="Heading 3 - Chapter 10.3 Char"/>
    <w:basedOn w:val="Heading3Char"/>
    <w:link w:val="Heading3-Chapter103"/>
    <w:rsid w:val="00872E39"/>
    <w:rPr>
      <w:rFonts w:eastAsia="Times New Roman" w:cstheme="minorHAnsi"/>
      <w:b/>
      <w:color w:val="2E74B5" w:themeColor="accent5" w:themeShade="BF"/>
      <w:sz w:val="32"/>
      <w:szCs w:val="24"/>
    </w:rPr>
  </w:style>
  <w:style w:type="paragraph" w:customStyle="1" w:styleId="Heading1033">
    <w:name w:val="Heading 10.3.3"/>
    <w:basedOn w:val="Heading4"/>
    <w:link w:val="Heading1033Char"/>
    <w:qFormat/>
    <w:rsid w:val="003D158C"/>
    <w:pPr>
      <w:numPr>
        <w:ilvl w:val="3"/>
        <w:numId w:val="221"/>
      </w:numPr>
      <w:spacing w:before="120"/>
      <w:ind w:left="1021" w:hanging="1021"/>
    </w:pPr>
  </w:style>
  <w:style w:type="character" w:customStyle="1" w:styleId="Heading4-Chapter1031Char">
    <w:name w:val="Heading 4 - Chapter 10.3.1 Char"/>
    <w:basedOn w:val="Heading4Char"/>
    <w:link w:val="Heading4-Chapter1031"/>
    <w:rsid w:val="00872E39"/>
    <w:rPr>
      <w:rFonts w:eastAsiaTheme="majorEastAsia" w:cstheme="minorHAnsi"/>
      <w:b/>
      <w:iCs/>
      <w:color w:val="2F5496" w:themeColor="accent1" w:themeShade="BF"/>
      <w:sz w:val="28"/>
      <w:lang w:eastAsia="en-AU"/>
    </w:rPr>
  </w:style>
  <w:style w:type="paragraph" w:customStyle="1" w:styleId="Heading3-Chapter112">
    <w:name w:val="Heading 3 - Chapter 11.2"/>
    <w:basedOn w:val="Heading3"/>
    <w:link w:val="Heading3-Chapter112Char"/>
    <w:qFormat/>
    <w:rsid w:val="003D158C"/>
    <w:pPr>
      <w:numPr>
        <w:numId w:val="224"/>
      </w:numPr>
      <w:ind w:left="1021" w:hanging="1021"/>
    </w:pPr>
  </w:style>
  <w:style w:type="character" w:customStyle="1" w:styleId="Heading1033Char">
    <w:name w:val="Heading 10.3.3 Char"/>
    <w:basedOn w:val="Heading4Char"/>
    <w:link w:val="Heading1033"/>
    <w:rsid w:val="003D158C"/>
    <w:rPr>
      <w:rFonts w:eastAsiaTheme="majorEastAsia" w:cstheme="minorHAnsi"/>
      <w:b/>
      <w:iCs/>
      <w:color w:val="2F5496" w:themeColor="accent1" w:themeShade="BF"/>
      <w:sz w:val="28"/>
      <w:lang w:eastAsia="en-AU"/>
    </w:rPr>
  </w:style>
  <w:style w:type="paragraph" w:customStyle="1" w:styleId="Heading4-Chapter1033">
    <w:name w:val="Heading 4 - Chapter 10.3.3"/>
    <w:basedOn w:val="Heading1033"/>
    <w:link w:val="Heading4-Chapter1033Char"/>
    <w:qFormat/>
    <w:rsid w:val="008F1CA1"/>
    <w:pPr>
      <w:numPr>
        <w:ilvl w:val="0"/>
        <w:numId w:val="277"/>
      </w:numPr>
      <w:tabs>
        <w:tab w:val="left" w:pos="993"/>
      </w:tabs>
      <w:ind w:left="0" w:firstLine="0"/>
    </w:pPr>
  </w:style>
  <w:style w:type="character" w:customStyle="1" w:styleId="Heading3-Chapter112Char">
    <w:name w:val="Heading 3 - Chapter 11.2 Char"/>
    <w:basedOn w:val="Heading3Char"/>
    <w:link w:val="Heading3-Chapter112"/>
    <w:rsid w:val="003D158C"/>
    <w:rPr>
      <w:rFonts w:eastAsia="Times New Roman" w:cstheme="minorHAnsi"/>
      <w:b/>
      <w:color w:val="2E74B5" w:themeColor="accent5" w:themeShade="BF"/>
      <w:sz w:val="32"/>
      <w:szCs w:val="24"/>
    </w:rPr>
  </w:style>
  <w:style w:type="paragraph" w:customStyle="1" w:styleId="Heading3-Chapter113">
    <w:name w:val="Heading 3 - Chapter 11.3"/>
    <w:basedOn w:val="Heading3"/>
    <w:link w:val="Heading3-Chapter113Char"/>
    <w:qFormat/>
    <w:rsid w:val="00C16758"/>
    <w:pPr>
      <w:numPr>
        <w:numId w:val="225"/>
      </w:numPr>
      <w:tabs>
        <w:tab w:val="left" w:pos="993"/>
      </w:tabs>
      <w:ind w:left="0" w:firstLine="0"/>
    </w:pPr>
  </w:style>
  <w:style w:type="character" w:customStyle="1" w:styleId="Heading4-Chapter1033Char">
    <w:name w:val="Heading 4 - Chapter 10.3.3 Char"/>
    <w:basedOn w:val="Heading1033Char"/>
    <w:link w:val="Heading4-Chapter1033"/>
    <w:rsid w:val="008F1CA1"/>
    <w:rPr>
      <w:rFonts w:eastAsiaTheme="majorEastAsia" w:cstheme="minorHAnsi"/>
      <w:b/>
      <w:iCs/>
      <w:color w:val="2F5496" w:themeColor="accent1" w:themeShade="BF"/>
      <w:sz w:val="28"/>
      <w:lang w:eastAsia="en-AU"/>
    </w:rPr>
  </w:style>
  <w:style w:type="paragraph" w:customStyle="1" w:styleId="Heading4-Chapter1131">
    <w:name w:val="Heading 4 - Chapter 11.3.1"/>
    <w:basedOn w:val="Heading4"/>
    <w:link w:val="Heading4-Chapter1131Char"/>
    <w:qFormat/>
    <w:rsid w:val="00C16758"/>
    <w:pPr>
      <w:numPr>
        <w:numId w:val="226"/>
      </w:numPr>
      <w:tabs>
        <w:tab w:val="left" w:pos="1134"/>
      </w:tabs>
      <w:ind w:left="0" w:firstLine="0"/>
    </w:pPr>
  </w:style>
  <w:style w:type="character" w:customStyle="1" w:styleId="Heading3-Chapter113Char">
    <w:name w:val="Heading 3 - Chapter 11.3 Char"/>
    <w:basedOn w:val="Heading3Char"/>
    <w:link w:val="Heading3-Chapter113"/>
    <w:rsid w:val="00C16758"/>
    <w:rPr>
      <w:rFonts w:eastAsia="Times New Roman" w:cstheme="minorHAnsi"/>
      <w:b/>
      <w:color w:val="2E74B5" w:themeColor="accent5" w:themeShade="BF"/>
      <w:sz w:val="32"/>
      <w:szCs w:val="24"/>
    </w:rPr>
  </w:style>
  <w:style w:type="paragraph" w:customStyle="1" w:styleId="Heading4-Chapter1132">
    <w:name w:val="Heading 4 - Chapter 11.3.2"/>
    <w:basedOn w:val="Heading4"/>
    <w:link w:val="Heading4-Chapter1132Char"/>
    <w:qFormat/>
    <w:rsid w:val="00C16758"/>
    <w:pPr>
      <w:numPr>
        <w:numId w:val="229"/>
      </w:numPr>
      <w:spacing w:before="120"/>
      <w:ind w:left="1021" w:hanging="1021"/>
    </w:pPr>
  </w:style>
  <w:style w:type="character" w:customStyle="1" w:styleId="Heading4-Chapter1131Char">
    <w:name w:val="Heading 4 - Chapter 11.3.1 Char"/>
    <w:basedOn w:val="Heading4Char"/>
    <w:link w:val="Heading4-Chapter1131"/>
    <w:rsid w:val="00C16758"/>
    <w:rPr>
      <w:rFonts w:eastAsiaTheme="majorEastAsia" w:cstheme="minorHAnsi"/>
      <w:b/>
      <w:iCs/>
      <w:color w:val="2F5496" w:themeColor="accent1" w:themeShade="BF"/>
      <w:sz w:val="28"/>
      <w:lang w:eastAsia="en-AU"/>
    </w:rPr>
  </w:style>
  <w:style w:type="paragraph" w:customStyle="1" w:styleId="Heading4-Chapter1133">
    <w:name w:val="Heading 4 - Chapter 11.3.3"/>
    <w:basedOn w:val="Heading4"/>
    <w:link w:val="Heading4-Chapter1133Char"/>
    <w:qFormat/>
    <w:rsid w:val="00C16758"/>
    <w:pPr>
      <w:numPr>
        <w:numId w:val="228"/>
      </w:numPr>
      <w:tabs>
        <w:tab w:val="left" w:pos="1134"/>
      </w:tabs>
      <w:spacing w:before="120"/>
      <w:ind w:left="0" w:firstLine="0"/>
    </w:pPr>
  </w:style>
  <w:style w:type="character" w:customStyle="1" w:styleId="Heading4-Chapter1132Char">
    <w:name w:val="Heading 4 - Chapter 11.3.2 Char"/>
    <w:basedOn w:val="Heading4Char"/>
    <w:link w:val="Heading4-Chapter1132"/>
    <w:rsid w:val="00C16758"/>
    <w:rPr>
      <w:rFonts w:eastAsiaTheme="majorEastAsia" w:cstheme="minorHAnsi"/>
      <w:b/>
      <w:iCs/>
      <w:color w:val="2F5496" w:themeColor="accent1" w:themeShade="BF"/>
      <w:sz w:val="28"/>
      <w:lang w:eastAsia="en-AU"/>
    </w:rPr>
  </w:style>
  <w:style w:type="paragraph" w:customStyle="1" w:styleId="Heading4-Chapter1134">
    <w:name w:val="Heading 4 - Chapter 11.3.4"/>
    <w:basedOn w:val="Heading4"/>
    <w:link w:val="Heading4-Chapter1134Char"/>
    <w:qFormat/>
    <w:rsid w:val="00CD2081"/>
    <w:pPr>
      <w:numPr>
        <w:numId w:val="230"/>
      </w:numPr>
      <w:ind w:left="1134" w:hanging="1134"/>
    </w:pPr>
  </w:style>
  <w:style w:type="character" w:customStyle="1" w:styleId="Heading4-Chapter1133Char">
    <w:name w:val="Heading 4 - Chapter 11.3.3 Char"/>
    <w:basedOn w:val="Heading4Char"/>
    <w:link w:val="Heading4-Chapter1133"/>
    <w:rsid w:val="00C16758"/>
    <w:rPr>
      <w:rFonts w:eastAsiaTheme="majorEastAsia" w:cstheme="minorHAnsi"/>
      <w:b/>
      <w:iCs/>
      <w:color w:val="2F5496" w:themeColor="accent1" w:themeShade="BF"/>
      <w:sz w:val="28"/>
      <w:lang w:eastAsia="en-AU"/>
    </w:rPr>
  </w:style>
  <w:style w:type="paragraph" w:customStyle="1" w:styleId="Heading3-Chapter114">
    <w:name w:val="Heading 3 - Chapter 11.4"/>
    <w:basedOn w:val="Heading3"/>
    <w:link w:val="Heading3-Chapter114Char"/>
    <w:qFormat/>
    <w:rsid w:val="00CD2081"/>
    <w:pPr>
      <w:numPr>
        <w:numId w:val="231"/>
      </w:numPr>
      <w:spacing w:before="120"/>
      <w:ind w:left="964" w:hanging="964"/>
    </w:pPr>
  </w:style>
  <w:style w:type="character" w:customStyle="1" w:styleId="Heading4-Chapter1134Char">
    <w:name w:val="Heading 4 - Chapter 11.3.4 Char"/>
    <w:basedOn w:val="Heading4Char"/>
    <w:link w:val="Heading4-Chapter1134"/>
    <w:rsid w:val="00CD2081"/>
    <w:rPr>
      <w:rFonts w:eastAsiaTheme="majorEastAsia" w:cstheme="minorHAnsi"/>
      <w:b/>
      <w:iCs/>
      <w:color w:val="2F5496" w:themeColor="accent1" w:themeShade="BF"/>
      <w:sz w:val="28"/>
      <w:lang w:eastAsia="en-AU"/>
    </w:rPr>
  </w:style>
  <w:style w:type="paragraph" w:customStyle="1" w:styleId="Heading4-Chapter1145">
    <w:name w:val="Heading 4 - Chapter 11.4.5"/>
    <w:basedOn w:val="Heading4"/>
    <w:link w:val="Heading4-Chapter1145Char"/>
    <w:qFormat/>
    <w:rsid w:val="00CD2081"/>
    <w:pPr>
      <w:numPr>
        <w:numId w:val="232"/>
      </w:numPr>
      <w:spacing w:before="120"/>
      <w:ind w:left="1134" w:hanging="1134"/>
    </w:pPr>
  </w:style>
  <w:style w:type="character" w:customStyle="1" w:styleId="Heading3-Chapter114Char">
    <w:name w:val="Heading 3 - Chapter 11.4 Char"/>
    <w:basedOn w:val="Heading3Char"/>
    <w:link w:val="Heading3-Chapter114"/>
    <w:rsid w:val="00CD2081"/>
    <w:rPr>
      <w:rFonts w:eastAsia="Times New Roman" w:cstheme="minorHAnsi"/>
      <w:b/>
      <w:color w:val="2E74B5" w:themeColor="accent5" w:themeShade="BF"/>
      <w:sz w:val="32"/>
      <w:szCs w:val="24"/>
    </w:rPr>
  </w:style>
  <w:style w:type="paragraph" w:customStyle="1" w:styleId="Heading3-Chapter122">
    <w:name w:val="Heading 3 - Chapter 12.2"/>
    <w:basedOn w:val="Heading3"/>
    <w:link w:val="Heading3-Chapter122Char"/>
    <w:qFormat/>
    <w:rsid w:val="0031656D"/>
    <w:pPr>
      <w:numPr>
        <w:numId w:val="233"/>
      </w:numPr>
      <w:tabs>
        <w:tab w:val="left" w:pos="993"/>
      </w:tabs>
      <w:spacing w:before="120"/>
      <w:ind w:left="0" w:firstLine="0"/>
    </w:pPr>
  </w:style>
  <w:style w:type="character" w:customStyle="1" w:styleId="Heading4-Chapter1145Char">
    <w:name w:val="Heading 4 - Chapter 11.4.5 Char"/>
    <w:basedOn w:val="Heading4Char"/>
    <w:link w:val="Heading4-Chapter1145"/>
    <w:rsid w:val="00CD2081"/>
    <w:rPr>
      <w:rFonts w:eastAsiaTheme="majorEastAsia" w:cstheme="minorHAnsi"/>
      <w:b/>
      <w:iCs/>
      <w:color w:val="2F5496" w:themeColor="accent1" w:themeShade="BF"/>
      <w:sz w:val="28"/>
      <w:lang w:eastAsia="en-AU"/>
    </w:rPr>
  </w:style>
  <w:style w:type="character" w:customStyle="1" w:styleId="Heading3-Chapter122Char">
    <w:name w:val="Heading 3 - Chapter 12.2 Char"/>
    <w:basedOn w:val="Heading3Char"/>
    <w:link w:val="Heading3-Chapter122"/>
    <w:rsid w:val="0031656D"/>
    <w:rPr>
      <w:rFonts w:eastAsia="Times New Roman" w:cstheme="minorHAnsi"/>
      <w:b/>
      <w:color w:val="2E74B5" w:themeColor="accent5" w:themeShade="BF"/>
      <w:sz w:val="32"/>
      <w:szCs w:val="24"/>
    </w:rPr>
  </w:style>
  <w:style w:type="paragraph" w:customStyle="1" w:styleId="Heading4-Chapter545">
    <w:name w:val="Heading 4 - Chapter 5.4.5"/>
    <w:basedOn w:val="Heading4"/>
    <w:link w:val="Heading4-Chapter545Char"/>
    <w:qFormat/>
    <w:rsid w:val="001443BC"/>
    <w:pPr>
      <w:numPr>
        <w:numId w:val="210"/>
      </w:numPr>
      <w:ind w:left="907" w:hanging="907"/>
    </w:pPr>
  </w:style>
  <w:style w:type="paragraph" w:customStyle="1" w:styleId="Heading4-Chapter632">
    <w:name w:val="Heading 4 - Chapter 6.3.2"/>
    <w:basedOn w:val="Heading4"/>
    <w:link w:val="Heading4-Chapter632Char"/>
    <w:qFormat/>
    <w:rsid w:val="007439AD"/>
    <w:pPr>
      <w:numPr>
        <w:numId w:val="240"/>
      </w:numPr>
      <w:tabs>
        <w:tab w:val="left" w:pos="993"/>
      </w:tabs>
      <w:spacing w:before="120"/>
      <w:ind w:left="0" w:firstLine="0"/>
    </w:pPr>
  </w:style>
  <w:style w:type="character" w:customStyle="1" w:styleId="Heading4-Chapter545Char">
    <w:name w:val="Heading 4 - Chapter 5.4.5 Char"/>
    <w:basedOn w:val="Heading4Char"/>
    <w:link w:val="Heading4-Chapter545"/>
    <w:rsid w:val="001443BC"/>
    <w:rPr>
      <w:rFonts w:eastAsiaTheme="majorEastAsia" w:cstheme="minorHAnsi"/>
      <w:b/>
      <w:iCs/>
      <w:color w:val="2F5496" w:themeColor="accent1" w:themeShade="BF"/>
      <w:sz w:val="28"/>
      <w:lang w:eastAsia="en-AU"/>
    </w:rPr>
  </w:style>
  <w:style w:type="paragraph" w:customStyle="1" w:styleId="Heading3-Chapter64">
    <w:name w:val="Heading 3 - Chapter 6.4"/>
    <w:basedOn w:val="Heading3"/>
    <w:link w:val="Heading3-Chapter64Char"/>
    <w:qFormat/>
    <w:rsid w:val="001305B2"/>
    <w:pPr>
      <w:numPr>
        <w:numId w:val="241"/>
      </w:numPr>
      <w:tabs>
        <w:tab w:val="left" w:pos="851"/>
      </w:tabs>
      <w:ind w:left="0" w:firstLine="0"/>
    </w:pPr>
  </w:style>
  <w:style w:type="character" w:customStyle="1" w:styleId="Heading4-Chapter632Char">
    <w:name w:val="Heading 4 - Chapter 6.3.2 Char"/>
    <w:basedOn w:val="Heading4Char"/>
    <w:link w:val="Heading4-Chapter632"/>
    <w:rsid w:val="007439AD"/>
    <w:rPr>
      <w:rFonts w:eastAsiaTheme="majorEastAsia" w:cstheme="minorHAnsi"/>
      <w:b/>
      <w:iCs/>
      <w:color w:val="2F5496" w:themeColor="accent1" w:themeShade="BF"/>
      <w:sz w:val="28"/>
      <w:lang w:eastAsia="en-AU"/>
    </w:rPr>
  </w:style>
  <w:style w:type="paragraph" w:customStyle="1" w:styleId="Heading3-Chapter115">
    <w:name w:val="Heading 3 - Chapter 11.5"/>
    <w:basedOn w:val="Heading3"/>
    <w:link w:val="Heading3-Chapter115Char"/>
    <w:qFormat/>
    <w:rsid w:val="00886A0C"/>
  </w:style>
  <w:style w:type="character" w:customStyle="1" w:styleId="Heading3-Chapter64Char">
    <w:name w:val="Heading 3 - Chapter 6.4 Char"/>
    <w:basedOn w:val="Heading3Char"/>
    <w:link w:val="Heading3-Chapter64"/>
    <w:rsid w:val="001305B2"/>
    <w:rPr>
      <w:rFonts w:eastAsia="Times New Roman" w:cstheme="minorHAnsi"/>
      <w:b/>
      <w:color w:val="2E74B5" w:themeColor="accent5" w:themeShade="BF"/>
      <w:sz w:val="32"/>
      <w:szCs w:val="24"/>
    </w:rPr>
  </w:style>
  <w:style w:type="character" w:customStyle="1" w:styleId="Heading3-Chapter115Char">
    <w:name w:val="Heading 3 - Chapter 11.5 Char"/>
    <w:basedOn w:val="Heading3Char"/>
    <w:link w:val="Heading3-Chapter115"/>
    <w:rsid w:val="00886A0C"/>
    <w:rPr>
      <w:rFonts w:eastAsia="Times New Roman" w:cstheme="minorHAnsi"/>
      <w:b/>
      <w:color w:val="2E74B5" w:themeColor="accent5" w:themeShade="BF"/>
      <w:sz w:val="32"/>
      <w:szCs w:val="24"/>
    </w:rPr>
  </w:style>
  <w:style w:type="paragraph" w:customStyle="1" w:styleId="Heading4-Chapter222">
    <w:name w:val="Heading 4 - Chapter 2.2.2"/>
    <w:basedOn w:val="Heading4"/>
    <w:link w:val="Heading4-Chapter222Char"/>
    <w:qFormat/>
    <w:rsid w:val="00730D08"/>
    <w:pPr>
      <w:numPr>
        <w:numId w:val="268"/>
      </w:numPr>
      <w:tabs>
        <w:tab w:val="left" w:pos="993"/>
      </w:tabs>
      <w:ind w:left="0" w:firstLine="0"/>
    </w:pPr>
  </w:style>
  <w:style w:type="paragraph" w:customStyle="1" w:styleId="Heading4-Chapter622">
    <w:name w:val="Heading 4 - Chapter 6.2.2"/>
    <w:basedOn w:val="Heading4"/>
    <w:link w:val="Heading4-Chapter622Char"/>
    <w:qFormat/>
    <w:rsid w:val="00B33CC9"/>
    <w:pPr>
      <w:numPr>
        <w:numId w:val="269"/>
      </w:numPr>
      <w:tabs>
        <w:tab w:val="left" w:pos="993"/>
      </w:tabs>
      <w:ind w:left="0" w:firstLine="0"/>
    </w:pPr>
  </w:style>
  <w:style w:type="character" w:customStyle="1" w:styleId="Heading4-Chapter222Char">
    <w:name w:val="Heading 4 - Chapter 2.2.2 Char"/>
    <w:basedOn w:val="Heading4Char"/>
    <w:link w:val="Heading4-Chapter222"/>
    <w:rsid w:val="00730D08"/>
    <w:rPr>
      <w:rFonts w:eastAsiaTheme="majorEastAsia" w:cstheme="minorHAnsi"/>
      <w:b/>
      <w:iCs/>
      <w:color w:val="2F5496" w:themeColor="accent1" w:themeShade="BF"/>
      <w:sz w:val="28"/>
      <w:lang w:eastAsia="en-AU"/>
    </w:rPr>
  </w:style>
  <w:style w:type="character" w:customStyle="1" w:styleId="Heading4-Chapter622Char">
    <w:name w:val="Heading 4 - Chapter 6.2.2 Char"/>
    <w:basedOn w:val="Heading4Char"/>
    <w:link w:val="Heading4-Chapter622"/>
    <w:rsid w:val="00B33CC9"/>
    <w:rPr>
      <w:rFonts w:eastAsiaTheme="majorEastAsia" w:cstheme="minorHAnsi"/>
      <w:b/>
      <w:iCs/>
      <w:color w:val="2F5496" w:themeColor="accent1" w:themeShade="BF"/>
      <w:sz w:val="2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90122">
      <w:bodyDiv w:val="1"/>
      <w:marLeft w:val="0"/>
      <w:marRight w:val="0"/>
      <w:marTop w:val="0"/>
      <w:marBottom w:val="0"/>
      <w:divBdr>
        <w:top w:val="none" w:sz="0" w:space="0" w:color="auto"/>
        <w:left w:val="none" w:sz="0" w:space="0" w:color="auto"/>
        <w:bottom w:val="none" w:sz="0" w:space="0" w:color="auto"/>
        <w:right w:val="none" w:sz="0" w:space="0" w:color="auto"/>
      </w:divBdr>
    </w:div>
    <w:div w:id="111439255">
      <w:bodyDiv w:val="1"/>
      <w:marLeft w:val="0"/>
      <w:marRight w:val="0"/>
      <w:marTop w:val="0"/>
      <w:marBottom w:val="0"/>
      <w:divBdr>
        <w:top w:val="none" w:sz="0" w:space="0" w:color="auto"/>
        <w:left w:val="none" w:sz="0" w:space="0" w:color="auto"/>
        <w:bottom w:val="none" w:sz="0" w:space="0" w:color="auto"/>
        <w:right w:val="none" w:sz="0" w:space="0" w:color="auto"/>
      </w:divBdr>
    </w:div>
    <w:div w:id="130904260">
      <w:bodyDiv w:val="1"/>
      <w:marLeft w:val="0"/>
      <w:marRight w:val="0"/>
      <w:marTop w:val="0"/>
      <w:marBottom w:val="0"/>
      <w:divBdr>
        <w:top w:val="none" w:sz="0" w:space="0" w:color="auto"/>
        <w:left w:val="none" w:sz="0" w:space="0" w:color="auto"/>
        <w:bottom w:val="none" w:sz="0" w:space="0" w:color="auto"/>
        <w:right w:val="none" w:sz="0" w:space="0" w:color="auto"/>
      </w:divBdr>
    </w:div>
    <w:div w:id="135998996">
      <w:bodyDiv w:val="1"/>
      <w:marLeft w:val="0"/>
      <w:marRight w:val="0"/>
      <w:marTop w:val="0"/>
      <w:marBottom w:val="0"/>
      <w:divBdr>
        <w:top w:val="none" w:sz="0" w:space="0" w:color="auto"/>
        <w:left w:val="none" w:sz="0" w:space="0" w:color="auto"/>
        <w:bottom w:val="none" w:sz="0" w:space="0" w:color="auto"/>
        <w:right w:val="none" w:sz="0" w:space="0" w:color="auto"/>
      </w:divBdr>
      <w:divsChild>
        <w:div w:id="396511909">
          <w:marLeft w:val="547"/>
          <w:marRight w:val="0"/>
          <w:marTop w:val="128"/>
          <w:marBottom w:val="0"/>
          <w:divBdr>
            <w:top w:val="none" w:sz="0" w:space="0" w:color="auto"/>
            <w:left w:val="none" w:sz="0" w:space="0" w:color="auto"/>
            <w:bottom w:val="none" w:sz="0" w:space="0" w:color="auto"/>
            <w:right w:val="none" w:sz="0" w:space="0" w:color="auto"/>
          </w:divBdr>
        </w:div>
        <w:div w:id="889878240">
          <w:marLeft w:val="547"/>
          <w:marRight w:val="0"/>
          <w:marTop w:val="128"/>
          <w:marBottom w:val="0"/>
          <w:divBdr>
            <w:top w:val="none" w:sz="0" w:space="0" w:color="auto"/>
            <w:left w:val="none" w:sz="0" w:space="0" w:color="auto"/>
            <w:bottom w:val="none" w:sz="0" w:space="0" w:color="auto"/>
            <w:right w:val="none" w:sz="0" w:space="0" w:color="auto"/>
          </w:divBdr>
        </w:div>
        <w:div w:id="1697460281">
          <w:marLeft w:val="547"/>
          <w:marRight w:val="0"/>
          <w:marTop w:val="128"/>
          <w:marBottom w:val="0"/>
          <w:divBdr>
            <w:top w:val="none" w:sz="0" w:space="0" w:color="auto"/>
            <w:left w:val="none" w:sz="0" w:space="0" w:color="auto"/>
            <w:bottom w:val="none" w:sz="0" w:space="0" w:color="auto"/>
            <w:right w:val="none" w:sz="0" w:space="0" w:color="auto"/>
          </w:divBdr>
        </w:div>
      </w:divsChild>
    </w:div>
    <w:div w:id="165247033">
      <w:bodyDiv w:val="1"/>
      <w:marLeft w:val="0"/>
      <w:marRight w:val="0"/>
      <w:marTop w:val="0"/>
      <w:marBottom w:val="0"/>
      <w:divBdr>
        <w:top w:val="none" w:sz="0" w:space="0" w:color="auto"/>
        <w:left w:val="none" w:sz="0" w:space="0" w:color="auto"/>
        <w:bottom w:val="none" w:sz="0" w:space="0" w:color="auto"/>
        <w:right w:val="none" w:sz="0" w:space="0" w:color="auto"/>
      </w:divBdr>
    </w:div>
    <w:div w:id="171072148">
      <w:bodyDiv w:val="1"/>
      <w:marLeft w:val="0"/>
      <w:marRight w:val="0"/>
      <w:marTop w:val="0"/>
      <w:marBottom w:val="0"/>
      <w:divBdr>
        <w:top w:val="none" w:sz="0" w:space="0" w:color="auto"/>
        <w:left w:val="none" w:sz="0" w:space="0" w:color="auto"/>
        <w:bottom w:val="none" w:sz="0" w:space="0" w:color="auto"/>
        <w:right w:val="none" w:sz="0" w:space="0" w:color="auto"/>
      </w:divBdr>
    </w:div>
    <w:div w:id="240257885">
      <w:bodyDiv w:val="1"/>
      <w:marLeft w:val="0"/>
      <w:marRight w:val="0"/>
      <w:marTop w:val="0"/>
      <w:marBottom w:val="0"/>
      <w:divBdr>
        <w:top w:val="none" w:sz="0" w:space="0" w:color="auto"/>
        <w:left w:val="none" w:sz="0" w:space="0" w:color="auto"/>
        <w:bottom w:val="none" w:sz="0" w:space="0" w:color="auto"/>
        <w:right w:val="none" w:sz="0" w:space="0" w:color="auto"/>
      </w:divBdr>
    </w:div>
    <w:div w:id="244581415">
      <w:bodyDiv w:val="1"/>
      <w:marLeft w:val="0"/>
      <w:marRight w:val="0"/>
      <w:marTop w:val="0"/>
      <w:marBottom w:val="0"/>
      <w:divBdr>
        <w:top w:val="none" w:sz="0" w:space="0" w:color="auto"/>
        <w:left w:val="none" w:sz="0" w:space="0" w:color="auto"/>
        <w:bottom w:val="none" w:sz="0" w:space="0" w:color="auto"/>
        <w:right w:val="none" w:sz="0" w:space="0" w:color="auto"/>
      </w:divBdr>
    </w:div>
    <w:div w:id="258101181">
      <w:bodyDiv w:val="1"/>
      <w:marLeft w:val="0"/>
      <w:marRight w:val="0"/>
      <w:marTop w:val="0"/>
      <w:marBottom w:val="0"/>
      <w:divBdr>
        <w:top w:val="none" w:sz="0" w:space="0" w:color="auto"/>
        <w:left w:val="none" w:sz="0" w:space="0" w:color="auto"/>
        <w:bottom w:val="none" w:sz="0" w:space="0" w:color="auto"/>
        <w:right w:val="none" w:sz="0" w:space="0" w:color="auto"/>
      </w:divBdr>
    </w:div>
    <w:div w:id="291136385">
      <w:bodyDiv w:val="1"/>
      <w:marLeft w:val="0"/>
      <w:marRight w:val="0"/>
      <w:marTop w:val="0"/>
      <w:marBottom w:val="0"/>
      <w:divBdr>
        <w:top w:val="none" w:sz="0" w:space="0" w:color="auto"/>
        <w:left w:val="none" w:sz="0" w:space="0" w:color="auto"/>
        <w:bottom w:val="none" w:sz="0" w:space="0" w:color="auto"/>
        <w:right w:val="none" w:sz="0" w:space="0" w:color="auto"/>
      </w:divBdr>
    </w:div>
    <w:div w:id="320894799">
      <w:bodyDiv w:val="1"/>
      <w:marLeft w:val="0"/>
      <w:marRight w:val="0"/>
      <w:marTop w:val="0"/>
      <w:marBottom w:val="0"/>
      <w:divBdr>
        <w:top w:val="none" w:sz="0" w:space="0" w:color="auto"/>
        <w:left w:val="none" w:sz="0" w:space="0" w:color="auto"/>
        <w:bottom w:val="none" w:sz="0" w:space="0" w:color="auto"/>
        <w:right w:val="none" w:sz="0" w:space="0" w:color="auto"/>
      </w:divBdr>
    </w:div>
    <w:div w:id="328752692">
      <w:bodyDiv w:val="1"/>
      <w:marLeft w:val="0"/>
      <w:marRight w:val="0"/>
      <w:marTop w:val="0"/>
      <w:marBottom w:val="0"/>
      <w:divBdr>
        <w:top w:val="none" w:sz="0" w:space="0" w:color="auto"/>
        <w:left w:val="none" w:sz="0" w:space="0" w:color="auto"/>
        <w:bottom w:val="none" w:sz="0" w:space="0" w:color="auto"/>
        <w:right w:val="none" w:sz="0" w:space="0" w:color="auto"/>
      </w:divBdr>
    </w:div>
    <w:div w:id="333462806">
      <w:bodyDiv w:val="1"/>
      <w:marLeft w:val="0"/>
      <w:marRight w:val="0"/>
      <w:marTop w:val="0"/>
      <w:marBottom w:val="0"/>
      <w:divBdr>
        <w:top w:val="none" w:sz="0" w:space="0" w:color="auto"/>
        <w:left w:val="none" w:sz="0" w:space="0" w:color="auto"/>
        <w:bottom w:val="none" w:sz="0" w:space="0" w:color="auto"/>
        <w:right w:val="none" w:sz="0" w:space="0" w:color="auto"/>
      </w:divBdr>
    </w:div>
    <w:div w:id="338194013">
      <w:bodyDiv w:val="1"/>
      <w:marLeft w:val="0"/>
      <w:marRight w:val="0"/>
      <w:marTop w:val="0"/>
      <w:marBottom w:val="0"/>
      <w:divBdr>
        <w:top w:val="none" w:sz="0" w:space="0" w:color="auto"/>
        <w:left w:val="none" w:sz="0" w:space="0" w:color="auto"/>
        <w:bottom w:val="none" w:sz="0" w:space="0" w:color="auto"/>
        <w:right w:val="none" w:sz="0" w:space="0" w:color="auto"/>
      </w:divBdr>
      <w:divsChild>
        <w:div w:id="1082335100">
          <w:marLeft w:val="547"/>
          <w:marRight w:val="0"/>
          <w:marTop w:val="128"/>
          <w:marBottom w:val="0"/>
          <w:divBdr>
            <w:top w:val="none" w:sz="0" w:space="0" w:color="auto"/>
            <w:left w:val="none" w:sz="0" w:space="0" w:color="auto"/>
            <w:bottom w:val="none" w:sz="0" w:space="0" w:color="auto"/>
            <w:right w:val="none" w:sz="0" w:space="0" w:color="auto"/>
          </w:divBdr>
        </w:div>
        <w:div w:id="1384140536">
          <w:marLeft w:val="547"/>
          <w:marRight w:val="0"/>
          <w:marTop w:val="128"/>
          <w:marBottom w:val="0"/>
          <w:divBdr>
            <w:top w:val="none" w:sz="0" w:space="0" w:color="auto"/>
            <w:left w:val="none" w:sz="0" w:space="0" w:color="auto"/>
            <w:bottom w:val="none" w:sz="0" w:space="0" w:color="auto"/>
            <w:right w:val="none" w:sz="0" w:space="0" w:color="auto"/>
          </w:divBdr>
        </w:div>
      </w:divsChild>
    </w:div>
    <w:div w:id="350618254">
      <w:bodyDiv w:val="1"/>
      <w:marLeft w:val="0"/>
      <w:marRight w:val="0"/>
      <w:marTop w:val="0"/>
      <w:marBottom w:val="0"/>
      <w:divBdr>
        <w:top w:val="none" w:sz="0" w:space="0" w:color="auto"/>
        <w:left w:val="none" w:sz="0" w:space="0" w:color="auto"/>
        <w:bottom w:val="none" w:sz="0" w:space="0" w:color="auto"/>
        <w:right w:val="none" w:sz="0" w:space="0" w:color="auto"/>
      </w:divBdr>
    </w:div>
    <w:div w:id="418722753">
      <w:bodyDiv w:val="1"/>
      <w:marLeft w:val="0"/>
      <w:marRight w:val="0"/>
      <w:marTop w:val="0"/>
      <w:marBottom w:val="0"/>
      <w:divBdr>
        <w:top w:val="none" w:sz="0" w:space="0" w:color="auto"/>
        <w:left w:val="none" w:sz="0" w:space="0" w:color="auto"/>
        <w:bottom w:val="none" w:sz="0" w:space="0" w:color="auto"/>
        <w:right w:val="none" w:sz="0" w:space="0" w:color="auto"/>
      </w:divBdr>
    </w:div>
    <w:div w:id="426658885">
      <w:bodyDiv w:val="1"/>
      <w:marLeft w:val="0"/>
      <w:marRight w:val="0"/>
      <w:marTop w:val="0"/>
      <w:marBottom w:val="0"/>
      <w:divBdr>
        <w:top w:val="none" w:sz="0" w:space="0" w:color="auto"/>
        <w:left w:val="none" w:sz="0" w:space="0" w:color="auto"/>
        <w:bottom w:val="none" w:sz="0" w:space="0" w:color="auto"/>
        <w:right w:val="none" w:sz="0" w:space="0" w:color="auto"/>
      </w:divBdr>
    </w:div>
    <w:div w:id="490217039">
      <w:bodyDiv w:val="1"/>
      <w:marLeft w:val="0"/>
      <w:marRight w:val="0"/>
      <w:marTop w:val="0"/>
      <w:marBottom w:val="0"/>
      <w:divBdr>
        <w:top w:val="none" w:sz="0" w:space="0" w:color="auto"/>
        <w:left w:val="none" w:sz="0" w:space="0" w:color="auto"/>
        <w:bottom w:val="none" w:sz="0" w:space="0" w:color="auto"/>
        <w:right w:val="none" w:sz="0" w:space="0" w:color="auto"/>
      </w:divBdr>
    </w:div>
    <w:div w:id="502746550">
      <w:bodyDiv w:val="1"/>
      <w:marLeft w:val="0"/>
      <w:marRight w:val="0"/>
      <w:marTop w:val="0"/>
      <w:marBottom w:val="0"/>
      <w:divBdr>
        <w:top w:val="none" w:sz="0" w:space="0" w:color="auto"/>
        <w:left w:val="none" w:sz="0" w:space="0" w:color="auto"/>
        <w:bottom w:val="none" w:sz="0" w:space="0" w:color="auto"/>
        <w:right w:val="none" w:sz="0" w:space="0" w:color="auto"/>
      </w:divBdr>
    </w:div>
    <w:div w:id="543834161">
      <w:bodyDiv w:val="1"/>
      <w:marLeft w:val="0"/>
      <w:marRight w:val="0"/>
      <w:marTop w:val="0"/>
      <w:marBottom w:val="0"/>
      <w:divBdr>
        <w:top w:val="none" w:sz="0" w:space="0" w:color="auto"/>
        <w:left w:val="none" w:sz="0" w:space="0" w:color="auto"/>
        <w:bottom w:val="none" w:sz="0" w:space="0" w:color="auto"/>
        <w:right w:val="none" w:sz="0" w:space="0" w:color="auto"/>
      </w:divBdr>
    </w:div>
    <w:div w:id="556165532">
      <w:bodyDiv w:val="1"/>
      <w:marLeft w:val="0"/>
      <w:marRight w:val="0"/>
      <w:marTop w:val="0"/>
      <w:marBottom w:val="0"/>
      <w:divBdr>
        <w:top w:val="none" w:sz="0" w:space="0" w:color="auto"/>
        <w:left w:val="none" w:sz="0" w:space="0" w:color="auto"/>
        <w:bottom w:val="none" w:sz="0" w:space="0" w:color="auto"/>
        <w:right w:val="none" w:sz="0" w:space="0" w:color="auto"/>
      </w:divBdr>
    </w:div>
    <w:div w:id="583302884">
      <w:bodyDiv w:val="1"/>
      <w:marLeft w:val="0"/>
      <w:marRight w:val="0"/>
      <w:marTop w:val="0"/>
      <w:marBottom w:val="0"/>
      <w:divBdr>
        <w:top w:val="none" w:sz="0" w:space="0" w:color="auto"/>
        <w:left w:val="none" w:sz="0" w:space="0" w:color="auto"/>
        <w:bottom w:val="none" w:sz="0" w:space="0" w:color="auto"/>
        <w:right w:val="none" w:sz="0" w:space="0" w:color="auto"/>
      </w:divBdr>
    </w:div>
    <w:div w:id="685441471">
      <w:bodyDiv w:val="1"/>
      <w:marLeft w:val="0"/>
      <w:marRight w:val="0"/>
      <w:marTop w:val="0"/>
      <w:marBottom w:val="0"/>
      <w:divBdr>
        <w:top w:val="none" w:sz="0" w:space="0" w:color="auto"/>
        <w:left w:val="none" w:sz="0" w:space="0" w:color="auto"/>
        <w:bottom w:val="none" w:sz="0" w:space="0" w:color="auto"/>
        <w:right w:val="none" w:sz="0" w:space="0" w:color="auto"/>
      </w:divBdr>
    </w:div>
    <w:div w:id="727463034">
      <w:bodyDiv w:val="1"/>
      <w:marLeft w:val="0"/>
      <w:marRight w:val="0"/>
      <w:marTop w:val="0"/>
      <w:marBottom w:val="0"/>
      <w:divBdr>
        <w:top w:val="none" w:sz="0" w:space="0" w:color="auto"/>
        <w:left w:val="none" w:sz="0" w:space="0" w:color="auto"/>
        <w:bottom w:val="none" w:sz="0" w:space="0" w:color="auto"/>
        <w:right w:val="none" w:sz="0" w:space="0" w:color="auto"/>
      </w:divBdr>
    </w:div>
    <w:div w:id="769088843">
      <w:bodyDiv w:val="1"/>
      <w:marLeft w:val="0"/>
      <w:marRight w:val="0"/>
      <w:marTop w:val="0"/>
      <w:marBottom w:val="0"/>
      <w:divBdr>
        <w:top w:val="none" w:sz="0" w:space="0" w:color="auto"/>
        <w:left w:val="none" w:sz="0" w:space="0" w:color="auto"/>
        <w:bottom w:val="none" w:sz="0" w:space="0" w:color="auto"/>
        <w:right w:val="none" w:sz="0" w:space="0" w:color="auto"/>
      </w:divBdr>
    </w:div>
    <w:div w:id="784352766">
      <w:bodyDiv w:val="1"/>
      <w:marLeft w:val="0"/>
      <w:marRight w:val="0"/>
      <w:marTop w:val="0"/>
      <w:marBottom w:val="0"/>
      <w:divBdr>
        <w:top w:val="none" w:sz="0" w:space="0" w:color="auto"/>
        <w:left w:val="none" w:sz="0" w:space="0" w:color="auto"/>
        <w:bottom w:val="none" w:sz="0" w:space="0" w:color="auto"/>
        <w:right w:val="none" w:sz="0" w:space="0" w:color="auto"/>
      </w:divBdr>
    </w:div>
    <w:div w:id="804398521">
      <w:bodyDiv w:val="1"/>
      <w:marLeft w:val="0"/>
      <w:marRight w:val="0"/>
      <w:marTop w:val="0"/>
      <w:marBottom w:val="0"/>
      <w:divBdr>
        <w:top w:val="none" w:sz="0" w:space="0" w:color="auto"/>
        <w:left w:val="none" w:sz="0" w:space="0" w:color="auto"/>
        <w:bottom w:val="none" w:sz="0" w:space="0" w:color="auto"/>
        <w:right w:val="none" w:sz="0" w:space="0" w:color="auto"/>
      </w:divBdr>
    </w:div>
    <w:div w:id="852459047">
      <w:bodyDiv w:val="1"/>
      <w:marLeft w:val="0"/>
      <w:marRight w:val="0"/>
      <w:marTop w:val="0"/>
      <w:marBottom w:val="0"/>
      <w:divBdr>
        <w:top w:val="none" w:sz="0" w:space="0" w:color="auto"/>
        <w:left w:val="none" w:sz="0" w:space="0" w:color="auto"/>
        <w:bottom w:val="none" w:sz="0" w:space="0" w:color="auto"/>
        <w:right w:val="none" w:sz="0" w:space="0" w:color="auto"/>
      </w:divBdr>
    </w:div>
    <w:div w:id="883784985">
      <w:bodyDiv w:val="1"/>
      <w:marLeft w:val="0"/>
      <w:marRight w:val="0"/>
      <w:marTop w:val="0"/>
      <w:marBottom w:val="0"/>
      <w:divBdr>
        <w:top w:val="none" w:sz="0" w:space="0" w:color="auto"/>
        <w:left w:val="none" w:sz="0" w:space="0" w:color="auto"/>
        <w:bottom w:val="none" w:sz="0" w:space="0" w:color="auto"/>
        <w:right w:val="none" w:sz="0" w:space="0" w:color="auto"/>
      </w:divBdr>
    </w:div>
    <w:div w:id="896477687">
      <w:bodyDiv w:val="1"/>
      <w:marLeft w:val="0"/>
      <w:marRight w:val="0"/>
      <w:marTop w:val="0"/>
      <w:marBottom w:val="0"/>
      <w:divBdr>
        <w:top w:val="none" w:sz="0" w:space="0" w:color="auto"/>
        <w:left w:val="none" w:sz="0" w:space="0" w:color="auto"/>
        <w:bottom w:val="none" w:sz="0" w:space="0" w:color="auto"/>
        <w:right w:val="none" w:sz="0" w:space="0" w:color="auto"/>
      </w:divBdr>
    </w:div>
    <w:div w:id="902763606">
      <w:bodyDiv w:val="1"/>
      <w:marLeft w:val="0"/>
      <w:marRight w:val="0"/>
      <w:marTop w:val="0"/>
      <w:marBottom w:val="0"/>
      <w:divBdr>
        <w:top w:val="none" w:sz="0" w:space="0" w:color="auto"/>
        <w:left w:val="none" w:sz="0" w:space="0" w:color="auto"/>
        <w:bottom w:val="none" w:sz="0" w:space="0" w:color="auto"/>
        <w:right w:val="none" w:sz="0" w:space="0" w:color="auto"/>
      </w:divBdr>
    </w:div>
    <w:div w:id="921379188">
      <w:bodyDiv w:val="1"/>
      <w:marLeft w:val="0"/>
      <w:marRight w:val="0"/>
      <w:marTop w:val="0"/>
      <w:marBottom w:val="0"/>
      <w:divBdr>
        <w:top w:val="none" w:sz="0" w:space="0" w:color="auto"/>
        <w:left w:val="none" w:sz="0" w:space="0" w:color="auto"/>
        <w:bottom w:val="none" w:sz="0" w:space="0" w:color="auto"/>
        <w:right w:val="none" w:sz="0" w:space="0" w:color="auto"/>
      </w:divBdr>
    </w:div>
    <w:div w:id="925000215">
      <w:bodyDiv w:val="1"/>
      <w:marLeft w:val="0"/>
      <w:marRight w:val="0"/>
      <w:marTop w:val="0"/>
      <w:marBottom w:val="0"/>
      <w:divBdr>
        <w:top w:val="none" w:sz="0" w:space="0" w:color="auto"/>
        <w:left w:val="none" w:sz="0" w:space="0" w:color="auto"/>
        <w:bottom w:val="none" w:sz="0" w:space="0" w:color="auto"/>
        <w:right w:val="none" w:sz="0" w:space="0" w:color="auto"/>
      </w:divBdr>
      <w:divsChild>
        <w:div w:id="128088524">
          <w:marLeft w:val="0"/>
          <w:marRight w:val="0"/>
          <w:marTop w:val="128"/>
          <w:marBottom w:val="0"/>
          <w:divBdr>
            <w:top w:val="none" w:sz="0" w:space="0" w:color="auto"/>
            <w:left w:val="none" w:sz="0" w:space="0" w:color="auto"/>
            <w:bottom w:val="none" w:sz="0" w:space="0" w:color="auto"/>
            <w:right w:val="none" w:sz="0" w:space="0" w:color="auto"/>
          </w:divBdr>
        </w:div>
        <w:div w:id="1355153579">
          <w:marLeft w:val="0"/>
          <w:marRight w:val="0"/>
          <w:marTop w:val="128"/>
          <w:marBottom w:val="0"/>
          <w:divBdr>
            <w:top w:val="none" w:sz="0" w:space="0" w:color="auto"/>
            <w:left w:val="none" w:sz="0" w:space="0" w:color="auto"/>
            <w:bottom w:val="none" w:sz="0" w:space="0" w:color="auto"/>
            <w:right w:val="none" w:sz="0" w:space="0" w:color="auto"/>
          </w:divBdr>
        </w:div>
        <w:div w:id="1494756155">
          <w:marLeft w:val="0"/>
          <w:marRight w:val="0"/>
          <w:marTop w:val="128"/>
          <w:marBottom w:val="0"/>
          <w:divBdr>
            <w:top w:val="none" w:sz="0" w:space="0" w:color="auto"/>
            <w:left w:val="none" w:sz="0" w:space="0" w:color="auto"/>
            <w:bottom w:val="none" w:sz="0" w:space="0" w:color="auto"/>
            <w:right w:val="none" w:sz="0" w:space="0" w:color="auto"/>
          </w:divBdr>
        </w:div>
        <w:div w:id="1692491902">
          <w:marLeft w:val="0"/>
          <w:marRight w:val="0"/>
          <w:marTop w:val="128"/>
          <w:marBottom w:val="0"/>
          <w:divBdr>
            <w:top w:val="none" w:sz="0" w:space="0" w:color="auto"/>
            <w:left w:val="none" w:sz="0" w:space="0" w:color="auto"/>
            <w:bottom w:val="none" w:sz="0" w:space="0" w:color="auto"/>
            <w:right w:val="none" w:sz="0" w:space="0" w:color="auto"/>
          </w:divBdr>
        </w:div>
      </w:divsChild>
    </w:div>
    <w:div w:id="928275842">
      <w:bodyDiv w:val="1"/>
      <w:marLeft w:val="0"/>
      <w:marRight w:val="0"/>
      <w:marTop w:val="0"/>
      <w:marBottom w:val="0"/>
      <w:divBdr>
        <w:top w:val="none" w:sz="0" w:space="0" w:color="auto"/>
        <w:left w:val="none" w:sz="0" w:space="0" w:color="auto"/>
        <w:bottom w:val="none" w:sz="0" w:space="0" w:color="auto"/>
        <w:right w:val="none" w:sz="0" w:space="0" w:color="auto"/>
      </w:divBdr>
    </w:div>
    <w:div w:id="949430124">
      <w:bodyDiv w:val="1"/>
      <w:marLeft w:val="0"/>
      <w:marRight w:val="0"/>
      <w:marTop w:val="0"/>
      <w:marBottom w:val="0"/>
      <w:divBdr>
        <w:top w:val="none" w:sz="0" w:space="0" w:color="auto"/>
        <w:left w:val="none" w:sz="0" w:space="0" w:color="auto"/>
        <w:bottom w:val="none" w:sz="0" w:space="0" w:color="auto"/>
        <w:right w:val="none" w:sz="0" w:space="0" w:color="auto"/>
      </w:divBdr>
      <w:divsChild>
        <w:div w:id="1362390479">
          <w:marLeft w:val="547"/>
          <w:marRight w:val="0"/>
          <w:marTop w:val="128"/>
          <w:marBottom w:val="0"/>
          <w:divBdr>
            <w:top w:val="none" w:sz="0" w:space="0" w:color="auto"/>
            <w:left w:val="none" w:sz="0" w:space="0" w:color="auto"/>
            <w:bottom w:val="none" w:sz="0" w:space="0" w:color="auto"/>
            <w:right w:val="none" w:sz="0" w:space="0" w:color="auto"/>
          </w:divBdr>
        </w:div>
        <w:div w:id="1778596426">
          <w:marLeft w:val="547"/>
          <w:marRight w:val="0"/>
          <w:marTop w:val="128"/>
          <w:marBottom w:val="0"/>
          <w:divBdr>
            <w:top w:val="none" w:sz="0" w:space="0" w:color="auto"/>
            <w:left w:val="none" w:sz="0" w:space="0" w:color="auto"/>
            <w:bottom w:val="none" w:sz="0" w:space="0" w:color="auto"/>
            <w:right w:val="none" w:sz="0" w:space="0" w:color="auto"/>
          </w:divBdr>
        </w:div>
      </w:divsChild>
    </w:div>
    <w:div w:id="963386693">
      <w:bodyDiv w:val="1"/>
      <w:marLeft w:val="0"/>
      <w:marRight w:val="0"/>
      <w:marTop w:val="0"/>
      <w:marBottom w:val="0"/>
      <w:divBdr>
        <w:top w:val="none" w:sz="0" w:space="0" w:color="auto"/>
        <w:left w:val="none" w:sz="0" w:space="0" w:color="auto"/>
        <w:bottom w:val="none" w:sz="0" w:space="0" w:color="auto"/>
        <w:right w:val="none" w:sz="0" w:space="0" w:color="auto"/>
      </w:divBdr>
    </w:div>
    <w:div w:id="966622382">
      <w:bodyDiv w:val="1"/>
      <w:marLeft w:val="0"/>
      <w:marRight w:val="0"/>
      <w:marTop w:val="0"/>
      <w:marBottom w:val="0"/>
      <w:divBdr>
        <w:top w:val="none" w:sz="0" w:space="0" w:color="auto"/>
        <w:left w:val="none" w:sz="0" w:space="0" w:color="auto"/>
        <w:bottom w:val="none" w:sz="0" w:space="0" w:color="auto"/>
        <w:right w:val="none" w:sz="0" w:space="0" w:color="auto"/>
      </w:divBdr>
    </w:div>
    <w:div w:id="1028684010">
      <w:bodyDiv w:val="1"/>
      <w:marLeft w:val="0"/>
      <w:marRight w:val="0"/>
      <w:marTop w:val="0"/>
      <w:marBottom w:val="0"/>
      <w:divBdr>
        <w:top w:val="none" w:sz="0" w:space="0" w:color="auto"/>
        <w:left w:val="none" w:sz="0" w:space="0" w:color="auto"/>
        <w:bottom w:val="none" w:sz="0" w:space="0" w:color="auto"/>
        <w:right w:val="none" w:sz="0" w:space="0" w:color="auto"/>
      </w:divBdr>
    </w:div>
    <w:div w:id="1053654301">
      <w:bodyDiv w:val="1"/>
      <w:marLeft w:val="0"/>
      <w:marRight w:val="0"/>
      <w:marTop w:val="0"/>
      <w:marBottom w:val="0"/>
      <w:divBdr>
        <w:top w:val="none" w:sz="0" w:space="0" w:color="auto"/>
        <w:left w:val="none" w:sz="0" w:space="0" w:color="auto"/>
        <w:bottom w:val="none" w:sz="0" w:space="0" w:color="auto"/>
        <w:right w:val="none" w:sz="0" w:space="0" w:color="auto"/>
      </w:divBdr>
    </w:div>
    <w:div w:id="1082336605">
      <w:bodyDiv w:val="1"/>
      <w:marLeft w:val="0"/>
      <w:marRight w:val="0"/>
      <w:marTop w:val="0"/>
      <w:marBottom w:val="0"/>
      <w:divBdr>
        <w:top w:val="none" w:sz="0" w:space="0" w:color="auto"/>
        <w:left w:val="none" w:sz="0" w:space="0" w:color="auto"/>
        <w:bottom w:val="none" w:sz="0" w:space="0" w:color="auto"/>
        <w:right w:val="none" w:sz="0" w:space="0" w:color="auto"/>
      </w:divBdr>
    </w:div>
    <w:div w:id="1117798580">
      <w:bodyDiv w:val="1"/>
      <w:marLeft w:val="0"/>
      <w:marRight w:val="0"/>
      <w:marTop w:val="0"/>
      <w:marBottom w:val="0"/>
      <w:divBdr>
        <w:top w:val="none" w:sz="0" w:space="0" w:color="auto"/>
        <w:left w:val="none" w:sz="0" w:space="0" w:color="auto"/>
        <w:bottom w:val="none" w:sz="0" w:space="0" w:color="auto"/>
        <w:right w:val="none" w:sz="0" w:space="0" w:color="auto"/>
      </w:divBdr>
    </w:div>
    <w:div w:id="1119372630">
      <w:bodyDiv w:val="1"/>
      <w:marLeft w:val="0"/>
      <w:marRight w:val="0"/>
      <w:marTop w:val="0"/>
      <w:marBottom w:val="0"/>
      <w:divBdr>
        <w:top w:val="none" w:sz="0" w:space="0" w:color="auto"/>
        <w:left w:val="none" w:sz="0" w:space="0" w:color="auto"/>
        <w:bottom w:val="none" w:sz="0" w:space="0" w:color="auto"/>
        <w:right w:val="none" w:sz="0" w:space="0" w:color="auto"/>
      </w:divBdr>
    </w:div>
    <w:div w:id="1147749219">
      <w:bodyDiv w:val="1"/>
      <w:marLeft w:val="0"/>
      <w:marRight w:val="0"/>
      <w:marTop w:val="0"/>
      <w:marBottom w:val="0"/>
      <w:divBdr>
        <w:top w:val="none" w:sz="0" w:space="0" w:color="auto"/>
        <w:left w:val="none" w:sz="0" w:space="0" w:color="auto"/>
        <w:bottom w:val="none" w:sz="0" w:space="0" w:color="auto"/>
        <w:right w:val="none" w:sz="0" w:space="0" w:color="auto"/>
      </w:divBdr>
    </w:div>
    <w:div w:id="1159729575">
      <w:bodyDiv w:val="1"/>
      <w:marLeft w:val="0"/>
      <w:marRight w:val="0"/>
      <w:marTop w:val="0"/>
      <w:marBottom w:val="0"/>
      <w:divBdr>
        <w:top w:val="none" w:sz="0" w:space="0" w:color="auto"/>
        <w:left w:val="none" w:sz="0" w:space="0" w:color="auto"/>
        <w:bottom w:val="none" w:sz="0" w:space="0" w:color="auto"/>
        <w:right w:val="none" w:sz="0" w:space="0" w:color="auto"/>
      </w:divBdr>
    </w:div>
    <w:div w:id="1185828602">
      <w:bodyDiv w:val="1"/>
      <w:marLeft w:val="0"/>
      <w:marRight w:val="0"/>
      <w:marTop w:val="0"/>
      <w:marBottom w:val="0"/>
      <w:divBdr>
        <w:top w:val="none" w:sz="0" w:space="0" w:color="auto"/>
        <w:left w:val="none" w:sz="0" w:space="0" w:color="auto"/>
        <w:bottom w:val="none" w:sz="0" w:space="0" w:color="auto"/>
        <w:right w:val="none" w:sz="0" w:space="0" w:color="auto"/>
      </w:divBdr>
    </w:div>
    <w:div w:id="1196695294">
      <w:bodyDiv w:val="1"/>
      <w:marLeft w:val="0"/>
      <w:marRight w:val="0"/>
      <w:marTop w:val="0"/>
      <w:marBottom w:val="0"/>
      <w:divBdr>
        <w:top w:val="none" w:sz="0" w:space="0" w:color="auto"/>
        <w:left w:val="none" w:sz="0" w:space="0" w:color="auto"/>
        <w:bottom w:val="none" w:sz="0" w:space="0" w:color="auto"/>
        <w:right w:val="none" w:sz="0" w:space="0" w:color="auto"/>
      </w:divBdr>
    </w:div>
    <w:div w:id="1233394586">
      <w:bodyDiv w:val="1"/>
      <w:marLeft w:val="0"/>
      <w:marRight w:val="0"/>
      <w:marTop w:val="0"/>
      <w:marBottom w:val="0"/>
      <w:divBdr>
        <w:top w:val="none" w:sz="0" w:space="0" w:color="auto"/>
        <w:left w:val="none" w:sz="0" w:space="0" w:color="auto"/>
        <w:bottom w:val="none" w:sz="0" w:space="0" w:color="auto"/>
        <w:right w:val="none" w:sz="0" w:space="0" w:color="auto"/>
      </w:divBdr>
    </w:div>
    <w:div w:id="1268076224">
      <w:bodyDiv w:val="1"/>
      <w:marLeft w:val="0"/>
      <w:marRight w:val="0"/>
      <w:marTop w:val="0"/>
      <w:marBottom w:val="0"/>
      <w:divBdr>
        <w:top w:val="none" w:sz="0" w:space="0" w:color="auto"/>
        <w:left w:val="none" w:sz="0" w:space="0" w:color="auto"/>
        <w:bottom w:val="none" w:sz="0" w:space="0" w:color="auto"/>
        <w:right w:val="none" w:sz="0" w:space="0" w:color="auto"/>
      </w:divBdr>
    </w:div>
    <w:div w:id="1348681221">
      <w:bodyDiv w:val="1"/>
      <w:marLeft w:val="0"/>
      <w:marRight w:val="0"/>
      <w:marTop w:val="0"/>
      <w:marBottom w:val="0"/>
      <w:divBdr>
        <w:top w:val="none" w:sz="0" w:space="0" w:color="auto"/>
        <w:left w:val="none" w:sz="0" w:space="0" w:color="auto"/>
        <w:bottom w:val="none" w:sz="0" w:space="0" w:color="auto"/>
        <w:right w:val="none" w:sz="0" w:space="0" w:color="auto"/>
      </w:divBdr>
    </w:div>
    <w:div w:id="1351418680">
      <w:bodyDiv w:val="1"/>
      <w:marLeft w:val="0"/>
      <w:marRight w:val="0"/>
      <w:marTop w:val="0"/>
      <w:marBottom w:val="0"/>
      <w:divBdr>
        <w:top w:val="none" w:sz="0" w:space="0" w:color="auto"/>
        <w:left w:val="none" w:sz="0" w:space="0" w:color="auto"/>
        <w:bottom w:val="none" w:sz="0" w:space="0" w:color="auto"/>
        <w:right w:val="none" w:sz="0" w:space="0" w:color="auto"/>
      </w:divBdr>
    </w:div>
    <w:div w:id="1357460452">
      <w:bodyDiv w:val="1"/>
      <w:marLeft w:val="0"/>
      <w:marRight w:val="0"/>
      <w:marTop w:val="0"/>
      <w:marBottom w:val="0"/>
      <w:divBdr>
        <w:top w:val="none" w:sz="0" w:space="0" w:color="auto"/>
        <w:left w:val="none" w:sz="0" w:space="0" w:color="auto"/>
        <w:bottom w:val="none" w:sz="0" w:space="0" w:color="auto"/>
        <w:right w:val="none" w:sz="0" w:space="0" w:color="auto"/>
      </w:divBdr>
      <w:divsChild>
        <w:div w:id="149954130">
          <w:marLeft w:val="0"/>
          <w:marRight w:val="0"/>
          <w:marTop w:val="0"/>
          <w:marBottom w:val="0"/>
          <w:divBdr>
            <w:top w:val="none" w:sz="0" w:space="0" w:color="auto"/>
            <w:left w:val="none" w:sz="0" w:space="0" w:color="auto"/>
            <w:bottom w:val="none" w:sz="0" w:space="0" w:color="auto"/>
            <w:right w:val="none" w:sz="0" w:space="0" w:color="auto"/>
          </w:divBdr>
          <w:divsChild>
            <w:div w:id="2100634043">
              <w:marLeft w:val="75"/>
              <w:marRight w:val="0"/>
              <w:marTop w:val="0"/>
              <w:marBottom w:val="0"/>
              <w:divBdr>
                <w:top w:val="none" w:sz="0" w:space="0" w:color="auto"/>
                <w:left w:val="none" w:sz="0" w:space="0" w:color="auto"/>
                <w:bottom w:val="none" w:sz="0" w:space="0" w:color="auto"/>
                <w:right w:val="none" w:sz="0" w:space="0" w:color="auto"/>
              </w:divBdr>
              <w:divsChild>
                <w:div w:id="765541023">
                  <w:marLeft w:val="0"/>
                  <w:marRight w:val="0"/>
                  <w:marTop w:val="0"/>
                  <w:marBottom w:val="0"/>
                  <w:divBdr>
                    <w:top w:val="none" w:sz="0" w:space="0" w:color="auto"/>
                    <w:left w:val="none" w:sz="0" w:space="0" w:color="auto"/>
                    <w:bottom w:val="none" w:sz="0" w:space="0" w:color="auto"/>
                    <w:right w:val="none" w:sz="0" w:space="0" w:color="auto"/>
                  </w:divBdr>
                </w:div>
                <w:div w:id="20903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2396">
          <w:marLeft w:val="0"/>
          <w:marRight w:val="0"/>
          <w:marTop w:val="0"/>
          <w:marBottom w:val="150"/>
          <w:divBdr>
            <w:top w:val="none" w:sz="0" w:space="0" w:color="auto"/>
            <w:left w:val="none" w:sz="0" w:space="0" w:color="auto"/>
            <w:bottom w:val="none" w:sz="0" w:space="0" w:color="auto"/>
            <w:right w:val="none" w:sz="0" w:space="0" w:color="auto"/>
          </w:divBdr>
        </w:div>
        <w:div w:id="1088691227">
          <w:marLeft w:val="0"/>
          <w:marRight w:val="0"/>
          <w:marTop w:val="0"/>
          <w:marBottom w:val="0"/>
          <w:divBdr>
            <w:top w:val="none" w:sz="0" w:space="0" w:color="auto"/>
            <w:left w:val="none" w:sz="0" w:space="0" w:color="auto"/>
            <w:bottom w:val="none" w:sz="0" w:space="0" w:color="auto"/>
            <w:right w:val="none" w:sz="0" w:space="0" w:color="auto"/>
          </w:divBdr>
          <w:divsChild>
            <w:div w:id="1744990501">
              <w:marLeft w:val="0"/>
              <w:marRight w:val="0"/>
              <w:marTop w:val="0"/>
              <w:marBottom w:val="0"/>
              <w:divBdr>
                <w:top w:val="none" w:sz="0" w:space="0" w:color="auto"/>
                <w:left w:val="none" w:sz="0" w:space="0" w:color="auto"/>
                <w:bottom w:val="none" w:sz="0" w:space="0" w:color="auto"/>
                <w:right w:val="none" w:sz="0" w:space="0" w:color="auto"/>
              </w:divBdr>
            </w:div>
          </w:divsChild>
        </w:div>
        <w:div w:id="1253128671">
          <w:marLeft w:val="0"/>
          <w:marRight w:val="0"/>
          <w:marTop w:val="0"/>
          <w:marBottom w:val="75"/>
          <w:divBdr>
            <w:top w:val="single" w:sz="6" w:space="0" w:color="E4E4E4"/>
            <w:left w:val="none" w:sz="0" w:space="0" w:color="auto"/>
            <w:bottom w:val="single" w:sz="6" w:space="0" w:color="E4E4E4"/>
            <w:right w:val="none" w:sz="0" w:space="0" w:color="auto"/>
          </w:divBdr>
          <w:divsChild>
            <w:div w:id="1031803387">
              <w:marLeft w:val="0"/>
              <w:marRight w:val="0"/>
              <w:marTop w:val="0"/>
              <w:marBottom w:val="0"/>
              <w:divBdr>
                <w:top w:val="none" w:sz="0" w:space="0" w:color="auto"/>
                <w:left w:val="none" w:sz="0" w:space="0" w:color="auto"/>
                <w:bottom w:val="none" w:sz="0" w:space="0" w:color="auto"/>
                <w:right w:val="none" w:sz="0" w:space="0" w:color="auto"/>
              </w:divBdr>
            </w:div>
            <w:div w:id="119827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843914">
      <w:bodyDiv w:val="1"/>
      <w:marLeft w:val="0"/>
      <w:marRight w:val="0"/>
      <w:marTop w:val="0"/>
      <w:marBottom w:val="0"/>
      <w:divBdr>
        <w:top w:val="none" w:sz="0" w:space="0" w:color="auto"/>
        <w:left w:val="none" w:sz="0" w:space="0" w:color="auto"/>
        <w:bottom w:val="none" w:sz="0" w:space="0" w:color="auto"/>
        <w:right w:val="none" w:sz="0" w:space="0" w:color="auto"/>
      </w:divBdr>
    </w:div>
    <w:div w:id="1505389775">
      <w:bodyDiv w:val="1"/>
      <w:marLeft w:val="0"/>
      <w:marRight w:val="0"/>
      <w:marTop w:val="0"/>
      <w:marBottom w:val="0"/>
      <w:divBdr>
        <w:top w:val="none" w:sz="0" w:space="0" w:color="auto"/>
        <w:left w:val="none" w:sz="0" w:space="0" w:color="auto"/>
        <w:bottom w:val="none" w:sz="0" w:space="0" w:color="auto"/>
        <w:right w:val="none" w:sz="0" w:space="0" w:color="auto"/>
      </w:divBdr>
    </w:div>
    <w:div w:id="1514493934">
      <w:bodyDiv w:val="1"/>
      <w:marLeft w:val="0"/>
      <w:marRight w:val="0"/>
      <w:marTop w:val="0"/>
      <w:marBottom w:val="0"/>
      <w:divBdr>
        <w:top w:val="none" w:sz="0" w:space="0" w:color="auto"/>
        <w:left w:val="none" w:sz="0" w:space="0" w:color="auto"/>
        <w:bottom w:val="none" w:sz="0" w:space="0" w:color="auto"/>
        <w:right w:val="none" w:sz="0" w:space="0" w:color="auto"/>
      </w:divBdr>
    </w:div>
    <w:div w:id="1532914432">
      <w:bodyDiv w:val="1"/>
      <w:marLeft w:val="0"/>
      <w:marRight w:val="0"/>
      <w:marTop w:val="0"/>
      <w:marBottom w:val="0"/>
      <w:divBdr>
        <w:top w:val="none" w:sz="0" w:space="0" w:color="auto"/>
        <w:left w:val="none" w:sz="0" w:space="0" w:color="auto"/>
        <w:bottom w:val="none" w:sz="0" w:space="0" w:color="auto"/>
        <w:right w:val="none" w:sz="0" w:space="0" w:color="auto"/>
      </w:divBdr>
    </w:div>
    <w:div w:id="1534466511">
      <w:bodyDiv w:val="1"/>
      <w:marLeft w:val="0"/>
      <w:marRight w:val="0"/>
      <w:marTop w:val="0"/>
      <w:marBottom w:val="0"/>
      <w:divBdr>
        <w:top w:val="none" w:sz="0" w:space="0" w:color="auto"/>
        <w:left w:val="none" w:sz="0" w:space="0" w:color="auto"/>
        <w:bottom w:val="none" w:sz="0" w:space="0" w:color="auto"/>
        <w:right w:val="none" w:sz="0" w:space="0" w:color="auto"/>
      </w:divBdr>
    </w:div>
    <w:div w:id="1553228222">
      <w:bodyDiv w:val="1"/>
      <w:marLeft w:val="0"/>
      <w:marRight w:val="0"/>
      <w:marTop w:val="0"/>
      <w:marBottom w:val="0"/>
      <w:divBdr>
        <w:top w:val="none" w:sz="0" w:space="0" w:color="auto"/>
        <w:left w:val="none" w:sz="0" w:space="0" w:color="auto"/>
        <w:bottom w:val="none" w:sz="0" w:space="0" w:color="auto"/>
        <w:right w:val="none" w:sz="0" w:space="0" w:color="auto"/>
      </w:divBdr>
    </w:div>
    <w:div w:id="1579751220">
      <w:bodyDiv w:val="1"/>
      <w:marLeft w:val="0"/>
      <w:marRight w:val="0"/>
      <w:marTop w:val="0"/>
      <w:marBottom w:val="0"/>
      <w:divBdr>
        <w:top w:val="none" w:sz="0" w:space="0" w:color="auto"/>
        <w:left w:val="none" w:sz="0" w:space="0" w:color="auto"/>
        <w:bottom w:val="none" w:sz="0" w:space="0" w:color="auto"/>
        <w:right w:val="none" w:sz="0" w:space="0" w:color="auto"/>
      </w:divBdr>
    </w:div>
    <w:div w:id="1616713773">
      <w:bodyDiv w:val="1"/>
      <w:marLeft w:val="0"/>
      <w:marRight w:val="0"/>
      <w:marTop w:val="0"/>
      <w:marBottom w:val="0"/>
      <w:divBdr>
        <w:top w:val="none" w:sz="0" w:space="0" w:color="auto"/>
        <w:left w:val="none" w:sz="0" w:space="0" w:color="auto"/>
        <w:bottom w:val="none" w:sz="0" w:space="0" w:color="auto"/>
        <w:right w:val="none" w:sz="0" w:space="0" w:color="auto"/>
      </w:divBdr>
    </w:div>
    <w:div w:id="1686709586">
      <w:bodyDiv w:val="1"/>
      <w:marLeft w:val="0"/>
      <w:marRight w:val="0"/>
      <w:marTop w:val="0"/>
      <w:marBottom w:val="0"/>
      <w:divBdr>
        <w:top w:val="none" w:sz="0" w:space="0" w:color="auto"/>
        <w:left w:val="none" w:sz="0" w:space="0" w:color="auto"/>
        <w:bottom w:val="none" w:sz="0" w:space="0" w:color="auto"/>
        <w:right w:val="none" w:sz="0" w:space="0" w:color="auto"/>
      </w:divBdr>
    </w:div>
    <w:div w:id="1704673668">
      <w:bodyDiv w:val="1"/>
      <w:marLeft w:val="0"/>
      <w:marRight w:val="0"/>
      <w:marTop w:val="0"/>
      <w:marBottom w:val="0"/>
      <w:divBdr>
        <w:top w:val="none" w:sz="0" w:space="0" w:color="auto"/>
        <w:left w:val="none" w:sz="0" w:space="0" w:color="auto"/>
        <w:bottom w:val="none" w:sz="0" w:space="0" w:color="auto"/>
        <w:right w:val="none" w:sz="0" w:space="0" w:color="auto"/>
      </w:divBdr>
      <w:divsChild>
        <w:div w:id="88157240">
          <w:marLeft w:val="547"/>
          <w:marRight w:val="0"/>
          <w:marTop w:val="128"/>
          <w:marBottom w:val="0"/>
          <w:divBdr>
            <w:top w:val="none" w:sz="0" w:space="0" w:color="auto"/>
            <w:left w:val="none" w:sz="0" w:space="0" w:color="auto"/>
            <w:bottom w:val="none" w:sz="0" w:space="0" w:color="auto"/>
            <w:right w:val="none" w:sz="0" w:space="0" w:color="auto"/>
          </w:divBdr>
        </w:div>
        <w:div w:id="470289808">
          <w:marLeft w:val="547"/>
          <w:marRight w:val="0"/>
          <w:marTop w:val="128"/>
          <w:marBottom w:val="0"/>
          <w:divBdr>
            <w:top w:val="none" w:sz="0" w:space="0" w:color="auto"/>
            <w:left w:val="none" w:sz="0" w:space="0" w:color="auto"/>
            <w:bottom w:val="none" w:sz="0" w:space="0" w:color="auto"/>
            <w:right w:val="none" w:sz="0" w:space="0" w:color="auto"/>
          </w:divBdr>
        </w:div>
        <w:div w:id="1584726508">
          <w:marLeft w:val="547"/>
          <w:marRight w:val="0"/>
          <w:marTop w:val="128"/>
          <w:marBottom w:val="0"/>
          <w:divBdr>
            <w:top w:val="none" w:sz="0" w:space="0" w:color="auto"/>
            <w:left w:val="none" w:sz="0" w:space="0" w:color="auto"/>
            <w:bottom w:val="none" w:sz="0" w:space="0" w:color="auto"/>
            <w:right w:val="none" w:sz="0" w:space="0" w:color="auto"/>
          </w:divBdr>
        </w:div>
      </w:divsChild>
    </w:div>
    <w:div w:id="1731415161">
      <w:bodyDiv w:val="1"/>
      <w:marLeft w:val="0"/>
      <w:marRight w:val="0"/>
      <w:marTop w:val="0"/>
      <w:marBottom w:val="0"/>
      <w:divBdr>
        <w:top w:val="none" w:sz="0" w:space="0" w:color="auto"/>
        <w:left w:val="none" w:sz="0" w:space="0" w:color="auto"/>
        <w:bottom w:val="none" w:sz="0" w:space="0" w:color="auto"/>
        <w:right w:val="none" w:sz="0" w:space="0" w:color="auto"/>
      </w:divBdr>
    </w:div>
    <w:div w:id="1737363291">
      <w:bodyDiv w:val="1"/>
      <w:marLeft w:val="0"/>
      <w:marRight w:val="0"/>
      <w:marTop w:val="0"/>
      <w:marBottom w:val="0"/>
      <w:divBdr>
        <w:top w:val="none" w:sz="0" w:space="0" w:color="auto"/>
        <w:left w:val="none" w:sz="0" w:space="0" w:color="auto"/>
        <w:bottom w:val="none" w:sz="0" w:space="0" w:color="auto"/>
        <w:right w:val="none" w:sz="0" w:space="0" w:color="auto"/>
      </w:divBdr>
    </w:div>
    <w:div w:id="1751001829">
      <w:bodyDiv w:val="1"/>
      <w:marLeft w:val="0"/>
      <w:marRight w:val="0"/>
      <w:marTop w:val="0"/>
      <w:marBottom w:val="0"/>
      <w:divBdr>
        <w:top w:val="none" w:sz="0" w:space="0" w:color="auto"/>
        <w:left w:val="none" w:sz="0" w:space="0" w:color="auto"/>
        <w:bottom w:val="none" w:sz="0" w:space="0" w:color="auto"/>
        <w:right w:val="none" w:sz="0" w:space="0" w:color="auto"/>
      </w:divBdr>
    </w:div>
    <w:div w:id="1840001349">
      <w:bodyDiv w:val="1"/>
      <w:marLeft w:val="0"/>
      <w:marRight w:val="0"/>
      <w:marTop w:val="0"/>
      <w:marBottom w:val="0"/>
      <w:divBdr>
        <w:top w:val="none" w:sz="0" w:space="0" w:color="auto"/>
        <w:left w:val="none" w:sz="0" w:space="0" w:color="auto"/>
        <w:bottom w:val="none" w:sz="0" w:space="0" w:color="auto"/>
        <w:right w:val="none" w:sz="0" w:space="0" w:color="auto"/>
      </w:divBdr>
    </w:div>
    <w:div w:id="1845632157">
      <w:bodyDiv w:val="1"/>
      <w:marLeft w:val="0"/>
      <w:marRight w:val="0"/>
      <w:marTop w:val="0"/>
      <w:marBottom w:val="0"/>
      <w:divBdr>
        <w:top w:val="none" w:sz="0" w:space="0" w:color="auto"/>
        <w:left w:val="none" w:sz="0" w:space="0" w:color="auto"/>
        <w:bottom w:val="none" w:sz="0" w:space="0" w:color="auto"/>
        <w:right w:val="none" w:sz="0" w:space="0" w:color="auto"/>
      </w:divBdr>
    </w:div>
    <w:div w:id="1846282010">
      <w:bodyDiv w:val="1"/>
      <w:marLeft w:val="0"/>
      <w:marRight w:val="0"/>
      <w:marTop w:val="0"/>
      <w:marBottom w:val="0"/>
      <w:divBdr>
        <w:top w:val="none" w:sz="0" w:space="0" w:color="auto"/>
        <w:left w:val="none" w:sz="0" w:space="0" w:color="auto"/>
        <w:bottom w:val="none" w:sz="0" w:space="0" w:color="auto"/>
        <w:right w:val="none" w:sz="0" w:space="0" w:color="auto"/>
      </w:divBdr>
    </w:div>
    <w:div w:id="1862282541">
      <w:bodyDiv w:val="1"/>
      <w:marLeft w:val="0"/>
      <w:marRight w:val="0"/>
      <w:marTop w:val="0"/>
      <w:marBottom w:val="0"/>
      <w:divBdr>
        <w:top w:val="none" w:sz="0" w:space="0" w:color="auto"/>
        <w:left w:val="none" w:sz="0" w:space="0" w:color="auto"/>
        <w:bottom w:val="none" w:sz="0" w:space="0" w:color="auto"/>
        <w:right w:val="none" w:sz="0" w:space="0" w:color="auto"/>
      </w:divBdr>
    </w:div>
    <w:div w:id="1869831807">
      <w:bodyDiv w:val="1"/>
      <w:marLeft w:val="0"/>
      <w:marRight w:val="0"/>
      <w:marTop w:val="0"/>
      <w:marBottom w:val="0"/>
      <w:divBdr>
        <w:top w:val="none" w:sz="0" w:space="0" w:color="auto"/>
        <w:left w:val="none" w:sz="0" w:space="0" w:color="auto"/>
        <w:bottom w:val="none" w:sz="0" w:space="0" w:color="auto"/>
        <w:right w:val="none" w:sz="0" w:space="0" w:color="auto"/>
      </w:divBdr>
    </w:div>
    <w:div w:id="1918325868">
      <w:bodyDiv w:val="1"/>
      <w:marLeft w:val="0"/>
      <w:marRight w:val="0"/>
      <w:marTop w:val="0"/>
      <w:marBottom w:val="0"/>
      <w:divBdr>
        <w:top w:val="none" w:sz="0" w:space="0" w:color="auto"/>
        <w:left w:val="none" w:sz="0" w:space="0" w:color="auto"/>
        <w:bottom w:val="none" w:sz="0" w:space="0" w:color="auto"/>
        <w:right w:val="none" w:sz="0" w:space="0" w:color="auto"/>
      </w:divBdr>
    </w:div>
    <w:div w:id="1931349363">
      <w:bodyDiv w:val="1"/>
      <w:marLeft w:val="0"/>
      <w:marRight w:val="0"/>
      <w:marTop w:val="0"/>
      <w:marBottom w:val="0"/>
      <w:divBdr>
        <w:top w:val="none" w:sz="0" w:space="0" w:color="auto"/>
        <w:left w:val="none" w:sz="0" w:space="0" w:color="auto"/>
        <w:bottom w:val="none" w:sz="0" w:space="0" w:color="auto"/>
        <w:right w:val="none" w:sz="0" w:space="0" w:color="auto"/>
      </w:divBdr>
    </w:div>
    <w:div w:id="1943951766">
      <w:bodyDiv w:val="1"/>
      <w:marLeft w:val="0"/>
      <w:marRight w:val="0"/>
      <w:marTop w:val="0"/>
      <w:marBottom w:val="0"/>
      <w:divBdr>
        <w:top w:val="none" w:sz="0" w:space="0" w:color="auto"/>
        <w:left w:val="none" w:sz="0" w:space="0" w:color="auto"/>
        <w:bottom w:val="none" w:sz="0" w:space="0" w:color="auto"/>
        <w:right w:val="none" w:sz="0" w:space="0" w:color="auto"/>
      </w:divBdr>
    </w:div>
    <w:div w:id="1951931081">
      <w:bodyDiv w:val="1"/>
      <w:marLeft w:val="0"/>
      <w:marRight w:val="0"/>
      <w:marTop w:val="0"/>
      <w:marBottom w:val="0"/>
      <w:divBdr>
        <w:top w:val="none" w:sz="0" w:space="0" w:color="auto"/>
        <w:left w:val="none" w:sz="0" w:space="0" w:color="auto"/>
        <w:bottom w:val="none" w:sz="0" w:space="0" w:color="auto"/>
        <w:right w:val="none" w:sz="0" w:space="0" w:color="auto"/>
      </w:divBdr>
    </w:div>
    <w:div w:id="1992172158">
      <w:bodyDiv w:val="1"/>
      <w:marLeft w:val="0"/>
      <w:marRight w:val="0"/>
      <w:marTop w:val="0"/>
      <w:marBottom w:val="0"/>
      <w:divBdr>
        <w:top w:val="none" w:sz="0" w:space="0" w:color="auto"/>
        <w:left w:val="none" w:sz="0" w:space="0" w:color="auto"/>
        <w:bottom w:val="none" w:sz="0" w:space="0" w:color="auto"/>
        <w:right w:val="none" w:sz="0" w:space="0" w:color="auto"/>
      </w:divBdr>
    </w:div>
    <w:div w:id="1992977785">
      <w:bodyDiv w:val="1"/>
      <w:marLeft w:val="0"/>
      <w:marRight w:val="0"/>
      <w:marTop w:val="0"/>
      <w:marBottom w:val="0"/>
      <w:divBdr>
        <w:top w:val="none" w:sz="0" w:space="0" w:color="auto"/>
        <w:left w:val="none" w:sz="0" w:space="0" w:color="auto"/>
        <w:bottom w:val="none" w:sz="0" w:space="0" w:color="auto"/>
        <w:right w:val="none" w:sz="0" w:space="0" w:color="auto"/>
      </w:divBdr>
    </w:div>
    <w:div w:id="1996834040">
      <w:bodyDiv w:val="1"/>
      <w:marLeft w:val="0"/>
      <w:marRight w:val="0"/>
      <w:marTop w:val="0"/>
      <w:marBottom w:val="0"/>
      <w:divBdr>
        <w:top w:val="none" w:sz="0" w:space="0" w:color="auto"/>
        <w:left w:val="none" w:sz="0" w:space="0" w:color="auto"/>
        <w:bottom w:val="none" w:sz="0" w:space="0" w:color="auto"/>
        <w:right w:val="none" w:sz="0" w:space="0" w:color="auto"/>
      </w:divBdr>
    </w:div>
    <w:div w:id="2022199460">
      <w:bodyDiv w:val="1"/>
      <w:marLeft w:val="0"/>
      <w:marRight w:val="0"/>
      <w:marTop w:val="0"/>
      <w:marBottom w:val="0"/>
      <w:divBdr>
        <w:top w:val="none" w:sz="0" w:space="0" w:color="auto"/>
        <w:left w:val="none" w:sz="0" w:space="0" w:color="auto"/>
        <w:bottom w:val="none" w:sz="0" w:space="0" w:color="auto"/>
        <w:right w:val="none" w:sz="0" w:space="0" w:color="auto"/>
      </w:divBdr>
    </w:div>
    <w:div w:id="2048676274">
      <w:bodyDiv w:val="1"/>
      <w:marLeft w:val="0"/>
      <w:marRight w:val="0"/>
      <w:marTop w:val="0"/>
      <w:marBottom w:val="0"/>
      <w:divBdr>
        <w:top w:val="none" w:sz="0" w:space="0" w:color="auto"/>
        <w:left w:val="none" w:sz="0" w:space="0" w:color="auto"/>
        <w:bottom w:val="none" w:sz="0" w:space="0" w:color="auto"/>
        <w:right w:val="none" w:sz="0" w:space="0" w:color="auto"/>
      </w:divBdr>
    </w:div>
    <w:div w:id="2066369881">
      <w:bodyDiv w:val="1"/>
      <w:marLeft w:val="0"/>
      <w:marRight w:val="0"/>
      <w:marTop w:val="0"/>
      <w:marBottom w:val="0"/>
      <w:divBdr>
        <w:top w:val="none" w:sz="0" w:space="0" w:color="auto"/>
        <w:left w:val="none" w:sz="0" w:space="0" w:color="auto"/>
        <w:bottom w:val="none" w:sz="0" w:space="0" w:color="auto"/>
        <w:right w:val="none" w:sz="0" w:space="0" w:color="auto"/>
      </w:divBdr>
    </w:div>
    <w:div w:id="211328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eader" Target="header18.xml"/><Relationship Id="rId21" Type="http://schemas.openxmlformats.org/officeDocument/2006/relationships/hyperlink" Target="https://agedcare.health.gov.au/publications-and-articles/legislation" TargetMode="External"/><Relationship Id="rId42" Type="http://schemas.openxmlformats.org/officeDocument/2006/relationships/image" Target="media/image29.png"/><Relationship Id="rId47" Type="http://schemas.openxmlformats.org/officeDocument/2006/relationships/footer" Target="footer7.xml"/><Relationship Id="rId63" Type="http://schemas.openxmlformats.org/officeDocument/2006/relationships/hyperlink" Target="http://dementiakt.com.au/doms/domains/behaviour/behave-ad/" TargetMode="External"/><Relationship Id="rId68" Type="http://schemas.openxmlformats.org/officeDocument/2006/relationships/footer" Target="footer12.xml"/><Relationship Id="rId84" Type="http://schemas.openxmlformats.org/officeDocument/2006/relationships/image" Target="media/image50.png"/><Relationship Id="rId89" Type="http://schemas.openxmlformats.org/officeDocument/2006/relationships/image" Target="media/image53.png"/><Relationship Id="rId112" Type="http://schemas.openxmlformats.org/officeDocument/2006/relationships/header" Target="header17.xml"/><Relationship Id="rId133" Type="http://schemas.openxmlformats.org/officeDocument/2006/relationships/header" Target="header27.xml"/><Relationship Id="rId138" Type="http://schemas.openxmlformats.org/officeDocument/2006/relationships/footer" Target="footer28.xml"/><Relationship Id="rId16" Type="http://schemas.openxmlformats.org/officeDocument/2006/relationships/header" Target="header4.xml"/><Relationship Id="rId107" Type="http://schemas.openxmlformats.org/officeDocument/2006/relationships/footer" Target="footer16.xml"/><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46.png"/><Relationship Id="rId79" Type="http://schemas.openxmlformats.org/officeDocument/2006/relationships/hyperlink" Target="https://www.health.qld.gov.au/__data/assets/pdf_file/0021/146109/self-guided-learn.pdf" TargetMode="External"/><Relationship Id="rId102" Type="http://schemas.openxmlformats.org/officeDocument/2006/relationships/image" Target="media/image66.png"/><Relationship Id="rId123" Type="http://schemas.openxmlformats.org/officeDocument/2006/relationships/header" Target="header21.xml"/><Relationship Id="rId128" Type="http://schemas.openxmlformats.org/officeDocument/2006/relationships/footer" Target="footer24.xml"/><Relationship Id="rId144" Type="http://schemas.openxmlformats.org/officeDocument/2006/relationships/footer" Target="footer29.xml"/><Relationship Id="rId149" Type="http://schemas.openxmlformats.org/officeDocument/2006/relationships/header" Target="header33.xml"/><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image" Target="media/image59.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footer" Target="footer5.xml"/><Relationship Id="rId48" Type="http://schemas.openxmlformats.org/officeDocument/2006/relationships/footer" Target="footer8.xml"/><Relationship Id="rId64" Type="http://schemas.openxmlformats.org/officeDocument/2006/relationships/hyperlink" Target="http://dementiakt.com.au/doms/domains/behaviour/pas/" TargetMode="External"/><Relationship Id="rId69" Type="http://schemas.openxmlformats.org/officeDocument/2006/relationships/image" Target="media/image41.png"/><Relationship Id="rId113" Type="http://schemas.openxmlformats.org/officeDocument/2006/relationships/footer" Target="footer18.xml"/><Relationship Id="rId118" Type="http://schemas.openxmlformats.org/officeDocument/2006/relationships/footer" Target="footer19.xml"/><Relationship Id="rId134" Type="http://schemas.openxmlformats.org/officeDocument/2006/relationships/footer" Target="footer26.xml"/><Relationship Id="rId139" Type="http://schemas.openxmlformats.org/officeDocument/2006/relationships/image" Target="media/image73.png"/><Relationship Id="rId80" Type="http://schemas.openxmlformats.org/officeDocument/2006/relationships/header" Target="header10.xml"/><Relationship Id="rId85" Type="http://schemas.openxmlformats.org/officeDocument/2006/relationships/header" Target="header12.xml"/><Relationship Id="rId150" Type="http://schemas.openxmlformats.org/officeDocument/2006/relationships/footer" Target="footer32.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6.xml"/><Relationship Id="rId59" Type="http://schemas.openxmlformats.org/officeDocument/2006/relationships/image" Target="media/image37.png"/><Relationship Id="rId67" Type="http://schemas.openxmlformats.org/officeDocument/2006/relationships/header" Target="header9.xml"/><Relationship Id="rId103" Type="http://schemas.openxmlformats.org/officeDocument/2006/relationships/image" Target="media/image67.png"/><Relationship Id="rId108" Type="http://schemas.openxmlformats.org/officeDocument/2006/relationships/header" Target="header14.xml"/><Relationship Id="rId116" Type="http://schemas.openxmlformats.org/officeDocument/2006/relationships/image" Target="media/image72.png"/><Relationship Id="rId124" Type="http://schemas.openxmlformats.org/officeDocument/2006/relationships/footer" Target="footer22.xml"/><Relationship Id="rId129" Type="http://schemas.openxmlformats.org/officeDocument/2006/relationships/header" Target="header24.xml"/><Relationship Id="rId137" Type="http://schemas.openxmlformats.org/officeDocument/2006/relationships/header" Target="header29.xml"/><Relationship Id="rId20" Type="http://schemas.openxmlformats.org/officeDocument/2006/relationships/hyperlink" Target="https://agedcare.health.gov.au/publications-articles/guides-advice-policy" TargetMode="External"/><Relationship Id="rId41" Type="http://schemas.openxmlformats.org/officeDocument/2006/relationships/image" Target="media/image28.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footer" Target="footer14.xml"/><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60.png"/><Relationship Id="rId111" Type="http://schemas.openxmlformats.org/officeDocument/2006/relationships/header" Target="header16.xml"/><Relationship Id="rId132" Type="http://schemas.openxmlformats.org/officeDocument/2006/relationships/header" Target="header26.xml"/><Relationship Id="rId140" Type="http://schemas.openxmlformats.org/officeDocument/2006/relationships/image" Target="media/image74.png"/><Relationship Id="rId145" Type="http://schemas.openxmlformats.org/officeDocument/2006/relationships/header" Target="header31.xm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9.xml"/><Relationship Id="rId57" Type="http://schemas.openxmlformats.org/officeDocument/2006/relationships/image" Target="media/image35.png"/><Relationship Id="rId106" Type="http://schemas.openxmlformats.org/officeDocument/2006/relationships/header" Target="header13.xml"/><Relationship Id="rId114" Type="http://schemas.openxmlformats.org/officeDocument/2006/relationships/image" Target="media/image70.png"/><Relationship Id="rId119" Type="http://schemas.openxmlformats.org/officeDocument/2006/relationships/header" Target="header19.xml"/><Relationship Id="rId127" Type="http://schemas.openxmlformats.org/officeDocument/2006/relationships/footer" Target="footer23.xm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header" Target="header5.xml"/><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header" Target="header8.xml"/><Relationship Id="rId73" Type="http://schemas.openxmlformats.org/officeDocument/2006/relationships/image" Target="media/image45.png"/><Relationship Id="rId78" Type="http://schemas.openxmlformats.org/officeDocument/2006/relationships/hyperlink" Target="https://www2.health.vic.gov.au/ageing-and-aged-care/residential-aged-care/safety-and-quality/improving-resident-care/comprehensive-health-assessment" TargetMode="External"/><Relationship Id="rId81" Type="http://schemas.openxmlformats.org/officeDocument/2006/relationships/footer" Target="footer13.xml"/><Relationship Id="rId86" Type="http://schemas.openxmlformats.org/officeDocument/2006/relationships/footer" Target="footer15.xml"/><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footer" Target="footer21.xml"/><Relationship Id="rId130" Type="http://schemas.openxmlformats.org/officeDocument/2006/relationships/header" Target="header25.xml"/><Relationship Id="rId135" Type="http://schemas.openxmlformats.org/officeDocument/2006/relationships/footer" Target="footer27.xml"/><Relationship Id="rId143" Type="http://schemas.openxmlformats.org/officeDocument/2006/relationships/header" Target="header30.xml"/><Relationship Id="rId148" Type="http://schemas.openxmlformats.org/officeDocument/2006/relationships/footer" Target="footer31.xml"/><Relationship Id="rId151" Type="http://schemas.openxmlformats.org/officeDocument/2006/relationships/image" Target="media/image77.jp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header" Target="header15.xml"/><Relationship Id="rId34" Type="http://schemas.openxmlformats.org/officeDocument/2006/relationships/image" Target="media/image21.png"/><Relationship Id="rId50" Type="http://schemas.openxmlformats.org/officeDocument/2006/relationships/header" Target="header7.xml"/><Relationship Id="rId55" Type="http://schemas.openxmlformats.org/officeDocument/2006/relationships/image" Target="media/image33.png"/><Relationship Id="rId76" Type="http://schemas.openxmlformats.org/officeDocument/2006/relationships/image" Target="media/image48.pn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footer" Target="footer20.xml"/><Relationship Id="rId125" Type="http://schemas.openxmlformats.org/officeDocument/2006/relationships/header" Target="header22.xml"/><Relationship Id="rId141" Type="http://schemas.openxmlformats.org/officeDocument/2006/relationships/image" Target="media/image75.png"/><Relationship Id="rId146" Type="http://schemas.openxmlformats.org/officeDocument/2006/relationships/footer" Target="footer30.xm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footer" Target="footer6.xml"/><Relationship Id="rId66" Type="http://schemas.openxmlformats.org/officeDocument/2006/relationships/footer" Target="footer11.xml"/><Relationship Id="rId87" Type="http://schemas.openxmlformats.org/officeDocument/2006/relationships/image" Target="media/image51.jpg"/><Relationship Id="rId110" Type="http://schemas.openxmlformats.org/officeDocument/2006/relationships/footer" Target="footer17.xml"/><Relationship Id="rId115" Type="http://schemas.openxmlformats.org/officeDocument/2006/relationships/image" Target="media/image71.png"/><Relationship Id="rId131" Type="http://schemas.openxmlformats.org/officeDocument/2006/relationships/footer" Target="footer25.xml"/><Relationship Id="rId136" Type="http://schemas.openxmlformats.org/officeDocument/2006/relationships/header" Target="header28.xml"/><Relationship Id="rId61" Type="http://schemas.openxmlformats.org/officeDocument/2006/relationships/image" Target="media/image39.png"/><Relationship Id="rId82" Type="http://schemas.openxmlformats.org/officeDocument/2006/relationships/header" Target="header11.xml"/><Relationship Id="rId152"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header" Target="header3.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4.png"/><Relationship Id="rId77" Type="http://schemas.openxmlformats.org/officeDocument/2006/relationships/image" Target="media/image49.pn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header" Target="header23.xml"/><Relationship Id="rId147" Type="http://schemas.openxmlformats.org/officeDocument/2006/relationships/header" Target="header32.xml"/><Relationship Id="rId8" Type="http://schemas.openxmlformats.org/officeDocument/2006/relationships/image" Target="media/image1.jpeg"/><Relationship Id="rId51" Type="http://schemas.openxmlformats.org/officeDocument/2006/relationships/footer" Target="footer10.xml"/><Relationship Id="rId72" Type="http://schemas.openxmlformats.org/officeDocument/2006/relationships/image" Target="media/image44.pn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header" Target="header20.xml"/><Relationship Id="rId142" Type="http://schemas.openxmlformats.org/officeDocument/2006/relationships/image" Target="media/image76.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1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1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1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1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1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1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1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1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2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2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2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2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2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2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2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3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3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3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862D8-471C-4026-A507-BED1D78DA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262</Pages>
  <Words>82304</Words>
  <Characters>469138</Characters>
  <Application>Microsoft Office Word</Application>
  <DocSecurity>0</DocSecurity>
  <Lines>3909</Lines>
  <Paragraphs>1100</Paragraphs>
  <ScaleCrop>false</ScaleCrop>
  <HeadingPairs>
    <vt:vector size="2" baseType="variant">
      <vt:variant>
        <vt:lpstr>Title</vt:lpstr>
      </vt:variant>
      <vt:variant>
        <vt:i4>1</vt:i4>
      </vt:variant>
    </vt:vector>
  </HeadingPairs>
  <TitlesOfParts>
    <vt:vector size="1" baseType="lpstr">
      <vt:lpstr>Review of the Aged Care Funding Instrument (ACFI) — Part 2: Main Report</vt:lpstr>
    </vt:vector>
  </TitlesOfParts>
  <Company>Department of Health</Company>
  <LinksUpToDate>false</LinksUpToDate>
  <CharactersWithSpaces>550342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Aged Care Funding Instrument (ACFI) — Part 2: Main Report</dc:title>
  <dc:subject>Aged Care</dc:subject>
  <dc:creator>Department of Health</dc:creator>
  <cp:keywords>Review;Aged Care; Funding; </cp:keywords>
  <cp:lastModifiedBy>Maschke, Elvia</cp:lastModifiedBy>
  <cp:revision>4</cp:revision>
  <cp:lastPrinted>2017-10-11T04:26:00Z</cp:lastPrinted>
  <dcterms:created xsi:type="dcterms:W3CDTF">2019-11-28T00:02:00Z</dcterms:created>
  <dcterms:modified xsi:type="dcterms:W3CDTF">2019-11-28T00:24:00Z</dcterms:modified>
  <cp:category>Consultancy</cp:category>
</cp:coreProperties>
</file>