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2D88" w:rsidRPr="005A0D8B" w:rsidRDefault="003E2D88" w:rsidP="005A0D8B">
      <w:pPr>
        <w:pStyle w:val="Title0"/>
      </w:pPr>
      <w:r w:rsidRPr="005A0D8B">
        <w:t>Aged Care Financing Authority</w:t>
      </w:r>
    </w:p>
    <w:p w:rsidR="005A0D8B" w:rsidRPr="005A0D8B" w:rsidRDefault="003E2D88" w:rsidP="005A0D8B">
      <w:pPr>
        <w:pStyle w:val="Subtitle0"/>
      </w:pPr>
      <w:r w:rsidRPr="005A0D8B">
        <w:t>Understanding how consumers plan and finance aged care</w:t>
      </w:r>
    </w:p>
    <w:p w:rsidR="009F5B28" w:rsidRPr="005A0D8B" w:rsidRDefault="00760B91" w:rsidP="005A0D8B">
      <w:pPr>
        <w:pStyle w:val="Subtitle0"/>
      </w:pPr>
      <w:r w:rsidRPr="005A0D8B">
        <w:t>November</w:t>
      </w:r>
      <w:r w:rsidR="003E2D88" w:rsidRPr="005A0D8B">
        <w:t xml:space="preserve"> 2018</w:t>
      </w:r>
    </w:p>
    <w:p w:rsidR="008C1FCA" w:rsidRPr="00F6415D" w:rsidRDefault="008C1FCA" w:rsidP="008C1FCA">
      <w:pPr>
        <w:rPr>
          <w:rFonts w:ascii="Segoe UI" w:hAnsi="Segoe UI" w:cs="Segoe UI"/>
        </w:rPr>
      </w:pPr>
    </w:p>
    <w:p w:rsidR="0028670F" w:rsidRPr="00F6415D" w:rsidRDefault="0028670F" w:rsidP="008C1FCA">
      <w:pPr>
        <w:rPr>
          <w:rFonts w:ascii="Segoe UI" w:hAnsi="Segoe UI" w:cs="Segoe UI"/>
        </w:rPr>
        <w:sectPr w:rsidR="0028670F" w:rsidRPr="00F6415D" w:rsidSect="00233BC7">
          <w:headerReference w:type="default" r:id="rId11"/>
          <w:footerReference w:type="default" r:id="rId12"/>
          <w:endnotePr>
            <w:numFmt w:val="decimal"/>
          </w:endnotePr>
          <w:pgSz w:w="11907" w:h="16840" w:code="9"/>
          <w:pgMar w:top="1440" w:right="1440" w:bottom="1440" w:left="1440" w:header="680" w:footer="680" w:gutter="0"/>
          <w:pgNumType w:start="1"/>
          <w:cols w:space="560"/>
          <w:docGrid w:linePitch="299"/>
        </w:sectPr>
      </w:pPr>
    </w:p>
    <w:p w:rsidR="009019B3" w:rsidRPr="00F6415D" w:rsidRDefault="001C5309" w:rsidP="00233BC7">
      <w:pPr>
        <w:pStyle w:val="ContentsPage"/>
        <w:rPr>
          <w:rFonts w:ascii="Segoe UI" w:hAnsi="Segoe UI" w:cs="Segoe UI"/>
        </w:rPr>
      </w:pPr>
      <w:r w:rsidRPr="00F6415D">
        <w:rPr>
          <w:rFonts w:ascii="Segoe UI" w:hAnsi="Segoe UI" w:cs="Segoe UI"/>
        </w:rPr>
        <w:lastRenderedPageBreak/>
        <w:t>Contents</w:t>
      </w:r>
    </w:p>
    <w:p w:rsidR="008C0AF0" w:rsidRPr="00F6415D" w:rsidRDefault="00233BC7">
      <w:pPr>
        <w:pStyle w:val="TOC2"/>
        <w:rPr>
          <w:rFonts w:ascii="Segoe UI" w:eastAsiaTheme="minorEastAsia" w:hAnsi="Segoe UI" w:cs="Segoe UI"/>
          <w:szCs w:val="22"/>
          <w:lang w:eastAsia="en-AU"/>
        </w:rPr>
      </w:pPr>
      <w:r w:rsidRPr="00F6415D">
        <w:rPr>
          <w:rFonts w:ascii="Segoe UI" w:hAnsi="Segoe UI" w:cs="Segoe UI"/>
        </w:rPr>
        <w:fldChar w:fldCharType="begin"/>
      </w:r>
      <w:r w:rsidRPr="00F6415D">
        <w:rPr>
          <w:rFonts w:ascii="Segoe UI" w:hAnsi="Segoe UI" w:cs="Segoe UI"/>
        </w:rPr>
        <w:instrText xml:space="preserve"> TOC \h \z \t "Heading 2,2,Heading 3,3,Appendix Heading 2,2,HeadingLevel1NoNumber,2" </w:instrText>
      </w:r>
      <w:r w:rsidRPr="00F6415D">
        <w:rPr>
          <w:rFonts w:ascii="Segoe UI" w:hAnsi="Segoe UI" w:cs="Segoe UI"/>
        </w:rPr>
        <w:fldChar w:fldCharType="separate"/>
      </w:r>
      <w:hyperlink w:anchor="_Toc532206363" w:history="1">
        <w:r w:rsidR="008C0AF0" w:rsidRPr="00F6415D">
          <w:rPr>
            <w:rStyle w:val="Hyperlink"/>
            <w:rFonts w:ascii="Segoe UI" w:hAnsi="Segoe UI" w:cs="Segoe UI"/>
          </w:rPr>
          <w:t>Glossary</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64" w:history="1">
        <w:r w:rsidR="008C0AF0" w:rsidRPr="00F6415D">
          <w:rPr>
            <w:rStyle w:val="Hyperlink"/>
            <w:rFonts w:ascii="Segoe UI" w:hAnsi="Segoe UI" w:cs="Segoe UI"/>
          </w:rPr>
          <w:t>Executive summary</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65" w:history="1">
        <w:r w:rsidR="008C0AF0" w:rsidRPr="00F6415D">
          <w:rPr>
            <w:rStyle w:val="Hyperlink"/>
            <w:rFonts w:ascii="Segoe UI" w:hAnsi="Segoe UI" w:cs="Segoe UI"/>
          </w:rPr>
          <w:t>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Introduction</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66" w:history="1">
        <w:r w:rsidR="008C0AF0" w:rsidRPr="00F6415D">
          <w:rPr>
            <w:rStyle w:val="Hyperlink"/>
            <w:rFonts w:ascii="Segoe UI" w:hAnsi="Segoe UI" w:cs="Segoe UI"/>
          </w:rPr>
          <w:t>1.1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The ACFA aged care consumer finance project</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67" w:history="1">
        <w:r w:rsidR="008C0AF0" w:rsidRPr="00F6415D">
          <w:rPr>
            <w:rStyle w:val="Hyperlink"/>
            <w:rFonts w:ascii="Segoe UI" w:hAnsi="Segoe UI" w:cs="Segoe UI"/>
          </w:rPr>
          <w:t>1.2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The need for this project</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68" w:history="1">
        <w:r w:rsidR="008C0AF0" w:rsidRPr="00F6415D">
          <w:rPr>
            <w:rStyle w:val="Hyperlink"/>
            <w:rFonts w:ascii="Segoe UI" w:hAnsi="Segoe UI" w:cs="Segoe UI"/>
          </w:rPr>
          <w:t>1.3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Research objectives and methodology</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16</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69" w:history="1">
        <w:r w:rsidR="008C0AF0" w:rsidRPr="00F6415D">
          <w:rPr>
            <w:rStyle w:val="Hyperlink"/>
            <w:rFonts w:ascii="Segoe UI" w:hAnsi="Segoe UI" w:cs="Segoe UI"/>
          </w:rPr>
          <w:t>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Aged care services and consumer fees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_Toc532206369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19</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0" w:history="1">
        <w:r w:rsidR="008C0AF0" w:rsidRPr="00F6415D">
          <w:rPr>
            <w:rStyle w:val="Hyperlink"/>
            <w:rFonts w:ascii="Segoe UI" w:hAnsi="Segoe UI" w:cs="Segoe UI"/>
          </w:rPr>
          <w:t>2.1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Australian Government funded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19</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1" w:history="1">
        <w:r w:rsidR="008C0AF0" w:rsidRPr="00F6415D">
          <w:rPr>
            <w:rStyle w:val="Hyperlink"/>
            <w:rFonts w:ascii="Segoe UI" w:hAnsi="Segoe UI" w:cs="Segoe UI"/>
          </w:rPr>
          <w:t>2.2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Non-Australian Government funded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23</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2" w:history="1">
        <w:r w:rsidR="008C0AF0" w:rsidRPr="00F6415D">
          <w:rPr>
            <w:rStyle w:val="Hyperlink"/>
            <w:rFonts w:ascii="Segoe UI" w:hAnsi="Segoe UI" w:cs="Segoe UI"/>
          </w:rPr>
          <w:t>2.3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Informal care and services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_Toc532206372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25</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73" w:history="1">
        <w:r w:rsidR="008C0AF0" w:rsidRPr="00F6415D">
          <w:rPr>
            <w:rStyle w:val="Hyperlink"/>
            <w:rFonts w:ascii="Segoe UI" w:hAnsi="Segoe UI" w:cs="Segoe UI"/>
          </w:rPr>
          <w:t>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How consumers plan to fund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27</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4" w:history="1">
        <w:r w:rsidR="008C0AF0" w:rsidRPr="00F6415D">
          <w:rPr>
            <w:rStyle w:val="Hyperlink"/>
            <w:rFonts w:ascii="Segoe UI" w:hAnsi="Segoe UI" w:cs="Segoe UI"/>
          </w:rPr>
          <w:t>3.1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Planning stages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27</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5" w:history="1">
        <w:r w:rsidR="008C0AF0" w:rsidRPr="00F6415D">
          <w:rPr>
            <w:rStyle w:val="Hyperlink"/>
            <w:rFonts w:ascii="Segoe UI" w:hAnsi="Segoe UI" w:cs="Segoe UI"/>
          </w:rPr>
          <w:t>3.2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Personal finances and aged care planning</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28</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6" w:history="1">
        <w:r w:rsidR="008C0AF0" w:rsidRPr="00F6415D">
          <w:rPr>
            <w:rStyle w:val="Hyperlink"/>
            <w:rFonts w:ascii="Segoe UI" w:hAnsi="Segoe UI" w:cs="Segoe UI"/>
          </w:rPr>
          <w:t>3.3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Support accessed during the planning process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29</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7" w:history="1">
        <w:r w:rsidR="008C0AF0" w:rsidRPr="00F6415D">
          <w:rPr>
            <w:rStyle w:val="Hyperlink"/>
            <w:rFonts w:ascii="Segoe UI" w:eastAsia="Segoe UI" w:hAnsi="Segoe UI" w:cs="Segoe UI"/>
          </w:rPr>
          <w:t>3.4</w:t>
        </w:r>
        <w:r w:rsidR="008C0AF0" w:rsidRPr="00F6415D">
          <w:rPr>
            <w:rFonts w:ascii="Segoe UI" w:eastAsiaTheme="minorEastAsia" w:hAnsi="Segoe UI" w:cs="Segoe UI"/>
            <w:szCs w:val="22"/>
            <w:lang w:eastAsia="en-AU"/>
          </w:rPr>
          <w:tab/>
        </w:r>
        <w:r w:rsidR="008C0AF0" w:rsidRPr="00F6415D">
          <w:rPr>
            <w:rStyle w:val="Hyperlink"/>
            <w:rFonts w:ascii="Segoe UI" w:eastAsia="Segoe UI" w:hAnsi="Segoe UI" w:cs="Segoe UI"/>
          </w:rPr>
          <w:t>When consumers plan to access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30</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78" w:history="1">
        <w:r w:rsidR="008C0AF0" w:rsidRPr="00F6415D">
          <w:rPr>
            <w:rStyle w:val="Hyperlink"/>
            <w:rFonts w:ascii="Segoe UI" w:hAnsi="Segoe UI" w:cs="Segoe UI"/>
          </w:rPr>
          <w:t>3.5</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How consumers plan to fund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31</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79" w:history="1">
        <w:r w:rsidR="008C0AF0" w:rsidRPr="00F6415D">
          <w:rPr>
            <w:rStyle w:val="Hyperlink"/>
            <w:rFonts w:ascii="Segoe UI" w:hAnsi="Segoe UI" w:cs="Segoe UI"/>
          </w:rPr>
          <w:t>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Challenges with planning for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_Toc532206379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32</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0" w:history="1">
        <w:r w:rsidR="008C0AF0" w:rsidRPr="00F6415D">
          <w:rPr>
            <w:rStyle w:val="Hyperlink"/>
            <w:rFonts w:ascii="Segoe UI" w:hAnsi="Segoe UI" w:cs="Segoe UI"/>
          </w:rPr>
          <w:t>4.1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Lack of forward planning for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32</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1" w:history="1">
        <w:r w:rsidR="008C0AF0" w:rsidRPr="00F6415D">
          <w:rPr>
            <w:rStyle w:val="Hyperlink"/>
            <w:rFonts w:ascii="Segoe UI" w:eastAsia="Segoe UI" w:hAnsi="Segoe UI" w:cs="Segoe UI"/>
          </w:rPr>
          <w:t>4.2</w:t>
        </w:r>
        <w:r w:rsidR="008C0AF0" w:rsidRPr="00F6415D">
          <w:rPr>
            <w:rFonts w:ascii="Segoe UI" w:eastAsiaTheme="minorEastAsia" w:hAnsi="Segoe UI" w:cs="Segoe UI"/>
            <w:szCs w:val="22"/>
            <w:lang w:eastAsia="en-AU"/>
          </w:rPr>
          <w:tab/>
        </w:r>
        <w:r w:rsidR="008C0AF0" w:rsidRPr="00F6415D">
          <w:rPr>
            <w:rStyle w:val="Hyperlink"/>
            <w:rFonts w:ascii="Segoe UI" w:eastAsia="Segoe UI" w:hAnsi="Segoe UI" w:cs="Segoe UI"/>
          </w:rPr>
          <w:t>Lack of financial awareness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2" w:history="1">
        <w:r w:rsidR="008C0AF0" w:rsidRPr="00F6415D">
          <w:rPr>
            <w:rStyle w:val="Hyperlink"/>
            <w:rFonts w:ascii="Segoe UI" w:hAnsi="Segoe UI" w:cs="Segoe UI"/>
          </w:rPr>
          <w:t>4.3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Awareness of the system</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_Toc532206382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3" w:history="1">
        <w:r w:rsidR="008C0AF0" w:rsidRPr="00F6415D">
          <w:rPr>
            <w:rStyle w:val="Hyperlink"/>
            <w:rFonts w:ascii="Segoe UI" w:hAnsi="Segoe UI" w:cs="Segoe UI"/>
          </w:rPr>
          <w:t>4.4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Planning stages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35</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84" w:history="1">
        <w:r w:rsidR="008C0AF0" w:rsidRPr="00F6415D">
          <w:rPr>
            <w:rStyle w:val="Hyperlink"/>
            <w:rFonts w:ascii="Segoe UI" w:hAnsi="Segoe UI" w:cs="Segoe UI"/>
          </w:rPr>
          <w:t>5.</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How consumers pay for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41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5" w:history="1">
        <w:r w:rsidR="008C0AF0" w:rsidRPr="00F6415D">
          <w:rPr>
            <w:rStyle w:val="Hyperlink"/>
            <w:rFonts w:ascii="Segoe UI" w:hAnsi="Segoe UI" w:cs="Segoe UI"/>
          </w:rPr>
          <w:t>5.1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How consumers pay for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41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6" w:history="1">
        <w:r w:rsidR="008C0AF0" w:rsidRPr="00F6415D">
          <w:rPr>
            <w:rStyle w:val="Hyperlink"/>
            <w:rFonts w:ascii="Segoe UI" w:eastAsia="Segoe UI" w:hAnsi="Segoe UI" w:cs="Segoe UI"/>
          </w:rPr>
          <w:t>5.2</w:t>
        </w:r>
        <w:r w:rsidR="008C0AF0" w:rsidRPr="00F6415D">
          <w:rPr>
            <w:rFonts w:ascii="Segoe UI" w:eastAsiaTheme="minorEastAsia" w:hAnsi="Segoe UI" w:cs="Segoe UI"/>
            <w:szCs w:val="22"/>
            <w:lang w:eastAsia="en-AU"/>
          </w:rPr>
          <w:tab/>
        </w:r>
        <w:r w:rsidR="008C0AF0" w:rsidRPr="00F6415D">
          <w:rPr>
            <w:rStyle w:val="Hyperlink"/>
            <w:rFonts w:ascii="Segoe UI" w:eastAsia="Segoe UI" w:hAnsi="Segoe UI" w:cs="Segoe UI"/>
          </w:rPr>
          <w:t>Wealth profile of consumers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45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7" w:history="1">
        <w:r w:rsidR="008C0AF0" w:rsidRPr="00F6415D">
          <w:rPr>
            <w:rStyle w:val="Hyperlink"/>
            <w:rFonts w:ascii="Segoe UI" w:hAnsi="Segoe UI" w:cs="Segoe UI"/>
          </w:rPr>
          <w:t>5.3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Consumer profiles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48</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88" w:history="1">
        <w:r w:rsidR="008C0AF0" w:rsidRPr="00F6415D">
          <w:rPr>
            <w:rStyle w:val="Hyperlink"/>
            <w:rFonts w:ascii="Segoe UI" w:hAnsi="Segoe UI" w:cs="Segoe UI"/>
          </w:rPr>
          <w:t>5.4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Combination of aged care services accessed</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49</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89" w:history="1">
        <w:r w:rsidR="008C0AF0" w:rsidRPr="00F6415D">
          <w:rPr>
            <w:rStyle w:val="Hyperlink"/>
            <w:rFonts w:ascii="Segoe UI" w:hAnsi="Segoe UI" w:cs="Segoe UI"/>
            <w:lang w:val="en-GB"/>
          </w:rPr>
          <w:t>6.</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lang w:val="en-GB"/>
          </w:rPr>
          <w:t xml:space="preserve">Challenges with </w:t>
        </w:r>
        <w:r w:rsidR="008C0AF0" w:rsidRPr="00F6415D">
          <w:rPr>
            <w:rStyle w:val="Hyperlink"/>
            <w:rFonts w:ascii="Segoe UI" w:hAnsi="Segoe UI" w:cs="Segoe UI"/>
          </w:rPr>
          <w:t>paying for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_Toc532206389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0" w:history="1">
        <w:r w:rsidR="008C0AF0" w:rsidRPr="00F6415D">
          <w:rPr>
            <w:rStyle w:val="Hyperlink"/>
            <w:rFonts w:ascii="Segoe UI" w:hAnsi="Segoe UI" w:cs="Segoe UI"/>
          </w:rPr>
          <w:t>6.1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Costs as a barrier to accessing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1" w:history="1">
        <w:r w:rsidR="008C0AF0" w:rsidRPr="00F6415D">
          <w:rPr>
            <w:rStyle w:val="Hyperlink"/>
            <w:rFonts w:ascii="Segoe UI" w:hAnsi="Segoe UI" w:cs="Segoe UI"/>
          </w:rPr>
          <w:t>6.2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Barriers for low to medium level care to support independence at home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52</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2" w:history="1">
        <w:r w:rsidR="008C0AF0" w:rsidRPr="00F6415D">
          <w:rPr>
            <w:rStyle w:val="Hyperlink"/>
            <w:rFonts w:ascii="Segoe UI" w:hAnsi="Segoe UI" w:cs="Segoe UI"/>
          </w:rPr>
          <w:t>6.3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Barriers for acute/complex needs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_Toc532206392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3" w:history="1">
        <w:r w:rsidR="008C0AF0" w:rsidRPr="00F6415D">
          <w:rPr>
            <w:rStyle w:val="Hyperlink"/>
            <w:rFonts w:ascii="Segoe UI" w:hAnsi="Segoe UI" w:cs="Segoe UI"/>
          </w:rPr>
          <w:t>6.4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Financial stress and sacrifices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57</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4" w:history="1">
        <w:r w:rsidR="008C0AF0" w:rsidRPr="00F6415D">
          <w:rPr>
            <w:rStyle w:val="Hyperlink"/>
            <w:rFonts w:ascii="Segoe UI" w:hAnsi="Segoe UI" w:cs="Segoe UI"/>
          </w:rPr>
          <w:t>6.5</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Elder abuse and changing family dynamics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59</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5" w:history="1">
        <w:r w:rsidR="008C0AF0" w:rsidRPr="00F6415D">
          <w:rPr>
            <w:rStyle w:val="Hyperlink"/>
            <w:rFonts w:ascii="Segoe UI" w:hAnsi="Segoe UI" w:cs="Segoe UI"/>
          </w:rPr>
          <w:t>6.6</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Regional, rural and remote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61</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396" w:history="1">
        <w:r w:rsidR="008C0AF0" w:rsidRPr="00F6415D">
          <w:rPr>
            <w:rStyle w:val="Hyperlink"/>
            <w:rFonts w:ascii="Segoe UI" w:hAnsi="Segoe UI" w:cs="Segoe UI"/>
          </w:rPr>
          <w:t>7.</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Financial products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65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7" w:history="1">
        <w:r w:rsidR="008C0AF0" w:rsidRPr="00F6415D">
          <w:rPr>
            <w:rStyle w:val="Hyperlink"/>
            <w:rFonts w:ascii="Segoe UI" w:hAnsi="Segoe UI" w:cs="Segoe UI"/>
          </w:rPr>
          <w:t>7.1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Debt and equity release products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65</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8" w:history="1">
        <w:r w:rsidR="008C0AF0" w:rsidRPr="00F6415D">
          <w:rPr>
            <w:rStyle w:val="Hyperlink"/>
            <w:rFonts w:ascii="Segoe UI" w:hAnsi="Segoe UI" w:cs="Segoe UI"/>
          </w:rPr>
          <w:t>7.2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Financial investments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67</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399" w:history="1">
        <w:r w:rsidR="008C0AF0" w:rsidRPr="00F6415D">
          <w:rPr>
            <w:rStyle w:val="Hyperlink"/>
            <w:rFonts w:ascii="Segoe UI" w:hAnsi="Segoe UI" w:cs="Segoe UI"/>
          </w:rPr>
          <w:t>7.3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Challenges with financial products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_Toc532206399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68</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00" w:history="1">
        <w:r w:rsidR="008C0AF0" w:rsidRPr="00F6415D">
          <w:rPr>
            <w:rStyle w:val="Hyperlink"/>
            <w:rFonts w:ascii="Segoe UI" w:hAnsi="Segoe UI" w:cs="Segoe UI"/>
            <w:lang w:val="en-GB"/>
          </w:rPr>
          <w:t>8.</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lang w:val="en-GB"/>
          </w:rPr>
          <w:t>Sources of information and advice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71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1" w:history="1">
        <w:r w:rsidR="008C0AF0" w:rsidRPr="00F6415D">
          <w:rPr>
            <w:rStyle w:val="Hyperlink"/>
            <w:rFonts w:ascii="Segoe UI" w:hAnsi="Segoe UI" w:cs="Segoe UI"/>
          </w:rPr>
          <w:t>8.1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How consumers access information and advice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71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2" w:history="1">
        <w:r w:rsidR="008C0AF0" w:rsidRPr="00F6415D">
          <w:rPr>
            <w:rStyle w:val="Hyperlink"/>
            <w:rFonts w:ascii="Segoe UI" w:hAnsi="Segoe UI" w:cs="Segoe UI"/>
          </w:rPr>
          <w:t>8.2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Government information services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_Toc532206402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74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3" w:history="1">
        <w:r w:rsidR="008C0AF0" w:rsidRPr="00F6415D">
          <w:rPr>
            <w:rStyle w:val="Hyperlink"/>
            <w:rFonts w:ascii="Segoe UI" w:hAnsi="Segoe UI" w:cs="Segoe UI"/>
          </w:rPr>
          <w:t>8.3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Financial planning industry</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77</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4" w:history="1">
        <w:r w:rsidR="008C0AF0" w:rsidRPr="00F6415D">
          <w:rPr>
            <w:rStyle w:val="Hyperlink"/>
            <w:rFonts w:ascii="Segoe UI" w:hAnsi="Segoe UI" w:cs="Segoe UI"/>
          </w:rPr>
          <w:t>8.4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Mortgage and finance brokers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79</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5" w:history="1">
        <w:r w:rsidR="008C0AF0" w:rsidRPr="00F6415D">
          <w:rPr>
            <w:rStyle w:val="Hyperlink"/>
            <w:rFonts w:ascii="Segoe UI" w:hAnsi="Segoe UI" w:cs="Segoe UI"/>
          </w:rPr>
          <w:t>8.5</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Aged Care providers and placement agencies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80</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6" w:history="1">
        <w:r w:rsidR="008C0AF0" w:rsidRPr="00F6415D">
          <w:rPr>
            <w:rStyle w:val="Hyperlink"/>
            <w:rFonts w:ascii="Segoe UI" w:hAnsi="Segoe UI" w:cs="Segoe UI"/>
          </w:rPr>
          <w:t>8.6</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Consumer groups and other services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81</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7" w:history="1">
        <w:r w:rsidR="008C0AF0" w:rsidRPr="00F6415D">
          <w:rPr>
            <w:rStyle w:val="Hyperlink"/>
            <w:rFonts w:ascii="Segoe UI" w:hAnsi="Segoe UI" w:cs="Segoe UI"/>
          </w:rPr>
          <w:t>8.7</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Benchmarking retiree income needs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83</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08" w:history="1">
        <w:r w:rsidR="008C0AF0" w:rsidRPr="00F6415D">
          <w:rPr>
            <w:rStyle w:val="Hyperlink"/>
            <w:rFonts w:ascii="Segoe UI" w:hAnsi="Segoe UI" w:cs="Segoe UI"/>
          </w:rPr>
          <w:t>9.</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Challenges with sources of information and advice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09" w:history="1">
        <w:r w:rsidR="008C0AF0" w:rsidRPr="00F6415D">
          <w:rPr>
            <w:rStyle w:val="Hyperlink"/>
            <w:rFonts w:ascii="Segoe UI" w:eastAsia="Segoe UI" w:hAnsi="Segoe UI" w:cs="Segoe UI"/>
          </w:rPr>
          <w:t>9.1</w:t>
        </w:r>
        <w:r w:rsidR="008C0AF0" w:rsidRPr="00F6415D">
          <w:rPr>
            <w:rFonts w:ascii="Segoe UI" w:eastAsiaTheme="minorEastAsia" w:hAnsi="Segoe UI" w:cs="Segoe UI"/>
            <w:szCs w:val="22"/>
            <w:lang w:eastAsia="en-AU"/>
          </w:rPr>
          <w:tab/>
        </w:r>
        <w:r w:rsidR="008C0AF0" w:rsidRPr="00F6415D">
          <w:rPr>
            <w:rStyle w:val="Hyperlink"/>
            <w:rFonts w:ascii="Segoe UI" w:eastAsia="Segoe UI" w:hAnsi="Segoe UI" w:cs="Segoe UI"/>
          </w:rPr>
          <w:t>Government information services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_Toc532206409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84</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0" w:history="1">
        <w:r w:rsidR="008C0AF0" w:rsidRPr="00F6415D">
          <w:rPr>
            <w:rStyle w:val="Hyperlink"/>
            <w:rFonts w:ascii="Segoe UI" w:eastAsia="Segoe UI" w:hAnsi="Segoe UI" w:cs="Segoe UI"/>
          </w:rPr>
          <w:t>9.2</w:t>
        </w:r>
        <w:r w:rsidR="008C0AF0" w:rsidRPr="00F6415D">
          <w:rPr>
            <w:rFonts w:ascii="Segoe UI" w:eastAsiaTheme="minorEastAsia" w:hAnsi="Segoe UI" w:cs="Segoe UI"/>
            <w:szCs w:val="22"/>
            <w:lang w:eastAsia="en-AU"/>
          </w:rPr>
          <w:tab/>
        </w:r>
        <w:r w:rsidR="008C0AF0" w:rsidRPr="00F6415D">
          <w:rPr>
            <w:rStyle w:val="Hyperlink"/>
            <w:rFonts w:ascii="Segoe UI" w:eastAsia="Segoe UI" w:hAnsi="Segoe UI" w:cs="Segoe UI"/>
          </w:rPr>
          <w:t>Financial planning industry</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86</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1" w:history="1">
        <w:r w:rsidR="008C0AF0" w:rsidRPr="00F6415D">
          <w:rPr>
            <w:rStyle w:val="Hyperlink"/>
            <w:rFonts w:ascii="Segoe UI" w:hAnsi="Segoe UI" w:cs="Segoe UI"/>
          </w:rPr>
          <w:t>9.3</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Aged care providers and placement agencies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88</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2" w:history="1">
        <w:r w:rsidR="008C0AF0" w:rsidRPr="00F6415D">
          <w:rPr>
            <w:rStyle w:val="Hyperlink"/>
            <w:rFonts w:ascii="Segoe UI" w:hAnsi="Segoe UI" w:cs="Segoe UI"/>
          </w:rPr>
          <w:t>9.4</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Benchmarking retiree income needs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_Toc532206412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90</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3" w:history="1">
        <w:r w:rsidR="008C0AF0" w:rsidRPr="00F6415D">
          <w:rPr>
            <w:rStyle w:val="Hyperlink"/>
            <w:rFonts w:ascii="Segoe UI" w:hAnsi="Segoe UI" w:cs="Segoe UI"/>
          </w:rPr>
          <w:t>9.5</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Lack of forward planning for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_Toc532206413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90</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14" w:history="1">
        <w:r w:rsidR="008C0AF0" w:rsidRPr="00F6415D">
          <w:rPr>
            <w:rStyle w:val="Hyperlink"/>
            <w:rFonts w:ascii="Segoe UI" w:hAnsi="Segoe UI" w:cs="Segoe UI"/>
            <w:lang w:val="en-GB"/>
          </w:rPr>
          <w:t>10.</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lang w:val="en-GB"/>
          </w:rPr>
          <w:t>ACFA’s conclusions and recommendations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_Toc532206414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92</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5" w:history="1">
        <w:r w:rsidR="008C0AF0" w:rsidRPr="00F6415D">
          <w:rPr>
            <w:rStyle w:val="Hyperlink"/>
            <w:rFonts w:ascii="Segoe UI" w:hAnsi="Segoe UI" w:cs="Segoe UI"/>
          </w:rPr>
          <w:t>10.1</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Responding to concerns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_Toc532206415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92</w:t>
        </w:r>
        <w:r w:rsidR="008C0AF0" w:rsidRPr="00F6415D">
          <w:rPr>
            <w:rFonts w:ascii="Segoe UI" w:hAnsi="Segoe UI" w:cs="Segoe UI"/>
            <w:webHidden/>
          </w:rPr>
          <w:fldChar w:fldCharType="end"/>
        </w:r>
      </w:hyperlink>
    </w:p>
    <w:p w:rsidR="008C0AF0" w:rsidRPr="00F6415D" w:rsidRDefault="00183CC8">
      <w:pPr>
        <w:pStyle w:val="TOC3"/>
        <w:rPr>
          <w:rFonts w:ascii="Segoe UI" w:eastAsiaTheme="minorEastAsia" w:hAnsi="Segoe UI" w:cs="Segoe UI"/>
          <w:szCs w:val="22"/>
          <w:lang w:eastAsia="en-AU"/>
        </w:rPr>
      </w:pPr>
      <w:hyperlink w:anchor="_Toc532206416" w:history="1">
        <w:r w:rsidR="008C0AF0" w:rsidRPr="00F6415D">
          <w:rPr>
            <w:rStyle w:val="Hyperlink"/>
            <w:rFonts w:ascii="Segoe UI" w:hAnsi="Segoe UI" w:cs="Segoe UI"/>
          </w:rPr>
          <w:t>10.2</w:t>
        </w:r>
        <w:r w:rsidR="008C0AF0" w:rsidRPr="00F6415D">
          <w:rPr>
            <w:rFonts w:ascii="Segoe UI" w:eastAsiaTheme="minorEastAsia" w:hAnsi="Segoe UI" w:cs="Segoe UI"/>
            <w:szCs w:val="22"/>
            <w:lang w:eastAsia="en-AU"/>
          </w:rPr>
          <w:tab/>
        </w:r>
        <w:r w:rsidR="008C0AF0" w:rsidRPr="00F6415D">
          <w:rPr>
            <w:rStyle w:val="Hyperlink"/>
            <w:rFonts w:ascii="Segoe UI" w:hAnsi="Segoe UI" w:cs="Segoe UI"/>
          </w:rPr>
          <w:t>Recommendations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_Toc532206416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93</w:t>
        </w:r>
        <w:r w:rsidR="008C0AF0" w:rsidRPr="00F6415D">
          <w:rPr>
            <w:rFonts w:ascii="Segoe UI" w:hAnsi="Segoe UI" w:cs="Segoe UI"/>
            <w:webHidden/>
          </w:rPr>
          <w:fldChar w:fldCharType="end"/>
        </w:r>
      </w:hyperlink>
    </w:p>
    <w:p w:rsidR="008C0AF0" w:rsidRPr="00F6415D" w:rsidRDefault="00183CC8" w:rsidP="008C0AF0">
      <w:pPr>
        <w:pStyle w:val="TOC2"/>
        <w:tabs>
          <w:tab w:val="clear" w:pos="1400"/>
          <w:tab w:val="left" w:pos="2127"/>
        </w:tabs>
        <w:ind w:left="2127" w:hanging="1464"/>
        <w:rPr>
          <w:rFonts w:ascii="Segoe UI" w:eastAsiaTheme="minorEastAsia" w:hAnsi="Segoe UI" w:cs="Segoe UI"/>
          <w:szCs w:val="22"/>
          <w:lang w:eastAsia="en-AU"/>
        </w:rPr>
      </w:pPr>
      <w:hyperlink w:anchor="_Toc532206417" w:history="1">
        <w:r w:rsidR="008C0AF0" w:rsidRPr="00F6415D">
          <w:rPr>
            <w:rStyle w:val="Hyperlink"/>
            <w:rFonts w:ascii="Segoe UI" w:eastAsiaTheme="majorEastAsia" w:hAnsi="Segoe UI" w:cs="Segoe UI"/>
          </w:rPr>
          <w:t xml:space="preserve">Appendix A : Government and non-government aged care </w:t>
        </w:r>
        <w:r w:rsidR="008C0AF0" w:rsidRPr="00F6415D">
          <w:rPr>
            <w:rStyle w:val="Hyperlink"/>
            <w:rFonts w:ascii="Segoe UI" w:eastAsiaTheme="majorEastAsia" w:hAnsi="Segoe UI" w:cs="Segoe UI"/>
          </w:rPr>
          <w:br/>
          <w:t>programs and services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_Toc532206417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100</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18" w:history="1">
        <w:r w:rsidR="008C0AF0" w:rsidRPr="00F6415D">
          <w:rPr>
            <w:rStyle w:val="Hyperlink"/>
            <w:rFonts w:ascii="Segoe UI" w:eastAsiaTheme="majorEastAsia" w:hAnsi="Segoe UI" w:cs="Segoe UI"/>
          </w:rPr>
          <w:t>Appendix B : Income stream(s) used to finance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_Toc532206418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107</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19" w:history="1">
        <w:r w:rsidR="008C0AF0" w:rsidRPr="00F6415D">
          <w:rPr>
            <w:rStyle w:val="Hyperlink"/>
            <w:rFonts w:ascii="Segoe UI" w:eastAsiaTheme="majorEastAsia" w:hAnsi="Segoe UI" w:cs="Segoe UI"/>
          </w:rPr>
          <w:t>Appendix C : Paying for residential aged care</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_Toc532206419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108</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20" w:history="1">
        <w:r w:rsidR="008C0AF0" w:rsidRPr="00F6415D">
          <w:rPr>
            <w:rStyle w:val="Hyperlink"/>
            <w:rFonts w:ascii="Segoe UI" w:eastAsiaTheme="majorEastAsia" w:hAnsi="Segoe UI" w:cs="Segoe UI"/>
          </w:rPr>
          <w:t>Appendix D : Consumer survey results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_Toc532206420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109</w:t>
        </w:r>
        <w:r w:rsidR="008C0AF0" w:rsidRPr="00F6415D">
          <w:rPr>
            <w:rFonts w:ascii="Segoe UI" w:hAnsi="Segoe UI" w:cs="Segoe UI"/>
            <w:webHidden/>
          </w:rPr>
          <w:fldChar w:fldCharType="end"/>
        </w:r>
      </w:hyperlink>
    </w:p>
    <w:p w:rsidR="008C0AF0" w:rsidRPr="00F6415D" w:rsidRDefault="00183CC8">
      <w:pPr>
        <w:pStyle w:val="TOC2"/>
        <w:rPr>
          <w:rFonts w:ascii="Segoe UI" w:eastAsiaTheme="minorEastAsia" w:hAnsi="Segoe UI" w:cs="Segoe UI"/>
          <w:szCs w:val="22"/>
          <w:lang w:eastAsia="en-AU"/>
        </w:rPr>
      </w:pPr>
      <w:hyperlink w:anchor="_Toc532206421" w:history="1">
        <w:r w:rsidR="008C0AF0" w:rsidRPr="00F6415D">
          <w:rPr>
            <w:rStyle w:val="Hyperlink"/>
            <w:rFonts w:ascii="Segoe UI" w:hAnsi="Segoe UI" w:cs="Segoe UI"/>
          </w:rPr>
          <w:t>Appendix E : References</w:t>
        </w:r>
        <w:r w:rsidR="008C0AF0" w:rsidRPr="00F6415D">
          <w:rPr>
            <w:rFonts w:ascii="Segoe UI" w:hAnsi="Segoe UI" w:cs="Segoe UI"/>
            <w:webHidden/>
          </w:rPr>
          <w:tab/>
        </w:r>
        <w:r w:rsidR="008C0AF0" w:rsidRPr="00F6415D">
          <w:rPr>
            <w:rFonts w:ascii="Segoe UI" w:hAnsi="Segoe UI" w:cs="Segoe UI"/>
            <w:webHidden/>
          </w:rPr>
          <w:fldChar w:fldCharType="begin"/>
        </w:r>
        <w:r w:rsidR="008C0AF0" w:rsidRPr="00F6415D">
          <w:rPr>
            <w:rFonts w:ascii="Segoe UI" w:hAnsi="Segoe UI" w:cs="Segoe UI"/>
            <w:webHidden/>
          </w:rPr>
          <w:instrText xml:space="preserve"> PAGEREF _Toc532206421 \h </w:instrText>
        </w:r>
        <w:r w:rsidR="008C0AF0" w:rsidRPr="00F6415D">
          <w:rPr>
            <w:rFonts w:ascii="Segoe UI" w:hAnsi="Segoe UI" w:cs="Segoe UI"/>
            <w:webHidden/>
          </w:rPr>
        </w:r>
        <w:r w:rsidR="008C0AF0" w:rsidRPr="00F6415D">
          <w:rPr>
            <w:rFonts w:ascii="Segoe UI" w:hAnsi="Segoe UI" w:cs="Segoe UI"/>
            <w:webHidden/>
          </w:rPr>
          <w:fldChar w:fldCharType="separate"/>
        </w:r>
        <w:r w:rsidR="00C40CA4">
          <w:rPr>
            <w:rFonts w:ascii="Segoe UI" w:hAnsi="Segoe UI" w:cs="Segoe UI"/>
            <w:webHidden/>
          </w:rPr>
          <w:t>131</w:t>
        </w:r>
        <w:r w:rsidR="008C0AF0" w:rsidRPr="00F6415D">
          <w:rPr>
            <w:rFonts w:ascii="Segoe UI" w:hAnsi="Segoe UI" w:cs="Segoe UI"/>
            <w:webHidden/>
          </w:rPr>
          <w:fldChar w:fldCharType="end"/>
        </w:r>
      </w:hyperlink>
    </w:p>
    <w:p w:rsidR="00233BC7" w:rsidRPr="00F6415D" w:rsidRDefault="00233BC7" w:rsidP="00100543">
      <w:pPr>
        <w:rPr>
          <w:rFonts w:ascii="Segoe UI" w:hAnsi="Segoe UI" w:cs="Segoe UI"/>
        </w:rPr>
      </w:pPr>
      <w:r w:rsidRPr="00F6415D">
        <w:rPr>
          <w:rFonts w:ascii="Segoe UI" w:hAnsi="Segoe UI" w:cs="Segoe UI"/>
          <w:noProof/>
        </w:rPr>
        <w:fldChar w:fldCharType="end"/>
      </w:r>
    </w:p>
    <w:p w:rsidR="003E2D88" w:rsidRPr="00183CC8" w:rsidRDefault="003E2D88" w:rsidP="00183CC8">
      <w:pPr>
        <w:sectPr w:rsidR="003E2D88" w:rsidRPr="00183CC8" w:rsidSect="00CE1469">
          <w:headerReference w:type="default" r:id="rId13"/>
          <w:footerReference w:type="default" r:id="rId14"/>
          <w:endnotePr>
            <w:numFmt w:val="decimal"/>
          </w:endnotePr>
          <w:type w:val="continuous"/>
          <w:pgSz w:w="11907" w:h="16840" w:code="9"/>
          <w:pgMar w:top="1440" w:right="1440" w:bottom="1440" w:left="1440" w:header="539" w:footer="1191" w:gutter="0"/>
          <w:pgNumType w:fmt="lowerRoman"/>
          <w:cols w:space="560"/>
          <w:docGrid w:linePitch="299"/>
        </w:sectPr>
      </w:pPr>
      <w:bookmarkStart w:id="0" w:name="_Toc396903280"/>
      <w:bookmarkStart w:id="1" w:name="_GoBack"/>
      <w:bookmarkEnd w:id="1"/>
    </w:p>
    <w:p w:rsidR="00B05119" w:rsidRPr="00F6415D" w:rsidRDefault="00B05119" w:rsidP="00227EBF">
      <w:pPr>
        <w:pStyle w:val="Heading2"/>
        <w:numPr>
          <w:ilvl w:val="0"/>
          <w:numId w:val="0"/>
        </w:numPr>
        <w:ind w:left="720" w:hanging="720"/>
        <w:rPr>
          <w:rFonts w:ascii="Segoe UI" w:hAnsi="Segoe UI" w:cs="Segoe UI"/>
        </w:rPr>
      </w:pPr>
      <w:bookmarkStart w:id="2" w:name="_Toc532206363"/>
      <w:r w:rsidRPr="00F6415D">
        <w:rPr>
          <w:rFonts w:ascii="Segoe UI" w:hAnsi="Segoe UI" w:cs="Segoe UI"/>
        </w:rPr>
        <w:lastRenderedPageBreak/>
        <w:t>Glossary</w:t>
      </w:r>
      <w:bookmarkEnd w:id="2"/>
    </w:p>
    <w:p w:rsidR="006A2FE9" w:rsidRPr="00F6415D" w:rsidRDefault="006A2FE9" w:rsidP="006A2FE9">
      <w:pPr>
        <w:ind w:left="360" w:hanging="360"/>
        <w:rPr>
          <w:rFonts w:ascii="Segoe UI" w:hAnsi="Segoe UI" w:cs="Segoe UI"/>
        </w:rPr>
      </w:pPr>
      <w:r w:rsidRPr="00F6415D">
        <w:rPr>
          <w:rFonts w:ascii="Segoe UI" w:hAnsi="Segoe UI" w:cs="Segoe UI"/>
        </w:rPr>
        <w:t>The glossary below sets out abbreviations and definitions. Listed below is the term followed by the definition.</w:t>
      </w:r>
    </w:p>
    <w:p w:rsidR="006A2FE9" w:rsidRPr="00F6415D" w:rsidRDefault="006A2FE9" w:rsidP="00686BFA">
      <w:pPr>
        <w:pStyle w:val="ListParagraph"/>
        <w:numPr>
          <w:ilvl w:val="0"/>
          <w:numId w:val="46"/>
        </w:numPr>
        <w:rPr>
          <w:rFonts w:ascii="Segoe UI" w:hAnsi="Segoe UI" w:cs="Segoe UI"/>
        </w:rPr>
      </w:pPr>
      <w:r w:rsidRPr="00F6415D">
        <w:rPr>
          <w:rFonts w:ascii="Segoe UI" w:hAnsi="Segoe UI" w:cs="Segoe UI"/>
          <w:b/>
        </w:rPr>
        <w:t>Aged Care Act 1997 (the Act)</w:t>
      </w:r>
      <w:r w:rsidR="00310C56" w:rsidRPr="00F6415D">
        <w:rPr>
          <w:rFonts w:ascii="Segoe UI" w:hAnsi="Segoe UI" w:cs="Segoe UI"/>
        </w:rPr>
        <w:t>:</w:t>
      </w:r>
      <w:r w:rsidRPr="00F6415D">
        <w:rPr>
          <w:rFonts w:ascii="Segoe UI" w:hAnsi="Segoe UI" w:cs="Segoe UI"/>
        </w:rPr>
        <w:t xml:space="preserve"> The primary legislation governing the provision of aged care services.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Aged care</w:t>
      </w:r>
      <w:r w:rsidR="00310C56" w:rsidRPr="00F6415D">
        <w:rPr>
          <w:rFonts w:ascii="Segoe UI" w:hAnsi="Segoe UI" w:cs="Segoe UI"/>
        </w:rPr>
        <w:t>:</w:t>
      </w:r>
      <w:r w:rsidRPr="00F6415D">
        <w:rPr>
          <w:rFonts w:ascii="Segoe UI" w:hAnsi="Segoe UI" w:cs="Segoe UI"/>
        </w:rPr>
        <w:t xml:space="preserve"> Aged care encompasses the Commonwealth Home Support Programme (CHSP), home care packages programme and residential aged care program.</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Aged Care Assessment Team (ACAT)</w:t>
      </w:r>
      <w:r w:rsidR="00310C56" w:rsidRPr="00F6415D">
        <w:rPr>
          <w:rFonts w:ascii="Segoe UI" w:hAnsi="Segoe UI" w:cs="Segoe UI"/>
        </w:rPr>
        <w:t>:</w:t>
      </w:r>
      <w:r w:rsidRPr="00F6415D">
        <w:rPr>
          <w:rFonts w:ascii="Segoe UI" w:hAnsi="Segoe UI" w:cs="Segoe UI"/>
        </w:rPr>
        <w:t xml:space="preserve"> ACATs are teams of medical and allied health professionals who assess the physical, psychological, medical, restorative, cultural and social needs of frail older people and help them and their carers to access appropriate levels of support.</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Agreed accommodation price</w:t>
      </w:r>
      <w:r w:rsidR="00310C56" w:rsidRPr="00F6415D">
        <w:rPr>
          <w:rFonts w:ascii="Segoe UI" w:hAnsi="Segoe UI" w:cs="Segoe UI"/>
        </w:rPr>
        <w:t>:</w:t>
      </w:r>
      <w:r w:rsidRPr="00F6415D">
        <w:rPr>
          <w:rFonts w:ascii="Segoe UI" w:hAnsi="Segoe UI" w:cs="Segoe UI"/>
        </w:rPr>
        <w:t xml:space="preserve"> Accommodation prices are agreed between providers and prospective residents prior to entry, as reported by providers through the Aged Care Entry Record.</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Approved provider</w:t>
      </w:r>
      <w:r w:rsidR="00310C56" w:rsidRPr="00F6415D">
        <w:rPr>
          <w:rFonts w:ascii="Segoe UI" w:hAnsi="Segoe UI" w:cs="Segoe UI"/>
        </w:rPr>
        <w:t>:</w:t>
      </w:r>
      <w:r w:rsidRPr="00F6415D">
        <w:rPr>
          <w:rFonts w:ascii="Segoe UI" w:hAnsi="Segoe UI" w:cs="Segoe UI"/>
        </w:rPr>
        <w:t xml:space="preserve"> An approved provider of aged care is an organisation that has been approved by the Secretary of the Department of Health to provide residential care, home care or flexible care under the Aged Care Act 1997.</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Australian Bureau of Statistics (ABS)</w:t>
      </w:r>
      <w:r w:rsidR="00310C56" w:rsidRPr="00F6415D">
        <w:rPr>
          <w:rFonts w:ascii="Segoe UI" w:hAnsi="Segoe UI" w:cs="Segoe UI"/>
        </w:rPr>
        <w:t>:</w:t>
      </w:r>
      <w:r w:rsidRPr="00F6415D">
        <w:rPr>
          <w:rFonts w:ascii="Segoe UI" w:hAnsi="Segoe UI" w:cs="Segoe UI"/>
        </w:rPr>
        <w:t xml:space="preserve"> The Government agency responsible for the production and dissemination of statistics in a range of key areas.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Commonwealth Home Support Programme (CHSP)</w:t>
      </w:r>
      <w:r w:rsidR="00310C56" w:rsidRPr="00F6415D">
        <w:rPr>
          <w:rFonts w:ascii="Segoe UI" w:hAnsi="Segoe UI" w:cs="Segoe UI"/>
        </w:rPr>
        <w:t>:</w:t>
      </w:r>
      <w:r w:rsidRPr="00F6415D">
        <w:rPr>
          <w:rFonts w:ascii="Segoe UI" w:hAnsi="Segoe UI" w:cs="Segoe UI"/>
        </w:rPr>
        <w:t xml:space="preserve"> This program provides entry-level support services designed to help frail older people stay in their homes. It was introduced on 1 July 2015, consolidating four former programs: Commonwealth Home and Community Care (HACC); the National Respite for Carers Program (NRCP); Day Therapy Centres (DTC); and Assistance with Care and Housing for the Aged (ACHA).</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Consumer Directed Care (CDC)</w:t>
      </w:r>
      <w:r w:rsidR="00310C56" w:rsidRPr="00F6415D">
        <w:rPr>
          <w:rFonts w:ascii="Segoe UI" w:hAnsi="Segoe UI" w:cs="Segoe UI"/>
        </w:rPr>
        <w:t>:</w:t>
      </w:r>
      <w:r w:rsidRPr="00F6415D">
        <w:rPr>
          <w:rFonts w:ascii="Segoe UI" w:hAnsi="Segoe UI" w:cs="Segoe UI"/>
        </w:rPr>
        <w:t xml:space="preserve"> Consumer Directed Care in home care gives consumers greater choice over their own lives by allowing them to decide what types of care and services they access and how those services are delivered.</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Culturally and Linguistically Diverse (CALD)</w:t>
      </w:r>
      <w:r w:rsidR="00310C56" w:rsidRPr="00F6415D">
        <w:rPr>
          <w:rFonts w:ascii="Segoe UI" w:hAnsi="Segoe UI" w:cs="Segoe UI"/>
        </w:rPr>
        <w:t>:</w:t>
      </w:r>
      <w:r w:rsidRPr="00F6415D">
        <w:rPr>
          <w:rFonts w:ascii="Segoe UI" w:hAnsi="Segoe UI" w:cs="Segoe UI"/>
        </w:rPr>
        <w:t xml:space="preserve"> Consumers who have particular cultural or linguistic affiliations due to their:</w:t>
      </w:r>
    </w:p>
    <w:p w:rsidR="006A2FE9" w:rsidRPr="00F6415D" w:rsidRDefault="006A2FE9" w:rsidP="00686BFA">
      <w:pPr>
        <w:pStyle w:val="ListParagraph"/>
        <w:numPr>
          <w:ilvl w:val="0"/>
          <w:numId w:val="45"/>
        </w:numPr>
        <w:tabs>
          <w:tab w:val="clear" w:pos="340"/>
          <w:tab w:val="num" w:pos="1247"/>
        </w:tabs>
        <w:ind w:left="1247"/>
        <w:rPr>
          <w:rFonts w:ascii="Segoe UI" w:hAnsi="Segoe UI" w:cs="Segoe UI"/>
        </w:rPr>
      </w:pPr>
      <w:r w:rsidRPr="00F6415D">
        <w:rPr>
          <w:rFonts w:ascii="Segoe UI" w:hAnsi="Segoe UI" w:cs="Segoe UI"/>
        </w:rPr>
        <w:t>place of birth or ethnic origin;</w:t>
      </w:r>
    </w:p>
    <w:p w:rsidR="006A2FE9" w:rsidRPr="00F6415D" w:rsidRDefault="006A2FE9" w:rsidP="00686BFA">
      <w:pPr>
        <w:pStyle w:val="ListParagraph"/>
        <w:numPr>
          <w:ilvl w:val="0"/>
          <w:numId w:val="45"/>
        </w:numPr>
        <w:tabs>
          <w:tab w:val="clear" w:pos="340"/>
          <w:tab w:val="num" w:pos="1247"/>
        </w:tabs>
        <w:ind w:left="1247"/>
        <w:rPr>
          <w:rFonts w:ascii="Segoe UI" w:hAnsi="Segoe UI" w:cs="Segoe UI"/>
        </w:rPr>
      </w:pPr>
      <w:r w:rsidRPr="00F6415D">
        <w:rPr>
          <w:rFonts w:ascii="Segoe UI" w:hAnsi="Segoe UI" w:cs="Segoe UI"/>
        </w:rPr>
        <w:t>main language other than English spoken at home; or</w:t>
      </w:r>
    </w:p>
    <w:p w:rsidR="006A2FE9" w:rsidRPr="00F6415D" w:rsidRDefault="006A2FE9" w:rsidP="00686BFA">
      <w:pPr>
        <w:pStyle w:val="ListParagraph"/>
        <w:numPr>
          <w:ilvl w:val="0"/>
          <w:numId w:val="45"/>
        </w:numPr>
        <w:tabs>
          <w:tab w:val="clear" w:pos="340"/>
          <w:tab w:val="num" w:pos="1247"/>
        </w:tabs>
        <w:ind w:left="1247"/>
        <w:rPr>
          <w:rFonts w:ascii="Segoe UI" w:hAnsi="Segoe UI" w:cs="Segoe UI"/>
        </w:rPr>
      </w:pPr>
      <w:r w:rsidRPr="00F6415D">
        <w:rPr>
          <w:rFonts w:ascii="Segoe UI" w:hAnsi="Segoe UI" w:cs="Segoe UI"/>
        </w:rPr>
        <w:t>proficiency in spoken English.</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Daily Accommodation Contribution (DAC)</w:t>
      </w:r>
      <w:r w:rsidR="00310C56" w:rsidRPr="00F6415D">
        <w:rPr>
          <w:rFonts w:ascii="Segoe UI" w:hAnsi="Segoe UI" w:cs="Segoe UI"/>
        </w:rPr>
        <w:t>:</w:t>
      </w:r>
      <w:r w:rsidRPr="00F6415D">
        <w:rPr>
          <w:rFonts w:ascii="Segoe UI" w:hAnsi="Segoe UI" w:cs="Segoe UI"/>
        </w:rPr>
        <w:t xml:space="preserve"> An amount paid by a partially supported resident as a contribution toward their accommodation costs in a residential aged care facility, calculated on a daily basis and paid periodically.</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Daily Accommodation Payment (DAP)</w:t>
      </w:r>
      <w:r w:rsidR="00310C56" w:rsidRPr="00F6415D">
        <w:rPr>
          <w:rFonts w:ascii="Segoe UI" w:hAnsi="Segoe UI" w:cs="Segoe UI"/>
        </w:rPr>
        <w:t>:</w:t>
      </w:r>
      <w:r w:rsidRPr="00F6415D">
        <w:rPr>
          <w:rFonts w:ascii="Segoe UI" w:hAnsi="Segoe UI" w:cs="Segoe UI"/>
        </w:rPr>
        <w:t xml:space="preserve"> An amount paid by a non-supported resident towards their accommodation costs in a residential aged care facility calculated on a daily basis and paid periodically.</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Department of Health</w:t>
      </w:r>
      <w:r w:rsidR="00310C56" w:rsidRPr="00F6415D">
        <w:rPr>
          <w:rFonts w:ascii="Segoe UI" w:hAnsi="Segoe UI" w:cs="Segoe UI"/>
        </w:rPr>
        <w:t>:</w:t>
      </w:r>
      <w:r w:rsidRPr="00F6415D">
        <w:rPr>
          <w:rFonts w:ascii="Segoe UI" w:hAnsi="Segoe UI" w:cs="Segoe UI"/>
        </w:rPr>
        <w:t xml:space="preserve"> The department that administers the Aged Care Act 1997 and regulates the aged care industry on behalf of the Australian Government.</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Facility</w:t>
      </w:r>
      <w:r w:rsidR="00310C56" w:rsidRPr="00F6415D">
        <w:rPr>
          <w:rFonts w:ascii="Segoe UI" w:hAnsi="Segoe UI" w:cs="Segoe UI"/>
        </w:rPr>
        <w:t>:</w:t>
      </w:r>
      <w:r w:rsidRPr="00F6415D">
        <w:rPr>
          <w:rFonts w:ascii="Segoe UI" w:hAnsi="Segoe UI" w:cs="Segoe UI"/>
        </w:rPr>
        <w:t xml:space="preserve"> A residential aged care facility, approved under the Aged Care Act 1997 to provide government subsidised accommodation and care.</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Flexible care</w:t>
      </w:r>
      <w:r w:rsidR="00310C56" w:rsidRPr="00F6415D">
        <w:rPr>
          <w:rFonts w:ascii="Segoe UI" w:hAnsi="Segoe UI" w:cs="Segoe UI"/>
        </w:rPr>
        <w:t>:</w:t>
      </w:r>
      <w:r w:rsidRPr="00F6415D">
        <w:rPr>
          <w:rFonts w:ascii="Segoe UI" w:hAnsi="Segoe UI" w:cs="Segoe UI"/>
        </w:rPr>
        <w:t xml:space="preserve"> For those in either a residential or home care setting, who may require a different care approach than that provided through mainstream residential and home care.</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lastRenderedPageBreak/>
        <w:t>High care facility</w:t>
      </w:r>
      <w:r w:rsidR="00310C56" w:rsidRPr="00F6415D">
        <w:rPr>
          <w:rFonts w:ascii="Segoe UI" w:hAnsi="Segoe UI" w:cs="Segoe UI"/>
        </w:rPr>
        <w:t>:</w:t>
      </w:r>
      <w:r w:rsidRPr="00F6415D">
        <w:rPr>
          <w:rFonts w:ascii="Segoe UI" w:hAnsi="Segoe UI" w:cs="Segoe UI"/>
        </w:rPr>
        <w:t xml:space="preserve"> A facility where over 80 per cent of residents were classified as ‘high care’. The distinction between high care and low care in permanent residential care was removed from 1 July 2014.</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Home care</w:t>
      </w:r>
      <w:r w:rsidR="00310C56" w:rsidRPr="00F6415D">
        <w:rPr>
          <w:rFonts w:ascii="Segoe UI" w:hAnsi="Segoe UI" w:cs="Segoe UI"/>
        </w:rPr>
        <w:t>:</w:t>
      </w:r>
      <w:r w:rsidRPr="00F6415D">
        <w:rPr>
          <w:rFonts w:ascii="Segoe UI" w:hAnsi="Segoe UI" w:cs="Segoe UI"/>
        </w:rPr>
        <w:t xml:space="preserve"> Home based care provided through a home care package to help older Australians to remain in their own homes. Home care is provided through the Home Care Packages Programme.</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Home care package</w:t>
      </w:r>
      <w:r w:rsidR="00310C56" w:rsidRPr="00F6415D">
        <w:rPr>
          <w:rFonts w:ascii="Segoe UI" w:hAnsi="Segoe UI" w:cs="Segoe UI"/>
        </w:rPr>
        <w:t>:</w:t>
      </w:r>
      <w:r w:rsidRPr="00F6415D">
        <w:rPr>
          <w:rFonts w:ascii="Segoe UI" w:hAnsi="Segoe UI" w:cs="Segoe UI"/>
        </w:rPr>
        <w:t xml:space="preserve"> A package of services, delivered though the Home Care Packages Programme, tailored to meet the care needs of a person living at home. The package is coordinated by an approved home care provider, with funding provided by the Australian Government (with some contributions from the consumer). Home care packages range from level 1 to 4 depending on the care needs of the consumer. </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Home Care Packages Programme</w:t>
      </w:r>
      <w:r w:rsidR="00310C56" w:rsidRPr="00F6415D">
        <w:rPr>
          <w:rFonts w:ascii="Segoe UI" w:hAnsi="Segoe UI" w:cs="Segoe UI"/>
        </w:rPr>
        <w:t>:</w:t>
      </w:r>
      <w:r w:rsidRPr="00F6415D">
        <w:rPr>
          <w:rFonts w:ascii="Segoe UI" w:hAnsi="Segoe UI" w:cs="Segoe UI"/>
        </w:rPr>
        <w:t xml:space="preserve"> An Australian Government funded programme which has as its objectives to assist people to remain living at home and enable consumers to have choice and flexibility in the way that care and support is provided at home. The Home Care Packages Programme commenced on 1 August 2013.</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Location</w:t>
      </w:r>
      <w:r w:rsidR="00310C56" w:rsidRPr="00F6415D">
        <w:rPr>
          <w:rFonts w:ascii="Segoe UI" w:hAnsi="Segoe UI" w:cs="Segoe UI"/>
        </w:rPr>
        <w:t>:</w:t>
      </w:r>
      <w:r w:rsidRPr="00F6415D">
        <w:rPr>
          <w:rFonts w:ascii="Segoe UI" w:hAnsi="Segoe UI" w:cs="Segoe UI"/>
        </w:rPr>
        <w:t xml:space="preserve"> Indicates where a provider, service or consumer is located based on whether they are </w:t>
      </w:r>
      <w:r w:rsidR="00F9121C" w:rsidRPr="00F6415D">
        <w:rPr>
          <w:rFonts w:ascii="Segoe UI" w:hAnsi="Segoe UI" w:cs="Segoe UI"/>
        </w:rPr>
        <w:t>metropolitan</w:t>
      </w:r>
      <w:r w:rsidRPr="00F6415D">
        <w:rPr>
          <w:rFonts w:ascii="Segoe UI" w:hAnsi="Segoe UI" w:cs="Segoe UI"/>
        </w:rPr>
        <w:t xml:space="preserve"> or regional areas. “</w:t>
      </w:r>
      <w:r w:rsidR="00F9121C" w:rsidRPr="00F6415D">
        <w:rPr>
          <w:rFonts w:ascii="Segoe UI" w:hAnsi="Segoe UI" w:cs="Segoe UI"/>
        </w:rPr>
        <w:t>Metropolitan</w:t>
      </w:r>
      <w:r w:rsidRPr="00F6415D">
        <w:rPr>
          <w:rFonts w:ascii="Segoe UI" w:hAnsi="Segoe UI" w:cs="Segoe UI"/>
        </w:rPr>
        <w:t xml:space="preserve">” is all major cities and regional is any area outside of a major city. A provider is classified as </w:t>
      </w:r>
      <w:r w:rsidR="00F9121C" w:rsidRPr="00F6415D">
        <w:rPr>
          <w:rFonts w:ascii="Segoe UI" w:hAnsi="Segoe UI" w:cs="Segoe UI"/>
        </w:rPr>
        <w:t>metropolitan</w:t>
      </w:r>
      <w:r w:rsidRPr="00F6415D">
        <w:rPr>
          <w:rFonts w:ascii="Segoe UI" w:hAnsi="Segoe UI" w:cs="Segoe UI"/>
        </w:rPr>
        <w:t xml:space="preserve"> if more than 70 per cent of its services are located in </w:t>
      </w:r>
      <w:r w:rsidR="00F9121C" w:rsidRPr="00F6415D">
        <w:rPr>
          <w:rFonts w:ascii="Segoe UI" w:hAnsi="Segoe UI" w:cs="Segoe UI"/>
        </w:rPr>
        <w:t>metropolitan</w:t>
      </w:r>
      <w:r w:rsidRPr="00F6415D">
        <w:rPr>
          <w:rFonts w:ascii="Segoe UI" w:hAnsi="Segoe UI" w:cs="Segoe UI"/>
        </w:rPr>
        <w:t xml:space="preserve"> areas and similarly is classified as regional if more than 70 per cent of its services are located in regional areas. </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Low care facility</w:t>
      </w:r>
      <w:r w:rsidR="00310C56" w:rsidRPr="00F6415D">
        <w:rPr>
          <w:rFonts w:ascii="Segoe UI" w:hAnsi="Segoe UI" w:cs="Segoe UI"/>
        </w:rPr>
        <w:t>:</w:t>
      </w:r>
      <w:r w:rsidRPr="00F6415D">
        <w:rPr>
          <w:rFonts w:ascii="Segoe UI" w:hAnsi="Segoe UI" w:cs="Segoe UI"/>
        </w:rPr>
        <w:t xml:space="preserve"> A facility where over 80 per cent of residents were classified as ‘low care’. The distinction between high care and low care was removed from 1 July 2014.</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Maximum accommodation price</w:t>
      </w:r>
      <w:r w:rsidR="00310C56" w:rsidRPr="00F6415D">
        <w:rPr>
          <w:rFonts w:ascii="Segoe UI" w:hAnsi="Segoe UI" w:cs="Segoe UI"/>
        </w:rPr>
        <w:t>:</w:t>
      </w:r>
      <w:r w:rsidRPr="00F6415D">
        <w:rPr>
          <w:rFonts w:ascii="Segoe UI" w:hAnsi="Segoe UI" w:cs="Segoe UI"/>
        </w:rPr>
        <w:t xml:space="preserve"> Maximum accommodation prices set by residential providers for a room (or bed in a shared room) and published on the My Aged Care website. These are maximum prices (providers and residents may agree lower amounts), that apply to residents who are not eligible for support with their accommodation costs.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Maximum Permissible Interest Rate (MPIR)</w:t>
      </w:r>
      <w:r w:rsidR="00310C56" w:rsidRPr="00F6415D">
        <w:rPr>
          <w:rFonts w:ascii="Segoe UI" w:hAnsi="Segoe UI" w:cs="Segoe UI"/>
        </w:rPr>
        <w:t>:</w:t>
      </w:r>
      <w:r w:rsidRPr="00F6415D">
        <w:rPr>
          <w:rFonts w:ascii="Segoe UI" w:hAnsi="Segoe UI" w:cs="Segoe UI"/>
        </w:rPr>
        <w:t xml:space="preserve"> The MPIR is the rate used to calculate the equivalent daily payment of a Refundable Accommodation Deposit (RAD). The RAD is multiplied by the MPIR and divided by 365 days. The MPIR is determined in accordance with Section 6 of the Fees and Payments Principles 2014 (No. 2).The MPIR is available on the Department of Health website and is updated every three months.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My Aged Care</w:t>
      </w:r>
      <w:r w:rsidR="00310C56" w:rsidRPr="00F6415D">
        <w:rPr>
          <w:rFonts w:ascii="Segoe UI" w:hAnsi="Segoe UI" w:cs="Segoe UI"/>
        </w:rPr>
        <w:t>:</w:t>
      </w:r>
      <w:r w:rsidRPr="00F6415D">
        <w:rPr>
          <w:rFonts w:ascii="Segoe UI" w:hAnsi="Segoe UI" w:cs="Segoe UI"/>
        </w:rPr>
        <w:t xml:space="preserve"> The main entry point to the aged care system in Australia. My Aged Care aims to make it easier for older people, their families, and carers to access information on ageing and aged care, have their needs assessed and be supported to find and access services.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National Prioritisation Queue</w:t>
      </w:r>
      <w:r w:rsidR="00310C56" w:rsidRPr="00F6415D">
        <w:rPr>
          <w:rFonts w:ascii="Segoe UI" w:hAnsi="Segoe UI" w:cs="Segoe UI"/>
        </w:rPr>
        <w:t>:</w:t>
      </w:r>
      <w:r w:rsidRPr="00F6415D">
        <w:rPr>
          <w:rFonts w:ascii="Segoe UI" w:hAnsi="Segoe UI" w:cs="Segoe UI"/>
        </w:rPr>
        <w:t xml:space="preserve"> The order in which people are placed for being assigned a home care package, with each person’s place in the queue based on the time and date of their approval for home care and their priority for service (medium or high).</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Non-supported residents</w:t>
      </w:r>
      <w:r w:rsidR="00310C56" w:rsidRPr="00F6415D">
        <w:rPr>
          <w:rFonts w:ascii="Segoe UI" w:hAnsi="Segoe UI" w:cs="Segoe UI"/>
        </w:rPr>
        <w:t>:</w:t>
      </w:r>
      <w:r w:rsidRPr="00F6415D">
        <w:rPr>
          <w:rFonts w:ascii="Segoe UI" w:hAnsi="Segoe UI" w:cs="Segoe UI"/>
        </w:rPr>
        <w:t xml:space="preserve"> Residents who have been assessed (based on a means test) as able to pay the full cost of their accommodation and contribute toward their care costs. Non-supported residents pay a basic daily fee, accommodation </w:t>
      </w:r>
      <w:r w:rsidRPr="00F6415D">
        <w:rPr>
          <w:rFonts w:ascii="Segoe UI" w:hAnsi="Segoe UI" w:cs="Segoe UI"/>
        </w:rPr>
        <w:lastRenderedPageBreak/>
        <w:t xml:space="preserve">payment and means-tested care fee (and may still receive some assistance with care costs). </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Partially supported residents</w:t>
      </w:r>
      <w:r w:rsidR="00310C56" w:rsidRPr="00F6415D">
        <w:rPr>
          <w:rFonts w:ascii="Segoe UI" w:hAnsi="Segoe UI" w:cs="Segoe UI"/>
        </w:rPr>
        <w:t>:</w:t>
      </w:r>
      <w:r w:rsidRPr="00F6415D">
        <w:rPr>
          <w:rFonts w:ascii="Segoe UI" w:hAnsi="Segoe UI" w:cs="Segoe UI"/>
        </w:rPr>
        <w:t xml:space="preserve"> Residents who have been assessed (based on a means test) as eligible for full government assistance with their care costs, but who are able to make a part contribution to their accommodation costs. Partially-supported residents pay a basic daily fee and accommodation contribution.</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Refundable Ac</w:t>
      </w:r>
      <w:r w:rsidR="00F46A1E" w:rsidRPr="00F6415D">
        <w:rPr>
          <w:rFonts w:ascii="Segoe UI" w:hAnsi="Segoe UI" w:cs="Segoe UI"/>
          <w:b/>
        </w:rPr>
        <w:t>commodation Contribution (RAC</w:t>
      </w:r>
      <w:r w:rsidRPr="00F6415D">
        <w:rPr>
          <w:rFonts w:ascii="Segoe UI" w:hAnsi="Segoe UI" w:cs="Segoe UI"/>
          <w:b/>
        </w:rPr>
        <w:t>)</w:t>
      </w:r>
      <w:r w:rsidR="00310C56" w:rsidRPr="00F6415D">
        <w:rPr>
          <w:rFonts w:ascii="Segoe UI" w:hAnsi="Segoe UI" w:cs="Segoe UI"/>
          <w:b/>
        </w:rPr>
        <w:t>:</w:t>
      </w:r>
      <w:r w:rsidRPr="00F6415D">
        <w:rPr>
          <w:rFonts w:ascii="Segoe UI" w:hAnsi="Segoe UI" w:cs="Segoe UI"/>
        </w:rPr>
        <w:t xml:space="preserve"> An amount paid as a lump sum by a partially supported resident as a contribution toward their accommodation costs in a residential aged care facility.</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Refundable Accommodation Deposit (RAD)</w:t>
      </w:r>
      <w:r w:rsidR="00310C56" w:rsidRPr="00F6415D">
        <w:rPr>
          <w:rFonts w:ascii="Segoe UI" w:hAnsi="Segoe UI" w:cs="Segoe UI"/>
        </w:rPr>
        <w:t>:</w:t>
      </w:r>
      <w:r w:rsidRPr="00F6415D">
        <w:rPr>
          <w:rFonts w:ascii="Segoe UI" w:hAnsi="Segoe UI" w:cs="Segoe UI"/>
        </w:rPr>
        <w:t xml:space="preserve"> An amount paid as a lump sum by a non-supported resident for their accommodation costs in a residential aged care facility.</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Regional</w:t>
      </w:r>
      <w:r w:rsidR="00310C56" w:rsidRPr="00F6415D">
        <w:rPr>
          <w:rFonts w:ascii="Segoe UI" w:hAnsi="Segoe UI" w:cs="Segoe UI"/>
        </w:rPr>
        <w:t>:</w:t>
      </w:r>
      <w:r w:rsidRPr="00F6415D">
        <w:rPr>
          <w:rFonts w:ascii="Segoe UI" w:hAnsi="Segoe UI" w:cs="Segoe UI"/>
        </w:rPr>
        <w:t xml:space="preserve"> Geographic region outside of a major city and classified by the Australian Bureau of Statistics as inner regional, outer regional, remote and very remote. </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Regional Assessment Services (RAS)</w:t>
      </w:r>
      <w:r w:rsidR="00310C56" w:rsidRPr="00F6415D">
        <w:rPr>
          <w:rFonts w:ascii="Segoe UI" w:hAnsi="Segoe UI" w:cs="Segoe UI"/>
        </w:rPr>
        <w:t>:</w:t>
      </w:r>
      <w:r w:rsidRPr="00F6415D">
        <w:rPr>
          <w:rFonts w:ascii="Segoe UI" w:hAnsi="Segoe UI" w:cs="Segoe UI"/>
        </w:rPr>
        <w:t xml:space="preserve"> RAS provides in home, face to face assessments of new and existing consumers/carers to assess their eligibility to access CHSP services.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Residential aged care program</w:t>
      </w:r>
      <w:r w:rsidR="00310C56" w:rsidRPr="00F6415D">
        <w:rPr>
          <w:rFonts w:ascii="Segoe UI" w:hAnsi="Segoe UI" w:cs="Segoe UI"/>
        </w:rPr>
        <w:t>:</w:t>
      </w:r>
      <w:r w:rsidRPr="00F6415D">
        <w:rPr>
          <w:rFonts w:ascii="Segoe UI" w:hAnsi="Segoe UI" w:cs="Segoe UI"/>
        </w:rPr>
        <w:t xml:space="preserve"> A program that provides a range of care options and accommodation for older people who choose not to continue living in their own homes.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Restorative care</w:t>
      </w:r>
      <w:r w:rsidR="00310C56" w:rsidRPr="00F6415D">
        <w:rPr>
          <w:rFonts w:ascii="Segoe UI" w:hAnsi="Segoe UI" w:cs="Segoe UI"/>
        </w:rPr>
        <w:t>:</w:t>
      </w:r>
      <w:r w:rsidRPr="00F6415D">
        <w:rPr>
          <w:rFonts w:ascii="Segoe UI" w:hAnsi="Segoe UI" w:cs="Segoe UI"/>
        </w:rPr>
        <w:t xml:space="preserve"> Care focusing on enhancing the physical and cognitive function of people who have lost or are at risk of losing condition and independence. The Short-Term Restorative Care (STRC) Programme, which commenced in February 2017, is a flexible care program to provide restorative care to older people to improve their capacity to stay independent and living in their own homes.</w:t>
      </w:r>
    </w:p>
    <w:p w:rsidR="006A2FE9" w:rsidRPr="00F6415D" w:rsidRDefault="006A2FE9" w:rsidP="00686BFA">
      <w:pPr>
        <w:pStyle w:val="ListParagraph"/>
        <w:numPr>
          <w:ilvl w:val="0"/>
          <w:numId w:val="45"/>
        </w:numPr>
        <w:rPr>
          <w:rFonts w:ascii="Segoe UI" w:hAnsi="Segoe UI" w:cs="Segoe UI"/>
        </w:rPr>
      </w:pPr>
      <w:r w:rsidRPr="00F6415D">
        <w:rPr>
          <w:rFonts w:ascii="Segoe UI" w:hAnsi="Segoe UI" w:cs="Segoe UI"/>
          <w:b/>
        </w:rPr>
        <w:t>Supported residents</w:t>
      </w:r>
      <w:r w:rsidR="00310C56" w:rsidRPr="00F6415D">
        <w:rPr>
          <w:rFonts w:ascii="Segoe UI" w:hAnsi="Segoe UI" w:cs="Segoe UI"/>
        </w:rPr>
        <w:t>:</w:t>
      </w:r>
      <w:r w:rsidRPr="00F6415D">
        <w:rPr>
          <w:rFonts w:ascii="Segoe UI" w:hAnsi="Segoe UI" w:cs="Segoe UI"/>
        </w:rPr>
        <w:t xml:space="preserve"> Residents who have been assessed (based on a means test) as eligible for full government assistance with their care and accommodation costs. Supported residents only pay a basic daily fee.</w:t>
      </w:r>
    </w:p>
    <w:p w:rsidR="00B05119" w:rsidRPr="00F6415D" w:rsidRDefault="006A2FE9" w:rsidP="00686BFA">
      <w:pPr>
        <w:pStyle w:val="ListParagraph"/>
        <w:numPr>
          <w:ilvl w:val="0"/>
          <w:numId w:val="45"/>
        </w:numPr>
        <w:rPr>
          <w:rFonts w:ascii="Segoe UI" w:hAnsi="Segoe UI" w:cs="Segoe UI"/>
        </w:rPr>
      </w:pPr>
      <w:r w:rsidRPr="00F6415D">
        <w:rPr>
          <w:rFonts w:ascii="Segoe UI" w:hAnsi="Segoe UI" w:cs="Segoe UI"/>
          <w:b/>
        </w:rPr>
        <w:t>Transition care</w:t>
      </w:r>
      <w:r w:rsidR="00310C56" w:rsidRPr="00F6415D">
        <w:rPr>
          <w:rFonts w:ascii="Segoe UI" w:hAnsi="Segoe UI" w:cs="Segoe UI"/>
        </w:rPr>
        <w:t>:</w:t>
      </w:r>
      <w:r w:rsidRPr="00F6415D">
        <w:rPr>
          <w:rFonts w:ascii="Segoe UI" w:hAnsi="Segoe UI" w:cs="Segoe UI"/>
        </w:rPr>
        <w:t xml:space="preserve"> For those requiring time-limited, goal-oriented and therapy-focused packages of services after a hospital stay.</w:t>
      </w:r>
    </w:p>
    <w:p w:rsidR="003E2D88" w:rsidRPr="00F6415D" w:rsidRDefault="00CE1469" w:rsidP="00227EBF">
      <w:pPr>
        <w:pStyle w:val="Heading2"/>
        <w:numPr>
          <w:ilvl w:val="0"/>
          <w:numId w:val="0"/>
        </w:numPr>
        <w:ind w:left="720" w:hanging="720"/>
        <w:rPr>
          <w:rFonts w:ascii="Segoe UI" w:hAnsi="Segoe UI" w:cs="Segoe UI"/>
        </w:rPr>
      </w:pPr>
      <w:bookmarkStart w:id="3" w:name="_Toc532206364"/>
      <w:r w:rsidRPr="00F6415D">
        <w:rPr>
          <w:rFonts w:ascii="Segoe UI" w:hAnsi="Segoe UI" w:cs="Segoe UI"/>
        </w:rPr>
        <w:lastRenderedPageBreak/>
        <w:t>Executive summary</w:t>
      </w:r>
      <w:bookmarkEnd w:id="3"/>
    </w:p>
    <w:p w:rsidR="00CE1469" w:rsidRPr="00F6415D" w:rsidRDefault="00CE1469" w:rsidP="00185CCF">
      <w:pPr>
        <w:pStyle w:val="BodyText"/>
        <w:rPr>
          <w:rFonts w:ascii="Segoe UI" w:hAnsi="Segoe UI" w:cs="Segoe UI"/>
        </w:rPr>
      </w:pPr>
      <w:r w:rsidRPr="00F6415D">
        <w:rPr>
          <w:rFonts w:ascii="Segoe UI" w:hAnsi="Segoe UI" w:cs="Segoe UI"/>
        </w:rPr>
        <w:t>The Minister for Senior Australians and Aged Care, the Hon Ken Wyatt AM, MP requested that ACFA provide a report on how consumers finance their aged care, including advice on whether there is scope to improve consumer support in making these important decisions.</w:t>
      </w:r>
    </w:p>
    <w:p w:rsidR="00CE1469" w:rsidRPr="00F6415D" w:rsidRDefault="00CE1469" w:rsidP="00185CCF">
      <w:pPr>
        <w:pStyle w:val="BodyText"/>
        <w:rPr>
          <w:rFonts w:ascii="Segoe UI" w:hAnsi="Segoe UI" w:cs="Segoe UI"/>
        </w:rPr>
      </w:pPr>
      <w:r w:rsidRPr="00F6415D">
        <w:rPr>
          <w:rFonts w:ascii="Segoe UI" w:hAnsi="Segoe UI" w:cs="Segoe UI"/>
        </w:rPr>
        <w:t>Aged care is inherently complex for consumers and expensive for the Australian Government and senior Australians. To deliver the care that aged care consumers need and desire into the future, it is critical that the aged care sector is financially viable and sustainable. All stakeholders – Government, providers and aged consumers – have a key role in c</w:t>
      </w:r>
      <w:r w:rsidR="001B5BED" w:rsidRPr="00F6415D">
        <w:rPr>
          <w:rFonts w:ascii="Segoe UI" w:hAnsi="Segoe UI" w:cs="Segoe UI"/>
        </w:rPr>
        <w:t>ontributing to this objective.</w:t>
      </w:r>
    </w:p>
    <w:p w:rsidR="00CE1469" w:rsidRPr="00F6415D" w:rsidRDefault="00CE1469" w:rsidP="00185CCF">
      <w:pPr>
        <w:pStyle w:val="BodyText"/>
        <w:rPr>
          <w:rFonts w:ascii="Segoe UI" w:hAnsi="Segoe UI" w:cs="Segoe UI"/>
          <w:lang w:val="en-GB"/>
        </w:rPr>
      </w:pPr>
      <w:r w:rsidRPr="00F6415D">
        <w:rPr>
          <w:rFonts w:ascii="Segoe UI" w:hAnsi="Segoe UI" w:cs="Segoe UI"/>
        </w:rPr>
        <w:t>While the Australian Government is the principal funder of aged care, consumers also make significant contributions towards the cost of their aged care and will play an integral role in the long</w:t>
      </w:r>
      <w:r w:rsidRPr="00F6415D">
        <w:rPr>
          <w:rFonts w:ascii="Segoe UI" w:hAnsi="Segoe UI" w:cs="Segoe UI"/>
        </w:rPr>
        <w:noBreakHyphen/>
        <w:t>term sustainability of the aged care system.</w:t>
      </w:r>
    </w:p>
    <w:p w:rsidR="00CE1469" w:rsidRPr="00F6415D" w:rsidRDefault="00CE1469" w:rsidP="00185CCF">
      <w:pPr>
        <w:pStyle w:val="BodyText"/>
        <w:rPr>
          <w:rFonts w:ascii="Segoe UI" w:hAnsi="Segoe UI" w:cs="Segoe UI"/>
        </w:rPr>
      </w:pPr>
      <w:r w:rsidRPr="00F6415D">
        <w:rPr>
          <w:rFonts w:ascii="Segoe UI" w:hAnsi="Segoe UI" w:cs="Segoe UI"/>
        </w:rPr>
        <w:t xml:space="preserve">Determining how people pay for their aged care and the extent to which people plan for that event, will allow steps to be taken to improve </w:t>
      </w:r>
      <w:r w:rsidR="001B5BED" w:rsidRPr="00F6415D">
        <w:rPr>
          <w:rFonts w:ascii="Segoe UI" w:hAnsi="Segoe UI" w:cs="Segoe UI"/>
        </w:rPr>
        <w:t>consumer</w:t>
      </w:r>
      <w:r w:rsidRPr="00F6415D">
        <w:rPr>
          <w:rFonts w:ascii="Segoe UI" w:hAnsi="Segoe UI" w:cs="Segoe UI"/>
        </w:rPr>
        <w:t>s</w:t>
      </w:r>
      <w:r w:rsidR="001B5BED" w:rsidRPr="00F6415D">
        <w:rPr>
          <w:rFonts w:ascii="Segoe UI" w:hAnsi="Segoe UI" w:cs="Segoe UI"/>
        </w:rPr>
        <w:t>’</w:t>
      </w:r>
      <w:r w:rsidRPr="00F6415D">
        <w:rPr>
          <w:rFonts w:ascii="Segoe UI" w:hAnsi="Segoe UI" w:cs="Segoe UI"/>
        </w:rPr>
        <w:t xml:space="preserve"> awareness and preparedness for this eventuality.</w:t>
      </w:r>
    </w:p>
    <w:p w:rsidR="00CE1469" w:rsidRPr="00F6415D" w:rsidRDefault="00CE1469" w:rsidP="00185CCF">
      <w:pPr>
        <w:pStyle w:val="BodyText"/>
        <w:rPr>
          <w:rFonts w:ascii="Segoe UI" w:hAnsi="Segoe UI" w:cs="Segoe UI"/>
        </w:rPr>
      </w:pPr>
      <w:r w:rsidRPr="00F6415D">
        <w:rPr>
          <w:rFonts w:ascii="Segoe UI" w:hAnsi="Segoe UI" w:cs="Segoe UI"/>
        </w:rPr>
        <w:t xml:space="preserve">Furthermore, the ageing of the Australian population and longer life expectancy will result in a significant increase in the number and proportion of Australians needing aged care. As noted in the </w:t>
      </w:r>
      <w:r w:rsidRPr="00F6415D">
        <w:rPr>
          <w:rFonts w:ascii="Segoe UI" w:hAnsi="Segoe UI" w:cs="Segoe UI"/>
          <w:i/>
        </w:rPr>
        <w:t>2018 ACFA Annual Report</w:t>
      </w:r>
      <w:r w:rsidRPr="00F6415D">
        <w:rPr>
          <w:rFonts w:ascii="Segoe UI" w:hAnsi="Segoe UI" w:cs="Segoe UI"/>
        </w:rPr>
        <w:t>, over the next 20 years, Australia will see the population size of the 70 years and over cohort increase by around one million people each decade</w:t>
      </w:r>
      <w:r w:rsidR="001B5BED" w:rsidRPr="00F6415D">
        <w:rPr>
          <w:rFonts w:ascii="Segoe UI" w:hAnsi="Segoe UI" w:cs="Segoe UI"/>
        </w:rPr>
        <w:t xml:space="preserve">. </w:t>
      </w:r>
      <w:r w:rsidRPr="00F6415D">
        <w:rPr>
          <w:rFonts w:ascii="Segoe UI" w:hAnsi="Segoe UI" w:cs="Segoe UI"/>
        </w:rPr>
        <w:t>The 85 years and over cohort will increase from just under 500,000 people in 2018 to just over one million people by 2038.</w:t>
      </w:r>
    </w:p>
    <w:p w:rsidR="00CE1469" w:rsidRPr="00871CE0" w:rsidRDefault="00CE1469" w:rsidP="00871CE0">
      <w:pPr>
        <w:pStyle w:val="Heading3nonumbers"/>
      </w:pPr>
      <w:r w:rsidRPr="00871CE0">
        <w:t>Project methodology</w:t>
      </w:r>
    </w:p>
    <w:p w:rsidR="00CE1469" w:rsidRPr="00F6415D" w:rsidRDefault="00CE1469" w:rsidP="00185CCF">
      <w:pPr>
        <w:pStyle w:val="BodyText"/>
        <w:rPr>
          <w:rFonts w:ascii="Segoe UI" w:hAnsi="Segoe UI" w:cs="Segoe UI"/>
        </w:rPr>
      </w:pPr>
      <w:r w:rsidRPr="00F6415D">
        <w:rPr>
          <w:rFonts w:ascii="Segoe UI" w:hAnsi="Segoe UI" w:cs="Segoe UI"/>
        </w:rPr>
        <w:t>The project involved consultations with stakeholders across the aged care and financial services industry to explore the factors that influence senior Australians decision making around financing their aged care needs as well as an online consumer survey to gain insights as to if/how consumers plan their aged care along with the sources of information they accessed and how they financed their aged care needs.</w:t>
      </w:r>
    </w:p>
    <w:p w:rsidR="00CE1469" w:rsidRPr="00F6415D" w:rsidRDefault="00CE1469" w:rsidP="00871CE0">
      <w:pPr>
        <w:pStyle w:val="Heading3nonumbers"/>
      </w:pPr>
      <w:r w:rsidRPr="00F6415D">
        <w:t>Aged care services and consumer fees</w:t>
      </w:r>
    </w:p>
    <w:p w:rsidR="00CE1469" w:rsidRPr="00F6415D" w:rsidRDefault="00CE1469" w:rsidP="00185CCF">
      <w:pPr>
        <w:pStyle w:val="BodyText"/>
        <w:rPr>
          <w:rFonts w:ascii="Segoe UI" w:hAnsi="Segoe UI" w:cs="Segoe UI"/>
        </w:rPr>
      </w:pPr>
      <w:r w:rsidRPr="00F6415D">
        <w:rPr>
          <w:rFonts w:ascii="Segoe UI" w:hAnsi="Segoe UI" w:cs="Segoe UI"/>
        </w:rPr>
        <w:t>There are a range of aged care services, and alternative accommodation types that, senior Australians can access through:</w:t>
      </w:r>
    </w:p>
    <w:p w:rsidR="00CE1469" w:rsidRPr="00F6415D" w:rsidRDefault="00CE1469" w:rsidP="00185CCF">
      <w:pPr>
        <w:pStyle w:val="ListBullet"/>
        <w:rPr>
          <w:rFonts w:ascii="Segoe UI" w:hAnsi="Segoe UI" w:cs="Segoe UI"/>
        </w:rPr>
      </w:pPr>
      <w:r w:rsidRPr="00F6415D">
        <w:rPr>
          <w:rFonts w:ascii="Segoe UI" w:hAnsi="Segoe UI" w:cs="Segoe UI"/>
        </w:rPr>
        <w:t>Australian Government funded aged care</w:t>
      </w:r>
    </w:p>
    <w:p w:rsidR="00CE1469" w:rsidRPr="00F6415D" w:rsidRDefault="00CE1469" w:rsidP="00185CCF">
      <w:pPr>
        <w:pStyle w:val="ListBullet"/>
        <w:rPr>
          <w:rFonts w:ascii="Segoe UI" w:hAnsi="Segoe UI" w:cs="Segoe UI"/>
        </w:rPr>
      </w:pPr>
      <w:r w:rsidRPr="00F6415D">
        <w:rPr>
          <w:rFonts w:ascii="Segoe UI" w:hAnsi="Segoe UI" w:cs="Segoe UI"/>
        </w:rPr>
        <w:t>non-Australian Government funded aged care</w:t>
      </w:r>
    </w:p>
    <w:p w:rsidR="00CE1469" w:rsidRPr="00F6415D" w:rsidRDefault="00CE1469" w:rsidP="00185CCF">
      <w:pPr>
        <w:pStyle w:val="ListBullet"/>
        <w:rPr>
          <w:rFonts w:ascii="Segoe UI" w:hAnsi="Segoe UI" w:cs="Segoe UI"/>
        </w:rPr>
      </w:pPr>
      <w:r w:rsidRPr="00F6415D">
        <w:rPr>
          <w:rFonts w:ascii="Segoe UI" w:hAnsi="Segoe UI" w:cs="Segoe UI"/>
        </w:rPr>
        <w:t>informal care and services</w:t>
      </w:r>
    </w:p>
    <w:p w:rsidR="00CE1469" w:rsidRPr="00F6415D" w:rsidRDefault="00CE1469" w:rsidP="00185CCF">
      <w:pPr>
        <w:pStyle w:val="BodyText"/>
        <w:rPr>
          <w:rFonts w:ascii="Segoe UI" w:hAnsi="Segoe UI" w:cs="Segoe UI"/>
        </w:rPr>
      </w:pPr>
      <w:r w:rsidRPr="00F6415D">
        <w:rPr>
          <w:rFonts w:ascii="Segoe UI" w:hAnsi="Segoe UI" w:cs="Segoe UI"/>
        </w:rPr>
        <w:t>These different aged care service models have substantially different fee structures for the consumer. The focus of this report is on Australian Government aged care.</w:t>
      </w:r>
    </w:p>
    <w:p w:rsidR="00CE1469" w:rsidRPr="00871CE0" w:rsidRDefault="00CE1469" w:rsidP="00871CE0">
      <w:pPr>
        <w:pStyle w:val="Heading3nonumbers"/>
      </w:pPr>
      <w:r w:rsidRPr="00871CE0">
        <w:t>How consumers plan to fund aged care</w:t>
      </w:r>
    </w:p>
    <w:p w:rsidR="00CE1469" w:rsidRPr="00F6415D" w:rsidRDefault="00CE1469" w:rsidP="00185CCF">
      <w:pPr>
        <w:pStyle w:val="BodyText"/>
        <w:rPr>
          <w:rFonts w:ascii="Segoe UI" w:hAnsi="Segoe UI" w:cs="Segoe UI"/>
          <w:lang w:val="en-GB"/>
        </w:rPr>
      </w:pPr>
      <w:r w:rsidRPr="00F6415D">
        <w:rPr>
          <w:rFonts w:ascii="Segoe UI" w:hAnsi="Segoe UI" w:cs="Segoe UI"/>
        </w:rPr>
        <w:lastRenderedPageBreak/>
        <w:t xml:space="preserve">The consumer survey indicated that when senior Australians have a plan or budget, they tend to include their aged care costs within their plan or budget. It was not assessed, however, whether these consumers had a good understanding of the aged care system and the costs involved and so whether these plans are adequate particularly as half of the respondents indicated they are still worried about funding their aged care needs. The survey indicated that many </w:t>
      </w:r>
      <w:r w:rsidRPr="00F6415D">
        <w:rPr>
          <w:rFonts w:ascii="Segoe UI" w:hAnsi="Segoe UI" w:cs="Segoe UI"/>
          <w:lang w:val="en-GB"/>
        </w:rPr>
        <w:t xml:space="preserve">consumers anticipate needing to access aged care in their medium-term future (within the five years) rather than in the short-term (within next two years), while some felt that they would never access residential aged care. </w:t>
      </w:r>
    </w:p>
    <w:p w:rsidR="00CE1469" w:rsidRPr="00F6415D" w:rsidRDefault="00CE1469" w:rsidP="00185CCF">
      <w:pPr>
        <w:pStyle w:val="BodyText"/>
        <w:rPr>
          <w:rFonts w:ascii="Segoe UI" w:hAnsi="Segoe UI" w:cs="Segoe UI"/>
          <w:lang w:val="en-GB"/>
        </w:rPr>
      </w:pPr>
      <w:r w:rsidRPr="00F6415D">
        <w:rPr>
          <w:rFonts w:ascii="Segoe UI" w:hAnsi="Segoe UI" w:cs="Segoe UI"/>
          <w:lang w:val="en-GB"/>
        </w:rPr>
        <w:t xml:space="preserve">The consultations identified </w:t>
      </w:r>
      <w:r w:rsidRPr="00F6415D">
        <w:rPr>
          <w:rFonts w:ascii="Segoe UI" w:hAnsi="Segoe UI" w:cs="Segoe UI"/>
        </w:rPr>
        <w:t>three life stages where planning may occur for aged care.</w:t>
      </w:r>
      <w:r w:rsidRPr="00F6415D">
        <w:rPr>
          <w:rFonts w:ascii="Segoe UI" w:hAnsi="Segoe UI" w:cs="Segoe UI"/>
          <w:lang w:val="en-GB"/>
        </w:rPr>
        <w:t xml:space="preserve"> These are:</w:t>
      </w:r>
    </w:p>
    <w:p w:rsidR="00CE1469" w:rsidRPr="00F6415D" w:rsidRDefault="00CE1469" w:rsidP="00185CCF">
      <w:pPr>
        <w:pStyle w:val="ListBullet"/>
        <w:rPr>
          <w:rFonts w:ascii="Segoe UI" w:hAnsi="Segoe UI" w:cs="Segoe UI"/>
        </w:rPr>
      </w:pPr>
      <w:r w:rsidRPr="00F6415D">
        <w:rPr>
          <w:rFonts w:ascii="Segoe UI" w:hAnsi="Segoe UI" w:cs="Segoe UI"/>
        </w:rPr>
        <w:t>retirement planning</w:t>
      </w:r>
    </w:p>
    <w:p w:rsidR="00CE1469" w:rsidRPr="00F6415D" w:rsidRDefault="00CE1469" w:rsidP="00185CCF">
      <w:pPr>
        <w:pStyle w:val="ListBullet"/>
        <w:rPr>
          <w:rFonts w:ascii="Segoe UI" w:hAnsi="Segoe UI" w:cs="Segoe UI"/>
        </w:rPr>
      </w:pPr>
      <w:r w:rsidRPr="00F6415D">
        <w:rPr>
          <w:rFonts w:ascii="Segoe UI" w:hAnsi="Segoe UI" w:cs="Segoe UI"/>
        </w:rPr>
        <w:t>post retirement: low to medium level care to support independence at home</w:t>
      </w:r>
    </w:p>
    <w:p w:rsidR="00310C56" w:rsidRPr="00F6415D" w:rsidRDefault="00CE1469" w:rsidP="00310C56">
      <w:pPr>
        <w:pStyle w:val="ListBullet"/>
        <w:rPr>
          <w:rFonts w:ascii="Segoe UI" w:hAnsi="Segoe UI" w:cs="Segoe UI"/>
        </w:rPr>
      </w:pPr>
      <w:r w:rsidRPr="00F6415D">
        <w:rPr>
          <w:rFonts w:ascii="Segoe UI" w:hAnsi="Segoe UI" w:cs="Segoe UI"/>
        </w:rPr>
        <w:t>post retirement: acute or complex needs.</w:t>
      </w:r>
    </w:p>
    <w:p w:rsidR="00310C56" w:rsidRPr="00F6415D" w:rsidRDefault="00CE1469" w:rsidP="00871CE0">
      <w:pPr>
        <w:pStyle w:val="Heading3nonumbers"/>
      </w:pPr>
      <w:r w:rsidRPr="00F6415D">
        <w:t>Challenges with planning for aged care</w:t>
      </w:r>
    </w:p>
    <w:p w:rsidR="00CE1469" w:rsidRPr="00F6415D" w:rsidRDefault="00CE1469" w:rsidP="00185CCF">
      <w:pPr>
        <w:pStyle w:val="BodyText"/>
        <w:rPr>
          <w:rFonts w:ascii="Segoe UI" w:hAnsi="Segoe UI" w:cs="Segoe UI"/>
          <w:lang w:val="en-GB"/>
        </w:rPr>
      </w:pPr>
      <w:r w:rsidRPr="00F6415D">
        <w:rPr>
          <w:rFonts w:ascii="Segoe UI" w:hAnsi="Segoe UI" w:cs="Segoe UI"/>
        </w:rPr>
        <w:t xml:space="preserve">While some consumers are planning for their aged care needs as part of their broader plan or budget, the consumer survey showed that around 30 </w:t>
      </w:r>
      <w:r w:rsidRPr="00F6415D">
        <w:rPr>
          <w:rFonts w:ascii="Segoe UI" w:hAnsi="Segoe UI" w:cs="Segoe UI"/>
          <w:lang w:val="en-GB"/>
        </w:rPr>
        <w:t xml:space="preserve">per cent of consumers had not undertaken any planning prior to accessing aged care. Moreover, many consumers were often unaware that they may need to contribute towards the cost of their aged care. </w:t>
      </w:r>
    </w:p>
    <w:p w:rsidR="00CE1469" w:rsidRPr="00F6415D" w:rsidRDefault="00CE1469" w:rsidP="00185CCF">
      <w:pPr>
        <w:pStyle w:val="BodyText"/>
        <w:rPr>
          <w:rFonts w:ascii="Segoe UI" w:hAnsi="Segoe UI" w:cs="Segoe UI"/>
          <w:lang w:val="en-GB"/>
        </w:rPr>
      </w:pPr>
      <w:r w:rsidRPr="00F6415D">
        <w:rPr>
          <w:rFonts w:ascii="Segoe UI" w:hAnsi="Segoe UI" w:cs="Segoe UI"/>
          <w:lang w:val="en-GB"/>
        </w:rPr>
        <w:t>Furthermore, one third of consumers not currently receiving residential care are unsure if they will access it in the future. There could be various reasons for this, including simply not having turned their mind to it as it is a problem for another day, some may be in denial about the consequences of ageing, others may be put off from planning by poor perceptions of residential aged care and some may be using or planning to use preventative measures in the hope they can avoid the need for residential care</w:t>
      </w:r>
      <w:r w:rsidR="001B5BED" w:rsidRPr="00F6415D">
        <w:rPr>
          <w:rFonts w:ascii="Segoe UI" w:hAnsi="Segoe UI" w:cs="Segoe UI"/>
          <w:lang w:val="en-GB"/>
        </w:rPr>
        <w:t xml:space="preserve">. </w:t>
      </w:r>
    </w:p>
    <w:p w:rsidR="00CE1469" w:rsidRPr="00F6415D" w:rsidRDefault="00CE1469" w:rsidP="00185CCF">
      <w:pPr>
        <w:pStyle w:val="BodyText"/>
        <w:rPr>
          <w:rFonts w:ascii="Segoe UI" w:hAnsi="Segoe UI" w:cs="Segoe UI"/>
        </w:rPr>
      </w:pPr>
      <w:r w:rsidRPr="00F6415D">
        <w:rPr>
          <w:rFonts w:ascii="Segoe UI" w:hAnsi="Segoe UI" w:cs="Segoe UI"/>
        </w:rPr>
        <w:t>While the results from the consumer survey indicated that a sizeable proportion of consumers are planning for their aged care, stakeholder consultation suggested that senior Australians are not actively planning for residential aged care, prior to the need arising. Rather, the observation is that planning often starts when triggered by a crisis that is linked to deterioration in health or mobility and results in imminent access to care. As was often cited:</w:t>
      </w:r>
    </w:p>
    <w:p w:rsidR="00CE1469" w:rsidRPr="00F6415D" w:rsidRDefault="00CE1469" w:rsidP="00E456AB">
      <w:pPr>
        <w:pStyle w:val="Quote"/>
        <w:rPr>
          <w:rFonts w:ascii="Segoe UI" w:hAnsi="Segoe UI"/>
        </w:rPr>
      </w:pPr>
      <w:r w:rsidRPr="00F6415D">
        <w:rPr>
          <w:rFonts w:ascii="Segoe UI" w:hAnsi="Segoe UI"/>
        </w:rPr>
        <w:t>‘Most aged care planning takes place in the hospital car park.’</w:t>
      </w:r>
      <w:r w:rsidRPr="00F6415D">
        <w:rPr>
          <w:rStyle w:val="EndnoteReference"/>
          <w:rFonts w:ascii="Segoe UI" w:hAnsi="Segoe UI"/>
        </w:rPr>
        <w:endnoteReference w:id="2"/>
      </w:r>
    </w:p>
    <w:p w:rsidR="00CE1469" w:rsidRPr="00F6415D" w:rsidRDefault="00CE1469" w:rsidP="00185CCF">
      <w:pPr>
        <w:pStyle w:val="BodyText"/>
        <w:rPr>
          <w:rFonts w:ascii="Segoe UI" w:hAnsi="Segoe UI" w:cs="Segoe UI"/>
        </w:rPr>
      </w:pPr>
      <w:r w:rsidRPr="00F6415D">
        <w:rPr>
          <w:rFonts w:ascii="Segoe UI" w:hAnsi="Segoe UI" w:cs="Segoe UI"/>
        </w:rPr>
        <w:t>While the consultations suggested</w:t>
      </w:r>
      <w:r w:rsidR="001B5BED" w:rsidRPr="00F6415D">
        <w:rPr>
          <w:rFonts w:ascii="Segoe UI" w:hAnsi="Segoe UI" w:cs="Segoe UI"/>
        </w:rPr>
        <w:t xml:space="preserve"> </w:t>
      </w:r>
      <w:r w:rsidRPr="00F6415D">
        <w:rPr>
          <w:rFonts w:ascii="Segoe UI" w:hAnsi="Segoe UI" w:cs="Segoe UI"/>
        </w:rPr>
        <w:t>three life stages where planning for aged care occurs – namely retirement planning, post retirement low to medium level care to support independence at home, and post retirement acute or complex needs –</w:t>
      </w:r>
      <w:r w:rsidR="001B5BED" w:rsidRPr="00F6415D">
        <w:rPr>
          <w:rFonts w:ascii="Segoe UI" w:hAnsi="Segoe UI" w:cs="Segoe UI"/>
        </w:rPr>
        <w:t xml:space="preserve"> </w:t>
      </w:r>
      <w:r w:rsidRPr="00F6415D">
        <w:rPr>
          <w:rFonts w:ascii="Segoe UI" w:hAnsi="Segoe UI" w:cs="Segoe UI"/>
        </w:rPr>
        <w:t>ACFA considers that consumers should factor in a fourth stage, namely post retirement active years.</w:t>
      </w:r>
    </w:p>
    <w:p w:rsidR="00CE1469" w:rsidRPr="00F6415D" w:rsidRDefault="00CE1469" w:rsidP="00871CE0">
      <w:pPr>
        <w:pStyle w:val="Heading3nonumbers"/>
      </w:pPr>
      <w:r w:rsidRPr="00F6415D">
        <w:t>How consumers pay for aged care</w:t>
      </w:r>
    </w:p>
    <w:p w:rsidR="00CE1469" w:rsidRPr="00F6415D" w:rsidRDefault="00CE1469" w:rsidP="00185CCF">
      <w:pPr>
        <w:pStyle w:val="BodyText"/>
        <w:rPr>
          <w:rFonts w:ascii="Segoe UI" w:eastAsia="Segoe UI" w:hAnsi="Segoe UI" w:cs="Segoe UI"/>
        </w:rPr>
      </w:pPr>
      <w:r w:rsidRPr="00F6415D">
        <w:rPr>
          <w:rFonts w:ascii="Segoe UI" w:eastAsia="Segoe UI" w:hAnsi="Segoe UI" w:cs="Segoe UI"/>
        </w:rPr>
        <w:t xml:space="preserve">The survey indicated that in order to pay their aged care costs consumers aim to use traditional cash flow sources first (age pension, superannuation, savings) and then </w:t>
      </w:r>
      <w:r w:rsidRPr="00F6415D">
        <w:rPr>
          <w:rFonts w:ascii="Segoe UI" w:eastAsia="Segoe UI" w:hAnsi="Segoe UI" w:cs="Segoe UI"/>
        </w:rPr>
        <w:lastRenderedPageBreak/>
        <w:t xml:space="preserve">their assets (private savings, superannuation). </w:t>
      </w:r>
      <w:r w:rsidRPr="00F6415D">
        <w:rPr>
          <w:rFonts w:ascii="Segoe UI" w:hAnsi="Segoe UI" w:cs="Segoe UI"/>
        </w:rPr>
        <w:t>The most common combination of income streams and assets was age pension and personal savings (14 per cent), followed by age pension and superannuation (13 per cent), and then age pension, superannuation and personal savings (8 per cent).</w:t>
      </w:r>
    </w:p>
    <w:p w:rsidR="00CE1469" w:rsidRPr="00F6415D" w:rsidRDefault="00CE1469" w:rsidP="00185CCF">
      <w:pPr>
        <w:pStyle w:val="BodyText"/>
        <w:rPr>
          <w:rFonts w:ascii="Segoe UI" w:hAnsi="Segoe UI" w:cs="Segoe UI"/>
        </w:rPr>
      </w:pPr>
      <w:r w:rsidRPr="00F6415D">
        <w:rPr>
          <w:rFonts w:ascii="Segoe UI" w:hAnsi="Segoe UI" w:cs="Segoe UI"/>
        </w:rPr>
        <w:t xml:space="preserve">Reverse mortgages and aged care loans were not commonly used by consumers to fund their aged care, with only five per cent of consumers indicating they currently access equity release products to fund their care needs. </w:t>
      </w:r>
    </w:p>
    <w:p w:rsidR="00CE1469" w:rsidRPr="00F6415D" w:rsidRDefault="00CE1469" w:rsidP="00185CCF">
      <w:pPr>
        <w:pStyle w:val="BodyText"/>
        <w:rPr>
          <w:rFonts w:ascii="Segoe UI" w:hAnsi="Segoe UI" w:cs="Segoe UI"/>
        </w:rPr>
      </w:pPr>
      <w:r w:rsidRPr="00F6415D">
        <w:rPr>
          <w:rFonts w:ascii="Segoe UI" w:hAnsi="Segoe UI" w:cs="Segoe UI"/>
        </w:rPr>
        <w:t>The mechanisms through which consumers pay the accommodation cost in residential care, depends on what assets they have outside the family home such as other property, shares or savings.</w:t>
      </w:r>
    </w:p>
    <w:p w:rsidR="00CE1469" w:rsidRPr="00F6415D" w:rsidRDefault="00CE1469" w:rsidP="00871CE0">
      <w:pPr>
        <w:pStyle w:val="Heading3nonumbers"/>
      </w:pPr>
      <w:r w:rsidRPr="00F6415D">
        <w:t>Challenges with paying for aged care</w:t>
      </w:r>
    </w:p>
    <w:p w:rsidR="00CE1469" w:rsidRPr="00F6415D" w:rsidRDefault="00CE1469" w:rsidP="00185CCF">
      <w:pPr>
        <w:pStyle w:val="BodyText"/>
        <w:rPr>
          <w:rFonts w:ascii="Segoe UI" w:hAnsi="Segoe UI" w:cs="Segoe UI"/>
        </w:rPr>
      </w:pPr>
      <w:r w:rsidRPr="00F6415D">
        <w:rPr>
          <w:rFonts w:ascii="Segoe UI" w:hAnsi="Segoe UI" w:cs="Segoe UI"/>
        </w:rPr>
        <w:t>The consumer survey indicated that half of consumers are not worried about paying for their aged care</w:t>
      </w:r>
    </w:p>
    <w:p w:rsidR="00CE1469" w:rsidRPr="00F6415D" w:rsidRDefault="00CE1469" w:rsidP="00DC338F">
      <w:pPr>
        <w:pStyle w:val="Quote"/>
        <w:rPr>
          <w:rFonts w:ascii="Segoe UI" w:hAnsi="Segoe UI"/>
        </w:rPr>
      </w:pPr>
      <w:r w:rsidRPr="00F6415D">
        <w:rPr>
          <w:rFonts w:ascii="Segoe UI" w:hAnsi="Segoe UI"/>
        </w:rPr>
        <w:t>‘I always choose the best aged care services available, regardless of the price.’</w:t>
      </w:r>
    </w:p>
    <w:p w:rsidR="00CE1469" w:rsidRPr="00F6415D" w:rsidRDefault="00CE1469" w:rsidP="00185CCF">
      <w:pPr>
        <w:pStyle w:val="BodyText"/>
        <w:rPr>
          <w:rFonts w:ascii="Segoe UI" w:hAnsi="Segoe UI" w:cs="Segoe UI"/>
        </w:rPr>
      </w:pPr>
      <w:r w:rsidRPr="00F6415D">
        <w:rPr>
          <w:rFonts w:ascii="Segoe UI" w:hAnsi="Segoe UI" w:cs="Segoe UI"/>
        </w:rPr>
        <w:t>However, half are worried and many consumers consider the cost of an aged care program when they are deciding whether to use that program.</w:t>
      </w:r>
    </w:p>
    <w:p w:rsidR="00CE1469" w:rsidRPr="00F6415D" w:rsidRDefault="00CE1469" w:rsidP="00185CCF">
      <w:pPr>
        <w:pStyle w:val="BodyText"/>
        <w:rPr>
          <w:rFonts w:ascii="Segoe UI" w:hAnsi="Segoe UI" w:cs="Segoe UI"/>
        </w:rPr>
      </w:pPr>
      <w:r w:rsidRPr="00F6415D">
        <w:rPr>
          <w:rFonts w:ascii="Segoe UI" w:hAnsi="Segoe UI" w:cs="Segoe UI"/>
        </w:rPr>
        <w:t>Some of the factors influencing access to aged care include;</w:t>
      </w:r>
    </w:p>
    <w:p w:rsidR="00CE1469" w:rsidRPr="00F6415D" w:rsidRDefault="00CE1469" w:rsidP="00185CCF">
      <w:pPr>
        <w:pStyle w:val="ListBullet"/>
        <w:rPr>
          <w:rFonts w:ascii="Segoe UI" w:hAnsi="Segoe UI" w:cs="Segoe UI"/>
        </w:rPr>
      </w:pPr>
      <w:r w:rsidRPr="00F6415D">
        <w:rPr>
          <w:rFonts w:ascii="Segoe UI" w:hAnsi="Segoe UI" w:cs="Segoe UI"/>
        </w:rPr>
        <w:t>the relativities between the aged care fee structure for commonwealth home support programme (CHSP) and home care;</w:t>
      </w:r>
    </w:p>
    <w:p w:rsidR="00CE1469" w:rsidRPr="00F6415D" w:rsidRDefault="00CE1469" w:rsidP="00185CCF">
      <w:pPr>
        <w:pStyle w:val="ListBullet"/>
        <w:rPr>
          <w:rFonts w:ascii="Segoe UI" w:hAnsi="Segoe UI" w:cs="Segoe UI"/>
        </w:rPr>
      </w:pPr>
      <w:r w:rsidRPr="00F6415D">
        <w:rPr>
          <w:rFonts w:ascii="Segoe UI" w:hAnsi="Segoe UI" w:cs="Segoe UI"/>
        </w:rPr>
        <w:t>insufficient Australian Government aged care services resulting in an over reliance on informal care and services;</w:t>
      </w:r>
    </w:p>
    <w:p w:rsidR="00CE1469" w:rsidRPr="00F6415D" w:rsidRDefault="00CE1469" w:rsidP="00185CCF">
      <w:pPr>
        <w:pStyle w:val="ListBullet"/>
        <w:rPr>
          <w:rFonts w:ascii="Segoe UI" w:hAnsi="Segoe UI" w:cs="Segoe UI"/>
        </w:rPr>
      </w:pPr>
      <w:r w:rsidRPr="00F6415D">
        <w:rPr>
          <w:rFonts w:ascii="Segoe UI" w:hAnsi="Segoe UI" w:cs="Segoe UI"/>
        </w:rPr>
        <w:t>early entry to residential aged care due to cost of living pressures;</w:t>
      </w:r>
    </w:p>
    <w:p w:rsidR="00CE1469" w:rsidRPr="00F6415D" w:rsidRDefault="00CE1469" w:rsidP="00185CCF">
      <w:pPr>
        <w:pStyle w:val="ListBullet"/>
        <w:rPr>
          <w:rFonts w:ascii="Segoe UI" w:hAnsi="Segoe UI" w:cs="Segoe UI"/>
        </w:rPr>
      </w:pPr>
      <w:r w:rsidRPr="00F6415D">
        <w:rPr>
          <w:rFonts w:ascii="Segoe UI" w:hAnsi="Segoe UI" w:cs="Segoe UI"/>
        </w:rPr>
        <w:t>delays with selling the family home and the impact it has on affording residential aged care costs;</w:t>
      </w:r>
    </w:p>
    <w:p w:rsidR="00CE1469" w:rsidRPr="00F6415D" w:rsidRDefault="00CE1469" w:rsidP="00185CCF">
      <w:pPr>
        <w:pStyle w:val="ListBullet"/>
        <w:rPr>
          <w:rFonts w:ascii="Segoe UI" w:hAnsi="Segoe UI" w:cs="Segoe UI"/>
        </w:rPr>
      </w:pPr>
      <w:r w:rsidRPr="00F6415D">
        <w:rPr>
          <w:rFonts w:ascii="Segoe UI" w:hAnsi="Segoe UI" w:cs="Segoe UI"/>
        </w:rPr>
        <w:t>transitioning from retirement living and having insufficient funds to afford residential aged care accommodation costs; and</w:t>
      </w:r>
    </w:p>
    <w:p w:rsidR="00CE1469" w:rsidRPr="00F6415D" w:rsidRDefault="00CE1469" w:rsidP="00185CCF">
      <w:pPr>
        <w:pStyle w:val="ListBullet"/>
        <w:rPr>
          <w:rFonts w:ascii="Segoe UI" w:hAnsi="Segoe UI" w:cs="Segoe UI"/>
        </w:rPr>
      </w:pPr>
      <w:r w:rsidRPr="00F6415D">
        <w:rPr>
          <w:rFonts w:ascii="Segoe UI" w:hAnsi="Segoe UI" w:cs="Segoe UI"/>
        </w:rPr>
        <w:t>means testing arrangements for couples in residential aged care.</w:t>
      </w:r>
    </w:p>
    <w:p w:rsidR="00CE1469" w:rsidRPr="00F6415D" w:rsidRDefault="00CE1469" w:rsidP="00185CCF">
      <w:pPr>
        <w:pStyle w:val="BodyText"/>
        <w:rPr>
          <w:rFonts w:ascii="Segoe UI" w:hAnsi="Segoe UI" w:cs="Segoe UI"/>
        </w:rPr>
      </w:pPr>
      <w:r w:rsidRPr="00F6415D">
        <w:rPr>
          <w:rFonts w:ascii="Segoe UI" w:hAnsi="Segoe UI" w:cs="Segoe UI"/>
        </w:rPr>
        <w:t xml:space="preserve">The consultations highlighted that the lack of preparation and planning for aged care can lead to financial stress for older Australians and their families across all program types. </w:t>
      </w:r>
    </w:p>
    <w:p w:rsidR="00CE1469" w:rsidRPr="00F6415D" w:rsidRDefault="00CE1469" w:rsidP="00185CCF">
      <w:pPr>
        <w:pStyle w:val="BodyText"/>
        <w:rPr>
          <w:rFonts w:ascii="Segoe UI" w:hAnsi="Segoe UI" w:cs="Segoe UI"/>
        </w:rPr>
      </w:pPr>
      <w:r w:rsidRPr="00F6415D">
        <w:rPr>
          <w:rFonts w:ascii="Segoe UI" w:hAnsi="Segoe UI" w:cs="Segoe UI"/>
        </w:rPr>
        <w:t xml:space="preserve">As regards the sacrifices consumers are making (or expect to make) to pay for aged care, consumers primarily identified a reduction in leisure activities. Some consumers advised that they would reduce visits to GPs or other health professionals and/or will miss meals to pay for expenses, such as aged care fees. </w:t>
      </w:r>
    </w:p>
    <w:p w:rsidR="00CE1469" w:rsidRPr="00F6415D" w:rsidRDefault="00CE1469" w:rsidP="00185CCF">
      <w:pPr>
        <w:pStyle w:val="BodyText"/>
        <w:rPr>
          <w:rFonts w:ascii="Segoe UI" w:hAnsi="Segoe UI" w:cs="Segoe UI"/>
        </w:rPr>
      </w:pPr>
      <w:r w:rsidRPr="00F6415D">
        <w:rPr>
          <w:rFonts w:ascii="Segoe UI" w:hAnsi="Segoe UI" w:cs="Segoe UI"/>
        </w:rPr>
        <w:t>Another area of concern raised during the consultations was around the increase in financial abuse of senior Australians by family, friends and carers and incorrect financial advice being provided by financial planners, consumer placement agencies and aged care providers.</w:t>
      </w:r>
    </w:p>
    <w:p w:rsidR="00CE1469" w:rsidRPr="00F6415D" w:rsidRDefault="00CE1469" w:rsidP="00185CCF">
      <w:pPr>
        <w:pStyle w:val="BodyText"/>
        <w:rPr>
          <w:rFonts w:ascii="Segoe UI" w:hAnsi="Segoe UI" w:cs="Segoe UI"/>
        </w:rPr>
      </w:pPr>
      <w:r w:rsidRPr="00F6415D">
        <w:rPr>
          <w:rFonts w:ascii="Segoe UI" w:hAnsi="Segoe UI" w:cs="Segoe UI"/>
        </w:rPr>
        <w:t xml:space="preserve">It was also identified that consumers in rural and remote areas face challenges when it comes to financing aged care as many have little in terms of income outside of </w:t>
      </w:r>
      <w:r w:rsidRPr="00F6415D">
        <w:rPr>
          <w:rFonts w:ascii="Segoe UI" w:hAnsi="Segoe UI" w:cs="Segoe UI"/>
        </w:rPr>
        <w:lastRenderedPageBreak/>
        <w:t>income support payments as well as minimal assets, giving them minimal scope to plan for aged care costs.</w:t>
      </w:r>
    </w:p>
    <w:p w:rsidR="00CE1469" w:rsidRPr="00F6415D" w:rsidRDefault="00CE1469" w:rsidP="00871CE0">
      <w:pPr>
        <w:pStyle w:val="Heading3nonumbers"/>
      </w:pPr>
      <w:r w:rsidRPr="00F6415D">
        <w:t>Financial products</w:t>
      </w:r>
    </w:p>
    <w:p w:rsidR="00CE1469" w:rsidRPr="00F6415D" w:rsidRDefault="00CE1469" w:rsidP="00185CCF">
      <w:pPr>
        <w:pStyle w:val="BodyText"/>
        <w:rPr>
          <w:rFonts w:ascii="Segoe UI" w:hAnsi="Segoe UI" w:cs="Segoe UI"/>
        </w:rPr>
      </w:pPr>
      <w:r w:rsidRPr="00F6415D">
        <w:rPr>
          <w:rFonts w:ascii="Segoe UI" w:hAnsi="Segoe UI" w:cs="Segoe UI"/>
        </w:rPr>
        <w:t>The financial products available to help consumers pay for their aged care costs, including:</w:t>
      </w:r>
    </w:p>
    <w:p w:rsidR="00CE1469" w:rsidRPr="00F6415D" w:rsidRDefault="00CE1469" w:rsidP="00185CCF">
      <w:pPr>
        <w:pStyle w:val="ListBullet"/>
        <w:rPr>
          <w:rFonts w:ascii="Segoe UI" w:hAnsi="Segoe UI" w:cs="Segoe UI"/>
        </w:rPr>
      </w:pPr>
      <w:r w:rsidRPr="00F6415D">
        <w:rPr>
          <w:rFonts w:ascii="Segoe UI" w:hAnsi="Segoe UI" w:cs="Segoe UI"/>
        </w:rPr>
        <w:t>Debt and equity release products:</w:t>
      </w:r>
    </w:p>
    <w:p w:rsidR="00CE1469" w:rsidRPr="00F6415D" w:rsidRDefault="00CE1469" w:rsidP="00185CCF">
      <w:pPr>
        <w:pStyle w:val="ListBullet2"/>
        <w:rPr>
          <w:rFonts w:ascii="Segoe UI" w:hAnsi="Segoe UI" w:cs="Segoe UI"/>
        </w:rPr>
      </w:pPr>
      <w:r w:rsidRPr="00F6415D">
        <w:rPr>
          <w:rFonts w:ascii="Segoe UI" w:hAnsi="Segoe UI" w:cs="Segoe UI"/>
        </w:rPr>
        <w:t>Reverse mortgages</w:t>
      </w:r>
    </w:p>
    <w:p w:rsidR="00CE1469" w:rsidRPr="00F6415D" w:rsidRDefault="00CE1469" w:rsidP="00185CCF">
      <w:pPr>
        <w:pStyle w:val="ListBullet2"/>
        <w:rPr>
          <w:rFonts w:ascii="Segoe UI" w:hAnsi="Segoe UI" w:cs="Segoe UI"/>
        </w:rPr>
      </w:pPr>
      <w:r w:rsidRPr="00F6415D">
        <w:rPr>
          <w:rFonts w:ascii="Segoe UI" w:hAnsi="Segoe UI" w:cs="Segoe UI"/>
        </w:rPr>
        <w:t>Aged care loans</w:t>
      </w:r>
    </w:p>
    <w:p w:rsidR="00CE1469" w:rsidRPr="00F6415D" w:rsidRDefault="00CE1469" w:rsidP="00185CCF">
      <w:pPr>
        <w:pStyle w:val="ListBullet2"/>
        <w:rPr>
          <w:rFonts w:ascii="Segoe UI" w:hAnsi="Segoe UI" w:cs="Segoe UI"/>
        </w:rPr>
      </w:pPr>
      <w:r w:rsidRPr="00F6415D">
        <w:rPr>
          <w:rFonts w:ascii="Segoe UI" w:hAnsi="Segoe UI" w:cs="Segoe UI"/>
        </w:rPr>
        <w:t>Equity release alternatives</w:t>
      </w:r>
    </w:p>
    <w:p w:rsidR="00CE1469" w:rsidRPr="00F6415D" w:rsidRDefault="00CE1469" w:rsidP="00185CCF">
      <w:pPr>
        <w:pStyle w:val="ListBullet2"/>
        <w:rPr>
          <w:rFonts w:ascii="Segoe UI" w:hAnsi="Segoe UI" w:cs="Segoe UI"/>
        </w:rPr>
      </w:pPr>
      <w:r w:rsidRPr="00F6415D">
        <w:rPr>
          <w:rFonts w:ascii="Segoe UI" w:hAnsi="Segoe UI" w:cs="Segoe UI"/>
        </w:rPr>
        <w:t>Land lease communities and downsizing</w:t>
      </w:r>
    </w:p>
    <w:p w:rsidR="00CE1469" w:rsidRPr="00F6415D" w:rsidRDefault="00CE1469" w:rsidP="00185CCF">
      <w:pPr>
        <w:pStyle w:val="ListBullet2"/>
        <w:rPr>
          <w:rFonts w:ascii="Segoe UI" w:hAnsi="Segoe UI" w:cs="Segoe UI"/>
        </w:rPr>
      </w:pPr>
      <w:r w:rsidRPr="00F6415D">
        <w:rPr>
          <w:rFonts w:ascii="Segoe UI" w:hAnsi="Segoe UI" w:cs="Segoe UI"/>
        </w:rPr>
        <w:t>Pension Loan Scheme (PLS)</w:t>
      </w:r>
    </w:p>
    <w:p w:rsidR="00CE1469" w:rsidRPr="00F6415D" w:rsidRDefault="00CE1469" w:rsidP="00185CCF">
      <w:pPr>
        <w:pStyle w:val="ListBullet"/>
        <w:rPr>
          <w:rFonts w:ascii="Segoe UI" w:hAnsi="Segoe UI" w:cs="Segoe UI"/>
        </w:rPr>
      </w:pPr>
      <w:r w:rsidRPr="00F6415D">
        <w:rPr>
          <w:rFonts w:ascii="Segoe UI" w:hAnsi="Segoe UI" w:cs="Segoe UI"/>
        </w:rPr>
        <w:t>Financial investments</w:t>
      </w:r>
    </w:p>
    <w:p w:rsidR="00CE1469" w:rsidRPr="00F6415D" w:rsidRDefault="00CE1469" w:rsidP="00185CCF">
      <w:pPr>
        <w:pStyle w:val="ListBullet2"/>
        <w:rPr>
          <w:rFonts w:ascii="Segoe UI" w:hAnsi="Segoe UI" w:cs="Segoe UI"/>
        </w:rPr>
      </w:pPr>
      <w:r w:rsidRPr="00F6415D">
        <w:rPr>
          <w:rFonts w:ascii="Segoe UI" w:hAnsi="Segoe UI" w:cs="Segoe UI"/>
        </w:rPr>
        <w:t>Deposit and investment</w:t>
      </w:r>
      <w:r w:rsidRPr="00F6415D">
        <w:rPr>
          <w:rFonts w:ascii="Segoe UI" w:hAnsi="Segoe UI" w:cs="Segoe UI"/>
        </w:rPr>
        <w:noBreakHyphen/>
        <w:t>based accounts</w:t>
      </w:r>
    </w:p>
    <w:p w:rsidR="00CE1469" w:rsidRPr="00F6415D" w:rsidRDefault="00CE1469" w:rsidP="00185CCF">
      <w:pPr>
        <w:pStyle w:val="ListBullet2"/>
        <w:rPr>
          <w:rFonts w:ascii="Segoe UI" w:hAnsi="Segoe UI" w:cs="Segoe UI"/>
        </w:rPr>
      </w:pPr>
      <w:r w:rsidRPr="00F6415D">
        <w:rPr>
          <w:rFonts w:ascii="Segoe UI" w:hAnsi="Segoe UI" w:cs="Segoe UI"/>
        </w:rPr>
        <w:t>Account-based pensions</w:t>
      </w:r>
    </w:p>
    <w:p w:rsidR="00CE1469" w:rsidRPr="00F6415D" w:rsidRDefault="00CE1469" w:rsidP="00185CCF">
      <w:pPr>
        <w:pStyle w:val="ListBullet2"/>
        <w:rPr>
          <w:rFonts w:ascii="Segoe UI" w:hAnsi="Segoe UI" w:cs="Segoe UI"/>
        </w:rPr>
      </w:pPr>
      <w:r w:rsidRPr="00F6415D">
        <w:rPr>
          <w:rFonts w:ascii="Segoe UI" w:hAnsi="Segoe UI" w:cs="Segoe UI"/>
        </w:rPr>
        <w:t>Deferred annuities and other income streams</w:t>
      </w:r>
    </w:p>
    <w:p w:rsidR="00CE1469" w:rsidRPr="00F6415D" w:rsidRDefault="00CE1469" w:rsidP="00185CCF">
      <w:pPr>
        <w:pStyle w:val="BodyText"/>
        <w:rPr>
          <w:rFonts w:ascii="Segoe UI" w:hAnsi="Segoe UI" w:cs="Segoe UI"/>
        </w:rPr>
      </w:pPr>
      <w:r w:rsidRPr="00F6415D">
        <w:rPr>
          <w:rFonts w:ascii="Segoe UI" w:hAnsi="Segoe UI" w:cs="Segoe UI"/>
        </w:rPr>
        <w:t>The extent to which consumers are accessing financial products to finance their care varies significantly. Consumers use their cash flow sources first and then their assets, to pay for their aged care costs although many consumers may cash assets to pay for accommodation costs. They were less likely to use specific financial products to fund their aged care needs. In particular, consumers tend to be unwilling to take on debt in their retirement years. This may be because they feel they’ve worked for many years to pay off a mortgage and are in turn reluctant to ‘re-enter’ into debt. In addition there is likely a fear that hard-earned equity will diminish and reduce the inheritance they can leave to the next generation.</w:t>
      </w:r>
    </w:p>
    <w:p w:rsidR="00CE1469" w:rsidRPr="00F6415D" w:rsidRDefault="00CE1469" w:rsidP="00871CE0">
      <w:pPr>
        <w:pStyle w:val="Heading3nonumbers"/>
      </w:pPr>
      <w:r w:rsidRPr="00F6415D">
        <w:t>Sources of information and advice</w:t>
      </w:r>
    </w:p>
    <w:p w:rsidR="00CE1469" w:rsidRPr="00F6415D" w:rsidRDefault="00CE1469" w:rsidP="00185CCF">
      <w:pPr>
        <w:pStyle w:val="BodyText"/>
        <w:rPr>
          <w:rFonts w:ascii="Segoe UI" w:hAnsi="Segoe UI" w:cs="Segoe UI"/>
        </w:rPr>
      </w:pPr>
      <w:r w:rsidRPr="00F6415D">
        <w:rPr>
          <w:rFonts w:ascii="Segoe UI" w:hAnsi="Segoe UI" w:cs="Segoe UI"/>
        </w:rPr>
        <w:t>The way in which consumers seek information on residential aged care services and the level of support they need is dependent on the individual. Some consumers want information that they can use to make their own decisions, while others prefer to have someone navigate the aged care system on their behalf. To meet these individual needs, various information resources and advice services are available from Government, the financial planning industry, mortgage and credit brokers, aged care providers, placement agencies, and consumer groups.</w:t>
      </w:r>
    </w:p>
    <w:p w:rsidR="00CE1469" w:rsidRPr="00F6415D" w:rsidRDefault="00CE1469" w:rsidP="00185CCF">
      <w:pPr>
        <w:pStyle w:val="BodyText"/>
        <w:rPr>
          <w:rFonts w:ascii="Segoe UI" w:eastAsia="Segoe UI" w:hAnsi="Segoe UI" w:cs="Segoe UI"/>
        </w:rPr>
      </w:pPr>
      <w:r w:rsidRPr="00F6415D">
        <w:rPr>
          <w:rFonts w:ascii="Segoe UI" w:eastAsia="Segoe UI" w:hAnsi="Segoe UI" w:cs="Segoe UI"/>
        </w:rPr>
        <w:t xml:space="preserve">Consumers and their families are predominantly using websites to access information, with 38 per cent accessing Government websites and 27 per cent accessing aged care provider websites. In addition consumers sought information directly from a provider through either website visits (16 per cent) and/or the telephone (16 per cent). </w:t>
      </w:r>
    </w:p>
    <w:p w:rsidR="00CE1469" w:rsidRPr="00F6415D" w:rsidRDefault="00CE1469" w:rsidP="00185CCF">
      <w:pPr>
        <w:pStyle w:val="BodyText"/>
        <w:rPr>
          <w:rFonts w:ascii="Segoe UI" w:hAnsi="Segoe UI" w:cs="Segoe UI"/>
        </w:rPr>
      </w:pPr>
      <w:r w:rsidRPr="00F6415D">
        <w:rPr>
          <w:rFonts w:ascii="Segoe UI" w:eastAsia="Segoe UI" w:hAnsi="Segoe UI" w:cs="Segoe UI"/>
        </w:rPr>
        <w:t xml:space="preserve">While the survey indicated that financial advisors were not widely consulted as a source of information or advice when planning aged care needs, those consumers </w:t>
      </w:r>
      <w:r w:rsidRPr="00F6415D">
        <w:rPr>
          <w:rFonts w:ascii="Segoe UI" w:eastAsia="Segoe UI" w:hAnsi="Segoe UI" w:cs="Segoe UI"/>
        </w:rPr>
        <w:lastRenderedPageBreak/>
        <w:t>who accessed these services reported them to be a useful source of information, closely followed by Government websites and family or friends.</w:t>
      </w:r>
    </w:p>
    <w:p w:rsidR="00CE1469" w:rsidRPr="00F6415D" w:rsidRDefault="00CE1469" w:rsidP="00871CE0">
      <w:pPr>
        <w:pStyle w:val="Heading3nonumbers"/>
      </w:pPr>
      <w:r w:rsidRPr="00F6415D">
        <w:t>Challenges with sources of information and advice</w:t>
      </w:r>
    </w:p>
    <w:p w:rsidR="00CE1469" w:rsidRPr="00F6415D" w:rsidRDefault="00CE1469" w:rsidP="00185CCF">
      <w:pPr>
        <w:pStyle w:val="BodyText"/>
        <w:rPr>
          <w:rFonts w:ascii="Segoe UI" w:eastAsia="Segoe UI" w:hAnsi="Segoe UI" w:cs="Segoe UI"/>
        </w:rPr>
      </w:pPr>
      <w:r w:rsidRPr="00F6415D">
        <w:rPr>
          <w:rFonts w:ascii="Segoe UI" w:eastAsia="Segoe UI" w:hAnsi="Segoe UI" w:cs="Segoe UI"/>
        </w:rPr>
        <w:t>While consumers found the various sources of information and advice useful, a number of challenges were also identified, including:</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My Aged Care:</w:t>
      </w:r>
      <w:r w:rsidRPr="00F6415D">
        <w:rPr>
          <w:rFonts w:ascii="Segoe UI" w:eastAsia="Segoe UI" w:hAnsi="Segoe UI" w:cs="Segoe UI"/>
        </w:rPr>
        <w:t xml:space="preserve"> some consumers were either not aware of and/or found it difficult to navigate the website. It was reported that information is presented through circular linking pages, which did not provide adequate resolution.</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Financial information service:</w:t>
      </w:r>
      <w:r w:rsidRPr="00F6415D">
        <w:rPr>
          <w:rFonts w:ascii="Segoe UI" w:eastAsia="Segoe UI" w:hAnsi="Segoe UI" w:cs="Segoe UI"/>
        </w:rPr>
        <w:t xml:space="preserve"> it is increasingly difficult to obtain an appointment, which is an issue for consumers who need information urgently.</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MoneySmart:</w:t>
      </w:r>
      <w:r w:rsidRPr="00F6415D">
        <w:rPr>
          <w:rFonts w:ascii="Segoe UI" w:eastAsia="Segoe UI" w:hAnsi="Segoe UI" w:cs="Segoe UI"/>
        </w:rPr>
        <w:t xml:space="preserve"> The steps identified to help consumers set their goals and advice needs lacks the concept of planning for aged care needs.</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Department of Human Services:</w:t>
      </w:r>
      <w:r w:rsidRPr="00F6415D">
        <w:rPr>
          <w:rFonts w:ascii="Segoe UI" w:eastAsia="Segoe UI" w:hAnsi="Segoe UI" w:cs="Segoe UI"/>
        </w:rPr>
        <w:t xml:space="preserve"> waiting time to discuss means test assessments and issues with fee advice letters and errors in processing forms.</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Financial planning industry:</w:t>
      </w:r>
      <w:r w:rsidRPr="00F6415D">
        <w:rPr>
          <w:rFonts w:ascii="Segoe UI" w:eastAsia="Segoe UI" w:hAnsi="Segoe UI" w:cs="Segoe UI"/>
        </w:rPr>
        <w:t xml:space="preserve"> </w:t>
      </w:r>
      <w:r w:rsidRPr="00F6415D">
        <w:rPr>
          <w:rFonts w:ascii="Segoe UI" w:hAnsi="Segoe UI" w:cs="Segoe UI"/>
        </w:rPr>
        <w:t>access to financial advisors with specialisation in (or understanding of) aged care advice varies significantly and in some jurisdictions there are limited advisors from which to choose.</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Aged care providers:</w:t>
      </w:r>
      <w:r w:rsidRPr="00F6415D">
        <w:rPr>
          <w:rFonts w:ascii="Segoe UI" w:hAnsi="Segoe UI" w:cs="Segoe UI"/>
        </w:rPr>
        <w:t xml:space="preserve"> for consumers who enter residential aged care after a crisis, they are relied on as a key source of knowledge for aged care, which has led to consumers and their family members having an (incorrect) expectation that providers will provide financial advice.</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Placement agencies:</w:t>
      </w:r>
      <w:r w:rsidRPr="00F6415D">
        <w:rPr>
          <w:rFonts w:ascii="Segoe UI" w:hAnsi="Segoe UI" w:cs="Segoe UI"/>
        </w:rPr>
        <w:t xml:space="preserve"> while placement agencies do not provide financial advice, by negotiating residential care room prices, some consumers are under the impression that they are providing financial advice, thus causing confusion.</w:t>
      </w:r>
    </w:p>
    <w:p w:rsidR="00CE1469" w:rsidRPr="00F6415D" w:rsidRDefault="00CE1469" w:rsidP="00185CCF">
      <w:pPr>
        <w:pStyle w:val="ListBullet"/>
        <w:rPr>
          <w:rFonts w:ascii="Segoe UI" w:eastAsia="Segoe UI" w:hAnsi="Segoe UI" w:cs="Segoe UI"/>
        </w:rPr>
      </w:pPr>
      <w:r w:rsidRPr="00F6415D">
        <w:rPr>
          <w:rFonts w:ascii="Segoe UI" w:eastAsia="Segoe UI" w:hAnsi="Segoe UI" w:cs="Segoe UI"/>
          <w:b/>
        </w:rPr>
        <w:t>Benchmarking retiree income standards:</w:t>
      </w:r>
      <w:r w:rsidRPr="00F6415D">
        <w:rPr>
          <w:rFonts w:ascii="Segoe UI" w:hAnsi="Segoe UI" w:cs="Segoe UI"/>
        </w:rPr>
        <w:t xml:space="preserve"> standards assume the consumer is in good health and do not include any significant costs for aged care services.</w:t>
      </w:r>
    </w:p>
    <w:p w:rsidR="00CE1469" w:rsidRPr="00F6415D" w:rsidRDefault="00CE1469" w:rsidP="00871CE0">
      <w:pPr>
        <w:pStyle w:val="Heading3nonumbers"/>
      </w:pPr>
      <w:r w:rsidRPr="00F6415D">
        <w:t>Recommendations</w:t>
      </w:r>
    </w:p>
    <w:p w:rsidR="00CE1469" w:rsidRPr="00F6415D" w:rsidRDefault="00CE1469" w:rsidP="00185CCF">
      <w:pPr>
        <w:pStyle w:val="BodyText"/>
        <w:rPr>
          <w:rFonts w:ascii="Segoe UI" w:hAnsi="Segoe UI" w:cs="Segoe UI"/>
        </w:rPr>
      </w:pPr>
      <w:r w:rsidRPr="00F6415D">
        <w:rPr>
          <w:rFonts w:ascii="Segoe UI" w:hAnsi="Segoe UI" w:cs="Segoe UI"/>
        </w:rPr>
        <w:t>The recommendations are summarised below and are outlined in full in Chapter</w:t>
      </w:r>
      <w:r w:rsidR="00A5778B" w:rsidRPr="00F6415D">
        <w:rPr>
          <w:rFonts w:ascii="Segoe UI" w:hAnsi="Segoe UI" w:cs="Segoe UI"/>
        </w:rPr>
        <w:t xml:space="preserve"> </w:t>
      </w:r>
      <w:r w:rsidR="00DC338F" w:rsidRPr="00F6415D">
        <w:rPr>
          <w:rFonts w:ascii="Segoe UI" w:hAnsi="Segoe UI" w:cs="Segoe UI"/>
        </w:rPr>
        <w:fldChar w:fldCharType="begin"/>
      </w:r>
      <w:r w:rsidR="00DC338F" w:rsidRPr="00F6415D">
        <w:rPr>
          <w:rFonts w:ascii="Segoe UI" w:hAnsi="Segoe UI" w:cs="Segoe UI"/>
        </w:rPr>
        <w:instrText xml:space="preserve"> REF _Ref531776844 \w \h </w:instrText>
      </w:r>
      <w:r w:rsidR="00E12DF5" w:rsidRPr="00F6415D">
        <w:rPr>
          <w:rFonts w:ascii="Segoe UI" w:hAnsi="Segoe UI" w:cs="Segoe UI"/>
        </w:rPr>
        <w:instrText xml:space="preserve"> \* MERGEFORMAT </w:instrText>
      </w:r>
      <w:r w:rsidR="00DC338F" w:rsidRPr="00F6415D">
        <w:rPr>
          <w:rFonts w:ascii="Segoe UI" w:hAnsi="Segoe UI" w:cs="Segoe UI"/>
        </w:rPr>
      </w:r>
      <w:r w:rsidR="00DC338F" w:rsidRPr="00F6415D">
        <w:rPr>
          <w:rFonts w:ascii="Segoe UI" w:hAnsi="Segoe UI" w:cs="Segoe UI"/>
        </w:rPr>
        <w:fldChar w:fldCharType="separate"/>
      </w:r>
      <w:r w:rsidR="00C40CA4">
        <w:rPr>
          <w:rFonts w:ascii="Segoe UI" w:hAnsi="Segoe UI" w:cs="Segoe UI"/>
        </w:rPr>
        <w:t>10</w:t>
      </w:r>
      <w:r w:rsidR="00DC338F" w:rsidRPr="00F6415D">
        <w:rPr>
          <w:rFonts w:ascii="Segoe UI" w:hAnsi="Segoe UI" w:cs="Segoe UI"/>
        </w:rPr>
        <w:fldChar w:fldCharType="end"/>
      </w:r>
      <w:r w:rsidRPr="00F6415D">
        <w:rPr>
          <w:rFonts w:ascii="Segoe UI" w:hAnsi="Segoe UI" w:cs="Segoe UI"/>
        </w:rPr>
        <w:t>. They include:</w:t>
      </w:r>
    </w:p>
    <w:p w:rsidR="00CE1469" w:rsidRPr="00F6415D" w:rsidRDefault="00CE1469" w:rsidP="00227EBF">
      <w:pPr>
        <w:pStyle w:val="Heading4"/>
        <w:numPr>
          <w:ilvl w:val="0"/>
          <w:numId w:val="0"/>
        </w:numPr>
        <w:ind w:left="964" w:hanging="964"/>
        <w:rPr>
          <w:rFonts w:ascii="Segoe UI" w:eastAsiaTheme="majorEastAsia" w:hAnsi="Segoe UI" w:cs="Segoe UI"/>
        </w:rPr>
      </w:pPr>
      <w:r w:rsidRPr="00F6415D">
        <w:rPr>
          <w:rFonts w:ascii="Segoe UI" w:eastAsiaTheme="majorEastAsia" w:hAnsi="Segoe UI" w:cs="Segoe UI"/>
        </w:rPr>
        <w:t>Improving information sources</w:t>
      </w:r>
    </w:p>
    <w:p w:rsidR="00CE1469" w:rsidRPr="00F6415D" w:rsidRDefault="00CE1469" w:rsidP="00DC338F">
      <w:pPr>
        <w:pStyle w:val="Heading5"/>
        <w:rPr>
          <w:rFonts w:ascii="Segoe UI" w:hAnsi="Segoe UI" w:cs="Segoe UI"/>
        </w:rPr>
      </w:pPr>
      <w:r w:rsidRPr="00F6415D">
        <w:rPr>
          <w:rFonts w:ascii="Segoe UI" w:hAnsi="Segoe UI" w:cs="Segoe UI"/>
        </w:rPr>
        <w:t>Ensuring retirement planning tools include future aged care needs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Government should work with relevant industry bodies to ensure that retirement plans enable greater life planning to include the post retirement stages of: active years; low to medium level care to support independence at home; and acute/complex needs either at home or in an aged care facility.</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 xml:space="preserve">Government agencies ensure that the 2018-19 </w:t>
      </w:r>
      <w:r w:rsidRPr="00F6415D">
        <w:rPr>
          <w:rFonts w:ascii="Segoe UI" w:hAnsi="Segoe UI" w:cs="Segoe UI"/>
          <w:i/>
        </w:rPr>
        <w:t>Better Ageing – 45 and 65 year online checkup</w:t>
      </w:r>
      <w:r w:rsidRPr="00F6415D">
        <w:rPr>
          <w:rFonts w:ascii="Segoe UI" w:hAnsi="Segoe UI" w:cs="Segoe UI"/>
        </w:rPr>
        <w:t xml:space="preserve"> measure, and 2018</w:t>
      </w:r>
      <w:r w:rsidRPr="00F6415D">
        <w:rPr>
          <w:rFonts w:ascii="Segoe UI" w:hAnsi="Segoe UI" w:cs="Segoe UI"/>
        </w:rPr>
        <w:noBreakHyphen/>
        <w:t xml:space="preserve">19 </w:t>
      </w:r>
      <w:r w:rsidRPr="00F6415D">
        <w:rPr>
          <w:rFonts w:ascii="Segoe UI" w:hAnsi="Segoe UI" w:cs="Segoe UI"/>
          <w:i/>
        </w:rPr>
        <w:t xml:space="preserve">Preparing financially for a longer and more secure life – retirement income framework </w:t>
      </w:r>
      <w:r w:rsidRPr="00F6415D">
        <w:rPr>
          <w:rFonts w:ascii="Segoe UI" w:hAnsi="Segoe UI" w:cs="Segoe UI"/>
        </w:rPr>
        <w:t>measure, include aged care planning and costs.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lastRenderedPageBreak/>
        <w:t xml:space="preserve">Expanding the 2018-19 </w:t>
      </w:r>
      <w:r w:rsidRPr="00F6415D">
        <w:rPr>
          <w:rFonts w:ascii="Segoe UI" w:hAnsi="Segoe UI" w:cs="Segoe UI"/>
          <w:i/>
        </w:rPr>
        <w:t>Better Ageing – 45 and 65 year online checkup</w:t>
      </w:r>
      <w:r w:rsidRPr="00F6415D">
        <w:rPr>
          <w:rFonts w:ascii="Segoe UI" w:hAnsi="Segoe UI" w:cs="Segoe UI"/>
        </w:rPr>
        <w:t xml:space="preserve"> measure to include a 70 year or 75 year online checkup. </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Australian Securities &amp; Investments Commission (ASIC) should expand their retirement planning tool available on the MoneySmart website to include aged care costs and enable financial advisors to can record competency in aged care advice.</w:t>
      </w:r>
    </w:p>
    <w:p w:rsidR="00CE1469" w:rsidRPr="00F6415D" w:rsidRDefault="00CE1469" w:rsidP="00A4080F">
      <w:pPr>
        <w:pStyle w:val="BodyText"/>
        <w:rPr>
          <w:rFonts w:ascii="Segoe UI" w:hAnsi="Segoe UI" w:cs="Segoe UI"/>
          <w:b/>
        </w:rPr>
      </w:pPr>
      <w:r w:rsidRPr="00F6415D">
        <w:rPr>
          <w:rFonts w:ascii="Segoe UI" w:hAnsi="Segoe UI" w:cs="Segoe UI"/>
          <w:b/>
        </w:rPr>
        <w:t>Raising the profile of equity release products to assist consumers with funding their aged care costs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Government, in conjunction with financial institutions, raise the profile of equity release products to assist consumers with funding their aged care costs.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 xml:space="preserve">The 2018-19 </w:t>
      </w:r>
      <w:r w:rsidRPr="00F6415D">
        <w:rPr>
          <w:rFonts w:ascii="Segoe UI" w:hAnsi="Segoe UI" w:cs="Segoe UI"/>
          <w:i/>
        </w:rPr>
        <w:t xml:space="preserve">Preparing financially for a longer and more secure life – Expansion of the Pension Loan Scheme (PLS) </w:t>
      </w:r>
      <w:r w:rsidRPr="00F6415D">
        <w:rPr>
          <w:rFonts w:ascii="Segoe UI" w:hAnsi="Segoe UI" w:cs="Segoe UI"/>
        </w:rPr>
        <w:t>measure should be significantly promoted.</w:t>
      </w:r>
    </w:p>
    <w:p w:rsidR="00CE1469" w:rsidRPr="00F6415D" w:rsidRDefault="00CE1469" w:rsidP="00DC338F">
      <w:pPr>
        <w:pStyle w:val="Heading5"/>
        <w:rPr>
          <w:rFonts w:ascii="Segoe UI" w:hAnsi="Segoe UI" w:cs="Segoe UI"/>
        </w:rPr>
      </w:pPr>
      <w:r w:rsidRPr="00F6415D">
        <w:rPr>
          <w:rFonts w:ascii="Segoe UI" w:hAnsi="Segoe UI" w:cs="Segoe UI"/>
        </w:rPr>
        <w:t>Access to information on My Aged Care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Government in consultation with the aged care industry undertake a multi</w:t>
      </w:r>
      <w:r w:rsidRPr="00F6415D">
        <w:rPr>
          <w:rFonts w:ascii="Segoe UI" w:hAnsi="Segoe UI" w:cs="Segoe UI"/>
        </w:rPr>
        <w:noBreakHyphen/>
        <w:t>pronged campaign with the aim of increasing consumer awareness of what could be the likely cost to consumers to access these services.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aged care fee estimators be located in a more prominent location on the My Aged Care website landing page.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planning content available on the My Aged Care website be lifted to a more prominent location on the landing page.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information on the My Aged Care website regarding finances and aged care financial advice should be enhanced.</w:t>
      </w:r>
    </w:p>
    <w:p w:rsidR="00CE1469" w:rsidRPr="00F6415D" w:rsidRDefault="00CE1469" w:rsidP="00DC338F">
      <w:pPr>
        <w:pStyle w:val="Heading5"/>
        <w:rPr>
          <w:rFonts w:ascii="Segoe UI" w:hAnsi="Segoe UI" w:cs="Segoe UI"/>
        </w:rPr>
      </w:pPr>
      <w:r w:rsidRPr="00F6415D">
        <w:rPr>
          <w:rFonts w:ascii="Segoe UI" w:hAnsi="Segoe UI" w:cs="Segoe UI"/>
        </w:rPr>
        <w:t>Misconceptions regarding retirement villages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State and territory Consumer Affairs Ministers should increase community education regarding retirement villages, particularly in how they differ from residential aged care including costs.</w:t>
      </w:r>
    </w:p>
    <w:p w:rsidR="00CE1469" w:rsidRPr="00F6415D" w:rsidRDefault="00CE1469" w:rsidP="00DC338F">
      <w:pPr>
        <w:pStyle w:val="Heading5"/>
        <w:rPr>
          <w:rFonts w:ascii="Segoe UI" w:hAnsi="Segoe UI" w:cs="Segoe UI"/>
        </w:rPr>
      </w:pPr>
      <w:r w:rsidRPr="00F6415D">
        <w:rPr>
          <w:rFonts w:ascii="Segoe UI" w:hAnsi="Segoe UI" w:cs="Segoe UI"/>
        </w:rPr>
        <w:t>Improving fee advice letters from Department of Human Services (DHS)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Government agencies, specifically the Department of Human Services (DHS), need to undertake work to improve the clarity of the information provided in the fee advice notification letters.</w:t>
      </w:r>
    </w:p>
    <w:p w:rsidR="00CE1469" w:rsidRPr="00F6415D" w:rsidRDefault="00CE1469" w:rsidP="00DC338F">
      <w:pPr>
        <w:pStyle w:val="Heading5"/>
        <w:rPr>
          <w:rFonts w:ascii="Segoe UI" w:hAnsi="Segoe UI" w:cs="Segoe UI"/>
        </w:rPr>
      </w:pPr>
      <w:r w:rsidRPr="00F6415D">
        <w:rPr>
          <w:rFonts w:ascii="Segoe UI" w:hAnsi="Segoe UI" w:cs="Segoe UI"/>
        </w:rPr>
        <w:t>Improve perceptions of aged care to support increased planning</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sector, in consultation with Government, should consider if there are appropriate ways to improve the understanding and perception of aged care and the services available to assist consumers plan for care.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The Government consider a targeted research project to determine the extent to which preventative health measures and alternative accommodation choices to residential care could provide consumers additional options to consider in planning for aged care.</w:t>
      </w:r>
    </w:p>
    <w:p w:rsidR="00CE1469" w:rsidRPr="00F6415D" w:rsidRDefault="00CE1469" w:rsidP="00227EBF">
      <w:pPr>
        <w:pStyle w:val="Heading4"/>
        <w:numPr>
          <w:ilvl w:val="0"/>
          <w:numId w:val="0"/>
        </w:numPr>
        <w:ind w:left="964" w:hanging="964"/>
        <w:rPr>
          <w:rFonts w:ascii="Segoe UI" w:eastAsiaTheme="majorEastAsia" w:hAnsi="Segoe UI" w:cs="Segoe UI"/>
        </w:rPr>
      </w:pPr>
      <w:r w:rsidRPr="00F6415D">
        <w:rPr>
          <w:rFonts w:ascii="Segoe UI" w:eastAsiaTheme="majorEastAsia" w:hAnsi="Segoe UI" w:cs="Segoe UI"/>
        </w:rPr>
        <w:lastRenderedPageBreak/>
        <w:t>Aged Care Fees</w:t>
      </w:r>
    </w:p>
    <w:p w:rsidR="00CE1469" w:rsidRPr="00F6415D" w:rsidRDefault="00CE1469" w:rsidP="00DC338F">
      <w:pPr>
        <w:pStyle w:val="Heading5"/>
        <w:rPr>
          <w:rFonts w:ascii="Segoe UI" w:hAnsi="Segoe UI" w:cs="Segoe UI"/>
        </w:rPr>
      </w:pPr>
      <w:r w:rsidRPr="00F6415D">
        <w:rPr>
          <w:rFonts w:ascii="Segoe UI" w:hAnsi="Segoe UI" w:cs="Segoe UI"/>
        </w:rPr>
        <w:t>Improving consumer understanding of aged care fees</w:t>
      </w:r>
    </w:p>
    <w:p w:rsidR="00CE1469" w:rsidRPr="00F6415D" w:rsidRDefault="00CE1469" w:rsidP="00686BFA">
      <w:pPr>
        <w:pStyle w:val="ListParagraph"/>
        <w:numPr>
          <w:ilvl w:val="0"/>
          <w:numId w:val="37"/>
        </w:numPr>
        <w:suppressAutoHyphens/>
        <w:ind w:left="357" w:hanging="357"/>
        <w:contextualSpacing w:val="0"/>
        <w:jc w:val="both"/>
        <w:rPr>
          <w:rFonts w:ascii="Segoe UI" w:eastAsia="Times New Roman" w:hAnsi="Segoe UI" w:cs="Segoe UI"/>
        </w:rPr>
      </w:pPr>
      <w:r w:rsidRPr="00F6415D">
        <w:rPr>
          <w:rFonts w:ascii="Segoe UI" w:eastAsia="Times New Roman" w:hAnsi="Segoe UI" w:cs="Segoe UI"/>
        </w:rPr>
        <w:t>The Department develop a high level key features statement explaining relevant fees that providers are required to disclose to consumers prior to them entering aged care.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b/>
        </w:rPr>
      </w:pPr>
      <w:r w:rsidRPr="00F6415D">
        <w:rPr>
          <w:rFonts w:ascii="Segoe UI" w:hAnsi="Segoe UI" w:cs="Segoe UI"/>
        </w:rPr>
        <w:t>The Department develop aged care fee scenarios to provide consumers with a practical understanding of the aged care fees they may be asked to pay.</w:t>
      </w:r>
    </w:p>
    <w:p w:rsidR="00CE1469" w:rsidRPr="00F6415D" w:rsidRDefault="00CE1469" w:rsidP="00DC338F">
      <w:pPr>
        <w:pStyle w:val="Heading5"/>
        <w:rPr>
          <w:rFonts w:ascii="Segoe UI" w:hAnsi="Segoe UI" w:cs="Segoe UI"/>
        </w:rPr>
      </w:pPr>
      <w:r w:rsidRPr="00F6415D">
        <w:rPr>
          <w:rFonts w:ascii="Segoe UI" w:hAnsi="Segoe UI" w:cs="Segoe UI"/>
        </w:rPr>
        <w:t>Improving interface between fees for CHSP and home care packages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Consumer fees for CHSP should be considered in conjunction with any future consideration of wider changes to consumer care fees.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Consumer fees for home care should be considered in conjunction with any future consideration of wider changes to consumer care fees.</w:t>
      </w:r>
    </w:p>
    <w:p w:rsidR="00CE1469" w:rsidRPr="00F6415D" w:rsidRDefault="00CE1469" w:rsidP="00DC338F">
      <w:pPr>
        <w:pStyle w:val="Heading5"/>
        <w:rPr>
          <w:rFonts w:ascii="Segoe UI" w:hAnsi="Segoe UI" w:cs="Segoe UI"/>
        </w:rPr>
      </w:pPr>
      <w:r w:rsidRPr="00F6415D">
        <w:rPr>
          <w:rFonts w:ascii="Segoe UI" w:hAnsi="Segoe UI" w:cs="Segoe UI"/>
        </w:rPr>
        <w:t>Review of financial hardship assistance for home care packages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To determine if thresholds need to be adjusted, Government undertake a review of rejected hardship applications for the home care program.</w:t>
      </w:r>
    </w:p>
    <w:p w:rsidR="00CE1469" w:rsidRPr="00F6415D" w:rsidRDefault="00CE1469" w:rsidP="00DC338F">
      <w:pPr>
        <w:pStyle w:val="Heading5"/>
        <w:rPr>
          <w:rFonts w:ascii="Segoe UI" w:hAnsi="Segoe UI" w:cs="Segoe UI"/>
        </w:rPr>
      </w:pPr>
      <w:r w:rsidRPr="00F6415D">
        <w:rPr>
          <w:rFonts w:ascii="Segoe UI" w:hAnsi="Segoe UI" w:cs="Segoe UI"/>
        </w:rPr>
        <w:t>Improving understanding of residential aged care accommodation payments</w:t>
      </w:r>
    </w:p>
    <w:p w:rsidR="00CE1469" w:rsidRPr="00F6415D" w:rsidRDefault="00CE1469" w:rsidP="00686BFA">
      <w:pPr>
        <w:pStyle w:val="ListParagraph"/>
        <w:numPr>
          <w:ilvl w:val="0"/>
          <w:numId w:val="37"/>
        </w:numPr>
        <w:suppressAutoHyphens/>
        <w:ind w:left="357" w:hanging="357"/>
        <w:contextualSpacing w:val="0"/>
        <w:jc w:val="both"/>
        <w:rPr>
          <w:rFonts w:ascii="Segoe UI" w:eastAsia="Times New Roman" w:hAnsi="Segoe UI" w:cs="Segoe UI"/>
        </w:rPr>
      </w:pPr>
      <w:r w:rsidRPr="00F6415D">
        <w:rPr>
          <w:rFonts w:ascii="Segoe UI" w:eastAsia="Times New Roman" w:hAnsi="Segoe UI" w:cs="Segoe UI"/>
        </w:rPr>
        <w:t>The Government should expand the information available on the My Aged Care website to provide clearer information to consumers in conjunction with the work being undertaken to improve the My Aged Care platform.</w:t>
      </w:r>
    </w:p>
    <w:p w:rsidR="00CE1469" w:rsidRPr="00F6415D" w:rsidRDefault="00CE1469" w:rsidP="00E2220D">
      <w:pPr>
        <w:pStyle w:val="BodyText"/>
        <w:keepNext/>
        <w:rPr>
          <w:rFonts w:ascii="Segoe UI" w:hAnsi="Segoe UI" w:cs="Segoe UI"/>
          <w:b/>
        </w:rPr>
      </w:pPr>
      <w:r w:rsidRPr="00F6415D">
        <w:rPr>
          <w:rFonts w:ascii="Segoe UI" w:hAnsi="Segoe UI" w:cs="Segoe UI"/>
          <w:b/>
        </w:rPr>
        <w:t>Improving understanding of additional service fees for residential aged care</w:t>
      </w:r>
    </w:p>
    <w:p w:rsidR="00CE1469" w:rsidRPr="00F6415D" w:rsidRDefault="00CE1469" w:rsidP="00686BFA">
      <w:pPr>
        <w:pStyle w:val="ListParagraph"/>
        <w:numPr>
          <w:ilvl w:val="0"/>
          <w:numId w:val="37"/>
        </w:numPr>
        <w:suppressAutoHyphens/>
        <w:ind w:left="357" w:hanging="357"/>
        <w:contextualSpacing w:val="0"/>
        <w:jc w:val="both"/>
        <w:rPr>
          <w:rFonts w:ascii="Segoe UI" w:eastAsia="Times New Roman" w:hAnsi="Segoe UI" w:cs="Segoe UI"/>
        </w:rPr>
      </w:pPr>
      <w:r w:rsidRPr="00F6415D">
        <w:rPr>
          <w:rFonts w:ascii="Segoe UI" w:eastAsia="Times New Roman" w:hAnsi="Segoe UI" w:cs="Segoe UI"/>
        </w:rPr>
        <w:t>Providers should be required to publish their additional service fees in the service finder available on the My Aged Care website and on their own website.</w:t>
      </w:r>
    </w:p>
    <w:p w:rsidR="00CE1469" w:rsidRPr="00F6415D" w:rsidRDefault="00CE1469" w:rsidP="00DC338F">
      <w:pPr>
        <w:pStyle w:val="Heading5"/>
        <w:rPr>
          <w:rFonts w:ascii="Segoe UI" w:hAnsi="Segoe UI" w:cs="Segoe UI"/>
        </w:rPr>
      </w:pPr>
      <w:r w:rsidRPr="00F6415D">
        <w:rPr>
          <w:rFonts w:ascii="Segoe UI" w:hAnsi="Segoe UI" w:cs="Segoe UI"/>
        </w:rPr>
        <w:t>Financial abuse and complaints processes</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Government agencies and states and territory governments should ensure that the work being undertaken to develop the National Plan to address elder abuse include aged care costs.</w:t>
      </w:r>
    </w:p>
    <w:p w:rsidR="00CE1469" w:rsidRPr="00F6415D" w:rsidRDefault="00CE1469" w:rsidP="00227EBF">
      <w:pPr>
        <w:pStyle w:val="Heading4"/>
        <w:numPr>
          <w:ilvl w:val="0"/>
          <w:numId w:val="0"/>
        </w:numPr>
        <w:ind w:left="964" w:hanging="964"/>
        <w:rPr>
          <w:rFonts w:ascii="Segoe UI" w:eastAsiaTheme="majorEastAsia" w:hAnsi="Segoe UI" w:cs="Segoe UI"/>
        </w:rPr>
      </w:pPr>
      <w:r w:rsidRPr="00F6415D">
        <w:rPr>
          <w:rFonts w:ascii="Segoe UI" w:eastAsiaTheme="majorEastAsia" w:hAnsi="Segoe UI" w:cs="Segoe UI"/>
        </w:rPr>
        <w:t>Advisors</w:t>
      </w:r>
    </w:p>
    <w:p w:rsidR="00CE1469" w:rsidRPr="00F6415D" w:rsidRDefault="00CE1469" w:rsidP="00DC338F">
      <w:pPr>
        <w:pStyle w:val="Heading5"/>
        <w:rPr>
          <w:rFonts w:ascii="Segoe UI" w:hAnsi="Segoe UI" w:cs="Segoe UI"/>
        </w:rPr>
      </w:pPr>
      <w:r w:rsidRPr="00F6415D">
        <w:rPr>
          <w:rFonts w:ascii="Segoe UI" w:hAnsi="Segoe UI" w:cs="Segoe UI"/>
        </w:rPr>
        <w:t>Expansion of Financial Information Service (FIS)</w:t>
      </w:r>
    </w:p>
    <w:p w:rsidR="00CE1469" w:rsidRPr="00F6415D" w:rsidRDefault="00CE1469" w:rsidP="00686BFA">
      <w:pPr>
        <w:pStyle w:val="ListParagraph"/>
        <w:numPr>
          <w:ilvl w:val="0"/>
          <w:numId w:val="37"/>
        </w:numPr>
        <w:suppressAutoHyphens/>
        <w:ind w:left="357" w:hanging="357"/>
        <w:contextualSpacing w:val="0"/>
        <w:jc w:val="both"/>
        <w:rPr>
          <w:rFonts w:ascii="Segoe UI" w:eastAsia="Times New Roman" w:hAnsi="Segoe UI" w:cs="Segoe UI"/>
        </w:rPr>
      </w:pPr>
      <w:r w:rsidRPr="00F6415D">
        <w:rPr>
          <w:rFonts w:ascii="Segoe UI" w:eastAsia="Times New Roman" w:hAnsi="Segoe UI" w:cs="Segoe UI"/>
        </w:rPr>
        <w:t>Pending the outcome of the trial of full time aged care FIS officers at DHS, ACFA recommends implementing and expanding this service.</w:t>
      </w:r>
    </w:p>
    <w:p w:rsidR="00CE1469" w:rsidRPr="00F6415D" w:rsidRDefault="00CE1469" w:rsidP="00DC338F">
      <w:pPr>
        <w:pStyle w:val="Heading5"/>
        <w:rPr>
          <w:rFonts w:ascii="Segoe UI" w:hAnsi="Segoe UI" w:cs="Segoe UI"/>
        </w:rPr>
      </w:pPr>
      <w:r w:rsidRPr="00F6415D">
        <w:rPr>
          <w:rFonts w:ascii="Segoe UI" w:hAnsi="Segoe UI" w:cs="Segoe UI"/>
        </w:rPr>
        <w:t>Ensuring financial planners are skilled to provide advice on aged care</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Government review licensing requirements for financial advisors and that aged care be available as a specific component of financial adviser training, education and accreditation.</w:t>
      </w:r>
    </w:p>
    <w:p w:rsidR="00CE1469" w:rsidRPr="00F6415D" w:rsidRDefault="00CE1469" w:rsidP="00686BFA">
      <w:pPr>
        <w:pStyle w:val="BodyText"/>
        <w:numPr>
          <w:ilvl w:val="0"/>
          <w:numId w:val="37"/>
        </w:numPr>
        <w:suppressAutoHyphens/>
        <w:spacing w:line="240" w:lineRule="auto"/>
        <w:ind w:left="357" w:hanging="357"/>
        <w:rPr>
          <w:rFonts w:ascii="Segoe UI" w:hAnsi="Segoe UI" w:cs="Segoe UI"/>
        </w:rPr>
      </w:pPr>
      <w:r w:rsidRPr="00F6415D">
        <w:rPr>
          <w:rFonts w:ascii="Segoe UI" w:hAnsi="Segoe UI" w:cs="Segoe UI"/>
        </w:rPr>
        <w:t xml:space="preserve">Consideration of the unique nature of aged care financial advice and licensing requirements, which should be done in conjunction with outcomes recommended </w:t>
      </w:r>
      <w:r w:rsidRPr="00F6415D">
        <w:rPr>
          <w:rFonts w:ascii="Segoe UI" w:hAnsi="Segoe UI" w:cs="Segoe UI"/>
        </w:rPr>
        <w:lastRenderedPageBreak/>
        <w:t>by the Royal Commission into Misconduct in the Banking, Superannuation and Financial Services Industry.</w:t>
      </w:r>
    </w:p>
    <w:p w:rsidR="00CE1469" w:rsidRPr="00F6415D" w:rsidRDefault="00CE1469" w:rsidP="00E2220D">
      <w:pPr>
        <w:pStyle w:val="Heading2"/>
        <w:rPr>
          <w:rFonts w:ascii="Segoe UI" w:hAnsi="Segoe UI" w:cs="Segoe UI"/>
        </w:rPr>
      </w:pPr>
      <w:bookmarkStart w:id="4" w:name="_Toc521426194"/>
      <w:bookmarkStart w:id="5" w:name="_Toc522190396"/>
      <w:bookmarkStart w:id="6" w:name="_Toc523408248"/>
      <w:bookmarkStart w:id="7" w:name="_Toc523482229"/>
      <w:bookmarkStart w:id="8" w:name="_Toc524605285"/>
      <w:bookmarkStart w:id="9" w:name="_Toc527561537"/>
      <w:bookmarkStart w:id="10" w:name="_Toc527564611"/>
      <w:bookmarkStart w:id="11" w:name="_Toc528224239"/>
      <w:bookmarkStart w:id="12" w:name="_Toc528861122"/>
      <w:bookmarkStart w:id="13" w:name="_Toc529890563"/>
      <w:bookmarkStart w:id="14" w:name="_Toc531271069"/>
      <w:bookmarkStart w:id="15" w:name="_Toc532206365"/>
      <w:bookmarkStart w:id="16" w:name="_Toc515464442"/>
      <w:r w:rsidRPr="00F6415D">
        <w:rPr>
          <w:rFonts w:ascii="Segoe UI" w:hAnsi="Segoe UI" w:cs="Segoe UI"/>
        </w:rPr>
        <w:lastRenderedPageBreak/>
        <w:t>Introduction</w:t>
      </w:r>
      <w:bookmarkEnd w:id="4"/>
      <w:bookmarkEnd w:id="5"/>
      <w:bookmarkEnd w:id="6"/>
      <w:bookmarkEnd w:id="7"/>
      <w:bookmarkEnd w:id="8"/>
      <w:bookmarkEnd w:id="9"/>
      <w:bookmarkEnd w:id="10"/>
      <w:bookmarkEnd w:id="11"/>
      <w:bookmarkEnd w:id="12"/>
      <w:bookmarkEnd w:id="13"/>
      <w:bookmarkEnd w:id="14"/>
      <w:bookmarkEnd w:id="15"/>
    </w:p>
    <w:p w:rsidR="00CE1469" w:rsidRPr="00F6415D" w:rsidRDefault="00CE1469" w:rsidP="00E2220D">
      <w:pPr>
        <w:pStyle w:val="Heading3"/>
        <w:rPr>
          <w:rFonts w:ascii="Segoe UI" w:hAnsi="Segoe UI" w:cs="Segoe UI"/>
        </w:rPr>
      </w:pPr>
      <w:bookmarkStart w:id="17" w:name="_Toc522190397"/>
      <w:bookmarkStart w:id="18" w:name="_Toc523408249"/>
      <w:bookmarkStart w:id="19" w:name="_Toc523482230"/>
      <w:bookmarkStart w:id="20" w:name="_Toc524605286"/>
      <w:bookmarkStart w:id="21" w:name="_Toc527561538"/>
      <w:bookmarkStart w:id="22" w:name="_Toc527564612"/>
      <w:bookmarkStart w:id="23" w:name="_Toc528224240"/>
      <w:bookmarkStart w:id="24" w:name="_Toc528861123"/>
      <w:bookmarkStart w:id="25" w:name="_Toc529890564"/>
      <w:bookmarkStart w:id="26" w:name="_Toc531271070"/>
      <w:bookmarkStart w:id="27" w:name="_Toc532206366"/>
      <w:r w:rsidRPr="00F6415D">
        <w:rPr>
          <w:rFonts w:ascii="Segoe UI" w:hAnsi="Segoe UI" w:cs="Segoe UI"/>
        </w:rPr>
        <w:t>The ACFA aged care consumer finance project</w:t>
      </w:r>
      <w:bookmarkEnd w:id="17"/>
      <w:bookmarkEnd w:id="18"/>
      <w:bookmarkEnd w:id="19"/>
      <w:bookmarkEnd w:id="20"/>
      <w:bookmarkEnd w:id="21"/>
      <w:bookmarkEnd w:id="22"/>
      <w:bookmarkEnd w:id="23"/>
      <w:bookmarkEnd w:id="24"/>
      <w:bookmarkEnd w:id="25"/>
      <w:bookmarkEnd w:id="26"/>
      <w:bookmarkEnd w:id="27"/>
    </w:p>
    <w:p w:rsidR="00CE1469" w:rsidRPr="00F6415D" w:rsidRDefault="00CE1469" w:rsidP="00E2220D">
      <w:pPr>
        <w:pStyle w:val="Heading4"/>
        <w:rPr>
          <w:rFonts w:ascii="Segoe UI" w:hAnsi="Segoe UI" w:cs="Segoe UI"/>
        </w:rPr>
      </w:pPr>
      <w:r w:rsidRPr="00F6415D">
        <w:rPr>
          <w:rFonts w:ascii="Segoe UI" w:hAnsi="Segoe UI" w:cs="Segoe UI"/>
        </w:rPr>
        <w:t>ACFA</w:t>
      </w:r>
    </w:p>
    <w:p w:rsidR="00CE1469" w:rsidRPr="00F6415D" w:rsidRDefault="00CE1469" w:rsidP="00E2220D">
      <w:pPr>
        <w:pStyle w:val="BodyText"/>
        <w:rPr>
          <w:rFonts w:ascii="Segoe UI" w:hAnsi="Segoe UI" w:cs="Segoe UI"/>
        </w:rPr>
      </w:pPr>
      <w:r w:rsidRPr="00F6415D">
        <w:rPr>
          <w:rFonts w:ascii="Segoe UI" w:hAnsi="Segoe UI" w:cs="Segoe UI"/>
        </w:rPr>
        <w:t>The Aged Care Financing Authority (ACFA) is an independent statutory committee whose role is to provide independent, transparent advice to the Australian Government on financing and funding issues in the aged care industry</w:t>
      </w:r>
      <w:r w:rsidR="00871CE0">
        <w:rPr>
          <w:rFonts w:ascii="Segoe UI" w:hAnsi="Segoe UI" w:cs="Segoe UI"/>
        </w:rPr>
        <w:t>.</w:t>
      </w:r>
    </w:p>
    <w:p w:rsidR="00CE1469" w:rsidRPr="00F6415D" w:rsidRDefault="00CE1469" w:rsidP="00E2220D">
      <w:pPr>
        <w:pStyle w:val="Heading4"/>
        <w:rPr>
          <w:rFonts w:ascii="Segoe UI" w:hAnsi="Segoe UI" w:cs="Segoe UI"/>
        </w:rPr>
      </w:pPr>
      <w:r w:rsidRPr="00F6415D">
        <w:rPr>
          <w:rFonts w:ascii="Segoe UI" w:hAnsi="Segoe UI" w:cs="Segoe UI"/>
        </w:rPr>
        <w:t>Terms of reference for the project</w:t>
      </w:r>
    </w:p>
    <w:p w:rsidR="00CE1469" w:rsidRPr="00F6415D" w:rsidRDefault="00CE1469" w:rsidP="00E2220D">
      <w:pPr>
        <w:pStyle w:val="BodyText"/>
        <w:rPr>
          <w:rFonts w:ascii="Segoe UI" w:hAnsi="Segoe UI" w:cs="Segoe UI"/>
        </w:rPr>
      </w:pPr>
      <w:bookmarkStart w:id="28" w:name="_Toc522190398"/>
      <w:bookmarkStart w:id="29" w:name="_Toc523408250"/>
      <w:bookmarkStart w:id="30" w:name="_Toc523482231"/>
      <w:bookmarkStart w:id="31" w:name="_Toc524605287"/>
      <w:r w:rsidRPr="00F6415D">
        <w:rPr>
          <w:rFonts w:ascii="Segoe UI" w:hAnsi="Segoe UI" w:cs="Segoe UI"/>
        </w:rPr>
        <w:t>The Minister for Senior Australians and Aged Care and Minister for Indigenous Health, the Hon Ken Wyatt AM, MP, tasked ACFA with providing a report on how consumers finance their aged care, including advice on whether there is scope to improve consumer support in making these important decisions.</w:t>
      </w:r>
    </w:p>
    <w:p w:rsidR="00CE1469" w:rsidRPr="00F6415D" w:rsidRDefault="00CE1469" w:rsidP="00E2220D">
      <w:pPr>
        <w:pStyle w:val="BodyText"/>
        <w:rPr>
          <w:rFonts w:ascii="Segoe UI" w:hAnsi="Segoe UI" w:cs="Segoe UI"/>
        </w:rPr>
      </w:pPr>
      <w:r w:rsidRPr="00F6415D">
        <w:rPr>
          <w:rFonts w:ascii="Segoe UI" w:hAnsi="Segoe UI" w:cs="Segoe UI"/>
        </w:rPr>
        <w:t>To answer these questions, ACFA reviewed the sources of information and support available to consumers as well as the financial products that could be used to assist in paying aged care costs and consulted with aged care providers, peak bodies and the financial services sector to understand their different perspectives, as well as surveying aged care consumers to understand their experiences.</w:t>
      </w:r>
    </w:p>
    <w:p w:rsidR="00CE1469" w:rsidRPr="00F6415D" w:rsidRDefault="00CE1469" w:rsidP="00E2220D">
      <w:pPr>
        <w:pStyle w:val="Heading4"/>
        <w:rPr>
          <w:rFonts w:ascii="Segoe UI" w:hAnsi="Segoe UI" w:cs="Segoe UI"/>
        </w:rPr>
      </w:pPr>
      <w:r w:rsidRPr="00F6415D">
        <w:rPr>
          <w:rFonts w:ascii="Segoe UI" w:hAnsi="Segoe UI" w:cs="Segoe UI"/>
        </w:rPr>
        <w:t>Project scope</w:t>
      </w:r>
      <w:bookmarkEnd w:id="28"/>
      <w:bookmarkEnd w:id="29"/>
      <w:bookmarkEnd w:id="30"/>
      <w:bookmarkEnd w:id="31"/>
    </w:p>
    <w:p w:rsidR="00CE1469" w:rsidRPr="00F6415D" w:rsidRDefault="00CE1469" w:rsidP="00E2220D">
      <w:pPr>
        <w:pStyle w:val="BodyText"/>
        <w:rPr>
          <w:rFonts w:ascii="Segoe UI" w:hAnsi="Segoe UI" w:cs="Segoe UI"/>
        </w:rPr>
      </w:pPr>
      <w:bookmarkStart w:id="32" w:name="_Toc528224241"/>
      <w:bookmarkStart w:id="33" w:name="_Toc528861124"/>
      <w:bookmarkStart w:id="34" w:name="_Toc529890565"/>
      <w:bookmarkStart w:id="35" w:name="_Toc522190399"/>
      <w:bookmarkStart w:id="36" w:name="_Toc523408251"/>
      <w:bookmarkStart w:id="37" w:name="_Toc523482232"/>
      <w:bookmarkStart w:id="38" w:name="_Toc524605289"/>
      <w:bookmarkStart w:id="39" w:name="_Toc527561539"/>
      <w:bookmarkStart w:id="40" w:name="_Toc527564613"/>
      <w:r w:rsidRPr="00F6415D">
        <w:rPr>
          <w:rFonts w:ascii="Segoe UI" w:hAnsi="Segoe UI" w:cs="Segoe UI"/>
        </w:rPr>
        <w:t>The project sought to answer two key questions:</w:t>
      </w:r>
    </w:p>
    <w:p w:rsidR="00CE1469" w:rsidRPr="00F6415D" w:rsidRDefault="00CE1469" w:rsidP="00E2220D">
      <w:pPr>
        <w:pStyle w:val="ListBullet"/>
        <w:rPr>
          <w:rFonts w:ascii="Segoe UI" w:hAnsi="Segoe UI" w:cs="Segoe UI"/>
        </w:rPr>
      </w:pPr>
      <w:r w:rsidRPr="00F6415D">
        <w:rPr>
          <w:rFonts w:ascii="Segoe UI" w:hAnsi="Segoe UI" w:cs="Segoe UI"/>
        </w:rPr>
        <w:t>How do consumers finance or pay for their aged care costs?</w:t>
      </w:r>
    </w:p>
    <w:p w:rsidR="00CE1469" w:rsidRPr="00F6415D" w:rsidRDefault="00CE1469" w:rsidP="00E2220D">
      <w:pPr>
        <w:pStyle w:val="ListBullet"/>
        <w:rPr>
          <w:rFonts w:ascii="Segoe UI" w:hAnsi="Segoe UI" w:cs="Segoe UI"/>
        </w:rPr>
      </w:pPr>
      <w:r w:rsidRPr="00F6415D">
        <w:rPr>
          <w:rFonts w:ascii="Segoe UI" w:hAnsi="Segoe UI" w:cs="Segoe UI"/>
        </w:rPr>
        <w:t>Is there scope to improve support for consumers making financial decisions in relation to their aged care costs?</w:t>
      </w:r>
    </w:p>
    <w:p w:rsidR="00CE1469" w:rsidRPr="00F6415D" w:rsidRDefault="00CE1469" w:rsidP="00E2220D">
      <w:pPr>
        <w:pStyle w:val="BodyText"/>
        <w:rPr>
          <w:rFonts w:ascii="Segoe UI" w:hAnsi="Segoe UI" w:cs="Segoe UI"/>
        </w:rPr>
      </w:pPr>
      <w:r w:rsidRPr="00F6415D">
        <w:rPr>
          <w:rFonts w:ascii="Segoe UI" w:hAnsi="Segoe UI" w:cs="Segoe UI"/>
        </w:rPr>
        <w:t>In addressing these key questions, a range of other questions and issues were considered:</w:t>
      </w:r>
    </w:p>
    <w:p w:rsidR="00CE1469" w:rsidRPr="00F6415D" w:rsidRDefault="00CE1469" w:rsidP="00E2220D">
      <w:pPr>
        <w:pStyle w:val="ListBullet"/>
        <w:rPr>
          <w:rFonts w:ascii="Segoe UI" w:hAnsi="Segoe UI" w:cs="Segoe UI"/>
        </w:rPr>
      </w:pPr>
      <w:r w:rsidRPr="00F6415D">
        <w:rPr>
          <w:rFonts w:ascii="Segoe UI" w:hAnsi="Segoe UI" w:cs="Segoe UI"/>
        </w:rPr>
        <w:t>To what extent do consumers plan and prepare for financing their future aged care needs?</w:t>
      </w:r>
    </w:p>
    <w:p w:rsidR="00CE1469" w:rsidRPr="00F6415D" w:rsidRDefault="00CE1469" w:rsidP="00E2220D">
      <w:pPr>
        <w:pStyle w:val="ListBullet"/>
        <w:rPr>
          <w:rFonts w:ascii="Segoe UI" w:hAnsi="Segoe UI" w:cs="Segoe UI"/>
        </w:rPr>
      </w:pPr>
      <w:r w:rsidRPr="00F6415D">
        <w:rPr>
          <w:rFonts w:ascii="Segoe UI" w:hAnsi="Segoe UI" w:cs="Segoe UI"/>
        </w:rPr>
        <w:t>Do consumers make sacrifices in relation to aged care costs, either:</w:t>
      </w:r>
    </w:p>
    <w:p w:rsidR="00CE1469" w:rsidRPr="00F6415D" w:rsidRDefault="00CE1469" w:rsidP="00E2220D">
      <w:pPr>
        <w:pStyle w:val="ListBullet2"/>
        <w:rPr>
          <w:rFonts w:ascii="Segoe UI" w:hAnsi="Segoe UI" w:cs="Segoe UI"/>
        </w:rPr>
      </w:pPr>
      <w:r w:rsidRPr="00F6415D">
        <w:rPr>
          <w:rFonts w:ascii="Segoe UI" w:hAnsi="Segoe UI" w:cs="Segoe UI"/>
        </w:rPr>
        <w:t>compromising on their aged care because of the cost; or</w:t>
      </w:r>
    </w:p>
    <w:p w:rsidR="00CE1469" w:rsidRPr="00F6415D" w:rsidRDefault="00CE1469" w:rsidP="00E2220D">
      <w:pPr>
        <w:pStyle w:val="ListBullet2"/>
        <w:rPr>
          <w:rFonts w:ascii="Segoe UI" w:hAnsi="Segoe UI" w:cs="Segoe UI"/>
        </w:rPr>
      </w:pPr>
      <w:r w:rsidRPr="00F6415D">
        <w:rPr>
          <w:rFonts w:ascii="Segoe UI" w:hAnsi="Segoe UI" w:cs="Segoe UI"/>
        </w:rPr>
        <w:t>making sacrifices elsewhere in order to pay for their aged care?</w:t>
      </w:r>
    </w:p>
    <w:p w:rsidR="00CE1469" w:rsidRPr="00F6415D" w:rsidRDefault="00CE1469" w:rsidP="00E2220D">
      <w:pPr>
        <w:pStyle w:val="ListBullet"/>
        <w:rPr>
          <w:rFonts w:ascii="Segoe UI" w:hAnsi="Segoe UI" w:cs="Segoe UI"/>
        </w:rPr>
      </w:pPr>
      <w:r w:rsidRPr="00F6415D">
        <w:rPr>
          <w:rFonts w:ascii="Segoe UI" w:hAnsi="Segoe UI" w:cs="Segoe UI"/>
        </w:rPr>
        <w:t>What sources of information and support are available to support financial decision making in relation to aged care?</w:t>
      </w:r>
    </w:p>
    <w:p w:rsidR="00CE1469" w:rsidRPr="00F6415D" w:rsidRDefault="00CE1469" w:rsidP="00E2220D">
      <w:pPr>
        <w:pStyle w:val="ListBullet"/>
        <w:rPr>
          <w:rFonts w:ascii="Segoe UI" w:hAnsi="Segoe UI" w:cs="Segoe UI"/>
        </w:rPr>
      </w:pPr>
      <w:r w:rsidRPr="00F6415D">
        <w:rPr>
          <w:rFonts w:ascii="Segoe UI" w:hAnsi="Segoe UI" w:cs="Segoe UI"/>
        </w:rPr>
        <w:t>What financial products are available that can be used to fund aged care costs?</w:t>
      </w:r>
    </w:p>
    <w:p w:rsidR="00CE1469" w:rsidRPr="00F6415D" w:rsidRDefault="00CE1469" w:rsidP="00E2220D">
      <w:pPr>
        <w:pStyle w:val="ListBullet"/>
        <w:rPr>
          <w:rFonts w:ascii="Segoe UI" w:hAnsi="Segoe UI" w:cs="Segoe UI"/>
        </w:rPr>
      </w:pPr>
      <w:r w:rsidRPr="00F6415D">
        <w:rPr>
          <w:rFonts w:ascii="Segoe UI" w:hAnsi="Segoe UI" w:cs="Segoe UI"/>
        </w:rPr>
        <w:t>What factors might influence consumers’ financial decision-making in relation to aged care (e.g. family situation, lifestyle considerations)?</w:t>
      </w:r>
    </w:p>
    <w:p w:rsidR="00CE1469" w:rsidRPr="00F6415D" w:rsidRDefault="00CE1469" w:rsidP="00E2220D">
      <w:pPr>
        <w:pStyle w:val="BodyText"/>
        <w:rPr>
          <w:rFonts w:ascii="Segoe UI" w:hAnsi="Segoe UI" w:cs="Segoe UI"/>
        </w:rPr>
      </w:pPr>
      <w:r w:rsidRPr="00F6415D">
        <w:rPr>
          <w:rFonts w:ascii="Segoe UI" w:hAnsi="Segoe UI" w:cs="Segoe UI"/>
        </w:rPr>
        <w:t xml:space="preserve">In considering these questions, this report focuses primarily on how consumers of Australian Government funded aged care programs finance the costs of their aged care (i.e. the fees and charges they can be asked to pay under the different </w:t>
      </w:r>
      <w:r w:rsidRPr="00F6415D">
        <w:rPr>
          <w:rFonts w:ascii="Segoe UI" w:hAnsi="Segoe UI" w:cs="Segoe UI"/>
        </w:rPr>
        <w:lastRenderedPageBreak/>
        <w:t>programs). This includes current consumers and people who expect to use Australian Government funded aged care in the next one to five years.</w:t>
      </w:r>
    </w:p>
    <w:p w:rsidR="00CE1469" w:rsidRPr="00F6415D" w:rsidRDefault="00CE1469" w:rsidP="00E2220D">
      <w:pPr>
        <w:pStyle w:val="BodyText"/>
        <w:rPr>
          <w:rFonts w:ascii="Segoe UI" w:hAnsi="Segoe UI" w:cs="Segoe UI"/>
        </w:rPr>
      </w:pPr>
      <w:r w:rsidRPr="00F6415D">
        <w:rPr>
          <w:rFonts w:ascii="Segoe UI" w:hAnsi="Segoe UI" w:cs="Segoe UI"/>
        </w:rPr>
        <w:t>The costs of privately funded aged care e.g. nursing care, personal and domestic assistance, accessed outside Australian Government funded programs are also considered, although more in terms of the role privately funded care might play in consumers’ financial decision making about aged care more broadly.</w:t>
      </w:r>
    </w:p>
    <w:p w:rsidR="00CE1469" w:rsidRPr="00F6415D" w:rsidRDefault="00CE1469" w:rsidP="00E2220D">
      <w:pPr>
        <w:pStyle w:val="BodyText"/>
        <w:rPr>
          <w:rFonts w:ascii="Segoe UI" w:hAnsi="Segoe UI" w:cs="Segoe UI"/>
        </w:rPr>
      </w:pPr>
      <w:r w:rsidRPr="00F6415D">
        <w:rPr>
          <w:rFonts w:ascii="Segoe UI" w:hAnsi="Segoe UI" w:cs="Segoe UI"/>
        </w:rPr>
        <w:t xml:space="preserve">The project did not consider how consumers finance other costs associated with ageing or living in retirement, such as fees for retirement villages or the cost associated with staying healthy, although it did consider how these types of costs might impact consumers’ decision-making and capacity to finance their aged care or alternative care options. </w:t>
      </w:r>
    </w:p>
    <w:p w:rsidR="00CE1469" w:rsidRPr="00F6415D" w:rsidRDefault="00CE1469" w:rsidP="00E2220D">
      <w:pPr>
        <w:pStyle w:val="Heading3"/>
        <w:rPr>
          <w:rFonts w:ascii="Segoe UI" w:hAnsi="Segoe UI" w:cs="Segoe UI"/>
        </w:rPr>
      </w:pPr>
      <w:bookmarkStart w:id="41" w:name="_Toc531271071"/>
      <w:bookmarkStart w:id="42" w:name="_Toc532206367"/>
      <w:r w:rsidRPr="00F6415D">
        <w:rPr>
          <w:rFonts w:ascii="Segoe UI" w:hAnsi="Segoe UI" w:cs="Segoe UI"/>
        </w:rPr>
        <w:t>The need for this project</w:t>
      </w:r>
      <w:bookmarkEnd w:id="32"/>
      <w:bookmarkEnd w:id="33"/>
      <w:bookmarkEnd w:id="34"/>
      <w:bookmarkEnd w:id="41"/>
      <w:bookmarkEnd w:id="42"/>
      <w:r w:rsidRPr="00F6415D">
        <w:rPr>
          <w:rFonts w:ascii="Segoe UI" w:hAnsi="Segoe UI" w:cs="Segoe UI"/>
        </w:rPr>
        <w:t xml:space="preserve"> </w:t>
      </w:r>
      <w:bookmarkEnd w:id="35"/>
      <w:bookmarkEnd w:id="36"/>
      <w:bookmarkEnd w:id="37"/>
      <w:bookmarkEnd w:id="38"/>
      <w:bookmarkEnd w:id="39"/>
      <w:bookmarkEnd w:id="40"/>
    </w:p>
    <w:p w:rsidR="00CE1469" w:rsidRPr="00F6415D" w:rsidRDefault="00CE1469" w:rsidP="00E2220D">
      <w:pPr>
        <w:pStyle w:val="BodyText"/>
        <w:rPr>
          <w:rFonts w:ascii="Segoe UI" w:hAnsi="Segoe UI" w:cs="Segoe UI"/>
        </w:rPr>
      </w:pPr>
      <w:bookmarkStart w:id="43" w:name="_Toc522190401"/>
      <w:bookmarkStart w:id="44" w:name="_Toc523408253"/>
      <w:bookmarkStart w:id="45" w:name="_Toc523482234"/>
      <w:bookmarkStart w:id="46" w:name="_Toc524605288"/>
      <w:bookmarkStart w:id="47" w:name="_Toc527561540"/>
      <w:bookmarkStart w:id="48" w:name="_Toc527564614"/>
      <w:bookmarkStart w:id="49" w:name="_Toc528224242"/>
      <w:bookmarkStart w:id="50" w:name="_Toc528861125"/>
      <w:bookmarkStart w:id="51" w:name="_Toc529890566"/>
      <w:r w:rsidRPr="00F6415D">
        <w:rPr>
          <w:rFonts w:ascii="Segoe UI" w:hAnsi="Segoe UI" w:cs="Segoe UI"/>
        </w:rPr>
        <w:t>Aged care is inherently complex for consumers and expensive for the Australian Government and senior Australians. Yet, we know anecdotally that for a range of reasons many people do not plan for the cost of their aged care and are confronted with making significant financial decisions at a moment’s notice, with limited resources.</w:t>
      </w:r>
    </w:p>
    <w:p w:rsidR="00CE1469" w:rsidRPr="00F6415D" w:rsidRDefault="00CE1469" w:rsidP="00DC338F">
      <w:pPr>
        <w:pStyle w:val="Quote"/>
        <w:rPr>
          <w:rFonts w:ascii="Segoe UI" w:hAnsi="Segoe UI"/>
        </w:rPr>
      </w:pPr>
      <w:r w:rsidRPr="00F6415D">
        <w:rPr>
          <w:rFonts w:ascii="Segoe UI" w:hAnsi="Segoe UI"/>
        </w:rPr>
        <w:t>‘Most aged care planning takes place in the hospital car park.’</w:t>
      </w:r>
      <w:r w:rsidRPr="00F6415D">
        <w:rPr>
          <w:rStyle w:val="EndnoteReference"/>
          <w:rFonts w:ascii="Segoe UI" w:hAnsi="Segoe UI"/>
        </w:rPr>
        <w:t>1</w:t>
      </w:r>
    </w:p>
    <w:p w:rsidR="00CE1469" w:rsidRPr="00F6415D" w:rsidRDefault="00CE1469" w:rsidP="00E2220D">
      <w:pPr>
        <w:pStyle w:val="BodyText"/>
        <w:rPr>
          <w:rFonts w:ascii="Segoe UI" w:hAnsi="Segoe UI" w:cs="Segoe UI"/>
        </w:rPr>
      </w:pPr>
      <w:r w:rsidRPr="00F6415D">
        <w:rPr>
          <w:rFonts w:ascii="Segoe UI" w:hAnsi="Segoe UI" w:cs="Segoe UI"/>
        </w:rPr>
        <w:t>Determining how people pay for their aged care, and the extent to which people plan for that event, will allow steps to be taken to improve people’s awareness and preparedness for this eventuality.</w:t>
      </w:r>
    </w:p>
    <w:p w:rsidR="00CE1469" w:rsidRPr="00F6415D" w:rsidRDefault="00CE1469" w:rsidP="001104E6">
      <w:pPr>
        <w:pStyle w:val="BodyText"/>
        <w:rPr>
          <w:rFonts w:ascii="Segoe UI" w:hAnsi="Segoe UI" w:cs="Segoe UI"/>
        </w:rPr>
      </w:pPr>
      <w:r w:rsidRPr="00F6415D">
        <w:rPr>
          <w:rFonts w:ascii="Segoe UI" w:hAnsi="Segoe UI" w:cs="Segoe UI"/>
        </w:rPr>
        <w:t xml:space="preserve">Furthermore, the ageing of the Australian population and longer life expectancy will result in a significant increase in the number and proportion of Australians needing aged care. As noted in the </w:t>
      </w:r>
      <w:r w:rsidRPr="00F6415D">
        <w:rPr>
          <w:rFonts w:ascii="Segoe UI" w:hAnsi="Segoe UI" w:cs="Segoe UI"/>
          <w:i/>
        </w:rPr>
        <w:t>2018 ACFA Annual Report</w:t>
      </w:r>
      <w:r w:rsidRPr="00F6415D">
        <w:rPr>
          <w:rFonts w:ascii="Segoe UI" w:hAnsi="Segoe UI" w:cs="Segoe UI"/>
        </w:rPr>
        <w:t>, over the next 20 years, Australia will see the population size of the 70 years and over cohort increase by around one million people each decade</w:t>
      </w:r>
      <w:r w:rsidR="001B5BED" w:rsidRPr="00F6415D">
        <w:rPr>
          <w:rFonts w:ascii="Segoe UI" w:hAnsi="Segoe UI" w:cs="Segoe UI"/>
        </w:rPr>
        <w:t xml:space="preserve">. </w:t>
      </w:r>
      <w:r w:rsidRPr="00F6415D">
        <w:rPr>
          <w:rFonts w:ascii="Segoe UI" w:hAnsi="Segoe UI" w:cs="Segoe UI"/>
        </w:rPr>
        <w:t xml:space="preserve">The 85 years and over cohort will increase from just under 500,000 people in 2018 to just over one million people by 2038. </w:t>
      </w:r>
    </w:p>
    <w:p w:rsidR="00CE1469" w:rsidRPr="00F6415D" w:rsidRDefault="00CE1469" w:rsidP="001104E6">
      <w:pPr>
        <w:pStyle w:val="BodyText"/>
        <w:rPr>
          <w:rFonts w:ascii="Segoe UI" w:hAnsi="Segoe UI" w:cs="Segoe UI"/>
        </w:rPr>
      </w:pPr>
      <w:r w:rsidRPr="00F6415D">
        <w:rPr>
          <w:rFonts w:ascii="Segoe UI" w:hAnsi="Segoe UI" w:cs="Segoe UI"/>
        </w:rPr>
        <w:t xml:space="preserve">The </w:t>
      </w:r>
      <w:r w:rsidRPr="00F6415D">
        <w:rPr>
          <w:rFonts w:ascii="Segoe UI" w:hAnsi="Segoe UI" w:cs="Segoe UI"/>
          <w:i/>
        </w:rPr>
        <w:t>ACFA Annual Report</w:t>
      </w:r>
      <w:r w:rsidRPr="00F6415D">
        <w:rPr>
          <w:rFonts w:ascii="Segoe UI" w:hAnsi="Segoe UI" w:cs="Segoe UI"/>
        </w:rPr>
        <w:t xml:space="preserve"> also reported that at age 70, the probability of entering residential aged care in their lifetime is around 54 per cent for females compared with around 40 per cent for males. The probability of a consumer entering residential aged care gradually increases up to around age 85 as they experience more immediate aged care needs.</w:t>
      </w:r>
    </w:p>
    <w:p w:rsidR="00CE1469" w:rsidRPr="00F6415D" w:rsidRDefault="00CE1469" w:rsidP="001104E6">
      <w:pPr>
        <w:pStyle w:val="BodyText"/>
        <w:rPr>
          <w:rFonts w:ascii="Segoe UI" w:hAnsi="Segoe UI" w:cs="Segoe UI"/>
        </w:rPr>
      </w:pPr>
      <w:r w:rsidRPr="00F6415D">
        <w:rPr>
          <w:rFonts w:ascii="Segoe UI" w:hAnsi="Segoe UI" w:cs="Segoe UI"/>
        </w:rPr>
        <w:t xml:space="preserve">This rapid expansion in the number of older people, particularly in the oldest age groups, will result in a marked increase in demand for aged care services. While the Australian Government is the principal funder of aged care, consumers also make significant contributions towards the cost of their aged care and will play an integral role in the long term sustainability of the aged care system. </w:t>
      </w:r>
    </w:p>
    <w:p w:rsidR="00CE1469" w:rsidRPr="00F6415D" w:rsidRDefault="00CE1469" w:rsidP="001104E6">
      <w:pPr>
        <w:pStyle w:val="BodyText"/>
        <w:rPr>
          <w:rFonts w:ascii="Segoe UI" w:hAnsi="Segoe UI" w:cs="Segoe UI"/>
        </w:rPr>
      </w:pPr>
      <w:r w:rsidRPr="00F6415D">
        <w:rPr>
          <w:rFonts w:ascii="Segoe UI" w:hAnsi="Segoe UI" w:cs="Segoe UI"/>
        </w:rPr>
        <w:t>To deliver the care that aged consumers need and desire into the future, it is critical that the aged care sector is financially viable and sustainable. All stakeholders – Government, providers and consumers – have a key role in contributing to this objective</w:t>
      </w:r>
      <w:r w:rsidR="001B5BED" w:rsidRPr="00F6415D">
        <w:rPr>
          <w:rFonts w:ascii="Segoe UI" w:hAnsi="Segoe UI" w:cs="Segoe UI"/>
        </w:rPr>
        <w:t xml:space="preserve">. </w:t>
      </w:r>
    </w:p>
    <w:p w:rsidR="00CE1469" w:rsidRPr="00F6415D" w:rsidRDefault="00CE1469" w:rsidP="001104E6">
      <w:pPr>
        <w:pStyle w:val="BodyText"/>
        <w:rPr>
          <w:rFonts w:ascii="Segoe UI" w:hAnsi="Segoe UI" w:cs="Segoe UI"/>
        </w:rPr>
      </w:pPr>
      <w:r w:rsidRPr="00F6415D">
        <w:rPr>
          <w:rFonts w:ascii="Segoe UI" w:hAnsi="Segoe UI" w:cs="Segoe UI"/>
        </w:rPr>
        <w:t xml:space="preserve">For consumers to contribute to this objective, there is need for wider recognition that sustainable aged care funding arrangements will require those consumers who can </w:t>
      </w:r>
      <w:r w:rsidRPr="00F6415D">
        <w:rPr>
          <w:rFonts w:ascii="Segoe UI" w:hAnsi="Segoe UI" w:cs="Segoe UI"/>
        </w:rPr>
        <w:lastRenderedPageBreak/>
        <w:t xml:space="preserve">afford to make a greater financial contribution towards their care costs to do so, complemented by greater choice of higher quality services. To understand which consumers can afford to make a greater financial contribution, it is necessary to comprehend how consumers currently pay for their aged care and if there are any areas of concern. </w:t>
      </w:r>
    </w:p>
    <w:p w:rsidR="00CE1469" w:rsidRPr="00F6415D" w:rsidRDefault="00CE1469" w:rsidP="001104E6">
      <w:pPr>
        <w:pStyle w:val="BodyText"/>
        <w:rPr>
          <w:rFonts w:ascii="Segoe UI" w:hAnsi="Segoe UI" w:cs="Segoe UI"/>
        </w:rPr>
      </w:pPr>
      <w:r w:rsidRPr="00F6415D">
        <w:rPr>
          <w:rFonts w:ascii="Segoe UI" w:hAnsi="Segoe UI" w:cs="Segoe UI"/>
        </w:rPr>
        <w:t>With such a significant number of people requiring aged care it is also important to have a sector that is efficient, effective and responsive. Having a more informed and better supported consumer will contribute to that objective.</w:t>
      </w:r>
    </w:p>
    <w:p w:rsidR="00CE1469" w:rsidRPr="00F6415D" w:rsidRDefault="00CE1469" w:rsidP="00E2220D">
      <w:pPr>
        <w:pStyle w:val="Heading3"/>
        <w:rPr>
          <w:rFonts w:ascii="Segoe UI" w:hAnsi="Segoe UI" w:cs="Segoe UI"/>
        </w:rPr>
      </w:pPr>
      <w:bookmarkStart w:id="52" w:name="_Toc531271072"/>
      <w:bookmarkStart w:id="53" w:name="_Toc532206368"/>
      <w:r w:rsidRPr="00F6415D">
        <w:rPr>
          <w:rFonts w:ascii="Segoe UI" w:hAnsi="Segoe UI" w:cs="Segoe UI"/>
        </w:rPr>
        <w:t>Research objectives and methodology</w:t>
      </w:r>
      <w:bookmarkEnd w:id="43"/>
      <w:bookmarkEnd w:id="44"/>
      <w:bookmarkEnd w:id="45"/>
      <w:bookmarkEnd w:id="46"/>
      <w:bookmarkEnd w:id="47"/>
      <w:bookmarkEnd w:id="48"/>
      <w:bookmarkEnd w:id="49"/>
      <w:bookmarkEnd w:id="50"/>
      <w:bookmarkEnd w:id="51"/>
      <w:bookmarkEnd w:id="52"/>
      <w:bookmarkEnd w:id="53"/>
    </w:p>
    <w:p w:rsidR="00CE1469" w:rsidRPr="00F6415D" w:rsidRDefault="00CE1469" w:rsidP="00E2220D">
      <w:pPr>
        <w:pStyle w:val="Heading4"/>
        <w:rPr>
          <w:rFonts w:ascii="Segoe UI" w:hAnsi="Segoe UI" w:cs="Segoe UI"/>
        </w:rPr>
      </w:pPr>
      <w:r w:rsidRPr="00F6415D">
        <w:rPr>
          <w:rFonts w:ascii="Segoe UI" w:hAnsi="Segoe UI" w:cs="Segoe UI"/>
        </w:rPr>
        <w:t>Stakeholder consultation (qualitative research)</w:t>
      </w:r>
    </w:p>
    <w:p w:rsidR="00CE1469" w:rsidRPr="00F6415D" w:rsidRDefault="00CE1469" w:rsidP="001104E6">
      <w:pPr>
        <w:pStyle w:val="BodyText"/>
        <w:rPr>
          <w:rFonts w:ascii="Segoe UI" w:hAnsi="Segoe UI" w:cs="Segoe UI"/>
        </w:rPr>
      </w:pPr>
      <w:r w:rsidRPr="00F6415D">
        <w:rPr>
          <w:rFonts w:ascii="Segoe UI" w:hAnsi="Segoe UI" w:cs="Segoe UI"/>
        </w:rPr>
        <w:t xml:space="preserve">The initial qualitative research was undertaken by KPMG, on behalf of ACFA via stakeholder consultations in May and June 2018 to explore the relevant contextual factors that influence senior Australians’ decision making around financing their aged care needs. </w:t>
      </w:r>
    </w:p>
    <w:p w:rsidR="00CE1469" w:rsidRPr="00F6415D" w:rsidRDefault="00CE1469" w:rsidP="001104E6">
      <w:pPr>
        <w:pStyle w:val="BodyText"/>
        <w:rPr>
          <w:rFonts w:ascii="Segoe UI" w:hAnsi="Segoe UI" w:cs="Segoe UI"/>
        </w:rPr>
      </w:pPr>
      <w:r w:rsidRPr="00F6415D">
        <w:rPr>
          <w:rFonts w:ascii="Segoe UI" w:hAnsi="Segoe UI" w:cs="Segoe UI"/>
          <w:lang w:val="en-US"/>
        </w:rPr>
        <w:t>Consultations were conducted with a range of stakeholders across the aged care and financial services industry, including:</w:t>
      </w:r>
    </w:p>
    <w:p w:rsidR="00CE1469" w:rsidRPr="00F6415D" w:rsidRDefault="00CE1469" w:rsidP="001104E6">
      <w:pPr>
        <w:pStyle w:val="ListBullet"/>
        <w:rPr>
          <w:rFonts w:ascii="Segoe UI" w:hAnsi="Segoe UI" w:cs="Segoe UI"/>
        </w:rPr>
      </w:pPr>
      <w:r w:rsidRPr="00F6415D">
        <w:rPr>
          <w:rFonts w:ascii="Segoe UI" w:hAnsi="Segoe UI" w:cs="Segoe UI"/>
        </w:rPr>
        <w:t>consumer representative organisations</w:t>
      </w:r>
    </w:p>
    <w:p w:rsidR="00CE1469" w:rsidRPr="00F6415D" w:rsidRDefault="00CE1469" w:rsidP="001104E6">
      <w:pPr>
        <w:pStyle w:val="ListBullet"/>
        <w:rPr>
          <w:rFonts w:ascii="Segoe UI" w:hAnsi="Segoe UI" w:cs="Segoe UI"/>
        </w:rPr>
      </w:pPr>
      <w:r w:rsidRPr="00F6415D">
        <w:rPr>
          <w:rFonts w:ascii="Segoe UI" w:hAnsi="Segoe UI" w:cs="Segoe UI"/>
        </w:rPr>
        <w:t>consumer focus groups</w:t>
      </w:r>
    </w:p>
    <w:p w:rsidR="00CE1469" w:rsidRPr="00F6415D" w:rsidRDefault="00CE1469" w:rsidP="001104E6">
      <w:pPr>
        <w:pStyle w:val="ListBullet"/>
        <w:rPr>
          <w:rFonts w:ascii="Segoe UI" w:hAnsi="Segoe UI" w:cs="Segoe UI"/>
        </w:rPr>
      </w:pPr>
      <w:r w:rsidRPr="00F6415D">
        <w:rPr>
          <w:rFonts w:ascii="Segoe UI" w:hAnsi="Segoe UI" w:cs="Segoe UI"/>
        </w:rPr>
        <w:t>placement agencies</w:t>
      </w:r>
    </w:p>
    <w:p w:rsidR="00CE1469" w:rsidRPr="00F6415D" w:rsidRDefault="00CE1469" w:rsidP="001104E6">
      <w:pPr>
        <w:pStyle w:val="ListBullet"/>
        <w:rPr>
          <w:rFonts w:ascii="Segoe UI" w:hAnsi="Segoe UI" w:cs="Segoe UI"/>
        </w:rPr>
      </w:pPr>
      <w:r w:rsidRPr="00F6415D">
        <w:rPr>
          <w:rFonts w:ascii="Segoe UI" w:hAnsi="Segoe UI" w:cs="Segoe UI"/>
        </w:rPr>
        <w:t>aged care industry peaks</w:t>
      </w:r>
    </w:p>
    <w:p w:rsidR="00CE1469" w:rsidRPr="00F6415D" w:rsidRDefault="00CE1469" w:rsidP="001104E6">
      <w:pPr>
        <w:pStyle w:val="ListBullet"/>
        <w:rPr>
          <w:rFonts w:ascii="Segoe UI" w:hAnsi="Segoe UI" w:cs="Segoe UI"/>
        </w:rPr>
      </w:pPr>
      <w:r w:rsidRPr="00F6415D">
        <w:rPr>
          <w:rFonts w:ascii="Segoe UI" w:hAnsi="Segoe UI" w:cs="Segoe UI"/>
        </w:rPr>
        <w:t>aged care providers</w:t>
      </w:r>
    </w:p>
    <w:p w:rsidR="00CE1469" w:rsidRPr="00F6415D" w:rsidRDefault="00CE1469" w:rsidP="001104E6">
      <w:pPr>
        <w:pStyle w:val="ListBullet"/>
        <w:rPr>
          <w:rFonts w:ascii="Segoe UI" w:hAnsi="Segoe UI" w:cs="Segoe UI"/>
        </w:rPr>
      </w:pPr>
      <w:r w:rsidRPr="00F6415D">
        <w:rPr>
          <w:rFonts w:ascii="Segoe UI" w:hAnsi="Segoe UI" w:cs="Segoe UI"/>
        </w:rPr>
        <w:t>financial institutions, insurers and financial advisors</w:t>
      </w:r>
    </w:p>
    <w:p w:rsidR="00CE1469" w:rsidRPr="00F6415D" w:rsidRDefault="00CE1469" w:rsidP="001104E6">
      <w:pPr>
        <w:pStyle w:val="ListBullet"/>
        <w:rPr>
          <w:rFonts w:ascii="Segoe UI" w:hAnsi="Segoe UI" w:cs="Segoe UI"/>
        </w:rPr>
      </w:pPr>
      <w:r w:rsidRPr="00F6415D">
        <w:rPr>
          <w:rFonts w:ascii="Segoe UI" w:hAnsi="Segoe UI" w:cs="Segoe UI"/>
        </w:rPr>
        <w:t>departmental representatives</w:t>
      </w:r>
    </w:p>
    <w:p w:rsidR="00CE1469" w:rsidRPr="00F6415D" w:rsidRDefault="00CE1469" w:rsidP="001104E6">
      <w:pPr>
        <w:pStyle w:val="ListBullet"/>
        <w:rPr>
          <w:rFonts w:ascii="Segoe UI" w:hAnsi="Segoe UI" w:cs="Segoe UI"/>
        </w:rPr>
      </w:pPr>
      <w:r w:rsidRPr="00F6415D">
        <w:rPr>
          <w:rFonts w:ascii="Segoe UI" w:hAnsi="Segoe UI" w:cs="Segoe UI"/>
        </w:rPr>
        <w:t>other key industry stakeholders.</w:t>
      </w:r>
    </w:p>
    <w:p w:rsidR="00CE1469" w:rsidRPr="00F6415D" w:rsidRDefault="00CE1469" w:rsidP="001104E6">
      <w:pPr>
        <w:pStyle w:val="BodyText"/>
        <w:rPr>
          <w:rFonts w:ascii="Segoe UI" w:hAnsi="Segoe UI" w:cs="Segoe UI"/>
        </w:rPr>
      </w:pPr>
      <w:r w:rsidRPr="00F6415D">
        <w:rPr>
          <w:rFonts w:ascii="Segoe UI" w:hAnsi="Segoe UI" w:cs="Segoe UI"/>
        </w:rPr>
        <w:t xml:space="preserve">The consultations were semi-structured to guide participants whilst allowing for broad exploration of questions and observations. Consultation guides, tailored for each audience, were used to guide discussions. </w:t>
      </w:r>
    </w:p>
    <w:p w:rsidR="00CE1469" w:rsidRPr="00F6415D" w:rsidRDefault="00CE1469" w:rsidP="001104E6">
      <w:pPr>
        <w:pStyle w:val="BodyText"/>
        <w:rPr>
          <w:rFonts w:ascii="Segoe UI" w:hAnsi="Segoe UI" w:cs="Segoe UI"/>
        </w:rPr>
      </w:pPr>
      <w:r w:rsidRPr="00F6415D">
        <w:rPr>
          <w:rFonts w:ascii="Segoe UI" w:hAnsi="Segoe UI" w:cs="Segoe UI"/>
          <w:lang w:val="en-US"/>
        </w:rPr>
        <w:t>The consultations sought to understand:</w:t>
      </w:r>
    </w:p>
    <w:p w:rsidR="00CE1469" w:rsidRPr="00F6415D" w:rsidRDefault="00CE1469" w:rsidP="001104E6">
      <w:pPr>
        <w:pStyle w:val="ListBullet"/>
        <w:rPr>
          <w:rFonts w:ascii="Segoe UI" w:hAnsi="Segoe UI" w:cs="Segoe UI"/>
        </w:rPr>
      </w:pPr>
      <w:r w:rsidRPr="00F6415D">
        <w:rPr>
          <w:rFonts w:ascii="Segoe UI" w:hAnsi="Segoe UI" w:cs="Segoe UI"/>
        </w:rPr>
        <w:t>how consumers prepare/plan to fund, and in turn actually fund, their aged care</w:t>
      </w:r>
    </w:p>
    <w:p w:rsidR="00CE1469" w:rsidRPr="00F6415D" w:rsidRDefault="00CE1469" w:rsidP="001104E6">
      <w:pPr>
        <w:pStyle w:val="ListBullet"/>
        <w:rPr>
          <w:rFonts w:ascii="Segoe UI" w:hAnsi="Segoe UI" w:cs="Segoe UI"/>
        </w:rPr>
      </w:pPr>
      <w:r w:rsidRPr="00F6415D">
        <w:rPr>
          <w:rFonts w:ascii="Segoe UI" w:hAnsi="Segoe UI" w:cs="Segoe UI"/>
        </w:rPr>
        <w:t>whether costs are a barrier to accessing care</w:t>
      </w:r>
    </w:p>
    <w:p w:rsidR="00CE1469" w:rsidRPr="00F6415D" w:rsidRDefault="00CE1469" w:rsidP="001104E6">
      <w:pPr>
        <w:pStyle w:val="ListBullet"/>
        <w:rPr>
          <w:rFonts w:ascii="Segoe UI" w:hAnsi="Segoe UI" w:cs="Segoe UI"/>
        </w:rPr>
      </w:pPr>
      <w:r w:rsidRPr="00F6415D">
        <w:rPr>
          <w:rFonts w:ascii="Segoe UI" w:hAnsi="Segoe UI" w:cs="Segoe UI"/>
        </w:rPr>
        <w:t>existing and in development financial products (including the take-up of these financial products)</w:t>
      </w:r>
    </w:p>
    <w:p w:rsidR="00CE1469" w:rsidRPr="00F6415D" w:rsidRDefault="00CE1469" w:rsidP="001104E6">
      <w:pPr>
        <w:pStyle w:val="ListBullet"/>
        <w:rPr>
          <w:rFonts w:ascii="Segoe UI" w:hAnsi="Segoe UI" w:cs="Segoe UI"/>
        </w:rPr>
      </w:pPr>
      <w:r w:rsidRPr="00F6415D">
        <w:rPr>
          <w:rFonts w:ascii="Segoe UI" w:hAnsi="Segoe UI" w:cs="Segoe UI"/>
        </w:rPr>
        <w:t>the information available to consumers to inform decision making</w:t>
      </w:r>
    </w:p>
    <w:p w:rsidR="00CE1469" w:rsidRPr="00F6415D" w:rsidRDefault="00CE1469" w:rsidP="001104E6">
      <w:pPr>
        <w:pStyle w:val="ListBullet"/>
        <w:rPr>
          <w:rFonts w:ascii="Segoe UI" w:hAnsi="Segoe UI" w:cs="Segoe UI"/>
        </w:rPr>
      </w:pPr>
      <w:r w:rsidRPr="00F6415D">
        <w:rPr>
          <w:rFonts w:ascii="Segoe UI" w:hAnsi="Segoe UI" w:cs="Segoe UI"/>
        </w:rPr>
        <w:t>existing aged care products available (including retirement and private aged care services, and their payment models)</w:t>
      </w:r>
    </w:p>
    <w:p w:rsidR="00CE1469" w:rsidRPr="00F6415D" w:rsidRDefault="00CE1469" w:rsidP="001104E6">
      <w:pPr>
        <w:pStyle w:val="ListBullet"/>
        <w:rPr>
          <w:rFonts w:ascii="Segoe UI" w:hAnsi="Segoe UI" w:cs="Segoe UI"/>
        </w:rPr>
      </w:pPr>
      <w:r w:rsidRPr="00F6415D">
        <w:rPr>
          <w:rFonts w:ascii="Segoe UI" w:hAnsi="Segoe UI" w:cs="Segoe UI"/>
        </w:rPr>
        <w:t xml:space="preserve">current challenges associated with these models, including transition challenges to aged care. </w:t>
      </w:r>
    </w:p>
    <w:p w:rsidR="00CE1469" w:rsidRPr="00F6415D" w:rsidRDefault="00CE1469" w:rsidP="00E2220D">
      <w:pPr>
        <w:pStyle w:val="Heading4"/>
        <w:rPr>
          <w:rFonts w:ascii="Segoe UI" w:hAnsi="Segoe UI" w:cs="Segoe UI"/>
        </w:rPr>
      </w:pPr>
      <w:r w:rsidRPr="00F6415D">
        <w:rPr>
          <w:rFonts w:ascii="Segoe UI" w:hAnsi="Segoe UI" w:cs="Segoe UI"/>
        </w:rPr>
        <w:lastRenderedPageBreak/>
        <w:t>Consumer survey (quantitative research)</w:t>
      </w:r>
    </w:p>
    <w:p w:rsidR="00CE1469" w:rsidRPr="00F6415D" w:rsidRDefault="00CE1469" w:rsidP="001104E6">
      <w:pPr>
        <w:pStyle w:val="BodyText"/>
        <w:rPr>
          <w:rFonts w:ascii="Segoe UI" w:hAnsi="Segoe UI" w:cs="Segoe UI"/>
          <w:lang w:val="en-US"/>
        </w:rPr>
      </w:pPr>
      <w:r w:rsidRPr="00F6415D">
        <w:rPr>
          <w:rFonts w:ascii="Segoe UI" w:hAnsi="Segoe UI" w:cs="Segoe UI"/>
          <w:lang w:val="en-US"/>
        </w:rPr>
        <w:t>The quantitative research was undertaken by KPMG, on behalf of ACFA in August 2018, to identify and quantify:</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if/how consumers plan for aged care</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if/how they plan to fund their aged care needs</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how they actually fund their aged care needs</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if they make financial decisions on their own, with their partner or if a third party makes these decisions for them</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what sources of information they accessed when deciding to enter aged care</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if they utilised financial products to fund their aged care needs.</w:t>
      </w:r>
    </w:p>
    <w:p w:rsidR="00CE1469" w:rsidRPr="00F6415D" w:rsidRDefault="00CE1469" w:rsidP="001104E6">
      <w:pPr>
        <w:pStyle w:val="BodyText"/>
        <w:rPr>
          <w:rFonts w:ascii="Segoe UI" w:hAnsi="Segoe UI" w:cs="Segoe UI"/>
        </w:rPr>
      </w:pPr>
      <w:r w:rsidRPr="00F6415D">
        <w:rPr>
          <w:rFonts w:ascii="Segoe UI" w:hAnsi="Segoe UI" w:cs="Segoe UI"/>
          <w:lang w:val="en-US"/>
        </w:rPr>
        <w:t xml:space="preserve">An online consumer survey was developed to gain consumer insights, combining online and CATI methodologies to ensure a representative coverage of all population segments of interest. </w:t>
      </w:r>
      <w:r w:rsidRPr="00F6415D">
        <w:rPr>
          <w:rFonts w:ascii="Segoe UI" w:hAnsi="Segoe UI" w:cs="Segoe UI"/>
        </w:rPr>
        <w:t>To ensure the quality and representativeness of survey findings, sample design comprising the following was developed:</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a national representative sample of 1,000 persons aged 60 years or more</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a national representative sample of 500 family members, representatives or guardians (as defined under target population above)</w:t>
      </w:r>
    </w:p>
    <w:p w:rsidR="00CE1469" w:rsidRPr="00F6415D" w:rsidRDefault="00CE1469" w:rsidP="001104E6">
      <w:pPr>
        <w:pStyle w:val="ListBullet"/>
        <w:rPr>
          <w:rFonts w:ascii="Segoe UI" w:hAnsi="Segoe UI" w:cs="Segoe UI"/>
          <w:lang w:val="en-US"/>
        </w:rPr>
      </w:pPr>
      <w:r w:rsidRPr="00F6415D">
        <w:rPr>
          <w:rFonts w:ascii="Segoe UI" w:hAnsi="Segoe UI" w:cs="Segoe UI"/>
          <w:lang w:val="en-US"/>
        </w:rPr>
        <w:t>a top up sample of 100 aged care recipients from hard to reach population segments [i.e. Culturally and Linguistically Diverse (CALD)].</w:t>
      </w:r>
    </w:p>
    <w:p w:rsidR="00CE1469" w:rsidRPr="00F6415D" w:rsidRDefault="00CE1469" w:rsidP="001104E6">
      <w:pPr>
        <w:pStyle w:val="BodyText"/>
        <w:rPr>
          <w:rFonts w:ascii="Segoe UI" w:hAnsi="Segoe UI" w:cs="Segoe UI"/>
        </w:rPr>
      </w:pPr>
      <w:r w:rsidRPr="00F6415D">
        <w:rPr>
          <w:rFonts w:ascii="Segoe UI" w:hAnsi="Segoe UI" w:cs="Segoe UI"/>
        </w:rPr>
        <w:t>The survey data was collected and cleansed to ensure optimal data quality. To ensure the data was representative of the Australian population, state by age, and by gender weighting was used to reflect the latest ABS census.</w:t>
      </w:r>
    </w:p>
    <w:p w:rsidR="00CE1469" w:rsidRPr="00F6415D" w:rsidRDefault="00CE1469" w:rsidP="001104E6">
      <w:pPr>
        <w:pStyle w:val="BodyText"/>
        <w:rPr>
          <w:rFonts w:ascii="Segoe UI" w:hAnsi="Segoe UI" w:cs="Segoe UI"/>
        </w:rPr>
      </w:pPr>
      <w:r w:rsidRPr="00F6415D">
        <w:rPr>
          <w:rFonts w:ascii="Segoe UI" w:hAnsi="Segoe UI" w:cs="Segoe UI"/>
        </w:rPr>
        <w:t>Simple descriptive and inferential statistics techniques were undertaken to quantify general consumer behaviour. Specific cross-tabulations were applied to allow for the identification of particular trends across key variables.</w:t>
      </w:r>
    </w:p>
    <w:p w:rsidR="00CE1469" w:rsidRPr="00F6415D" w:rsidRDefault="00CE1469" w:rsidP="00E2220D">
      <w:pPr>
        <w:pStyle w:val="Heading4"/>
        <w:rPr>
          <w:rFonts w:ascii="Segoe UI" w:hAnsi="Segoe UI" w:cs="Segoe UI"/>
        </w:rPr>
      </w:pPr>
      <w:r w:rsidRPr="00F6415D">
        <w:rPr>
          <w:rFonts w:ascii="Segoe UI" w:hAnsi="Segoe UI" w:cs="Segoe UI"/>
        </w:rPr>
        <w:t>Consumer in-depth questions (qualitative research)</w:t>
      </w:r>
    </w:p>
    <w:p w:rsidR="00CE1469" w:rsidRPr="00F6415D" w:rsidRDefault="00CE1469" w:rsidP="00E2220D">
      <w:pPr>
        <w:pStyle w:val="BodyText"/>
        <w:rPr>
          <w:rFonts w:ascii="Segoe UI" w:hAnsi="Segoe UI" w:cs="Segoe UI"/>
        </w:rPr>
      </w:pPr>
      <w:r w:rsidRPr="00F6415D">
        <w:rPr>
          <w:rFonts w:ascii="Segoe UI" w:hAnsi="Segoe UI" w:cs="Segoe UI"/>
          <w:lang w:val="en-US"/>
        </w:rPr>
        <w:t xml:space="preserve">Upon completion of the stakeholder consultations and consumer survey, </w:t>
      </w:r>
      <w:r w:rsidRPr="00F6415D">
        <w:rPr>
          <w:rFonts w:ascii="Segoe UI" w:hAnsi="Segoe UI" w:cs="Segoe UI"/>
        </w:rPr>
        <w:t>24 follow-up interviews (45-60 minutes) with consumers</w:t>
      </w:r>
      <w:r w:rsidRPr="00F6415D">
        <w:rPr>
          <w:rFonts w:ascii="Segoe UI" w:hAnsi="Segoe UI" w:cs="Segoe UI"/>
          <w:lang w:val="en-US"/>
        </w:rPr>
        <w:t xml:space="preserve"> was undertaken</w:t>
      </w:r>
      <w:r w:rsidRPr="00F6415D">
        <w:rPr>
          <w:rFonts w:ascii="Segoe UI" w:hAnsi="Segoe UI" w:cs="Segoe UI"/>
        </w:rPr>
        <w:t xml:space="preserve"> to explore in greater detail the consumer experience in relation to funding of aged care needs. An interview discussion guide was developed in consultation based on preliminary findings from the online survey. </w:t>
      </w:r>
    </w:p>
    <w:p w:rsidR="00CE1469" w:rsidRPr="00F6415D" w:rsidRDefault="00CE1469" w:rsidP="00E2220D">
      <w:pPr>
        <w:pStyle w:val="BodyText"/>
        <w:rPr>
          <w:rFonts w:ascii="Segoe UI" w:hAnsi="Segoe UI" w:cs="Segoe UI"/>
        </w:rPr>
      </w:pPr>
      <w:r w:rsidRPr="00F6415D">
        <w:rPr>
          <w:rFonts w:ascii="Segoe UI" w:hAnsi="Segoe UI" w:cs="Segoe UI"/>
        </w:rPr>
        <w:t>Participants were recruited from online survey respondents and consumer panels. A sampling framework was applied to accommodate different viewpoints based on gender, locality (using the Modified Monash Model (MMM), consumers from culturally and linguistically diverse backgrounds (CALD) and current and near future aged care consumers. Responses to each question were transcribed. Findings from consumer follow-up interviews have been provided in relevant sections of this report, generally in supporting other research methods, such as the consumer survey and broader stakeholder consultations.</w:t>
      </w:r>
    </w:p>
    <w:p w:rsidR="00CE1469" w:rsidRPr="00F6415D" w:rsidRDefault="00CE1469" w:rsidP="001104E6">
      <w:pPr>
        <w:pStyle w:val="Heading2"/>
        <w:rPr>
          <w:rFonts w:ascii="Segoe UI" w:hAnsi="Segoe UI" w:cs="Segoe UI"/>
        </w:rPr>
      </w:pPr>
      <w:bookmarkStart w:id="54" w:name="_Toc527561541"/>
      <w:bookmarkStart w:id="55" w:name="_Toc527564615"/>
      <w:bookmarkStart w:id="56" w:name="_Toc528224243"/>
      <w:bookmarkStart w:id="57" w:name="_Toc528861126"/>
      <w:bookmarkStart w:id="58" w:name="_Toc529890567"/>
      <w:bookmarkStart w:id="59" w:name="_Toc531271073"/>
      <w:bookmarkStart w:id="60" w:name="_Toc532206369"/>
      <w:bookmarkStart w:id="61" w:name="_Toc522190402"/>
      <w:bookmarkStart w:id="62" w:name="_Toc523408254"/>
      <w:bookmarkStart w:id="63" w:name="_Toc523482235"/>
      <w:bookmarkStart w:id="64" w:name="_Toc524605291"/>
      <w:bookmarkStart w:id="65" w:name="_Ref494450607"/>
      <w:bookmarkStart w:id="66" w:name="_Ref424302427"/>
      <w:bookmarkEnd w:id="16"/>
      <w:r w:rsidRPr="00F6415D">
        <w:rPr>
          <w:rFonts w:ascii="Segoe UI" w:hAnsi="Segoe UI" w:cs="Segoe UI"/>
        </w:rPr>
        <w:lastRenderedPageBreak/>
        <w:t xml:space="preserve">Aged care </w:t>
      </w:r>
      <w:bookmarkEnd w:id="54"/>
      <w:bookmarkEnd w:id="55"/>
      <w:r w:rsidRPr="00F6415D">
        <w:rPr>
          <w:rFonts w:ascii="Segoe UI" w:hAnsi="Segoe UI" w:cs="Segoe UI"/>
        </w:rPr>
        <w:t>services and consumer fees</w:t>
      </w:r>
      <w:bookmarkEnd w:id="56"/>
      <w:bookmarkEnd w:id="57"/>
      <w:bookmarkEnd w:id="58"/>
      <w:bookmarkEnd w:id="59"/>
      <w:bookmarkEnd w:id="60"/>
      <w:r w:rsidRPr="00F6415D">
        <w:rPr>
          <w:rFonts w:ascii="Segoe UI" w:hAnsi="Segoe UI" w:cs="Segoe UI"/>
        </w:rPr>
        <w:t xml:space="preserve"> </w:t>
      </w:r>
    </w:p>
    <w:p w:rsidR="00CE1469" w:rsidRPr="00F6415D" w:rsidRDefault="00CE1469" w:rsidP="001104E6">
      <w:pPr>
        <w:pStyle w:val="BodyText"/>
        <w:rPr>
          <w:rFonts w:ascii="Segoe UI" w:hAnsi="Segoe UI" w:cs="Segoe UI"/>
        </w:rPr>
      </w:pPr>
      <w:bookmarkStart w:id="67" w:name="_Toc528861127"/>
      <w:bookmarkStart w:id="68" w:name="_Toc529890568"/>
      <w:bookmarkStart w:id="69" w:name="_Toc522190403"/>
      <w:bookmarkStart w:id="70" w:name="_Toc523408255"/>
      <w:bookmarkStart w:id="71" w:name="_Toc523482236"/>
      <w:bookmarkStart w:id="72" w:name="_Toc524605292"/>
      <w:r w:rsidRPr="00F6415D">
        <w:rPr>
          <w:rFonts w:ascii="Segoe UI" w:hAnsi="Segoe UI" w:cs="Segoe UI"/>
        </w:rPr>
        <w:t>This chapter outlines the types of aged care services, and alternative accommodation types, senior Australians are able to access through:</w:t>
      </w:r>
    </w:p>
    <w:p w:rsidR="00CE1469" w:rsidRPr="00F6415D" w:rsidRDefault="00CE1469" w:rsidP="001104E6">
      <w:pPr>
        <w:pStyle w:val="ListBullet"/>
        <w:rPr>
          <w:rFonts w:ascii="Segoe UI" w:hAnsi="Segoe UI" w:cs="Segoe UI"/>
        </w:rPr>
      </w:pPr>
      <w:r w:rsidRPr="00F6415D">
        <w:rPr>
          <w:rFonts w:ascii="Segoe UI" w:hAnsi="Segoe UI" w:cs="Segoe UI"/>
        </w:rPr>
        <w:t>Australian Government funded aged care</w:t>
      </w:r>
    </w:p>
    <w:p w:rsidR="00CE1469" w:rsidRPr="00F6415D" w:rsidRDefault="00CE1469" w:rsidP="001104E6">
      <w:pPr>
        <w:pStyle w:val="ListBullet"/>
        <w:rPr>
          <w:rFonts w:ascii="Segoe UI" w:hAnsi="Segoe UI" w:cs="Segoe UI"/>
        </w:rPr>
      </w:pPr>
      <w:r w:rsidRPr="00F6415D">
        <w:rPr>
          <w:rFonts w:ascii="Segoe UI" w:hAnsi="Segoe UI" w:cs="Segoe UI"/>
        </w:rPr>
        <w:t>non-Australian Government funded aged care</w:t>
      </w:r>
    </w:p>
    <w:p w:rsidR="00CE1469" w:rsidRPr="00F6415D" w:rsidRDefault="00CE1469" w:rsidP="001104E6">
      <w:pPr>
        <w:pStyle w:val="ListBullet"/>
        <w:rPr>
          <w:rFonts w:ascii="Segoe UI" w:hAnsi="Segoe UI" w:cs="Segoe UI"/>
        </w:rPr>
      </w:pPr>
      <w:r w:rsidRPr="00F6415D">
        <w:rPr>
          <w:rFonts w:ascii="Segoe UI" w:hAnsi="Segoe UI" w:cs="Segoe UI"/>
        </w:rPr>
        <w:t>informal care and services</w:t>
      </w:r>
    </w:p>
    <w:p w:rsidR="00CE1469" w:rsidRPr="00F6415D" w:rsidRDefault="00CE1469" w:rsidP="001104E6">
      <w:pPr>
        <w:pStyle w:val="BodyText"/>
        <w:rPr>
          <w:rFonts w:ascii="Segoe UI" w:hAnsi="Segoe UI" w:cs="Segoe UI"/>
        </w:rPr>
      </w:pPr>
      <w:r w:rsidRPr="00F6415D">
        <w:rPr>
          <w:rFonts w:ascii="Segoe UI" w:hAnsi="Segoe UI" w:cs="Segoe UI"/>
        </w:rPr>
        <w:t>This chapter also outlines the potential fee structure associated with these aged care services.</w:t>
      </w:r>
    </w:p>
    <w:p w:rsidR="00CE1469" w:rsidRPr="00F6415D" w:rsidRDefault="00CE1469" w:rsidP="001104E6">
      <w:pPr>
        <w:pStyle w:val="Heading3"/>
        <w:rPr>
          <w:rFonts w:ascii="Segoe UI" w:hAnsi="Segoe UI" w:cs="Segoe UI"/>
        </w:rPr>
      </w:pPr>
      <w:bookmarkStart w:id="73" w:name="_Toc531271074"/>
      <w:bookmarkStart w:id="74" w:name="_Toc532206370"/>
      <w:r w:rsidRPr="00F6415D">
        <w:rPr>
          <w:rFonts w:ascii="Segoe UI" w:hAnsi="Segoe UI" w:cs="Segoe UI"/>
        </w:rPr>
        <w:t>Australian Government funded aged care</w:t>
      </w:r>
      <w:bookmarkEnd w:id="67"/>
      <w:bookmarkEnd w:id="68"/>
      <w:bookmarkEnd w:id="73"/>
      <w:bookmarkEnd w:id="74"/>
    </w:p>
    <w:bookmarkEnd w:id="69"/>
    <w:bookmarkEnd w:id="70"/>
    <w:bookmarkEnd w:id="71"/>
    <w:bookmarkEnd w:id="72"/>
    <w:p w:rsidR="00CE1469" w:rsidRPr="00F6415D" w:rsidRDefault="00CE1469" w:rsidP="001104E6">
      <w:pPr>
        <w:pStyle w:val="BodyText"/>
        <w:rPr>
          <w:rFonts w:ascii="Segoe UI" w:hAnsi="Segoe UI" w:cs="Segoe UI"/>
        </w:rPr>
      </w:pPr>
      <w:r w:rsidRPr="00F6415D">
        <w:rPr>
          <w:rFonts w:ascii="Segoe UI" w:hAnsi="Segoe UI" w:cs="Segoe UI"/>
        </w:rPr>
        <w:t xml:space="preserve">Senior Australians can access a range of aged care services, from home-based care and support through to care provided in residential aged care settings. </w:t>
      </w:r>
    </w:p>
    <w:p w:rsidR="00CE1469" w:rsidRPr="00F6415D" w:rsidRDefault="00CE1469" w:rsidP="001104E6">
      <w:pPr>
        <w:pStyle w:val="BodyText"/>
        <w:rPr>
          <w:rFonts w:ascii="Segoe UI" w:hAnsi="Segoe UI" w:cs="Segoe UI"/>
        </w:rPr>
      </w:pPr>
      <w:r w:rsidRPr="00F6415D">
        <w:rPr>
          <w:rFonts w:ascii="Segoe UI" w:hAnsi="Segoe UI" w:cs="Segoe UI"/>
        </w:rPr>
        <w:t>This care is largely subsidised by the Australian Government. In 2016-17, the Australian Government’s total expenditure on aged care was $17.1 billion and consumer expenditure was $4.8 billion (excluding lump sum accommodation deposits)</w:t>
      </w:r>
      <w:r w:rsidRPr="00F6415D">
        <w:rPr>
          <w:rStyle w:val="EndnoteReference"/>
          <w:rFonts w:ascii="Segoe UI" w:hAnsi="Segoe UI" w:cs="Segoe UI"/>
        </w:rPr>
        <w:endnoteReference w:id="3"/>
      </w:r>
      <w:r w:rsidRPr="00F6415D">
        <w:rPr>
          <w:rFonts w:ascii="Segoe UI" w:hAnsi="Segoe UI" w:cs="Segoe UI"/>
        </w:rPr>
        <w:t xml:space="preserve">. However, these numbers do not take into account consumer spending on private or additional care services. </w:t>
      </w:r>
    </w:p>
    <w:p w:rsidR="00CE1469" w:rsidRPr="00F6415D" w:rsidRDefault="00CE1469" w:rsidP="001104E6">
      <w:pPr>
        <w:pStyle w:val="BodyText"/>
        <w:rPr>
          <w:rFonts w:ascii="Segoe UI" w:hAnsi="Segoe UI" w:cs="Segoe UI"/>
        </w:rPr>
      </w:pPr>
      <w:r w:rsidRPr="00F6415D">
        <w:rPr>
          <w:rFonts w:ascii="Segoe UI" w:hAnsi="Segoe UI" w:cs="Segoe UI"/>
        </w:rPr>
        <w:t xml:space="preserve">Australian Government expenditure on aged care is projected to increase as a share of the economy from 1 per cent (currently) to around 1.7 per cent of </w:t>
      </w:r>
      <w:r w:rsidRPr="00F6415D">
        <w:rPr>
          <w:rFonts w:ascii="Segoe UI" w:hAnsi="Segoe UI" w:cs="Segoe UI"/>
          <w:lang w:val="en-GB"/>
        </w:rPr>
        <w:t>GDP by 2055</w:t>
      </w:r>
      <w:r w:rsidRPr="00F6415D">
        <w:rPr>
          <w:rStyle w:val="EndnoteReference"/>
          <w:rFonts w:ascii="Segoe UI" w:hAnsi="Segoe UI" w:cs="Segoe UI"/>
          <w:lang w:val="en-GB"/>
        </w:rPr>
        <w:endnoteReference w:id="4"/>
      </w:r>
      <w:r w:rsidRPr="00F6415D">
        <w:rPr>
          <w:rFonts w:ascii="Segoe UI" w:hAnsi="Segoe UI" w:cs="Segoe UI"/>
          <w:lang w:val="en-GB"/>
        </w:rPr>
        <w:t>.</w:t>
      </w:r>
      <w:r w:rsidRPr="00F6415D">
        <w:rPr>
          <w:rFonts w:ascii="Segoe UI" w:hAnsi="Segoe UI" w:cs="Segoe UI"/>
        </w:rPr>
        <w:t xml:space="preserve"> </w:t>
      </w:r>
    </w:p>
    <w:p w:rsidR="00CE1469" w:rsidRPr="00F6415D" w:rsidRDefault="00CE1469" w:rsidP="001104E6">
      <w:pPr>
        <w:pStyle w:val="BodyText"/>
        <w:rPr>
          <w:rFonts w:ascii="Segoe UI" w:hAnsi="Segoe UI" w:cs="Segoe UI"/>
        </w:rPr>
      </w:pPr>
      <w:r w:rsidRPr="00F6415D">
        <w:rPr>
          <w:rFonts w:ascii="Segoe UI" w:hAnsi="Segoe UI" w:cs="Segoe UI"/>
        </w:rPr>
        <w:fldChar w:fldCharType="begin"/>
      </w:r>
      <w:r w:rsidRPr="00F6415D">
        <w:rPr>
          <w:rFonts w:ascii="Segoe UI" w:hAnsi="Segoe UI" w:cs="Segoe UI"/>
        </w:rPr>
        <w:instrText xml:space="preserve"> REF _Ref530459723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1</w:t>
      </w:r>
      <w:r w:rsidRPr="00F6415D">
        <w:rPr>
          <w:rFonts w:ascii="Segoe UI" w:hAnsi="Segoe UI" w:cs="Segoe UI"/>
        </w:rPr>
        <w:fldChar w:fldCharType="end"/>
      </w:r>
      <w:r w:rsidRPr="00F6415D">
        <w:rPr>
          <w:rFonts w:ascii="Segoe UI" w:hAnsi="Segoe UI" w:cs="Segoe UI"/>
        </w:rPr>
        <w:t xml:space="preserve"> shows the total Australian Government expenditure </w:t>
      </w:r>
      <w:r w:rsidRPr="00F6415D">
        <w:rPr>
          <w:rFonts w:ascii="Segoe UI" w:hAnsi="Segoe UI" w:cs="Segoe UI"/>
          <w:lang w:val="en-GB"/>
        </w:rPr>
        <w:t xml:space="preserve">broken down into </w:t>
      </w:r>
      <w:r w:rsidRPr="00F6415D">
        <w:rPr>
          <w:rFonts w:ascii="Segoe UI" w:hAnsi="Segoe UI" w:cs="Segoe UI"/>
        </w:rPr>
        <w:t>home support, home care and residential care in terms of cost per consumer.</w:t>
      </w:r>
    </w:p>
    <w:p w:rsidR="00CE1469" w:rsidRPr="00F6415D" w:rsidRDefault="00CE1469" w:rsidP="00EE50F0">
      <w:pPr>
        <w:pStyle w:val="TableTitle"/>
        <w:rPr>
          <w:rFonts w:ascii="Segoe UI" w:hAnsi="Segoe UI" w:cs="Segoe UI"/>
          <w:i/>
        </w:rPr>
      </w:pPr>
      <w:bookmarkStart w:id="75" w:name="_Ref530459723"/>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1</w:t>
      </w:r>
      <w:r w:rsidRPr="00F6415D">
        <w:rPr>
          <w:rFonts w:ascii="Segoe UI" w:hAnsi="Segoe UI" w:cs="Segoe UI"/>
          <w:i/>
          <w:noProof/>
        </w:rPr>
        <w:fldChar w:fldCharType="end"/>
      </w:r>
      <w:bookmarkEnd w:id="75"/>
      <w:r w:rsidRPr="00F6415D">
        <w:rPr>
          <w:rFonts w:ascii="Segoe UI" w:hAnsi="Segoe UI" w:cs="Segoe UI"/>
          <w:i/>
        </w:rPr>
        <w:t xml:space="preserve">: </w:t>
      </w:r>
      <w:r w:rsidRPr="00F6415D">
        <w:rPr>
          <w:rFonts w:ascii="Segoe UI" w:hAnsi="Segoe UI" w:cs="Segoe UI"/>
          <w:i/>
          <w:lang w:eastAsia="en-AU"/>
        </w:rPr>
        <w:t>Australian Government expenditure, per consumer, 2016-17</w:t>
      </w:r>
      <w:r w:rsidRPr="00F6415D">
        <w:rPr>
          <w:rFonts w:ascii="Segoe UI" w:hAnsi="Segoe UI" w:cs="Segoe UI"/>
          <w:i/>
        </w:rPr>
        <w:t xml:space="preserve"> </w:t>
      </w:r>
    </w:p>
    <w:tbl>
      <w:tblPr>
        <w:tblW w:w="5000" w:type="pct"/>
        <w:jc w:val="center"/>
        <w:tblCellMar>
          <w:left w:w="0" w:type="dxa"/>
          <w:right w:w="0" w:type="dxa"/>
        </w:tblCellMar>
        <w:tblLook w:val="04A0" w:firstRow="1" w:lastRow="0" w:firstColumn="1" w:lastColumn="0" w:noHBand="0" w:noVBand="1"/>
        <w:tblCaption w:val="Table 1: Australian Government expenditure, per consumer, 2016-17 "/>
        <w:tblDescription w:val="Table 1 outlines Government expenditure, per consumer, in the 2016-17 period. "/>
      </w:tblPr>
      <w:tblGrid>
        <w:gridCol w:w="2660"/>
        <w:gridCol w:w="1925"/>
        <w:gridCol w:w="1927"/>
        <w:gridCol w:w="1800"/>
      </w:tblGrid>
      <w:tr w:rsidR="00CE1469" w:rsidRPr="00F6415D" w:rsidTr="00A4080F">
        <w:trPr>
          <w:cantSplit/>
          <w:tblHeader/>
          <w:jc w:val="center"/>
        </w:trPr>
        <w:tc>
          <w:tcPr>
            <w:tcW w:w="1600" w:type="pct"/>
            <w:tcBorders>
              <w:top w:val="single" w:sz="12" w:space="0" w:color="002776"/>
              <w:left w:val="nil"/>
              <w:bottom w:val="single" w:sz="8" w:space="0" w:color="002776"/>
              <w:right w:val="single" w:sz="8" w:space="0" w:color="A6A6A6"/>
            </w:tcBorders>
            <w:shd w:val="clear" w:color="auto" w:fill="00338D"/>
            <w:tcMar>
              <w:top w:w="0" w:type="dxa"/>
              <w:left w:w="108" w:type="dxa"/>
              <w:bottom w:w="0" w:type="dxa"/>
              <w:right w:w="108" w:type="dxa"/>
            </w:tcMar>
            <w:hideMark/>
          </w:tcPr>
          <w:p w:rsidR="00CE1469" w:rsidRPr="00F6415D" w:rsidRDefault="00CE1469" w:rsidP="001104E6">
            <w:pPr>
              <w:pStyle w:val="Tableheading"/>
              <w:rPr>
                <w:rFonts w:ascii="Segoe UI" w:hAnsi="Segoe UI" w:cs="Segoe UI"/>
                <w:lang w:eastAsia="en-AU"/>
              </w:rPr>
            </w:pPr>
          </w:p>
        </w:tc>
        <w:tc>
          <w:tcPr>
            <w:tcW w:w="1158" w:type="pct"/>
            <w:tcBorders>
              <w:top w:val="single" w:sz="12" w:space="0" w:color="002776"/>
              <w:left w:val="nil"/>
              <w:bottom w:val="single" w:sz="8" w:space="0" w:color="002776"/>
              <w:right w:val="single" w:sz="8" w:space="0" w:color="A6A6A6"/>
            </w:tcBorders>
            <w:shd w:val="clear" w:color="auto" w:fill="00338D"/>
            <w:tcMar>
              <w:top w:w="0" w:type="dxa"/>
              <w:left w:w="108" w:type="dxa"/>
              <w:bottom w:w="0" w:type="dxa"/>
              <w:right w:w="108" w:type="dxa"/>
            </w:tcMar>
            <w:hideMark/>
          </w:tcPr>
          <w:p w:rsidR="00CE1469" w:rsidRPr="00F6415D" w:rsidRDefault="00CE1469" w:rsidP="001104E6">
            <w:pPr>
              <w:pStyle w:val="Tableheading"/>
              <w:rPr>
                <w:rFonts w:ascii="Segoe UI" w:hAnsi="Segoe UI" w:cs="Segoe UI"/>
                <w:color w:val="FFFFFF"/>
                <w:lang w:eastAsia="en-AU"/>
              </w:rPr>
            </w:pPr>
            <w:r w:rsidRPr="00F6415D">
              <w:rPr>
                <w:rFonts w:ascii="Segoe UI" w:hAnsi="Segoe UI" w:cs="Segoe UI"/>
                <w:color w:val="FFFFFF"/>
                <w:lang w:eastAsia="en-AU"/>
              </w:rPr>
              <w:t>Commonwealth expenditure</w:t>
            </w:r>
          </w:p>
        </w:tc>
        <w:tc>
          <w:tcPr>
            <w:tcW w:w="1159" w:type="pct"/>
            <w:tcBorders>
              <w:top w:val="single" w:sz="12" w:space="0" w:color="002776"/>
              <w:left w:val="nil"/>
              <w:bottom w:val="single" w:sz="8" w:space="0" w:color="002776"/>
              <w:right w:val="single" w:sz="8" w:space="0" w:color="A6A6A6"/>
            </w:tcBorders>
            <w:shd w:val="clear" w:color="auto" w:fill="00338D"/>
            <w:tcMar>
              <w:top w:w="0" w:type="dxa"/>
              <w:left w:w="108" w:type="dxa"/>
              <w:bottom w:w="0" w:type="dxa"/>
              <w:right w:w="108" w:type="dxa"/>
            </w:tcMar>
            <w:hideMark/>
          </w:tcPr>
          <w:p w:rsidR="00CE1469" w:rsidRPr="00F6415D" w:rsidRDefault="00CE1469" w:rsidP="001104E6">
            <w:pPr>
              <w:pStyle w:val="Tableheading"/>
              <w:rPr>
                <w:rFonts w:ascii="Segoe UI" w:hAnsi="Segoe UI" w:cs="Segoe UI"/>
                <w:color w:val="FFFFFF"/>
                <w:lang w:eastAsia="en-AU"/>
              </w:rPr>
            </w:pPr>
            <w:r w:rsidRPr="00F6415D">
              <w:rPr>
                <w:rFonts w:ascii="Segoe UI" w:hAnsi="Segoe UI" w:cs="Segoe UI"/>
                <w:color w:val="FFFFFF"/>
                <w:lang w:eastAsia="en-AU"/>
              </w:rPr>
              <w:t xml:space="preserve">Number of consumers </w:t>
            </w:r>
          </w:p>
        </w:tc>
        <w:tc>
          <w:tcPr>
            <w:tcW w:w="1083" w:type="pct"/>
            <w:tcBorders>
              <w:top w:val="single" w:sz="12" w:space="0" w:color="002776"/>
              <w:left w:val="nil"/>
              <w:bottom w:val="single" w:sz="8" w:space="0" w:color="002776"/>
              <w:right w:val="nil"/>
            </w:tcBorders>
            <w:shd w:val="clear" w:color="auto" w:fill="00338D"/>
            <w:tcMar>
              <w:top w:w="0" w:type="dxa"/>
              <w:left w:w="108" w:type="dxa"/>
              <w:bottom w:w="0" w:type="dxa"/>
              <w:right w:w="108" w:type="dxa"/>
            </w:tcMar>
            <w:hideMark/>
          </w:tcPr>
          <w:p w:rsidR="00CE1469" w:rsidRPr="00F6415D" w:rsidRDefault="00CE1469" w:rsidP="001104E6">
            <w:pPr>
              <w:pStyle w:val="Tableheading"/>
              <w:rPr>
                <w:rFonts w:ascii="Segoe UI" w:hAnsi="Segoe UI" w:cs="Segoe UI"/>
                <w:color w:val="FFFFFF"/>
                <w:lang w:eastAsia="en-AU"/>
              </w:rPr>
            </w:pPr>
            <w:r w:rsidRPr="00F6415D">
              <w:rPr>
                <w:rFonts w:ascii="Segoe UI" w:hAnsi="Segoe UI" w:cs="Segoe UI"/>
                <w:color w:val="FFFFFF"/>
                <w:lang w:eastAsia="en-AU"/>
              </w:rPr>
              <w:t>Average expenditure per consumer</w:t>
            </w:r>
          </w:p>
        </w:tc>
      </w:tr>
      <w:tr w:rsidR="00CE1469" w:rsidRPr="00F6415D" w:rsidTr="00A4080F">
        <w:trPr>
          <w:cantSplit/>
          <w:jc w:val="center"/>
        </w:trPr>
        <w:tc>
          <w:tcPr>
            <w:tcW w:w="1600"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 xml:space="preserve">Home support </w:t>
            </w:r>
          </w:p>
        </w:tc>
        <w:tc>
          <w:tcPr>
            <w:tcW w:w="1158"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$2,271m</w:t>
            </w:r>
          </w:p>
        </w:tc>
        <w:tc>
          <w:tcPr>
            <w:tcW w:w="1159"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784,927</w:t>
            </w:r>
          </w:p>
        </w:tc>
        <w:tc>
          <w:tcPr>
            <w:tcW w:w="1083" w:type="pct"/>
            <w:tcBorders>
              <w:top w:val="nil"/>
              <w:left w:val="nil"/>
              <w:bottom w:val="single" w:sz="8" w:space="0" w:color="A6A6A6"/>
              <w:right w:val="nil"/>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$2,893</w:t>
            </w:r>
          </w:p>
        </w:tc>
      </w:tr>
      <w:tr w:rsidR="00CE1469" w:rsidRPr="00F6415D" w:rsidTr="00A4080F">
        <w:trPr>
          <w:cantSplit/>
          <w:jc w:val="center"/>
        </w:trPr>
        <w:tc>
          <w:tcPr>
            <w:tcW w:w="1600"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 xml:space="preserve">Home care </w:t>
            </w:r>
          </w:p>
        </w:tc>
        <w:tc>
          <w:tcPr>
            <w:tcW w:w="1158"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$1,586m</w:t>
            </w:r>
          </w:p>
        </w:tc>
        <w:tc>
          <w:tcPr>
            <w:tcW w:w="1159"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97,516</w:t>
            </w:r>
          </w:p>
        </w:tc>
        <w:tc>
          <w:tcPr>
            <w:tcW w:w="1083" w:type="pct"/>
            <w:tcBorders>
              <w:top w:val="nil"/>
              <w:left w:val="nil"/>
              <w:bottom w:val="single" w:sz="8" w:space="0" w:color="A6A6A6"/>
              <w:right w:val="nil"/>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$16,264</w:t>
            </w:r>
            <w:r w:rsidRPr="00F6415D">
              <w:rPr>
                <w:rStyle w:val="CommentReference"/>
                <w:rFonts w:ascii="Segoe UI" w:hAnsi="Segoe UI" w:cs="Segoe UI"/>
              </w:rPr>
              <w:t> </w:t>
            </w:r>
          </w:p>
        </w:tc>
      </w:tr>
      <w:tr w:rsidR="00CE1469" w:rsidRPr="00F6415D" w:rsidTr="00A4080F">
        <w:trPr>
          <w:cantSplit/>
          <w:jc w:val="center"/>
        </w:trPr>
        <w:tc>
          <w:tcPr>
            <w:tcW w:w="1600"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 xml:space="preserve">Residential care </w:t>
            </w:r>
          </w:p>
        </w:tc>
        <w:tc>
          <w:tcPr>
            <w:tcW w:w="1158"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$11,903m</w:t>
            </w:r>
          </w:p>
        </w:tc>
        <w:tc>
          <w:tcPr>
            <w:tcW w:w="1159" w:type="pct"/>
            <w:tcBorders>
              <w:top w:val="nil"/>
              <w:left w:val="nil"/>
              <w:bottom w:val="single" w:sz="8" w:space="0" w:color="A6A6A6"/>
              <w:right w:val="single" w:sz="8" w:space="0" w:color="A6A6A6"/>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239,379</w:t>
            </w:r>
          </w:p>
        </w:tc>
        <w:tc>
          <w:tcPr>
            <w:tcW w:w="1083" w:type="pct"/>
            <w:tcBorders>
              <w:top w:val="nil"/>
              <w:left w:val="nil"/>
              <w:bottom w:val="single" w:sz="8" w:space="0" w:color="A6A6A6"/>
              <w:right w:val="nil"/>
            </w:tcBorders>
            <w:tcMar>
              <w:top w:w="0" w:type="dxa"/>
              <w:left w:w="108" w:type="dxa"/>
              <w:bottom w:w="0" w:type="dxa"/>
              <w:right w:w="108" w:type="dxa"/>
            </w:tcMar>
            <w:hideMark/>
          </w:tcPr>
          <w:p w:rsidR="00CE1469" w:rsidRPr="00F6415D" w:rsidRDefault="00CE1469" w:rsidP="001104E6">
            <w:pPr>
              <w:pStyle w:val="Tabletext1"/>
              <w:rPr>
                <w:rFonts w:ascii="Segoe UI" w:hAnsi="Segoe UI" w:cs="Segoe UI"/>
                <w:lang w:eastAsia="en-AU"/>
              </w:rPr>
            </w:pPr>
            <w:r w:rsidRPr="00F6415D">
              <w:rPr>
                <w:rFonts w:ascii="Segoe UI" w:hAnsi="Segoe UI" w:cs="Segoe UI"/>
                <w:lang w:eastAsia="en-AU"/>
              </w:rPr>
              <w:t>$49,724</w:t>
            </w:r>
          </w:p>
        </w:tc>
      </w:tr>
    </w:tbl>
    <w:p w:rsidR="00CE1469" w:rsidRPr="00F6415D" w:rsidRDefault="001104E6" w:rsidP="001104E6">
      <w:pPr>
        <w:pStyle w:val="BodyText"/>
        <w:rPr>
          <w:rFonts w:ascii="Segoe UI" w:hAnsi="Segoe UI" w:cs="Segoe UI"/>
          <w:lang w:val="en-GB"/>
        </w:rPr>
      </w:pPr>
      <w:r w:rsidRPr="00F6415D">
        <w:rPr>
          <w:rFonts w:ascii="Segoe UI" w:hAnsi="Segoe UI" w:cs="Segoe UI"/>
          <w:lang w:val="en-GB"/>
        </w:rPr>
        <w:t>Table notes:</w:t>
      </w:r>
    </w:p>
    <w:p w:rsidR="00CE1469" w:rsidRPr="00F6415D" w:rsidRDefault="00CE1469" w:rsidP="00686BFA">
      <w:pPr>
        <w:pStyle w:val="BodyText"/>
        <w:numPr>
          <w:ilvl w:val="0"/>
          <w:numId w:val="41"/>
        </w:numPr>
        <w:rPr>
          <w:rFonts w:ascii="Segoe UI" w:hAnsi="Segoe UI" w:cs="Segoe UI"/>
        </w:rPr>
      </w:pPr>
      <w:r w:rsidRPr="00F6415D">
        <w:rPr>
          <w:rFonts w:ascii="Segoe UI" w:hAnsi="Segoe UI" w:cs="Segoe UI"/>
        </w:rPr>
        <w:t>Residential care consumers include permanent residents only.</w:t>
      </w:r>
    </w:p>
    <w:p w:rsidR="00CE1469" w:rsidRPr="00F6415D" w:rsidRDefault="00CE1469" w:rsidP="00686BFA">
      <w:pPr>
        <w:pStyle w:val="BodyText"/>
        <w:numPr>
          <w:ilvl w:val="0"/>
          <w:numId w:val="41"/>
        </w:numPr>
        <w:rPr>
          <w:rFonts w:ascii="Segoe UI" w:hAnsi="Segoe UI" w:cs="Segoe UI"/>
        </w:rPr>
      </w:pPr>
      <w:r w:rsidRPr="00F6415D">
        <w:rPr>
          <w:rFonts w:ascii="Segoe UI" w:hAnsi="Segoe UI" w:cs="Segoe UI"/>
        </w:rPr>
        <w:t>Does not include Commonwealth expenditure for flexible aged care and ‘other’ aged care.</w:t>
      </w:r>
    </w:p>
    <w:p w:rsidR="00CE1469" w:rsidRPr="0037233C" w:rsidRDefault="00CE1469" w:rsidP="00B270D3">
      <w:pPr>
        <w:pStyle w:val="BodyText"/>
        <w:numPr>
          <w:ilvl w:val="0"/>
          <w:numId w:val="41"/>
        </w:numPr>
        <w:rPr>
          <w:rFonts w:ascii="Segoe UI" w:hAnsi="Segoe UI" w:cs="Segoe UI"/>
        </w:rPr>
      </w:pPr>
      <w:r w:rsidRPr="00F6415D">
        <w:rPr>
          <w:rFonts w:ascii="Segoe UI" w:hAnsi="Segoe UI" w:cs="Segoe UI"/>
        </w:rPr>
        <w:t xml:space="preserve">The figure for home support includes $188m for Home and Community Care (HACC) in Western Australia </w:t>
      </w:r>
      <w:r w:rsidR="001104E6" w:rsidRPr="00F6415D">
        <w:rPr>
          <w:rFonts w:ascii="Segoe UI" w:hAnsi="Segoe UI" w:cs="Segoe UI"/>
        </w:rPr>
        <w:t>which was not part of the CHSP.</w:t>
      </w:r>
    </w:p>
    <w:p w:rsidR="00CE1469" w:rsidRPr="00F6415D" w:rsidRDefault="00CE1469" w:rsidP="00CE1469">
      <w:pPr>
        <w:rPr>
          <w:rFonts w:ascii="Segoe UI" w:hAnsi="Segoe UI" w:cs="Segoe UI"/>
        </w:rPr>
      </w:pPr>
      <w:r w:rsidRPr="00F6415D">
        <w:rPr>
          <w:rFonts w:ascii="Segoe UI" w:hAnsi="Segoe UI" w:cs="Segoe UI"/>
        </w:rPr>
        <w:t>In 2016-17</w:t>
      </w:r>
      <w:r w:rsidRPr="00F6415D">
        <w:rPr>
          <w:rStyle w:val="EndnoteReference"/>
          <w:rFonts w:ascii="Segoe UI" w:hAnsi="Segoe UI" w:cs="Segoe UI"/>
        </w:rPr>
        <w:endnoteReference w:id="5"/>
      </w:r>
      <w:r w:rsidRPr="00F6415D">
        <w:rPr>
          <w:rFonts w:ascii="Segoe UI" w:hAnsi="Segoe UI" w:cs="Segoe UI"/>
        </w:rPr>
        <w:t>, the consumer expenditure is broken down as follows:</w:t>
      </w:r>
    </w:p>
    <w:p w:rsidR="00CE1469" w:rsidRPr="00F6415D" w:rsidRDefault="00CE1469" w:rsidP="001104E6">
      <w:pPr>
        <w:pStyle w:val="ListBullet"/>
        <w:rPr>
          <w:rFonts w:ascii="Segoe UI" w:hAnsi="Segoe UI" w:cs="Segoe UI"/>
        </w:rPr>
      </w:pPr>
      <w:r w:rsidRPr="00F6415D">
        <w:rPr>
          <w:rFonts w:ascii="Segoe UI" w:hAnsi="Segoe UI" w:cs="Segoe UI"/>
        </w:rPr>
        <w:t>Commonwealth Home Support Program (CHSP) - consumers contributed approximately $204 million toward the cost of their care.</w:t>
      </w:r>
    </w:p>
    <w:p w:rsidR="00CE1469" w:rsidRPr="00F6415D" w:rsidRDefault="00CE1469" w:rsidP="001104E6">
      <w:pPr>
        <w:pStyle w:val="ListBullet"/>
        <w:rPr>
          <w:rFonts w:ascii="Segoe UI" w:hAnsi="Segoe UI" w:cs="Segoe UI"/>
        </w:rPr>
      </w:pPr>
      <w:r w:rsidRPr="00F6415D">
        <w:rPr>
          <w:rFonts w:ascii="Segoe UI" w:hAnsi="Segoe UI" w:cs="Segoe UI"/>
        </w:rPr>
        <w:lastRenderedPageBreak/>
        <w:t>Home care package - consumers contributed approximately $150 million toward the cost of their care through basic daily fees and income-tested care fees.</w:t>
      </w:r>
    </w:p>
    <w:p w:rsidR="00CE1469" w:rsidRPr="00F6415D" w:rsidRDefault="00CE1469" w:rsidP="001104E6">
      <w:pPr>
        <w:pStyle w:val="ListBullet"/>
        <w:rPr>
          <w:rFonts w:ascii="Segoe UI" w:hAnsi="Segoe UI" w:cs="Segoe UI"/>
        </w:rPr>
      </w:pPr>
      <w:r w:rsidRPr="00F6415D">
        <w:rPr>
          <w:rFonts w:ascii="Segoe UI" w:hAnsi="Segoe UI" w:cs="Segoe UI"/>
        </w:rPr>
        <w:t>Residential aged care - consumers contributed approximately $4.4 billion towards their living expenses, care and accommodation (excluding lump sum accommodation deposits).</w:t>
      </w:r>
    </w:p>
    <w:p w:rsidR="00CE1469" w:rsidRPr="00F6415D" w:rsidRDefault="00CE1469" w:rsidP="001104E6">
      <w:pPr>
        <w:pStyle w:val="Heading4"/>
        <w:rPr>
          <w:rFonts w:ascii="Segoe UI" w:hAnsi="Segoe UI" w:cs="Segoe UI"/>
        </w:rPr>
      </w:pPr>
      <w:r w:rsidRPr="00F6415D">
        <w:rPr>
          <w:rFonts w:ascii="Segoe UI" w:hAnsi="Segoe UI" w:cs="Segoe UI"/>
        </w:rPr>
        <w:t>Setting consumer fees and charges</w:t>
      </w:r>
    </w:p>
    <w:p w:rsidR="00CE1469" w:rsidRPr="00F6415D" w:rsidRDefault="00CE1469" w:rsidP="001104E6">
      <w:pPr>
        <w:pStyle w:val="BodyText"/>
        <w:rPr>
          <w:rFonts w:ascii="Segoe UI" w:hAnsi="Segoe UI" w:cs="Segoe UI"/>
        </w:rPr>
      </w:pPr>
      <w:r w:rsidRPr="00F6415D">
        <w:rPr>
          <w:rFonts w:ascii="Segoe UI" w:hAnsi="Segoe UI" w:cs="Segoe UI"/>
        </w:rPr>
        <w:t xml:space="preserve">Australian Government funded aged care services are subsidised and regulated by the Australian Government, with consumers being asked to contribute to the cost of their care, where they have the capacity to do so. </w:t>
      </w:r>
    </w:p>
    <w:p w:rsidR="00CE1469" w:rsidRPr="00F6415D" w:rsidRDefault="00CE1469" w:rsidP="001104E6">
      <w:pPr>
        <w:pStyle w:val="BodyText"/>
        <w:rPr>
          <w:rFonts w:ascii="Segoe UI" w:hAnsi="Segoe UI" w:cs="Segoe UI"/>
        </w:rPr>
      </w:pPr>
      <w:r w:rsidRPr="00F6415D">
        <w:rPr>
          <w:rFonts w:ascii="Segoe UI" w:hAnsi="Segoe UI" w:cs="Segoe UI"/>
        </w:rPr>
        <w:t xml:space="preserve">For both home care and residential care, means testing arrangements introduced from 1 July 2014 have been designed to improve the long-term sustainability of aged care in terms of affordability for Government and taxpayers. </w:t>
      </w:r>
    </w:p>
    <w:p w:rsidR="00CE1469" w:rsidRPr="00F6415D" w:rsidRDefault="00CE1469" w:rsidP="001104E6">
      <w:pPr>
        <w:pStyle w:val="BodyText"/>
        <w:rPr>
          <w:rFonts w:ascii="Segoe UI" w:hAnsi="Segoe UI" w:cs="Segoe UI"/>
        </w:rPr>
      </w:pPr>
      <w:r w:rsidRPr="00F6415D">
        <w:rPr>
          <w:rFonts w:ascii="Segoe UI" w:hAnsi="Segoe UI" w:cs="Segoe UI"/>
        </w:rPr>
        <w:t xml:space="preserve">The maximum fees payable for home care, transition care, short-term restorative care, National Aboriginal and Torres Strait Islander flexible aged care program, residential respite care, Multi-Purpose Services (MPS) and residential care are set out in the </w:t>
      </w:r>
      <w:r w:rsidRPr="00F6415D">
        <w:rPr>
          <w:rFonts w:ascii="Segoe UI" w:hAnsi="Segoe UI" w:cs="Segoe UI"/>
          <w:i/>
        </w:rPr>
        <w:t>Aged Care Act 1997</w:t>
      </w:r>
      <w:r w:rsidRPr="00F6415D">
        <w:rPr>
          <w:rFonts w:ascii="Segoe UI" w:hAnsi="Segoe UI" w:cs="Segoe UI"/>
        </w:rPr>
        <w:t xml:space="preserve"> and subordinate legislation, and are indexed. The </w:t>
      </w:r>
      <w:r w:rsidRPr="00F6415D">
        <w:rPr>
          <w:rFonts w:ascii="Segoe UI" w:hAnsi="Segoe UI" w:cs="Segoe UI"/>
          <w:i/>
        </w:rPr>
        <w:t>Consumer Contribution Framework</w:t>
      </w:r>
      <w:r w:rsidRPr="00F6415D">
        <w:rPr>
          <w:rFonts w:ascii="Segoe UI" w:hAnsi="Segoe UI" w:cs="Segoe UI"/>
        </w:rPr>
        <w:t xml:space="preserve"> and the </w:t>
      </w:r>
      <w:r w:rsidRPr="00F6415D">
        <w:rPr>
          <w:rFonts w:ascii="Segoe UI" w:hAnsi="Segoe UI" w:cs="Segoe UI"/>
          <w:i/>
        </w:rPr>
        <w:t>National Guide to the CHSP Consumer Contribution Framework</w:t>
      </w:r>
      <w:r w:rsidRPr="00F6415D">
        <w:rPr>
          <w:rFonts w:ascii="Segoe UI" w:hAnsi="Segoe UI" w:cs="Segoe UI"/>
        </w:rPr>
        <w:t xml:space="preserve"> set out principles to guide CHSP providers in setting and implementing their own consumer contribution policy.</w:t>
      </w:r>
    </w:p>
    <w:p w:rsidR="00CE1469" w:rsidRPr="00F6415D" w:rsidRDefault="00CE1469" w:rsidP="001104E6">
      <w:pPr>
        <w:pStyle w:val="Heading4"/>
        <w:rPr>
          <w:rFonts w:ascii="Segoe UI" w:hAnsi="Segoe UI" w:cs="Segoe UI"/>
        </w:rPr>
      </w:pPr>
      <w:r w:rsidRPr="00F6415D">
        <w:rPr>
          <w:rFonts w:ascii="Segoe UI" w:hAnsi="Segoe UI" w:cs="Segoe UI"/>
        </w:rPr>
        <w:t>Levels of consumer fees and charges</w:t>
      </w:r>
    </w:p>
    <w:p w:rsidR="00FE0CF6" w:rsidRDefault="00CE1469" w:rsidP="001104E6">
      <w:pPr>
        <w:pStyle w:val="BodyText"/>
        <w:rPr>
          <w:rFonts w:ascii="Segoe UI" w:hAnsi="Segoe UI" w:cs="Segoe UI"/>
        </w:rPr>
      </w:pPr>
      <w:bookmarkStart w:id="76" w:name="_Toc527564617"/>
      <w:bookmarkStart w:id="77" w:name="_Toc528224245"/>
      <w:bookmarkStart w:id="78" w:name="_Toc528861128"/>
      <w:bookmarkStart w:id="79" w:name="_Toc529890569"/>
      <w:bookmarkStart w:id="80" w:name="_Toc524605293"/>
      <w:bookmarkStart w:id="81" w:name="_Toc527561543"/>
      <w:r w:rsidRPr="00F6415D">
        <w:rPr>
          <w:rFonts w:ascii="Segoe UI" w:hAnsi="Segoe UI" w:cs="Segoe UI"/>
        </w:rPr>
        <w:t xml:space="preserve">A summary of Australian Government funded aged care programs and the contributions that are required to be made by consumers are detailed in </w:t>
      </w:r>
      <w:r w:rsidRPr="00F6415D">
        <w:rPr>
          <w:rFonts w:ascii="Segoe UI" w:hAnsi="Segoe UI" w:cs="Segoe UI"/>
        </w:rPr>
        <w:fldChar w:fldCharType="begin"/>
      </w:r>
      <w:r w:rsidRPr="00F6415D">
        <w:rPr>
          <w:rFonts w:ascii="Segoe UI" w:hAnsi="Segoe UI" w:cs="Segoe UI"/>
        </w:rPr>
        <w:instrText xml:space="preserve"> REF _Ref530576164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2</w:t>
      </w:r>
      <w:r w:rsidRPr="00F6415D">
        <w:rPr>
          <w:rFonts w:ascii="Segoe UI" w:hAnsi="Segoe UI" w:cs="Segoe UI"/>
        </w:rPr>
        <w:fldChar w:fldCharType="end"/>
      </w:r>
      <w:r w:rsidRPr="00F6415D">
        <w:rPr>
          <w:rFonts w:ascii="Segoe UI" w:hAnsi="Segoe UI" w:cs="Segoe UI"/>
        </w:rPr>
        <w:t xml:space="preserve"> and </w:t>
      </w:r>
      <w:r w:rsidR="003B03AF" w:rsidRPr="00F6415D">
        <w:rPr>
          <w:rFonts w:ascii="Segoe UI" w:hAnsi="Segoe UI" w:cs="Segoe UI"/>
        </w:rPr>
        <w:fldChar w:fldCharType="begin"/>
      </w:r>
      <w:r w:rsidR="003B03AF" w:rsidRPr="00F6415D">
        <w:rPr>
          <w:rFonts w:ascii="Segoe UI" w:hAnsi="Segoe UI" w:cs="Segoe UI"/>
        </w:rPr>
        <w:instrText xml:space="preserve"> REF _Ref531777877 \w \h </w:instrText>
      </w:r>
      <w:r w:rsidR="00E12DF5" w:rsidRPr="00F6415D">
        <w:rPr>
          <w:rFonts w:ascii="Segoe UI" w:hAnsi="Segoe UI" w:cs="Segoe UI"/>
        </w:rPr>
        <w:instrText xml:space="preserve"> \* MERGEFORMAT </w:instrText>
      </w:r>
      <w:r w:rsidR="003B03AF" w:rsidRPr="00F6415D">
        <w:rPr>
          <w:rFonts w:ascii="Segoe UI" w:hAnsi="Segoe UI" w:cs="Segoe UI"/>
        </w:rPr>
      </w:r>
      <w:r w:rsidR="003B03AF" w:rsidRPr="00F6415D">
        <w:rPr>
          <w:rFonts w:ascii="Segoe UI" w:hAnsi="Segoe UI" w:cs="Segoe UI"/>
        </w:rPr>
        <w:fldChar w:fldCharType="separate"/>
      </w:r>
      <w:r w:rsidR="00C40CA4">
        <w:rPr>
          <w:rFonts w:ascii="Segoe UI" w:hAnsi="Segoe UI" w:cs="Segoe UI"/>
        </w:rPr>
        <w:t>Appendix A</w:t>
      </w:r>
      <w:r w:rsidR="003B03AF" w:rsidRPr="00F6415D">
        <w:rPr>
          <w:rFonts w:ascii="Segoe UI" w:hAnsi="Segoe UI" w:cs="Segoe UI"/>
        </w:rPr>
        <w:fldChar w:fldCharType="end"/>
      </w:r>
      <w:r w:rsidR="003B03AF" w:rsidRPr="00F6415D">
        <w:rPr>
          <w:rFonts w:ascii="Segoe UI" w:hAnsi="Segoe UI" w:cs="Segoe UI"/>
        </w:rPr>
        <w:fldChar w:fldCharType="begin"/>
      </w:r>
      <w:r w:rsidR="003B03AF" w:rsidRPr="00F6415D">
        <w:rPr>
          <w:rFonts w:ascii="Segoe UI" w:hAnsi="Segoe UI" w:cs="Segoe UI"/>
        </w:rPr>
        <w:instrText xml:space="preserve"> REF _Ref531777882 \h </w:instrText>
      </w:r>
      <w:r w:rsidR="00E12DF5" w:rsidRPr="00F6415D">
        <w:rPr>
          <w:rFonts w:ascii="Segoe UI" w:hAnsi="Segoe UI" w:cs="Segoe UI"/>
        </w:rPr>
        <w:instrText xml:space="preserve"> \* MERGEFORMAT </w:instrText>
      </w:r>
      <w:r w:rsidR="003B03AF" w:rsidRPr="00F6415D">
        <w:rPr>
          <w:rFonts w:ascii="Segoe UI" w:hAnsi="Segoe UI" w:cs="Segoe UI"/>
        </w:rPr>
      </w:r>
      <w:r w:rsidR="003B03AF" w:rsidRPr="00F6415D">
        <w:rPr>
          <w:rFonts w:ascii="Segoe UI" w:hAnsi="Segoe UI" w:cs="Segoe UI"/>
        </w:rPr>
        <w:fldChar w:fldCharType="separate"/>
      </w:r>
      <w:r w:rsidR="00C40CA4" w:rsidRPr="00F6415D">
        <w:rPr>
          <w:rFonts w:ascii="Segoe UI" w:eastAsiaTheme="majorEastAsia" w:hAnsi="Segoe UI" w:cs="Segoe UI"/>
        </w:rPr>
        <w:t>: Government and non-government aged care programs and services</w:t>
      </w:r>
      <w:r w:rsidR="003B03AF" w:rsidRPr="00F6415D">
        <w:rPr>
          <w:rFonts w:ascii="Segoe UI" w:hAnsi="Segoe UI" w:cs="Segoe UI"/>
        </w:rPr>
        <w:fldChar w:fldCharType="end"/>
      </w:r>
      <w:r w:rsidRPr="00F6415D">
        <w:rPr>
          <w:rFonts w:ascii="Segoe UI" w:hAnsi="Segoe UI" w:cs="Segoe UI"/>
        </w:rPr>
        <w:t>.</w:t>
      </w:r>
    </w:p>
    <w:p w:rsidR="00FE0CF6" w:rsidRDefault="00FE0CF6" w:rsidP="00FE0CF6">
      <w:r>
        <w:br w:type="page"/>
      </w:r>
    </w:p>
    <w:p w:rsidR="00CE1469" w:rsidRPr="00F6415D" w:rsidRDefault="00CE1469" w:rsidP="001104E6">
      <w:pPr>
        <w:pStyle w:val="BodyText"/>
        <w:rPr>
          <w:rFonts w:ascii="Segoe UI" w:hAnsi="Segoe UI" w:cs="Segoe UI"/>
        </w:rPr>
      </w:pPr>
    </w:p>
    <w:p w:rsidR="00CE1469" w:rsidRPr="00F6415D" w:rsidRDefault="00CE1469" w:rsidP="000C2372">
      <w:pPr>
        <w:pStyle w:val="TableTitle"/>
        <w:ind w:left="-142" w:firstLine="0"/>
        <w:rPr>
          <w:rFonts w:ascii="Segoe UI" w:hAnsi="Segoe UI" w:cs="Segoe UI"/>
          <w:i/>
        </w:rPr>
      </w:pPr>
      <w:bookmarkStart w:id="82" w:name="_Ref530459724"/>
      <w:bookmarkStart w:id="83" w:name="_Ref530576164"/>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2</w:t>
      </w:r>
      <w:r w:rsidRPr="00F6415D">
        <w:rPr>
          <w:rFonts w:ascii="Segoe UI" w:hAnsi="Segoe UI" w:cs="Segoe UI"/>
          <w:i/>
          <w:noProof/>
        </w:rPr>
        <w:fldChar w:fldCharType="end"/>
      </w:r>
      <w:bookmarkEnd w:id="82"/>
      <w:bookmarkEnd w:id="83"/>
      <w:r w:rsidRPr="00F6415D">
        <w:rPr>
          <w:rFonts w:ascii="Segoe UI" w:hAnsi="Segoe UI" w:cs="Segoe UI"/>
          <w:i/>
        </w:rPr>
        <w:t xml:space="preserve">: Australian Government funded </w:t>
      </w:r>
      <w:r w:rsidR="000C2372" w:rsidRPr="00F6415D">
        <w:rPr>
          <w:rFonts w:ascii="Segoe UI" w:hAnsi="Segoe UI" w:cs="Segoe UI"/>
          <w:i/>
        </w:rPr>
        <w:t xml:space="preserve">aged care programs and consumer </w:t>
      </w:r>
      <w:r w:rsidRPr="00F6415D">
        <w:rPr>
          <w:rFonts w:ascii="Segoe UI" w:hAnsi="Segoe UI" w:cs="Segoe UI"/>
          <w:i/>
        </w:rPr>
        <w:t>contributions</w:t>
      </w:r>
      <w:bookmarkStart w:id="84" w:name="start2"/>
      <w:bookmarkEnd w:id="84"/>
    </w:p>
    <w:tbl>
      <w:tblPr>
        <w:tblStyle w:val="TableGrid"/>
        <w:tblW w:w="5119" w:type="pct"/>
        <w:tblLayout w:type="fixed"/>
        <w:tblLook w:val="04A0" w:firstRow="1" w:lastRow="0" w:firstColumn="1" w:lastColumn="0" w:noHBand="0" w:noVBand="1"/>
        <w:tblCaption w:val="Table 2: Australian Government funded aged care programs and consumer contributions"/>
        <w:tblDescription w:val="Table 2 details 8 Australian Government funded aged care programs and the various consumer contributions. "/>
      </w:tblPr>
      <w:tblGrid>
        <w:gridCol w:w="1836"/>
        <w:gridCol w:w="1243"/>
        <w:gridCol w:w="34"/>
        <w:gridCol w:w="1149"/>
        <w:gridCol w:w="197"/>
        <w:gridCol w:w="1150"/>
        <w:gridCol w:w="1197"/>
        <w:gridCol w:w="150"/>
        <w:gridCol w:w="1544"/>
      </w:tblGrid>
      <w:tr w:rsidR="00CE1469" w:rsidRPr="00F6415D" w:rsidTr="00861FD3">
        <w:trPr>
          <w:cantSplit/>
          <w:tblHeader/>
        </w:trPr>
        <w:tc>
          <w:tcPr>
            <w:tcW w:w="1887" w:type="dxa"/>
            <w:shd w:val="clear" w:color="auto" w:fill="00338D"/>
          </w:tcPr>
          <w:p w:rsidR="00CE1469" w:rsidRPr="00F6415D" w:rsidRDefault="00CE1469" w:rsidP="00DC338F">
            <w:pPr>
              <w:pStyle w:val="Tableheading"/>
              <w:rPr>
                <w:rFonts w:ascii="Segoe UI" w:hAnsi="Segoe UI" w:cs="Segoe UI"/>
              </w:rPr>
            </w:pPr>
            <w:r w:rsidRPr="00F6415D">
              <w:rPr>
                <w:rFonts w:ascii="Segoe UI" w:hAnsi="Segoe UI" w:cs="Segoe UI"/>
              </w:rPr>
              <w:t>Commonwealth funded program</w:t>
            </w:r>
          </w:p>
        </w:tc>
        <w:tc>
          <w:tcPr>
            <w:tcW w:w="6844" w:type="dxa"/>
            <w:gridSpan w:val="8"/>
            <w:shd w:val="clear" w:color="auto" w:fill="00338D"/>
          </w:tcPr>
          <w:p w:rsidR="00CE1469" w:rsidRPr="00F6415D" w:rsidRDefault="00CE1469" w:rsidP="00DC338F">
            <w:pPr>
              <w:pStyle w:val="Tableheading"/>
              <w:rPr>
                <w:rFonts w:ascii="Segoe UI" w:hAnsi="Segoe UI" w:cs="Segoe UI"/>
              </w:rPr>
            </w:pPr>
            <w:r w:rsidRPr="00F6415D">
              <w:rPr>
                <w:rFonts w:ascii="Segoe UI" w:hAnsi="Segoe UI" w:cs="Segoe UI"/>
              </w:rPr>
              <w:t>Consumer contributions/fees</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t>Commonwealth Home Support Programme (CHSP)</w:t>
            </w:r>
          </w:p>
        </w:tc>
        <w:tc>
          <w:tcPr>
            <w:tcW w:w="6843" w:type="dxa"/>
            <w:gridSpan w:val="8"/>
          </w:tcPr>
          <w:p w:rsidR="00CE1469" w:rsidRPr="00F6415D" w:rsidRDefault="00CE1469" w:rsidP="00DC338F">
            <w:pPr>
              <w:pStyle w:val="Tabletext1"/>
              <w:rPr>
                <w:rFonts w:ascii="Segoe UI" w:hAnsi="Segoe UI" w:cs="Segoe UI"/>
              </w:rPr>
            </w:pPr>
            <w:r w:rsidRPr="00F6415D">
              <w:rPr>
                <w:rFonts w:ascii="Segoe UI" w:hAnsi="Segoe UI" w:cs="Segoe UI"/>
              </w:rPr>
              <w:t>Variable - determined on an individual consumer basis between the consumer and the provider (based on consumer affordability and provider objectives)</w:t>
            </w:r>
          </w:p>
        </w:tc>
      </w:tr>
      <w:tr w:rsidR="00CE1469" w:rsidRPr="00F6415D" w:rsidTr="008A7AF3">
        <w:trPr>
          <w:cantSplit/>
        </w:trPr>
        <w:tc>
          <w:tcPr>
            <w:tcW w:w="1888" w:type="dxa"/>
            <w:vMerge w:val="restart"/>
          </w:tcPr>
          <w:p w:rsidR="00CE1469" w:rsidRPr="00F6415D" w:rsidRDefault="00CE1469" w:rsidP="00DC338F">
            <w:pPr>
              <w:pStyle w:val="Tabletext1"/>
              <w:rPr>
                <w:rFonts w:ascii="Segoe UI" w:hAnsi="Segoe UI" w:cs="Segoe UI"/>
                <w:b/>
              </w:rPr>
            </w:pPr>
            <w:r w:rsidRPr="00F6415D">
              <w:rPr>
                <w:rFonts w:ascii="Segoe UI" w:hAnsi="Segoe UI" w:cs="Segoe UI"/>
                <w:b/>
              </w:rPr>
              <w:t>Home care packages</w:t>
            </w:r>
          </w:p>
        </w:tc>
        <w:tc>
          <w:tcPr>
            <w:tcW w:w="1276" w:type="dxa"/>
          </w:tcPr>
          <w:p w:rsidR="00CE1469" w:rsidRPr="00F6415D" w:rsidRDefault="00CE1469" w:rsidP="00DC338F">
            <w:pPr>
              <w:pStyle w:val="Tabletext1"/>
              <w:rPr>
                <w:rFonts w:ascii="Segoe UI" w:hAnsi="Segoe UI" w:cs="Segoe UI"/>
              </w:rPr>
            </w:pPr>
          </w:p>
        </w:tc>
        <w:tc>
          <w:tcPr>
            <w:tcW w:w="1417" w:type="dxa"/>
            <w:gridSpan w:val="3"/>
          </w:tcPr>
          <w:p w:rsidR="00CE1469" w:rsidRPr="00F6415D" w:rsidRDefault="00CE1469" w:rsidP="00DC338F">
            <w:pPr>
              <w:pStyle w:val="Tabletext1"/>
              <w:rPr>
                <w:rFonts w:ascii="Segoe UI" w:hAnsi="Segoe UI" w:cs="Segoe UI"/>
              </w:rPr>
            </w:pPr>
            <w:r w:rsidRPr="00F6415D">
              <w:rPr>
                <w:rFonts w:ascii="Segoe UI" w:hAnsi="Segoe UI" w:cs="Segoe UI"/>
                <w:bCs/>
                <w:lang w:eastAsia="en-AU"/>
              </w:rPr>
              <w:t>Aged care fee</w:t>
            </w:r>
          </w:p>
        </w:tc>
        <w:tc>
          <w:tcPr>
            <w:tcW w:w="2410" w:type="dxa"/>
            <w:gridSpan w:val="2"/>
          </w:tcPr>
          <w:p w:rsidR="00CE1469" w:rsidRPr="00F6415D" w:rsidRDefault="00CE1469" w:rsidP="00DC338F">
            <w:pPr>
              <w:pStyle w:val="Tabletext1"/>
              <w:rPr>
                <w:rFonts w:ascii="Segoe UI" w:hAnsi="Segoe UI" w:cs="Segoe UI"/>
              </w:rPr>
            </w:pPr>
            <w:r w:rsidRPr="00F6415D">
              <w:rPr>
                <w:rFonts w:ascii="Segoe UI" w:hAnsi="Segoe UI" w:cs="Segoe UI"/>
                <w:bCs/>
                <w:lang w:eastAsia="en-AU"/>
              </w:rPr>
              <w:t>Level 1</w:t>
            </w:r>
          </w:p>
        </w:tc>
        <w:tc>
          <w:tcPr>
            <w:tcW w:w="1740" w:type="dxa"/>
            <w:gridSpan w:val="2"/>
          </w:tcPr>
          <w:p w:rsidR="00CE1469" w:rsidRPr="00F6415D" w:rsidRDefault="00CE1469" w:rsidP="00DC338F">
            <w:pPr>
              <w:pStyle w:val="Tabletext1"/>
              <w:rPr>
                <w:rFonts w:ascii="Segoe UI" w:hAnsi="Segoe UI" w:cs="Segoe UI"/>
              </w:rPr>
            </w:pPr>
            <w:r w:rsidRPr="00F6415D">
              <w:rPr>
                <w:rFonts w:ascii="Segoe UI" w:hAnsi="Segoe UI" w:cs="Segoe UI"/>
                <w:bCs/>
                <w:lang w:eastAsia="en-AU"/>
              </w:rPr>
              <w:t>Level 2 - 4</w:t>
            </w:r>
          </w:p>
        </w:tc>
      </w:tr>
      <w:tr w:rsidR="00CE1469" w:rsidRPr="00F6415D" w:rsidTr="008A7AF3">
        <w:trPr>
          <w:cantSplit/>
        </w:trPr>
        <w:tc>
          <w:tcPr>
            <w:tcW w:w="1888" w:type="dxa"/>
            <w:vMerge/>
          </w:tcPr>
          <w:p w:rsidR="00CE1469" w:rsidRPr="00F6415D" w:rsidRDefault="00CE1469" w:rsidP="00DC338F">
            <w:pPr>
              <w:pStyle w:val="Tabletext1"/>
              <w:rPr>
                <w:rFonts w:ascii="Segoe UI" w:hAnsi="Segoe UI" w:cs="Segoe UI"/>
              </w:rPr>
            </w:pPr>
          </w:p>
        </w:tc>
        <w:tc>
          <w:tcPr>
            <w:tcW w:w="1276" w:type="dxa"/>
            <w:tcBorders>
              <w:bottom w:val="single" w:sz="4" w:space="0" w:color="auto"/>
            </w:tcBorders>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Fully supported (likely pensioner)</w:t>
            </w:r>
          </w:p>
        </w:tc>
        <w:tc>
          <w:tcPr>
            <w:tcW w:w="1417" w:type="dxa"/>
            <w:gridSpan w:val="3"/>
            <w:tcBorders>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basic daily fee</w:t>
            </w:r>
          </w:p>
        </w:tc>
        <w:tc>
          <w:tcPr>
            <w:tcW w:w="2410" w:type="dxa"/>
            <w:gridSpan w:val="2"/>
            <w:tcBorders>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c>
          <w:tcPr>
            <w:tcW w:w="1740" w:type="dxa"/>
            <w:gridSpan w:val="2"/>
            <w:tcBorders>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r>
      <w:tr w:rsidR="00CE1469" w:rsidRPr="00F6415D" w:rsidTr="008A7AF3">
        <w:trPr>
          <w:cantSplit/>
        </w:trPr>
        <w:tc>
          <w:tcPr>
            <w:tcW w:w="1888" w:type="dxa"/>
            <w:vMerge w:val="restart"/>
          </w:tcPr>
          <w:p w:rsidR="00CE1469" w:rsidRPr="00F6415D" w:rsidRDefault="00CE1469" w:rsidP="00DC338F">
            <w:pPr>
              <w:pStyle w:val="Tabletext1"/>
              <w:rPr>
                <w:rFonts w:ascii="Segoe UI" w:hAnsi="Segoe UI" w:cs="Segoe UI"/>
              </w:rPr>
            </w:pPr>
          </w:p>
        </w:tc>
        <w:tc>
          <w:tcPr>
            <w:tcW w:w="1276" w:type="dxa"/>
            <w:vMerge w:val="restart"/>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Partially supported (likely part-pensioner)</w:t>
            </w:r>
          </w:p>
        </w:tc>
        <w:tc>
          <w:tcPr>
            <w:tcW w:w="1417" w:type="dxa"/>
            <w:gridSpan w:val="3"/>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basic daily fee</w:t>
            </w:r>
          </w:p>
        </w:tc>
        <w:tc>
          <w:tcPr>
            <w:tcW w:w="2410" w:type="dxa"/>
            <w:gridSpan w:val="2"/>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c>
          <w:tcPr>
            <w:tcW w:w="1740" w:type="dxa"/>
            <w:gridSpan w:val="2"/>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r>
      <w:tr w:rsidR="00CE1469" w:rsidRPr="00F6415D" w:rsidTr="008A7AF3">
        <w:trPr>
          <w:cantSplit/>
        </w:trPr>
        <w:tc>
          <w:tcPr>
            <w:tcW w:w="1888" w:type="dxa"/>
            <w:vMerge/>
          </w:tcPr>
          <w:p w:rsidR="00CE1469" w:rsidRPr="00F6415D" w:rsidRDefault="00CE1469" w:rsidP="00DC338F">
            <w:pPr>
              <w:pStyle w:val="Tabletext1"/>
              <w:rPr>
                <w:rFonts w:ascii="Segoe UI" w:hAnsi="Segoe UI" w:cs="Segoe UI"/>
              </w:rPr>
            </w:pPr>
          </w:p>
        </w:tc>
        <w:tc>
          <w:tcPr>
            <w:tcW w:w="1276" w:type="dxa"/>
            <w:vMerge/>
            <w:tcBorders>
              <w:bottom w:val="single" w:sz="4" w:space="0" w:color="auto"/>
            </w:tcBorders>
          </w:tcPr>
          <w:p w:rsidR="00CE1469" w:rsidRPr="00F6415D" w:rsidRDefault="00CE1469" w:rsidP="00DC338F">
            <w:pPr>
              <w:pStyle w:val="Tabletext1"/>
              <w:rPr>
                <w:rFonts w:ascii="Segoe UI" w:hAnsi="Segoe UI" w:cs="Segoe UI"/>
              </w:rPr>
            </w:pPr>
          </w:p>
        </w:tc>
        <w:tc>
          <w:tcPr>
            <w:tcW w:w="1417" w:type="dxa"/>
            <w:gridSpan w:val="3"/>
            <w:tcBorders>
              <w:top w:val="nil"/>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income-tested care fee</w:t>
            </w:r>
          </w:p>
        </w:tc>
        <w:tc>
          <w:tcPr>
            <w:tcW w:w="2410" w:type="dxa"/>
            <w:gridSpan w:val="2"/>
            <w:tcBorders>
              <w:top w:val="nil"/>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$0 to $5,392.91</w:t>
            </w:r>
          </w:p>
        </w:tc>
        <w:tc>
          <w:tcPr>
            <w:tcW w:w="1740" w:type="dxa"/>
            <w:gridSpan w:val="2"/>
            <w:tcBorders>
              <w:top w:val="nil"/>
              <w:bottom w:val="single" w:sz="4" w:space="0" w:color="auto"/>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$0 to $5,392.91</w:t>
            </w:r>
          </w:p>
        </w:tc>
      </w:tr>
      <w:tr w:rsidR="00CE1469" w:rsidRPr="00F6415D" w:rsidTr="008A7AF3">
        <w:trPr>
          <w:cantSplit/>
        </w:trPr>
        <w:tc>
          <w:tcPr>
            <w:tcW w:w="1888" w:type="dxa"/>
            <w:vMerge w:val="restart"/>
          </w:tcPr>
          <w:p w:rsidR="00CE1469" w:rsidRPr="00F6415D" w:rsidRDefault="00CE1469" w:rsidP="00DC338F">
            <w:pPr>
              <w:pStyle w:val="Tabletext1"/>
              <w:rPr>
                <w:rFonts w:ascii="Segoe UI" w:hAnsi="Segoe UI" w:cs="Segoe UI"/>
              </w:rPr>
            </w:pPr>
          </w:p>
        </w:tc>
        <w:tc>
          <w:tcPr>
            <w:tcW w:w="1276" w:type="dxa"/>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Self-funded retiree</w:t>
            </w:r>
          </w:p>
        </w:tc>
        <w:tc>
          <w:tcPr>
            <w:tcW w:w="1417" w:type="dxa"/>
            <w:gridSpan w:val="3"/>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basic daily fee</w:t>
            </w:r>
          </w:p>
        </w:tc>
        <w:tc>
          <w:tcPr>
            <w:tcW w:w="2410" w:type="dxa"/>
            <w:gridSpan w:val="2"/>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c>
          <w:tcPr>
            <w:tcW w:w="1740" w:type="dxa"/>
            <w:gridSpan w:val="2"/>
            <w:tcBorders>
              <w:bottom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$3,766.80</w:t>
            </w:r>
          </w:p>
        </w:tc>
      </w:tr>
      <w:tr w:rsidR="00CE1469" w:rsidRPr="00F6415D" w:rsidTr="008A7AF3">
        <w:trPr>
          <w:cantSplit/>
        </w:trPr>
        <w:tc>
          <w:tcPr>
            <w:tcW w:w="1888" w:type="dxa"/>
            <w:vMerge/>
          </w:tcPr>
          <w:p w:rsidR="00CE1469" w:rsidRPr="00F6415D" w:rsidRDefault="00CE1469" w:rsidP="00DC338F">
            <w:pPr>
              <w:pStyle w:val="Tabletext1"/>
              <w:rPr>
                <w:rFonts w:ascii="Segoe UI" w:hAnsi="Segoe UI" w:cs="Segoe UI"/>
              </w:rPr>
            </w:pPr>
          </w:p>
        </w:tc>
        <w:tc>
          <w:tcPr>
            <w:tcW w:w="1276" w:type="dxa"/>
            <w:tcBorders>
              <w:top w:val="nil"/>
            </w:tcBorders>
          </w:tcPr>
          <w:p w:rsidR="00CE1469" w:rsidRPr="00F6415D" w:rsidRDefault="00CE1469" w:rsidP="00DC338F">
            <w:pPr>
              <w:pStyle w:val="Tabletext1"/>
              <w:rPr>
                <w:rFonts w:ascii="Segoe UI" w:hAnsi="Segoe UI" w:cs="Segoe UI"/>
              </w:rPr>
            </w:pPr>
          </w:p>
        </w:tc>
        <w:tc>
          <w:tcPr>
            <w:tcW w:w="1417" w:type="dxa"/>
            <w:gridSpan w:val="3"/>
            <w:tcBorders>
              <w:top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income-tested care fee</w:t>
            </w:r>
          </w:p>
        </w:tc>
        <w:tc>
          <w:tcPr>
            <w:tcW w:w="2410" w:type="dxa"/>
            <w:gridSpan w:val="2"/>
            <w:tcBorders>
              <w:top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$5,392.91 to $8,270.90</w:t>
            </w:r>
          </w:p>
        </w:tc>
        <w:tc>
          <w:tcPr>
            <w:tcW w:w="1740" w:type="dxa"/>
            <w:gridSpan w:val="2"/>
            <w:tcBorders>
              <w:top w:val="nil"/>
            </w:tcBorders>
          </w:tcPr>
          <w:p w:rsidR="00CE1469" w:rsidRPr="00F6415D" w:rsidRDefault="00CE1469" w:rsidP="00DC338F">
            <w:pPr>
              <w:pStyle w:val="Tabletext1"/>
              <w:rPr>
                <w:rFonts w:ascii="Segoe UI" w:hAnsi="Segoe UI" w:cs="Segoe UI"/>
              </w:rPr>
            </w:pPr>
            <w:r w:rsidRPr="00F6415D">
              <w:rPr>
                <w:rFonts w:ascii="Segoe UI" w:hAnsi="Segoe UI" w:cs="Segoe UI"/>
                <w:lang w:eastAsia="en-AU"/>
              </w:rPr>
              <w:t xml:space="preserve">$5,392.91 to </w:t>
            </w:r>
            <w:r w:rsidR="00B30817" w:rsidRPr="00F6415D">
              <w:rPr>
                <w:rFonts w:ascii="Segoe UI" w:hAnsi="Segoe UI" w:cs="Segoe UI"/>
                <w:lang w:eastAsia="en-AU"/>
              </w:rPr>
              <w:t>$</w:t>
            </w:r>
            <w:r w:rsidRPr="00F6415D">
              <w:rPr>
                <w:rFonts w:ascii="Segoe UI" w:hAnsi="Segoe UI" w:cs="Segoe UI"/>
                <w:lang w:eastAsia="en-AU"/>
              </w:rPr>
              <w:t>10,785.85</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t>Transition care program</w:t>
            </w:r>
          </w:p>
        </w:tc>
        <w:tc>
          <w:tcPr>
            <w:tcW w:w="6843" w:type="dxa"/>
            <w:gridSpan w:val="8"/>
          </w:tcPr>
          <w:p w:rsidR="00CE1469" w:rsidRPr="00F6415D" w:rsidRDefault="00CE1469" w:rsidP="00DC338F">
            <w:pPr>
              <w:pStyle w:val="TableBullet1"/>
              <w:rPr>
                <w:rFonts w:ascii="Segoe UI" w:hAnsi="Segoe UI" w:cs="Segoe UI"/>
              </w:rPr>
            </w:pPr>
            <w:r w:rsidRPr="00F6415D">
              <w:rPr>
                <w:rFonts w:ascii="Segoe UI" w:hAnsi="Segoe UI" w:cs="Segoe UI"/>
              </w:rPr>
              <w:t xml:space="preserve">Home setting: basic daily fee $10.32 per day or $3,766.80 per year Residential setting: basic daily fee $50.16 per day or $18,308.40 per year </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t>Short-term restorative care (STRC)</w:t>
            </w:r>
          </w:p>
        </w:tc>
        <w:tc>
          <w:tcPr>
            <w:tcW w:w="6843" w:type="dxa"/>
            <w:gridSpan w:val="8"/>
          </w:tcPr>
          <w:p w:rsidR="00CE1469" w:rsidRPr="00F6415D" w:rsidRDefault="00CE1469" w:rsidP="00DC338F">
            <w:pPr>
              <w:pStyle w:val="TableBullet1"/>
              <w:rPr>
                <w:rFonts w:ascii="Segoe UI" w:hAnsi="Segoe UI" w:cs="Segoe UI"/>
              </w:rPr>
            </w:pPr>
            <w:r w:rsidRPr="00F6415D">
              <w:rPr>
                <w:rFonts w:ascii="Segoe UI" w:hAnsi="Segoe UI" w:cs="Segoe UI"/>
              </w:rPr>
              <w:t xml:space="preserve">Home setting: basic daily fee $10.32 per day or $3,766.80 per year Residential setting: basic daily fee $50.16 per day or $18,308.40 per year </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lastRenderedPageBreak/>
              <w:t>National Aboriginal and Torres Strait Islander Flexible Aged Care Program</w:t>
            </w:r>
          </w:p>
        </w:tc>
        <w:tc>
          <w:tcPr>
            <w:tcW w:w="6843" w:type="dxa"/>
            <w:gridSpan w:val="8"/>
          </w:tcPr>
          <w:p w:rsidR="00CE1469" w:rsidRPr="00F6415D" w:rsidRDefault="00CE1469" w:rsidP="00DC338F">
            <w:pPr>
              <w:pStyle w:val="TableBullet1"/>
              <w:rPr>
                <w:rFonts w:ascii="Segoe UI" w:hAnsi="Segoe UI" w:cs="Segoe UI"/>
              </w:rPr>
            </w:pPr>
            <w:r w:rsidRPr="00F6415D">
              <w:rPr>
                <w:rFonts w:ascii="Segoe UI" w:hAnsi="Segoe UI" w:cs="Segoe UI"/>
              </w:rPr>
              <w:t>Home setting: basic daily fee $10.32 per day or $3,766.80 per year</w:t>
            </w:r>
          </w:p>
          <w:p w:rsidR="00CE1469" w:rsidRPr="00F6415D" w:rsidRDefault="00CE1469" w:rsidP="00DC338F">
            <w:pPr>
              <w:pStyle w:val="TableBullet1"/>
              <w:rPr>
                <w:rFonts w:ascii="Segoe UI" w:hAnsi="Segoe UI" w:cs="Segoe UI"/>
              </w:rPr>
            </w:pPr>
            <w:r w:rsidRPr="00F6415D">
              <w:rPr>
                <w:rFonts w:ascii="Segoe UI" w:hAnsi="Segoe UI" w:cs="Segoe UI"/>
              </w:rPr>
              <w:t xml:space="preserve">Residential setting: basic daily fee $50.16 per day or $18,308.40 per year </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t>Residential Respite Care</w:t>
            </w:r>
          </w:p>
        </w:tc>
        <w:tc>
          <w:tcPr>
            <w:tcW w:w="6843" w:type="dxa"/>
            <w:gridSpan w:val="8"/>
          </w:tcPr>
          <w:p w:rsidR="00CE1469" w:rsidRPr="00F6415D" w:rsidRDefault="00CE1469" w:rsidP="00DC338F">
            <w:pPr>
              <w:pStyle w:val="TableBullet1"/>
              <w:rPr>
                <w:rFonts w:ascii="Segoe UI" w:hAnsi="Segoe UI" w:cs="Segoe UI"/>
              </w:rPr>
            </w:pPr>
            <w:r w:rsidRPr="00F6415D">
              <w:rPr>
                <w:rFonts w:ascii="Segoe UI" w:hAnsi="Segoe UI" w:cs="Segoe UI"/>
              </w:rPr>
              <w:t>basic daily fee $50.16 per day or $18,308.40 per year</w:t>
            </w:r>
          </w:p>
        </w:tc>
      </w:tr>
      <w:tr w:rsidR="00861FD3" w:rsidRPr="00F6415D" w:rsidTr="00861FD3">
        <w:trPr>
          <w:cantSplit/>
        </w:trPr>
        <w:tc>
          <w:tcPr>
            <w:tcW w:w="1887" w:type="dxa"/>
          </w:tcPr>
          <w:p w:rsidR="00861FD3" w:rsidRPr="00F6415D" w:rsidRDefault="00861FD3" w:rsidP="00861FD3">
            <w:pPr>
              <w:pStyle w:val="Tabletext1"/>
              <w:rPr>
                <w:rFonts w:ascii="Segoe UI" w:hAnsi="Segoe UI" w:cs="Segoe UI"/>
                <w:b/>
              </w:rPr>
            </w:pPr>
            <w:r w:rsidRPr="00F6415D">
              <w:rPr>
                <w:rFonts w:ascii="Segoe UI" w:hAnsi="Segoe UI" w:cs="Segoe UI"/>
                <w:b/>
              </w:rPr>
              <w:t>Residential care</w:t>
            </w:r>
          </w:p>
        </w:tc>
        <w:tc>
          <w:tcPr>
            <w:tcW w:w="1311" w:type="dxa"/>
            <w:gridSpan w:val="2"/>
            <w:vAlign w:val="center"/>
          </w:tcPr>
          <w:p w:rsidR="00861FD3" w:rsidRPr="00F6415D" w:rsidRDefault="00861FD3" w:rsidP="00861FD3">
            <w:pPr>
              <w:pStyle w:val="ListBullet"/>
              <w:numPr>
                <w:ilvl w:val="0"/>
                <w:numId w:val="0"/>
              </w:numPr>
              <w:ind w:left="340" w:hanging="340"/>
              <w:jc w:val="center"/>
              <w:rPr>
                <w:rFonts w:ascii="Segoe UI" w:hAnsi="Segoe UI" w:cs="Segoe UI"/>
                <w:color w:val="4A442A" w:themeColor="background2" w:themeShade="40"/>
                <w:sz w:val="18"/>
                <w:szCs w:val="18"/>
              </w:rPr>
            </w:pPr>
          </w:p>
        </w:tc>
        <w:tc>
          <w:tcPr>
            <w:tcW w:w="1179" w:type="dxa"/>
            <w:vAlign w:val="center"/>
          </w:tcPr>
          <w:p w:rsidR="00861FD3" w:rsidRPr="00F6415D" w:rsidRDefault="00861FD3" w:rsidP="00861FD3">
            <w:pPr>
              <w:pStyle w:val="Tabletext1"/>
              <w:rPr>
                <w:rFonts w:ascii="Segoe UI" w:hAnsi="Segoe UI" w:cs="Segoe UI"/>
                <w:b/>
                <w:sz w:val="24"/>
                <w:szCs w:val="24"/>
              </w:rPr>
            </w:pPr>
            <w:r>
              <w:rPr>
                <w:rFonts w:ascii="Segoe UI" w:hAnsi="Segoe UI" w:cs="Segoe UI"/>
                <w:b/>
                <w:sz w:val="24"/>
                <w:szCs w:val="24"/>
              </w:rPr>
              <w:t>B</w:t>
            </w:r>
            <w:r w:rsidRPr="00F6415D">
              <w:rPr>
                <w:rFonts w:ascii="Segoe UI" w:hAnsi="Segoe UI" w:cs="Segoe UI"/>
                <w:b/>
                <w:sz w:val="24"/>
                <w:szCs w:val="24"/>
              </w:rPr>
              <w:t>asic daily fee</w:t>
            </w:r>
          </w:p>
        </w:tc>
        <w:tc>
          <w:tcPr>
            <w:tcW w:w="1384" w:type="dxa"/>
            <w:gridSpan w:val="2"/>
            <w:vAlign w:val="center"/>
          </w:tcPr>
          <w:p w:rsidR="00861FD3" w:rsidRPr="00F6415D" w:rsidRDefault="00861FD3" w:rsidP="00861FD3">
            <w:pPr>
              <w:pStyle w:val="Tabletext1"/>
              <w:rPr>
                <w:rFonts w:ascii="Segoe UI" w:hAnsi="Segoe UI" w:cs="Segoe UI"/>
                <w:b/>
                <w:sz w:val="24"/>
                <w:szCs w:val="24"/>
              </w:rPr>
            </w:pPr>
            <w:r>
              <w:rPr>
                <w:rFonts w:ascii="Segoe UI" w:hAnsi="Segoe UI" w:cs="Segoe UI"/>
                <w:b/>
                <w:sz w:val="24"/>
                <w:szCs w:val="24"/>
              </w:rPr>
              <w:t>E</w:t>
            </w:r>
            <w:r w:rsidRPr="00F6415D">
              <w:rPr>
                <w:rFonts w:ascii="Segoe UI" w:hAnsi="Segoe UI" w:cs="Segoe UI"/>
                <w:b/>
                <w:sz w:val="24"/>
                <w:szCs w:val="24"/>
              </w:rPr>
              <w:t>xtra service fee/</w:t>
            </w:r>
          </w:p>
          <w:p w:rsidR="00861FD3" w:rsidRPr="00F6415D" w:rsidRDefault="00861FD3" w:rsidP="00861FD3">
            <w:pPr>
              <w:pStyle w:val="Tabletext1"/>
              <w:rPr>
                <w:rFonts w:ascii="Segoe UI" w:hAnsi="Segoe UI" w:cs="Segoe UI"/>
                <w:b/>
                <w:sz w:val="24"/>
                <w:szCs w:val="24"/>
              </w:rPr>
            </w:pPr>
            <w:r w:rsidRPr="00F6415D">
              <w:rPr>
                <w:rFonts w:ascii="Segoe UI" w:hAnsi="Segoe UI" w:cs="Segoe UI"/>
                <w:b/>
                <w:sz w:val="24"/>
                <w:szCs w:val="24"/>
              </w:rPr>
              <w:t>additional service fees</w:t>
            </w:r>
          </w:p>
        </w:tc>
        <w:tc>
          <w:tcPr>
            <w:tcW w:w="1383" w:type="dxa"/>
            <w:gridSpan w:val="2"/>
            <w:vAlign w:val="center"/>
          </w:tcPr>
          <w:p w:rsidR="00861FD3" w:rsidRPr="00F6415D" w:rsidRDefault="00861FD3" w:rsidP="00861FD3">
            <w:pPr>
              <w:pStyle w:val="Tabletext1"/>
              <w:rPr>
                <w:rFonts w:ascii="Segoe UI" w:hAnsi="Segoe UI" w:cs="Segoe UI"/>
                <w:b/>
                <w:sz w:val="24"/>
                <w:szCs w:val="24"/>
              </w:rPr>
            </w:pPr>
            <w:r>
              <w:rPr>
                <w:rFonts w:ascii="Segoe UI" w:hAnsi="Segoe UI" w:cs="Segoe UI"/>
                <w:b/>
                <w:sz w:val="24"/>
                <w:szCs w:val="24"/>
              </w:rPr>
              <w:t>A</w:t>
            </w:r>
            <w:r w:rsidRPr="00F6415D">
              <w:rPr>
                <w:rFonts w:ascii="Segoe UI" w:hAnsi="Segoe UI" w:cs="Segoe UI"/>
                <w:b/>
                <w:sz w:val="24"/>
                <w:szCs w:val="24"/>
              </w:rPr>
              <w:t>ccommodation</w:t>
            </w:r>
          </w:p>
        </w:tc>
        <w:tc>
          <w:tcPr>
            <w:tcW w:w="1587" w:type="dxa"/>
            <w:vAlign w:val="center"/>
          </w:tcPr>
          <w:p w:rsidR="00861FD3" w:rsidRPr="00F6415D" w:rsidRDefault="00861FD3" w:rsidP="00861FD3">
            <w:pPr>
              <w:pStyle w:val="Tabletext1"/>
              <w:rPr>
                <w:rFonts w:ascii="Segoe UI" w:hAnsi="Segoe UI" w:cs="Segoe UI"/>
                <w:b/>
                <w:sz w:val="24"/>
                <w:szCs w:val="24"/>
              </w:rPr>
            </w:pPr>
            <w:r>
              <w:rPr>
                <w:rFonts w:ascii="Segoe UI" w:hAnsi="Segoe UI" w:cs="Segoe UI"/>
                <w:b/>
                <w:sz w:val="24"/>
                <w:szCs w:val="24"/>
              </w:rPr>
              <w:t>C</w:t>
            </w:r>
            <w:r w:rsidRPr="00F6415D">
              <w:rPr>
                <w:rFonts w:ascii="Segoe UI" w:hAnsi="Segoe UI" w:cs="Segoe UI"/>
                <w:b/>
                <w:sz w:val="24"/>
                <w:szCs w:val="24"/>
              </w:rPr>
              <w:t>ost of care (means-tested care fee)</w:t>
            </w:r>
          </w:p>
        </w:tc>
      </w:tr>
      <w:tr w:rsidR="00861FD3" w:rsidRPr="00F6415D" w:rsidTr="00861FD3">
        <w:trPr>
          <w:cantSplit/>
        </w:trPr>
        <w:tc>
          <w:tcPr>
            <w:tcW w:w="1887" w:type="dxa"/>
          </w:tcPr>
          <w:p w:rsidR="00861FD3" w:rsidRPr="00F6415D" w:rsidRDefault="00861FD3" w:rsidP="00861FD3">
            <w:pPr>
              <w:pStyle w:val="BodyText"/>
              <w:contextualSpacing/>
              <w:rPr>
                <w:rFonts w:ascii="Segoe UI" w:hAnsi="Segoe UI" w:cs="Segoe UI"/>
                <w:color w:val="4A442A" w:themeColor="background2" w:themeShade="40"/>
              </w:rPr>
            </w:pPr>
          </w:p>
        </w:tc>
        <w:tc>
          <w:tcPr>
            <w:tcW w:w="1311"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 xml:space="preserve">Fully supported </w:t>
            </w:r>
          </w:p>
        </w:tc>
        <w:tc>
          <w:tcPr>
            <w:tcW w:w="1179" w:type="dxa"/>
            <w:vAlign w:val="center"/>
          </w:tcPr>
          <w:p w:rsidR="00861FD3" w:rsidRPr="00F6415D" w:rsidRDefault="00861FD3" w:rsidP="00861FD3">
            <w:pPr>
              <w:pStyle w:val="Tabletext1"/>
              <w:rPr>
                <w:rFonts w:ascii="Segoe UI" w:hAnsi="Segoe UI" w:cs="Segoe UI"/>
              </w:rPr>
            </w:pPr>
            <w:r w:rsidRPr="00F6415D">
              <w:rPr>
                <w:rFonts w:ascii="Segoe UI" w:hAnsi="Segoe UI" w:cs="Segoe UI"/>
              </w:rPr>
              <w:t>$18,308.40</w:t>
            </w:r>
          </w:p>
        </w:tc>
        <w:tc>
          <w:tcPr>
            <w:tcW w:w="1384"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Fees may apply</w:t>
            </w:r>
          </w:p>
        </w:tc>
        <w:tc>
          <w:tcPr>
            <w:tcW w:w="1383"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$0.00</w:t>
            </w:r>
          </w:p>
        </w:tc>
        <w:tc>
          <w:tcPr>
            <w:tcW w:w="1587" w:type="dxa"/>
            <w:vAlign w:val="center"/>
          </w:tcPr>
          <w:p w:rsidR="00861FD3" w:rsidRPr="00F6415D" w:rsidRDefault="00861FD3" w:rsidP="00861FD3">
            <w:pPr>
              <w:pStyle w:val="Tabletext1"/>
              <w:rPr>
                <w:rFonts w:ascii="Segoe UI" w:hAnsi="Segoe UI" w:cs="Segoe UI"/>
              </w:rPr>
            </w:pPr>
            <w:r w:rsidRPr="00F6415D">
              <w:rPr>
                <w:rFonts w:ascii="Segoe UI" w:hAnsi="Segoe UI" w:cs="Segoe UI"/>
              </w:rPr>
              <w:t>$0.00</w:t>
            </w:r>
          </w:p>
        </w:tc>
      </w:tr>
      <w:tr w:rsidR="00861FD3" w:rsidRPr="00F6415D" w:rsidTr="00861FD3">
        <w:trPr>
          <w:cantSplit/>
        </w:trPr>
        <w:tc>
          <w:tcPr>
            <w:tcW w:w="1887" w:type="dxa"/>
          </w:tcPr>
          <w:p w:rsidR="00861FD3" w:rsidRPr="00F6415D" w:rsidRDefault="00861FD3" w:rsidP="00861FD3">
            <w:pPr>
              <w:pStyle w:val="BodyText"/>
              <w:contextualSpacing/>
              <w:rPr>
                <w:rFonts w:ascii="Segoe UI" w:hAnsi="Segoe UI" w:cs="Segoe UI"/>
                <w:color w:val="4A442A" w:themeColor="background2" w:themeShade="40"/>
              </w:rPr>
            </w:pPr>
          </w:p>
        </w:tc>
        <w:tc>
          <w:tcPr>
            <w:tcW w:w="1311"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Partially supported</w:t>
            </w:r>
          </w:p>
        </w:tc>
        <w:tc>
          <w:tcPr>
            <w:tcW w:w="1179" w:type="dxa"/>
            <w:vAlign w:val="center"/>
          </w:tcPr>
          <w:p w:rsidR="00861FD3" w:rsidRPr="00F6415D" w:rsidRDefault="00861FD3" w:rsidP="00861FD3">
            <w:pPr>
              <w:pStyle w:val="Tabletext1"/>
              <w:rPr>
                <w:rFonts w:ascii="Segoe UI" w:hAnsi="Segoe UI" w:cs="Segoe UI"/>
              </w:rPr>
            </w:pPr>
            <w:r w:rsidRPr="00F6415D">
              <w:rPr>
                <w:rFonts w:ascii="Segoe UI" w:hAnsi="Segoe UI" w:cs="Segoe UI"/>
              </w:rPr>
              <w:t>$18,308.40</w:t>
            </w:r>
          </w:p>
        </w:tc>
        <w:tc>
          <w:tcPr>
            <w:tcW w:w="1384"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Fees may apply</w:t>
            </w:r>
          </w:p>
        </w:tc>
        <w:tc>
          <w:tcPr>
            <w:tcW w:w="1383"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Accommodation contribution</w:t>
            </w:r>
          </w:p>
        </w:tc>
        <w:tc>
          <w:tcPr>
            <w:tcW w:w="1587" w:type="dxa"/>
            <w:vAlign w:val="center"/>
          </w:tcPr>
          <w:p w:rsidR="00861FD3" w:rsidRPr="00F6415D" w:rsidRDefault="00861FD3" w:rsidP="00861FD3">
            <w:pPr>
              <w:pStyle w:val="Tabletext1"/>
              <w:rPr>
                <w:rFonts w:ascii="Segoe UI" w:hAnsi="Segoe UI" w:cs="Segoe UI"/>
              </w:rPr>
            </w:pPr>
            <w:r w:rsidRPr="00F6415D">
              <w:rPr>
                <w:rFonts w:ascii="Segoe UI" w:hAnsi="Segoe UI" w:cs="Segoe UI"/>
              </w:rPr>
              <w:t>$0.00</w:t>
            </w:r>
          </w:p>
        </w:tc>
      </w:tr>
      <w:tr w:rsidR="00861FD3" w:rsidRPr="00F6415D" w:rsidTr="00861FD3">
        <w:trPr>
          <w:cantSplit/>
        </w:trPr>
        <w:tc>
          <w:tcPr>
            <w:tcW w:w="1887" w:type="dxa"/>
          </w:tcPr>
          <w:p w:rsidR="00861FD3" w:rsidRPr="00F6415D" w:rsidRDefault="00861FD3" w:rsidP="00861FD3">
            <w:pPr>
              <w:pStyle w:val="BodyText"/>
              <w:contextualSpacing/>
              <w:rPr>
                <w:rFonts w:ascii="Segoe UI" w:hAnsi="Segoe UI" w:cs="Segoe UI"/>
                <w:color w:val="4A442A" w:themeColor="background2" w:themeShade="40"/>
              </w:rPr>
            </w:pPr>
          </w:p>
        </w:tc>
        <w:tc>
          <w:tcPr>
            <w:tcW w:w="1311"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rPr>
              <w:t>Self-funded</w:t>
            </w:r>
          </w:p>
        </w:tc>
        <w:tc>
          <w:tcPr>
            <w:tcW w:w="1179" w:type="dxa"/>
            <w:vAlign w:val="center"/>
          </w:tcPr>
          <w:p w:rsidR="00861FD3" w:rsidRPr="00F6415D" w:rsidRDefault="00861FD3" w:rsidP="00861FD3">
            <w:pPr>
              <w:pStyle w:val="Tabletext1"/>
              <w:rPr>
                <w:rFonts w:ascii="Segoe UI" w:hAnsi="Segoe UI" w:cs="Segoe UI"/>
              </w:rPr>
            </w:pPr>
            <w:r w:rsidRPr="00F6415D">
              <w:rPr>
                <w:rFonts w:ascii="Segoe UI" w:hAnsi="Segoe UI" w:cs="Segoe UI"/>
                <w:lang w:eastAsia="en-AU"/>
              </w:rPr>
              <w:t>$18,308.40</w:t>
            </w:r>
          </w:p>
        </w:tc>
        <w:tc>
          <w:tcPr>
            <w:tcW w:w="1384" w:type="dxa"/>
            <w:gridSpan w:val="2"/>
            <w:vAlign w:val="center"/>
          </w:tcPr>
          <w:p w:rsidR="00861FD3" w:rsidRPr="00F6415D" w:rsidRDefault="00861FD3" w:rsidP="00861FD3">
            <w:pPr>
              <w:pStyle w:val="Tabletext1"/>
              <w:rPr>
                <w:rFonts w:ascii="Segoe UI" w:hAnsi="Segoe UI" w:cs="Segoe UI"/>
              </w:rPr>
            </w:pPr>
            <w:r w:rsidRPr="00F6415D">
              <w:rPr>
                <w:rFonts w:ascii="Segoe UI" w:hAnsi="Segoe UI" w:cs="Segoe UI"/>
                <w:lang w:eastAsia="en-AU"/>
              </w:rPr>
              <w:t>Fees may apply</w:t>
            </w:r>
          </w:p>
        </w:tc>
        <w:tc>
          <w:tcPr>
            <w:tcW w:w="1383" w:type="dxa"/>
            <w:gridSpan w:val="2"/>
            <w:vAlign w:val="center"/>
          </w:tcPr>
          <w:p w:rsidR="00861FD3" w:rsidRPr="00F6415D" w:rsidRDefault="00861FD3" w:rsidP="00861FD3">
            <w:pPr>
              <w:pStyle w:val="Tabletext1"/>
              <w:rPr>
                <w:rFonts w:ascii="Segoe UI" w:hAnsi="Segoe UI" w:cs="Segoe UI"/>
                <w:lang w:eastAsia="en-AU"/>
              </w:rPr>
            </w:pPr>
            <w:r w:rsidRPr="00F6415D">
              <w:rPr>
                <w:rFonts w:ascii="Segoe UI" w:hAnsi="Segoe UI" w:cs="Segoe UI"/>
                <w:lang w:eastAsia="en-AU"/>
              </w:rPr>
              <w:t xml:space="preserve">Accommodation price agreed </w:t>
            </w:r>
          </w:p>
          <w:p w:rsidR="00861FD3" w:rsidRPr="00F6415D" w:rsidRDefault="00861FD3" w:rsidP="00861FD3">
            <w:pPr>
              <w:pStyle w:val="Tabletext1"/>
              <w:rPr>
                <w:rFonts w:ascii="Segoe UI" w:hAnsi="Segoe UI" w:cs="Segoe UI"/>
                <w:lang w:eastAsia="en-AU"/>
              </w:rPr>
            </w:pPr>
            <w:r w:rsidRPr="00F6415D">
              <w:rPr>
                <w:rFonts w:ascii="Segoe UI" w:hAnsi="Segoe UI" w:cs="Segoe UI"/>
                <w:lang w:eastAsia="en-AU"/>
              </w:rPr>
              <w:t>with provider</w:t>
            </w:r>
          </w:p>
        </w:tc>
        <w:tc>
          <w:tcPr>
            <w:tcW w:w="1587" w:type="dxa"/>
            <w:vAlign w:val="center"/>
          </w:tcPr>
          <w:p w:rsidR="00861FD3" w:rsidRPr="00F6415D" w:rsidRDefault="00861FD3" w:rsidP="00861FD3">
            <w:pPr>
              <w:pStyle w:val="Tabletext1"/>
              <w:rPr>
                <w:rFonts w:ascii="Segoe UI" w:hAnsi="Segoe UI" w:cs="Segoe UI"/>
                <w:lang w:eastAsia="en-AU"/>
              </w:rPr>
            </w:pPr>
            <w:r w:rsidRPr="00F6415D">
              <w:rPr>
                <w:rFonts w:ascii="Segoe UI" w:hAnsi="Segoe UI" w:cs="Segoe UI"/>
                <w:lang w:eastAsia="en-AU"/>
              </w:rPr>
              <w:t>Means-tested care fee (MTCF)</w:t>
            </w:r>
          </w:p>
          <w:p w:rsidR="00861FD3" w:rsidRPr="00F6415D" w:rsidRDefault="00861FD3" w:rsidP="00861FD3">
            <w:pPr>
              <w:pStyle w:val="Tabletext1"/>
              <w:rPr>
                <w:rFonts w:ascii="Segoe UI" w:hAnsi="Segoe UI" w:cs="Segoe UI"/>
                <w:lang w:eastAsia="en-AU"/>
              </w:rPr>
            </w:pPr>
            <w:r w:rsidRPr="00F6415D">
              <w:rPr>
                <w:rFonts w:ascii="Segoe UI" w:hAnsi="Segoe UI" w:cs="Segoe UI"/>
                <w:lang w:eastAsia="en-AU"/>
              </w:rPr>
              <w:t>$0.00 to full cost of subsidy and supplements</w:t>
            </w:r>
          </w:p>
          <w:p w:rsidR="00861FD3" w:rsidRPr="00F6415D" w:rsidRDefault="00861FD3" w:rsidP="00861FD3">
            <w:pPr>
              <w:pStyle w:val="Tabletext1"/>
              <w:rPr>
                <w:rFonts w:ascii="Segoe UI" w:hAnsi="Segoe UI" w:cs="Segoe UI"/>
              </w:rPr>
            </w:pPr>
            <w:r w:rsidRPr="00F6415D">
              <w:rPr>
                <w:rFonts w:ascii="Segoe UI" w:hAnsi="Segoe UI" w:cs="Segoe UI"/>
                <w:lang w:eastAsia="en-AU"/>
              </w:rPr>
              <w:t>(up to annual and lifetime caps)</w:t>
            </w:r>
          </w:p>
        </w:tc>
      </w:tr>
      <w:tr w:rsidR="00CE1469" w:rsidRPr="00F6415D" w:rsidTr="008A7AF3">
        <w:trPr>
          <w:cantSplit/>
        </w:trPr>
        <w:tc>
          <w:tcPr>
            <w:tcW w:w="1888" w:type="dxa"/>
          </w:tcPr>
          <w:p w:rsidR="00CE1469" w:rsidRPr="00F6415D" w:rsidRDefault="00CE1469" w:rsidP="00DC338F">
            <w:pPr>
              <w:pStyle w:val="Tabletext1"/>
              <w:rPr>
                <w:rFonts w:ascii="Segoe UI" w:hAnsi="Segoe UI" w:cs="Segoe UI"/>
                <w:b/>
              </w:rPr>
            </w:pPr>
            <w:r w:rsidRPr="00F6415D">
              <w:rPr>
                <w:rFonts w:ascii="Segoe UI" w:hAnsi="Segoe UI" w:cs="Segoe UI"/>
                <w:b/>
              </w:rPr>
              <w:t>Multi-Purpose Services Program (MPS)</w:t>
            </w:r>
          </w:p>
        </w:tc>
        <w:tc>
          <w:tcPr>
            <w:tcW w:w="6843" w:type="dxa"/>
            <w:gridSpan w:val="8"/>
          </w:tcPr>
          <w:p w:rsidR="00CE1469" w:rsidRPr="00F6415D" w:rsidRDefault="00CE1469" w:rsidP="00DC338F">
            <w:pPr>
              <w:pStyle w:val="TableBullet1"/>
              <w:rPr>
                <w:rFonts w:ascii="Segoe UI" w:hAnsi="Segoe UI" w:cs="Segoe UI"/>
              </w:rPr>
            </w:pPr>
            <w:r w:rsidRPr="00F6415D">
              <w:rPr>
                <w:rFonts w:ascii="Segoe UI" w:hAnsi="Segoe UI" w:cs="Segoe UI"/>
              </w:rPr>
              <w:t xml:space="preserve">basic daily fee $50.16 per day or $18,308.40 per </w:t>
            </w:r>
          </w:p>
          <w:p w:rsidR="00CE1469" w:rsidRPr="00F6415D" w:rsidRDefault="00CE1469" w:rsidP="00DC338F">
            <w:pPr>
              <w:pStyle w:val="TableBullet1"/>
              <w:rPr>
                <w:rFonts w:ascii="Segoe UI" w:hAnsi="Segoe UI" w:cs="Segoe UI"/>
              </w:rPr>
            </w:pPr>
            <w:r w:rsidRPr="00F6415D">
              <w:rPr>
                <w:rFonts w:ascii="Segoe UI" w:hAnsi="Segoe UI" w:cs="Segoe UI"/>
                <w:lang w:eastAsia="en-AU"/>
              </w:rPr>
              <w:t>accommodation price agreed with provider</w:t>
            </w:r>
          </w:p>
        </w:tc>
      </w:tr>
    </w:tbl>
    <w:p w:rsidR="00CE1469" w:rsidRPr="00F6415D" w:rsidRDefault="00CE1469" w:rsidP="000C2372">
      <w:pPr>
        <w:rPr>
          <w:rFonts w:ascii="Segoe UI" w:hAnsi="Segoe UI" w:cs="Segoe UI"/>
        </w:rPr>
      </w:pPr>
      <w:r w:rsidRPr="00F6415D">
        <w:rPr>
          <w:rFonts w:ascii="Segoe UI" w:hAnsi="Segoe UI" w:cs="Segoe UI"/>
        </w:rPr>
        <w:t>Table notes:</w:t>
      </w:r>
    </w:p>
    <w:p w:rsidR="00CE1469" w:rsidRPr="00F6415D" w:rsidRDefault="00CE1469" w:rsidP="00686BFA">
      <w:pPr>
        <w:pStyle w:val="BodyText"/>
        <w:numPr>
          <w:ilvl w:val="0"/>
          <w:numId w:val="42"/>
        </w:numPr>
        <w:rPr>
          <w:rFonts w:ascii="Segoe UI" w:hAnsi="Segoe UI" w:cs="Segoe UI"/>
        </w:rPr>
      </w:pPr>
      <w:r w:rsidRPr="00F6415D">
        <w:rPr>
          <w:rFonts w:ascii="Segoe UI" w:hAnsi="Segoe UI" w:cs="Segoe UI"/>
        </w:rPr>
        <w:t>Fees are current as at 1 July 2018</w:t>
      </w:r>
    </w:p>
    <w:p w:rsidR="00CE1469" w:rsidRPr="00F6415D" w:rsidRDefault="00CE1469" w:rsidP="00686BFA">
      <w:pPr>
        <w:pStyle w:val="BodyText"/>
        <w:numPr>
          <w:ilvl w:val="0"/>
          <w:numId w:val="42"/>
        </w:numPr>
        <w:rPr>
          <w:rFonts w:ascii="Segoe UI" w:hAnsi="Segoe UI" w:cs="Segoe UI"/>
        </w:rPr>
      </w:pPr>
      <w:r w:rsidRPr="00F6415D">
        <w:rPr>
          <w:rFonts w:ascii="Segoe UI" w:hAnsi="Segoe UI" w:cs="Segoe UI"/>
        </w:rPr>
        <w:lastRenderedPageBreak/>
        <w:t>Program overview is located at appendix A:</w:t>
      </w:r>
      <w:r w:rsidRPr="00F6415D">
        <w:rPr>
          <w:rFonts w:ascii="Segoe UI" w:eastAsiaTheme="majorEastAsia" w:hAnsi="Segoe UI" w:cs="Segoe UI"/>
        </w:rPr>
        <w:t xml:space="preserve"> </w:t>
      </w:r>
      <w:r w:rsidRPr="00F6415D">
        <w:rPr>
          <w:rFonts w:ascii="Segoe UI" w:hAnsi="Segoe UI" w:cs="Segoe UI"/>
        </w:rPr>
        <w:t>Government and non-government aged care programs and services</w:t>
      </w:r>
    </w:p>
    <w:p w:rsidR="00CE1469" w:rsidRPr="00F6415D" w:rsidRDefault="00CE1469" w:rsidP="001104E6">
      <w:pPr>
        <w:pStyle w:val="Heading3"/>
        <w:rPr>
          <w:rFonts w:ascii="Segoe UI" w:hAnsi="Segoe UI" w:cs="Segoe UI"/>
        </w:rPr>
      </w:pPr>
      <w:bookmarkStart w:id="85" w:name="_Toc531271075"/>
      <w:bookmarkStart w:id="86" w:name="_Toc532206371"/>
      <w:r w:rsidRPr="00F6415D">
        <w:rPr>
          <w:rFonts w:ascii="Segoe UI" w:hAnsi="Segoe UI" w:cs="Segoe UI"/>
        </w:rPr>
        <w:t>Non-Australian Government funded care</w:t>
      </w:r>
      <w:bookmarkEnd w:id="76"/>
      <w:bookmarkEnd w:id="77"/>
      <w:bookmarkEnd w:id="78"/>
      <w:bookmarkEnd w:id="79"/>
      <w:bookmarkEnd w:id="85"/>
      <w:bookmarkEnd w:id="86"/>
      <w:r w:rsidRPr="00F6415D">
        <w:rPr>
          <w:rFonts w:ascii="Segoe UI" w:hAnsi="Segoe UI" w:cs="Segoe UI"/>
        </w:rPr>
        <w:t xml:space="preserve"> </w:t>
      </w:r>
      <w:bookmarkEnd w:id="80"/>
      <w:bookmarkEnd w:id="81"/>
    </w:p>
    <w:p w:rsidR="00CE1469" w:rsidRPr="00F6415D" w:rsidRDefault="00CE1469" w:rsidP="001104E6">
      <w:pPr>
        <w:pStyle w:val="BodyText"/>
        <w:rPr>
          <w:rFonts w:ascii="Segoe UI" w:hAnsi="Segoe UI" w:cs="Segoe UI"/>
        </w:rPr>
      </w:pPr>
      <w:r w:rsidRPr="00F6415D">
        <w:rPr>
          <w:rFonts w:ascii="Segoe UI" w:hAnsi="Segoe UI" w:cs="Segoe UI"/>
        </w:rPr>
        <w:t>When selecting the care and services that best meet their needs, senior Australians may choose to pay for aged care services that do not receive any Australian Government funding. These are referred to as private care services.</w:t>
      </w:r>
    </w:p>
    <w:p w:rsidR="00CE1469" w:rsidRPr="00F6415D" w:rsidRDefault="00CE1469" w:rsidP="001104E6">
      <w:pPr>
        <w:pStyle w:val="BodyText"/>
        <w:rPr>
          <w:rFonts w:ascii="Segoe UI" w:hAnsi="Segoe UI" w:cs="Segoe UI"/>
        </w:rPr>
      </w:pPr>
      <w:r w:rsidRPr="00F6415D">
        <w:rPr>
          <w:rFonts w:ascii="Segoe UI" w:hAnsi="Segoe UI" w:cs="Segoe UI"/>
        </w:rPr>
        <w:t xml:space="preserve">The private services accessed and their pricing are negotiated between consumers and the service provider. </w:t>
      </w:r>
    </w:p>
    <w:p w:rsidR="00CE1469" w:rsidRPr="00F6415D" w:rsidRDefault="00CE1469" w:rsidP="001104E6">
      <w:pPr>
        <w:pStyle w:val="BodyText"/>
        <w:rPr>
          <w:rFonts w:ascii="Segoe UI" w:hAnsi="Segoe UI" w:cs="Segoe UI"/>
        </w:rPr>
      </w:pPr>
      <w:r w:rsidRPr="00F6415D">
        <w:rPr>
          <w:rFonts w:ascii="Segoe UI" w:hAnsi="Segoe UI" w:cs="Segoe UI"/>
        </w:rPr>
        <w:t>Privately funded aged care services may either be used to supplement Australian Government funded aged care or offer an alternative source of care. The consumers do not need to obtain an aged care assessment team (ACAT) assessment to access these services.</w:t>
      </w:r>
    </w:p>
    <w:p w:rsidR="00CE1469" w:rsidRPr="00F6415D" w:rsidRDefault="00CE1469" w:rsidP="001104E6">
      <w:pPr>
        <w:pStyle w:val="BodyText"/>
        <w:rPr>
          <w:rFonts w:ascii="Segoe UI" w:eastAsia="Segoe UI" w:hAnsi="Segoe UI" w:cs="Segoe UI"/>
        </w:rPr>
      </w:pPr>
      <w:r w:rsidRPr="00F6415D">
        <w:rPr>
          <w:rFonts w:ascii="Segoe UI" w:hAnsi="Segoe UI" w:cs="Segoe UI"/>
        </w:rPr>
        <w:t>Other than staying in the family home, retirement villages and l</w:t>
      </w:r>
      <w:r w:rsidRPr="00F6415D">
        <w:rPr>
          <w:rFonts w:ascii="Segoe UI" w:eastAsia="Segoe UI" w:hAnsi="Segoe UI" w:cs="Segoe UI"/>
        </w:rPr>
        <w:t xml:space="preserve">and lease communities are two of the most common private accommodation options for </w:t>
      </w:r>
      <w:r w:rsidRPr="00F6415D">
        <w:rPr>
          <w:rFonts w:ascii="Segoe UI" w:hAnsi="Segoe UI" w:cs="Segoe UI"/>
        </w:rPr>
        <w:t xml:space="preserve">senior </w:t>
      </w:r>
      <w:r w:rsidRPr="00F6415D">
        <w:rPr>
          <w:rFonts w:ascii="Segoe UI" w:eastAsia="Segoe UI" w:hAnsi="Segoe UI" w:cs="Segoe UI"/>
        </w:rPr>
        <w:t xml:space="preserve">Australians and are increasingly offering private care services to consumers, however other care services and options are starting to emerge to increase the range and diversity of services. </w:t>
      </w:r>
    </w:p>
    <w:p w:rsidR="00CE1469" w:rsidRPr="00F6415D" w:rsidRDefault="00CE1469" w:rsidP="001104E6">
      <w:pPr>
        <w:pStyle w:val="Heading4"/>
        <w:rPr>
          <w:rFonts w:ascii="Segoe UI" w:eastAsia="Segoe UI" w:hAnsi="Segoe UI" w:cs="Segoe UI"/>
        </w:rPr>
      </w:pPr>
      <w:r w:rsidRPr="00F6415D">
        <w:rPr>
          <w:rFonts w:ascii="Segoe UI" w:eastAsia="Segoe UI" w:hAnsi="Segoe UI" w:cs="Segoe UI"/>
        </w:rPr>
        <w:t>Retirement villages</w:t>
      </w:r>
    </w:p>
    <w:p w:rsidR="00CE1469" w:rsidRPr="00F6415D" w:rsidRDefault="00CE1469" w:rsidP="001104E6">
      <w:pPr>
        <w:pStyle w:val="BodyText"/>
        <w:rPr>
          <w:rFonts w:ascii="Segoe UI" w:hAnsi="Segoe UI" w:cs="Segoe UI"/>
        </w:rPr>
      </w:pPr>
      <w:r w:rsidRPr="00F6415D">
        <w:rPr>
          <w:rFonts w:ascii="Segoe UI" w:hAnsi="Segoe UI" w:cs="Segoe UI"/>
        </w:rPr>
        <w:t>Retirement villages were typically accommodation options for independent living but have increasingly moved towards offering care services to substitute (to some degree) for residential care. They are reinventing the way they do business in response to market developments, particularly influenced by the increasing age of consumers and the increase in the number of home care packages.</w:t>
      </w:r>
    </w:p>
    <w:p w:rsidR="00CE1469" w:rsidRPr="00F6415D" w:rsidRDefault="00CE1469" w:rsidP="001104E6">
      <w:pPr>
        <w:pStyle w:val="BodyText"/>
        <w:rPr>
          <w:rFonts w:ascii="Segoe UI" w:hAnsi="Segoe UI" w:cs="Segoe UI"/>
        </w:rPr>
      </w:pPr>
      <w:r w:rsidRPr="00F6415D">
        <w:rPr>
          <w:rFonts w:ascii="Segoe UI" w:hAnsi="Segoe UI" w:cs="Segoe UI"/>
        </w:rPr>
        <w:t>The retirement village fee structure varies significantly across providers however, some commonalities exist:</w:t>
      </w:r>
    </w:p>
    <w:p w:rsidR="00CE1469" w:rsidRPr="00F6415D" w:rsidRDefault="00CE1469" w:rsidP="001104E6">
      <w:pPr>
        <w:pStyle w:val="ListBullet"/>
        <w:rPr>
          <w:rFonts w:ascii="Segoe UI" w:hAnsi="Segoe UI" w:cs="Segoe UI"/>
        </w:rPr>
      </w:pPr>
      <w:r w:rsidRPr="00F6415D">
        <w:rPr>
          <w:rFonts w:ascii="Segoe UI" w:hAnsi="Segoe UI" w:cs="Segoe UI"/>
        </w:rPr>
        <w:t>Accommodation:</w:t>
      </w:r>
    </w:p>
    <w:p w:rsidR="00CE1469" w:rsidRPr="00F6415D" w:rsidRDefault="00CE1469" w:rsidP="001104E6">
      <w:pPr>
        <w:pStyle w:val="ListBullet2"/>
        <w:rPr>
          <w:rFonts w:ascii="Segoe UI" w:hAnsi="Segoe UI" w:cs="Segoe UI"/>
        </w:rPr>
      </w:pPr>
      <w:r w:rsidRPr="00F6415D">
        <w:rPr>
          <w:rFonts w:ascii="Segoe UI" w:hAnsi="Segoe UI" w:cs="Segoe UI"/>
        </w:rPr>
        <w:t>Ingoing contribution: there is typically an initial dwelling purchase price set by the provider and it is often linked to median house prices.</w:t>
      </w:r>
    </w:p>
    <w:p w:rsidR="00CE1469" w:rsidRPr="00F6415D" w:rsidRDefault="00CE1469" w:rsidP="001104E6">
      <w:pPr>
        <w:pStyle w:val="ListBullet2"/>
        <w:rPr>
          <w:rFonts w:ascii="Segoe UI" w:hAnsi="Segoe UI" w:cs="Segoe UI"/>
        </w:rPr>
      </w:pPr>
      <w:r w:rsidRPr="00F6415D">
        <w:rPr>
          <w:rFonts w:ascii="Segoe UI" w:hAnsi="Segoe UI" w:cs="Segoe UI"/>
        </w:rPr>
        <w:t>General service charge: ongoing monthly fee to cover maintenance and upkeep of amenities</w:t>
      </w:r>
    </w:p>
    <w:p w:rsidR="00CE1469" w:rsidRPr="00F6415D" w:rsidRDefault="00CE1469" w:rsidP="001104E6">
      <w:pPr>
        <w:pStyle w:val="ListBullet2"/>
        <w:rPr>
          <w:rFonts w:ascii="Segoe UI" w:hAnsi="Segoe UI" w:cs="Segoe UI"/>
        </w:rPr>
      </w:pPr>
      <w:r w:rsidRPr="00F6415D">
        <w:rPr>
          <w:rFonts w:ascii="Segoe UI" w:hAnsi="Segoe UI" w:cs="Segoe UI"/>
        </w:rPr>
        <w:t>Deferred management fee: exit fee typically based on either ingoing or outgoing dwelling price which is approximately 20 per cent to 36 per cent</w:t>
      </w:r>
    </w:p>
    <w:p w:rsidR="00CE1469" w:rsidRPr="00F6415D" w:rsidRDefault="00CE1469" w:rsidP="001104E6">
      <w:pPr>
        <w:pStyle w:val="ListBullet2"/>
        <w:rPr>
          <w:rFonts w:ascii="Segoe UI" w:hAnsi="Segoe UI" w:cs="Segoe UI"/>
        </w:rPr>
      </w:pPr>
      <w:r w:rsidRPr="00F6415D">
        <w:rPr>
          <w:rFonts w:ascii="Segoe UI" w:hAnsi="Segoe UI" w:cs="Segoe UI"/>
        </w:rPr>
        <w:t>Outgoing consumers are generally charged refurbishment costs and may receive a share of capital gain or loss under some arrangements.</w:t>
      </w:r>
    </w:p>
    <w:p w:rsidR="00CE1469" w:rsidRPr="00F6415D" w:rsidRDefault="00CE1469" w:rsidP="003C7771">
      <w:pPr>
        <w:pStyle w:val="ListBullet"/>
        <w:keepNext/>
        <w:rPr>
          <w:rFonts w:ascii="Segoe UI" w:hAnsi="Segoe UI" w:cs="Segoe UI"/>
        </w:rPr>
      </w:pPr>
      <w:r w:rsidRPr="00F6415D">
        <w:rPr>
          <w:rFonts w:ascii="Segoe UI" w:hAnsi="Segoe UI" w:cs="Segoe UI"/>
        </w:rPr>
        <w:t>Supported services:</w:t>
      </w:r>
    </w:p>
    <w:p w:rsidR="00CE1469" w:rsidRPr="00F6415D" w:rsidRDefault="00CE1469" w:rsidP="001104E6">
      <w:pPr>
        <w:pStyle w:val="ListBullet2"/>
        <w:rPr>
          <w:rFonts w:ascii="Segoe UI" w:hAnsi="Segoe UI" w:cs="Segoe UI"/>
        </w:rPr>
      </w:pPr>
      <w:r w:rsidRPr="00F6415D">
        <w:rPr>
          <w:rFonts w:ascii="Segoe UI" w:hAnsi="Segoe UI" w:cs="Segoe UI"/>
        </w:rPr>
        <w:t>While residing in a retirement village, consumers may access and pay for privately contracted home care services. The ACFA consumer survey indicated that 30 per cent of respondents are currently accessing private aged care services, either individually or in combination with other services.</w:t>
      </w:r>
    </w:p>
    <w:p w:rsidR="00CE1469" w:rsidRPr="00F6415D" w:rsidRDefault="00CE1469" w:rsidP="001104E6">
      <w:pPr>
        <w:pStyle w:val="ListBullet2"/>
        <w:rPr>
          <w:rFonts w:ascii="Segoe UI" w:hAnsi="Segoe UI" w:cs="Segoe UI"/>
        </w:rPr>
      </w:pPr>
      <w:r w:rsidRPr="00F6415D">
        <w:rPr>
          <w:rFonts w:ascii="Segoe UI" w:hAnsi="Segoe UI" w:cs="Segoe UI"/>
        </w:rPr>
        <w:lastRenderedPageBreak/>
        <w:t>Alternatively, they may access supported living or serviced apartments via an agreement with the provider of the retirement village.</w:t>
      </w:r>
    </w:p>
    <w:p w:rsidR="00CE1469" w:rsidRPr="00F6415D" w:rsidRDefault="00CE1469" w:rsidP="001104E6">
      <w:pPr>
        <w:pStyle w:val="ListBullet2"/>
        <w:rPr>
          <w:rFonts w:ascii="Segoe UI" w:hAnsi="Segoe UI" w:cs="Segoe UI"/>
        </w:rPr>
      </w:pPr>
      <w:r w:rsidRPr="00F6415D">
        <w:rPr>
          <w:rFonts w:ascii="Segoe UI" w:hAnsi="Segoe UI" w:cs="Segoe UI"/>
        </w:rPr>
        <w:t xml:space="preserve">Consumers may also access Australian Government funded home care while residing in a retirement village. </w:t>
      </w:r>
    </w:p>
    <w:p w:rsidR="00CE1469" w:rsidRPr="00F6415D" w:rsidRDefault="00CE1469" w:rsidP="001104E6">
      <w:pPr>
        <w:pStyle w:val="BodyText"/>
        <w:rPr>
          <w:rFonts w:ascii="Segoe UI" w:hAnsi="Segoe UI" w:cs="Segoe UI"/>
        </w:rPr>
      </w:pPr>
      <w:r w:rsidRPr="00F6415D">
        <w:rPr>
          <w:rFonts w:ascii="Segoe UI" w:hAnsi="Segoe UI" w:cs="Segoe UI"/>
        </w:rPr>
        <w:t>State and Territory Governments are responsible for regulating retirement villages under their various Retirement Village Acts, and as such structures and rules may differ based on the consumers’ location.</w:t>
      </w:r>
    </w:p>
    <w:p w:rsidR="00CE1469" w:rsidRPr="00F6415D" w:rsidRDefault="00CE1469" w:rsidP="001104E6">
      <w:pPr>
        <w:pStyle w:val="Heading4"/>
        <w:rPr>
          <w:rFonts w:ascii="Segoe UI" w:eastAsia="Segoe UI" w:hAnsi="Segoe UI" w:cs="Segoe UI"/>
        </w:rPr>
      </w:pPr>
      <w:r w:rsidRPr="00F6415D">
        <w:rPr>
          <w:rFonts w:ascii="Segoe UI" w:eastAsia="Segoe UI" w:hAnsi="Segoe UI" w:cs="Segoe UI"/>
        </w:rPr>
        <w:t xml:space="preserve">Land lease communities </w:t>
      </w:r>
    </w:p>
    <w:p w:rsidR="00CE1469" w:rsidRPr="00F6415D" w:rsidRDefault="00CE1469" w:rsidP="001104E6">
      <w:pPr>
        <w:pStyle w:val="BodyText"/>
        <w:rPr>
          <w:rFonts w:ascii="Segoe UI" w:hAnsi="Segoe UI" w:cs="Segoe UI"/>
        </w:rPr>
      </w:pPr>
      <w:r w:rsidRPr="00F6415D">
        <w:rPr>
          <w:rFonts w:ascii="Segoe UI" w:hAnsi="Segoe UI" w:cs="Segoe UI"/>
        </w:rPr>
        <w:t xml:space="preserve">Land lease communities (also commonly referred to Over-50s parks) are an alternative to retirement villages, but the consumer owns the dwelling and only rents/leases the land on which the dwelling sits. </w:t>
      </w:r>
    </w:p>
    <w:p w:rsidR="00CE1469" w:rsidRPr="00F6415D" w:rsidRDefault="00CE1469" w:rsidP="001104E6">
      <w:pPr>
        <w:pStyle w:val="BodyText"/>
        <w:rPr>
          <w:rFonts w:ascii="Segoe UI" w:hAnsi="Segoe UI" w:cs="Segoe UI"/>
        </w:rPr>
      </w:pPr>
      <w:r w:rsidRPr="00F6415D">
        <w:rPr>
          <w:rFonts w:ascii="Segoe UI" w:hAnsi="Segoe UI" w:cs="Segoe UI"/>
        </w:rPr>
        <w:t>The fee structure can vary across providers however, some commonalities exist:</w:t>
      </w:r>
    </w:p>
    <w:p w:rsidR="00CE1469" w:rsidRPr="00F6415D" w:rsidRDefault="00CE1469" w:rsidP="001104E6">
      <w:pPr>
        <w:pStyle w:val="ListBullet"/>
        <w:rPr>
          <w:rFonts w:ascii="Segoe UI" w:hAnsi="Segoe UI" w:cs="Segoe UI"/>
        </w:rPr>
      </w:pPr>
      <w:r w:rsidRPr="00F6415D">
        <w:rPr>
          <w:rFonts w:ascii="Segoe UI" w:hAnsi="Segoe UI" w:cs="Segoe UI"/>
        </w:rPr>
        <w:t>Accommodation:</w:t>
      </w:r>
    </w:p>
    <w:p w:rsidR="00CE1469" w:rsidRPr="00F6415D" w:rsidRDefault="00CE1469" w:rsidP="001104E6">
      <w:pPr>
        <w:pStyle w:val="ListBullet2"/>
        <w:rPr>
          <w:rFonts w:ascii="Segoe UI" w:hAnsi="Segoe UI" w:cs="Segoe UI"/>
        </w:rPr>
      </w:pPr>
      <w:r w:rsidRPr="00F6415D">
        <w:rPr>
          <w:rFonts w:ascii="Segoe UI" w:hAnsi="Segoe UI" w:cs="Segoe UI"/>
        </w:rPr>
        <w:t>Consumers will initially pay the cost of a relocatable home offered by the provider or exiting consumer.</w:t>
      </w:r>
    </w:p>
    <w:p w:rsidR="00CE1469" w:rsidRPr="00F6415D" w:rsidRDefault="00CE1469" w:rsidP="001104E6">
      <w:pPr>
        <w:pStyle w:val="ListBullet2"/>
        <w:rPr>
          <w:rFonts w:ascii="Segoe UI" w:hAnsi="Segoe UI" w:cs="Segoe UI"/>
        </w:rPr>
      </w:pPr>
      <w:r w:rsidRPr="00F6415D">
        <w:rPr>
          <w:rFonts w:ascii="Segoe UI" w:hAnsi="Segoe UI" w:cs="Segoe UI"/>
        </w:rPr>
        <w:t xml:space="preserve">Typically, there are ongoing land lease fees and consumers who receive Centrelink/Veterans’ Affairs income support payments may be eligible for Commonwealth Rent Assistance. </w:t>
      </w:r>
    </w:p>
    <w:p w:rsidR="00CE1469" w:rsidRPr="00F6415D" w:rsidRDefault="00CE1469" w:rsidP="001104E6">
      <w:pPr>
        <w:pStyle w:val="ListBullet2"/>
        <w:rPr>
          <w:rFonts w:ascii="Segoe UI" w:hAnsi="Segoe UI" w:cs="Segoe UI"/>
        </w:rPr>
      </w:pPr>
      <w:r w:rsidRPr="00F6415D">
        <w:rPr>
          <w:rFonts w:ascii="Segoe UI" w:hAnsi="Segoe UI" w:cs="Segoe UI"/>
        </w:rPr>
        <w:t>Some land lease communities impose ongoing monthly fees for maintenance of the amenities.</w:t>
      </w:r>
    </w:p>
    <w:p w:rsidR="00CE1469" w:rsidRPr="00F6415D" w:rsidRDefault="00CE1469" w:rsidP="001104E6">
      <w:pPr>
        <w:pStyle w:val="ListBullet2"/>
        <w:rPr>
          <w:rFonts w:ascii="Segoe UI" w:hAnsi="Segoe UI" w:cs="Segoe UI"/>
        </w:rPr>
      </w:pPr>
      <w:r w:rsidRPr="00F6415D">
        <w:rPr>
          <w:rFonts w:ascii="Segoe UI" w:hAnsi="Segoe UI" w:cs="Segoe UI"/>
        </w:rPr>
        <w:t>Some states enable exit fees – however, typically, no exit fees are a selling point.</w:t>
      </w:r>
    </w:p>
    <w:p w:rsidR="00CE1469" w:rsidRPr="00F6415D" w:rsidRDefault="00CE1469" w:rsidP="001104E6">
      <w:pPr>
        <w:pStyle w:val="ListBullet"/>
        <w:rPr>
          <w:rFonts w:ascii="Segoe UI" w:hAnsi="Segoe UI" w:cs="Segoe UI"/>
        </w:rPr>
      </w:pPr>
      <w:r w:rsidRPr="00F6415D">
        <w:rPr>
          <w:rFonts w:ascii="Segoe UI" w:hAnsi="Segoe UI" w:cs="Segoe UI"/>
        </w:rPr>
        <w:t>Supported services:</w:t>
      </w:r>
    </w:p>
    <w:p w:rsidR="00CE1469" w:rsidRPr="00F6415D" w:rsidRDefault="00CE1469" w:rsidP="001104E6">
      <w:pPr>
        <w:pStyle w:val="ListBullet2"/>
        <w:rPr>
          <w:rFonts w:ascii="Segoe UI" w:hAnsi="Segoe UI" w:cs="Segoe UI"/>
        </w:rPr>
      </w:pPr>
      <w:r w:rsidRPr="00F6415D">
        <w:rPr>
          <w:rFonts w:ascii="Segoe UI" w:hAnsi="Segoe UI" w:cs="Segoe UI"/>
        </w:rPr>
        <w:t>While residing in a land lease community, consumers may access and pay for privately contracted home care services.</w:t>
      </w:r>
    </w:p>
    <w:p w:rsidR="00CE1469" w:rsidRPr="00F6415D" w:rsidRDefault="00CE1469" w:rsidP="001104E6">
      <w:pPr>
        <w:pStyle w:val="ListBullet2"/>
        <w:rPr>
          <w:rFonts w:ascii="Segoe UI" w:hAnsi="Segoe UI" w:cs="Segoe UI"/>
        </w:rPr>
      </w:pPr>
      <w:r w:rsidRPr="00F6415D">
        <w:rPr>
          <w:rFonts w:ascii="Segoe UI" w:hAnsi="Segoe UI" w:cs="Segoe UI"/>
        </w:rPr>
        <w:t>Consumers may also access Australian Government funded home care.</w:t>
      </w:r>
    </w:p>
    <w:p w:rsidR="00CE1469" w:rsidRPr="00F6415D" w:rsidRDefault="00CE1469" w:rsidP="001104E6">
      <w:pPr>
        <w:pStyle w:val="BodyText"/>
        <w:rPr>
          <w:rFonts w:ascii="Segoe UI" w:hAnsi="Segoe UI" w:cs="Segoe UI"/>
        </w:rPr>
      </w:pPr>
      <w:r w:rsidRPr="00F6415D">
        <w:rPr>
          <w:rFonts w:ascii="Segoe UI" w:hAnsi="Segoe UI" w:cs="Segoe UI"/>
        </w:rPr>
        <w:t>State and Territory Governments are responsible for regulating land lease communities under the various Mobile Home or Caravan Park Acts, and as such structures and rules may differ based on the consumers’ location.</w:t>
      </w:r>
    </w:p>
    <w:p w:rsidR="00CE1469" w:rsidRPr="00F6415D" w:rsidRDefault="00CE1469" w:rsidP="001104E6">
      <w:pPr>
        <w:pStyle w:val="Heading4"/>
        <w:rPr>
          <w:rFonts w:ascii="Segoe UI" w:hAnsi="Segoe UI" w:cs="Segoe UI"/>
        </w:rPr>
      </w:pPr>
      <w:r w:rsidRPr="00F6415D">
        <w:rPr>
          <w:rFonts w:ascii="Segoe UI" w:hAnsi="Segoe UI" w:cs="Segoe UI"/>
        </w:rPr>
        <w:t>Group homes</w:t>
      </w:r>
    </w:p>
    <w:p w:rsidR="00CE1469" w:rsidRPr="00F6415D" w:rsidRDefault="00CE1469" w:rsidP="001104E6">
      <w:pPr>
        <w:pStyle w:val="BodyText"/>
        <w:rPr>
          <w:rFonts w:ascii="Segoe UI" w:hAnsi="Segoe UI" w:cs="Segoe UI"/>
        </w:rPr>
      </w:pPr>
      <w:r w:rsidRPr="00F6415D">
        <w:rPr>
          <w:rFonts w:ascii="Segoe UI" w:hAnsi="Segoe UI" w:cs="Segoe UI"/>
        </w:rPr>
        <w:t xml:space="preserve">An emerging accommodation option to residential aged care is the concept of a group home. These are private homes that provide both accommodation and care services for older people or people living with disabilities. </w:t>
      </w:r>
    </w:p>
    <w:p w:rsidR="00CE1469" w:rsidRPr="00F6415D" w:rsidRDefault="00CE1469" w:rsidP="001104E6">
      <w:pPr>
        <w:pStyle w:val="BodyText"/>
        <w:rPr>
          <w:rFonts w:ascii="Segoe UI" w:hAnsi="Segoe UI" w:cs="Segoe UI"/>
        </w:rPr>
      </w:pPr>
      <w:r w:rsidRPr="00F6415D">
        <w:rPr>
          <w:rFonts w:ascii="Segoe UI" w:hAnsi="Segoe UI" w:cs="Segoe UI"/>
        </w:rPr>
        <w:t>They do not fall under the Aged Care Act and therefore are regulated by the various state consumer protection legislation and contract laws.</w:t>
      </w:r>
    </w:p>
    <w:p w:rsidR="00CE1469" w:rsidRPr="00F6415D" w:rsidRDefault="00CE1469" w:rsidP="001104E6">
      <w:pPr>
        <w:pStyle w:val="BodyText"/>
        <w:rPr>
          <w:rFonts w:ascii="Segoe UI" w:hAnsi="Segoe UI" w:cs="Segoe UI"/>
        </w:rPr>
      </w:pPr>
      <w:r w:rsidRPr="00F6415D">
        <w:rPr>
          <w:rFonts w:ascii="Segoe UI" w:hAnsi="Segoe UI" w:cs="Segoe UI"/>
        </w:rPr>
        <w:t>Consumers pay for services privately but may also have access to Government funded home care packages which can be used to pay all or some of the consumer’s relevant care costs.</w:t>
      </w:r>
    </w:p>
    <w:p w:rsidR="00CE1469" w:rsidRPr="00F6415D" w:rsidRDefault="00CE1469" w:rsidP="001104E6">
      <w:pPr>
        <w:pStyle w:val="Heading4"/>
        <w:rPr>
          <w:rFonts w:ascii="Segoe UI" w:hAnsi="Segoe UI" w:cs="Segoe UI"/>
        </w:rPr>
      </w:pPr>
      <w:r w:rsidRPr="00F6415D">
        <w:rPr>
          <w:rFonts w:ascii="Segoe UI" w:hAnsi="Segoe UI" w:cs="Segoe UI"/>
        </w:rPr>
        <w:lastRenderedPageBreak/>
        <w:t xml:space="preserve">Private in-home services </w:t>
      </w:r>
    </w:p>
    <w:p w:rsidR="00CE1469" w:rsidRPr="00F6415D" w:rsidRDefault="00CE1469" w:rsidP="001104E6">
      <w:pPr>
        <w:pStyle w:val="BodyText"/>
        <w:rPr>
          <w:rFonts w:ascii="Segoe UI" w:hAnsi="Segoe UI" w:cs="Segoe UI"/>
        </w:rPr>
      </w:pPr>
      <w:bookmarkStart w:id="87" w:name="_Toc527561544"/>
      <w:bookmarkStart w:id="88" w:name="_Toc527564618"/>
      <w:bookmarkStart w:id="89" w:name="_Toc528224246"/>
      <w:bookmarkStart w:id="90" w:name="_Toc528861129"/>
      <w:bookmarkStart w:id="91" w:name="_Toc529890570"/>
      <w:r w:rsidRPr="00F6415D">
        <w:rPr>
          <w:rFonts w:ascii="Segoe UI" w:hAnsi="Segoe UI" w:cs="Segoe UI"/>
        </w:rPr>
        <w:t xml:space="preserve">Consumers can also purchase private home care services such as 24-hour nursing care, in-home care, live-in care, overnight care or help with certain activities. </w:t>
      </w:r>
    </w:p>
    <w:p w:rsidR="00CE1469" w:rsidRPr="00F6415D" w:rsidRDefault="00CE1469" w:rsidP="001104E6">
      <w:pPr>
        <w:pStyle w:val="BodyText"/>
        <w:rPr>
          <w:rFonts w:ascii="Segoe UI" w:hAnsi="Segoe UI" w:cs="Segoe UI"/>
        </w:rPr>
      </w:pPr>
      <w:r w:rsidRPr="00F6415D">
        <w:rPr>
          <w:rFonts w:ascii="Segoe UI" w:hAnsi="Segoe UI" w:cs="Segoe UI"/>
        </w:rPr>
        <w:t>These may be provided by the same service providers as those that provided Government funded services but may also be offered by alternative providers. The fees are negotiated with the provider on normal commercial terms.</w:t>
      </w:r>
    </w:p>
    <w:p w:rsidR="00CE1469" w:rsidRPr="00F6415D" w:rsidRDefault="00CE1469" w:rsidP="001104E6">
      <w:pPr>
        <w:pStyle w:val="Heading3"/>
        <w:rPr>
          <w:rFonts w:ascii="Segoe UI" w:hAnsi="Segoe UI" w:cs="Segoe UI"/>
        </w:rPr>
      </w:pPr>
      <w:bookmarkStart w:id="92" w:name="_Toc531271076"/>
      <w:bookmarkStart w:id="93" w:name="_Toc532206372"/>
      <w:r w:rsidRPr="00F6415D">
        <w:rPr>
          <w:rFonts w:ascii="Segoe UI" w:hAnsi="Segoe UI" w:cs="Segoe UI"/>
        </w:rPr>
        <w:t>Informal care and services</w:t>
      </w:r>
      <w:bookmarkEnd w:id="87"/>
      <w:bookmarkEnd w:id="88"/>
      <w:bookmarkEnd w:id="89"/>
      <w:bookmarkEnd w:id="90"/>
      <w:bookmarkEnd w:id="91"/>
      <w:bookmarkEnd w:id="92"/>
      <w:bookmarkEnd w:id="93"/>
    </w:p>
    <w:p w:rsidR="00CE1469" w:rsidRPr="00F6415D" w:rsidRDefault="00CE1469" w:rsidP="001104E6">
      <w:pPr>
        <w:pStyle w:val="BodyText"/>
        <w:rPr>
          <w:rFonts w:ascii="Segoe UI" w:hAnsi="Segoe UI" w:cs="Segoe UI"/>
        </w:rPr>
      </w:pPr>
      <w:bookmarkStart w:id="94" w:name="_Toc527561545"/>
      <w:bookmarkStart w:id="95" w:name="_Toc527564619"/>
      <w:bookmarkStart w:id="96" w:name="_Toc528224247"/>
      <w:bookmarkStart w:id="97" w:name="_Toc528861130"/>
      <w:bookmarkStart w:id="98" w:name="_Toc529890571"/>
      <w:r w:rsidRPr="00F6415D">
        <w:rPr>
          <w:rFonts w:ascii="Segoe UI" w:hAnsi="Segoe UI" w:cs="Segoe UI"/>
        </w:rPr>
        <w:t>Twenty nine per cent of consumers canvassed in the ACFA consumer survey received informal care and services through family, friends and carers. This low percentage is likely due to consumers not accounting for the things that their partner, family and friends support them with on a daily basis such as cooking and assisting with running errands. While this type of support is at no cost to the consumer, it may have a cost to the family, friends and carers in regards to the time taken away from recreational activities and/or paid work.</w:t>
      </w:r>
    </w:p>
    <w:p w:rsidR="00CE1469" w:rsidRPr="00F6415D" w:rsidRDefault="00CE1469" w:rsidP="001104E6">
      <w:pPr>
        <w:pStyle w:val="BodyText"/>
        <w:rPr>
          <w:rFonts w:ascii="Segoe UI" w:hAnsi="Segoe UI" w:cs="Segoe UI"/>
        </w:rPr>
      </w:pPr>
      <w:r w:rsidRPr="00F6415D">
        <w:rPr>
          <w:rFonts w:ascii="Segoe UI" w:hAnsi="Segoe UI" w:cs="Segoe UI"/>
        </w:rPr>
        <w:t>Survey results indicate that consumers are more likely to access informal care services from age 60–64, with 36 per cent of respondents in this cohort indicating they are currently receiving informal support. This is compared with:</w:t>
      </w:r>
    </w:p>
    <w:p w:rsidR="00CE1469" w:rsidRPr="00F6415D" w:rsidRDefault="00CE1469" w:rsidP="001104E6">
      <w:pPr>
        <w:pStyle w:val="ListBullet"/>
        <w:rPr>
          <w:rFonts w:ascii="Segoe UI" w:hAnsi="Segoe UI" w:cs="Segoe UI"/>
        </w:rPr>
      </w:pPr>
      <w:r w:rsidRPr="00F6415D">
        <w:rPr>
          <w:rFonts w:ascii="Segoe UI" w:hAnsi="Segoe UI" w:cs="Segoe UI"/>
        </w:rPr>
        <w:t>25 per cent of consumers aged 65-69</w:t>
      </w:r>
    </w:p>
    <w:p w:rsidR="00CE1469" w:rsidRPr="00F6415D" w:rsidRDefault="00CE1469" w:rsidP="001104E6">
      <w:pPr>
        <w:pStyle w:val="ListBullet"/>
        <w:rPr>
          <w:rFonts w:ascii="Segoe UI" w:hAnsi="Segoe UI" w:cs="Segoe UI"/>
        </w:rPr>
      </w:pPr>
      <w:r w:rsidRPr="00F6415D">
        <w:rPr>
          <w:rFonts w:ascii="Segoe UI" w:hAnsi="Segoe UI" w:cs="Segoe UI"/>
        </w:rPr>
        <w:t>33 per cent of consumers aged 70-74</w:t>
      </w:r>
    </w:p>
    <w:p w:rsidR="00CE1469" w:rsidRPr="00F6415D" w:rsidRDefault="00CE1469" w:rsidP="001104E6">
      <w:pPr>
        <w:pStyle w:val="ListBullet"/>
        <w:rPr>
          <w:rFonts w:ascii="Segoe UI" w:hAnsi="Segoe UI" w:cs="Segoe UI"/>
        </w:rPr>
      </w:pPr>
      <w:r w:rsidRPr="00F6415D">
        <w:rPr>
          <w:rFonts w:ascii="Segoe UI" w:hAnsi="Segoe UI" w:cs="Segoe UI"/>
        </w:rPr>
        <w:t>25 per cent of consumers over the age of 75.</w:t>
      </w:r>
    </w:p>
    <w:p w:rsidR="00CE1469" w:rsidRPr="00F6415D" w:rsidRDefault="00CE1469" w:rsidP="001104E6">
      <w:pPr>
        <w:pStyle w:val="BodyText"/>
        <w:rPr>
          <w:rFonts w:ascii="Segoe UI" w:hAnsi="Segoe UI" w:cs="Segoe UI"/>
        </w:rPr>
      </w:pPr>
      <w:r w:rsidRPr="00F6415D">
        <w:rPr>
          <w:rFonts w:ascii="Segoe UI" w:hAnsi="Segoe UI" w:cs="Segoe UI"/>
        </w:rPr>
        <w:t>The reduction in older ages may indicate that the community around senior Australians is lacking. By building more structured communities, senior Australians would be able to seek care and support from other members of the community at a point in time when their care needs have increased but their family and friends capacity to help contracts.</w:t>
      </w:r>
    </w:p>
    <w:p w:rsidR="00CE1469" w:rsidRPr="00F6415D" w:rsidRDefault="00CE1469" w:rsidP="001104E6">
      <w:pPr>
        <w:pStyle w:val="BodyText"/>
        <w:rPr>
          <w:rFonts w:ascii="Segoe UI" w:hAnsi="Segoe UI" w:cs="Segoe UI"/>
        </w:rPr>
      </w:pPr>
      <w:r w:rsidRPr="00F6415D">
        <w:rPr>
          <w:rFonts w:ascii="Segoe UI" w:hAnsi="Segoe UI" w:cs="Segoe UI"/>
        </w:rPr>
        <w:t>The level of access to informal support may also be correlated to the level of household income. Of the survey respondents who receive the full age pension, 30 per cent indicated they are currently accessing informal support. When examining the cohort of consumers accessing informal support, 25 per cent receive a household income of less than $20,000 compared with 39 per cent with income more than $80,000. The data suggests that consumers who are younger (and potentially less complicated care needs) are more likely to access informal care and support</w:t>
      </w:r>
      <w:r w:rsidR="001B5BED" w:rsidRPr="00F6415D">
        <w:rPr>
          <w:rFonts w:ascii="Segoe UI" w:hAnsi="Segoe UI" w:cs="Segoe UI"/>
        </w:rPr>
        <w:t xml:space="preserve">. </w:t>
      </w:r>
    </w:p>
    <w:p w:rsidR="00CE1469" w:rsidRPr="00F6415D" w:rsidRDefault="00CE1469" w:rsidP="001104E6">
      <w:pPr>
        <w:pStyle w:val="BodyText"/>
        <w:rPr>
          <w:rFonts w:ascii="Segoe UI" w:hAnsi="Segoe UI" w:cs="Segoe UI"/>
        </w:rPr>
      </w:pPr>
      <w:r w:rsidRPr="00F6415D">
        <w:rPr>
          <w:rFonts w:ascii="Segoe UI" w:hAnsi="Segoe UI" w:cs="Segoe UI"/>
        </w:rPr>
        <w:t xml:space="preserve">One-on-one consumer follow up consultations further emphasised the role of informal support for consumers. Most reported receiving informal support for daily tasks (including personal care, gardening and maintenance) and for accommodation. Accurately quantifying the number of people accessing informal care services is problematic, as often there is no data or information available for some consumers. It is also likely that opinions vary as to what constitutes informal care. </w:t>
      </w:r>
    </w:p>
    <w:p w:rsidR="00CE1469" w:rsidRPr="00F6415D" w:rsidRDefault="00CE1469" w:rsidP="001104E6">
      <w:pPr>
        <w:pStyle w:val="BodyText"/>
        <w:rPr>
          <w:rFonts w:ascii="Segoe UI" w:hAnsi="Segoe UI" w:cs="Segoe UI"/>
        </w:rPr>
      </w:pPr>
      <w:r w:rsidRPr="00F6415D">
        <w:rPr>
          <w:rFonts w:ascii="Segoe UI" w:hAnsi="Segoe UI" w:cs="Segoe UI"/>
        </w:rPr>
        <w:t>Research undertaken by YourLifeChoices identified that 42 per cent of respondents would either fully or partly rely on family to care for them in their final years.</w:t>
      </w:r>
    </w:p>
    <w:p w:rsidR="00CE1469" w:rsidRPr="00F6415D" w:rsidRDefault="00CE1469" w:rsidP="00AD2681">
      <w:pPr>
        <w:pStyle w:val="FigureTitle"/>
        <w:rPr>
          <w:rFonts w:ascii="Segoe UI" w:hAnsi="Segoe UI" w:cs="Segoe UI"/>
          <w:i/>
        </w:rPr>
      </w:pPr>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w:t>
      </w:r>
      <w:r w:rsidRPr="00F6415D">
        <w:rPr>
          <w:rFonts w:ascii="Segoe UI" w:hAnsi="Segoe UI" w:cs="Segoe UI"/>
          <w:i/>
          <w:noProof/>
        </w:rPr>
        <w:fldChar w:fldCharType="end"/>
      </w:r>
      <w:r w:rsidRPr="00F6415D">
        <w:rPr>
          <w:rFonts w:ascii="Segoe UI" w:hAnsi="Segoe UI" w:cs="Segoe UI"/>
          <w:i/>
        </w:rPr>
        <w:t>: Response to ‘Will you rely on your family to care for you in your final years?’</w:t>
      </w:r>
    </w:p>
    <w:p w:rsidR="00CE1469" w:rsidRPr="00F6415D" w:rsidRDefault="00CE1469" w:rsidP="00CE1469">
      <w:pPr>
        <w:rPr>
          <w:rFonts w:ascii="Segoe UI" w:hAnsi="Segoe UI" w:cs="Segoe UI"/>
        </w:rPr>
      </w:pPr>
      <w:r w:rsidRPr="00F6415D">
        <w:rPr>
          <w:rFonts w:ascii="Segoe UI" w:hAnsi="Segoe UI" w:cs="Segoe UI"/>
        </w:rPr>
        <w:t xml:space="preserve"> </w:t>
      </w:r>
      <w:r w:rsidR="000C2372" w:rsidRPr="00F6415D">
        <w:rPr>
          <w:rFonts w:ascii="Segoe UI" w:hAnsi="Segoe UI" w:cs="Segoe UI"/>
          <w:noProof/>
          <w:lang w:eastAsia="en-AU"/>
        </w:rPr>
        <w:drawing>
          <wp:inline distT="0" distB="0" distL="0" distR="0" wp14:anchorId="26278FA0">
            <wp:extent cx="2889885" cy="2463165"/>
            <wp:effectExtent l="0" t="0" r="0" b="0"/>
            <wp:docPr id="9" name="Picture 9" descr="Figure 1, a bar chart, shows the proportion of respondents to the question “Will you rely on your family to care for you in your final years?” Response options are no, yes and partly." title="Figure 1: Response to ‘Will you rely on your family to care for you in your final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89885" cy="2463165"/>
                    </a:xfrm>
                    <a:prstGeom prst="rect">
                      <a:avLst/>
                    </a:prstGeom>
                    <a:noFill/>
                  </pic:spPr>
                </pic:pic>
              </a:graphicData>
            </a:graphic>
          </wp:inline>
        </w:drawing>
      </w:r>
    </w:p>
    <w:p w:rsidR="00CE1469" w:rsidRPr="00F6415D" w:rsidRDefault="00CE1469" w:rsidP="001104E6">
      <w:pPr>
        <w:pStyle w:val="BodyText"/>
        <w:rPr>
          <w:rFonts w:ascii="Segoe UI" w:hAnsi="Segoe UI" w:cs="Segoe UI"/>
        </w:rPr>
      </w:pPr>
      <w:r w:rsidRPr="00F6415D">
        <w:rPr>
          <w:rFonts w:ascii="Segoe UI" w:hAnsi="Segoe UI" w:cs="Segoe UI"/>
        </w:rPr>
        <w:t>Source: YourLifeChoices survey 2018</w:t>
      </w:r>
    </w:p>
    <w:p w:rsidR="00CE1469" w:rsidRPr="00F6415D" w:rsidRDefault="00CE1469" w:rsidP="001104E6">
      <w:pPr>
        <w:pStyle w:val="Heading2"/>
        <w:rPr>
          <w:rFonts w:ascii="Segoe UI" w:hAnsi="Segoe UI" w:cs="Segoe UI"/>
        </w:rPr>
      </w:pPr>
      <w:bookmarkStart w:id="99" w:name="_Toc531271077"/>
      <w:bookmarkStart w:id="100" w:name="_Ref531779024"/>
      <w:bookmarkStart w:id="101" w:name="_Ref531779042"/>
      <w:bookmarkStart w:id="102" w:name="_Toc532206373"/>
      <w:r w:rsidRPr="00F6415D">
        <w:rPr>
          <w:rFonts w:ascii="Segoe UI" w:hAnsi="Segoe UI" w:cs="Segoe UI"/>
        </w:rPr>
        <w:lastRenderedPageBreak/>
        <w:t>How consumers plan to fund aged care</w:t>
      </w:r>
      <w:bookmarkEnd w:id="94"/>
      <w:bookmarkEnd w:id="95"/>
      <w:bookmarkEnd w:id="96"/>
      <w:bookmarkEnd w:id="97"/>
      <w:bookmarkEnd w:id="98"/>
      <w:bookmarkEnd w:id="99"/>
      <w:bookmarkEnd w:id="100"/>
      <w:bookmarkEnd w:id="101"/>
      <w:bookmarkEnd w:id="102"/>
    </w:p>
    <w:p w:rsidR="00CE1469" w:rsidRPr="00F6415D" w:rsidRDefault="00CE1469" w:rsidP="001104E6">
      <w:pPr>
        <w:pStyle w:val="BodyText"/>
        <w:rPr>
          <w:rFonts w:ascii="Segoe UI" w:hAnsi="Segoe UI" w:cs="Segoe UI"/>
        </w:rPr>
      </w:pPr>
      <w:bookmarkStart w:id="103" w:name="_Toc529890572"/>
      <w:r w:rsidRPr="00F6415D">
        <w:rPr>
          <w:rFonts w:ascii="Segoe UI" w:hAnsi="Segoe UI" w:cs="Segoe UI"/>
        </w:rPr>
        <w:t>This chapter provides a summary of the findings from the ACFA consumer survey regarding how consumers plan to fund their aged care needs.</w:t>
      </w:r>
    </w:p>
    <w:p w:rsidR="00CE1469" w:rsidRPr="00F6415D" w:rsidRDefault="00CE1469" w:rsidP="001104E6">
      <w:pPr>
        <w:pStyle w:val="BodyText"/>
        <w:rPr>
          <w:rFonts w:ascii="Segoe UI" w:hAnsi="Segoe UI" w:cs="Segoe UI"/>
          <w:lang w:val="en-GB"/>
        </w:rPr>
      </w:pPr>
      <w:r w:rsidRPr="00F6415D">
        <w:rPr>
          <w:rFonts w:ascii="Segoe UI" w:hAnsi="Segoe UI" w:cs="Segoe UI"/>
        </w:rPr>
        <w:t>When senior Australians surveyed had a plan or budget they stated that they also tended to include aged care costs within their plan or budget. Many of them</w:t>
      </w:r>
      <w:r w:rsidRPr="00F6415D">
        <w:rPr>
          <w:rFonts w:ascii="Segoe UI" w:hAnsi="Segoe UI" w:cs="Segoe UI"/>
          <w:lang w:val="en-GB"/>
        </w:rPr>
        <w:t xml:space="preserve"> anticipated needing to access aged care in their medium term future (within five years) rather than in the short-term (within next two years), while some felt that they would never access residential aged care. There were </w:t>
      </w:r>
      <w:r w:rsidRPr="00F6415D">
        <w:rPr>
          <w:rFonts w:ascii="Segoe UI" w:hAnsi="Segoe UI" w:cs="Segoe UI"/>
        </w:rPr>
        <w:t>three key life stages where planning occurs for aged care.</w:t>
      </w:r>
    </w:p>
    <w:p w:rsidR="00CE1469" w:rsidRPr="00F6415D" w:rsidRDefault="00CE1469" w:rsidP="001104E6">
      <w:pPr>
        <w:pStyle w:val="BodyText"/>
        <w:rPr>
          <w:rFonts w:ascii="Segoe UI" w:hAnsi="Segoe UI" w:cs="Segoe UI"/>
        </w:rPr>
      </w:pPr>
      <w:r w:rsidRPr="00F6415D">
        <w:rPr>
          <w:rFonts w:ascii="Segoe UI" w:hAnsi="Segoe UI" w:cs="Segoe UI"/>
        </w:rPr>
        <w:t xml:space="preserve">The consumer survey did not test whether the amounts perceived to be needed were realistic to pay for their aged care, nor did it define planning. </w:t>
      </w:r>
    </w:p>
    <w:p w:rsidR="00CE1469" w:rsidRPr="00F6415D" w:rsidRDefault="00CE1469" w:rsidP="001104E6">
      <w:pPr>
        <w:pStyle w:val="Heading3"/>
        <w:rPr>
          <w:rFonts w:ascii="Segoe UI" w:hAnsi="Segoe UI" w:cs="Segoe UI"/>
        </w:rPr>
      </w:pPr>
      <w:bookmarkStart w:id="104" w:name="_Toc531271078"/>
      <w:bookmarkStart w:id="105" w:name="_Toc532206374"/>
      <w:r w:rsidRPr="00F6415D">
        <w:rPr>
          <w:rFonts w:ascii="Segoe UI" w:hAnsi="Segoe UI" w:cs="Segoe UI"/>
        </w:rPr>
        <w:t>Planning stages</w:t>
      </w:r>
      <w:bookmarkEnd w:id="103"/>
      <w:bookmarkEnd w:id="104"/>
      <w:bookmarkEnd w:id="105"/>
    </w:p>
    <w:p w:rsidR="00CE1469" w:rsidRPr="00F6415D" w:rsidRDefault="00CE1469" w:rsidP="001104E6">
      <w:pPr>
        <w:pStyle w:val="BodyText"/>
        <w:rPr>
          <w:rFonts w:ascii="Segoe UI" w:hAnsi="Segoe UI" w:cs="Segoe UI"/>
        </w:rPr>
      </w:pPr>
      <w:r w:rsidRPr="00F6415D">
        <w:rPr>
          <w:rFonts w:ascii="Segoe UI" w:hAnsi="Segoe UI" w:cs="Segoe UI"/>
        </w:rPr>
        <w:t>The findings presented within this chapter identify three life stages where planning occurs. These are: retirement planning; post retirement when the consumer starts to become frail; and when they are frail and ha</w:t>
      </w:r>
      <w:r w:rsidR="007E5969" w:rsidRPr="00F6415D">
        <w:rPr>
          <w:rFonts w:ascii="Segoe UI" w:hAnsi="Segoe UI" w:cs="Segoe UI"/>
        </w:rPr>
        <w:t>ve</w:t>
      </w:r>
      <w:r w:rsidRPr="00F6415D">
        <w:rPr>
          <w:rFonts w:ascii="Segoe UI" w:hAnsi="Segoe UI" w:cs="Segoe UI"/>
        </w:rPr>
        <w:t xml:space="preserve"> acquired acute or complex health needs. </w:t>
      </w:r>
    </w:p>
    <w:p w:rsidR="00CE1469" w:rsidRPr="00F6415D" w:rsidRDefault="00CE1469" w:rsidP="001104E6">
      <w:pPr>
        <w:pStyle w:val="Heading4"/>
        <w:rPr>
          <w:rFonts w:ascii="Segoe UI" w:hAnsi="Segoe UI" w:cs="Segoe UI"/>
        </w:rPr>
      </w:pPr>
      <w:r w:rsidRPr="00F6415D">
        <w:rPr>
          <w:rFonts w:ascii="Segoe UI" w:hAnsi="Segoe UI" w:cs="Segoe UI"/>
        </w:rPr>
        <w:t>Retirement planning</w:t>
      </w:r>
    </w:p>
    <w:p w:rsidR="00CE1469" w:rsidRPr="00F6415D" w:rsidRDefault="00CE1469" w:rsidP="001104E6">
      <w:pPr>
        <w:pStyle w:val="BodyText"/>
        <w:rPr>
          <w:rFonts w:ascii="Segoe UI" w:hAnsi="Segoe UI" w:cs="Segoe UI"/>
          <w:iCs/>
        </w:rPr>
      </w:pPr>
      <w:r w:rsidRPr="00F6415D">
        <w:rPr>
          <w:rFonts w:ascii="Segoe UI" w:hAnsi="Segoe UI" w:cs="Segoe UI"/>
        </w:rPr>
        <w:t>Typically, Australians aged between 45 and 65 years are planning for retirement, including when they can retire, and how they will fund their retirement lifestyle. At this point in life,</w:t>
      </w:r>
      <w:r w:rsidRPr="00F6415D">
        <w:rPr>
          <w:rFonts w:ascii="Segoe UI" w:hAnsi="Segoe UI" w:cs="Segoe UI"/>
          <w:iCs/>
        </w:rPr>
        <w:t xml:space="preserve"> the consumer’s goal is investment maximisation and wealth building. As a result, financial advisors focus on these aspects and will generally provide </w:t>
      </w:r>
      <w:r w:rsidRPr="00F6415D">
        <w:rPr>
          <w:rFonts w:ascii="Segoe UI" w:hAnsi="Segoe UI" w:cs="Segoe UI"/>
        </w:rPr>
        <w:t xml:space="preserve">advice on </w:t>
      </w:r>
      <w:r w:rsidRPr="00F6415D">
        <w:rPr>
          <w:rFonts w:ascii="Segoe UI" w:hAnsi="Segoe UI" w:cs="Segoe UI"/>
          <w:iCs/>
        </w:rPr>
        <w:t>products such as superannuation funds and investment accounts</w:t>
      </w:r>
      <w:r w:rsidR="001104E6" w:rsidRPr="00F6415D">
        <w:rPr>
          <w:rFonts w:ascii="Segoe UI" w:hAnsi="Segoe UI" w:cs="Segoe UI"/>
          <w:iCs/>
        </w:rPr>
        <w:t>.</w:t>
      </w:r>
      <w:r w:rsidRPr="00F6415D">
        <w:rPr>
          <w:rStyle w:val="EndnoteReference"/>
          <w:rFonts w:ascii="Segoe UI" w:hAnsi="Segoe UI" w:cs="Segoe UI"/>
        </w:rPr>
        <w:endnoteReference w:id="6"/>
      </w:r>
    </w:p>
    <w:p w:rsidR="00CE1469" w:rsidRPr="00F6415D" w:rsidRDefault="00CE1469" w:rsidP="001104E6">
      <w:pPr>
        <w:pStyle w:val="BodyText"/>
        <w:rPr>
          <w:rFonts w:ascii="Segoe UI" w:hAnsi="Segoe UI" w:cs="Segoe UI"/>
        </w:rPr>
      </w:pPr>
      <w:r w:rsidRPr="00F6415D">
        <w:rPr>
          <w:rFonts w:ascii="Segoe UI" w:hAnsi="Segoe UI" w:cs="Segoe UI"/>
        </w:rPr>
        <w:t>Consumers in this phase may also consider downsizing their home. Research undertaken by National Seniors Australia suggests that this cohort is most likely to consider downsizing between 50–64 years of age. Factors leading to downsizing are complex and varied and reflect the heterogeneity of senior Australians and the diversity of their</w:t>
      </w:r>
      <w:r w:rsidR="001104E6" w:rsidRPr="00F6415D">
        <w:rPr>
          <w:rFonts w:ascii="Segoe UI" w:hAnsi="Segoe UI" w:cs="Segoe UI"/>
        </w:rPr>
        <w:t xml:space="preserve"> backgrounds and circumstances.</w:t>
      </w:r>
      <w:r w:rsidRPr="00F6415D">
        <w:rPr>
          <w:rStyle w:val="EndnoteReference"/>
          <w:rFonts w:ascii="Segoe UI" w:hAnsi="Segoe UI" w:cs="Segoe UI"/>
        </w:rPr>
        <w:endnoteReference w:id="7"/>
      </w:r>
      <w:r w:rsidRPr="00F6415D">
        <w:rPr>
          <w:rStyle w:val="EndnoteReference"/>
          <w:rFonts w:ascii="Segoe UI" w:hAnsi="Segoe UI" w:cs="Segoe UI"/>
        </w:rPr>
        <w:t xml:space="preserve"> </w:t>
      </w:r>
    </w:p>
    <w:p w:rsidR="00CE1469" w:rsidRPr="00F6415D" w:rsidRDefault="00CE1469" w:rsidP="001104E6">
      <w:pPr>
        <w:pStyle w:val="Heading4"/>
        <w:rPr>
          <w:rFonts w:ascii="Segoe UI" w:hAnsi="Segoe UI" w:cs="Segoe UI"/>
        </w:rPr>
      </w:pPr>
      <w:r w:rsidRPr="00F6415D">
        <w:rPr>
          <w:rFonts w:ascii="Segoe UI" w:hAnsi="Segoe UI" w:cs="Segoe UI"/>
        </w:rPr>
        <w:t>Post retirement: low to medium level care to support independence at home</w:t>
      </w:r>
    </w:p>
    <w:p w:rsidR="00CE1469" w:rsidRPr="00F6415D" w:rsidRDefault="00CE1469" w:rsidP="001104E6">
      <w:pPr>
        <w:pStyle w:val="BodyText"/>
        <w:rPr>
          <w:rFonts w:ascii="Segoe UI" w:hAnsi="Segoe UI" w:cs="Segoe UI"/>
          <w:lang w:val="en-GB"/>
        </w:rPr>
      </w:pPr>
      <w:r w:rsidRPr="00F6415D">
        <w:rPr>
          <w:rFonts w:ascii="Segoe UI" w:hAnsi="Segoe UI" w:cs="Segoe UI"/>
          <w:lang w:val="en-GB"/>
        </w:rPr>
        <w:t xml:space="preserve">Once retired, consumers move away from seeking information about how to grow their wealth and start to focus on financing their planned retirement lifestyle. Some consumers have considered estate planning and have started to enhance their connectedness with the community. </w:t>
      </w:r>
    </w:p>
    <w:p w:rsidR="00CE1469" w:rsidRPr="00F6415D" w:rsidRDefault="00CE1469" w:rsidP="001104E6">
      <w:pPr>
        <w:pStyle w:val="BodyText"/>
        <w:rPr>
          <w:rFonts w:ascii="Segoe UI" w:hAnsi="Segoe UI" w:cs="Segoe UI"/>
          <w:lang w:val="en-GB"/>
        </w:rPr>
      </w:pPr>
      <w:r w:rsidRPr="00F6415D">
        <w:rPr>
          <w:rFonts w:ascii="Segoe UI" w:hAnsi="Segoe UI" w:cs="Segoe UI"/>
          <w:lang w:val="en-GB"/>
        </w:rPr>
        <w:t xml:space="preserve">Primarily, when a consumer first enters retirement, they are focused on living their planned retirement lifestyle. However, as they approach frailty, many consider the need to access aged care services. As noted in section </w:t>
      </w:r>
      <w:r w:rsidRPr="00F6415D">
        <w:rPr>
          <w:rFonts w:ascii="Segoe UI" w:hAnsi="Segoe UI" w:cs="Segoe UI"/>
          <w:lang w:val="en-GB"/>
        </w:rPr>
        <w:fldChar w:fldCharType="begin"/>
      </w:r>
      <w:r w:rsidRPr="00F6415D">
        <w:rPr>
          <w:rFonts w:ascii="Segoe UI" w:hAnsi="Segoe UI" w:cs="Segoe UI"/>
          <w:lang w:val="en-GB"/>
        </w:rPr>
        <w:instrText xml:space="preserve"> REF _Ref530742234 \r \h </w:instrText>
      </w:r>
      <w:r w:rsidR="00E12DF5" w:rsidRPr="00F6415D">
        <w:rPr>
          <w:rFonts w:ascii="Segoe UI" w:hAnsi="Segoe UI" w:cs="Segoe UI"/>
          <w:lang w:val="en-GB"/>
        </w:rPr>
        <w:instrText xml:space="preserve"> \* MERGEFORMAT </w:instrText>
      </w:r>
      <w:r w:rsidRPr="00F6415D">
        <w:rPr>
          <w:rFonts w:ascii="Segoe UI" w:hAnsi="Segoe UI" w:cs="Segoe UI"/>
          <w:lang w:val="en-GB"/>
        </w:rPr>
      </w:r>
      <w:r w:rsidRPr="00F6415D">
        <w:rPr>
          <w:rFonts w:ascii="Segoe UI" w:hAnsi="Segoe UI" w:cs="Segoe UI"/>
          <w:lang w:val="en-GB"/>
        </w:rPr>
        <w:fldChar w:fldCharType="separate"/>
      </w:r>
      <w:r w:rsidR="00C40CA4">
        <w:rPr>
          <w:rFonts w:ascii="Segoe UI" w:hAnsi="Segoe UI" w:cs="Segoe UI"/>
          <w:lang w:val="en-GB"/>
        </w:rPr>
        <w:t>3.2</w:t>
      </w:r>
      <w:r w:rsidRPr="00F6415D">
        <w:rPr>
          <w:rFonts w:ascii="Segoe UI" w:hAnsi="Segoe UI" w:cs="Segoe UI"/>
          <w:lang w:val="en-GB"/>
        </w:rPr>
        <w:fldChar w:fldCharType="end"/>
      </w:r>
      <w:r w:rsidR="00D74FA8" w:rsidRPr="00F6415D">
        <w:rPr>
          <w:rFonts w:ascii="Segoe UI" w:hAnsi="Segoe UI" w:cs="Segoe UI"/>
          <w:lang w:val="en-GB"/>
        </w:rPr>
        <w:t xml:space="preserve">, </w:t>
      </w:r>
      <w:r w:rsidRPr="00F6415D">
        <w:rPr>
          <w:rFonts w:ascii="Segoe UI" w:hAnsi="Segoe UI" w:cs="Segoe UI"/>
          <w:lang w:val="en-GB"/>
        </w:rPr>
        <w:t>94</w:t>
      </w:r>
      <w:r w:rsidR="007E5969" w:rsidRPr="00F6415D">
        <w:rPr>
          <w:rFonts w:ascii="Segoe UI" w:hAnsi="Segoe UI" w:cs="Segoe UI"/>
          <w:lang w:val="en-GB"/>
        </w:rPr>
        <w:t> </w:t>
      </w:r>
      <w:r w:rsidRPr="00F6415D">
        <w:rPr>
          <w:rFonts w:ascii="Segoe UI" w:hAnsi="Segoe UI" w:cs="Segoe UI"/>
          <w:lang w:val="en-GB"/>
        </w:rPr>
        <w:t xml:space="preserve">per cent of consumers surveyed who are not currently accessing any aged care services anticipate needing to access care within the next five years. It is at this point that consumers become more involved in planning how to fund their aged care, as supported by the findings outlined in section </w:t>
      </w:r>
      <w:r w:rsidRPr="00F6415D">
        <w:rPr>
          <w:rFonts w:ascii="Segoe UI" w:hAnsi="Segoe UI" w:cs="Segoe UI"/>
          <w:lang w:val="en-GB"/>
        </w:rPr>
        <w:fldChar w:fldCharType="begin"/>
      </w:r>
      <w:r w:rsidRPr="00F6415D">
        <w:rPr>
          <w:rFonts w:ascii="Segoe UI" w:hAnsi="Segoe UI" w:cs="Segoe UI"/>
          <w:lang w:val="en-GB"/>
        </w:rPr>
        <w:instrText xml:space="preserve"> REF _Ref530742274 \r \h </w:instrText>
      </w:r>
      <w:r w:rsidR="00E12DF5" w:rsidRPr="00F6415D">
        <w:rPr>
          <w:rFonts w:ascii="Segoe UI" w:hAnsi="Segoe UI" w:cs="Segoe UI"/>
          <w:lang w:val="en-GB"/>
        </w:rPr>
        <w:instrText xml:space="preserve"> \* MERGEFORMAT </w:instrText>
      </w:r>
      <w:r w:rsidRPr="00F6415D">
        <w:rPr>
          <w:rFonts w:ascii="Segoe UI" w:hAnsi="Segoe UI" w:cs="Segoe UI"/>
          <w:lang w:val="en-GB"/>
        </w:rPr>
      </w:r>
      <w:r w:rsidRPr="00F6415D">
        <w:rPr>
          <w:rFonts w:ascii="Segoe UI" w:hAnsi="Segoe UI" w:cs="Segoe UI"/>
          <w:lang w:val="en-GB"/>
        </w:rPr>
        <w:fldChar w:fldCharType="separate"/>
      </w:r>
      <w:r w:rsidR="00C40CA4">
        <w:rPr>
          <w:rFonts w:ascii="Segoe UI" w:hAnsi="Segoe UI" w:cs="Segoe UI"/>
          <w:lang w:val="en-GB"/>
        </w:rPr>
        <w:t>3.5</w:t>
      </w:r>
      <w:r w:rsidRPr="00F6415D">
        <w:rPr>
          <w:rFonts w:ascii="Segoe UI" w:hAnsi="Segoe UI" w:cs="Segoe UI"/>
          <w:lang w:val="en-GB"/>
        </w:rPr>
        <w:fldChar w:fldCharType="end"/>
      </w:r>
      <w:r w:rsidRPr="00F6415D">
        <w:rPr>
          <w:rFonts w:ascii="Segoe UI" w:hAnsi="Segoe UI" w:cs="Segoe UI"/>
          <w:lang w:val="en-GB"/>
        </w:rPr>
        <w:t>.</w:t>
      </w:r>
    </w:p>
    <w:p w:rsidR="00CE1469" w:rsidRPr="00F6415D" w:rsidRDefault="00CE1469" w:rsidP="001104E6">
      <w:pPr>
        <w:pStyle w:val="Heading4"/>
        <w:rPr>
          <w:rFonts w:ascii="Segoe UI" w:hAnsi="Segoe UI" w:cs="Segoe UI"/>
        </w:rPr>
      </w:pPr>
      <w:r w:rsidRPr="00F6415D">
        <w:rPr>
          <w:rFonts w:ascii="Segoe UI" w:hAnsi="Segoe UI" w:cs="Segoe UI"/>
        </w:rPr>
        <w:lastRenderedPageBreak/>
        <w:t>Post retirement: acute/complex needs</w:t>
      </w:r>
    </w:p>
    <w:p w:rsidR="00CE1469" w:rsidRPr="00F6415D" w:rsidRDefault="00CE1469" w:rsidP="001104E6">
      <w:pPr>
        <w:pStyle w:val="BodyText"/>
        <w:rPr>
          <w:rFonts w:ascii="Segoe UI" w:hAnsi="Segoe UI" w:cs="Segoe UI"/>
        </w:rPr>
      </w:pPr>
      <w:bookmarkStart w:id="106" w:name="_Toc527561546"/>
      <w:bookmarkStart w:id="107" w:name="_Toc527564620"/>
      <w:bookmarkStart w:id="108" w:name="_Toc528224248"/>
      <w:bookmarkStart w:id="109" w:name="_Toc528861131"/>
      <w:bookmarkStart w:id="110" w:name="_Toc529890573"/>
      <w:r w:rsidRPr="00F6415D">
        <w:rPr>
          <w:rFonts w:ascii="Segoe UI" w:hAnsi="Segoe UI" w:cs="Segoe UI"/>
        </w:rPr>
        <w:t xml:space="preserve">Consumers who experienced a gradual decline in their health and have accessed low to medium level care to support independence at home, are more inclined to engage in planning to transition to residential aged care. </w:t>
      </w:r>
    </w:p>
    <w:p w:rsidR="00CE1469" w:rsidRPr="00F6415D" w:rsidRDefault="00CE1469" w:rsidP="001104E6">
      <w:pPr>
        <w:pStyle w:val="BodyText"/>
        <w:rPr>
          <w:rFonts w:ascii="Segoe UI" w:hAnsi="Segoe UI" w:cs="Segoe UI"/>
        </w:rPr>
      </w:pPr>
      <w:r w:rsidRPr="00F6415D">
        <w:rPr>
          <w:rFonts w:ascii="Segoe UI" w:hAnsi="Segoe UI" w:cs="Segoe UI"/>
        </w:rPr>
        <w:t xml:space="preserve">Furthermore, as identified in section </w:t>
      </w:r>
      <w:r w:rsidRPr="00F6415D">
        <w:rPr>
          <w:rFonts w:ascii="Segoe UI" w:hAnsi="Segoe UI" w:cs="Segoe UI"/>
        </w:rPr>
        <w:fldChar w:fldCharType="begin"/>
      </w:r>
      <w:r w:rsidRPr="00F6415D">
        <w:rPr>
          <w:rFonts w:ascii="Segoe UI" w:hAnsi="Segoe UI" w:cs="Segoe UI"/>
        </w:rPr>
        <w:instrText xml:space="preserve"> REF _Ref530742234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3.2</w:t>
      </w:r>
      <w:r w:rsidRPr="00F6415D">
        <w:rPr>
          <w:rFonts w:ascii="Segoe UI" w:hAnsi="Segoe UI" w:cs="Segoe UI"/>
        </w:rPr>
        <w:fldChar w:fldCharType="end"/>
      </w:r>
      <w:r w:rsidRPr="00F6415D">
        <w:rPr>
          <w:rFonts w:ascii="Segoe UI" w:hAnsi="Segoe UI" w:cs="Segoe UI"/>
        </w:rPr>
        <w:t>, consumers who have a financial plan are more likely to include their ongoing aged care costs through to the costs associated with living in an aged care home in their plan. However, the adequacy of this planning was not tested.</w:t>
      </w:r>
    </w:p>
    <w:p w:rsidR="00CE1469" w:rsidRPr="00F6415D" w:rsidRDefault="00CE1469" w:rsidP="001104E6">
      <w:pPr>
        <w:pStyle w:val="Heading3"/>
        <w:rPr>
          <w:rFonts w:ascii="Segoe UI" w:hAnsi="Segoe UI" w:cs="Segoe UI"/>
        </w:rPr>
      </w:pPr>
      <w:bookmarkStart w:id="111" w:name="_Ref530742234"/>
      <w:bookmarkStart w:id="112" w:name="_Toc531271079"/>
      <w:bookmarkStart w:id="113" w:name="_Toc532206375"/>
      <w:r w:rsidRPr="00F6415D">
        <w:rPr>
          <w:rFonts w:ascii="Segoe UI" w:hAnsi="Segoe UI" w:cs="Segoe UI"/>
        </w:rPr>
        <w:t>Personal finances and aged care planning</w:t>
      </w:r>
      <w:bookmarkEnd w:id="106"/>
      <w:bookmarkEnd w:id="107"/>
      <w:bookmarkEnd w:id="108"/>
      <w:bookmarkEnd w:id="109"/>
      <w:bookmarkEnd w:id="110"/>
      <w:bookmarkEnd w:id="111"/>
      <w:bookmarkEnd w:id="112"/>
      <w:bookmarkEnd w:id="113"/>
    </w:p>
    <w:p w:rsidR="00CE1469" w:rsidRPr="00F6415D" w:rsidRDefault="00CE1469" w:rsidP="001104E6">
      <w:pPr>
        <w:pStyle w:val="BodyText"/>
        <w:rPr>
          <w:rFonts w:ascii="Segoe UI" w:hAnsi="Segoe UI" w:cs="Segoe UI"/>
        </w:rPr>
      </w:pPr>
      <w:bookmarkStart w:id="114" w:name="_Toc527561547"/>
      <w:bookmarkStart w:id="115" w:name="_Toc527564621"/>
      <w:bookmarkStart w:id="116" w:name="_Toc528224249"/>
      <w:bookmarkStart w:id="117" w:name="_Toc528861132"/>
      <w:bookmarkStart w:id="118" w:name="_Toc529890574"/>
      <w:r w:rsidRPr="00F6415D">
        <w:rPr>
          <w:rFonts w:ascii="Segoe UI" w:hAnsi="Segoe UI" w:cs="Segoe UI"/>
        </w:rPr>
        <w:t>During</w:t>
      </w:r>
      <w:r w:rsidR="001B5BED" w:rsidRPr="00F6415D">
        <w:rPr>
          <w:rFonts w:ascii="Segoe UI" w:hAnsi="Segoe UI" w:cs="Segoe UI"/>
        </w:rPr>
        <w:t xml:space="preserve"> </w:t>
      </w:r>
      <w:r w:rsidRPr="00F6415D">
        <w:rPr>
          <w:rFonts w:ascii="Segoe UI" w:hAnsi="Segoe UI" w:cs="Segoe UI"/>
        </w:rPr>
        <w:t>2016–17 the Australian Securities &amp; Investments Commission (ASIC) undertook a project to explore the financial issues impacting senior Australians in order to better understand the diversity in the rapidly growing senior population and how best to support their education and information needs. Around half of the senior Australians surveyed by ASIC have a financial plan for the next five years, and one-third have a financial plan for the next 10</w:t>
      </w:r>
      <w:r w:rsidRPr="00F6415D">
        <w:rPr>
          <w:rFonts w:ascii="Segoe UI" w:hAnsi="Segoe UI" w:cs="Segoe UI"/>
        </w:rPr>
        <w:noBreakHyphen/>
        <w:t>15 years.</w:t>
      </w:r>
    </w:p>
    <w:p w:rsidR="00CE1469" w:rsidRPr="00F6415D" w:rsidRDefault="00CE1469" w:rsidP="001104E6">
      <w:pPr>
        <w:pStyle w:val="BodyText"/>
        <w:rPr>
          <w:rFonts w:ascii="Segoe UI" w:hAnsi="Segoe UI" w:cs="Segoe UI"/>
        </w:rPr>
      </w:pPr>
      <w:r w:rsidRPr="00F6415D">
        <w:rPr>
          <w:rFonts w:ascii="Segoe UI" w:hAnsi="Segoe UI" w:cs="Segoe UI"/>
        </w:rPr>
        <w:t>19 per cent of the ASIC survey respondents stated they had an older family member or friend aged 55+ who they felt was in need of more information, advice and assistance when making financial decisions about their future. The greatest information need was identified as obtaining layman’s explanations of: the financial elements of the aged care system, pension changes, and power of attorney and enduring guardianship as well as access to assets and pension calculators.</w:t>
      </w:r>
    </w:p>
    <w:p w:rsidR="00CE1469" w:rsidRPr="00F6415D" w:rsidRDefault="00CE1469" w:rsidP="001104E6">
      <w:pPr>
        <w:pStyle w:val="BodyText"/>
        <w:rPr>
          <w:rFonts w:ascii="Segoe UI" w:hAnsi="Segoe UI" w:cs="Segoe UI"/>
        </w:rPr>
      </w:pPr>
      <w:r w:rsidRPr="00F6415D">
        <w:rPr>
          <w:rFonts w:ascii="Segoe UI" w:hAnsi="Segoe UI" w:cs="Segoe UI"/>
        </w:rPr>
        <w:t>The ASIC survey identified that the financial priorities for consumers were:</w:t>
      </w:r>
    </w:p>
    <w:p w:rsidR="00CE1469" w:rsidRPr="00F6415D" w:rsidRDefault="00CE1469" w:rsidP="00DC338F">
      <w:pPr>
        <w:pStyle w:val="ListBullet"/>
        <w:rPr>
          <w:rFonts w:ascii="Segoe UI" w:hAnsi="Segoe UI" w:cs="Segoe UI"/>
        </w:rPr>
      </w:pPr>
      <w:r w:rsidRPr="00F6415D">
        <w:rPr>
          <w:rFonts w:ascii="Segoe UI" w:hAnsi="Segoe UI" w:cs="Segoe UI"/>
        </w:rPr>
        <w:t>paying day-to-day household bills and expenses (78 per cen</w:t>
      </w:r>
      <w:r w:rsidR="007E5969" w:rsidRPr="00F6415D">
        <w:rPr>
          <w:rFonts w:ascii="Segoe UI" w:hAnsi="Segoe UI" w:cs="Segoe UI"/>
        </w:rPr>
        <w:t>t</w:t>
      </w:r>
      <w:r w:rsidRPr="00F6415D">
        <w:rPr>
          <w:rFonts w:ascii="Segoe UI" w:hAnsi="Segoe UI" w:cs="Segoe UI"/>
        </w:rPr>
        <w:t>)</w:t>
      </w:r>
    </w:p>
    <w:p w:rsidR="00CE1469" w:rsidRPr="00F6415D" w:rsidRDefault="00CE1469" w:rsidP="00DC338F">
      <w:pPr>
        <w:pStyle w:val="ListBullet"/>
        <w:rPr>
          <w:rFonts w:ascii="Segoe UI" w:hAnsi="Segoe UI" w:cs="Segoe UI"/>
        </w:rPr>
      </w:pPr>
      <w:r w:rsidRPr="00F6415D">
        <w:rPr>
          <w:rFonts w:ascii="Segoe UI" w:hAnsi="Segoe UI" w:cs="Segoe UI"/>
        </w:rPr>
        <w:t>having enough money to enjoy life and do what they want to do (69</w:t>
      </w:r>
      <w:r w:rsidR="007E5969" w:rsidRPr="00F6415D">
        <w:rPr>
          <w:rFonts w:ascii="Segoe UI" w:hAnsi="Segoe UI" w:cs="Segoe UI"/>
        </w:rPr>
        <w:t> </w:t>
      </w:r>
      <w:r w:rsidRPr="00F6415D">
        <w:rPr>
          <w:rFonts w:ascii="Segoe UI" w:hAnsi="Segoe UI" w:cs="Segoe UI"/>
        </w:rPr>
        <w:t>per</w:t>
      </w:r>
      <w:r w:rsidR="007E5969" w:rsidRPr="00F6415D">
        <w:rPr>
          <w:rFonts w:ascii="Segoe UI" w:hAnsi="Segoe UI" w:cs="Segoe UI"/>
        </w:rPr>
        <w:t> </w:t>
      </w:r>
      <w:r w:rsidRPr="00F6415D">
        <w:rPr>
          <w:rFonts w:ascii="Segoe UI" w:hAnsi="Segoe UI" w:cs="Segoe UI"/>
        </w:rPr>
        <w:t>cent)</w:t>
      </w:r>
    </w:p>
    <w:p w:rsidR="00CE1469" w:rsidRPr="00F6415D" w:rsidRDefault="00CE1469" w:rsidP="00DC338F">
      <w:pPr>
        <w:pStyle w:val="ListBullet"/>
        <w:rPr>
          <w:rFonts w:ascii="Segoe UI" w:hAnsi="Segoe UI" w:cs="Segoe UI"/>
        </w:rPr>
      </w:pPr>
      <w:r w:rsidRPr="00F6415D">
        <w:rPr>
          <w:rFonts w:ascii="Segoe UI" w:hAnsi="Segoe UI" w:cs="Segoe UI"/>
        </w:rPr>
        <w:t>making sure they can access money for emergencies or something unexpected (54 per cent)</w:t>
      </w:r>
    </w:p>
    <w:p w:rsidR="00CE1469" w:rsidRPr="00F6415D" w:rsidRDefault="00CE1469" w:rsidP="00DC338F">
      <w:pPr>
        <w:pStyle w:val="ListBullet"/>
        <w:rPr>
          <w:rFonts w:ascii="Segoe UI" w:hAnsi="Segoe UI" w:cs="Segoe UI"/>
        </w:rPr>
      </w:pPr>
      <w:r w:rsidRPr="00F6415D">
        <w:rPr>
          <w:rFonts w:ascii="Segoe UI" w:hAnsi="Segoe UI" w:cs="Segoe UI"/>
        </w:rPr>
        <w:t>paying healthcare or medical costs (45 per cent)</w:t>
      </w:r>
    </w:p>
    <w:p w:rsidR="00CE1469" w:rsidRPr="00F6415D" w:rsidRDefault="00CE1469" w:rsidP="00DC338F">
      <w:pPr>
        <w:pStyle w:val="ListBullet"/>
        <w:rPr>
          <w:rFonts w:ascii="Segoe UI" w:hAnsi="Segoe UI" w:cs="Segoe UI"/>
        </w:rPr>
      </w:pPr>
      <w:r w:rsidRPr="00F6415D">
        <w:rPr>
          <w:rFonts w:ascii="Segoe UI" w:hAnsi="Segoe UI" w:cs="Segoe UI"/>
        </w:rPr>
        <w:t>saving for a holiday or travel (42 per cent).</w:t>
      </w:r>
      <w:r w:rsidRPr="00F6415D">
        <w:rPr>
          <w:rStyle w:val="EndnoteReference"/>
          <w:rFonts w:ascii="Segoe UI" w:hAnsi="Segoe UI" w:cs="Segoe UI"/>
        </w:rPr>
        <w:endnoteReference w:id="8"/>
      </w:r>
    </w:p>
    <w:p w:rsidR="00CE1469" w:rsidRPr="00F6415D" w:rsidRDefault="00CE1469" w:rsidP="001104E6">
      <w:pPr>
        <w:pStyle w:val="BodyText"/>
        <w:rPr>
          <w:rFonts w:ascii="Segoe UI" w:hAnsi="Segoe UI" w:cs="Segoe UI"/>
        </w:rPr>
      </w:pPr>
      <w:r w:rsidRPr="00F6415D">
        <w:rPr>
          <w:rFonts w:ascii="Segoe UI" w:hAnsi="Segoe UI" w:cs="Segoe UI"/>
        </w:rPr>
        <w:t>The ACFA consumer survey sought to determine the extent to which senior Australians are planning for their ageing needs. In determining if they had a plan, a series of questions were asked regarding:</w:t>
      </w:r>
    </w:p>
    <w:p w:rsidR="00CE1469" w:rsidRPr="00F6415D" w:rsidRDefault="00CE1469" w:rsidP="00DC338F">
      <w:pPr>
        <w:pStyle w:val="ListBullet"/>
        <w:rPr>
          <w:rFonts w:ascii="Segoe UI" w:hAnsi="Segoe UI" w:cs="Segoe UI"/>
        </w:rPr>
      </w:pPr>
      <w:r w:rsidRPr="00F6415D">
        <w:rPr>
          <w:rFonts w:ascii="Segoe UI" w:hAnsi="Segoe UI" w:cs="Segoe UI"/>
        </w:rPr>
        <w:t>what aged care they were currently receiving and intending to access in the future</w:t>
      </w:r>
    </w:p>
    <w:p w:rsidR="00CE1469" w:rsidRPr="00F6415D" w:rsidRDefault="00CE1469" w:rsidP="00DC338F">
      <w:pPr>
        <w:pStyle w:val="ListBullet"/>
        <w:rPr>
          <w:rFonts w:ascii="Segoe UI" w:hAnsi="Segoe UI" w:cs="Segoe UI"/>
        </w:rPr>
      </w:pPr>
      <w:r w:rsidRPr="00F6415D">
        <w:rPr>
          <w:rFonts w:ascii="Segoe UI" w:hAnsi="Segoe UI" w:cs="Segoe UI"/>
        </w:rPr>
        <w:t>the costs they had incurred for their current aged care</w:t>
      </w:r>
    </w:p>
    <w:p w:rsidR="00CE1469" w:rsidRPr="00F6415D" w:rsidRDefault="00CE1469" w:rsidP="00DC338F">
      <w:pPr>
        <w:pStyle w:val="ListBullet"/>
        <w:rPr>
          <w:rFonts w:ascii="Segoe UI" w:hAnsi="Segoe UI" w:cs="Segoe UI"/>
        </w:rPr>
      </w:pPr>
      <w:r w:rsidRPr="00F6415D">
        <w:rPr>
          <w:rFonts w:ascii="Segoe UI" w:hAnsi="Segoe UI" w:cs="Segoe UI"/>
        </w:rPr>
        <w:t xml:space="preserve">if they have a plan or budget to manage their finances. </w:t>
      </w:r>
    </w:p>
    <w:p w:rsidR="00CE1469" w:rsidRPr="00F6415D" w:rsidRDefault="00CE1469" w:rsidP="001104E6">
      <w:pPr>
        <w:pStyle w:val="BodyText"/>
        <w:rPr>
          <w:rFonts w:ascii="Segoe UI" w:hAnsi="Segoe UI" w:cs="Segoe UI"/>
        </w:rPr>
      </w:pPr>
      <w:r w:rsidRPr="00F6415D">
        <w:rPr>
          <w:rFonts w:ascii="Segoe UI" w:hAnsi="Segoe UI" w:cs="Segoe UI"/>
        </w:rPr>
        <w:t xml:space="preserve">Of the 61 per cent of consumers who identified as having a plan, 47 per cent indicated the plan included funds to meet their current aged care costs, while 57 per cent indicated that it included funds to meet future aged care costs. This number is higher than other published research. The survey did not cover whether consumers had a realistic assessment of aged care costs nor did it define what constitutes a financial plan, so the results may be impacted. In chapter </w:t>
      </w:r>
      <w:r w:rsidRPr="00F6415D">
        <w:rPr>
          <w:rFonts w:ascii="Segoe UI" w:hAnsi="Segoe UI" w:cs="Segoe UI"/>
        </w:rPr>
        <w:fldChar w:fldCharType="begin"/>
      </w:r>
      <w:r w:rsidRPr="00F6415D">
        <w:rPr>
          <w:rFonts w:ascii="Segoe UI" w:hAnsi="Segoe UI" w:cs="Segoe UI"/>
        </w:rPr>
        <w:instrText xml:space="preserve"> REF _Ref531161754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6</w:t>
      </w:r>
      <w:r w:rsidRPr="00F6415D">
        <w:rPr>
          <w:rFonts w:ascii="Segoe UI" w:hAnsi="Segoe UI" w:cs="Segoe UI"/>
        </w:rPr>
        <w:fldChar w:fldCharType="end"/>
      </w:r>
      <w:r w:rsidRPr="00F6415D">
        <w:rPr>
          <w:rFonts w:ascii="Segoe UI" w:hAnsi="Segoe UI" w:cs="Segoe UI"/>
        </w:rPr>
        <w:t xml:space="preserve">, we note that around half of the respondents state they are worried about future plans and affordability of care. </w:t>
      </w:r>
    </w:p>
    <w:p w:rsidR="00CE1469" w:rsidRPr="00F6415D" w:rsidRDefault="00CE1469" w:rsidP="001104E6">
      <w:pPr>
        <w:pStyle w:val="BodyText"/>
        <w:rPr>
          <w:rFonts w:ascii="Segoe UI" w:hAnsi="Segoe UI" w:cs="Segoe UI"/>
        </w:rPr>
      </w:pPr>
      <w:r w:rsidRPr="00F6415D">
        <w:rPr>
          <w:rFonts w:ascii="Segoe UI" w:hAnsi="Segoe UI" w:cs="Segoe UI"/>
        </w:rPr>
        <w:lastRenderedPageBreak/>
        <w:t>One-on-one consultations with consumers aligned more closely with results from other research. Specifically, most consumers had under-estimated the extent to which income and assets would cover retirement needs. Most reported undertaking no formal planning for funding their aged care needs, but with hindsight planning would have been undertaken earlier. Particular reasons given for this were to:</w:t>
      </w:r>
    </w:p>
    <w:p w:rsidR="00CE1469" w:rsidRPr="00F6415D" w:rsidRDefault="00CE1469" w:rsidP="00686BFA">
      <w:pPr>
        <w:pStyle w:val="ListParagraph"/>
        <w:numPr>
          <w:ilvl w:val="0"/>
          <w:numId w:val="36"/>
        </w:numPr>
        <w:suppressAutoHyphens/>
        <w:spacing w:after="60"/>
        <w:rPr>
          <w:rFonts w:ascii="Segoe UI" w:hAnsi="Segoe UI" w:cs="Segoe UI"/>
        </w:rPr>
      </w:pPr>
      <w:r w:rsidRPr="00F6415D">
        <w:rPr>
          <w:rFonts w:ascii="Segoe UI" w:hAnsi="Segoe UI" w:cs="Segoe UI"/>
        </w:rPr>
        <w:t>have more money saved to fund their aged care needs</w:t>
      </w:r>
    </w:p>
    <w:p w:rsidR="00CE1469" w:rsidRPr="00F6415D" w:rsidRDefault="00CE1469" w:rsidP="00686BFA">
      <w:pPr>
        <w:pStyle w:val="ListParagraph"/>
        <w:numPr>
          <w:ilvl w:val="0"/>
          <w:numId w:val="36"/>
        </w:numPr>
        <w:suppressAutoHyphens/>
        <w:spacing w:after="60"/>
        <w:rPr>
          <w:rFonts w:ascii="Segoe UI" w:hAnsi="Segoe UI" w:cs="Segoe UI"/>
        </w:rPr>
      </w:pPr>
      <w:r w:rsidRPr="00F6415D">
        <w:rPr>
          <w:rFonts w:ascii="Segoe UI" w:hAnsi="Segoe UI" w:cs="Segoe UI"/>
        </w:rPr>
        <w:t>access services that they wanted (either the number of services and/or quality)</w:t>
      </w:r>
    </w:p>
    <w:p w:rsidR="00CE1469" w:rsidRPr="00F6415D" w:rsidRDefault="00CE1469" w:rsidP="00686BFA">
      <w:pPr>
        <w:pStyle w:val="ListParagraph"/>
        <w:numPr>
          <w:ilvl w:val="0"/>
          <w:numId w:val="36"/>
        </w:numPr>
        <w:suppressAutoHyphens/>
        <w:spacing w:after="60"/>
        <w:rPr>
          <w:rFonts w:ascii="Segoe UI" w:hAnsi="Segoe UI" w:cs="Segoe UI"/>
        </w:rPr>
      </w:pPr>
      <w:r w:rsidRPr="00F6415D">
        <w:rPr>
          <w:rFonts w:ascii="Segoe UI" w:hAnsi="Segoe UI" w:cs="Segoe UI"/>
        </w:rPr>
        <w:t>provide more certainty, independence and flexibility to cover unexpected costs associated with health care.</w:t>
      </w:r>
    </w:p>
    <w:p w:rsidR="00CE1469" w:rsidRPr="00F6415D" w:rsidRDefault="00CE1469" w:rsidP="001104E6">
      <w:pPr>
        <w:pStyle w:val="BodyText"/>
        <w:rPr>
          <w:rFonts w:ascii="Segoe UI" w:hAnsi="Segoe UI" w:cs="Segoe UI"/>
        </w:rPr>
      </w:pPr>
      <w:r w:rsidRPr="00F6415D">
        <w:rPr>
          <w:rFonts w:ascii="Segoe UI" w:hAnsi="Segoe UI" w:cs="Segoe UI"/>
        </w:rPr>
        <w:t>This suggests that those consumers who felt that they had prepared for the costs of aged care were in fact not well informed or well prepared.</w:t>
      </w:r>
    </w:p>
    <w:p w:rsidR="00CE1469" w:rsidRPr="00F6415D" w:rsidRDefault="00CE1469" w:rsidP="001104E6">
      <w:pPr>
        <w:pStyle w:val="Heading3"/>
        <w:rPr>
          <w:rFonts w:ascii="Segoe UI" w:hAnsi="Segoe UI" w:cs="Segoe UI"/>
        </w:rPr>
      </w:pPr>
      <w:bookmarkStart w:id="119" w:name="_Toc531271080"/>
      <w:bookmarkStart w:id="120" w:name="_Toc532206376"/>
      <w:r w:rsidRPr="00F6415D">
        <w:rPr>
          <w:rFonts w:ascii="Segoe UI" w:hAnsi="Segoe UI" w:cs="Segoe UI"/>
        </w:rPr>
        <w:t>Support accessed during the planning process</w:t>
      </w:r>
      <w:bookmarkEnd w:id="114"/>
      <w:bookmarkEnd w:id="115"/>
      <w:bookmarkEnd w:id="116"/>
      <w:bookmarkEnd w:id="117"/>
      <w:bookmarkEnd w:id="118"/>
      <w:bookmarkEnd w:id="119"/>
      <w:bookmarkEnd w:id="120"/>
    </w:p>
    <w:p w:rsidR="00CE1469" w:rsidRPr="00F6415D" w:rsidRDefault="00CE1469" w:rsidP="001104E6">
      <w:pPr>
        <w:pStyle w:val="BodyText"/>
        <w:rPr>
          <w:rFonts w:ascii="Segoe UI" w:hAnsi="Segoe UI" w:cs="Segoe UI"/>
        </w:rPr>
      </w:pPr>
      <w:bookmarkStart w:id="121" w:name="_Toc528224250"/>
      <w:bookmarkStart w:id="122" w:name="_Toc528861133"/>
      <w:bookmarkStart w:id="123" w:name="_Toc529890575"/>
      <w:bookmarkStart w:id="124" w:name="_Toc527561548"/>
      <w:r w:rsidRPr="00F6415D">
        <w:rPr>
          <w:rFonts w:ascii="Segoe UI" w:hAnsi="Segoe UI" w:cs="Segoe UI"/>
        </w:rPr>
        <w:t>When asked who the decision-maker is with regard to financing aged care, a significant proportion of consumers indicated they make the decisions either on their own (37.7 per cent) or with their spouse or partner (39.7 per cent). Only a small proportion (1.5 per cent) indicated that they made financial decisions about their aged care with the assistance of a financial advisor.</w:t>
      </w:r>
    </w:p>
    <w:p w:rsidR="00CE1469" w:rsidRPr="00F6415D" w:rsidRDefault="00CE1469" w:rsidP="00AD2681">
      <w:pPr>
        <w:pStyle w:val="FigureTitle"/>
        <w:rPr>
          <w:rFonts w:ascii="Segoe UI" w:hAnsi="Segoe UI" w:cs="Segoe UI"/>
          <w:i/>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2</w:t>
      </w:r>
      <w:r w:rsidRPr="00F6415D">
        <w:rPr>
          <w:rFonts w:ascii="Segoe UI" w:hAnsi="Segoe UI" w:cs="Segoe UI"/>
          <w:i/>
          <w:noProof/>
        </w:rPr>
        <w:fldChar w:fldCharType="end"/>
      </w:r>
      <w:r w:rsidRPr="00F6415D">
        <w:rPr>
          <w:rFonts w:ascii="Segoe UI" w:hAnsi="Segoe UI" w:cs="Segoe UI"/>
          <w:i/>
        </w:rPr>
        <w:t>: Consumer aged care decision-making</w:t>
      </w:r>
    </w:p>
    <w:p w:rsidR="00CE1469" w:rsidRPr="00F6415D" w:rsidRDefault="00A10D85" w:rsidP="00CE1469">
      <w:pPr>
        <w:rPr>
          <w:rFonts w:ascii="Segoe UI" w:hAnsi="Segoe UI" w:cs="Segoe UI"/>
        </w:rPr>
      </w:pPr>
      <w:r w:rsidRPr="00F6415D">
        <w:rPr>
          <w:rFonts w:ascii="Segoe UI" w:hAnsi="Segoe UI" w:cs="Segoe UI"/>
          <w:noProof/>
          <w:lang w:eastAsia="en-AU"/>
        </w:rPr>
        <w:drawing>
          <wp:inline distT="0" distB="0" distL="0" distR="0" wp14:anchorId="58F547CB">
            <wp:extent cx="5023485" cy="2725420"/>
            <wp:effectExtent l="0" t="0" r="0" b="0"/>
            <wp:docPr id="16" name="Picture 16" descr="Figure 2, a bar chart, outlines who is involved in consumer aged care decision-making. " title="Figure 2: Consumer aged care decision-ma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23485" cy="2725420"/>
                    </a:xfrm>
                    <a:prstGeom prst="rect">
                      <a:avLst/>
                    </a:prstGeom>
                    <a:noFill/>
                  </pic:spPr>
                </pic:pic>
              </a:graphicData>
            </a:graphic>
          </wp:inline>
        </w:drawing>
      </w:r>
    </w:p>
    <w:p w:rsidR="00964164" w:rsidRPr="00F6415D" w:rsidRDefault="00CE1469" w:rsidP="001104E6">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1104E6">
      <w:pPr>
        <w:pStyle w:val="Heading3"/>
        <w:rPr>
          <w:rFonts w:ascii="Segoe UI" w:eastAsia="Segoe UI" w:hAnsi="Segoe UI" w:cs="Segoe UI"/>
        </w:rPr>
      </w:pPr>
      <w:bookmarkStart w:id="125" w:name="_Toc531271081"/>
      <w:bookmarkStart w:id="126" w:name="_Toc532206377"/>
      <w:r w:rsidRPr="00F6415D">
        <w:rPr>
          <w:rFonts w:ascii="Segoe UI" w:eastAsia="Segoe UI" w:hAnsi="Segoe UI" w:cs="Segoe UI"/>
        </w:rPr>
        <w:t>When consumers plan to access aged care</w:t>
      </w:r>
      <w:bookmarkEnd w:id="121"/>
      <w:bookmarkEnd w:id="122"/>
      <w:bookmarkEnd w:id="123"/>
      <w:bookmarkEnd w:id="125"/>
      <w:bookmarkEnd w:id="126"/>
    </w:p>
    <w:p w:rsidR="00CE1469" w:rsidRPr="00F6415D" w:rsidRDefault="00CE1469" w:rsidP="001104E6">
      <w:pPr>
        <w:pStyle w:val="BodyText"/>
        <w:rPr>
          <w:rFonts w:ascii="Segoe UI" w:hAnsi="Segoe UI" w:cs="Segoe UI"/>
        </w:rPr>
      </w:pPr>
      <w:bookmarkStart w:id="127" w:name="_Toc528861134"/>
      <w:bookmarkStart w:id="128" w:name="_Toc529890576"/>
      <w:bookmarkEnd w:id="124"/>
      <w:r w:rsidRPr="00F6415D">
        <w:rPr>
          <w:rFonts w:ascii="Segoe UI" w:hAnsi="Segoe UI" w:cs="Segoe UI"/>
        </w:rPr>
        <w:t>Of respondents who indicated they were not currently accessing any aged care services, 94 per cent indicated that they would expect to in the future. Of these respondents (643), 48 per cent reported they expected to access aged care services in the next 3-5 years.</w:t>
      </w:r>
    </w:p>
    <w:p w:rsidR="00CE1469" w:rsidRPr="00F6415D" w:rsidRDefault="00CE1469" w:rsidP="001104E6">
      <w:pPr>
        <w:pStyle w:val="BodyText"/>
        <w:rPr>
          <w:rFonts w:ascii="Segoe UI" w:hAnsi="Segoe UI" w:cs="Segoe UI"/>
        </w:rPr>
      </w:pPr>
      <w:r w:rsidRPr="00F6415D">
        <w:rPr>
          <w:rFonts w:ascii="Segoe UI" w:hAnsi="Segoe UI" w:cs="Segoe UI"/>
        </w:rPr>
        <w:fldChar w:fldCharType="begin"/>
      </w:r>
      <w:r w:rsidRPr="00F6415D">
        <w:rPr>
          <w:rFonts w:ascii="Segoe UI" w:hAnsi="Segoe UI" w:cs="Segoe UI"/>
        </w:rPr>
        <w:instrText xml:space="preserve"> REF _Ref530576817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3</w:t>
      </w:r>
      <w:r w:rsidRPr="00F6415D">
        <w:rPr>
          <w:rFonts w:ascii="Segoe UI" w:hAnsi="Segoe UI" w:cs="Segoe UI"/>
        </w:rPr>
        <w:fldChar w:fldCharType="end"/>
      </w:r>
      <w:r w:rsidRPr="00F6415D">
        <w:rPr>
          <w:rFonts w:ascii="Segoe UI" w:hAnsi="Segoe UI" w:cs="Segoe UI"/>
        </w:rPr>
        <w:t xml:space="preserve"> below, shows when respondents expect to access aged care services by age group. </w:t>
      </w:r>
    </w:p>
    <w:p w:rsidR="00CE1469" w:rsidRPr="00F6415D" w:rsidRDefault="00CE1469" w:rsidP="00534C0F">
      <w:pPr>
        <w:pStyle w:val="TableTitle"/>
        <w:rPr>
          <w:rFonts w:ascii="Segoe UI" w:hAnsi="Segoe UI" w:cs="Segoe UI"/>
          <w:i/>
        </w:rPr>
      </w:pPr>
      <w:bookmarkStart w:id="129" w:name="_Ref530459746"/>
      <w:bookmarkStart w:id="130" w:name="_Ref530576817"/>
      <w:r w:rsidRPr="00F6415D">
        <w:rPr>
          <w:rFonts w:ascii="Segoe UI" w:hAnsi="Segoe UI" w:cs="Segoe UI"/>
          <w:i/>
        </w:rPr>
        <w:lastRenderedPageBreak/>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3</w:t>
      </w:r>
      <w:r w:rsidRPr="00F6415D">
        <w:rPr>
          <w:rFonts w:ascii="Segoe UI" w:hAnsi="Segoe UI" w:cs="Segoe UI"/>
          <w:i/>
          <w:noProof/>
        </w:rPr>
        <w:fldChar w:fldCharType="end"/>
      </w:r>
      <w:bookmarkEnd w:id="129"/>
      <w:bookmarkEnd w:id="130"/>
      <w:r w:rsidRPr="00F6415D">
        <w:rPr>
          <w:rFonts w:ascii="Segoe UI" w:hAnsi="Segoe UI" w:cs="Segoe UI"/>
          <w:i/>
        </w:rPr>
        <w:t>: When respondents are expecting to access aged care by age group</w:t>
      </w:r>
    </w:p>
    <w:tbl>
      <w:tblPr>
        <w:tblW w:w="8669" w:type="dxa"/>
        <w:tblInd w:w="108" w:type="dxa"/>
        <w:tblLook w:val="04A0" w:firstRow="1" w:lastRow="0" w:firstColumn="1" w:lastColumn="0" w:noHBand="0" w:noVBand="1"/>
        <w:tblCaption w:val="Table 3: When respondents are expecting to access aged care by age group"/>
        <w:tblDescription w:val="Table 3 outlines when respondents are expecting to access aged care by age group as a percentage. "/>
      </w:tblPr>
      <w:tblGrid>
        <w:gridCol w:w="2866"/>
        <w:gridCol w:w="1246"/>
        <w:gridCol w:w="1522"/>
        <w:gridCol w:w="1523"/>
        <w:gridCol w:w="1512"/>
      </w:tblGrid>
      <w:tr w:rsidR="00CE1469" w:rsidRPr="00F6415D" w:rsidTr="00CE1469">
        <w:trPr>
          <w:trHeight w:val="207"/>
        </w:trPr>
        <w:tc>
          <w:tcPr>
            <w:tcW w:w="2866" w:type="dxa"/>
            <w:tcBorders>
              <w:top w:val="nil"/>
              <w:left w:val="nil"/>
              <w:bottom w:val="nil"/>
              <w:right w:val="nil"/>
            </w:tcBorders>
            <w:shd w:val="clear" w:color="auto" w:fill="1F497D" w:themeFill="text2"/>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Expecting to access aged care services</w:t>
            </w:r>
          </w:p>
        </w:tc>
        <w:tc>
          <w:tcPr>
            <w:tcW w:w="1246" w:type="dxa"/>
            <w:tcBorders>
              <w:top w:val="nil"/>
              <w:left w:val="single" w:sz="4" w:space="0" w:color="auto"/>
              <w:bottom w:val="single" w:sz="4" w:space="0" w:color="auto"/>
              <w:right w:val="nil"/>
            </w:tcBorders>
            <w:shd w:val="clear" w:color="auto" w:fill="1F497D" w:themeFill="text2"/>
            <w:vAlign w:val="center"/>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60-64 years</w:t>
            </w:r>
          </w:p>
        </w:tc>
        <w:tc>
          <w:tcPr>
            <w:tcW w:w="1522" w:type="dxa"/>
            <w:tcBorders>
              <w:top w:val="nil"/>
              <w:left w:val="nil"/>
              <w:bottom w:val="single" w:sz="4" w:space="0" w:color="auto"/>
              <w:right w:val="nil"/>
            </w:tcBorders>
            <w:shd w:val="clear" w:color="auto" w:fill="1F497D" w:themeFill="text2"/>
            <w:vAlign w:val="center"/>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65-69 years</w:t>
            </w:r>
          </w:p>
        </w:tc>
        <w:tc>
          <w:tcPr>
            <w:tcW w:w="1523" w:type="dxa"/>
            <w:tcBorders>
              <w:top w:val="nil"/>
              <w:left w:val="nil"/>
              <w:bottom w:val="single" w:sz="4" w:space="0" w:color="auto"/>
              <w:right w:val="nil"/>
            </w:tcBorders>
            <w:shd w:val="clear" w:color="auto" w:fill="1F497D" w:themeFill="text2"/>
            <w:vAlign w:val="center"/>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70-74 years</w:t>
            </w:r>
          </w:p>
        </w:tc>
        <w:tc>
          <w:tcPr>
            <w:tcW w:w="1512" w:type="dxa"/>
            <w:tcBorders>
              <w:top w:val="nil"/>
              <w:left w:val="nil"/>
              <w:bottom w:val="single" w:sz="4" w:space="0" w:color="auto"/>
              <w:right w:val="nil"/>
            </w:tcBorders>
            <w:shd w:val="clear" w:color="auto" w:fill="1F497D" w:themeFill="text2"/>
            <w:vAlign w:val="center"/>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75+ years</w:t>
            </w:r>
          </w:p>
        </w:tc>
      </w:tr>
      <w:tr w:rsidR="00CE1469" w:rsidRPr="00F6415D" w:rsidTr="00CE1469">
        <w:trPr>
          <w:trHeight w:val="58"/>
        </w:trPr>
        <w:tc>
          <w:tcPr>
            <w:tcW w:w="2866" w:type="dxa"/>
            <w:tcBorders>
              <w:top w:val="nil"/>
              <w:left w:val="nil"/>
              <w:bottom w:val="single" w:sz="4" w:space="0" w:color="auto"/>
              <w:right w:val="single" w:sz="4" w:space="0" w:color="auto"/>
            </w:tcBorders>
            <w:shd w:val="clear" w:color="auto" w:fill="auto"/>
            <w:vAlign w:val="center"/>
            <w:hideMark/>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In the next year</w:t>
            </w:r>
          </w:p>
        </w:tc>
        <w:tc>
          <w:tcPr>
            <w:tcW w:w="1246"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4.3%</w:t>
            </w:r>
          </w:p>
        </w:tc>
        <w:tc>
          <w:tcPr>
            <w:tcW w:w="1522"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12.9%</w:t>
            </w:r>
          </w:p>
        </w:tc>
        <w:tc>
          <w:tcPr>
            <w:tcW w:w="1523"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10.2%</w:t>
            </w:r>
          </w:p>
        </w:tc>
        <w:tc>
          <w:tcPr>
            <w:tcW w:w="1512" w:type="dxa"/>
            <w:tcBorders>
              <w:top w:val="nil"/>
              <w:left w:val="single" w:sz="4" w:space="0" w:color="auto"/>
              <w:bottom w:val="single" w:sz="4" w:space="0" w:color="auto"/>
              <w:right w:val="nil"/>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13.3%</w:t>
            </w:r>
          </w:p>
        </w:tc>
      </w:tr>
      <w:tr w:rsidR="00CE1469" w:rsidRPr="00F6415D" w:rsidTr="00CE1469">
        <w:trPr>
          <w:trHeight w:val="294"/>
        </w:trPr>
        <w:tc>
          <w:tcPr>
            <w:tcW w:w="2866"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1-2 years from now</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12.7%</w:t>
            </w:r>
          </w:p>
        </w:tc>
        <w:tc>
          <w:tcPr>
            <w:tcW w:w="15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19.1%</w:t>
            </w:r>
          </w:p>
        </w:tc>
        <w:tc>
          <w:tcPr>
            <w:tcW w:w="1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16.8%</w:t>
            </w:r>
          </w:p>
        </w:tc>
        <w:tc>
          <w:tcPr>
            <w:tcW w:w="1512"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20.4%</w:t>
            </w:r>
          </w:p>
        </w:tc>
      </w:tr>
      <w:tr w:rsidR="00CE1469" w:rsidRPr="00F6415D" w:rsidTr="00CE1469">
        <w:trPr>
          <w:trHeight w:val="294"/>
        </w:trPr>
        <w:tc>
          <w:tcPr>
            <w:tcW w:w="2866"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3-5 years from now</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67.2%</w:t>
            </w:r>
          </w:p>
        </w:tc>
        <w:tc>
          <w:tcPr>
            <w:tcW w:w="15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42.3%</w:t>
            </w:r>
          </w:p>
        </w:tc>
        <w:tc>
          <w:tcPr>
            <w:tcW w:w="1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45.6%</w:t>
            </w:r>
          </w:p>
        </w:tc>
        <w:tc>
          <w:tcPr>
            <w:tcW w:w="1512"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46.4%</w:t>
            </w:r>
          </w:p>
        </w:tc>
      </w:tr>
      <w:tr w:rsidR="00CE1469" w:rsidRPr="00F6415D" w:rsidTr="00CE1469">
        <w:trPr>
          <w:trHeight w:val="207"/>
        </w:trPr>
        <w:tc>
          <w:tcPr>
            <w:tcW w:w="2866" w:type="dxa"/>
            <w:tcBorders>
              <w:top w:val="single" w:sz="4" w:space="0" w:color="auto"/>
              <w:left w:val="nil"/>
              <w:bottom w:val="nil"/>
              <w:right w:val="single" w:sz="4" w:space="0" w:color="auto"/>
            </w:tcBorders>
            <w:shd w:val="clear" w:color="auto" w:fill="auto"/>
            <w:vAlign w:val="center"/>
            <w:hideMark/>
          </w:tcPr>
          <w:p w:rsidR="00CE1469" w:rsidRPr="00F6415D" w:rsidRDefault="00CE1469" w:rsidP="00DC338F">
            <w:pPr>
              <w:pStyle w:val="Tabletext1"/>
              <w:rPr>
                <w:rFonts w:ascii="Segoe UI" w:hAnsi="Segoe UI" w:cs="Segoe UI"/>
                <w:lang w:eastAsia="en-AU"/>
              </w:rPr>
            </w:pPr>
            <w:r w:rsidRPr="00F6415D">
              <w:rPr>
                <w:rFonts w:ascii="Segoe UI" w:hAnsi="Segoe UI" w:cs="Segoe UI"/>
                <w:lang w:eastAsia="en-AU"/>
              </w:rPr>
              <w:t>Unsure</w:t>
            </w:r>
          </w:p>
        </w:tc>
        <w:tc>
          <w:tcPr>
            <w:tcW w:w="1246" w:type="dxa"/>
            <w:tcBorders>
              <w:top w:val="single" w:sz="4" w:space="0" w:color="auto"/>
              <w:left w:val="single" w:sz="4" w:space="0" w:color="auto"/>
              <w:bottom w:val="nil"/>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15.8%</w:t>
            </w:r>
          </w:p>
        </w:tc>
        <w:tc>
          <w:tcPr>
            <w:tcW w:w="1522" w:type="dxa"/>
            <w:tcBorders>
              <w:top w:val="single" w:sz="4" w:space="0" w:color="auto"/>
              <w:left w:val="single" w:sz="4" w:space="0" w:color="auto"/>
              <w:bottom w:val="nil"/>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25.7%</w:t>
            </w:r>
          </w:p>
        </w:tc>
        <w:tc>
          <w:tcPr>
            <w:tcW w:w="1523" w:type="dxa"/>
            <w:tcBorders>
              <w:top w:val="single" w:sz="4" w:space="0" w:color="auto"/>
              <w:left w:val="single" w:sz="4" w:space="0" w:color="auto"/>
              <w:bottom w:val="nil"/>
              <w:right w:val="single" w:sz="4" w:space="0" w:color="auto"/>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27.4%</w:t>
            </w:r>
          </w:p>
        </w:tc>
        <w:tc>
          <w:tcPr>
            <w:tcW w:w="1512" w:type="dxa"/>
            <w:tcBorders>
              <w:top w:val="single" w:sz="4" w:space="0" w:color="auto"/>
              <w:left w:val="single" w:sz="4" w:space="0" w:color="auto"/>
              <w:bottom w:val="nil"/>
              <w:right w:val="nil"/>
            </w:tcBorders>
            <w:shd w:val="clear" w:color="auto" w:fill="auto"/>
            <w:noWrap/>
            <w:vAlign w:val="bottom"/>
            <w:hideMark/>
          </w:tcPr>
          <w:p w:rsidR="00CE1469" w:rsidRPr="00F6415D" w:rsidRDefault="00CE1469" w:rsidP="00DC338F">
            <w:pPr>
              <w:pStyle w:val="Tabletext1"/>
              <w:rPr>
                <w:rFonts w:ascii="Segoe UI" w:hAnsi="Segoe UI" w:cs="Segoe UI"/>
                <w:iCs/>
                <w:lang w:eastAsia="en-AU"/>
              </w:rPr>
            </w:pPr>
            <w:r w:rsidRPr="00F6415D">
              <w:rPr>
                <w:rFonts w:ascii="Segoe UI" w:hAnsi="Segoe UI" w:cs="Segoe UI"/>
                <w:iCs/>
                <w:lang w:eastAsia="en-AU"/>
              </w:rPr>
              <w:t>19.9%</w:t>
            </w:r>
          </w:p>
        </w:tc>
      </w:tr>
    </w:tbl>
    <w:p w:rsidR="00CE1469" w:rsidRPr="00F6415D" w:rsidRDefault="00CE1469" w:rsidP="001104E6">
      <w:pPr>
        <w:pStyle w:val="BodyText"/>
        <w:rPr>
          <w:rFonts w:ascii="Segoe UI" w:hAnsi="Segoe UI" w:cs="Segoe UI"/>
        </w:rPr>
      </w:pPr>
      <w:r w:rsidRPr="00F6415D">
        <w:rPr>
          <w:rFonts w:ascii="Segoe UI" w:hAnsi="Segoe UI" w:cs="Segoe UI"/>
        </w:rPr>
        <w:t xml:space="preserve">When asked to weight their feelings with the statement </w:t>
      </w:r>
      <w:r w:rsidRPr="00F6415D">
        <w:rPr>
          <w:rFonts w:ascii="Segoe UI" w:hAnsi="Segoe UI" w:cs="Segoe UI"/>
          <w:i/>
        </w:rPr>
        <w:t>they have been planning for retirement and aged care for most of their adult life</w:t>
      </w:r>
      <w:r w:rsidRPr="00F6415D">
        <w:rPr>
          <w:rFonts w:ascii="Segoe UI" w:hAnsi="Segoe UI" w:cs="Segoe UI"/>
        </w:rPr>
        <w:t>, 50 per cent of respondents either disagreed or strongly disagreed, compared with 26 per cent who agreed or strongly agreed.</w:t>
      </w:r>
    </w:p>
    <w:p w:rsidR="00CE1469" w:rsidRPr="00F6415D" w:rsidRDefault="00CE1469" w:rsidP="001104E6">
      <w:pPr>
        <w:pStyle w:val="Heading3"/>
        <w:rPr>
          <w:rFonts w:ascii="Segoe UI" w:hAnsi="Segoe UI" w:cs="Segoe UI"/>
        </w:rPr>
      </w:pPr>
      <w:bookmarkStart w:id="131" w:name="_Ref530742274"/>
      <w:bookmarkStart w:id="132" w:name="_Toc531271082"/>
      <w:bookmarkStart w:id="133" w:name="_Toc532206378"/>
      <w:r w:rsidRPr="00F6415D">
        <w:rPr>
          <w:rFonts w:ascii="Segoe UI" w:hAnsi="Segoe UI" w:cs="Segoe UI"/>
        </w:rPr>
        <w:t>How consumers plan to fund aged care</w:t>
      </w:r>
      <w:bookmarkEnd w:id="127"/>
      <w:bookmarkEnd w:id="128"/>
      <w:bookmarkEnd w:id="131"/>
      <w:bookmarkEnd w:id="132"/>
      <w:bookmarkEnd w:id="133"/>
    </w:p>
    <w:p w:rsidR="00CE1469" w:rsidRPr="00F6415D" w:rsidRDefault="00CE1469" w:rsidP="001104E6">
      <w:pPr>
        <w:pStyle w:val="BodyText"/>
        <w:rPr>
          <w:rFonts w:ascii="Segoe UI" w:hAnsi="Segoe UI" w:cs="Segoe UI"/>
        </w:rPr>
      </w:pPr>
      <w:bookmarkStart w:id="134" w:name="_Toc527561549"/>
      <w:bookmarkStart w:id="135" w:name="_Toc527564622"/>
      <w:bookmarkStart w:id="136" w:name="_Toc528224251"/>
      <w:bookmarkStart w:id="137" w:name="_Toc528861136"/>
      <w:bookmarkStart w:id="138" w:name="_Toc529890577"/>
      <w:r w:rsidRPr="00F6415D">
        <w:rPr>
          <w:rFonts w:ascii="Segoe UI" w:hAnsi="Segoe UI" w:cs="Segoe UI"/>
        </w:rPr>
        <w:t xml:space="preserve">ACFA’s consumer survey also sought information on what income sources consumers expected to have available to fund their future aged care needs. Seventy two per cent of respondents indicated that the age pension was likely to be their main income source, while 48 per cent indicated that they would utilise their superannuation. It was also common for consumers to identify the need to sell the family home to fund their future aged care accommodation costs (29 per cent). </w:t>
      </w:r>
    </w:p>
    <w:p w:rsidR="00CE1469" w:rsidRPr="00F6415D" w:rsidRDefault="00CE1469" w:rsidP="00534C0F">
      <w:pPr>
        <w:pStyle w:val="FigureTitle"/>
        <w:rPr>
          <w:rFonts w:ascii="Segoe UI" w:hAnsi="Segoe UI" w:cs="Segoe UI"/>
          <w:i/>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3</w:t>
      </w:r>
      <w:r w:rsidRPr="00F6415D">
        <w:rPr>
          <w:rFonts w:ascii="Segoe UI" w:hAnsi="Segoe UI" w:cs="Segoe UI"/>
          <w:i/>
          <w:noProof/>
        </w:rPr>
        <w:fldChar w:fldCharType="end"/>
      </w:r>
      <w:r w:rsidRPr="00F6415D">
        <w:rPr>
          <w:rFonts w:ascii="Segoe UI" w:hAnsi="Segoe UI" w:cs="Segoe UI"/>
          <w:i/>
        </w:rPr>
        <w:t>: Income sources consumers expect to have available to fund aged care</w:t>
      </w:r>
    </w:p>
    <w:p w:rsidR="00CE1469" w:rsidRPr="00871CE0" w:rsidRDefault="00FE3C04" w:rsidP="00CE1469">
      <w:r w:rsidRPr="00F6415D">
        <w:rPr>
          <w:rFonts w:ascii="Segoe UI" w:hAnsi="Segoe UI" w:cs="Segoe UI"/>
          <w:noProof/>
          <w:color w:val="0070C0"/>
          <w:lang w:eastAsia="en-AU"/>
        </w:rPr>
        <w:drawing>
          <wp:inline distT="0" distB="0" distL="0" distR="0" wp14:anchorId="2CDD788A">
            <wp:extent cx="6054090" cy="2725420"/>
            <wp:effectExtent l="0" t="0" r="0" b="0"/>
            <wp:docPr id="17" name="Picture 17" descr="Figure 3, a horizontal bar chart, outlines the income sources consumers expect to have available to fund aged care. " title="Figure 3: Income sources consumers expect to have available to fu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054090" cy="2725420"/>
                    </a:xfrm>
                    <a:prstGeom prst="rect">
                      <a:avLst/>
                    </a:prstGeom>
                    <a:noFill/>
                  </pic:spPr>
                </pic:pic>
              </a:graphicData>
            </a:graphic>
          </wp:inline>
        </w:drawing>
      </w:r>
    </w:p>
    <w:p w:rsidR="00CE1469" w:rsidRPr="00F6415D" w:rsidRDefault="00CE1469" w:rsidP="001104E6">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1104E6">
      <w:pPr>
        <w:pStyle w:val="BodyText"/>
        <w:rPr>
          <w:rFonts w:ascii="Segoe UI" w:hAnsi="Segoe UI" w:cs="Segoe UI"/>
        </w:rPr>
      </w:pPr>
      <w:r w:rsidRPr="00F6415D">
        <w:rPr>
          <w:rFonts w:ascii="Segoe UI" w:hAnsi="Segoe UI" w:cs="Segoe UI"/>
        </w:rPr>
        <w:t xml:space="preserve">Chapter </w:t>
      </w:r>
      <w:r w:rsidR="00A5778B" w:rsidRPr="00F6415D">
        <w:rPr>
          <w:rFonts w:ascii="Segoe UI" w:hAnsi="Segoe UI" w:cs="Segoe UI"/>
        </w:rPr>
        <w:fldChar w:fldCharType="begin"/>
      </w:r>
      <w:r w:rsidR="00A5778B" w:rsidRPr="00F6415D">
        <w:rPr>
          <w:rFonts w:ascii="Segoe UI" w:hAnsi="Segoe UI" w:cs="Segoe UI"/>
        </w:rPr>
        <w:instrText xml:space="preserve"> REF _Ref531779004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5</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discusses in detail how consumers actually fund their aged care.</w:t>
      </w:r>
    </w:p>
    <w:p w:rsidR="00CE1469" w:rsidRPr="00F6415D" w:rsidRDefault="00CE1469" w:rsidP="001104E6">
      <w:pPr>
        <w:pStyle w:val="Heading2"/>
        <w:rPr>
          <w:rFonts w:ascii="Segoe UI" w:hAnsi="Segoe UI" w:cs="Segoe UI"/>
        </w:rPr>
      </w:pPr>
      <w:bookmarkStart w:id="139" w:name="_Toc531271083"/>
      <w:bookmarkStart w:id="140" w:name="_Toc532206379"/>
      <w:r w:rsidRPr="00F6415D">
        <w:rPr>
          <w:rFonts w:ascii="Segoe UI" w:hAnsi="Segoe UI" w:cs="Segoe UI"/>
        </w:rPr>
        <w:lastRenderedPageBreak/>
        <w:t>Challenges with planning for aged care</w:t>
      </w:r>
      <w:bookmarkEnd w:id="134"/>
      <w:bookmarkEnd w:id="135"/>
      <w:bookmarkEnd w:id="136"/>
      <w:bookmarkEnd w:id="137"/>
      <w:bookmarkEnd w:id="138"/>
      <w:bookmarkEnd w:id="139"/>
      <w:bookmarkEnd w:id="140"/>
    </w:p>
    <w:p w:rsidR="00CE1469" w:rsidRPr="00F6415D" w:rsidRDefault="00CE1469" w:rsidP="001104E6">
      <w:pPr>
        <w:pStyle w:val="BodyText"/>
        <w:rPr>
          <w:rFonts w:ascii="Segoe UI" w:hAnsi="Segoe UI" w:cs="Segoe UI"/>
        </w:rPr>
      </w:pPr>
      <w:r w:rsidRPr="00F6415D">
        <w:rPr>
          <w:rFonts w:ascii="Segoe UI" w:hAnsi="Segoe UI" w:cs="Segoe UI"/>
        </w:rPr>
        <w:t>This chapter provides a summary of the findings from the ACFA consumer survey and stakeholder consultations regarding the challenges identified with planning for aged care.</w:t>
      </w:r>
    </w:p>
    <w:p w:rsidR="00CE1469" w:rsidRPr="00F6415D" w:rsidRDefault="00CE1469" w:rsidP="001104E6">
      <w:pPr>
        <w:pStyle w:val="BodyText"/>
        <w:rPr>
          <w:rFonts w:ascii="Segoe UI" w:hAnsi="Segoe UI" w:cs="Segoe UI"/>
        </w:rPr>
      </w:pPr>
      <w:r w:rsidRPr="00F6415D">
        <w:rPr>
          <w:rFonts w:ascii="Segoe UI" w:hAnsi="Segoe UI" w:cs="Segoe UI"/>
        </w:rPr>
        <w:t xml:space="preserve">While chapter </w:t>
      </w:r>
      <w:r w:rsidR="00A5778B" w:rsidRPr="00F6415D">
        <w:rPr>
          <w:rFonts w:ascii="Segoe UI" w:hAnsi="Segoe UI" w:cs="Segoe UI"/>
        </w:rPr>
        <w:fldChar w:fldCharType="begin"/>
      </w:r>
      <w:r w:rsidR="00A5778B" w:rsidRPr="00F6415D">
        <w:rPr>
          <w:rFonts w:ascii="Segoe UI" w:hAnsi="Segoe UI" w:cs="Segoe UI"/>
        </w:rPr>
        <w:instrText xml:space="preserve"> REF _Ref531779024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 xml:space="preserve">identified that some consumers are planning for their aged care needs, this chapter identified that some consumers are unaware that they may need to contribute towards Australian Government funded aged care and in turn are not planning. This chapter also explores the misconceptions that may be a barrier to consumers engaging with the planning stages identified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Pr="00F6415D">
        <w:rPr>
          <w:rFonts w:ascii="Segoe UI" w:hAnsi="Segoe UI" w:cs="Segoe UI"/>
        </w:rPr>
        <w:t>.</w:t>
      </w:r>
    </w:p>
    <w:p w:rsidR="00CE1469" w:rsidRPr="00F6415D" w:rsidRDefault="00CE1469" w:rsidP="001104E6">
      <w:pPr>
        <w:pStyle w:val="Heading3"/>
        <w:rPr>
          <w:rFonts w:ascii="Segoe UI" w:hAnsi="Segoe UI" w:cs="Segoe UI"/>
        </w:rPr>
      </w:pPr>
      <w:bookmarkStart w:id="141" w:name="_Toc527564623"/>
      <w:bookmarkStart w:id="142" w:name="_Toc527653774"/>
      <w:bookmarkStart w:id="143" w:name="_Toc527561550"/>
      <w:bookmarkStart w:id="144" w:name="_Toc527564624"/>
      <w:bookmarkStart w:id="145" w:name="_Toc528224252"/>
      <w:bookmarkStart w:id="146" w:name="_Toc528861137"/>
      <w:bookmarkStart w:id="147" w:name="_Toc529890578"/>
      <w:bookmarkStart w:id="148" w:name="_Ref530742408"/>
      <w:bookmarkStart w:id="149" w:name="_Toc531271084"/>
      <w:bookmarkStart w:id="150" w:name="_Toc532206380"/>
      <w:bookmarkEnd w:id="141"/>
      <w:bookmarkEnd w:id="142"/>
      <w:r w:rsidRPr="00F6415D">
        <w:rPr>
          <w:rFonts w:ascii="Segoe UI" w:hAnsi="Segoe UI" w:cs="Segoe UI"/>
        </w:rPr>
        <w:t>Lack of forward planning</w:t>
      </w:r>
      <w:bookmarkEnd w:id="143"/>
      <w:bookmarkEnd w:id="144"/>
      <w:r w:rsidRPr="00F6415D">
        <w:rPr>
          <w:rFonts w:ascii="Segoe UI" w:hAnsi="Segoe UI" w:cs="Segoe UI"/>
        </w:rPr>
        <w:t xml:space="preserve"> for care</w:t>
      </w:r>
      <w:bookmarkEnd w:id="145"/>
      <w:bookmarkEnd w:id="146"/>
      <w:bookmarkEnd w:id="147"/>
      <w:bookmarkEnd w:id="148"/>
      <w:bookmarkEnd w:id="149"/>
      <w:bookmarkEnd w:id="150"/>
    </w:p>
    <w:p w:rsidR="00CE1469" w:rsidRPr="00F6415D" w:rsidRDefault="00CE1469" w:rsidP="001104E6">
      <w:pPr>
        <w:pStyle w:val="BodyText"/>
        <w:rPr>
          <w:rFonts w:ascii="Segoe UI" w:hAnsi="Segoe UI" w:cs="Segoe UI"/>
        </w:rPr>
      </w:pPr>
      <w:bookmarkStart w:id="151" w:name="_Toc528224253"/>
      <w:bookmarkStart w:id="152" w:name="_Toc528861138"/>
      <w:bookmarkStart w:id="153" w:name="_Toc529890579"/>
      <w:bookmarkStart w:id="154" w:name="_Toc527561551"/>
      <w:bookmarkStart w:id="155" w:name="_Toc527564625"/>
      <w:r w:rsidRPr="00F6415D">
        <w:rPr>
          <w:rFonts w:ascii="Segoe UI" w:hAnsi="Segoe UI" w:cs="Segoe UI"/>
        </w:rPr>
        <w:t xml:space="preserve">While approximately half of the consumers covered in the consumer survey identified that they had planned to access aged care prior to accessing aged care services, 31 per cent of consumers had not undertaken any planning prior to accessing aged care. </w:t>
      </w:r>
    </w:p>
    <w:p w:rsidR="00CE1469" w:rsidRPr="00F6415D" w:rsidRDefault="00CE1469" w:rsidP="001104E6">
      <w:pPr>
        <w:pStyle w:val="BodyText"/>
        <w:rPr>
          <w:rFonts w:ascii="Segoe UI" w:hAnsi="Segoe UI" w:cs="Segoe UI"/>
        </w:rPr>
      </w:pPr>
      <w:r w:rsidRPr="00F6415D">
        <w:rPr>
          <w:rFonts w:ascii="Segoe UI" w:hAnsi="Segoe UI" w:cs="Segoe UI"/>
        </w:rPr>
        <w:t xml:space="preserve">As discussed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Pr="00F6415D">
        <w:rPr>
          <w:rFonts w:ascii="Segoe UI" w:hAnsi="Segoe UI" w:cs="Segoe UI"/>
        </w:rPr>
        <w:t xml:space="preserve">, one in three consumers who are not currently accessing residential aged care </w:t>
      </w:r>
      <w:r w:rsidR="007E5969" w:rsidRPr="00F6415D">
        <w:rPr>
          <w:rFonts w:ascii="Segoe UI" w:hAnsi="Segoe UI" w:cs="Segoe UI"/>
        </w:rPr>
        <w:t>is</w:t>
      </w:r>
      <w:r w:rsidRPr="00F6415D">
        <w:rPr>
          <w:rFonts w:ascii="Segoe UI" w:hAnsi="Segoe UI" w:cs="Segoe UI"/>
        </w:rPr>
        <w:t xml:space="preserve"> unsure if they will access it in the future</w:t>
      </w:r>
      <w:r w:rsidRPr="00F6415D">
        <w:rPr>
          <w:rStyle w:val="CommentReference"/>
          <w:rFonts w:ascii="Segoe UI" w:hAnsi="Segoe UI" w:cs="Segoe UI"/>
        </w:rPr>
        <w:t xml:space="preserve">. </w:t>
      </w:r>
      <w:r w:rsidRPr="00F6415D">
        <w:rPr>
          <w:rFonts w:ascii="Segoe UI" w:hAnsi="Segoe UI" w:cs="Segoe UI"/>
        </w:rPr>
        <w:t>This may suggest that a segment of senior Australians are using preventative measures in order to avoid the need to move to residential aged care, rather than engaging</w:t>
      </w:r>
      <w:r w:rsidRPr="00F6415D" w:rsidDel="00780C6F">
        <w:rPr>
          <w:rFonts w:ascii="Segoe UI" w:hAnsi="Segoe UI" w:cs="Segoe UI"/>
        </w:rPr>
        <w:t xml:space="preserve"> </w:t>
      </w:r>
      <w:r w:rsidRPr="00F6415D">
        <w:rPr>
          <w:rFonts w:ascii="Segoe UI" w:hAnsi="Segoe UI" w:cs="Segoe UI"/>
        </w:rPr>
        <w:t>in planning for this possibility. It may, however, be linked to the current perceptions of residential aged care, as consumers are unlikely to plan to access a service that is unattractive to them. It may also reflect some consumers being in denial about the consequences of aging.</w:t>
      </w:r>
    </w:p>
    <w:p w:rsidR="00CE1469" w:rsidRPr="00F6415D" w:rsidRDefault="00CE1469" w:rsidP="001104E6">
      <w:pPr>
        <w:pStyle w:val="BodyText"/>
        <w:rPr>
          <w:rFonts w:ascii="Segoe UI" w:hAnsi="Segoe UI" w:cs="Segoe UI"/>
          <w:lang w:val="en"/>
        </w:rPr>
      </w:pPr>
      <w:r w:rsidRPr="00F6415D">
        <w:rPr>
          <w:rFonts w:ascii="Segoe UI" w:hAnsi="Segoe UI" w:cs="Segoe UI"/>
          <w:lang w:val="en"/>
        </w:rPr>
        <w:t xml:space="preserve">In contrast to the results from the consumer survey, stakeholder consultation participants indicated that senior Australians are not actively planning for residential aged care, prior to the need arising. Rather, the observation is that planning often starts when triggered by a crisis that is linked to deterioration in health or mobility and results in imminent access to care. </w:t>
      </w:r>
    </w:p>
    <w:p w:rsidR="00CE1469" w:rsidRPr="00F6415D" w:rsidRDefault="00CE1469" w:rsidP="00DC338F">
      <w:pPr>
        <w:pStyle w:val="Quote"/>
        <w:rPr>
          <w:rFonts w:ascii="Segoe UI" w:hAnsi="Segoe UI"/>
        </w:rPr>
      </w:pPr>
      <w:r w:rsidRPr="00F6415D">
        <w:rPr>
          <w:rFonts w:ascii="Segoe UI" w:hAnsi="Segoe UI"/>
        </w:rPr>
        <w:t>‘Most aged care planning takes place in the hospital car park.’</w:t>
      </w:r>
      <w:r w:rsidRPr="00F6415D">
        <w:rPr>
          <w:rStyle w:val="EndnoteReference"/>
          <w:rFonts w:ascii="Segoe UI" w:hAnsi="Segoe UI"/>
        </w:rPr>
        <w:t>1</w:t>
      </w:r>
    </w:p>
    <w:p w:rsidR="00CE1469" w:rsidRPr="00F6415D" w:rsidRDefault="00CE1469" w:rsidP="001104E6">
      <w:pPr>
        <w:pStyle w:val="BodyText"/>
        <w:rPr>
          <w:rFonts w:ascii="Segoe UI" w:hAnsi="Segoe UI" w:cs="Segoe UI"/>
          <w:lang w:val="en"/>
        </w:rPr>
      </w:pPr>
      <w:r w:rsidRPr="00F6415D">
        <w:rPr>
          <w:rFonts w:ascii="Segoe UI" w:hAnsi="Segoe UI" w:cs="Segoe UI"/>
          <w:lang w:val="en"/>
        </w:rPr>
        <w:t xml:space="preserve">As a result, the responsibility usually rests with family members to assess needs and investigate options for their parents or older relatives, as well as working out the financial implications and arranging access to residential aged care. </w:t>
      </w:r>
    </w:p>
    <w:p w:rsidR="00CE1469" w:rsidRPr="00F6415D" w:rsidRDefault="00CE1469" w:rsidP="001104E6">
      <w:pPr>
        <w:pStyle w:val="BodyText"/>
        <w:rPr>
          <w:rFonts w:ascii="Segoe UI" w:hAnsi="Segoe UI" w:cs="Segoe UI"/>
        </w:rPr>
      </w:pPr>
      <w:r w:rsidRPr="00F6415D">
        <w:rPr>
          <w:rFonts w:ascii="Segoe UI" w:hAnsi="Segoe UI" w:cs="Segoe UI"/>
          <w:lang w:val="en"/>
        </w:rPr>
        <w:t>Given this reactive nature, aged care providers commented that potential consumers and their families often rely on them to be the key source of aged care knowledge, including advice on the costs associated with aged care. While most providers have material tailored to their service regarding aged care fees, they are not in a position to offer financial advice and generally</w:t>
      </w:r>
      <w:r w:rsidRPr="00F6415D">
        <w:rPr>
          <w:rFonts w:ascii="Segoe UI" w:hAnsi="Segoe UI" w:cs="Segoe UI"/>
        </w:rPr>
        <w:t xml:space="preserve"> refer consumers to My Aged Care or a financial advisor to seek further advice. </w:t>
      </w:r>
    </w:p>
    <w:p w:rsidR="00CE1469" w:rsidRPr="00F6415D" w:rsidRDefault="00CE1469" w:rsidP="001104E6">
      <w:pPr>
        <w:pStyle w:val="BodyText"/>
        <w:rPr>
          <w:rFonts w:ascii="Segoe UI" w:hAnsi="Segoe UI" w:cs="Segoe UI"/>
        </w:rPr>
      </w:pPr>
      <w:r w:rsidRPr="00F6415D">
        <w:rPr>
          <w:rFonts w:ascii="Segoe UI" w:hAnsi="Segoe UI" w:cs="Segoe UI"/>
        </w:rPr>
        <w:t>Other reasons that were identified in stakeholder consultations as to why consumers are not planning ahead for aged care include:</w:t>
      </w:r>
    </w:p>
    <w:p w:rsidR="00CE1469" w:rsidRPr="00F6415D" w:rsidRDefault="00CE1469" w:rsidP="001104E6">
      <w:pPr>
        <w:pStyle w:val="ListBullet"/>
        <w:rPr>
          <w:rFonts w:ascii="Segoe UI" w:hAnsi="Segoe UI" w:cs="Segoe UI"/>
        </w:rPr>
      </w:pPr>
      <w:r w:rsidRPr="00F6415D">
        <w:rPr>
          <w:rFonts w:ascii="Segoe UI" w:hAnsi="Segoe UI" w:cs="Segoe UI"/>
        </w:rPr>
        <w:t xml:space="preserve">Consumers perceiving they are too young to be planning for aged care. </w:t>
      </w:r>
    </w:p>
    <w:p w:rsidR="00CE1469" w:rsidRPr="00F6415D" w:rsidRDefault="00CE1469" w:rsidP="001104E6">
      <w:pPr>
        <w:pStyle w:val="ListBullet"/>
        <w:rPr>
          <w:rFonts w:ascii="Segoe UI" w:hAnsi="Segoe UI" w:cs="Segoe UI"/>
        </w:rPr>
      </w:pPr>
      <w:r w:rsidRPr="00F6415D">
        <w:rPr>
          <w:rFonts w:ascii="Segoe UI" w:hAnsi="Segoe UI" w:cs="Segoe UI"/>
        </w:rPr>
        <w:t>Negative perceptions associated with aged care, particularly residential aged care, and a preference to maintain independence and not consider advanced care planning and mortality.</w:t>
      </w:r>
    </w:p>
    <w:p w:rsidR="00CE1469" w:rsidRPr="00F6415D" w:rsidRDefault="00CE1469" w:rsidP="001104E6">
      <w:pPr>
        <w:pStyle w:val="ListBullet"/>
        <w:rPr>
          <w:rFonts w:ascii="Segoe UI" w:hAnsi="Segoe UI" w:cs="Segoe UI"/>
        </w:rPr>
      </w:pPr>
      <w:r w:rsidRPr="00F6415D">
        <w:rPr>
          <w:rFonts w:ascii="Segoe UI" w:hAnsi="Segoe UI" w:cs="Segoe UI"/>
        </w:rPr>
        <w:lastRenderedPageBreak/>
        <w:t xml:space="preserve">Differences in attitudes across generations in terms of planning. Children are more likely to plan for their parents to access and fund aged care than their parents are to plan for themselves. </w:t>
      </w:r>
    </w:p>
    <w:p w:rsidR="00CE1469" w:rsidRPr="00F6415D" w:rsidRDefault="00CE1469" w:rsidP="001104E6">
      <w:pPr>
        <w:pStyle w:val="ListBullet"/>
        <w:rPr>
          <w:rFonts w:ascii="Segoe UI" w:hAnsi="Segoe UI" w:cs="Segoe UI"/>
        </w:rPr>
      </w:pPr>
      <w:r w:rsidRPr="00F6415D">
        <w:rPr>
          <w:rFonts w:ascii="Segoe UI" w:hAnsi="Segoe UI" w:cs="Segoe UI"/>
        </w:rPr>
        <w:t>Lack of awareness of the benefits of planning ahead.</w:t>
      </w:r>
    </w:p>
    <w:p w:rsidR="00CE1469" w:rsidRPr="00F6415D" w:rsidRDefault="00CE1469" w:rsidP="001104E6">
      <w:pPr>
        <w:pStyle w:val="ListBullet"/>
        <w:rPr>
          <w:rFonts w:ascii="Segoe UI" w:hAnsi="Segoe UI" w:cs="Segoe UI"/>
        </w:rPr>
      </w:pPr>
      <w:r w:rsidRPr="00F6415D">
        <w:rPr>
          <w:rFonts w:ascii="Segoe UI" w:hAnsi="Segoe UI" w:cs="Segoe UI"/>
        </w:rPr>
        <w:t>Lack of understanding of the aged care system, the choices and where assistance is available.</w:t>
      </w:r>
    </w:p>
    <w:p w:rsidR="00CE1469" w:rsidRPr="00F6415D" w:rsidRDefault="00CE1469" w:rsidP="001104E6">
      <w:pPr>
        <w:pStyle w:val="BodyText"/>
        <w:rPr>
          <w:rFonts w:ascii="Segoe UI" w:hAnsi="Segoe UI" w:cs="Segoe UI"/>
        </w:rPr>
      </w:pPr>
      <w:r w:rsidRPr="00F6415D">
        <w:rPr>
          <w:rFonts w:ascii="Segoe UI" w:hAnsi="Segoe UI" w:cs="Segoe UI"/>
        </w:rPr>
        <w:t>When consumers were asked for reasons why they were not motivated to financially plan for aged care, the survey collected varying (free text) reasons, which highlighted the following trends:</w:t>
      </w:r>
    </w:p>
    <w:p w:rsidR="00CE1469" w:rsidRPr="00F6415D" w:rsidRDefault="00CE1469" w:rsidP="001104E6">
      <w:pPr>
        <w:pStyle w:val="ListBullet"/>
        <w:rPr>
          <w:rFonts w:ascii="Segoe UI" w:hAnsi="Segoe UI" w:cs="Segoe UI"/>
          <w:b/>
        </w:rPr>
      </w:pPr>
      <w:r w:rsidRPr="00F6415D">
        <w:rPr>
          <w:rFonts w:ascii="Segoe UI" w:hAnsi="Segoe UI" w:cs="Segoe UI"/>
          <w:b/>
        </w:rPr>
        <w:t>Living day-to-day means they do not have money to develop a plan or seek advice:</w:t>
      </w:r>
    </w:p>
    <w:p w:rsidR="00CE1469" w:rsidRPr="00F6415D" w:rsidRDefault="00CE1469" w:rsidP="001104E6">
      <w:pPr>
        <w:pStyle w:val="ListBullet2"/>
        <w:rPr>
          <w:rFonts w:ascii="Segoe UI" w:hAnsi="Segoe UI" w:cs="Segoe UI"/>
        </w:rPr>
      </w:pPr>
      <w:r w:rsidRPr="00F6415D">
        <w:rPr>
          <w:rFonts w:ascii="Segoe UI" w:hAnsi="Segoe UI" w:cs="Segoe UI"/>
        </w:rPr>
        <w:t>I am not able to put money aside due to my age.</w:t>
      </w:r>
    </w:p>
    <w:p w:rsidR="00CE1469" w:rsidRPr="00F6415D" w:rsidRDefault="00CE1469" w:rsidP="001104E6">
      <w:pPr>
        <w:pStyle w:val="ListBullet2"/>
        <w:rPr>
          <w:rFonts w:ascii="Segoe UI" w:hAnsi="Segoe UI" w:cs="Segoe UI"/>
        </w:rPr>
      </w:pPr>
      <w:r w:rsidRPr="00F6415D">
        <w:rPr>
          <w:rFonts w:ascii="Segoe UI" w:hAnsi="Segoe UI" w:cs="Segoe UI"/>
        </w:rPr>
        <w:t>My husband had to retire at 52 for ill health and I had to stay home and look after him which caused us to not have the savings that we would have liked to have.</w:t>
      </w:r>
    </w:p>
    <w:p w:rsidR="00CE1469" w:rsidRPr="00F6415D" w:rsidRDefault="00CE1469" w:rsidP="001104E6">
      <w:pPr>
        <w:pStyle w:val="ListBullet2"/>
        <w:rPr>
          <w:rFonts w:ascii="Segoe UI" w:hAnsi="Segoe UI" w:cs="Segoe UI"/>
        </w:rPr>
      </w:pPr>
      <w:r w:rsidRPr="00F6415D">
        <w:rPr>
          <w:rFonts w:ascii="Segoe UI" w:hAnsi="Segoe UI" w:cs="Segoe UI"/>
        </w:rPr>
        <w:t>No money to plan.</w:t>
      </w:r>
    </w:p>
    <w:p w:rsidR="00CE1469" w:rsidRPr="00F6415D" w:rsidRDefault="00CE1469" w:rsidP="001104E6">
      <w:pPr>
        <w:pStyle w:val="ListBullet2"/>
        <w:rPr>
          <w:rFonts w:ascii="Segoe UI" w:hAnsi="Segoe UI" w:cs="Segoe UI"/>
        </w:rPr>
      </w:pPr>
      <w:r w:rsidRPr="00F6415D">
        <w:rPr>
          <w:rFonts w:ascii="Segoe UI" w:hAnsi="Segoe UI" w:cs="Segoe UI"/>
        </w:rPr>
        <w:t>Because no amount of planning would make any difference to our situation.</w:t>
      </w:r>
    </w:p>
    <w:p w:rsidR="00CE1469" w:rsidRPr="00F6415D" w:rsidRDefault="00CE1469" w:rsidP="001104E6">
      <w:pPr>
        <w:pStyle w:val="ListBullet"/>
        <w:rPr>
          <w:rFonts w:ascii="Segoe UI" w:hAnsi="Segoe UI" w:cs="Segoe UI"/>
          <w:b/>
        </w:rPr>
      </w:pPr>
      <w:r w:rsidRPr="00F6415D">
        <w:rPr>
          <w:rFonts w:ascii="Segoe UI" w:hAnsi="Segoe UI" w:cs="Segoe UI"/>
          <w:b/>
        </w:rPr>
        <w:t>Aged care is not a priority:</w:t>
      </w:r>
    </w:p>
    <w:p w:rsidR="00CE1469" w:rsidRPr="00F6415D" w:rsidRDefault="00CE1469" w:rsidP="001104E6">
      <w:pPr>
        <w:pStyle w:val="ListBullet2"/>
        <w:rPr>
          <w:rFonts w:ascii="Segoe UI" w:hAnsi="Segoe UI" w:cs="Segoe UI"/>
        </w:rPr>
      </w:pPr>
      <w:r w:rsidRPr="00F6415D">
        <w:rPr>
          <w:rFonts w:ascii="Segoe UI" w:hAnsi="Segoe UI" w:cs="Segoe UI"/>
        </w:rPr>
        <w:t>I have a few health issues so I won't get to the mid 80's.</w:t>
      </w:r>
    </w:p>
    <w:p w:rsidR="00CE1469" w:rsidRPr="00F6415D" w:rsidRDefault="00CE1469" w:rsidP="001104E6">
      <w:pPr>
        <w:pStyle w:val="ListBullet2"/>
        <w:rPr>
          <w:rFonts w:ascii="Segoe UI" w:hAnsi="Segoe UI" w:cs="Segoe UI"/>
        </w:rPr>
      </w:pPr>
      <w:r w:rsidRPr="00F6415D">
        <w:rPr>
          <w:rFonts w:ascii="Segoe UI" w:hAnsi="Segoe UI" w:cs="Segoe UI"/>
        </w:rPr>
        <w:t>I just don't think about it until I start getting older.</w:t>
      </w:r>
    </w:p>
    <w:p w:rsidR="00CE1469" w:rsidRPr="00F6415D" w:rsidRDefault="00CE1469" w:rsidP="001104E6">
      <w:pPr>
        <w:pStyle w:val="ListBullet2"/>
        <w:rPr>
          <w:rFonts w:ascii="Segoe UI" w:hAnsi="Segoe UI" w:cs="Segoe UI"/>
        </w:rPr>
      </w:pPr>
      <w:r w:rsidRPr="00F6415D">
        <w:rPr>
          <w:rFonts w:ascii="Segoe UI" w:hAnsi="Segoe UI" w:cs="Segoe UI"/>
        </w:rPr>
        <w:t>Don't have any major health problems and neither does my wife.</w:t>
      </w:r>
    </w:p>
    <w:p w:rsidR="00CE1469" w:rsidRPr="00F6415D" w:rsidRDefault="00CE1469" w:rsidP="001104E6">
      <w:pPr>
        <w:pStyle w:val="ListBullet2"/>
        <w:rPr>
          <w:rFonts w:ascii="Segoe UI" w:hAnsi="Segoe UI" w:cs="Segoe UI"/>
        </w:rPr>
      </w:pPr>
      <w:r w:rsidRPr="00F6415D">
        <w:rPr>
          <w:rFonts w:ascii="Segoe UI" w:hAnsi="Segoe UI" w:cs="Segoe UI"/>
        </w:rPr>
        <w:t>I am living every day as it comes and will downsize if it comes to that.</w:t>
      </w:r>
    </w:p>
    <w:p w:rsidR="00CE1469" w:rsidRPr="00F6415D" w:rsidRDefault="00CE1469" w:rsidP="001104E6">
      <w:pPr>
        <w:pStyle w:val="ListBullet2"/>
        <w:rPr>
          <w:rFonts w:ascii="Segoe UI" w:hAnsi="Segoe UI" w:cs="Segoe UI"/>
        </w:rPr>
      </w:pPr>
      <w:r w:rsidRPr="00F6415D">
        <w:rPr>
          <w:rFonts w:ascii="Segoe UI" w:hAnsi="Segoe UI" w:cs="Segoe UI"/>
        </w:rPr>
        <w:t>I am too old to worry about it.</w:t>
      </w:r>
    </w:p>
    <w:p w:rsidR="00CE1469" w:rsidRPr="00F6415D" w:rsidRDefault="00CE1469" w:rsidP="001104E6">
      <w:pPr>
        <w:pStyle w:val="ListBullet"/>
        <w:rPr>
          <w:rFonts w:ascii="Segoe UI" w:hAnsi="Segoe UI" w:cs="Segoe UI"/>
          <w:b/>
        </w:rPr>
      </w:pPr>
      <w:r w:rsidRPr="00F6415D">
        <w:rPr>
          <w:rFonts w:ascii="Segoe UI" w:hAnsi="Segoe UI" w:cs="Segoe UI"/>
          <w:b/>
        </w:rPr>
        <w:t>People with minimal assets will get the same care as people with assets (i.e. own their own home):</w:t>
      </w:r>
    </w:p>
    <w:p w:rsidR="00CE1469" w:rsidRPr="00F6415D" w:rsidRDefault="00CE1469" w:rsidP="001104E6">
      <w:pPr>
        <w:pStyle w:val="ListBullet2"/>
        <w:rPr>
          <w:rFonts w:ascii="Segoe UI" w:hAnsi="Segoe UI" w:cs="Segoe UI"/>
        </w:rPr>
      </w:pPr>
      <w:r w:rsidRPr="00F6415D">
        <w:rPr>
          <w:rFonts w:ascii="Segoe UI" w:hAnsi="Segoe UI" w:cs="Segoe UI"/>
        </w:rPr>
        <w:t>Friends in aged care with min. assets &amp; $'s are receiving the same care as if you had to pay your $400 - $500K to go in, so no need to worry.</w:t>
      </w:r>
    </w:p>
    <w:p w:rsidR="00CE1469" w:rsidRPr="00F6415D" w:rsidRDefault="00CE1469" w:rsidP="003C7771">
      <w:pPr>
        <w:pStyle w:val="ListBullet"/>
        <w:keepNext/>
        <w:rPr>
          <w:rFonts w:ascii="Segoe UI" w:hAnsi="Segoe UI" w:cs="Segoe UI"/>
          <w:b/>
        </w:rPr>
      </w:pPr>
      <w:r w:rsidRPr="00F6415D">
        <w:rPr>
          <w:rFonts w:ascii="Segoe UI" w:hAnsi="Segoe UI" w:cs="Segoe UI"/>
          <w:b/>
        </w:rPr>
        <w:t>They have financial means which they feel will fund future aged care:</w:t>
      </w:r>
    </w:p>
    <w:p w:rsidR="00CE1469" w:rsidRPr="00F6415D" w:rsidRDefault="00CE1469" w:rsidP="001104E6">
      <w:pPr>
        <w:pStyle w:val="ListBullet2"/>
        <w:rPr>
          <w:rFonts w:ascii="Segoe UI" w:hAnsi="Segoe UI" w:cs="Segoe UI"/>
        </w:rPr>
      </w:pPr>
      <w:r w:rsidRPr="00F6415D">
        <w:rPr>
          <w:rFonts w:ascii="Segoe UI" w:hAnsi="Segoe UI" w:cs="Segoe UI"/>
        </w:rPr>
        <w:t>We have a house that would cover anything if need be</w:t>
      </w:r>
    </w:p>
    <w:p w:rsidR="00CE1469" w:rsidRPr="00F6415D" w:rsidRDefault="00CE1469" w:rsidP="001104E6">
      <w:pPr>
        <w:pStyle w:val="ListBullet2"/>
        <w:rPr>
          <w:rFonts w:ascii="Segoe UI" w:hAnsi="Segoe UI" w:cs="Segoe UI"/>
        </w:rPr>
      </w:pPr>
      <w:r w:rsidRPr="00F6415D">
        <w:rPr>
          <w:rFonts w:ascii="Segoe UI" w:hAnsi="Segoe UI" w:cs="Segoe UI"/>
        </w:rPr>
        <w:t>We can afford to cover anything we have or will need</w:t>
      </w:r>
    </w:p>
    <w:p w:rsidR="00CE1469" w:rsidRPr="00F6415D" w:rsidRDefault="00CE1469" w:rsidP="001104E6">
      <w:pPr>
        <w:pStyle w:val="ListBullet2"/>
        <w:rPr>
          <w:rFonts w:ascii="Segoe UI" w:hAnsi="Segoe UI" w:cs="Segoe UI"/>
        </w:rPr>
      </w:pPr>
      <w:r w:rsidRPr="00F6415D">
        <w:rPr>
          <w:rFonts w:ascii="Segoe UI" w:hAnsi="Segoe UI" w:cs="Segoe UI"/>
        </w:rPr>
        <w:t>I feel financially secure, and gave up worrying a long time ago.</w:t>
      </w:r>
    </w:p>
    <w:p w:rsidR="00CE1469" w:rsidRPr="00F6415D" w:rsidRDefault="00CE1469" w:rsidP="001104E6">
      <w:pPr>
        <w:pStyle w:val="Heading3"/>
        <w:rPr>
          <w:rFonts w:ascii="Segoe UI" w:eastAsia="Segoe UI" w:hAnsi="Segoe UI" w:cs="Segoe UI"/>
        </w:rPr>
      </w:pPr>
      <w:bookmarkStart w:id="156" w:name="_Toc531271085"/>
      <w:bookmarkStart w:id="157" w:name="_Toc532206381"/>
      <w:r w:rsidRPr="00F6415D">
        <w:rPr>
          <w:rFonts w:ascii="Segoe UI" w:eastAsia="Segoe UI" w:hAnsi="Segoe UI" w:cs="Segoe UI"/>
        </w:rPr>
        <w:t>Lack of financial awareness</w:t>
      </w:r>
      <w:bookmarkEnd w:id="151"/>
      <w:bookmarkEnd w:id="152"/>
      <w:bookmarkEnd w:id="153"/>
      <w:bookmarkEnd w:id="156"/>
      <w:bookmarkEnd w:id="157"/>
      <w:r w:rsidRPr="00F6415D">
        <w:rPr>
          <w:rFonts w:ascii="Segoe UI" w:eastAsia="Segoe UI" w:hAnsi="Segoe UI" w:cs="Segoe UI"/>
        </w:rPr>
        <w:t xml:space="preserve"> </w:t>
      </w:r>
      <w:bookmarkEnd w:id="154"/>
      <w:bookmarkEnd w:id="155"/>
    </w:p>
    <w:p w:rsidR="00CE1469" w:rsidRPr="00F6415D" w:rsidRDefault="00CE1469" w:rsidP="001104E6">
      <w:pPr>
        <w:pStyle w:val="BodyText"/>
        <w:rPr>
          <w:rFonts w:ascii="Segoe UI" w:hAnsi="Segoe UI" w:cs="Segoe UI"/>
        </w:rPr>
      </w:pPr>
      <w:bookmarkStart w:id="158" w:name="_Toc529890580"/>
      <w:r w:rsidRPr="00F6415D">
        <w:rPr>
          <w:rFonts w:ascii="Segoe UI" w:hAnsi="Segoe UI" w:cs="Segoe UI"/>
        </w:rPr>
        <w:t>The level of confidence amongst consumers varies, but the survey results suggest a link between consumer confidence, planning and the consumers’ financial position.</w:t>
      </w:r>
    </w:p>
    <w:p w:rsidR="00CE1469" w:rsidRPr="00F6415D" w:rsidRDefault="00CE1469" w:rsidP="001104E6">
      <w:pPr>
        <w:pStyle w:val="BodyText"/>
        <w:rPr>
          <w:rFonts w:ascii="Segoe UI" w:hAnsi="Segoe UI" w:cs="Segoe UI"/>
        </w:rPr>
      </w:pPr>
      <w:r w:rsidRPr="00F6415D">
        <w:rPr>
          <w:rFonts w:ascii="Segoe UI" w:hAnsi="Segoe UI" w:cs="Segoe UI"/>
        </w:rPr>
        <w:t>The consumer survey showed a link between consumers who are confident in their ability to pay aged care fees (59 per cent) with consumers who had conducted aged care planning (50 per cent).</w:t>
      </w:r>
    </w:p>
    <w:p w:rsidR="00CE1469" w:rsidRPr="00F6415D" w:rsidRDefault="00CE1469" w:rsidP="001104E6">
      <w:pPr>
        <w:pStyle w:val="BodyText"/>
        <w:rPr>
          <w:rFonts w:ascii="Segoe UI" w:hAnsi="Segoe UI" w:cs="Segoe UI"/>
        </w:rPr>
      </w:pPr>
      <w:r w:rsidRPr="00F6415D">
        <w:rPr>
          <w:rFonts w:ascii="Segoe UI" w:hAnsi="Segoe UI" w:cs="Segoe UI"/>
        </w:rPr>
        <w:lastRenderedPageBreak/>
        <w:t xml:space="preserve">Higher confidence levels (75 per cent) were reported for consumers who had yet to access aged care but had undertaken some planning to access aged care services in the future. However, as the consumer survey did not test whether the amounts perceived to be needed would be realistic, it is unclear whether their plans would be sufficient to meet their future aged care needs. </w:t>
      </w:r>
    </w:p>
    <w:p w:rsidR="00CE1469" w:rsidRPr="00F6415D" w:rsidRDefault="00CE1469" w:rsidP="001104E6">
      <w:pPr>
        <w:pStyle w:val="BodyText"/>
        <w:rPr>
          <w:rFonts w:ascii="Segoe UI" w:hAnsi="Segoe UI" w:cs="Segoe UI"/>
        </w:rPr>
      </w:pPr>
      <w:r w:rsidRPr="00F6415D">
        <w:rPr>
          <w:rFonts w:ascii="Segoe UI" w:hAnsi="Segoe UI" w:cs="Segoe UI"/>
        </w:rPr>
        <w:t>One-on-one consultations with a sample of consumers showed that those who felt they had prepared for the costs of aged care where often not well informed or well prepared for these costs. This misplaced confidence may be a barrier to some consumers planning effectively for their future aged care needs.</w:t>
      </w:r>
    </w:p>
    <w:p w:rsidR="00CE1469" w:rsidRPr="00F6415D" w:rsidRDefault="00CE1469" w:rsidP="001104E6">
      <w:pPr>
        <w:pStyle w:val="BodyText"/>
        <w:rPr>
          <w:rFonts w:ascii="Segoe UI" w:hAnsi="Segoe UI" w:cs="Segoe UI"/>
        </w:rPr>
      </w:pPr>
      <w:r w:rsidRPr="00F6415D">
        <w:rPr>
          <w:rFonts w:ascii="Segoe UI" w:hAnsi="Segoe UI" w:cs="Segoe UI"/>
        </w:rPr>
        <w:t xml:space="preserve">The confidence of consumers participating in the consumer survey appeared to be linked to household income and home ownership. </w:t>
      </w:r>
    </w:p>
    <w:p w:rsidR="00CE1469" w:rsidRPr="00F6415D" w:rsidRDefault="00CE1469" w:rsidP="001104E6">
      <w:pPr>
        <w:pStyle w:val="BodyText"/>
        <w:rPr>
          <w:rFonts w:ascii="Segoe UI" w:hAnsi="Segoe UI" w:cs="Segoe UI"/>
        </w:rPr>
      </w:pPr>
      <w:r w:rsidRPr="00F6415D">
        <w:rPr>
          <w:rFonts w:ascii="Segoe UI" w:hAnsi="Segoe UI" w:cs="Segoe UI"/>
        </w:rPr>
        <w:t>Of the survey respondents who receive an annual household income up to $50,000, 65 per cent are not confident they can continue to pay their current aged care costs, and 67 per cent are not confident they can pay their future aged care costs.</w:t>
      </w:r>
    </w:p>
    <w:p w:rsidR="00CE1469" w:rsidRPr="00F6415D" w:rsidRDefault="00CE1469" w:rsidP="001104E6">
      <w:pPr>
        <w:pStyle w:val="BodyText"/>
        <w:rPr>
          <w:rFonts w:ascii="Segoe UI" w:hAnsi="Segoe UI" w:cs="Segoe UI"/>
        </w:rPr>
      </w:pPr>
      <w:r w:rsidRPr="00F6415D">
        <w:rPr>
          <w:rFonts w:ascii="Segoe UI" w:hAnsi="Segoe UI" w:cs="Segoe UI"/>
        </w:rPr>
        <w:t>This compares with consumers with household incomes over $50,000, where only 16 per cent of respondents are not confident they can continue to pay their current aged care costs, and 22 per cent are not confident they can pay their future care costs.</w:t>
      </w:r>
    </w:p>
    <w:p w:rsidR="00CE1469" w:rsidRPr="00F6415D" w:rsidRDefault="00CE1469" w:rsidP="001104E6">
      <w:pPr>
        <w:pStyle w:val="BodyText"/>
        <w:rPr>
          <w:rFonts w:ascii="Segoe UI" w:hAnsi="Segoe UI" w:cs="Segoe UI"/>
        </w:rPr>
      </w:pPr>
      <w:r w:rsidRPr="00F6415D">
        <w:rPr>
          <w:rFonts w:ascii="Segoe UI" w:hAnsi="Segoe UI" w:cs="Segoe UI"/>
        </w:rPr>
        <w:t>Of the respondents who indicated they own their home without a mortgage, 56 per cent were confident they could continue pay for their aged care and 66 per cent were confident they could pay for future aged care needs. The results reduced if the consumer still had a mortgage, with only 25 per cent of this group being confident they could continue to pay their current aged care, and 20 per cent being confident they could pay their future aged care. In contrast, for those who are renting, only 19 per cent were confident they could meet the costs of their current care and 14 per cent were confident they could meet the costs of future care.</w:t>
      </w:r>
    </w:p>
    <w:p w:rsidR="00CE1469" w:rsidRPr="00F6415D" w:rsidRDefault="00CE1469" w:rsidP="001104E6">
      <w:pPr>
        <w:pStyle w:val="Heading3"/>
        <w:rPr>
          <w:rFonts w:ascii="Segoe UI" w:hAnsi="Segoe UI" w:cs="Segoe UI"/>
        </w:rPr>
      </w:pPr>
      <w:bookmarkStart w:id="159" w:name="_Toc531271086"/>
      <w:bookmarkStart w:id="160" w:name="_Toc532206382"/>
      <w:r w:rsidRPr="00F6415D">
        <w:rPr>
          <w:rFonts w:ascii="Segoe UI" w:hAnsi="Segoe UI" w:cs="Segoe UI"/>
        </w:rPr>
        <w:t>Awareness of the system</w:t>
      </w:r>
      <w:bookmarkEnd w:id="158"/>
      <w:bookmarkEnd w:id="159"/>
      <w:bookmarkEnd w:id="160"/>
    </w:p>
    <w:p w:rsidR="00CE1469" w:rsidRPr="00F6415D" w:rsidRDefault="00CE1469" w:rsidP="001104E6">
      <w:pPr>
        <w:pStyle w:val="BodyText"/>
        <w:rPr>
          <w:rFonts w:ascii="Segoe UI" w:hAnsi="Segoe UI" w:cs="Segoe UI"/>
        </w:rPr>
      </w:pPr>
      <w:bookmarkStart w:id="161" w:name="_Toc528861139"/>
      <w:bookmarkStart w:id="162" w:name="_Toc529890581"/>
      <w:bookmarkStart w:id="163" w:name="_Toc527561552"/>
      <w:bookmarkStart w:id="164" w:name="_Toc527564626"/>
      <w:bookmarkStart w:id="165" w:name="_Toc528224254"/>
      <w:r w:rsidRPr="00F6415D">
        <w:rPr>
          <w:rFonts w:ascii="Segoe UI" w:hAnsi="Segoe UI" w:cs="Segoe UI"/>
        </w:rPr>
        <w:t>Stakeholder consultations advised that awareness of the system was generally viewed to be poor amongst senior Australians in rural and remote locations. However, the survey indicates that location does not improve consumers’ awareness of paying for their aged care needs. This suggests that overall awareness of aged care costs is low, irrespective of location.</w:t>
      </w:r>
    </w:p>
    <w:p w:rsidR="00534C0F" w:rsidRPr="00F6415D" w:rsidRDefault="00CE1469" w:rsidP="001104E6">
      <w:pPr>
        <w:pStyle w:val="BodyText"/>
        <w:rPr>
          <w:rFonts w:ascii="Segoe UI" w:hAnsi="Segoe UI" w:cs="Segoe UI"/>
        </w:rPr>
      </w:pPr>
      <w:r w:rsidRPr="00F6415D">
        <w:rPr>
          <w:rFonts w:ascii="Segoe UI" w:hAnsi="Segoe UI" w:cs="Segoe UI"/>
        </w:rPr>
        <w:t>When engaging with service providers, most consumers are unaware of what types of supports and services they can access under the Australian Government care at home programs (i.e. CHSP and home care). They also have little awareness of the different programs and their rules. This can be particularly problematic when it comes to asking consumers to contribute to the financial cost of their care, and consumers’ ability to make informed choices about what supports to access.</w:t>
      </w:r>
    </w:p>
    <w:p w:rsidR="00CE1469" w:rsidRPr="00F6415D" w:rsidRDefault="00CE1469" w:rsidP="00534C0F">
      <w:pPr>
        <w:pStyle w:val="FigureTitle"/>
        <w:rPr>
          <w:rFonts w:ascii="Segoe UI" w:hAnsi="Segoe UI" w:cs="Segoe UI"/>
          <w:i/>
        </w:rPr>
      </w:pPr>
      <w:bookmarkStart w:id="166" w:name="_Ref529482563"/>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4</w:t>
      </w:r>
      <w:r w:rsidRPr="00F6415D">
        <w:rPr>
          <w:rFonts w:ascii="Segoe UI" w:hAnsi="Segoe UI" w:cs="Segoe UI"/>
          <w:i/>
          <w:noProof/>
        </w:rPr>
        <w:fldChar w:fldCharType="end"/>
      </w:r>
      <w:bookmarkEnd w:id="166"/>
      <w:r w:rsidR="00534C0F" w:rsidRPr="00F6415D">
        <w:rPr>
          <w:rFonts w:ascii="Segoe UI" w:hAnsi="Segoe UI" w:cs="Segoe UI"/>
          <w:i/>
        </w:rPr>
        <w:t xml:space="preserve">: </w:t>
      </w:r>
      <w:r w:rsidRPr="00F6415D">
        <w:rPr>
          <w:rFonts w:ascii="Segoe UI" w:hAnsi="Segoe UI" w:cs="Segoe UI"/>
          <w:i/>
        </w:rPr>
        <w:t xml:space="preserve">Responses to ‘I consider myself well informed on how to pay for aged care needs’ by locality </w:t>
      </w:r>
    </w:p>
    <w:p w:rsidR="00CE1469" w:rsidRPr="00F6415D" w:rsidRDefault="002B6C18" w:rsidP="00CE1469">
      <w:pPr>
        <w:pStyle w:val="FigureTitle"/>
        <w:rPr>
          <w:rFonts w:ascii="Segoe UI" w:hAnsi="Segoe UI" w:cs="Segoe UI"/>
          <w:i/>
        </w:rPr>
      </w:pPr>
      <w:r w:rsidRPr="00F6415D">
        <w:rPr>
          <w:rFonts w:ascii="Segoe UI" w:hAnsi="Segoe UI" w:cs="Segoe UI"/>
          <w:i/>
          <w:noProof/>
          <w:lang w:eastAsia="en-AU"/>
        </w:rPr>
        <w:drawing>
          <wp:inline distT="0" distB="0" distL="0" distR="0" wp14:anchorId="5D77B4DA">
            <wp:extent cx="4639310" cy="3030220"/>
            <wp:effectExtent l="0" t="0" r="8890" b="0"/>
            <wp:docPr id="19" name="Picture 19" descr="Figure 4 shows the percentage of responses to the statement, “I consider myself well informed on how to pay for aged care needs’ by locality. " title="Figure 4: Responses to ‘I consider myself well informed on how to pay for aged care needs’ by local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39310" cy="3030220"/>
                    </a:xfrm>
                    <a:prstGeom prst="rect">
                      <a:avLst/>
                    </a:prstGeom>
                    <a:noFill/>
                  </pic:spPr>
                </pic:pic>
              </a:graphicData>
            </a:graphic>
          </wp:inline>
        </w:drawing>
      </w:r>
    </w:p>
    <w:p w:rsidR="00CE1469" w:rsidRPr="00F6415D" w:rsidRDefault="00CE1469" w:rsidP="001104E6">
      <w:pPr>
        <w:pStyle w:val="Heading3"/>
        <w:rPr>
          <w:rFonts w:ascii="Segoe UI" w:hAnsi="Segoe UI" w:cs="Segoe UI"/>
        </w:rPr>
      </w:pPr>
      <w:bookmarkStart w:id="167" w:name="_Toc531271087"/>
      <w:bookmarkStart w:id="168" w:name="_Toc532206383"/>
      <w:r w:rsidRPr="00F6415D">
        <w:rPr>
          <w:rFonts w:ascii="Segoe UI" w:hAnsi="Segoe UI" w:cs="Segoe UI"/>
        </w:rPr>
        <w:t>Planning stages</w:t>
      </w:r>
      <w:bookmarkEnd w:id="161"/>
      <w:bookmarkEnd w:id="162"/>
      <w:bookmarkEnd w:id="167"/>
      <w:bookmarkEnd w:id="168"/>
    </w:p>
    <w:p w:rsidR="00CE1469" w:rsidRPr="00F6415D" w:rsidRDefault="00CE1469" w:rsidP="001104E6">
      <w:pPr>
        <w:pStyle w:val="BodyText"/>
        <w:rPr>
          <w:rFonts w:ascii="Segoe UI" w:hAnsi="Segoe UI" w:cs="Segoe UI"/>
        </w:rPr>
      </w:pPr>
      <w:r w:rsidRPr="00F6415D">
        <w:rPr>
          <w:rFonts w:ascii="Segoe UI" w:hAnsi="Segoe UI" w:cs="Segoe UI"/>
        </w:rPr>
        <w:t xml:space="preserve">While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presented the three life stages where planning occurs, this section explores the misconceptions that may be a barrier to consumers engaging with the planning stages, and poses a fourth stage where planning could occur.</w:t>
      </w:r>
    </w:p>
    <w:p w:rsidR="00CE1469" w:rsidRPr="00F6415D" w:rsidRDefault="00CE1469" w:rsidP="001104E6">
      <w:pPr>
        <w:pStyle w:val="Heading4"/>
        <w:rPr>
          <w:rFonts w:ascii="Segoe UI" w:hAnsi="Segoe UI" w:cs="Segoe UI"/>
        </w:rPr>
      </w:pPr>
      <w:r w:rsidRPr="00F6415D">
        <w:rPr>
          <w:rFonts w:ascii="Segoe UI" w:hAnsi="Segoe UI" w:cs="Segoe UI"/>
        </w:rPr>
        <w:t>Retirement planning</w:t>
      </w:r>
    </w:p>
    <w:p w:rsidR="00CE1469" w:rsidRPr="00F6415D" w:rsidRDefault="00CE1469" w:rsidP="001104E6">
      <w:pPr>
        <w:pStyle w:val="BodyText"/>
        <w:rPr>
          <w:rFonts w:ascii="Segoe UI" w:hAnsi="Segoe UI" w:cs="Segoe UI"/>
        </w:rPr>
      </w:pPr>
      <w:r w:rsidRPr="00F6415D">
        <w:rPr>
          <w:rFonts w:ascii="Segoe UI" w:hAnsi="Segoe UI" w:cs="Segoe UI"/>
        </w:rPr>
        <w:t xml:space="preserve">There is limited information available for individuals planning for their retirement which enables them to also plan for the financial implications of aged care. Financial advice to this cohort generally focuses on investment maximisation and wealth building for retirement (only) and estate planning, but misses the frailty period. </w:t>
      </w:r>
    </w:p>
    <w:p w:rsidR="00CE1469" w:rsidRPr="00F6415D" w:rsidRDefault="00CE1469" w:rsidP="001104E6">
      <w:pPr>
        <w:pStyle w:val="BodyText"/>
        <w:rPr>
          <w:rFonts w:ascii="Segoe UI" w:hAnsi="Segoe UI" w:cs="Segoe UI"/>
        </w:rPr>
      </w:pPr>
      <w:r w:rsidRPr="00F6415D">
        <w:rPr>
          <w:rFonts w:ascii="Segoe UI" w:hAnsi="Segoe UI" w:cs="Segoe UI"/>
        </w:rPr>
        <w:t>The current retirement income benchmarks (discussed further in chapter</w:t>
      </w:r>
      <w:r w:rsidR="00A5778B" w:rsidRPr="00F6415D">
        <w:rPr>
          <w:rFonts w:ascii="Segoe UI" w:hAnsi="Segoe UI" w:cs="Segoe UI"/>
        </w:rPr>
        <w:t>s</w:t>
      </w:r>
      <w:r w:rsidRPr="00F6415D">
        <w:rPr>
          <w:rFonts w:ascii="Segoe UI" w:hAnsi="Segoe UI" w:cs="Segoe UI"/>
        </w:rPr>
        <w:t xml:space="preserve"> </w:t>
      </w:r>
      <w:r w:rsidR="00A5778B" w:rsidRPr="00F6415D">
        <w:rPr>
          <w:rFonts w:ascii="Segoe UI" w:hAnsi="Segoe UI" w:cs="Segoe UI"/>
        </w:rPr>
        <w:fldChar w:fldCharType="begin"/>
      </w:r>
      <w:r w:rsidR="00A5778B" w:rsidRPr="00F6415D">
        <w:rPr>
          <w:rFonts w:ascii="Segoe UI" w:hAnsi="Segoe UI" w:cs="Segoe UI"/>
        </w:rPr>
        <w:instrText xml:space="preserve"> REF _Ref531779085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8</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 xml:space="preserve">and </w:t>
      </w:r>
      <w:r w:rsidR="00A5778B" w:rsidRPr="00F6415D">
        <w:rPr>
          <w:rFonts w:ascii="Segoe UI" w:hAnsi="Segoe UI" w:cs="Segoe UI"/>
        </w:rPr>
        <w:fldChar w:fldCharType="begin"/>
      </w:r>
      <w:r w:rsidR="00A5778B" w:rsidRPr="00F6415D">
        <w:rPr>
          <w:rFonts w:ascii="Segoe UI" w:hAnsi="Segoe UI" w:cs="Segoe UI"/>
        </w:rPr>
        <w:instrText xml:space="preserve"> REF _Ref531779105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9</w:t>
      </w:r>
      <w:r w:rsidR="00A5778B" w:rsidRPr="00F6415D">
        <w:rPr>
          <w:rFonts w:ascii="Segoe UI" w:hAnsi="Segoe UI" w:cs="Segoe UI"/>
        </w:rPr>
        <w:fldChar w:fldCharType="end"/>
      </w:r>
      <w:r w:rsidRPr="00F6415D">
        <w:rPr>
          <w:rFonts w:ascii="Segoe UI" w:hAnsi="Segoe UI" w:cs="Segoe UI"/>
        </w:rPr>
        <w:t>) compound the lack of information. While these benchmarks enable senior Australians to plan their retirement lifestyle by indicating what income a typical person needs to live on in retirement and what level of savings may be needed to generate that income, they tend to assume the person is in good health and do not include any significant costs of aged care services. Potentially, this focus may be linked to a general unwillingness to contemplate future health and ageing needs or to a historical approach for analysing expenditure which does not take into account changes and advancements.</w:t>
      </w:r>
    </w:p>
    <w:p w:rsidR="00CE1469" w:rsidRPr="00F6415D" w:rsidRDefault="00CE1469" w:rsidP="001104E6">
      <w:pPr>
        <w:pStyle w:val="BodyText"/>
        <w:rPr>
          <w:rFonts w:ascii="Segoe UI" w:eastAsia="Segoe UI" w:hAnsi="Segoe UI" w:cs="Segoe UI"/>
          <w:color w:val="262626"/>
        </w:rPr>
      </w:pPr>
      <w:r w:rsidRPr="00F6415D">
        <w:rPr>
          <w:rFonts w:ascii="Segoe UI" w:hAnsi="Segoe UI" w:cs="Segoe UI"/>
        </w:rPr>
        <w:t>The 2018</w:t>
      </w:r>
      <w:r w:rsidRPr="00F6415D">
        <w:rPr>
          <w:rFonts w:ascii="Segoe UI" w:hAnsi="Segoe UI" w:cs="Segoe UI"/>
        </w:rPr>
        <w:noBreakHyphen/>
        <w:t xml:space="preserve">19 </w:t>
      </w:r>
      <w:r w:rsidRPr="00F6415D">
        <w:rPr>
          <w:rFonts w:ascii="Segoe UI" w:hAnsi="Segoe UI" w:cs="Segoe UI"/>
          <w:i/>
        </w:rPr>
        <w:t xml:space="preserve">Preparing financially for a longer and more secure life – retirement income framework </w:t>
      </w:r>
      <w:r w:rsidRPr="00F6415D">
        <w:rPr>
          <w:rFonts w:ascii="Segoe UI" w:hAnsi="Segoe UI" w:cs="Segoe UI"/>
        </w:rPr>
        <w:t xml:space="preserve">measure, aimed at creating a </w:t>
      </w:r>
      <w:hyperlink r:id="rId19" w:anchor="rif" w:history="1">
        <w:r w:rsidRPr="00F6415D">
          <w:rPr>
            <w:rFonts w:ascii="Segoe UI" w:hAnsi="Segoe UI" w:cs="Segoe UI"/>
          </w:rPr>
          <w:t>retirement income framework</w:t>
        </w:r>
      </w:hyperlink>
      <w:r w:rsidRPr="00F6415D">
        <w:rPr>
          <w:rFonts w:ascii="Segoe UI" w:hAnsi="Segoe UI" w:cs="Segoe UI"/>
        </w:rPr>
        <w:t xml:space="preserve"> may increase consumer awareness of the</w:t>
      </w:r>
      <w:r w:rsidRPr="00F6415D">
        <w:rPr>
          <w:rFonts w:ascii="Segoe UI" w:eastAsia="Segoe UI" w:hAnsi="Segoe UI" w:cs="Segoe UI"/>
          <w:color w:val="262626"/>
        </w:rPr>
        <w:t xml:space="preserve"> retirement income products they can choose from and the information they need to make a choice and boost their living standards. However, it is unclear if this increase choice for retirees, which is aimed to help boost living standards, will also incorporate aged care costs.</w:t>
      </w:r>
    </w:p>
    <w:p w:rsidR="00CE1469" w:rsidRPr="00F6415D" w:rsidRDefault="00CE1469" w:rsidP="001104E6">
      <w:pPr>
        <w:pStyle w:val="BodyText"/>
        <w:rPr>
          <w:rFonts w:ascii="Segoe UI" w:hAnsi="Segoe UI" w:cs="Segoe UI"/>
        </w:rPr>
      </w:pPr>
      <w:r w:rsidRPr="00F6415D">
        <w:rPr>
          <w:rFonts w:ascii="Segoe UI" w:hAnsi="Segoe UI" w:cs="Segoe UI"/>
        </w:rPr>
        <w:lastRenderedPageBreak/>
        <w:t xml:space="preserve">Furthermore, the 2018-19 </w:t>
      </w:r>
      <w:r w:rsidRPr="00F6415D">
        <w:rPr>
          <w:rFonts w:ascii="Segoe UI" w:hAnsi="Segoe UI" w:cs="Segoe UI"/>
          <w:i/>
        </w:rPr>
        <w:t>Better Ageing – 45 and 65 year online checkup</w:t>
      </w:r>
      <w:r w:rsidRPr="00F6415D">
        <w:rPr>
          <w:rFonts w:ascii="Segoe UI" w:hAnsi="Segoe UI" w:cs="Segoe UI"/>
        </w:rPr>
        <w:t xml:space="preserve"> measure will help people review their superannuation and other assets, access the income they will need in retirement and the steps they can take now to ensure they have the financial resources they need for the future. However, in its current form, this measure lacks aged care planning. ACFA considers that further work may be required to ensure this tool will support consumers to plan for their future aged care needs.</w:t>
      </w:r>
    </w:p>
    <w:p w:rsidR="00CE1469" w:rsidRPr="00F6415D" w:rsidRDefault="00CE1469" w:rsidP="001104E6">
      <w:pPr>
        <w:pStyle w:val="Heading4"/>
        <w:rPr>
          <w:rFonts w:ascii="Segoe UI" w:hAnsi="Segoe UI" w:cs="Segoe UI"/>
        </w:rPr>
      </w:pPr>
      <w:r w:rsidRPr="00F6415D">
        <w:rPr>
          <w:rFonts w:ascii="Segoe UI" w:hAnsi="Segoe UI" w:cs="Segoe UI"/>
        </w:rPr>
        <w:t>Post retirement: active years</w:t>
      </w:r>
    </w:p>
    <w:p w:rsidR="00CE1469" w:rsidRPr="00F6415D" w:rsidRDefault="00CE1469" w:rsidP="001104E6">
      <w:pPr>
        <w:pStyle w:val="BodyText"/>
        <w:rPr>
          <w:rFonts w:ascii="Segoe UI" w:hAnsi="Segoe UI" w:cs="Segoe UI"/>
        </w:rPr>
      </w:pPr>
      <w:r w:rsidRPr="00F6415D">
        <w:rPr>
          <w:rFonts w:ascii="Segoe UI" w:hAnsi="Segoe UI" w:cs="Segoe UI"/>
        </w:rPr>
        <w:t xml:space="preserve">Stakeholder consultations highlighted that many </w:t>
      </w:r>
      <w:r w:rsidRPr="00F6415D">
        <w:rPr>
          <w:rFonts w:ascii="Segoe UI" w:hAnsi="Segoe UI" w:cs="Segoe UI"/>
          <w:lang w:val="en"/>
        </w:rPr>
        <w:t>senior Australians</w:t>
      </w:r>
      <w:r w:rsidRPr="00F6415D">
        <w:rPr>
          <w:rFonts w:ascii="Segoe UI" w:hAnsi="Segoe UI" w:cs="Segoe UI"/>
        </w:rPr>
        <w:t xml:space="preserve"> are reluctant to plan for the costs of aged care because, in doing so, they would have to come to terms with frailty and their eventual mortality. This can create a significant emotional barrier to planning for, and accessing, aged care. </w:t>
      </w:r>
    </w:p>
    <w:p w:rsidR="00CE1469" w:rsidRPr="00F6415D" w:rsidRDefault="00CE1469" w:rsidP="001104E6">
      <w:pPr>
        <w:pStyle w:val="BodyText"/>
        <w:rPr>
          <w:rFonts w:ascii="Segoe UI" w:hAnsi="Segoe UI" w:cs="Segoe UI"/>
        </w:rPr>
      </w:pPr>
      <w:r w:rsidRPr="00F6415D">
        <w:rPr>
          <w:rFonts w:ascii="Segoe UI" w:hAnsi="Segoe UI" w:cs="Segoe UI"/>
        </w:rPr>
        <w:t xml:space="preserve">Financial advisors advised that </w:t>
      </w:r>
      <w:r w:rsidRPr="00F6415D">
        <w:rPr>
          <w:rFonts w:ascii="Segoe UI" w:hAnsi="Segoe UI" w:cs="Segoe UI"/>
          <w:lang w:val="en"/>
        </w:rPr>
        <w:t>consumers</w:t>
      </w:r>
      <w:r w:rsidRPr="00F6415D">
        <w:rPr>
          <w:rFonts w:ascii="Segoe UI" w:hAnsi="Segoe UI" w:cs="Segoe UI"/>
        </w:rPr>
        <w:t xml:space="preserve"> who are planning for their retirement or are in early stages of retirement, are still typically engaged in terms of wealth management and asset growth strategies. When planning for aged care is raised, the consumers often disengage. Aged care is seen as something too remote or too unpleasant to consider. Most people hope to not experience periods of frailty. As a result, when the need does arise, it may lead to high levels of stress and consumers not accessing appropriate supports and/or finding themselves unable to meet the financial cost of their care. </w:t>
      </w:r>
    </w:p>
    <w:p w:rsidR="00CE1469" w:rsidRPr="00F6415D" w:rsidRDefault="00CE1469" w:rsidP="001104E6">
      <w:pPr>
        <w:pStyle w:val="BodyText"/>
        <w:rPr>
          <w:rFonts w:ascii="Segoe UI" w:hAnsi="Segoe UI" w:cs="Segoe UI"/>
        </w:rPr>
      </w:pPr>
      <w:r w:rsidRPr="00F6415D">
        <w:rPr>
          <w:rFonts w:ascii="Segoe UI" w:hAnsi="Segoe UI" w:cs="Segoe UI"/>
        </w:rPr>
        <w:t xml:space="preserve">However, as discussed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Pr="00F6415D">
        <w:rPr>
          <w:rFonts w:ascii="Segoe UI" w:hAnsi="Segoe UI" w:cs="Segoe UI"/>
        </w:rPr>
        <w:t>, consumers are more likely to consider planning for aged care in later years of retirement as they approach frailty. As such, current retirement planning tools need to be expanded to enable better planning post retirement. In particular, if consumers were advised that planning for their future aged care needs gave them greater choice and control over the services they received or highlighted the real costs of aged care, they may be more likely to incorporate this into their retirement plans. As such, retirement plans should enable greater life planning and reflect the following retirement stages:</w:t>
      </w:r>
    </w:p>
    <w:p w:rsidR="00CE1469" w:rsidRPr="00F6415D" w:rsidRDefault="00CE1469" w:rsidP="001104E6">
      <w:pPr>
        <w:pStyle w:val="ListBullet"/>
        <w:rPr>
          <w:rFonts w:ascii="Segoe UI" w:hAnsi="Segoe UI" w:cs="Segoe UI"/>
        </w:rPr>
      </w:pPr>
      <w:r w:rsidRPr="00F6415D">
        <w:rPr>
          <w:rFonts w:ascii="Segoe UI" w:hAnsi="Segoe UI" w:cs="Segoe UI"/>
        </w:rPr>
        <w:t>post retirement: active years</w:t>
      </w:r>
    </w:p>
    <w:p w:rsidR="00CE1469" w:rsidRPr="00F6415D" w:rsidRDefault="00CE1469" w:rsidP="001104E6">
      <w:pPr>
        <w:pStyle w:val="ListBullet"/>
        <w:rPr>
          <w:rFonts w:ascii="Segoe UI" w:hAnsi="Segoe UI" w:cs="Segoe UI"/>
        </w:rPr>
      </w:pPr>
      <w:r w:rsidRPr="00F6415D">
        <w:rPr>
          <w:rFonts w:ascii="Segoe UI" w:hAnsi="Segoe UI" w:cs="Segoe UI"/>
        </w:rPr>
        <w:t>post retirement: low to medium level care to support independence at home</w:t>
      </w:r>
    </w:p>
    <w:p w:rsidR="00CE1469" w:rsidRPr="00F6415D" w:rsidRDefault="00CE1469" w:rsidP="001104E6">
      <w:pPr>
        <w:pStyle w:val="ListBullet"/>
        <w:rPr>
          <w:rFonts w:ascii="Segoe UI" w:hAnsi="Segoe UI" w:cs="Segoe UI"/>
        </w:rPr>
      </w:pPr>
      <w:r w:rsidRPr="00F6415D">
        <w:rPr>
          <w:rFonts w:ascii="Segoe UI" w:hAnsi="Segoe UI" w:cs="Segoe UI"/>
        </w:rPr>
        <w:t>post retirement: acute/complex needs</w:t>
      </w:r>
    </w:p>
    <w:p w:rsidR="00CE1469" w:rsidRPr="00F6415D" w:rsidRDefault="00CE1469" w:rsidP="001104E6">
      <w:pPr>
        <w:pStyle w:val="BodyText"/>
        <w:rPr>
          <w:rFonts w:ascii="Segoe UI" w:hAnsi="Segoe UI" w:cs="Segoe UI"/>
        </w:rPr>
      </w:pPr>
      <w:r w:rsidRPr="00F6415D">
        <w:rPr>
          <w:rFonts w:ascii="Segoe UI" w:hAnsi="Segoe UI" w:cs="Segoe UI"/>
        </w:rPr>
        <w:t xml:space="preserve">The 2018-19 </w:t>
      </w:r>
      <w:r w:rsidRPr="00F6415D">
        <w:rPr>
          <w:rFonts w:ascii="Segoe UI" w:hAnsi="Segoe UI" w:cs="Segoe UI"/>
          <w:i/>
        </w:rPr>
        <w:t>Better Ageing – 45 and 65 year online checkup</w:t>
      </w:r>
      <w:r w:rsidRPr="00F6415D">
        <w:rPr>
          <w:rFonts w:ascii="Segoe UI" w:hAnsi="Segoe UI" w:cs="Segoe UI"/>
        </w:rPr>
        <w:t xml:space="preserve"> measure will assist people prepare for active living for a longer life. The focus will be on assisting people to stay connected to their community, help them assess their financial position and the best way to manage their retirement income, and promote good health.</w:t>
      </w:r>
    </w:p>
    <w:p w:rsidR="00CE1469" w:rsidRPr="00F6415D" w:rsidRDefault="00CE1469" w:rsidP="001104E6">
      <w:pPr>
        <w:pStyle w:val="BodyText"/>
        <w:rPr>
          <w:rFonts w:ascii="Segoe UI" w:hAnsi="Segoe UI" w:cs="Segoe UI"/>
        </w:rPr>
      </w:pPr>
      <w:r w:rsidRPr="00F6415D">
        <w:rPr>
          <w:rFonts w:ascii="Segoe UI" w:hAnsi="Segoe UI" w:cs="Segoe UI"/>
        </w:rPr>
        <w:t xml:space="preserve">The Government should consider expanding the 2018-19 </w:t>
      </w:r>
      <w:r w:rsidRPr="00F6415D">
        <w:rPr>
          <w:rFonts w:ascii="Segoe UI" w:hAnsi="Segoe UI" w:cs="Segoe UI"/>
          <w:i/>
        </w:rPr>
        <w:t>Better Ageing -45 and 65 year online checkup</w:t>
      </w:r>
      <w:r w:rsidRPr="00F6415D">
        <w:rPr>
          <w:rFonts w:ascii="Segoe UI" w:hAnsi="Segoe UI" w:cs="Segoe UI"/>
        </w:rPr>
        <w:t xml:space="preserve"> measure to include a 70 year or 75 year web check. This web check would focus the consumer’s current health needs and (potential) ageing needs, at a point where this information is particularly relevant for them.</w:t>
      </w:r>
    </w:p>
    <w:p w:rsidR="00CE1469" w:rsidRPr="00F6415D" w:rsidRDefault="00CE1469" w:rsidP="001104E6">
      <w:pPr>
        <w:pStyle w:val="Heading4"/>
        <w:rPr>
          <w:rFonts w:ascii="Segoe UI" w:hAnsi="Segoe UI" w:cs="Segoe UI"/>
        </w:rPr>
      </w:pPr>
      <w:r w:rsidRPr="00F6415D">
        <w:rPr>
          <w:rFonts w:ascii="Segoe UI" w:hAnsi="Segoe UI" w:cs="Segoe UI"/>
        </w:rPr>
        <w:t>Post retirement: low to medium level care to support independence at home</w:t>
      </w:r>
      <w:bookmarkEnd w:id="163"/>
      <w:bookmarkEnd w:id="164"/>
      <w:bookmarkEnd w:id="165"/>
    </w:p>
    <w:p w:rsidR="00CE1469" w:rsidRPr="00F6415D" w:rsidRDefault="00CE1469" w:rsidP="001104E6">
      <w:pPr>
        <w:pStyle w:val="BodyText"/>
        <w:rPr>
          <w:rFonts w:ascii="Segoe UI" w:hAnsi="Segoe UI" w:cs="Segoe UI"/>
        </w:rPr>
      </w:pPr>
      <w:r w:rsidRPr="00F6415D">
        <w:rPr>
          <w:rFonts w:ascii="Segoe UI" w:hAnsi="Segoe UI" w:cs="Segoe UI"/>
        </w:rPr>
        <w:t>Some of the misconceptions that exist around this stage of retirement include:</w:t>
      </w:r>
    </w:p>
    <w:p w:rsidR="00CE1469" w:rsidRPr="00F6415D" w:rsidRDefault="00CE1469" w:rsidP="001104E6">
      <w:pPr>
        <w:pStyle w:val="ListBullet"/>
        <w:rPr>
          <w:rFonts w:ascii="Segoe UI" w:hAnsi="Segoe UI" w:cs="Segoe UI"/>
        </w:rPr>
      </w:pPr>
      <w:r w:rsidRPr="00F6415D">
        <w:rPr>
          <w:rFonts w:ascii="Segoe UI" w:hAnsi="Segoe UI" w:cs="Segoe UI"/>
          <w:b/>
        </w:rPr>
        <w:lastRenderedPageBreak/>
        <w:t>Ownership of home care budgets:</w:t>
      </w:r>
      <w:r w:rsidRPr="00F6415D">
        <w:rPr>
          <w:rFonts w:ascii="Segoe UI" w:hAnsi="Segoe UI" w:cs="Segoe UI"/>
        </w:rPr>
        <w:t xml:space="preserve"> There is a tendency for some consumers who receive home care packages to limit their spending on care needs because unspent funds are viewed as their own money that they are able to pass on to their families, while others are saving in case they need greater care in the future.</w:t>
      </w:r>
    </w:p>
    <w:p w:rsidR="00CE1469" w:rsidRPr="00F6415D" w:rsidRDefault="00CE1469" w:rsidP="001104E6">
      <w:pPr>
        <w:pStyle w:val="ListBullet"/>
        <w:rPr>
          <w:rFonts w:ascii="Segoe UI" w:hAnsi="Segoe UI" w:cs="Segoe UI"/>
        </w:rPr>
      </w:pPr>
      <w:r w:rsidRPr="00F6415D">
        <w:rPr>
          <w:rFonts w:ascii="Segoe UI" w:hAnsi="Segoe UI" w:cs="Segoe UI"/>
          <w:b/>
        </w:rPr>
        <w:t>Eligibility for Australian Government funded aged care:</w:t>
      </w:r>
      <w:r w:rsidRPr="00F6415D">
        <w:rPr>
          <w:rFonts w:ascii="Segoe UI" w:hAnsi="Segoe UI" w:cs="Segoe UI"/>
        </w:rPr>
        <w:t xml:space="preserve"> Some consumers are unaware of their eligibility for Australian Government funded aged care, and instead are accessing either privately funded services or informal caring arrangements provided by family or friends.</w:t>
      </w:r>
    </w:p>
    <w:p w:rsidR="00CE1469" w:rsidRPr="00F6415D" w:rsidRDefault="00CE1469" w:rsidP="001104E6">
      <w:pPr>
        <w:pStyle w:val="ListBullet"/>
        <w:rPr>
          <w:rFonts w:ascii="Segoe UI" w:hAnsi="Segoe UI" w:cs="Segoe UI"/>
        </w:rPr>
      </w:pPr>
      <w:r w:rsidRPr="00F6415D">
        <w:rPr>
          <w:rFonts w:ascii="Segoe UI" w:hAnsi="Segoe UI" w:cs="Segoe UI"/>
          <w:b/>
        </w:rPr>
        <w:t>Interaction with retirement villages as needs increase:</w:t>
      </w:r>
      <w:r w:rsidRPr="00F6415D">
        <w:rPr>
          <w:rFonts w:ascii="Segoe UI" w:hAnsi="Segoe UI" w:cs="Segoe UI"/>
        </w:rPr>
        <w:t xml:space="preserve"> There is a misconception among some consumers that retirement villages are aged care services (rather than supported community living) and there will not be a future need to transition to residential care. Some consumers residing in independent living units that are co-located with residential facilities believe they will automatically transition to residential care, without further cost when the need arises. </w:t>
      </w:r>
    </w:p>
    <w:p w:rsidR="00CE1469" w:rsidRPr="00F6415D" w:rsidRDefault="00CE1469" w:rsidP="001104E6">
      <w:pPr>
        <w:pStyle w:val="BodyText"/>
        <w:rPr>
          <w:rFonts w:ascii="Segoe UI" w:hAnsi="Segoe UI" w:cs="Segoe UI"/>
        </w:rPr>
      </w:pPr>
      <w:r w:rsidRPr="00F6415D">
        <w:rPr>
          <w:rFonts w:ascii="Segoe UI" w:hAnsi="Segoe UI" w:cs="Segoe UI"/>
        </w:rPr>
        <w:t>The 2018-19 budget has generated a number of measures that wil</w:t>
      </w:r>
      <w:r w:rsidR="001104E6" w:rsidRPr="00F6415D">
        <w:rPr>
          <w:rFonts w:ascii="Segoe UI" w:hAnsi="Segoe UI" w:cs="Segoe UI"/>
        </w:rPr>
        <w:t xml:space="preserve">l assist </w:t>
      </w:r>
      <w:r w:rsidRPr="00F6415D">
        <w:rPr>
          <w:rFonts w:ascii="Segoe UI" w:hAnsi="Segoe UI" w:cs="Segoe UI"/>
        </w:rPr>
        <w:t>senior Australians with planning to access low to medium level care to support independence at home post retirement.</w:t>
      </w:r>
    </w:p>
    <w:p w:rsidR="00CE1469" w:rsidRPr="00F6415D" w:rsidRDefault="00CE1469" w:rsidP="001104E6">
      <w:pPr>
        <w:pStyle w:val="BodyText"/>
        <w:rPr>
          <w:rFonts w:ascii="Segoe UI" w:hAnsi="Segoe UI" w:cs="Segoe UI"/>
        </w:rPr>
      </w:pPr>
      <w:r w:rsidRPr="00F6415D">
        <w:rPr>
          <w:rFonts w:ascii="Segoe UI" w:hAnsi="Segoe UI" w:cs="Segoe UI"/>
        </w:rPr>
        <w:t xml:space="preserve">Furthermore, the 2018-19 </w:t>
      </w:r>
      <w:r w:rsidRPr="00F6415D">
        <w:rPr>
          <w:rFonts w:ascii="Segoe UI" w:hAnsi="Segoe UI" w:cs="Segoe UI"/>
          <w:i/>
        </w:rPr>
        <w:t xml:space="preserve">Better Access to Care – aged care system navigator </w:t>
      </w:r>
      <w:r w:rsidRPr="00F6415D">
        <w:rPr>
          <w:rFonts w:ascii="Segoe UI" w:hAnsi="Segoe UI" w:cs="Segoe UI"/>
        </w:rPr>
        <w:t>measure which will create 30 aged care information hubs will help provide locally targeted information and build capacity to engage with the aged care system; and 20 community hubs will enable members to support each other in navigating aged care and healthy ageing.</w:t>
      </w:r>
    </w:p>
    <w:p w:rsidR="00CE1469" w:rsidRPr="00F6415D" w:rsidRDefault="00CE1469" w:rsidP="001104E6">
      <w:pPr>
        <w:pStyle w:val="Heading4"/>
        <w:rPr>
          <w:rFonts w:ascii="Segoe UI" w:hAnsi="Segoe UI" w:cs="Segoe UI"/>
        </w:rPr>
      </w:pPr>
      <w:r w:rsidRPr="00F6415D">
        <w:rPr>
          <w:rFonts w:ascii="Segoe UI" w:hAnsi="Segoe UI" w:cs="Segoe UI"/>
        </w:rPr>
        <w:t>Post retirement: acute/complex needs</w:t>
      </w:r>
    </w:p>
    <w:p w:rsidR="00CE1469" w:rsidRPr="00F6415D" w:rsidRDefault="00CE1469" w:rsidP="001104E6">
      <w:pPr>
        <w:pStyle w:val="BodyText"/>
        <w:rPr>
          <w:rFonts w:ascii="Segoe UI" w:hAnsi="Segoe UI" w:cs="Segoe UI"/>
          <w:lang w:val="en-GB"/>
        </w:rPr>
      </w:pPr>
      <w:bookmarkStart w:id="169" w:name="_Toc528224256"/>
      <w:bookmarkStart w:id="170" w:name="_Toc527561554"/>
      <w:bookmarkStart w:id="171" w:name="_Toc527564628"/>
      <w:bookmarkStart w:id="172" w:name="_Toc528224257"/>
      <w:bookmarkStart w:id="173" w:name="_Toc528861140"/>
      <w:bookmarkStart w:id="174" w:name="_Toc529890582"/>
      <w:bookmarkEnd w:id="169"/>
      <w:r w:rsidRPr="00F6415D">
        <w:rPr>
          <w:rFonts w:ascii="Segoe UI" w:hAnsi="Segoe UI" w:cs="Segoe UI"/>
          <w:lang w:val="en-GB"/>
        </w:rPr>
        <w:t>Some of the key factors and misconceptions influencing this stage of retirement include:</w:t>
      </w:r>
    </w:p>
    <w:p w:rsidR="00CE1469" w:rsidRPr="00F6415D" w:rsidRDefault="00CE1469" w:rsidP="001104E6">
      <w:pPr>
        <w:pStyle w:val="ListBullet"/>
        <w:rPr>
          <w:rFonts w:ascii="Segoe UI" w:hAnsi="Segoe UI" w:cs="Segoe UI"/>
        </w:rPr>
      </w:pPr>
      <w:r w:rsidRPr="00F6415D">
        <w:rPr>
          <w:rFonts w:ascii="Segoe UI" w:hAnsi="Segoe UI" w:cs="Segoe UI"/>
          <w:b/>
        </w:rPr>
        <w:t xml:space="preserve">Residential respite care: </w:t>
      </w:r>
      <w:r w:rsidRPr="00F6415D">
        <w:rPr>
          <w:rFonts w:ascii="Segoe UI" w:hAnsi="Segoe UI" w:cs="Segoe UI"/>
        </w:rPr>
        <w:t xml:space="preserve">Consumers are able to access residential respite care on a planned or emergency basis. </w:t>
      </w:r>
      <w:r w:rsidRPr="00F6415D">
        <w:rPr>
          <w:rFonts w:ascii="Segoe UI" w:hAnsi="Segoe UI" w:cs="Segoe UI"/>
          <w:i/>
        </w:rPr>
        <w:t xml:space="preserve">ACFA’s report on respite for aged care </w:t>
      </w:r>
      <w:r w:rsidR="007E5969" w:rsidRPr="00F6415D">
        <w:rPr>
          <w:rFonts w:ascii="Segoe UI" w:hAnsi="Segoe UI" w:cs="Segoe UI"/>
          <w:i/>
        </w:rPr>
        <w:t>recipients</w:t>
      </w:r>
      <w:r w:rsidRPr="00F6415D">
        <w:rPr>
          <w:rFonts w:ascii="Segoe UI" w:hAnsi="Segoe UI" w:cs="Segoe UI"/>
        </w:rPr>
        <w:t xml:space="preserve"> indicates that some providers will only offer planned respite care to secure income streams. However, accessing residential respite care is often not planned as it is often required at short notice due to carer stress levels. </w:t>
      </w:r>
    </w:p>
    <w:p w:rsidR="00CE1469" w:rsidRPr="00F6415D" w:rsidRDefault="00CE1469" w:rsidP="001104E6">
      <w:pPr>
        <w:pStyle w:val="BodyTextIndent"/>
        <w:rPr>
          <w:rFonts w:ascii="Segoe UI" w:hAnsi="Segoe UI" w:cs="Segoe UI"/>
        </w:rPr>
      </w:pPr>
      <w:r w:rsidRPr="00F6415D">
        <w:rPr>
          <w:rFonts w:ascii="Segoe UI" w:hAnsi="Segoe UI" w:cs="Segoe UI"/>
        </w:rPr>
        <w:t xml:space="preserve">The implications of respite care are covered more fully in the </w:t>
      </w:r>
      <w:r w:rsidRPr="00F6415D">
        <w:rPr>
          <w:rFonts w:ascii="Segoe UI" w:hAnsi="Segoe UI" w:cs="Segoe UI"/>
          <w:i/>
        </w:rPr>
        <w:t>ACFA report on respite for aged care recipients October 2018</w:t>
      </w:r>
      <w:r w:rsidRPr="00F6415D">
        <w:rPr>
          <w:rFonts w:ascii="Segoe UI" w:hAnsi="Segoe UI" w:cs="Segoe UI"/>
        </w:rPr>
        <w:t>.</w:t>
      </w:r>
    </w:p>
    <w:p w:rsidR="00CE1469" w:rsidRPr="00F6415D" w:rsidRDefault="00CE1469" w:rsidP="002056EC">
      <w:pPr>
        <w:pStyle w:val="ListBullet"/>
        <w:rPr>
          <w:rFonts w:ascii="Segoe UI" w:hAnsi="Segoe UI" w:cs="Segoe UI"/>
        </w:rPr>
      </w:pPr>
      <w:r w:rsidRPr="00F6415D">
        <w:rPr>
          <w:rFonts w:ascii="Segoe UI" w:hAnsi="Segoe UI" w:cs="Segoe UI"/>
          <w:b/>
        </w:rPr>
        <w:t>Accommodation payment choices:</w:t>
      </w:r>
      <w:r w:rsidRPr="00F6415D">
        <w:rPr>
          <w:rFonts w:ascii="Segoe UI" w:hAnsi="Segoe UI" w:cs="Segoe UI"/>
        </w:rPr>
        <w:t xml:space="preserve"> consumer payment choices (lump sum, daily payment or a combination) are not fully understood. Further issues include:</w:t>
      </w:r>
    </w:p>
    <w:p w:rsidR="00CE1469" w:rsidRPr="00F6415D" w:rsidRDefault="00CE1469" w:rsidP="002056EC">
      <w:pPr>
        <w:pStyle w:val="ListBullet2"/>
        <w:rPr>
          <w:rFonts w:ascii="Segoe UI" w:hAnsi="Segoe UI" w:cs="Segoe UI"/>
        </w:rPr>
      </w:pPr>
      <w:r w:rsidRPr="00F6415D">
        <w:rPr>
          <w:rFonts w:ascii="Segoe UI" w:hAnsi="Segoe UI" w:cs="Segoe UI"/>
          <w:b/>
        </w:rPr>
        <w:t>RADs are refundable:</w:t>
      </w:r>
      <w:r w:rsidRPr="00F6415D">
        <w:rPr>
          <w:rFonts w:ascii="Segoe UI" w:hAnsi="Segoe UI" w:cs="Segoe UI"/>
        </w:rPr>
        <w:t xml:space="preserve"> Many consumers are unaware that the lump sums will be returned upon exiting care (less any agreed drawdowns). This may lead to a reluctance to move into residential care due to the high perceived loss of capital. </w:t>
      </w:r>
    </w:p>
    <w:p w:rsidR="00CE1469" w:rsidRPr="00F6415D" w:rsidRDefault="00CE1469" w:rsidP="002056EC">
      <w:pPr>
        <w:pStyle w:val="ListBullet2"/>
        <w:rPr>
          <w:rFonts w:ascii="Segoe UI" w:hAnsi="Segoe UI" w:cs="Segoe UI"/>
        </w:rPr>
      </w:pPr>
      <w:r w:rsidRPr="00F6415D">
        <w:rPr>
          <w:rFonts w:ascii="Segoe UI" w:hAnsi="Segoe UI" w:cs="Segoe UI"/>
          <w:b/>
        </w:rPr>
        <w:t>Drawdowns:</w:t>
      </w:r>
      <w:r w:rsidRPr="00F6415D">
        <w:rPr>
          <w:rFonts w:ascii="Segoe UI" w:hAnsi="Segoe UI" w:cs="Segoe UI"/>
        </w:rPr>
        <w:t xml:space="preserve"> Consumers are often unaware that they can ask their provider to draw down certain aged care fees from their lump sum.</w:t>
      </w:r>
    </w:p>
    <w:p w:rsidR="00CE1469" w:rsidRPr="00F6415D" w:rsidRDefault="00CE1469" w:rsidP="001104E6">
      <w:pPr>
        <w:pStyle w:val="BodyText"/>
        <w:rPr>
          <w:rFonts w:ascii="Segoe UI" w:hAnsi="Segoe UI" w:cs="Segoe UI"/>
        </w:rPr>
      </w:pPr>
      <w:bookmarkStart w:id="175" w:name="_Toc527561553"/>
      <w:bookmarkStart w:id="176" w:name="_Toc527564627"/>
      <w:bookmarkStart w:id="177" w:name="_Toc528224255"/>
      <w:bookmarkEnd w:id="175"/>
      <w:bookmarkEnd w:id="176"/>
      <w:bookmarkEnd w:id="177"/>
      <w:r w:rsidRPr="00F6415D">
        <w:rPr>
          <w:rFonts w:ascii="Segoe UI" w:hAnsi="Segoe UI" w:cs="Segoe UI"/>
        </w:rPr>
        <w:t xml:space="preserve">The general misunderstanding of accommodation payment options may lead to perceived concerns over the high cost or unaffordability of residential aged care. </w:t>
      </w:r>
      <w:r w:rsidRPr="00F6415D">
        <w:rPr>
          <w:rFonts w:ascii="Segoe UI" w:hAnsi="Segoe UI" w:cs="Segoe UI"/>
        </w:rPr>
        <w:lastRenderedPageBreak/>
        <w:t>Alternatively it may result in decision-making based on selecting the cheapest care service. In some cases, this lack of awareness is reinforced through misinformation provided by residential aged care providers who encourage the payment method they would like to receive</w:t>
      </w:r>
    </w:p>
    <w:p w:rsidR="00CE1469" w:rsidRPr="00F6415D" w:rsidRDefault="00CE1469" w:rsidP="002056EC">
      <w:pPr>
        <w:pStyle w:val="ListBullet"/>
        <w:rPr>
          <w:rFonts w:ascii="Segoe UI" w:hAnsi="Segoe UI" w:cs="Segoe UI"/>
        </w:rPr>
      </w:pPr>
      <w:r w:rsidRPr="00F6415D">
        <w:rPr>
          <w:rFonts w:ascii="Segoe UI" w:hAnsi="Segoe UI" w:cs="Segoe UI"/>
          <w:b/>
        </w:rPr>
        <w:t xml:space="preserve">Aged care is viewed as part of the health system: </w:t>
      </w:r>
      <w:r w:rsidRPr="00F6415D">
        <w:rPr>
          <w:rFonts w:ascii="Segoe UI" w:hAnsi="Segoe UI" w:cs="Segoe UI"/>
        </w:rPr>
        <w:t>Consumers often think aged care is a fully Government funded service whereby they do not need to make contributions, similar to public hospitals. This belief partly contributes to the unwillingness by some consumers to contribute to the costs of their care or to plan ahead.</w:t>
      </w:r>
    </w:p>
    <w:p w:rsidR="00CE1469" w:rsidRPr="00F6415D" w:rsidRDefault="00CE1469" w:rsidP="002056EC">
      <w:pPr>
        <w:pStyle w:val="BodyTextIndent"/>
        <w:rPr>
          <w:rFonts w:ascii="Segoe UI" w:hAnsi="Segoe UI" w:cs="Segoe UI"/>
        </w:rPr>
      </w:pPr>
      <w:r w:rsidRPr="00F6415D">
        <w:rPr>
          <w:rFonts w:ascii="Segoe UI" w:hAnsi="Segoe UI" w:cs="Segoe UI"/>
        </w:rPr>
        <w:t>This is supported by research undertaken by</w:t>
      </w:r>
      <w:r w:rsidRPr="00F6415D" w:rsidDel="00D374A9">
        <w:rPr>
          <w:rFonts w:ascii="Segoe UI" w:hAnsi="Segoe UI" w:cs="Segoe UI"/>
        </w:rPr>
        <w:t xml:space="preserve"> </w:t>
      </w:r>
      <w:r w:rsidRPr="00F6415D">
        <w:rPr>
          <w:rFonts w:ascii="Segoe UI" w:hAnsi="Segoe UI" w:cs="Segoe UI"/>
        </w:rPr>
        <w:t>McCrindle, on behalf of Absolute Care &amp; Health</w:t>
      </w:r>
      <w:r w:rsidRPr="00F6415D">
        <w:rPr>
          <w:rStyle w:val="EndnoteReference"/>
          <w:rFonts w:ascii="Segoe UI" w:hAnsi="Segoe UI" w:cs="Segoe UI"/>
        </w:rPr>
        <w:endnoteReference w:id="9"/>
      </w:r>
      <w:r w:rsidRPr="00F6415D">
        <w:rPr>
          <w:rFonts w:ascii="Segoe UI" w:hAnsi="Segoe UI" w:cs="Segoe UI"/>
        </w:rPr>
        <w:t xml:space="preserve">, which indicates that 75 per cent of people surveyed have not taken any steps to ensure they will receive their preferred future aged care. In relation to the question of funding, 18 per cent believe that the Government will pay for care and 20 per cent have no idea how future care will be funded. </w:t>
      </w:r>
    </w:p>
    <w:p w:rsidR="00CE1469" w:rsidRPr="00F6415D" w:rsidRDefault="00CE1469" w:rsidP="002056EC">
      <w:pPr>
        <w:pStyle w:val="ListBullet"/>
        <w:rPr>
          <w:rFonts w:ascii="Segoe UI" w:hAnsi="Segoe UI" w:cs="Segoe UI"/>
        </w:rPr>
      </w:pPr>
      <w:r w:rsidRPr="00F6415D">
        <w:rPr>
          <w:rFonts w:ascii="Segoe UI" w:hAnsi="Segoe UI" w:cs="Segoe UI"/>
          <w:b/>
        </w:rPr>
        <w:t>Leaving the family home:</w:t>
      </w:r>
      <w:r w:rsidRPr="00F6415D">
        <w:rPr>
          <w:rFonts w:ascii="Segoe UI" w:hAnsi="Segoe UI" w:cs="Segoe UI"/>
        </w:rPr>
        <w:t xml:space="preserve"> One of the barriers most commonly raised by consumers and families against moving into residential aged care is the emotion associated with leaving and selling the family home.</w:t>
      </w:r>
    </w:p>
    <w:p w:rsidR="00CE1469" w:rsidRPr="00F6415D" w:rsidRDefault="00CE1469" w:rsidP="002056EC">
      <w:pPr>
        <w:pStyle w:val="BodyTextIndent"/>
        <w:rPr>
          <w:rFonts w:ascii="Segoe UI" w:hAnsi="Segoe UI" w:cs="Segoe UI"/>
        </w:rPr>
      </w:pPr>
      <w:r w:rsidRPr="00F6415D">
        <w:rPr>
          <w:rFonts w:ascii="Segoe UI" w:hAnsi="Segoe UI" w:cs="Segoe UI"/>
        </w:rPr>
        <w:t xml:space="preserve">Emotional attachment is often placed on the physical building, for both home owners and renters, but a move into care can also mean leaving behind various aspects of a person’s life including a loved one, a pet, lifestyle, privacy, garden, a lifetime of possessions, reputation, familiarity, space, neighbours, </w:t>
      </w:r>
      <w:r w:rsidR="007E5969" w:rsidRPr="00F6415D">
        <w:rPr>
          <w:rFonts w:ascii="Segoe UI" w:hAnsi="Segoe UI" w:cs="Segoe UI"/>
        </w:rPr>
        <w:t>and access</w:t>
      </w:r>
      <w:r w:rsidRPr="00F6415D">
        <w:rPr>
          <w:rFonts w:ascii="Segoe UI" w:hAnsi="Segoe UI" w:cs="Segoe UI"/>
        </w:rPr>
        <w:t xml:space="preserve"> to neighbourhood or familiar services. This heightens the emotions experienced at this time. </w:t>
      </w:r>
    </w:p>
    <w:p w:rsidR="00CE1469" w:rsidRPr="00F6415D" w:rsidRDefault="00CE1469" w:rsidP="002056EC">
      <w:pPr>
        <w:pStyle w:val="BodyTextIndent"/>
        <w:rPr>
          <w:rFonts w:ascii="Segoe UI" w:hAnsi="Segoe UI" w:cs="Segoe UI"/>
        </w:rPr>
      </w:pPr>
      <w:r w:rsidRPr="00F6415D">
        <w:rPr>
          <w:rFonts w:ascii="Segoe UI" w:hAnsi="Segoe UI" w:cs="Segoe UI"/>
        </w:rPr>
        <w:t xml:space="preserve">Stakeholder consultations advised that consumers and families sometimes insist they cannot afford aged care fees, including the RAD, due to a desire to maintain the home as a legacy for children/family, while others indicate a general reluctance to sell the family home, due to emotional attachment. </w:t>
      </w:r>
    </w:p>
    <w:p w:rsidR="00CE1469" w:rsidRPr="00F6415D" w:rsidRDefault="00CE1469" w:rsidP="002056EC">
      <w:pPr>
        <w:pStyle w:val="BodyTextIndent"/>
        <w:rPr>
          <w:rFonts w:ascii="Segoe UI" w:hAnsi="Segoe UI" w:cs="Segoe UI"/>
        </w:rPr>
      </w:pPr>
      <w:r w:rsidRPr="00F6415D">
        <w:rPr>
          <w:rFonts w:ascii="Segoe UI" w:hAnsi="Segoe UI" w:cs="Segoe UI"/>
        </w:rPr>
        <w:t>The emotional concerns with selling the family home were particularly relevant for CALD consumers. Some cultures consider leaving assets to family to be part of their legacy leaving deep emotional ties to the family home. Some consumers within these groups have purchased multiple properties over their lifetime with estate planning in mind (i.e. one for each of their children), and, as such, they are often reluctant to liquidate these assets to fund aged care needs.</w:t>
      </w:r>
    </w:p>
    <w:p w:rsidR="00CE1469" w:rsidRPr="00F6415D" w:rsidRDefault="00CE1469" w:rsidP="002056EC">
      <w:pPr>
        <w:pStyle w:val="BodyTextIndent"/>
        <w:rPr>
          <w:rFonts w:ascii="Segoe UI" w:hAnsi="Segoe UI" w:cs="Segoe UI"/>
        </w:rPr>
      </w:pPr>
      <w:r w:rsidRPr="00F6415D">
        <w:rPr>
          <w:rFonts w:ascii="Segoe UI" w:hAnsi="Segoe UI" w:cs="Segoe UI"/>
        </w:rPr>
        <w:t>ACFA considers that further analysis is required to better understand the extent to which liquidating assets impacts on a consumer’s ability to move into residential aged care.</w:t>
      </w:r>
    </w:p>
    <w:p w:rsidR="00CE1469" w:rsidRPr="00F6415D" w:rsidRDefault="00CE1469" w:rsidP="002056EC">
      <w:pPr>
        <w:pStyle w:val="ListBullet"/>
        <w:rPr>
          <w:rFonts w:ascii="Segoe UI" w:hAnsi="Segoe UI" w:cs="Segoe UI"/>
        </w:rPr>
      </w:pPr>
      <w:r w:rsidRPr="00F6415D">
        <w:rPr>
          <w:rFonts w:ascii="Segoe UI" w:hAnsi="Segoe UI" w:cs="Segoe UI"/>
          <w:b/>
        </w:rPr>
        <w:t>Cultural and linguistic diversity:</w:t>
      </w:r>
      <w:r w:rsidRPr="00F6415D">
        <w:rPr>
          <w:rFonts w:ascii="Segoe UI" w:hAnsi="Segoe UI" w:cs="Segoe UI"/>
        </w:rPr>
        <w:t xml:space="preserve"> There is an expectation among some cultures that children/families will care for older generations and therefore, the concept of formal ‘aged care’ is an unknown.</w:t>
      </w:r>
    </w:p>
    <w:p w:rsidR="00CE1469" w:rsidRPr="00F6415D" w:rsidRDefault="00CE1469" w:rsidP="00807ED2">
      <w:pPr>
        <w:pStyle w:val="BodyTextIndent"/>
        <w:spacing w:after="240"/>
        <w:rPr>
          <w:rFonts w:ascii="Segoe UI" w:hAnsi="Segoe UI" w:cs="Segoe UI"/>
        </w:rPr>
      </w:pPr>
      <w:r w:rsidRPr="00F6415D">
        <w:rPr>
          <w:rFonts w:ascii="Segoe UI" w:hAnsi="Segoe UI" w:cs="Segoe UI"/>
        </w:rPr>
        <w:t xml:space="preserve">This was identified as a factor that can intensify the emotional response to having to sell the family home to fund care. </w:t>
      </w:r>
    </w:p>
    <w:p w:rsidR="00CE1469" w:rsidRPr="00F6415D" w:rsidRDefault="00CE1469" w:rsidP="001104E6">
      <w:pPr>
        <w:pStyle w:val="BodyText"/>
        <w:rPr>
          <w:rFonts w:ascii="Segoe UI" w:hAnsi="Segoe UI" w:cs="Segoe UI"/>
        </w:rPr>
      </w:pPr>
      <w:r w:rsidRPr="00F6415D">
        <w:rPr>
          <w:rFonts w:ascii="Segoe UI" w:hAnsi="Segoe UI" w:cs="Segoe UI"/>
        </w:rPr>
        <w:t xml:space="preserve">The </w:t>
      </w:r>
      <w:r w:rsidRPr="00F6415D">
        <w:rPr>
          <w:rFonts w:ascii="Segoe UI" w:hAnsi="Segoe UI" w:cs="Segoe UI"/>
          <w:i/>
        </w:rPr>
        <w:t>2018-19 Better access to care – aged care system navigator</w:t>
      </w:r>
      <w:r w:rsidRPr="00F6415D">
        <w:rPr>
          <w:rFonts w:ascii="Segoe UI" w:hAnsi="Segoe UI" w:cs="Segoe UI"/>
        </w:rPr>
        <w:t xml:space="preserve"> measure will assist senior Australians with planning to access acute/complex care post retirement by introducing six full time aged care Financial Information Services Officers (FISOs). </w:t>
      </w:r>
      <w:r w:rsidRPr="00F6415D">
        <w:rPr>
          <w:rFonts w:ascii="Segoe UI" w:hAnsi="Segoe UI" w:cs="Segoe UI"/>
        </w:rPr>
        <w:lastRenderedPageBreak/>
        <w:t>Through this measure the Australian Government aims to give additional information to support people with the complex financial decisions they need to make when entering aged care.</w:t>
      </w:r>
    </w:p>
    <w:p w:rsidR="00CE1469" w:rsidRPr="00F6415D" w:rsidRDefault="00CE1469" w:rsidP="001104E6">
      <w:pPr>
        <w:pStyle w:val="Heading2"/>
        <w:rPr>
          <w:rFonts w:ascii="Segoe UI" w:hAnsi="Segoe UI" w:cs="Segoe UI"/>
        </w:rPr>
      </w:pPr>
      <w:bookmarkStart w:id="178" w:name="_Toc531271088"/>
      <w:bookmarkStart w:id="179" w:name="_Ref531779004"/>
      <w:bookmarkStart w:id="180" w:name="_Ref531779149"/>
      <w:bookmarkStart w:id="181" w:name="_Toc532206384"/>
      <w:r w:rsidRPr="00F6415D">
        <w:rPr>
          <w:rFonts w:ascii="Segoe UI" w:hAnsi="Segoe UI" w:cs="Segoe UI"/>
        </w:rPr>
        <w:lastRenderedPageBreak/>
        <w:t>How consumers pay for aged care</w:t>
      </w:r>
      <w:bookmarkEnd w:id="61"/>
      <w:bookmarkEnd w:id="62"/>
      <w:bookmarkEnd w:id="63"/>
      <w:bookmarkEnd w:id="64"/>
      <w:bookmarkEnd w:id="170"/>
      <w:bookmarkEnd w:id="171"/>
      <w:bookmarkEnd w:id="172"/>
      <w:bookmarkEnd w:id="173"/>
      <w:bookmarkEnd w:id="174"/>
      <w:bookmarkEnd w:id="178"/>
      <w:bookmarkEnd w:id="179"/>
      <w:bookmarkEnd w:id="180"/>
      <w:bookmarkEnd w:id="181"/>
    </w:p>
    <w:p w:rsidR="00CE1469" w:rsidRPr="00F6415D" w:rsidRDefault="00CE1469" w:rsidP="002056EC">
      <w:pPr>
        <w:pStyle w:val="BodyText"/>
        <w:rPr>
          <w:rFonts w:ascii="Segoe UI" w:hAnsi="Segoe UI" w:cs="Segoe UI"/>
        </w:rPr>
      </w:pPr>
      <w:bookmarkStart w:id="182" w:name="_Toc529890583"/>
      <w:r w:rsidRPr="00F6415D">
        <w:rPr>
          <w:rFonts w:ascii="Segoe UI" w:hAnsi="Segoe UI" w:cs="Segoe UI"/>
        </w:rPr>
        <w:t>This chapter outlines how consumers are paying for their contributions towards of the aged care services that they have accessed through:</w:t>
      </w:r>
    </w:p>
    <w:p w:rsidR="00CE1469" w:rsidRPr="00F6415D" w:rsidRDefault="00CE1469" w:rsidP="002056EC">
      <w:pPr>
        <w:pStyle w:val="ListBullet"/>
        <w:rPr>
          <w:rFonts w:ascii="Segoe UI" w:hAnsi="Segoe UI" w:cs="Segoe UI"/>
        </w:rPr>
      </w:pPr>
      <w:r w:rsidRPr="00F6415D">
        <w:rPr>
          <w:rFonts w:ascii="Segoe UI" w:hAnsi="Segoe UI" w:cs="Segoe UI"/>
        </w:rPr>
        <w:t>Australian Government funded aged care</w:t>
      </w:r>
    </w:p>
    <w:p w:rsidR="00CE1469" w:rsidRPr="00F6415D" w:rsidRDefault="00CE1469" w:rsidP="002056EC">
      <w:pPr>
        <w:pStyle w:val="ListBullet"/>
        <w:rPr>
          <w:rFonts w:ascii="Segoe UI" w:hAnsi="Segoe UI" w:cs="Segoe UI"/>
        </w:rPr>
      </w:pPr>
      <w:r w:rsidRPr="00F6415D">
        <w:rPr>
          <w:rFonts w:ascii="Segoe UI" w:hAnsi="Segoe UI" w:cs="Segoe UI"/>
        </w:rPr>
        <w:t>non-Australian Government funded aged care</w:t>
      </w:r>
    </w:p>
    <w:p w:rsidR="00CE1469" w:rsidRPr="00F6415D" w:rsidRDefault="00CE1469" w:rsidP="002056EC">
      <w:pPr>
        <w:pStyle w:val="ListBullet"/>
        <w:rPr>
          <w:rFonts w:ascii="Segoe UI" w:hAnsi="Segoe UI" w:cs="Segoe UI"/>
        </w:rPr>
      </w:pPr>
      <w:r w:rsidRPr="00F6415D">
        <w:rPr>
          <w:rFonts w:ascii="Segoe UI" w:hAnsi="Segoe UI" w:cs="Segoe UI"/>
        </w:rPr>
        <w:t>informal care and services.</w:t>
      </w:r>
    </w:p>
    <w:p w:rsidR="00CE1469" w:rsidRPr="00F6415D" w:rsidRDefault="00CE1469" w:rsidP="002056EC">
      <w:pPr>
        <w:pStyle w:val="BodyText"/>
        <w:rPr>
          <w:rFonts w:ascii="Segoe UI" w:hAnsi="Segoe UI" w:cs="Segoe UI"/>
        </w:rPr>
      </w:pPr>
      <w:r w:rsidRPr="00F6415D">
        <w:rPr>
          <w:rFonts w:ascii="Segoe UI" w:hAnsi="Segoe UI" w:cs="Segoe UI"/>
        </w:rPr>
        <w:t>This chapter also discusses the consumer’s wealth profile to determine their ability to pay the aged care costs.</w:t>
      </w:r>
    </w:p>
    <w:p w:rsidR="00CE1469" w:rsidRPr="00F6415D" w:rsidRDefault="00CE1469" w:rsidP="00233BC7">
      <w:pPr>
        <w:pStyle w:val="Heading3"/>
        <w:rPr>
          <w:rFonts w:ascii="Segoe UI" w:hAnsi="Segoe UI" w:cs="Segoe UI"/>
        </w:rPr>
      </w:pPr>
      <w:bookmarkStart w:id="183" w:name="_Toc531271089"/>
      <w:bookmarkStart w:id="184" w:name="_Toc532206385"/>
      <w:r w:rsidRPr="00F6415D">
        <w:rPr>
          <w:rFonts w:ascii="Segoe UI" w:hAnsi="Segoe UI" w:cs="Segoe UI"/>
        </w:rPr>
        <w:t>How consumers pay for aged care</w:t>
      </w:r>
      <w:bookmarkEnd w:id="182"/>
      <w:bookmarkEnd w:id="183"/>
      <w:bookmarkEnd w:id="184"/>
    </w:p>
    <w:p w:rsidR="00CE1469" w:rsidRPr="00F6415D" w:rsidRDefault="00CE1469" w:rsidP="002056EC">
      <w:pPr>
        <w:pStyle w:val="BodyText"/>
        <w:rPr>
          <w:rFonts w:ascii="Segoe UI" w:hAnsi="Segoe UI" w:cs="Segoe UI"/>
        </w:rPr>
      </w:pPr>
      <w:bookmarkStart w:id="185" w:name="_Ref452502192"/>
      <w:r w:rsidRPr="00F6415D">
        <w:rPr>
          <w:rFonts w:ascii="Segoe UI" w:hAnsi="Segoe UI" w:cs="Segoe UI"/>
        </w:rPr>
        <w:t xml:space="preserve">The ACFA consumer survey sought to determine how senior Australians pay for their aged care costs. In determining how they pay, a series of questions were asked regarding which aged care services they were receiving or planning to access, which aged care fees they were currently paying, their annual household income and their </w:t>
      </w:r>
      <w:r w:rsidRPr="00F6415D">
        <w:rPr>
          <w:rStyle w:val="BodyTextChar"/>
          <w:rFonts w:ascii="Segoe UI" w:hAnsi="Segoe UI" w:cs="Segoe UI"/>
        </w:rPr>
        <w:t>home ownership status, including if they have a mortgage. However, the survey did</w:t>
      </w:r>
      <w:r w:rsidRPr="00F6415D">
        <w:rPr>
          <w:rFonts w:ascii="Segoe UI" w:hAnsi="Segoe UI" w:cs="Segoe UI"/>
        </w:rPr>
        <w:t xml:space="preserve"> not test the consumer’s current expenditure, nor did it collect the value of the home or value of other assets. </w:t>
      </w:r>
    </w:p>
    <w:p w:rsidR="00CE1469" w:rsidRPr="00F6415D" w:rsidRDefault="00CE1469" w:rsidP="002056EC">
      <w:pPr>
        <w:pStyle w:val="BodyText"/>
        <w:rPr>
          <w:rFonts w:ascii="Segoe UI" w:hAnsi="Segoe UI" w:cs="Segoe UI"/>
        </w:rPr>
      </w:pPr>
      <w:r w:rsidRPr="00F6415D">
        <w:rPr>
          <w:rFonts w:ascii="Segoe UI" w:hAnsi="Segoe UI" w:cs="Segoe UI"/>
        </w:rPr>
        <w:t>The findings of the survey are presented within this section.</w:t>
      </w:r>
    </w:p>
    <w:p w:rsidR="00CE1469" w:rsidRPr="00F6415D" w:rsidRDefault="00CE1469" w:rsidP="002056EC">
      <w:pPr>
        <w:pStyle w:val="BodyText"/>
        <w:rPr>
          <w:rFonts w:ascii="Segoe UI" w:hAnsi="Segoe UI" w:cs="Segoe UI"/>
        </w:rPr>
      </w:pPr>
      <w:r w:rsidRPr="00F6415D">
        <w:rPr>
          <w:rFonts w:ascii="Segoe UI" w:eastAsia="Segoe UI" w:hAnsi="Segoe UI" w:cs="Segoe UI"/>
        </w:rPr>
        <w:t>The way in which consumers pay</w:t>
      </w:r>
      <w:r w:rsidRPr="00F6415D">
        <w:rPr>
          <w:rFonts w:ascii="Segoe UI" w:hAnsi="Segoe UI" w:cs="Segoe UI"/>
        </w:rPr>
        <w:t xml:space="preserve"> for aged care</w:t>
      </w:r>
      <w:r w:rsidRPr="00F6415D">
        <w:rPr>
          <w:rFonts w:ascii="Segoe UI" w:eastAsia="Segoe UI" w:hAnsi="Segoe UI" w:cs="Segoe UI"/>
        </w:rPr>
        <w:t xml:space="preserve"> varies significantly, based on their individual circumstances.</w:t>
      </w:r>
      <w:r w:rsidRPr="00F6415D">
        <w:rPr>
          <w:rFonts w:ascii="Segoe UI" w:hAnsi="Segoe UI" w:cs="Segoe UI"/>
        </w:rPr>
        <w:t xml:space="preserve"> However, there are some identifiable choices that senior Australians make when deciding how to pay for their aged care which is consistent across all care types. They are:</w:t>
      </w:r>
    </w:p>
    <w:p w:rsidR="00CE1469" w:rsidRPr="00F6415D" w:rsidRDefault="00CE1469" w:rsidP="002056EC">
      <w:pPr>
        <w:pStyle w:val="ListBullet"/>
        <w:rPr>
          <w:rFonts w:ascii="Segoe UI" w:hAnsi="Segoe UI" w:cs="Segoe UI"/>
        </w:rPr>
      </w:pPr>
      <w:r w:rsidRPr="00F6415D">
        <w:rPr>
          <w:rFonts w:ascii="Segoe UI" w:hAnsi="Segoe UI" w:cs="Segoe UI"/>
          <w:b/>
        </w:rPr>
        <w:t>Pension:</w:t>
      </w:r>
      <w:r w:rsidRPr="00F6415D">
        <w:rPr>
          <w:rFonts w:ascii="Segoe UI" w:hAnsi="Segoe UI" w:cs="Segoe UI"/>
        </w:rPr>
        <w:t xml:space="preserve"> for consumers who have the age pension, it is consistently reported across all program types as the main source of funds used to pay aged care fees.</w:t>
      </w:r>
    </w:p>
    <w:p w:rsidR="00CE1469" w:rsidRPr="00F6415D" w:rsidRDefault="00CE1469" w:rsidP="002056EC">
      <w:pPr>
        <w:pStyle w:val="ListBullet"/>
        <w:rPr>
          <w:rFonts w:ascii="Segoe UI" w:hAnsi="Segoe UI" w:cs="Segoe UI"/>
        </w:rPr>
      </w:pPr>
      <w:r w:rsidRPr="00F6415D">
        <w:rPr>
          <w:rFonts w:ascii="Segoe UI" w:hAnsi="Segoe UI" w:cs="Segoe UI"/>
          <w:b/>
        </w:rPr>
        <w:t>Superannuation:</w:t>
      </w:r>
      <w:r w:rsidRPr="00F6415D">
        <w:rPr>
          <w:rFonts w:ascii="Segoe UI" w:hAnsi="Segoe UI" w:cs="Segoe UI"/>
        </w:rPr>
        <w:t xml:space="preserve"> for consumers who have superannuation funds, it is consistently reported across all program types as the main source of funds used to pay aged care fees.</w:t>
      </w:r>
    </w:p>
    <w:p w:rsidR="00CE1469" w:rsidRPr="00F6415D" w:rsidRDefault="00CE1469" w:rsidP="002056EC">
      <w:pPr>
        <w:pStyle w:val="ListBullet"/>
        <w:rPr>
          <w:rFonts w:ascii="Segoe UI" w:hAnsi="Segoe UI" w:cs="Segoe UI"/>
        </w:rPr>
      </w:pPr>
      <w:r w:rsidRPr="00F6415D">
        <w:rPr>
          <w:rFonts w:ascii="Segoe UI" w:hAnsi="Segoe UI" w:cs="Segoe UI"/>
          <w:b/>
        </w:rPr>
        <w:t>Life savings:</w:t>
      </w:r>
      <w:r w:rsidRPr="00F6415D">
        <w:rPr>
          <w:rFonts w:ascii="Segoe UI" w:hAnsi="Segoe UI" w:cs="Segoe UI"/>
        </w:rPr>
        <w:t xml:space="preserve"> life savings were also consistently reported as a primary source of funds used to pay aged care fees. In particular, this rate was higher for consumers accessing residential aged care.</w:t>
      </w:r>
    </w:p>
    <w:p w:rsidR="00CE1469" w:rsidRPr="00F6415D" w:rsidRDefault="00CE1469" w:rsidP="002056EC">
      <w:pPr>
        <w:pStyle w:val="ListBullet"/>
        <w:rPr>
          <w:rFonts w:ascii="Segoe UI" w:hAnsi="Segoe UI" w:cs="Segoe UI"/>
        </w:rPr>
      </w:pPr>
      <w:r w:rsidRPr="00F6415D">
        <w:rPr>
          <w:rFonts w:ascii="Segoe UI" w:hAnsi="Segoe UI" w:cs="Segoe UI"/>
          <w:b/>
        </w:rPr>
        <w:t>Loans:</w:t>
      </w:r>
      <w:r w:rsidRPr="00F6415D">
        <w:rPr>
          <w:rFonts w:ascii="Segoe UI" w:hAnsi="Segoe UI" w:cs="Segoe UI"/>
        </w:rPr>
        <w:t xml:space="preserve"> personal loans and aged care loans (including reverse mortgage loans) are not commonly used by consumers to fund their aged care.</w:t>
      </w:r>
      <w:r w:rsidRPr="00F6415D">
        <w:rPr>
          <w:rFonts w:ascii="Segoe UI" w:eastAsia="Segoe UI" w:hAnsi="Segoe UI" w:cs="Segoe UI"/>
        </w:rPr>
        <w:t xml:space="preserve"> Only five per cent indicated they currently access equity release products to fund their care</w:t>
      </w:r>
    </w:p>
    <w:p w:rsidR="00CE1469" w:rsidRPr="00F6415D" w:rsidRDefault="00CE1469" w:rsidP="002056EC">
      <w:pPr>
        <w:pStyle w:val="ListBullet"/>
        <w:rPr>
          <w:rFonts w:ascii="Segoe UI" w:hAnsi="Segoe UI" w:cs="Segoe UI"/>
        </w:rPr>
      </w:pPr>
      <w:r w:rsidRPr="00F6415D">
        <w:rPr>
          <w:rFonts w:ascii="Segoe UI" w:hAnsi="Segoe UI" w:cs="Segoe UI"/>
          <w:b/>
        </w:rPr>
        <w:t>Selling the family home:</w:t>
      </w:r>
      <w:r w:rsidRPr="00F6415D">
        <w:rPr>
          <w:rFonts w:ascii="Segoe UI" w:hAnsi="Segoe UI" w:cs="Segoe UI"/>
        </w:rPr>
        <w:t xml:space="preserve"> many consumers may elect to use the proceeds from selling the family home to finance residential aged care.</w:t>
      </w:r>
    </w:p>
    <w:p w:rsidR="00CE1469" w:rsidRPr="00F6415D" w:rsidRDefault="00CE1469" w:rsidP="002056EC">
      <w:pPr>
        <w:pStyle w:val="ListBullet"/>
        <w:rPr>
          <w:rFonts w:ascii="Segoe UI" w:hAnsi="Segoe UI" w:cs="Segoe UI"/>
        </w:rPr>
      </w:pPr>
      <w:r w:rsidRPr="00F6415D">
        <w:rPr>
          <w:rFonts w:ascii="Segoe UI" w:hAnsi="Segoe UI" w:cs="Segoe UI"/>
          <w:b/>
        </w:rPr>
        <w:t xml:space="preserve">Shared equity: </w:t>
      </w:r>
      <w:r w:rsidRPr="00F6415D">
        <w:rPr>
          <w:rFonts w:ascii="Segoe UI" w:hAnsi="Segoe UI" w:cs="Segoe UI"/>
        </w:rPr>
        <w:t xml:space="preserve">consumers are choosing to pool funds and purchase communal living environments. </w:t>
      </w:r>
    </w:p>
    <w:p w:rsidR="00CE1469" w:rsidRPr="00F6415D" w:rsidRDefault="00CE1469" w:rsidP="002056EC">
      <w:pPr>
        <w:pStyle w:val="BodyText"/>
        <w:rPr>
          <w:rFonts w:ascii="Segoe UI" w:eastAsia="Segoe UI" w:hAnsi="Segoe UI" w:cs="Segoe UI"/>
        </w:rPr>
      </w:pPr>
      <w:r w:rsidRPr="00F6415D">
        <w:rPr>
          <w:rFonts w:ascii="Segoe UI" w:eastAsia="Segoe UI" w:hAnsi="Segoe UI" w:cs="Segoe UI"/>
        </w:rPr>
        <w:t xml:space="preserve">Appendix B provides a detailed breakdown of the income sources used by the respondents in the survey to fund their contributions towards aged care. </w:t>
      </w:r>
    </w:p>
    <w:p w:rsidR="00CE1469" w:rsidRPr="00F6415D" w:rsidRDefault="00CE1469" w:rsidP="002056EC">
      <w:pPr>
        <w:pStyle w:val="BodyText"/>
        <w:rPr>
          <w:rFonts w:ascii="Segoe UI" w:eastAsia="Segoe UI" w:hAnsi="Segoe UI" w:cs="Segoe UI"/>
        </w:rPr>
      </w:pPr>
      <w:r w:rsidRPr="00F6415D">
        <w:rPr>
          <w:rFonts w:ascii="Segoe UI" w:eastAsia="Segoe UI" w:hAnsi="Segoe UI" w:cs="Segoe UI"/>
        </w:rPr>
        <w:t xml:space="preserve">The survey and consumer follow-up consultations indicate that consumers aim to use traditional cash flow sources first (age pension, superannuation, savings) and then </w:t>
      </w:r>
      <w:r w:rsidRPr="00F6415D">
        <w:rPr>
          <w:rFonts w:ascii="Segoe UI" w:eastAsia="Segoe UI" w:hAnsi="Segoe UI" w:cs="Segoe UI"/>
        </w:rPr>
        <w:lastRenderedPageBreak/>
        <w:t xml:space="preserve">their assets, to pay their aged care costs. </w:t>
      </w:r>
      <w:r w:rsidRPr="00F6415D">
        <w:rPr>
          <w:rFonts w:ascii="Segoe UI" w:hAnsi="Segoe UI" w:cs="Segoe UI"/>
        </w:rPr>
        <w:t>The most common combination of income streams and assets was age pension and personal savings (14 per cent), followed by age pension and superannuation (13 per cent), and then age pension, superannuation and personal savings (8 per cent).</w:t>
      </w:r>
    </w:p>
    <w:p w:rsidR="00CE1469" w:rsidRPr="00F6415D" w:rsidRDefault="00CE1469" w:rsidP="002056EC">
      <w:pPr>
        <w:pStyle w:val="BodyText"/>
        <w:rPr>
          <w:rFonts w:ascii="Segoe UI" w:eastAsia="Segoe UI" w:hAnsi="Segoe UI" w:cs="Segoe UI"/>
        </w:rPr>
      </w:pPr>
      <w:r w:rsidRPr="00F6415D">
        <w:rPr>
          <w:rFonts w:ascii="Segoe UI" w:eastAsia="Segoe UI" w:hAnsi="Segoe UI" w:cs="Segoe UI"/>
        </w:rPr>
        <w:t>Appendix B also provides insight into how consumers utilise the equity within their home to pay for privately funded aged care fees. Consumers indicated that they would liquidate other assets to finance their aged care needs in preference to accessing equity release products.</w:t>
      </w:r>
    </w:p>
    <w:p w:rsidR="00CE1469" w:rsidRPr="00F6415D" w:rsidRDefault="00CE1469" w:rsidP="002056EC">
      <w:pPr>
        <w:pStyle w:val="Heading4"/>
        <w:rPr>
          <w:rFonts w:ascii="Segoe UI" w:hAnsi="Segoe UI" w:cs="Segoe UI"/>
        </w:rPr>
      </w:pPr>
      <w:r w:rsidRPr="00F6415D">
        <w:rPr>
          <w:rFonts w:ascii="Segoe UI" w:hAnsi="Segoe UI" w:cs="Segoe UI"/>
        </w:rPr>
        <w:t>Paying for CHSP and home care packages</w:t>
      </w:r>
    </w:p>
    <w:p w:rsidR="00CE1469" w:rsidRPr="00F6415D" w:rsidRDefault="00CE1469" w:rsidP="002056EC">
      <w:pPr>
        <w:pStyle w:val="BodyText"/>
        <w:rPr>
          <w:rFonts w:ascii="Segoe UI" w:hAnsi="Segoe UI" w:cs="Segoe UI"/>
        </w:rPr>
      </w:pPr>
      <w:r w:rsidRPr="00F6415D">
        <w:rPr>
          <w:rFonts w:ascii="Segoe UI" w:hAnsi="Segoe UI" w:cs="Segoe UI"/>
        </w:rPr>
        <w:t xml:space="preserve">The survey indicates that of the consumers who are paying aged care fees for CHSP and home care, they are primarily funding their aged care fees through existing cash flow, as per </w:t>
      </w:r>
      <w:r w:rsidRPr="00F6415D">
        <w:rPr>
          <w:rFonts w:ascii="Segoe UI" w:hAnsi="Segoe UI" w:cs="Segoe UI"/>
        </w:rPr>
        <w:fldChar w:fldCharType="begin"/>
      </w:r>
      <w:r w:rsidRPr="00F6415D">
        <w:rPr>
          <w:rFonts w:ascii="Segoe UI" w:hAnsi="Segoe UI" w:cs="Segoe UI"/>
        </w:rPr>
        <w:instrText xml:space="preserve"> REF _Ref530577400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4</w:t>
      </w:r>
      <w:r w:rsidRPr="00F6415D">
        <w:rPr>
          <w:rFonts w:ascii="Segoe UI" w:hAnsi="Segoe UI" w:cs="Segoe UI"/>
        </w:rPr>
        <w:fldChar w:fldCharType="end"/>
      </w:r>
      <w:r w:rsidRPr="00F6415D">
        <w:rPr>
          <w:rFonts w:ascii="Segoe UI" w:hAnsi="Segoe UI" w:cs="Segoe UI"/>
        </w:rPr>
        <w:t xml:space="preserve"> below.</w:t>
      </w:r>
    </w:p>
    <w:p w:rsidR="00CE1469" w:rsidRPr="00F6415D" w:rsidRDefault="00CE1469" w:rsidP="00273B05">
      <w:pPr>
        <w:pStyle w:val="TableTitle"/>
        <w:rPr>
          <w:rFonts w:ascii="Segoe UI" w:hAnsi="Segoe UI" w:cs="Segoe UI"/>
          <w:i/>
        </w:rPr>
      </w:pPr>
      <w:bookmarkStart w:id="186" w:name="_Ref530459774"/>
      <w:bookmarkStart w:id="187" w:name="_Ref530577400"/>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4</w:t>
      </w:r>
      <w:r w:rsidRPr="00F6415D">
        <w:rPr>
          <w:rFonts w:ascii="Segoe UI" w:hAnsi="Segoe UI" w:cs="Segoe UI"/>
          <w:i/>
          <w:noProof/>
        </w:rPr>
        <w:fldChar w:fldCharType="end"/>
      </w:r>
      <w:bookmarkEnd w:id="186"/>
      <w:bookmarkEnd w:id="187"/>
      <w:r w:rsidRPr="00F6415D">
        <w:rPr>
          <w:rFonts w:ascii="Segoe UI" w:hAnsi="Segoe UI" w:cs="Segoe UI"/>
          <w:i/>
        </w:rPr>
        <w:t>: Income sources used to pay CHSP and home care fees</w:t>
      </w:r>
    </w:p>
    <w:tbl>
      <w:tblPr>
        <w:tblW w:w="9473" w:type="dxa"/>
        <w:tblLayout w:type="fixed"/>
        <w:tblLook w:val="04A0" w:firstRow="1" w:lastRow="0" w:firstColumn="1" w:lastColumn="0" w:noHBand="0" w:noVBand="1"/>
        <w:tblCaption w:val="Table 4: Income sources used to pay CHSP and home care fees"/>
        <w:tblDescription w:val="Table 4 outlines the income sources used to pay CHSP and home care fees."/>
      </w:tblPr>
      <w:tblGrid>
        <w:gridCol w:w="2368"/>
        <w:gridCol w:w="2368"/>
        <w:gridCol w:w="2368"/>
        <w:gridCol w:w="2369"/>
      </w:tblGrid>
      <w:tr w:rsidR="00CE1469" w:rsidRPr="00F6415D" w:rsidTr="00CE1469">
        <w:trPr>
          <w:trHeight w:val="249"/>
        </w:trPr>
        <w:tc>
          <w:tcPr>
            <w:tcW w:w="2368" w:type="dxa"/>
            <w:tcBorders>
              <w:top w:val="single" w:sz="4" w:space="0" w:color="auto"/>
              <w:left w:val="single" w:sz="4" w:space="0" w:color="auto"/>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Care type</w:t>
            </w:r>
          </w:p>
        </w:tc>
        <w:tc>
          <w:tcPr>
            <w:tcW w:w="2368"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 xml:space="preserve">Most common income/asset source </w:t>
            </w:r>
          </w:p>
        </w:tc>
        <w:tc>
          <w:tcPr>
            <w:tcW w:w="2368"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Second most common income/asset source</w:t>
            </w:r>
          </w:p>
        </w:tc>
        <w:tc>
          <w:tcPr>
            <w:tcW w:w="2369"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 xml:space="preserve">Third most common income/asset source </w:t>
            </w:r>
          </w:p>
        </w:tc>
      </w:tr>
      <w:tr w:rsidR="00CE1469" w:rsidRPr="00F6415D" w:rsidTr="00DC338F">
        <w:trPr>
          <w:trHeight w:val="845"/>
        </w:trPr>
        <w:tc>
          <w:tcPr>
            <w:tcW w:w="2368" w:type="dxa"/>
            <w:tcBorders>
              <w:top w:val="nil"/>
              <w:left w:val="single" w:sz="4" w:space="0" w:color="auto"/>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Government funded in home support</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Age pension (42 per cent)</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Superannuation (10 per cent)</w:t>
            </w:r>
          </w:p>
        </w:tc>
        <w:tc>
          <w:tcPr>
            <w:tcW w:w="2369"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Personal savings and proceeds from selling the family home (6 per cent)</w:t>
            </w:r>
          </w:p>
        </w:tc>
      </w:tr>
      <w:tr w:rsidR="00CE1469" w:rsidRPr="00F6415D" w:rsidTr="00DC338F">
        <w:trPr>
          <w:trHeight w:val="563"/>
        </w:trPr>
        <w:tc>
          <w:tcPr>
            <w:tcW w:w="2368" w:type="dxa"/>
            <w:tcBorders>
              <w:top w:val="nil"/>
              <w:left w:val="single" w:sz="4" w:space="0" w:color="auto"/>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Government funded home care package</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Age pension (63 per cent)</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Superannuation (15 per cent)</w:t>
            </w:r>
          </w:p>
        </w:tc>
        <w:tc>
          <w:tcPr>
            <w:tcW w:w="2369" w:type="dxa"/>
            <w:tcBorders>
              <w:top w:val="nil"/>
              <w:left w:val="nil"/>
              <w:bottom w:val="single" w:sz="4" w:space="0" w:color="auto"/>
              <w:right w:val="single" w:sz="4" w:space="0" w:color="auto"/>
            </w:tcBorders>
            <w:shd w:val="clear" w:color="auto" w:fill="auto"/>
            <w:vAlign w:val="bottom"/>
            <w:hideMark/>
          </w:tcPr>
          <w:p w:rsidR="00602368" w:rsidRPr="00F6415D" w:rsidRDefault="00CE1469" w:rsidP="00DC338F">
            <w:pPr>
              <w:pStyle w:val="Tabletext1"/>
              <w:rPr>
                <w:rFonts w:ascii="Segoe UI" w:hAnsi="Segoe UI" w:cs="Segoe UI"/>
              </w:rPr>
            </w:pPr>
            <w:r w:rsidRPr="00F6415D">
              <w:rPr>
                <w:rFonts w:ascii="Segoe UI" w:hAnsi="Segoe UI" w:cs="Segoe UI"/>
              </w:rPr>
              <w:t xml:space="preserve">Proceeds from selling the family home (6 per cent) </w:t>
            </w:r>
          </w:p>
        </w:tc>
      </w:tr>
    </w:tbl>
    <w:p w:rsidR="00CE1469" w:rsidRPr="00F6415D" w:rsidRDefault="00CE1469" w:rsidP="002056EC">
      <w:pPr>
        <w:pStyle w:val="Heading4"/>
        <w:rPr>
          <w:rFonts w:ascii="Segoe UI" w:eastAsia="Segoe UI" w:hAnsi="Segoe UI" w:cs="Segoe UI"/>
        </w:rPr>
      </w:pPr>
      <w:r w:rsidRPr="00F6415D">
        <w:rPr>
          <w:rFonts w:ascii="Segoe UI" w:eastAsia="Segoe UI" w:hAnsi="Segoe UI" w:cs="Segoe UI"/>
        </w:rPr>
        <w:t>Paying for residential aged care fees</w:t>
      </w:r>
    </w:p>
    <w:p w:rsidR="00CE1469" w:rsidRDefault="00CE1469" w:rsidP="002056EC">
      <w:pPr>
        <w:pStyle w:val="BodyText"/>
        <w:rPr>
          <w:rFonts w:ascii="Segoe UI" w:hAnsi="Segoe UI" w:cs="Segoe UI"/>
        </w:rPr>
      </w:pPr>
      <w:r w:rsidRPr="00F6415D">
        <w:rPr>
          <w:rFonts w:ascii="Segoe UI" w:hAnsi="Segoe UI" w:cs="Segoe UI"/>
        </w:rPr>
        <w:t xml:space="preserve">Consumers have a range of options to pay for their residential aged care costs. </w:t>
      </w:r>
      <w:r w:rsidRPr="00F6415D">
        <w:rPr>
          <w:rFonts w:ascii="Segoe UI" w:hAnsi="Segoe UI" w:cs="Segoe UI"/>
        </w:rPr>
        <w:fldChar w:fldCharType="begin"/>
      </w:r>
      <w:r w:rsidRPr="00F6415D">
        <w:rPr>
          <w:rFonts w:ascii="Segoe UI" w:hAnsi="Segoe UI" w:cs="Segoe UI"/>
        </w:rPr>
        <w:instrText xml:space="preserve"> REF _Ref530577536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5</w:t>
      </w:r>
      <w:r w:rsidRPr="00F6415D">
        <w:rPr>
          <w:rFonts w:ascii="Segoe UI" w:hAnsi="Segoe UI" w:cs="Segoe UI"/>
        </w:rPr>
        <w:fldChar w:fldCharType="end"/>
      </w:r>
      <w:r w:rsidRPr="00F6415D">
        <w:rPr>
          <w:rFonts w:ascii="Segoe UI" w:hAnsi="Segoe UI" w:cs="Segoe UI"/>
        </w:rPr>
        <w:t xml:space="preserve"> below shows the main income sources used to residential aged care fees.</w:t>
      </w:r>
    </w:p>
    <w:p w:rsidR="00CE1469" w:rsidRPr="00F6415D" w:rsidRDefault="00CE1469" w:rsidP="002056EC">
      <w:pPr>
        <w:pStyle w:val="BodyText"/>
        <w:rPr>
          <w:rFonts w:ascii="Segoe UI" w:hAnsi="Segoe UI" w:cs="Segoe UI"/>
        </w:rPr>
      </w:pPr>
      <w:r w:rsidRPr="00F6415D">
        <w:rPr>
          <w:rFonts w:ascii="Segoe UI" w:hAnsi="Segoe UI" w:cs="Segoe UI"/>
        </w:rPr>
        <w:t xml:space="preserve">The diagram at Appendix C illustrates how consumers are paying for particular costs based on responses from the survey. There are a variety of methods an individual can use to fund aged care; the diagram is based on the most frequent responses. </w:t>
      </w:r>
    </w:p>
    <w:p w:rsidR="00CE1469" w:rsidRPr="00F6415D" w:rsidRDefault="00CE1469" w:rsidP="002056EC">
      <w:pPr>
        <w:pStyle w:val="BodyText"/>
        <w:rPr>
          <w:rFonts w:ascii="Segoe UI" w:hAnsi="Segoe UI" w:cs="Segoe UI"/>
        </w:rPr>
      </w:pPr>
      <w:r w:rsidRPr="00F6415D">
        <w:rPr>
          <w:rFonts w:ascii="Segoe UI" w:hAnsi="Segoe UI" w:cs="Segoe UI"/>
        </w:rPr>
        <w:t xml:space="preserve">All residents pay a basic daily care fee and may also be asked to pay a means-tested care fee as well as an extra services fee or additional service fee. For these ongoing costs, the age pension, superannuation/income streams and personal savings were the most frequently used to fund the service, as per </w:t>
      </w:r>
      <w:r w:rsidRPr="00F6415D">
        <w:rPr>
          <w:rFonts w:ascii="Segoe UI" w:hAnsi="Segoe UI" w:cs="Segoe UI"/>
        </w:rPr>
        <w:fldChar w:fldCharType="begin"/>
      </w:r>
      <w:r w:rsidRPr="00F6415D">
        <w:rPr>
          <w:rFonts w:ascii="Segoe UI" w:hAnsi="Segoe UI" w:cs="Segoe UI"/>
        </w:rPr>
        <w:instrText xml:space="preserve"> REF _Ref530577536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5</w:t>
      </w:r>
      <w:r w:rsidRPr="00F6415D">
        <w:rPr>
          <w:rFonts w:ascii="Segoe UI" w:hAnsi="Segoe UI" w:cs="Segoe UI"/>
        </w:rPr>
        <w:fldChar w:fldCharType="end"/>
      </w:r>
      <w:r w:rsidRPr="00F6415D">
        <w:rPr>
          <w:rFonts w:ascii="Segoe UI" w:hAnsi="Segoe UI" w:cs="Segoe UI"/>
        </w:rPr>
        <w:t xml:space="preserve"> below. In addition, consumers need to pay personal expenses, health insurance premiums and ongoing home costs if the home is still retained.</w:t>
      </w:r>
    </w:p>
    <w:p w:rsidR="00CE1469" w:rsidRPr="00F6415D" w:rsidRDefault="00CE1469" w:rsidP="00B730EC">
      <w:pPr>
        <w:pStyle w:val="TableTitle"/>
        <w:rPr>
          <w:rFonts w:ascii="Segoe UI" w:hAnsi="Segoe UI" w:cs="Segoe UI"/>
          <w:i/>
        </w:rPr>
      </w:pPr>
      <w:bookmarkStart w:id="188" w:name="_Ref530459818"/>
      <w:bookmarkStart w:id="189" w:name="_Ref530577536"/>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5</w:t>
      </w:r>
      <w:r w:rsidRPr="00F6415D">
        <w:rPr>
          <w:rFonts w:ascii="Segoe UI" w:hAnsi="Segoe UI" w:cs="Segoe UI"/>
          <w:i/>
          <w:noProof/>
        </w:rPr>
        <w:fldChar w:fldCharType="end"/>
      </w:r>
      <w:bookmarkEnd w:id="188"/>
      <w:bookmarkEnd w:id="189"/>
      <w:r w:rsidRPr="00F6415D">
        <w:rPr>
          <w:rFonts w:ascii="Segoe UI" w:hAnsi="Segoe UI" w:cs="Segoe UI"/>
          <w:i/>
        </w:rPr>
        <w:t>: Income sources used to pay residential aged care fees</w:t>
      </w:r>
    </w:p>
    <w:tbl>
      <w:tblPr>
        <w:tblW w:w="9473" w:type="dxa"/>
        <w:tblLayout w:type="fixed"/>
        <w:tblLook w:val="04A0" w:firstRow="1" w:lastRow="0" w:firstColumn="1" w:lastColumn="0" w:noHBand="0" w:noVBand="1"/>
        <w:tblCaption w:val="Table 5: Income sources used to pay residential aged care fees"/>
        <w:tblDescription w:val="Table 5 outlines the income sources used to pay residential aged care fees."/>
      </w:tblPr>
      <w:tblGrid>
        <w:gridCol w:w="2368"/>
        <w:gridCol w:w="2368"/>
        <w:gridCol w:w="2368"/>
        <w:gridCol w:w="2369"/>
      </w:tblGrid>
      <w:tr w:rsidR="00CE1469" w:rsidRPr="00F6415D" w:rsidTr="00CE1469">
        <w:trPr>
          <w:trHeight w:val="249"/>
        </w:trPr>
        <w:tc>
          <w:tcPr>
            <w:tcW w:w="2368" w:type="dxa"/>
            <w:tcBorders>
              <w:top w:val="single" w:sz="4" w:space="0" w:color="auto"/>
              <w:left w:val="single" w:sz="4" w:space="0" w:color="auto"/>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Care type</w:t>
            </w:r>
          </w:p>
        </w:tc>
        <w:tc>
          <w:tcPr>
            <w:tcW w:w="2368"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 xml:space="preserve">Most common income/asset source </w:t>
            </w:r>
          </w:p>
        </w:tc>
        <w:tc>
          <w:tcPr>
            <w:tcW w:w="2368"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Second most common income/asset source</w:t>
            </w:r>
          </w:p>
        </w:tc>
        <w:tc>
          <w:tcPr>
            <w:tcW w:w="2369" w:type="dxa"/>
            <w:tcBorders>
              <w:top w:val="single" w:sz="4" w:space="0" w:color="auto"/>
              <w:left w:val="nil"/>
              <w:bottom w:val="single" w:sz="4" w:space="0" w:color="auto"/>
              <w:right w:val="single" w:sz="4" w:space="0" w:color="auto"/>
            </w:tcBorders>
            <w:shd w:val="clear" w:color="000000" w:fill="002060"/>
            <w:noWrap/>
            <w:vAlign w:val="bottom"/>
            <w:hideMark/>
          </w:tcPr>
          <w:p w:rsidR="00CE1469" w:rsidRPr="00F6415D" w:rsidRDefault="00CE1469" w:rsidP="00DC338F">
            <w:pPr>
              <w:pStyle w:val="Tableheading"/>
              <w:rPr>
                <w:rFonts w:ascii="Segoe UI" w:hAnsi="Segoe UI" w:cs="Segoe UI"/>
                <w:lang w:eastAsia="en-AU"/>
              </w:rPr>
            </w:pPr>
            <w:r w:rsidRPr="00F6415D">
              <w:rPr>
                <w:rFonts w:ascii="Segoe UI" w:hAnsi="Segoe UI" w:cs="Segoe UI"/>
                <w:lang w:eastAsia="en-AU"/>
              </w:rPr>
              <w:t xml:space="preserve">Third most common income/asset source </w:t>
            </w:r>
          </w:p>
        </w:tc>
      </w:tr>
      <w:tr w:rsidR="00CE1469" w:rsidRPr="00F6415D" w:rsidTr="00DC338F">
        <w:trPr>
          <w:trHeight w:val="563"/>
        </w:trPr>
        <w:tc>
          <w:tcPr>
            <w:tcW w:w="2368" w:type="dxa"/>
            <w:tcBorders>
              <w:top w:val="nil"/>
              <w:left w:val="single" w:sz="4" w:space="0" w:color="auto"/>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lastRenderedPageBreak/>
              <w:t>Government funded residential aged care</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Age pension (50 per cent)</w:t>
            </w:r>
          </w:p>
        </w:tc>
        <w:tc>
          <w:tcPr>
            <w:tcW w:w="2368"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Superannuation (20 per cent)</w:t>
            </w:r>
          </w:p>
        </w:tc>
        <w:tc>
          <w:tcPr>
            <w:tcW w:w="2369" w:type="dxa"/>
            <w:tcBorders>
              <w:top w:val="nil"/>
              <w:left w:val="nil"/>
              <w:bottom w:val="single" w:sz="4" w:space="0" w:color="auto"/>
              <w:right w:val="single" w:sz="4" w:space="0" w:color="auto"/>
            </w:tcBorders>
            <w:shd w:val="clear" w:color="auto" w:fill="auto"/>
            <w:vAlign w:val="bottom"/>
            <w:hideMark/>
          </w:tcPr>
          <w:p w:rsidR="00CE1469" w:rsidRPr="00F6415D" w:rsidRDefault="00CE1469" w:rsidP="00DC338F">
            <w:pPr>
              <w:pStyle w:val="Tabletext1"/>
              <w:rPr>
                <w:rFonts w:ascii="Segoe UI" w:hAnsi="Segoe UI" w:cs="Segoe UI"/>
              </w:rPr>
            </w:pPr>
            <w:r w:rsidRPr="00F6415D">
              <w:rPr>
                <w:rFonts w:ascii="Segoe UI" w:hAnsi="Segoe UI" w:cs="Segoe UI"/>
              </w:rPr>
              <w:t>Personal savings and proceeds from selling the family home (10 per cent)</w:t>
            </w:r>
          </w:p>
        </w:tc>
      </w:tr>
    </w:tbl>
    <w:p w:rsidR="00CE1469" w:rsidRPr="00F6415D" w:rsidRDefault="00CE1469" w:rsidP="002056EC">
      <w:pPr>
        <w:pStyle w:val="Heading4"/>
        <w:rPr>
          <w:rFonts w:ascii="Segoe UI" w:eastAsia="Segoe UI" w:hAnsi="Segoe UI" w:cs="Segoe UI"/>
        </w:rPr>
      </w:pPr>
      <w:r w:rsidRPr="00F6415D">
        <w:rPr>
          <w:rFonts w:ascii="Segoe UI" w:eastAsia="Segoe UI" w:hAnsi="Segoe UI" w:cs="Segoe UI"/>
        </w:rPr>
        <w:t>Paying for residential aged care accommodation costs</w:t>
      </w:r>
    </w:p>
    <w:p w:rsidR="00CE1469" w:rsidRPr="00F6415D" w:rsidRDefault="00CE1469" w:rsidP="002056EC">
      <w:pPr>
        <w:pStyle w:val="BodyText"/>
        <w:rPr>
          <w:rFonts w:ascii="Segoe UI" w:hAnsi="Segoe UI" w:cs="Segoe UI"/>
          <w:lang w:val="en-GB"/>
        </w:rPr>
      </w:pPr>
      <w:bookmarkStart w:id="190" w:name="_Toc528224259"/>
      <w:bookmarkStart w:id="191" w:name="_Toc528861141"/>
      <w:bookmarkStart w:id="192" w:name="_Toc529890584"/>
      <w:bookmarkStart w:id="193" w:name="_Toc527561556"/>
      <w:bookmarkStart w:id="194" w:name="_Toc527564630"/>
      <w:bookmarkStart w:id="195" w:name="_Toc522190404"/>
      <w:bookmarkStart w:id="196" w:name="_Toc523408256"/>
      <w:bookmarkStart w:id="197" w:name="_Toc523482237"/>
      <w:bookmarkEnd w:id="185"/>
      <w:r w:rsidRPr="00F6415D">
        <w:rPr>
          <w:rFonts w:ascii="Segoe UI" w:hAnsi="Segoe UI" w:cs="Segoe UI"/>
        </w:rPr>
        <w:t>Analysis was undertaken to determine how consumers choose to pay for their accommodation in residential aged care.</w:t>
      </w:r>
      <w:r w:rsidRPr="00F6415D">
        <w:rPr>
          <w:rFonts w:ascii="Segoe UI" w:hAnsi="Segoe UI" w:cs="Segoe UI"/>
          <w:lang w:val="en-GB"/>
        </w:rPr>
        <w:t xml:space="preserve"> The consumer survey (see </w:t>
      </w:r>
      <w:r w:rsidRPr="00F6415D">
        <w:rPr>
          <w:rFonts w:ascii="Segoe UI" w:hAnsi="Segoe UI" w:cs="Segoe UI"/>
          <w:lang w:val="en-GB"/>
        </w:rPr>
        <w:fldChar w:fldCharType="begin"/>
      </w:r>
      <w:r w:rsidRPr="00F6415D">
        <w:rPr>
          <w:rFonts w:ascii="Segoe UI" w:hAnsi="Segoe UI" w:cs="Segoe UI"/>
          <w:lang w:val="en-GB"/>
        </w:rPr>
        <w:instrText xml:space="preserve"> REF _Ref530577597 \h </w:instrText>
      </w:r>
      <w:r w:rsidR="00E12DF5" w:rsidRPr="00F6415D">
        <w:rPr>
          <w:rFonts w:ascii="Segoe UI" w:hAnsi="Segoe UI" w:cs="Segoe UI"/>
          <w:lang w:val="en-GB"/>
        </w:rPr>
        <w:instrText xml:space="preserve"> \* MERGEFORMAT </w:instrText>
      </w:r>
      <w:r w:rsidRPr="00F6415D">
        <w:rPr>
          <w:rFonts w:ascii="Segoe UI" w:hAnsi="Segoe UI" w:cs="Segoe UI"/>
          <w:lang w:val="en-GB"/>
        </w:rPr>
      </w:r>
      <w:r w:rsidRPr="00F6415D">
        <w:rPr>
          <w:rFonts w:ascii="Segoe UI" w:hAnsi="Segoe UI" w:cs="Segoe UI"/>
          <w:lang w:val="en-GB"/>
        </w:rPr>
        <w:fldChar w:fldCharType="separate"/>
      </w:r>
      <w:r w:rsidR="00C40CA4" w:rsidRPr="00C40CA4">
        <w:rPr>
          <w:rFonts w:ascii="Segoe UI" w:hAnsi="Segoe UI" w:cs="Segoe UI"/>
          <w:color w:val="4A442A" w:themeColor="background2" w:themeShade="40"/>
        </w:rPr>
        <w:t xml:space="preserve">Figure </w:t>
      </w:r>
      <w:r w:rsidR="00C40CA4" w:rsidRPr="00C40CA4">
        <w:rPr>
          <w:rFonts w:ascii="Segoe UI" w:hAnsi="Segoe UI" w:cs="Segoe UI"/>
          <w:noProof/>
          <w:color w:val="4A442A" w:themeColor="background2" w:themeShade="40"/>
        </w:rPr>
        <w:t>5</w:t>
      </w:r>
      <w:r w:rsidRPr="00F6415D">
        <w:rPr>
          <w:rFonts w:ascii="Segoe UI" w:hAnsi="Segoe UI" w:cs="Segoe UI"/>
          <w:lang w:val="en-GB"/>
        </w:rPr>
        <w:fldChar w:fldCharType="end"/>
      </w:r>
      <w:r w:rsidRPr="00F6415D">
        <w:rPr>
          <w:rFonts w:ascii="Segoe UI" w:hAnsi="Segoe UI" w:cs="Segoe UI"/>
          <w:lang w:val="en-GB"/>
        </w:rPr>
        <w:t>) indicated that consumers most commonly use a combination of lump sums and daily payments (30 per cent). This is higher than data in the 2018 ACFA Annual Report which shows 22 per cent of accommodation payments in 2016</w:t>
      </w:r>
      <w:r w:rsidRPr="00F6415D">
        <w:rPr>
          <w:rFonts w:ascii="Segoe UI" w:hAnsi="Segoe UI" w:cs="Segoe UI"/>
          <w:lang w:val="en-GB"/>
        </w:rPr>
        <w:noBreakHyphen/>
        <w:t xml:space="preserve">17 were paid for as a combination (see </w:t>
      </w:r>
      <w:r w:rsidRPr="00F6415D">
        <w:rPr>
          <w:rFonts w:ascii="Segoe UI" w:hAnsi="Segoe UI" w:cs="Segoe UI"/>
          <w:lang w:val="en-GB"/>
        </w:rPr>
        <w:fldChar w:fldCharType="begin"/>
      </w:r>
      <w:r w:rsidRPr="00F6415D">
        <w:rPr>
          <w:rFonts w:ascii="Segoe UI" w:hAnsi="Segoe UI" w:cs="Segoe UI"/>
          <w:lang w:val="en-GB"/>
        </w:rPr>
        <w:instrText xml:space="preserve"> REF _Ref530577620 \h </w:instrText>
      </w:r>
      <w:r w:rsidR="00E12DF5" w:rsidRPr="00F6415D">
        <w:rPr>
          <w:rFonts w:ascii="Segoe UI" w:hAnsi="Segoe UI" w:cs="Segoe UI"/>
          <w:lang w:val="en-GB"/>
        </w:rPr>
        <w:instrText xml:space="preserve"> \* MERGEFORMAT </w:instrText>
      </w:r>
      <w:r w:rsidRPr="00F6415D">
        <w:rPr>
          <w:rFonts w:ascii="Segoe UI" w:hAnsi="Segoe UI" w:cs="Segoe UI"/>
          <w:lang w:val="en-GB"/>
        </w:rPr>
      </w:r>
      <w:r w:rsidRPr="00F6415D">
        <w:rPr>
          <w:rFonts w:ascii="Segoe UI" w:hAnsi="Segoe UI" w:cs="Segoe UI"/>
          <w:lang w:val="en-GB"/>
        </w:rPr>
        <w:fldChar w:fldCharType="separate"/>
      </w:r>
      <w:r w:rsidR="00C40CA4" w:rsidRPr="00C40CA4">
        <w:rPr>
          <w:rFonts w:ascii="Segoe UI" w:hAnsi="Segoe UI" w:cs="Segoe UI"/>
        </w:rPr>
        <w:t xml:space="preserve">Figure </w:t>
      </w:r>
      <w:r w:rsidR="00C40CA4" w:rsidRPr="00C40CA4">
        <w:rPr>
          <w:rFonts w:ascii="Segoe UI" w:hAnsi="Segoe UI" w:cs="Segoe UI"/>
          <w:noProof/>
        </w:rPr>
        <w:t>6</w:t>
      </w:r>
      <w:r w:rsidRPr="00F6415D">
        <w:rPr>
          <w:rFonts w:ascii="Segoe UI" w:hAnsi="Segoe UI" w:cs="Segoe UI"/>
          <w:lang w:val="en-GB"/>
        </w:rPr>
        <w:fldChar w:fldCharType="end"/>
      </w:r>
      <w:r w:rsidRPr="00F6415D">
        <w:rPr>
          <w:rFonts w:ascii="Segoe UI" w:hAnsi="Segoe UI" w:cs="Segoe UI"/>
          <w:lang w:val="en-GB"/>
        </w:rPr>
        <w:t xml:space="preserve">). </w:t>
      </w:r>
    </w:p>
    <w:p w:rsidR="00CE1469" w:rsidRPr="00F6415D" w:rsidRDefault="00CE1469" w:rsidP="00B730EC">
      <w:pPr>
        <w:pStyle w:val="FigureTitle"/>
        <w:rPr>
          <w:rFonts w:ascii="Segoe UI" w:hAnsi="Segoe UI" w:cs="Segoe UI"/>
          <w:i/>
        </w:rPr>
      </w:pPr>
      <w:bookmarkStart w:id="198" w:name="_Ref530577597"/>
      <w:r w:rsidRPr="00F6415D">
        <w:rPr>
          <w:rFonts w:ascii="Segoe UI" w:hAnsi="Segoe UI" w:cs="Segoe UI"/>
          <w:i/>
        </w:rPr>
        <w:t xml:space="preserve">Figure </w:t>
      </w:r>
      <w:r w:rsidRPr="00F6415D">
        <w:rPr>
          <w:rFonts w:ascii="Segoe UI" w:hAnsi="Segoe UI" w:cs="Segoe UI"/>
          <w:i/>
        </w:rPr>
        <w:fldChar w:fldCharType="begin"/>
      </w:r>
      <w:r w:rsidRPr="00F6415D">
        <w:rPr>
          <w:rFonts w:ascii="Segoe UI" w:hAnsi="Segoe UI" w:cs="Segoe UI"/>
          <w:i/>
        </w:rPr>
        <w:instrText xml:space="preserve"> SEQ Figure \* ARABIC </w:instrText>
      </w:r>
      <w:r w:rsidRPr="00F6415D">
        <w:rPr>
          <w:rFonts w:ascii="Segoe UI" w:hAnsi="Segoe UI" w:cs="Segoe UI"/>
          <w:i/>
        </w:rPr>
        <w:fldChar w:fldCharType="separate"/>
      </w:r>
      <w:r w:rsidR="00C40CA4">
        <w:rPr>
          <w:rFonts w:ascii="Segoe UI" w:hAnsi="Segoe UI" w:cs="Segoe UI"/>
          <w:i/>
          <w:noProof/>
        </w:rPr>
        <w:t>5</w:t>
      </w:r>
      <w:r w:rsidRPr="00F6415D">
        <w:rPr>
          <w:rFonts w:ascii="Segoe UI" w:hAnsi="Segoe UI" w:cs="Segoe UI"/>
          <w:i/>
        </w:rPr>
        <w:fldChar w:fldCharType="end"/>
      </w:r>
      <w:bookmarkEnd w:id="198"/>
      <w:r w:rsidRPr="00F6415D">
        <w:rPr>
          <w:rFonts w:ascii="Segoe UI" w:hAnsi="Segoe UI" w:cs="Segoe UI"/>
          <w:i/>
        </w:rPr>
        <w:t>: Consumer funding of accommodation in residential care</w:t>
      </w:r>
    </w:p>
    <w:p w:rsidR="00CE1469" w:rsidRPr="00F6415D" w:rsidRDefault="00F07776" w:rsidP="002056EC">
      <w:pPr>
        <w:pStyle w:val="BodyText"/>
        <w:rPr>
          <w:rFonts w:ascii="Segoe UI" w:hAnsi="Segoe UI" w:cs="Segoe UI"/>
        </w:rPr>
      </w:pPr>
      <w:r w:rsidRPr="00F6415D">
        <w:rPr>
          <w:rFonts w:ascii="Segoe UI" w:hAnsi="Segoe UI" w:cs="Segoe UI"/>
          <w:noProof/>
          <w:lang w:eastAsia="en-AU"/>
        </w:rPr>
        <w:drawing>
          <wp:inline distT="0" distB="0" distL="0" distR="0" wp14:anchorId="2E2A1B90">
            <wp:extent cx="4450715" cy="2798445"/>
            <wp:effectExtent l="0" t="0" r="0" b="0"/>
            <wp:docPr id="20" name="Picture 20" descr="Figure 5, a bar chart, outlines consumer funding of accommodation in residential care as a percentage. " title="Figure 5: Consumer funding of accommodation in residential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450715" cy="2798445"/>
                    </a:xfrm>
                    <a:prstGeom prst="rect">
                      <a:avLst/>
                    </a:prstGeom>
                    <a:noFill/>
                  </pic:spPr>
                </pic:pic>
              </a:graphicData>
            </a:graphic>
          </wp:inline>
        </w:drawing>
      </w:r>
    </w:p>
    <w:p w:rsidR="00CE1469" w:rsidRPr="00F6415D" w:rsidRDefault="00CE1469" w:rsidP="002056EC">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B730EC">
      <w:pPr>
        <w:pStyle w:val="FigureTitle"/>
        <w:rPr>
          <w:rFonts w:ascii="Segoe UI" w:hAnsi="Segoe UI" w:cs="Segoe UI"/>
          <w:i/>
        </w:rPr>
      </w:pPr>
      <w:bookmarkStart w:id="199" w:name="_Ref530577620"/>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6</w:t>
      </w:r>
      <w:r w:rsidRPr="00F6415D">
        <w:rPr>
          <w:rFonts w:ascii="Segoe UI" w:hAnsi="Segoe UI" w:cs="Segoe UI"/>
          <w:i/>
          <w:noProof/>
        </w:rPr>
        <w:fldChar w:fldCharType="end"/>
      </w:r>
      <w:bookmarkEnd w:id="199"/>
      <w:r w:rsidRPr="00F6415D">
        <w:rPr>
          <w:rFonts w:ascii="Segoe UI" w:hAnsi="Segoe UI" w:cs="Segoe UI"/>
          <w:i/>
        </w:rPr>
        <w:t>: Resident method of accommodation payment, June 2015 to June 2017</w:t>
      </w:r>
    </w:p>
    <w:p w:rsidR="00B43769" w:rsidRPr="00E946CE" w:rsidRDefault="00B43769" w:rsidP="00E946CE">
      <w:r w:rsidRPr="00F6415D">
        <w:rPr>
          <w:noProof/>
          <w:lang w:eastAsia="en-AU"/>
        </w:rPr>
        <w:drawing>
          <wp:inline distT="0" distB="0" distL="0" distR="0" wp14:anchorId="3D246E0A" wp14:editId="399E401D">
            <wp:extent cx="5448300" cy="1885950"/>
            <wp:effectExtent l="0" t="0" r="0" b="0"/>
            <wp:docPr id="3" name="Picture 3" descr="Figure 6, a bar chart, outlines resident methods of accommodation payment from June 2015 to June 2017 for  RAD/RAC, DAP/DAC, and a combination of both. " title="Figure 6: Resident method of accommodation payment, June 2015 to Jun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zc0004\AppData\Local\Microsoft\Windows\Temporary Internet Files\Content.Outlook\6DIYYC82\Chart_4.2 (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48300" cy="1885950"/>
                    </a:xfrm>
                    <a:prstGeom prst="rect">
                      <a:avLst/>
                    </a:prstGeom>
                    <a:noFill/>
                    <a:ln>
                      <a:noFill/>
                    </a:ln>
                  </pic:spPr>
                </pic:pic>
              </a:graphicData>
            </a:graphic>
          </wp:inline>
        </w:drawing>
      </w:r>
    </w:p>
    <w:p w:rsidR="00CE1469" w:rsidRPr="00F6415D" w:rsidRDefault="00CE1469" w:rsidP="002056EC">
      <w:pPr>
        <w:pStyle w:val="BodyText"/>
        <w:rPr>
          <w:rFonts w:ascii="Segoe UI" w:hAnsi="Segoe UI" w:cs="Segoe UI"/>
        </w:rPr>
      </w:pPr>
      <w:r w:rsidRPr="00F6415D">
        <w:rPr>
          <w:rFonts w:ascii="Segoe UI" w:hAnsi="Segoe UI" w:cs="Segoe UI"/>
        </w:rPr>
        <w:t>Source: 2018 ACFA Annual Report on Funding and Financing of the Aged Care Sector</w:t>
      </w:r>
    </w:p>
    <w:p w:rsidR="00CE1469" w:rsidRPr="00F6415D" w:rsidRDefault="00CE1469" w:rsidP="002056EC">
      <w:pPr>
        <w:pStyle w:val="BodyText"/>
        <w:rPr>
          <w:rFonts w:ascii="Segoe UI" w:hAnsi="Segoe UI" w:cs="Segoe UI"/>
          <w:lang w:val="en-GB"/>
        </w:rPr>
      </w:pPr>
      <w:r w:rsidRPr="00F6415D">
        <w:rPr>
          <w:rFonts w:ascii="Segoe UI" w:hAnsi="Segoe UI" w:cs="Segoe UI"/>
          <w:lang w:val="en-GB"/>
        </w:rPr>
        <w:lastRenderedPageBreak/>
        <w:t>A number of factors were identified as potentially influencing the decision around how to pay the accommodation payment. These include; the rate of the MPIR</w:t>
      </w:r>
      <w:r w:rsidRPr="00F6415D">
        <w:rPr>
          <w:rStyle w:val="FootnoteReference"/>
          <w:rFonts w:ascii="Segoe UI" w:hAnsi="Segoe UI" w:cs="Segoe UI"/>
          <w:color w:val="313131"/>
          <w:lang w:val="en-GB"/>
        </w:rPr>
        <w:footnoteReference w:id="1"/>
      </w:r>
      <w:r w:rsidRPr="00F6415D">
        <w:rPr>
          <w:rFonts w:ascii="Segoe UI" w:hAnsi="Segoe UI" w:cs="Segoe UI"/>
          <w:lang w:val="en-GB"/>
        </w:rPr>
        <w:t xml:space="preserve"> (if interest rates fall, equivalent daily payments will fall and vice versa), expected length of stay (if shorter then more likely to pay by daily payment), personal financial circumstances and the length of time it takes to sell the family home.</w:t>
      </w:r>
    </w:p>
    <w:p w:rsidR="00CE1469" w:rsidRPr="00F6415D" w:rsidRDefault="00CE1469" w:rsidP="002056EC">
      <w:pPr>
        <w:pStyle w:val="BodyText"/>
        <w:rPr>
          <w:rFonts w:ascii="Segoe UI" w:hAnsi="Segoe UI" w:cs="Segoe UI"/>
          <w:lang w:val="en-GB"/>
        </w:rPr>
      </w:pPr>
      <w:r w:rsidRPr="00F6415D">
        <w:rPr>
          <w:rFonts w:ascii="Segoe UI" w:hAnsi="Segoe UI" w:cs="Segoe UI"/>
          <w:lang w:val="en-GB"/>
        </w:rPr>
        <w:t>Finally, low-means consumers often do not have the liquid assets to pay the refundable accommodation contribution (RAC) and may need to pay the daily accommodation contribution (DAC) or choose a combination option. In addition, the methodology for calculating the accommodation contribution payable by partially supported residents means the amount payable will fluctuate. As a result, consumers within the RAC/DAC space generally pay for accommodation via a daily payment or combination model.</w:t>
      </w:r>
    </w:p>
    <w:p w:rsidR="00CE1469" w:rsidRPr="00F6415D" w:rsidRDefault="00CE1469" w:rsidP="002056EC">
      <w:pPr>
        <w:pStyle w:val="BodyText"/>
        <w:rPr>
          <w:rFonts w:ascii="Segoe UI" w:hAnsi="Segoe UI" w:cs="Segoe UI"/>
          <w:lang w:val="en-GB"/>
        </w:rPr>
      </w:pPr>
      <w:r w:rsidRPr="00F6415D">
        <w:rPr>
          <w:rFonts w:ascii="Segoe UI" w:hAnsi="Segoe UI" w:cs="Segoe UI"/>
          <w:lang w:val="en-GB"/>
        </w:rPr>
        <w:t>Low means consumers who are members of a couple may not be comfortable locking away money in the form of a lump sum and depriving their partner of access to those funds, preferring to utilise the daily and combination options.</w:t>
      </w:r>
    </w:p>
    <w:p w:rsidR="00CE1469" w:rsidRPr="00F6415D" w:rsidRDefault="00CE1469" w:rsidP="002056EC">
      <w:pPr>
        <w:pStyle w:val="Heading3"/>
        <w:rPr>
          <w:rFonts w:ascii="Segoe UI" w:eastAsia="Segoe UI" w:hAnsi="Segoe UI" w:cs="Segoe UI"/>
        </w:rPr>
      </w:pPr>
      <w:bookmarkStart w:id="200" w:name="_Ref530742344"/>
      <w:bookmarkStart w:id="201" w:name="_Toc531271090"/>
      <w:bookmarkStart w:id="202" w:name="_Toc532206386"/>
      <w:r w:rsidRPr="00F6415D">
        <w:rPr>
          <w:rFonts w:ascii="Segoe UI" w:eastAsia="Segoe UI" w:hAnsi="Segoe UI" w:cs="Segoe UI"/>
        </w:rPr>
        <w:t>Wealth profile of consumers</w:t>
      </w:r>
      <w:bookmarkEnd w:id="190"/>
      <w:bookmarkEnd w:id="191"/>
      <w:bookmarkEnd w:id="192"/>
      <w:bookmarkEnd w:id="200"/>
      <w:bookmarkEnd w:id="201"/>
      <w:bookmarkEnd w:id="202"/>
    </w:p>
    <w:p w:rsidR="00CE1469" w:rsidRPr="00F6415D" w:rsidRDefault="00CE1469" w:rsidP="002056EC">
      <w:pPr>
        <w:pStyle w:val="BodyText"/>
        <w:rPr>
          <w:rFonts w:ascii="Segoe UI" w:hAnsi="Segoe UI" w:cs="Segoe UI"/>
        </w:rPr>
      </w:pPr>
      <w:r w:rsidRPr="00F6415D">
        <w:rPr>
          <w:rFonts w:ascii="Segoe UI" w:hAnsi="Segoe UI" w:cs="Segoe UI"/>
        </w:rPr>
        <w:t>Reviewing consumers’ income levels, income sources, home ownership status and ownership of other assets, will aid in building the wealth profile of senior Australians. This profile can then be used to determine consumers’ ability to pay their aged care fees, be it through current income sources, accessing equity within their home, or liquidating other assets.</w:t>
      </w:r>
    </w:p>
    <w:p w:rsidR="00CE1469" w:rsidRPr="00F6415D" w:rsidRDefault="00CE1469" w:rsidP="002056EC">
      <w:pPr>
        <w:pStyle w:val="Heading4"/>
        <w:rPr>
          <w:rFonts w:ascii="Segoe UI" w:eastAsia="Segoe UI" w:hAnsi="Segoe UI" w:cs="Segoe UI"/>
        </w:rPr>
      </w:pPr>
      <w:r w:rsidRPr="00F6415D">
        <w:rPr>
          <w:rFonts w:ascii="Segoe UI" w:eastAsia="Segoe UI" w:hAnsi="Segoe UI" w:cs="Segoe UI"/>
        </w:rPr>
        <w:t xml:space="preserve">Income status </w:t>
      </w:r>
      <w:r w:rsidRPr="00F6415D">
        <w:rPr>
          <w:rFonts w:ascii="Segoe UI" w:hAnsi="Segoe UI" w:cs="Segoe UI"/>
        </w:rPr>
        <w:t>of respondents</w:t>
      </w:r>
      <w:bookmarkEnd w:id="193"/>
      <w:bookmarkEnd w:id="194"/>
      <w:r w:rsidRPr="00F6415D">
        <w:rPr>
          <w:rFonts w:ascii="Segoe UI" w:hAnsi="Segoe UI" w:cs="Segoe UI"/>
        </w:rPr>
        <w:t xml:space="preserve"> </w:t>
      </w:r>
    </w:p>
    <w:p w:rsidR="00CE1469" w:rsidRPr="00F6415D" w:rsidRDefault="00CE1469" w:rsidP="002056EC">
      <w:pPr>
        <w:pStyle w:val="BodyText"/>
        <w:rPr>
          <w:rFonts w:ascii="Segoe UI" w:hAnsi="Segoe UI" w:cs="Segoe UI"/>
        </w:rPr>
      </w:pPr>
      <w:r w:rsidRPr="00F6415D">
        <w:rPr>
          <w:rFonts w:ascii="Segoe UI" w:hAnsi="Segoe UI" w:cs="Segoe UI"/>
        </w:rPr>
        <w:t>Nearly half (44 per cent) of the consumers in the ACFA consumer survey indicated they have yearly household income less than $50,000. The highest proportion (18 per cent) indicated their yearly household income is between $20,000</w:t>
      </w:r>
      <w:r w:rsidRPr="00F6415D">
        <w:rPr>
          <w:rFonts w:ascii="Segoe UI" w:hAnsi="Segoe UI" w:cs="Segoe UI"/>
        </w:rPr>
        <w:noBreakHyphen/>
        <w:t>$30,000.</w:t>
      </w:r>
    </w:p>
    <w:p w:rsidR="00CE1469" w:rsidRPr="00F6415D" w:rsidRDefault="00CE1469" w:rsidP="00B730EC">
      <w:pPr>
        <w:pStyle w:val="FigureTitle"/>
        <w:rPr>
          <w:rFonts w:ascii="Segoe UI" w:hAnsi="Segoe UI" w:cs="Segoe UI"/>
          <w:i/>
        </w:rPr>
      </w:pPr>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7</w:t>
      </w:r>
      <w:r w:rsidRPr="00F6415D">
        <w:rPr>
          <w:rFonts w:ascii="Segoe UI" w:hAnsi="Segoe UI" w:cs="Segoe UI"/>
          <w:i/>
          <w:noProof/>
        </w:rPr>
        <w:fldChar w:fldCharType="end"/>
      </w:r>
      <w:r w:rsidRPr="00F6415D">
        <w:rPr>
          <w:rFonts w:ascii="Segoe UI" w:hAnsi="Segoe UI" w:cs="Segoe UI"/>
          <w:i/>
        </w:rPr>
        <w:t>: Household income before tax</w:t>
      </w:r>
    </w:p>
    <w:p w:rsidR="00CE1469" w:rsidRPr="00E946CE" w:rsidRDefault="005C1FC3" w:rsidP="00E946CE">
      <w:r w:rsidRPr="00F6415D">
        <w:rPr>
          <w:noProof/>
          <w:lang w:eastAsia="en-AU"/>
        </w:rPr>
        <w:drawing>
          <wp:inline distT="0" distB="0" distL="0" distR="0" wp14:anchorId="26D1575E">
            <wp:extent cx="5224780" cy="2895600"/>
            <wp:effectExtent l="0" t="0" r="0" b="0"/>
            <wp:docPr id="47" name="Picture 47" descr="Figure 7, a horizontal bar chart, shows household income before tax for ACFA survey respondents. " title="Figure 7: Household income before t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24780" cy="2895600"/>
                    </a:xfrm>
                    <a:prstGeom prst="rect">
                      <a:avLst/>
                    </a:prstGeom>
                    <a:noFill/>
                  </pic:spPr>
                </pic:pic>
              </a:graphicData>
            </a:graphic>
          </wp:inline>
        </w:drawing>
      </w:r>
    </w:p>
    <w:p w:rsidR="00CE1469" w:rsidRPr="00F6415D" w:rsidRDefault="00CE1469" w:rsidP="002056EC">
      <w:pPr>
        <w:pStyle w:val="BodyText"/>
        <w:rPr>
          <w:rFonts w:ascii="Segoe UI" w:hAnsi="Segoe UI" w:cs="Segoe UI"/>
        </w:rPr>
      </w:pPr>
      <w:r w:rsidRPr="00F6415D">
        <w:rPr>
          <w:rFonts w:ascii="Segoe UI" w:hAnsi="Segoe UI" w:cs="Segoe UI"/>
        </w:rPr>
        <w:t>Source: ACFA consumer survey data</w:t>
      </w:r>
    </w:p>
    <w:p w:rsidR="00CE1469" w:rsidRPr="00F6415D" w:rsidRDefault="00CE1469" w:rsidP="002056EC">
      <w:pPr>
        <w:pStyle w:val="Heading4"/>
        <w:rPr>
          <w:rFonts w:ascii="Segoe UI" w:hAnsi="Segoe UI" w:cs="Segoe UI"/>
        </w:rPr>
      </w:pPr>
      <w:r w:rsidRPr="00F6415D">
        <w:rPr>
          <w:rFonts w:ascii="Segoe UI" w:hAnsi="Segoe UI" w:cs="Segoe UI"/>
        </w:rPr>
        <w:t>Average superannuation balance</w:t>
      </w:r>
    </w:p>
    <w:p w:rsidR="00CE1469" w:rsidRPr="00F6415D" w:rsidRDefault="00CE1469" w:rsidP="002056EC">
      <w:pPr>
        <w:pStyle w:val="BodyText"/>
        <w:rPr>
          <w:rFonts w:ascii="Segoe UI" w:hAnsi="Segoe UI" w:cs="Segoe UI"/>
        </w:rPr>
      </w:pPr>
      <w:r w:rsidRPr="00F6415D">
        <w:rPr>
          <w:rFonts w:ascii="Segoe UI" w:hAnsi="Segoe UI" w:cs="Segoe UI"/>
        </w:rPr>
        <w:t>Research undertaken by the Association of Superannuation Funds of Australia (ASFA), based on data from the Australian Bureau of Statistics Survey of Income and Housing reported the following for 2015-16</w:t>
      </w:r>
      <w:r w:rsidRPr="00F6415D">
        <w:rPr>
          <w:rStyle w:val="EndnoteReference"/>
          <w:rFonts w:ascii="Segoe UI" w:hAnsi="Segoe UI" w:cs="Segoe UI"/>
        </w:rPr>
        <w:endnoteReference w:id="10"/>
      </w:r>
      <w:r w:rsidRPr="00F6415D">
        <w:rPr>
          <w:rFonts w:ascii="Segoe UI" w:hAnsi="Segoe UI" w:cs="Segoe UI"/>
        </w:rPr>
        <w:t>:</w:t>
      </w:r>
    </w:p>
    <w:p w:rsidR="00CE1469" w:rsidRPr="00F6415D" w:rsidRDefault="00CE1469" w:rsidP="002056EC">
      <w:pPr>
        <w:pStyle w:val="ListBullet"/>
        <w:rPr>
          <w:rFonts w:ascii="Segoe UI" w:hAnsi="Segoe UI" w:cs="Segoe UI"/>
        </w:rPr>
      </w:pPr>
      <w:r w:rsidRPr="00F6415D">
        <w:rPr>
          <w:rFonts w:ascii="Segoe UI" w:hAnsi="Segoe UI" w:cs="Segoe UI"/>
        </w:rPr>
        <w:t>Average superannuation balances achieved for all persons aged 15 years and over were $111,853 for men and $68,499 for women.</w:t>
      </w:r>
    </w:p>
    <w:p w:rsidR="00CE1469" w:rsidRPr="00F6415D" w:rsidRDefault="00CE1469" w:rsidP="002056EC">
      <w:pPr>
        <w:pStyle w:val="ListBullet"/>
        <w:rPr>
          <w:rFonts w:ascii="Segoe UI" w:hAnsi="Segoe UI" w:cs="Segoe UI"/>
        </w:rPr>
      </w:pPr>
      <w:r w:rsidRPr="00F6415D">
        <w:rPr>
          <w:rFonts w:ascii="Segoe UI" w:hAnsi="Segoe UI" w:cs="Segoe UI"/>
        </w:rPr>
        <w:t>Average superannuation balances at the time of retirement (assumed to be age 60 to 64) were $270,710 for men and $157,050 for women.</w:t>
      </w:r>
    </w:p>
    <w:p w:rsidR="00CE1469" w:rsidRPr="00F6415D" w:rsidRDefault="00CE1469" w:rsidP="002056EC">
      <w:pPr>
        <w:pStyle w:val="ListBullet"/>
        <w:rPr>
          <w:rFonts w:ascii="Segoe UI" w:hAnsi="Segoe UI" w:cs="Segoe UI"/>
        </w:rPr>
      </w:pPr>
      <w:r w:rsidRPr="00F6415D">
        <w:rPr>
          <w:rFonts w:ascii="Segoe UI" w:hAnsi="Segoe UI" w:cs="Segoe UI"/>
        </w:rPr>
        <w:t>There is still a significant proportion of the population who do not have any superannuation, with around one in four men and one in three women reporting they have no superannuation savings.</w:t>
      </w:r>
    </w:p>
    <w:p w:rsidR="00CE1469" w:rsidRPr="00F6415D" w:rsidRDefault="00CE1469" w:rsidP="002056EC">
      <w:pPr>
        <w:pStyle w:val="BodyText"/>
        <w:rPr>
          <w:rFonts w:ascii="Segoe UI" w:hAnsi="Segoe UI" w:cs="Segoe UI"/>
        </w:rPr>
      </w:pPr>
      <w:r w:rsidRPr="00F6415D">
        <w:rPr>
          <w:rFonts w:ascii="Segoe UI" w:hAnsi="Segoe UI" w:cs="Segoe UI"/>
        </w:rPr>
        <w:t>While the superannuation system continues to build balances as it matures, helping to manage longevity risk, there are specific cohorts that have low balances and further measures are required to encourage the accumulation of superannuation savings.</w:t>
      </w:r>
    </w:p>
    <w:p w:rsidR="00CE1469" w:rsidRPr="00F6415D" w:rsidRDefault="00CE1469" w:rsidP="002056EC">
      <w:pPr>
        <w:pStyle w:val="Heading4"/>
        <w:rPr>
          <w:rFonts w:ascii="Segoe UI" w:hAnsi="Segoe UI" w:cs="Segoe UI"/>
        </w:rPr>
      </w:pPr>
      <w:r w:rsidRPr="00F6415D">
        <w:rPr>
          <w:rFonts w:ascii="Segoe UI" w:hAnsi="Segoe UI" w:cs="Segoe UI"/>
        </w:rPr>
        <w:t>Home ownership</w:t>
      </w:r>
    </w:p>
    <w:p w:rsidR="00CE1469" w:rsidRPr="00F6415D" w:rsidRDefault="00CE1469" w:rsidP="002056EC">
      <w:pPr>
        <w:pStyle w:val="BodyText"/>
        <w:rPr>
          <w:rFonts w:ascii="Segoe UI" w:hAnsi="Segoe UI" w:cs="Segoe UI"/>
        </w:rPr>
      </w:pPr>
      <w:bookmarkStart w:id="203" w:name="_Toc527561558"/>
      <w:bookmarkStart w:id="204" w:name="_Toc527564632"/>
      <w:bookmarkStart w:id="205" w:name="_Toc528224260"/>
      <w:r w:rsidRPr="00F6415D">
        <w:rPr>
          <w:rFonts w:ascii="Segoe UI" w:hAnsi="Segoe UI" w:cs="Segoe UI"/>
        </w:rPr>
        <w:t>In the consumer survey, more than half (57 per cent) of consumers own their home, with 19 per cent indicating they are currently paying a mortgage and 22 per cent are currently renting. The data also indicates that two per cent of respondents own a residence in a retirement village. It is possible that the survey results are reflective of a general perception by consumers living in retirement villages that they ‘own their own home’ and do not make the distinction between home ownership and a retirement village.</w:t>
      </w:r>
    </w:p>
    <w:p w:rsidR="00CE1469" w:rsidRPr="00F6415D" w:rsidRDefault="00CE1469" w:rsidP="00B730EC">
      <w:pPr>
        <w:pStyle w:val="FigureTitle"/>
        <w:rPr>
          <w:rFonts w:ascii="Segoe UI" w:hAnsi="Segoe UI" w:cs="Segoe UI"/>
          <w:i/>
        </w:rPr>
      </w:pPr>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8</w:t>
      </w:r>
      <w:r w:rsidRPr="00F6415D">
        <w:rPr>
          <w:rFonts w:ascii="Segoe UI" w:hAnsi="Segoe UI" w:cs="Segoe UI"/>
          <w:i/>
          <w:noProof/>
        </w:rPr>
        <w:fldChar w:fldCharType="end"/>
      </w:r>
      <w:r w:rsidRPr="00F6415D">
        <w:rPr>
          <w:rFonts w:ascii="Segoe UI" w:hAnsi="Segoe UI" w:cs="Segoe UI"/>
          <w:i/>
        </w:rPr>
        <w:t>: Home ownership status</w:t>
      </w:r>
    </w:p>
    <w:p w:rsidR="00CE1469" w:rsidRPr="00E946CE" w:rsidRDefault="00CE1469" w:rsidP="00E946CE">
      <w:r w:rsidRPr="00F6415D">
        <w:rPr>
          <w:noProof/>
          <w:lang w:eastAsia="en-AU"/>
        </w:rPr>
        <w:t xml:space="preserve"> </w:t>
      </w:r>
      <w:r w:rsidR="009D1145" w:rsidRPr="00F6415D">
        <w:rPr>
          <w:noProof/>
          <w:lang w:eastAsia="en-AU"/>
        </w:rPr>
        <w:drawing>
          <wp:inline distT="0" distB="0" distL="0" distR="0" wp14:anchorId="2C3E468C">
            <wp:extent cx="4450715" cy="2798445"/>
            <wp:effectExtent l="0" t="0" r="0" b="0"/>
            <wp:docPr id="55" name="Picture 55" descr="Figure 8, a bar chart, shows home ownership status as a percentage of respondents. " title="Figure 8: Home ownership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450715" cy="2798445"/>
                    </a:xfrm>
                    <a:prstGeom prst="rect">
                      <a:avLst/>
                    </a:prstGeom>
                    <a:noFill/>
                  </pic:spPr>
                </pic:pic>
              </a:graphicData>
            </a:graphic>
          </wp:inline>
        </w:drawing>
      </w:r>
    </w:p>
    <w:p w:rsidR="00987608" w:rsidRPr="00F6415D" w:rsidRDefault="00CE1469" w:rsidP="002056EC">
      <w:pPr>
        <w:pStyle w:val="BodyText"/>
        <w:rPr>
          <w:rFonts w:ascii="Segoe UI" w:hAnsi="Segoe UI" w:cs="Segoe UI"/>
        </w:rPr>
      </w:pPr>
      <w:r w:rsidRPr="00F6415D">
        <w:rPr>
          <w:rFonts w:ascii="Segoe UI" w:hAnsi="Segoe UI" w:cs="Segoe UI"/>
        </w:rPr>
        <w:t>Source: ACFA consumer survey data</w:t>
      </w:r>
    </w:p>
    <w:p w:rsidR="00CE1469" w:rsidRPr="00F6415D" w:rsidRDefault="00CE1469" w:rsidP="002056EC">
      <w:pPr>
        <w:pStyle w:val="BodyText"/>
        <w:rPr>
          <w:rFonts w:ascii="Segoe UI" w:hAnsi="Segoe UI" w:cs="Segoe UI"/>
        </w:rPr>
      </w:pPr>
      <w:r w:rsidRPr="00F6415D">
        <w:rPr>
          <w:rFonts w:ascii="Segoe UI" w:hAnsi="Segoe UI" w:cs="Segoe UI"/>
        </w:rPr>
        <w:t>This data shows that 58 per cent of respondents potentially have a large asset that they could sell or borrow against to fund their future aged care needs. However, for aged care purposes, the consumer’s family (or principal) home is excluded from the means test assessment if it is occupied by a protected person</w:t>
      </w:r>
      <w:r w:rsidRPr="00F6415D">
        <w:rPr>
          <w:rStyle w:val="FootnoteReference"/>
          <w:rFonts w:ascii="Segoe UI" w:hAnsi="Segoe UI" w:cs="Segoe UI"/>
        </w:rPr>
        <w:footnoteReference w:id="2"/>
      </w:r>
      <w:r w:rsidRPr="00F6415D">
        <w:rPr>
          <w:rFonts w:ascii="Segoe UI" w:hAnsi="Segoe UI" w:cs="Segoe UI"/>
        </w:rPr>
        <w:t xml:space="preserve">, as this can limit the availability as a financial resource. </w:t>
      </w:r>
    </w:p>
    <w:p w:rsidR="00CE1469" w:rsidRPr="00F6415D" w:rsidRDefault="00CE1469" w:rsidP="002056EC">
      <w:pPr>
        <w:pStyle w:val="BodyText"/>
        <w:rPr>
          <w:rFonts w:ascii="Segoe UI" w:hAnsi="Segoe UI" w:cs="Segoe UI"/>
        </w:rPr>
      </w:pPr>
      <w:r w:rsidRPr="00F6415D">
        <w:rPr>
          <w:rFonts w:ascii="Segoe UI" w:hAnsi="Segoe UI" w:cs="Segoe UI"/>
        </w:rPr>
        <w:t xml:space="preserve">91 per cent of consumers who owned their </w:t>
      </w:r>
      <w:r w:rsidRPr="00F6415D" w:rsidDel="009B0949">
        <w:rPr>
          <w:rFonts w:ascii="Segoe UI" w:hAnsi="Segoe UI" w:cs="Segoe UI"/>
        </w:rPr>
        <w:t xml:space="preserve">own </w:t>
      </w:r>
      <w:r w:rsidRPr="00F6415D">
        <w:rPr>
          <w:rFonts w:ascii="Segoe UI" w:hAnsi="Segoe UI" w:cs="Segoe UI"/>
        </w:rPr>
        <w:t>home (with a mortgage) shared their home with a protected person.</w:t>
      </w:r>
    </w:p>
    <w:p w:rsidR="00CE1469" w:rsidRPr="00F6415D" w:rsidRDefault="00CE1469" w:rsidP="002056EC">
      <w:pPr>
        <w:pStyle w:val="BodyText"/>
        <w:rPr>
          <w:rFonts w:ascii="Segoe UI" w:hAnsi="Segoe UI" w:cs="Segoe UI"/>
        </w:rPr>
      </w:pPr>
      <w:r w:rsidRPr="00F6415D">
        <w:rPr>
          <w:rFonts w:ascii="Segoe UI" w:hAnsi="Segoe UI" w:cs="Segoe UI"/>
        </w:rPr>
        <w:t>ABS Census data indicates that in 2016, 35 per cent of the population’s homes were owned with a mortgage, making this the most common type of housing tenure. Outright ownership and renting were only sl</w:t>
      </w:r>
      <w:r w:rsidR="002056EC" w:rsidRPr="00F6415D">
        <w:rPr>
          <w:rFonts w:ascii="Segoe UI" w:hAnsi="Segoe UI" w:cs="Segoe UI"/>
        </w:rPr>
        <w:t>i</w:t>
      </w:r>
      <w:r w:rsidRPr="00F6415D">
        <w:rPr>
          <w:rFonts w:ascii="Segoe UI" w:hAnsi="Segoe UI" w:cs="Segoe UI"/>
        </w:rPr>
        <w:t>ghtly less common (31 per cent each). While these proportions remained relatively similar to recent Censuses, 25 years ago it was more common to own a house outright. In 1991, 41 per cent of households were owned outright. The proportion of households being owned with a mortgage or being rented has increased from 54 per cent in in 1991 to 65 per cent in 2016.</w:t>
      </w:r>
      <w:r w:rsidRPr="00F6415D">
        <w:rPr>
          <w:rStyle w:val="EndnoteReference"/>
          <w:rFonts w:ascii="Segoe UI" w:hAnsi="Segoe UI" w:cs="Segoe UI"/>
        </w:rPr>
        <w:endnoteReference w:id="11"/>
      </w:r>
    </w:p>
    <w:p w:rsidR="00CE1469" w:rsidRPr="00F6415D" w:rsidRDefault="00CE1469" w:rsidP="002056EC">
      <w:pPr>
        <w:pStyle w:val="Heading4"/>
        <w:rPr>
          <w:rFonts w:ascii="Segoe UI" w:eastAsia="Segoe UI" w:hAnsi="Segoe UI" w:cs="Segoe UI"/>
        </w:rPr>
      </w:pPr>
      <w:r w:rsidRPr="00F6415D">
        <w:rPr>
          <w:rFonts w:ascii="Segoe UI" w:eastAsia="Segoe UI" w:hAnsi="Segoe UI" w:cs="Segoe UI"/>
        </w:rPr>
        <w:t>Other assets</w:t>
      </w:r>
      <w:bookmarkEnd w:id="203"/>
      <w:bookmarkEnd w:id="204"/>
      <w:bookmarkEnd w:id="205"/>
    </w:p>
    <w:p w:rsidR="00CE1469" w:rsidRPr="00F6415D" w:rsidRDefault="00CE1469" w:rsidP="002056EC">
      <w:pPr>
        <w:pStyle w:val="BodyText"/>
        <w:rPr>
          <w:rFonts w:ascii="Segoe UI" w:hAnsi="Segoe UI" w:cs="Segoe UI"/>
          <w:color w:val="0070C0"/>
        </w:rPr>
      </w:pPr>
      <w:bookmarkStart w:id="206" w:name="_Toc529890585"/>
      <w:r w:rsidRPr="00F6415D">
        <w:rPr>
          <w:rFonts w:ascii="Segoe UI" w:hAnsi="Segoe UI" w:cs="Segoe UI"/>
        </w:rPr>
        <w:t>Survey respondents were asked to report assets that they have access to. The top five asset combinations are as follows:</w:t>
      </w:r>
    </w:p>
    <w:p w:rsidR="00CE1469" w:rsidRPr="00F6415D" w:rsidRDefault="00CE1469" w:rsidP="002056EC">
      <w:pPr>
        <w:pStyle w:val="ListBullet"/>
        <w:rPr>
          <w:rFonts w:ascii="Segoe UI" w:hAnsi="Segoe UI" w:cs="Segoe UI"/>
        </w:rPr>
      </w:pPr>
      <w:r w:rsidRPr="00F6415D">
        <w:rPr>
          <w:rFonts w:ascii="Segoe UI" w:hAnsi="Segoe UI" w:cs="Segoe UI"/>
        </w:rPr>
        <w:lastRenderedPageBreak/>
        <w:t>Home owner (20 per cent)</w:t>
      </w:r>
    </w:p>
    <w:p w:rsidR="00CE1469" w:rsidRPr="00F6415D" w:rsidRDefault="00CE1469" w:rsidP="002056EC">
      <w:pPr>
        <w:pStyle w:val="ListBullet"/>
        <w:rPr>
          <w:rFonts w:ascii="Segoe UI" w:hAnsi="Segoe UI" w:cs="Segoe UI"/>
        </w:rPr>
      </w:pPr>
      <w:r w:rsidRPr="00F6415D">
        <w:rPr>
          <w:rFonts w:ascii="Segoe UI" w:hAnsi="Segoe UI" w:cs="Segoe UI"/>
        </w:rPr>
        <w:t>Home owner and cash (11 per cent)</w:t>
      </w:r>
    </w:p>
    <w:p w:rsidR="00CE1469" w:rsidRPr="00F6415D" w:rsidRDefault="00CE1469" w:rsidP="002056EC">
      <w:pPr>
        <w:pStyle w:val="ListBullet"/>
        <w:rPr>
          <w:rFonts w:ascii="Segoe UI" w:hAnsi="Segoe UI" w:cs="Segoe UI"/>
        </w:rPr>
      </w:pPr>
      <w:r w:rsidRPr="00F6415D">
        <w:rPr>
          <w:rFonts w:ascii="Segoe UI" w:hAnsi="Segoe UI" w:cs="Segoe UI"/>
        </w:rPr>
        <w:t>Home owner, shares, and cash (9 per cent)</w:t>
      </w:r>
    </w:p>
    <w:p w:rsidR="00CE1469" w:rsidRPr="00F6415D" w:rsidRDefault="00CE1469" w:rsidP="002056EC">
      <w:pPr>
        <w:pStyle w:val="ListBullet"/>
        <w:rPr>
          <w:rFonts w:ascii="Segoe UI" w:hAnsi="Segoe UI" w:cs="Segoe UI"/>
        </w:rPr>
      </w:pPr>
      <w:r w:rsidRPr="00F6415D">
        <w:rPr>
          <w:rFonts w:ascii="Segoe UI" w:hAnsi="Segoe UI" w:cs="Segoe UI"/>
        </w:rPr>
        <w:t>Cash (7 per cent)</w:t>
      </w:r>
    </w:p>
    <w:p w:rsidR="00CE1469" w:rsidRPr="00F6415D" w:rsidRDefault="00CE1469" w:rsidP="002056EC">
      <w:pPr>
        <w:pStyle w:val="ListBullet"/>
        <w:rPr>
          <w:rFonts w:ascii="Segoe UI" w:hAnsi="Segoe UI" w:cs="Segoe UI"/>
        </w:rPr>
      </w:pPr>
      <w:r w:rsidRPr="00F6415D">
        <w:rPr>
          <w:rFonts w:ascii="Segoe UI" w:hAnsi="Segoe UI" w:cs="Segoe UI"/>
        </w:rPr>
        <w:t>Home with mortgage (6 per cent)</w:t>
      </w:r>
    </w:p>
    <w:p w:rsidR="00CE1469" w:rsidRPr="00F6415D" w:rsidRDefault="00CE1469" w:rsidP="002056EC">
      <w:pPr>
        <w:pStyle w:val="BodyText"/>
        <w:rPr>
          <w:rFonts w:ascii="Segoe UI" w:hAnsi="Segoe UI" w:cs="Segoe UI"/>
        </w:rPr>
      </w:pPr>
      <w:r w:rsidRPr="00F6415D">
        <w:rPr>
          <w:rFonts w:ascii="Segoe UI" w:hAnsi="Segoe UI" w:cs="Segoe UI"/>
        </w:rPr>
        <w:t>As discussed previously, the home is the primary asset to which consumers have access. However, if the spouse or other protected person is living there, the access may be limited. The consumer survey did not ask respondents for balances and value of assets.</w:t>
      </w:r>
    </w:p>
    <w:p w:rsidR="00CE1469" w:rsidRPr="00F6415D" w:rsidRDefault="00CE1469" w:rsidP="002056EC">
      <w:pPr>
        <w:pStyle w:val="Heading3"/>
        <w:rPr>
          <w:rFonts w:ascii="Segoe UI" w:hAnsi="Segoe UI" w:cs="Segoe UI"/>
        </w:rPr>
      </w:pPr>
      <w:bookmarkStart w:id="207" w:name="_Toc531271091"/>
      <w:bookmarkStart w:id="208" w:name="_Toc532206387"/>
      <w:r w:rsidRPr="00F6415D">
        <w:rPr>
          <w:rFonts w:ascii="Segoe UI" w:hAnsi="Segoe UI" w:cs="Segoe UI"/>
        </w:rPr>
        <w:t>Consumer profiles</w:t>
      </w:r>
      <w:bookmarkEnd w:id="206"/>
      <w:bookmarkEnd w:id="207"/>
      <w:bookmarkEnd w:id="208"/>
    </w:p>
    <w:p w:rsidR="00C40CA4" w:rsidRPr="00F6415D" w:rsidRDefault="00CE1469" w:rsidP="005063A6">
      <w:pPr>
        <w:pStyle w:val="BodyText"/>
        <w:rPr>
          <w:rFonts w:ascii="Segoe UI" w:hAnsi="Segoe UI" w:cs="Segoe UI"/>
        </w:rPr>
      </w:pPr>
      <w:r w:rsidRPr="00F6415D">
        <w:rPr>
          <w:rFonts w:ascii="Segoe UI" w:hAnsi="Segoe UI" w:cs="Segoe UI"/>
        </w:rPr>
        <w:t xml:space="preserve">Drawing on the information discussed in section </w:t>
      </w:r>
      <w:r w:rsidRPr="00F6415D">
        <w:rPr>
          <w:rFonts w:ascii="Segoe UI" w:hAnsi="Segoe UI" w:cs="Segoe UI"/>
        </w:rPr>
        <w:fldChar w:fldCharType="begin"/>
      </w:r>
      <w:r w:rsidRPr="00F6415D">
        <w:rPr>
          <w:rFonts w:ascii="Segoe UI" w:hAnsi="Segoe UI" w:cs="Segoe UI"/>
        </w:rPr>
        <w:instrText xml:space="preserve"> REF _Ref530742344 \r \h </w:instrText>
      </w:r>
      <w:r w:rsidR="002056EC"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5.2</w:t>
      </w:r>
      <w:r w:rsidRPr="00F6415D">
        <w:rPr>
          <w:rFonts w:ascii="Segoe UI" w:hAnsi="Segoe UI" w:cs="Segoe UI"/>
        </w:rPr>
        <w:fldChar w:fldCharType="end"/>
      </w:r>
      <w:r w:rsidRPr="00F6415D">
        <w:rPr>
          <w:rFonts w:ascii="Segoe UI" w:hAnsi="Segoe UI" w:cs="Segoe UI"/>
        </w:rPr>
        <w:t>, some consumer profiles around homeownership are identifiable which may require specific consideration when financing aged care needs. Key variables in the analysis included home ownership, pension status and location. This analysis covered 72 per cent of total survey respondents and is presented in the</w:t>
      </w:r>
      <w:r w:rsidRPr="00F6415D">
        <w:rPr>
          <w:rFonts w:ascii="Segoe UI" w:hAnsi="Segoe UI" w:cs="Segoe UI"/>
        </w:rPr>
        <w:fldChar w:fldCharType="begin"/>
      </w:r>
      <w:r w:rsidRPr="00F6415D">
        <w:rPr>
          <w:rFonts w:ascii="Segoe UI" w:hAnsi="Segoe UI" w:cs="Segoe UI"/>
        </w:rPr>
        <w:instrText xml:space="preserve"> REF _Ref530459908 \h </w:instrText>
      </w:r>
      <w:r w:rsidR="002056EC"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F6415D">
        <w:rPr>
          <w:rFonts w:ascii="Segoe UI" w:hAnsi="Segoe UI" w:cs="Segoe UI"/>
        </w:rPr>
        <w:t xml:space="preserve"> below</w:t>
      </w:r>
      <w:r w:rsidR="00C40CA4" w:rsidRPr="00F6415D">
        <w:rPr>
          <w:rFonts w:ascii="Segoe UI" w:hAnsi="Segoe UI" w:cs="Segoe UI"/>
          <w:noProof/>
        </w:rPr>
        <w:t>.</w:t>
      </w:r>
    </w:p>
    <w:p w:rsidR="00203A59" w:rsidRPr="00F6415D" w:rsidRDefault="00C40CA4" w:rsidP="005063A6">
      <w:pPr>
        <w:pStyle w:val="BodyText"/>
        <w:rPr>
          <w:rFonts w:ascii="Segoe UI" w:hAnsi="Segoe UI" w:cs="Segoe UI"/>
        </w:rPr>
      </w:pPr>
      <w:r w:rsidRPr="00F6415D">
        <w:rPr>
          <w:rFonts w:ascii="Segoe UI" w:hAnsi="Segoe UI" w:cs="Segoe UI"/>
          <w:i/>
        </w:rPr>
        <w:t xml:space="preserve">Table </w:t>
      </w:r>
      <w:r>
        <w:rPr>
          <w:rFonts w:ascii="Segoe UI" w:hAnsi="Segoe UI" w:cs="Segoe UI"/>
          <w:i/>
          <w:noProof/>
        </w:rPr>
        <w:t>6</w:t>
      </w:r>
      <w:r w:rsidR="00CE1469" w:rsidRPr="00F6415D">
        <w:rPr>
          <w:rFonts w:ascii="Segoe UI" w:hAnsi="Segoe UI" w:cs="Segoe UI"/>
        </w:rPr>
        <w:fldChar w:fldCharType="end"/>
      </w:r>
      <w:bookmarkStart w:id="209" w:name="_Ref530459908"/>
      <w:r w:rsidR="005063A6" w:rsidRPr="00F6415D">
        <w:rPr>
          <w:rFonts w:ascii="Segoe UI" w:hAnsi="Segoe UI" w:cs="Segoe UI"/>
        </w:rPr>
        <w:t xml:space="preserve"> below.</w:t>
      </w:r>
    </w:p>
    <w:p w:rsidR="00CE1469" w:rsidRPr="00F6415D" w:rsidRDefault="00CE1469" w:rsidP="00203A59">
      <w:pPr>
        <w:pStyle w:val="FigureTitle"/>
        <w:rPr>
          <w:rFonts w:ascii="Segoe UI" w:hAnsi="Segoe UI" w:cs="Segoe UI"/>
          <w:i/>
        </w:rPr>
      </w:pPr>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6</w:t>
      </w:r>
      <w:r w:rsidRPr="00F6415D">
        <w:rPr>
          <w:rFonts w:ascii="Segoe UI" w:hAnsi="Segoe UI" w:cs="Segoe UI"/>
          <w:i/>
          <w:noProof/>
        </w:rPr>
        <w:fldChar w:fldCharType="end"/>
      </w:r>
      <w:bookmarkEnd w:id="209"/>
      <w:r w:rsidRPr="00F6415D">
        <w:rPr>
          <w:rFonts w:ascii="Segoe UI" w:hAnsi="Segoe UI" w:cs="Segoe UI"/>
          <w:i/>
        </w:rPr>
        <w:t>: Consumer profiles</w:t>
      </w:r>
      <w:bookmarkStart w:id="210" w:name="start"/>
      <w:bookmarkEnd w:id="210"/>
    </w:p>
    <w:tbl>
      <w:tblPr>
        <w:tblStyle w:val="TableGrid"/>
        <w:tblW w:w="0" w:type="auto"/>
        <w:tblLook w:val="04A0" w:firstRow="1" w:lastRow="0" w:firstColumn="1" w:lastColumn="0" w:noHBand="0" w:noVBand="1"/>
        <w:tblCaption w:val="Table 6: Consumer profiles"/>
        <w:tblDescription w:val="Table 6 outlines the consumer profiles referencing home owneship status by locality."/>
      </w:tblPr>
      <w:tblGrid>
        <w:gridCol w:w="1838"/>
        <w:gridCol w:w="1444"/>
        <w:gridCol w:w="1602"/>
        <w:gridCol w:w="1956"/>
        <w:gridCol w:w="1462"/>
      </w:tblGrid>
      <w:tr w:rsidR="00C85FB0" w:rsidRPr="00F6415D" w:rsidTr="00C85FB0">
        <w:trPr>
          <w:cantSplit/>
          <w:tblHeader/>
        </w:trPr>
        <w:tc>
          <w:tcPr>
            <w:tcW w:w="1838" w:type="dxa"/>
            <w:tcBorders>
              <w:right w:val="nil"/>
            </w:tcBorders>
            <w:shd w:val="clear" w:color="auto" w:fill="1F497D" w:themeFill="text2"/>
          </w:tcPr>
          <w:p w:rsidR="00C85FB0" w:rsidRPr="00F6415D" w:rsidRDefault="00C85FB0" w:rsidP="00DC338F">
            <w:pPr>
              <w:pStyle w:val="Tableheading"/>
              <w:rPr>
                <w:rFonts w:ascii="Segoe UI" w:hAnsi="Segoe UI" w:cs="Segoe UI"/>
                <w:lang w:val="en-GB"/>
              </w:rPr>
            </w:pPr>
            <w:r w:rsidRPr="00F6415D">
              <w:rPr>
                <w:rFonts w:ascii="Segoe UI" w:hAnsi="Segoe UI" w:cs="Segoe UI"/>
                <w:lang w:val="en-GB"/>
              </w:rPr>
              <w:t>Cluster</w:t>
            </w:r>
          </w:p>
        </w:tc>
        <w:tc>
          <w:tcPr>
            <w:tcW w:w="1444" w:type="dxa"/>
            <w:tcBorders>
              <w:left w:val="nil"/>
            </w:tcBorders>
            <w:shd w:val="clear" w:color="auto" w:fill="1F497D" w:themeFill="text2"/>
          </w:tcPr>
          <w:p w:rsidR="00C85FB0" w:rsidRPr="00F6415D" w:rsidRDefault="00C85FB0" w:rsidP="00DC338F">
            <w:pPr>
              <w:pStyle w:val="Tableheading"/>
              <w:rPr>
                <w:rFonts w:ascii="Segoe UI" w:hAnsi="Segoe UI" w:cs="Segoe UI"/>
                <w:lang w:val="en-GB"/>
              </w:rPr>
            </w:pPr>
          </w:p>
        </w:tc>
        <w:tc>
          <w:tcPr>
            <w:tcW w:w="1602" w:type="dxa"/>
            <w:shd w:val="clear" w:color="auto" w:fill="1F497D" w:themeFill="text2"/>
          </w:tcPr>
          <w:p w:rsidR="00C85FB0" w:rsidRPr="00F6415D" w:rsidRDefault="00C85FB0" w:rsidP="00DC338F">
            <w:pPr>
              <w:pStyle w:val="Tableheading"/>
              <w:rPr>
                <w:rFonts w:ascii="Segoe UI" w:hAnsi="Segoe UI" w:cs="Segoe UI"/>
                <w:lang w:val="en-GB"/>
              </w:rPr>
            </w:pPr>
            <w:r w:rsidRPr="00F6415D">
              <w:rPr>
                <w:rFonts w:ascii="Segoe UI" w:hAnsi="Segoe UI" w:cs="Segoe UI"/>
                <w:lang w:val="en-GB"/>
              </w:rPr>
              <w:t>Rural and remote</w:t>
            </w:r>
          </w:p>
        </w:tc>
        <w:tc>
          <w:tcPr>
            <w:tcW w:w="1956" w:type="dxa"/>
            <w:shd w:val="clear" w:color="auto" w:fill="1F497D" w:themeFill="text2"/>
          </w:tcPr>
          <w:p w:rsidR="00C85FB0" w:rsidRPr="00F6415D" w:rsidRDefault="00506DC3" w:rsidP="00506DC3">
            <w:pPr>
              <w:pStyle w:val="Tableheading"/>
              <w:rPr>
                <w:rFonts w:ascii="Segoe UI" w:hAnsi="Segoe UI" w:cs="Segoe UI"/>
                <w:lang w:val="en-GB"/>
              </w:rPr>
            </w:pPr>
            <w:r w:rsidRPr="00F6415D">
              <w:rPr>
                <w:rFonts w:ascii="Segoe UI" w:hAnsi="Segoe UI" w:cs="Segoe UI"/>
                <w:lang w:val="en-GB"/>
              </w:rPr>
              <w:t>Metropolitan</w:t>
            </w:r>
          </w:p>
        </w:tc>
        <w:tc>
          <w:tcPr>
            <w:tcW w:w="1462" w:type="dxa"/>
            <w:shd w:val="clear" w:color="auto" w:fill="1F497D" w:themeFill="text2"/>
          </w:tcPr>
          <w:p w:rsidR="00C85FB0" w:rsidRPr="00F6415D" w:rsidRDefault="00C85FB0" w:rsidP="00DC338F">
            <w:pPr>
              <w:pStyle w:val="Tableheading"/>
              <w:rPr>
                <w:rFonts w:ascii="Segoe UI" w:hAnsi="Segoe UI" w:cs="Segoe UI"/>
                <w:lang w:val="en-GB"/>
              </w:rPr>
            </w:pPr>
            <w:r w:rsidRPr="00F6415D">
              <w:rPr>
                <w:rFonts w:ascii="Segoe UI" w:hAnsi="Segoe UI" w:cs="Segoe UI"/>
                <w:lang w:val="en-GB"/>
              </w:rPr>
              <w:t>Total</w:t>
            </w:r>
          </w:p>
        </w:tc>
      </w:tr>
      <w:tr w:rsidR="00886077" w:rsidRPr="00F6415D" w:rsidTr="00C85FB0">
        <w:trPr>
          <w:cantSplit/>
        </w:trPr>
        <w:tc>
          <w:tcPr>
            <w:tcW w:w="1838"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Home owner (sole/joint ownership)</w:t>
            </w: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a part age pension</w:t>
            </w:r>
          </w:p>
        </w:tc>
        <w:tc>
          <w:tcPr>
            <w:tcW w:w="1602"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3%</w:t>
            </w:r>
          </w:p>
        </w:tc>
        <w:tc>
          <w:tcPr>
            <w:tcW w:w="1956"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9%</w:t>
            </w:r>
          </w:p>
        </w:tc>
        <w:tc>
          <w:tcPr>
            <w:tcW w:w="1462"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36%</w:t>
            </w:r>
          </w:p>
        </w:tc>
      </w:tr>
      <w:tr w:rsidR="00886077" w:rsidRPr="00F6415D" w:rsidTr="00C85FB0">
        <w:trPr>
          <w:cantSplit/>
        </w:trPr>
        <w:tc>
          <w:tcPr>
            <w:tcW w:w="1838" w:type="dxa"/>
          </w:tcPr>
          <w:p w:rsidR="00886077" w:rsidRPr="00F6415D" w:rsidRDefault="00886077" w:rsidP="00DC338F">
            <w:pPr>
              <w:pStyle w:val="Tabletext1"/>
              <w:rPr>
                <w:rFonts w:ascii="Segoe UI" w:hAnsi="Segoe UI" w:cs="Segoe UI"/>
                <w:sz w:val="20"/>
              </w:rPr>
            </w:pP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the full age pension</w:t>
            </w:r>
          </w:p>
        </w:tc>
        <w:tc>
          <w:tcPr>
            <w:tcW w:w="1602"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9%</w:t>
            </w:r>
          </w:p>
        </w:tc>
        <w:tc>
          <w:tcPr>
            <w:tcW w:w="1956"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sz w:val="20"/>
              </w:rPr>
              <w:t>15%</w:t>
            </w:r>
          </w:p>
        </w:tc>
        <w:tc>
          <w:tcPr>
            <w:tcW w:w="1462" w:type="dxa"/>
            <w:vAlign w:val="center"/>
          </w:tcPr>
          <w:p w:rsidR="00886077" w:rsidRPr="00F6415D" w:rsidRDefault="00886077" w:rsidP="00DC338F">
            <w:pPr>
              <w:pStyle w:val="Tabletext1"/>
              <w:rPr>
                <w:rFonts w:ascii="Segoe UI" w:hAnsi="Segoe UI" w:cs="Segoe UI"/>
                <w:sz w:val="20"/>
              </w:rPr>
            </w:pPr>
          </w:p>
        </w:tc>
      </w:tr>
      <w:tr w:rsidR="00886077" w:rsidRPr="00F6415D" w:rsidTr="00C85FB0">
        <w:trPr>
          <w:cantSplit/>
        </w:trPr>
        <w:tc>
          <w:tcPr>
            <w:tcW w:w="1838" w:type="dxa"/>
          </w:tcPr>
          <w:p w:rsidR="00886077" w:rsidRPr="00F6415D" w:rsidRDefault="00886077" w:rsidP="00DC338F">
            <w:pPr>
              <w:pStyle w:val="Tabletext1"/>
              <w:rPr>
                <w:rFonts w:ascii="Segoe UI" w:hAnsi="Segoe UI" w:cs="Segoe UI"/>
                <w:sz w:val="20"/>
              </w:rPr>
            </w:pPr>
            <w:r w:rsidRPr="00F6415D">
              <w:rPr>
                <w:rFonts w:ascii="Segoe UI" w:hAnsi="Segoe UI" w:cs="Segoe UI"/>
                <w:sz w:val="20"/>
              </w:rPr>
              <w:t>Home owner with mortgage</w:t>
            </w: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a part age pension</w:t>
            </w:r>
          </w:p>
        </w:tc>
        <w:tc>
          <w:tcPr>
            <w:tcW w:w="1602"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color w:val="000000"/>
                <w:sz w:val="20"/>
              </w:rPr>
              <w:t>1%</w:t>
            </w:r>
          </w:p>
        </w:tc>
        <w:tc>
          <w:tcPr>
            <w:tcW w:w="1956"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color w:val="000000"/>
                <w:sz w:val="20"/>
              </w:rPr>
              <w:t>3%</w:t>
            </w:r>
          </w:p>
        </w:tc>
        <w:tc>
          <w:tcPr>
            <w:tcW w:w="1462" w:type="dxa"/>
            <w:vAlign w:val="center"/>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11%</w:t>
            </w:r>
          </w:p>
        </w:tc>
      </w:tr>
      <w:tr w:rsidR="00886077" w:rsidRPr="00F6415D" w:rsidTr="00C85FB0">
        <w:trPr>
          <w:cantSplit/>
        </w:trPr>
        <w:tc>
          <w:tcPr>
            <w:tcW w:w="1838" w:type="dxa"/>
          </w:tcPr>
          <w:p w:rsidR="00886077" w:rsidRPr="00F6415D" w:rsidRDefault="00886077" w:rsidP="00DC338F">
            <w:pPr>
              <w:pStyle w:val="Tabletext1"/>
              <w:rPr>
                <w:rFonts w:ascii="Segoe UI" w:hAnsi="Segoe UI" w:cs="Segoe UI"/>
                <w:sz w:val="20"/>
              </w:rPr>
            </w:pP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the full age pension</w:t>
            </w:r>
          </w:p>
        </w:tc>
        <w:tc>
          <w:tcPr>
            <w:tcW w:w="1602"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color w:val="000000"/>
                <w:sz w:val="20"/>
              </w:rPr>
              <w:t>2%</w:t>
            </w:r>
          </w:p>
        </w:tc>
        <w:tc>
          <w:tcPr>
            <w:tcW w:w="1956" w:type="dxa"/>
            <w:vAlign w:val="center"/>
          </w:tcPr>
          <w:p w:rsidR="00886077" w:rsidRPr="00F6415D" w:rsidRDefault="00886077" w:rsidP="00DC338F">
            <w:pPr>
              <w:pStyle w:val="Tabletext1"/>
              <w:rPr>
                <w:rFonts w:ascii="Segoe UI" w:hAnsi="Segoe UI" w:cs="Segoe UI"/>
                <w:sz w:val="20"/>
              </w:rPr>
            </w:pPr>
            <w:r w:rsidRPr="00F6415D">
              <w:rPr>
                <w:rFonts w:ascii="Segoe UI" w:hAnsi="Segoe UI" w:cs="Segoe UI"/>
                <w:color w:val="000000"/>
                <w:sz w:val="20"/>
              </w:rPr>
              <w:t>5%</w:t>
            </w:r>
          </w:p>
        </w:tc>
        <w:tc>
          <w:tcPr>
            <w:tcW w:w="1462" w:type="dxa"/>
            <w:vAlign w:val="center"/>
          </w:tcPr>
          <w:p w:rsidR="00886077" w:rsidRPr="00F6415D" w:rsidRDefault="00886077" w:rsidP="00DC338F">
            <w:pPr>
              <w:pStyle w:val="Tabletext1"/>
              <w:rPr>
                <w:rFonts w:ascii="Segoe UI" w:hAnsi="Segoe UI" w:cs="Segoe UI"/>
                <w:color w:val="000000"/>
                <w:sz w:val="20"/>
              </w:rPr>
            </w:pPr>
          </w:p>
        </w:tc>
      </w:tr>
      <w:tr w:rsidR="00886077" w:rsidRPr="00F6415D" w:rsidTr="00C85FB0">
        <w:trPr>
          <w:cantSplit/>
        </w:trPr>
        <w:tc>
          <w:tcPr>
            <w:tcW w:w="1838" w:type="dxa"/>
          </w:tcPr>
          <w:p w:rsidR="00886077" w:rsidRPr="00F6415D" w:rsidRDefault="00886077" w:rsidP="00DC338F">
            <w:pPr>
              <w:pStyle w:val="Tabletext1"/>
              <w:rPr>
                <w:rFonts w:ascii="Segoe UI" w:hAnsi="Segoe UI" w:cs="Segoe UI"/>
                <w:sz w:val="20"/>
              </w:rPr>
            </w:pPr>
            <w:r w:rsidRPr="00F6415D">
              <w:rPr>
                <w:rFonts w:ascii="Segoe UI" w:hAnsi="Segoe UI" w:cs="Segoe UI"/>
                <w:sz w:val="20"/>
              </w:rPr>
              <w:t>Renting</w:t>
            </w: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a part age pension</w:t>
            </w:r>
          </w:p>
        </w:tc>
        <w:tc>
          <w:tcPr>
            <w:tcW w:w="1602" w:type="dxa"/>
            <w:vAlign w:val="bottom"/>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0%</w:t>
            </w:r>
          </w:p>
        </w:tc>
        <w:tc>
          <w:tcPr>
            <w:tcW w:w="1956" w:type="dxa"/>
            <w:vAlign w:val="bottom"/>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2%</w:t>
            </w:r>
          </w:p>
        </w:tc>
        <w:tc>
          <w:tcPr>
            <w:tcW w:w="1462" w:type="dxa"/>
            <w:vAlign w:val="center"/>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14%</w:t>
            </w:r>
          </w:p>
        </w:tc>
      </w:tr>
      <w:tr w:rsidR="00886077" w:rsidRPr="00F6415D" w:rsidTr="00C85FB0">
        <w:trPr>
          <w:cantSplit/>
        </w:trPr>
        <w:tc>
          <w:tcPr>
            <w:tcW w:w="1838" w:type="dxa"/>
          </w:tcPr>
          <w:p w:rsidR="00886077" w:rsidRPr="00F6415D" w:rsidRDefault="00886077" w:rsidP="00DC338F">
            <w:pPr>
              <w:pStyle w:val="Tabletext1"/>
              <w:rPr>
                <w:rFonts w:ascii="Segoe UI" w:hAnsi="Segoe UI" w:cs="Segoe UI"/>
                <w:sz w:val="20"/>
              </w:rPr>
            </w:pPr>
          </w:p>
        </w:tc>
        <w:tc>
          <w:tcPr>
            <w:tcW w:w="1444" w:type="dxa"/>
            <w:vAlign w:val="bottom"/>
          </w:tcPr>
          <w:p w:rsidR="00886077" w:rsidRPr="00F6415D" w:rsidRDefault="00886077" w:rsidP="00DC338F">
            <w:pPr>
              <w:pStyle w:val="Tabletext1"/>
              <w:rPr>
                <w:rFonts w:ascii="Segoe UI" w:hAnsi="Segoe UI" w:cs="Segoe UI"/>
                <w:sz w:val="20"/>
              </w:rPr>
            </w:pPr>
            <w:r w:rsidRPr="00F6415D">
              <w:rPr>
                <w:rFonts w:ascii="Segoe UI" w:hAnsi="Segoe UI" w:cs="Segoe UI"/>
                <w:sz w:val="20"/>
              </w:rPr>
              <w:t>Receive the full age pension</w:t>
            </w:r>
          </w:p>
        </w:tc>
        <w:tc>
          <w:tcPr>
            <w:tcW w:w="1602" w:type="dxa"/>
            <w:vAlign w:val="bottom"/>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4%</w:t>
            </w:r>
          </w:p>
        </w:tc>
        <w:tc>
          <w:tcPr>
            <w:tcW w:w="1956" w:type="dxa"/>
            <w:vAlign w:val="bottom"/>
          </w:tcPr>
          <w:p w:rsidR="00886077" w:rsidRPr="00F6415D" w:rsidRDefault="00886077" w:rsidP="00DC338F">
            <w:pPr>
              <w:pStyle w:val="Tabletext1"/>
              <w:rPr>
                <w:rFonts w:ascii="Segoe UI" w:hAnsi="Segoe UI" w:cs="Segoe UI"/>
                <w:color w:val="000000"/>
                <w:sz w:val="20"/>
              </w:rPr>
            </w:pPr>
            <w:r w:rsidRPr="00F6415D">
              <w:rPr>
                <w:rFonts w:ascii="Segoe UI" w:hAnsi="Segoe UI" w:cs="Segoe UI"/>
                <w:color w:val="000000"/>
                <w:sz w:val="20"/>
              </w:rPr>
              <w:t>7%</w:t>
            </w:r>
          </w:p>
        </w:tc>
        <w:tc>
          <w:tcPr>
            <w:tcW w:w="1462" w:type="dxa"/>
            <w:vAlign w:val="center"/>
          </w:tcPr>
          <w:p w:rsidR="00886077" w:rsidRPr="00F6415D" w:rsidRDefault="00886077" w:rsidP="00DC338F">
            <w:pPr>
              <w:pStyle w:val="Tabletext1"/>
              <w:rPr>
                <w:rFonts w:ascii="Segoe UI" w:hAnsi="Segoe UI" w:cs="Segoe UI"/>
                <w:color w:val="000000"/>
                <w:sz w:val="20"/>
              </w:rPr>
            </w:pPr>
          </w:p>
        </w:tc>
      </w:tr>
      <w:tr w:rsidR="00CE1469" w:rsidRPr="00F6415D" w:rsidTr="00C85FB0">
        <w:trPr>
          <w:cantSplit/>
        </w:trPr>
        <w:tc>
          <w:tcPr>
            <w:tcW w:w="1838" w:type="dxa"/>
          </w:tcPr>
          <w:p w:rsidR="00CE1469" w:rsidRPr="00F6415D" w:rsidRDefault="00CE1469" w:rsidP="00DC338F">
            <w:pPr>
              <w:pStyle w:val="Tabletext1"/>
              <w:rPr>
                <w:rFonts w:ascii="Segoe UI" w:hAnsi="Segoe UI" w:cs="Segoe UI"/>
                <w:sz w:val="20"/>
              </w:rPr>
            </w:pPr>
            <w:r w:rsidRPr="00F6415D">
              <w:rPr>
                <w:rFonts w:ascii="Segoe UI" w:hAnsi="Segoe UI" w:cs="Segoe UI"/>
                <w:sz w:val="20"/>
              </w:rPr>
              <w:t>Self-funded retiree</w:t>
            </w:r>
          </w:p>
        </w:tc>
        <w:tc>
          <w:tcPr>
            <w:tcW w:w="1444" w:type="dxa"/>
            <w:vAlign w:val="bottom"/>
          </w:tcPr>
          <w:p w:rsidR="00CE1469" w:rsidRPr="00F6415D" w:rsidRDefault="00CE1469" w:rsidP="00DC338F">
            <w:pPr>
              <w:pStyle w:val="Tabletext1"/>
              <w:rPr>
                <w:rFonts w:ascii="Segoe UI" w:hAnsi="Segoe UI" w:cs="Segoe UI"/>
                <w:sz w:val="20"/>
              </w:rPr>
            </w:pPr>
            <w:r w:rsidRPr="00F6415D">
              <w:rPr>
                <w:rFonts w:ascii="Segoe UI" w:hAnsi="Segoe UI" w:cs="Segoe UI"/>
                <w:sz w:val="20"/>
              </w:rPr>
              <w:t>N/A</w:t>
            </w:r>
          </w:p>
        </w:tc>
        <w:tc>
          <w:tcPr>
            <w:tcW w:w="1602" w:type="dxa"/>
            <w:vAlign w:val="bottom"/>
          </w:tcPr>
          <w:p w:rsidR="00CE1469" w:rsidRPr="00F6415D" w:rsidRDefault="00CE1469" w:rsidP="00DC338F">
            <w:pPr>
              <w:pStyle w:val="Tabletext1"/>
              <w:rPr>
                <w:rFonts w:ascii="Segoe UI" w:hAnsi="Segoe UI" w:cs="Segoe UI"/>
                <w:color w:val="000000"/>
                <w:sz w:val="20"/>
              </w:rPr>
            </w:pPr>
            <w:r w:rsidRPr="00F6415D">
              <w:rPr>
                <w:rFonts w:ascii="Segoe UI" w:hAnsi="Segoe UI" w:cs="Segoe UI"/>
                <w:color w:val="000000"/>
                <w:sz w:val="20"/>
              </w:rPr>
              <w:t>3%</w:t>
            </w:r>
          </w:p>
        </w:tc>
        <w:tc>
          <w:tcPr>
            <w:tcW w:w="1956" w:type="dxa"/>
            <w:vAlign w:val="bottom"/>
          </w:tcPr>
          <w:p w:rsidR="00CE1469" w:rsidRPr="00F6415D" w:rsidRDefault="00CE1469" w:rsidP="00DC338F">
            <w:pPr>
              <w:pStyle w:val="Tabletext1"/>
              <w:rPr>
                <w:rFonts w:ascii="Segoe UI" w:hAnsi="Segoe UI" w:cs="Segoe UI"/>
                <w:color w:val="000000"/>
                <w:sz w:val="20"/>
              </w:rPr>
            </w:pPr>
            <w:r w:rsidRPr="00F6415D">
              <w:rPr>
                <w:rFonts w:ascii="Segoe UI" w:hAnsi="Segoe UI" w:cs="Segoe UI"/>
                <w:color w:val="000000"/>
                <w:sz w:val="20"/>
              </w:rPr>
              <w:t>8%</w:t>
            </w:r>
          </w:p>
        </w:tc>
        <w:tc>
          <w:tcPr>
            <w:tcW w:w="1462" w:type="dxa"/>
            <w:vAlign w:val="center"/>
          </w:tcPr>
          <w:p w:rsidR="00CE1469" w:rsidRPr="00F6415D" w:rsidRDefault="00CE1469" w:rsidP="00DC338F">
            <w:pPr>
              <w:pStyle w:val="Tabletext1"/>
              <w:rPr>
                <w:rFonts w:ascii="Segoe UI" w:hAnsi="Segoe UI" w:cs="Segoe UI"/>
                <w:color w:val="000000"/>
                <w:sz w:val="20"/>
              </w:rPr>
            </w:pPr>
            <w:r w:rsidRPr="00F6415D">
              <w:rPr>
                <w:rFonts w:ascii="Segoe UI" w:hAnsi="Segoe UI" w:cs="Segoe UI"/>
                <w:color w:val="000000"/>
                <w:sz w:val="20"/>
              </w:rPr>
              <w:t>11%</w:t>
            </w:r>
          </w:p>
        </w:tc>
      </w:tr>
    </w:tbl>
    <w:p w:rsidR="00CE1469" w:rsidRPr="00F6415D" w:rsidRDefault="00CE1469" w:rsidP="002056EC">
      <w:pPr>
        <w:pStyle w:val="BodyText"/>
        <w:rPr>
          <w:rFonts w:ascii="Segoe UI" w:hAnsi="Segoe UI" w:cs="Segoe UI"/>
        </w:rPr>
      </w:pPr>
      <w:r w:rsidRPr="00F6415D">
        <w:rPr>
          <w:rFonts w:ascii="Segoe UI" w:hAnsi="Segoe UI" w:cs="Segoe UI"/>
        </w:rPr>
        <w:lastRenderedPageBreak/>
        <w:t>There were 297 ACFA consumer survey respondents who selected a single income/asset source to fund their care. When cross-referenced with gender, the following observations are noted:</w:t>
      </w:r>
    </w:p>
    <w:p w:rsidR="00CE1469" w:rsidRPr="00F6415D" w:rsidRDefault="00CE1469" w:rsidP="002056EC">
      <w:pPr>
        <w:pStyle w:val="ListBullet"/>
        <w:rPr>
          <w:rFonts w:ascii="Segoe UI" w:hAnsi="Segoe UI" w:cs="Segoe UI"/>
        </w:rPr>
      </w:pPr>
      <w:r w:rsidRPr="00F6415D">
        <w:rPr>
          <w:rFonts w:ascii="Segoe UI" w:hAnsi="Segoe UI" w:cs="Segoe UI"/>
        </w:rPr>
        <w:t xml:space="preserve">Females are more likely to use the age pension to fund their care (65 per cent) compared to males (35 per cent). </w:t>
      </w:r>
    </w:p>
    <w:p w:rsidR="00CE1469" w:rsidRPr="00F6415D" w:rsidRDefault="00CE1469" w:rsidP="002056EC">
      <w:pPr>
        <w:pStyle w:val="ListBullet"/>
        <w:rPr>
          <w:rFonts w:ascii="Segoe UI" w:hAnsi="Segoe UI" w:cs="Segoe UI"/>
        </w:rPr>
      </w:pPr>
      <w:r w:rsidRPr="00F6415D">
        <w:rPr>
          <w:rFonts w:ascii="Segoe UI" w:hAnsi="Segoe UI" w:cs="Segoe UI"/>
        </w:rPr>
        <w:t>Only males accessed equity release to fund their care.</w:t>
      </w:r>
    </w:p>
    <w:p w:rsidR="00CE1469" w:rsidRPr="00F6415D" w:rsidRDefault="00CE1469" w:rsidP="002056EC">
      <w:pPr>
        <w:pStyle w:val="ListBullet"/>
        <w:rPr>
          <w:rFonts w:ascii="Segoe UI" w:hAnsi="Segoe UI" w:cs="Segoe UI"/>
        </w:rPr>
      </w:pPr>
      <w:r w:rsidRPr="00F6415D">
        <w:rPr>
          <w:rFonts w:ascii="Segoe UI" w:hAnsi="Segoe UI" w:cs="Segoe UI"/>
        </w:rPr>
        <w:t>Males are much more likely to use personal loans to fund their care (75 per cent) compared to females (25 per cent).</w:t>
      </w:r>
    </w:p>
    <w:p w:rsidR="00CE1469" w:rsidRPr="00F6415D" w:rsidRDefault="00CE1469" w:rsidP="002056EC">
      <w:pPr>
        <w:pStyle w:val="ListBullet"/>
        <w:rPr>
          <w:rFonts w:ascii="Segoe UI" w:hAnsi="Segoe UI" w:cs="Segoe UI"/>
        </w:rPr>
      </w:pPr>
      <w:r w:rsidRPr="00F6415D">
        <w:rPr>
          <w:rFonts w:ascii="Segoe UI" w:hAnsi="Segoe UI" w:cs="Segoe UI"/>
        </w:rPr>
        <w:t>Males are significantly more likely to fund care by selling assets outside the family home (90 per cent) compared to females (10 per cent).</w:t>
      </w:r>
    </w:p>
    <w:p w:rsidR="00CE1469" w:rsidRPr="00F6415D" w:rsidRDefault="00CE1469" w:rsidP="002056EC">
      <w:pPr>
        <w:pStyle w:val="ListBullet"/>
        <w:rPr>
          <w:rFonts w:ascii="Segoe UI" w:hAnsi="Segoe UI" w:cs="Segoe UI"/>
        </w:rPr>
      </w:pPr>
      <w:r w:rsidRPr="00F6415D">
        <w:rPr>
          <w:rFonts w:ascii="Segoe UI" w:hAnsi="Segoe UI" w:cs="Segoe UI"/>
        </w:rPr>
        <w:t>Males are more likely to sell the family home to fund care (80 per cent) compared to females (20 per cent).</w:t>
      </w:r>
    </w:p>
    <w:p w:rsidR="00CE1469" w:rsidRPr="00F6415D" w:rsidRDefault="00CE1469" w:rsidP="002056EC">
      <w:pPr>
        <w:pStyle w:val="ListBullet"/>
        <w:rPr>
          <w:rFonts w:ascii="Segoe UI" w:hAnsi="Segoe UI" w:cs="Segoe UI"/>
        </w:rPr>
      </w:pPr>
      <w:r w:rsidRPr="00F6415D">
        <w:rPr>
          <w:rFonts w:ascii="Segoe UI" w:hAnsi="Segoe UI" w:cs="Segoe UI"/>
        </w:rPr>
        <w:t xml:space="preserve">Females are more likely to access support from family and friends to fund their care (67 per cent) compared with males (33 per cent). </w:t>
      </w:r>
    </w:p>
    <w:p w:rsidR="00CE1469" w:rsidRPr="00F6415D" w:rsidRDefault="00CE1469" w:rsidP="002056EC">
      <w:pPr>
        <w:pStyle w:val="Heading3"/>
        <w:rPr>
          <w:rFonts w:ascii="Segoe UI" w:hAnsi="Segoe UI" w:cs="Segoe UI"/>
        </w:rPr>
      </w:pPr>
      <w:bookmarkStart w:id="211" w:name="_Toc531271092"/>
      <w:bookmarkStart w:id="212" w:name="_Toc532206388"/>
      <w:r w:rsidRPr="00F6415D">
        <w:rPr>
          <w:rFonts w:ascii="Segoe UI" w:hAnsi="Segoe UI" w:cs="Segoe UI"/>
        </w:rPr>
        <w:t>Combination of aged care services accessed</w:t>
      </w:r>
      <w:bookmarkEnd w:id="211"/>
      <w:bookmarkEnd w:id="212"/>
    </w:p>
    <w:p w:rsidR="00CE1469" w:rsidRPr="00F6415D" w:rsidRDefault="00CE1469" w:rsidP="002056EC">
      <w:pPr>
        <w:pStyle w:val="BodyText"/>
        <w:rPr>
          <w:rFonts w:ascii="Segoe UI" w:hAnsi="Segoe UI" w:cs="Segoe UI"/>
        </w:rPr>
      </w:pPr>
      <w:r w:rsidRPr="00F6415D">
        <w:rPr>
          <w:rFonts w:ascii="Segoe UI" w:hAnsi="Segoe UI" w:cs="Segoe UI"/>
        </w:rPr>
        <w:t xml:space="preserve">There were 407 respondents who reported accessing a combination of aged care services. The top five are reported in </w:t>
      </w:r>
      <w:r w:rsidRPr="00F6415D">
        <w:rPr>
          <w:rFonts w:ascii="Segoe UI" w:hAnsi="Segoe UI" w:cs="Segoe UI"/>
        </w:rPr>
        <w:fldChar w:fldCharType="begin"/>
      </w:r>
      <w:r w:rsidRPr="00F6415D">
        <w:rPr>
          <w:rFonts w:ascii="Segoe UI" w:hAnsi="Segoe UI" w:cs="Segoe UI"/>
        </w:rPr>
        <w:instrText xml:space="preserve"> REF _Ref530578233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7</w:t>
      </w:r>
      <w:r w:rsidRPr="00F6415D">
        <w:rPr>
          <w:rFonts w:ascii="Segoe UI" w:hAnsi="Segoe UI" w:cs="Segoe UI"/>
        </w:rPr>
        <w:fldChar w:fldCharType="end"/>
      </w:r>
      <w:r w:rsidRPr="00F6415D">
        <w:rPr>
          <w:rFonts w:ascii="Segoe UI" w:hAnsi="Segoe UI" w:cs="Segoe UI"/>
        </w:rPr>
        <w:t xml:space="preserve"> below. Help at home from family, friends or carers appeared in all of the top five combinations. This was in conjunction with at least one other form of paid service.</w:t>
      </w:r>
    </w:p>
    <w:p w:rsidR="00CE1469" w:rsidRPr="00F6415D" w:rsidRDefault="00CE1469" w:rsidP="00203A59">
      <w:pPr>
        <w:pStyle w:val="TableTitle"/>
        <w:rPr>
          <w:rFonts w:ascii="Segoe UI" w:hAnsi="Segoe UI" w:cs="Segoe UI"/>
          <w:i/>
        </w:rPr>
      </w:pPr>
      <w:bookmarkStart w:id="213" w:name="_Ref530459929"/>
      <w:bookmarkStart w:id="214" w:name="_Ref530578233"/>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7</w:t>
      </w:r>
      <w:r w:rsidRPr="00F6415D">
        <w:rPr>
          <w:rFonts w:ascii="Segoe UI" w:hAnsi="Segoe UI" w:cs="Segoe UI"/>
          <w:i/>
          <w:noProof/>
        </w:rPr>
        <w:fldChar w:fldCharType="end"/>
      </w:r>
      <w:bookmarkEnd w:id="213"/>
      <w:bookmarkEnd w:id="214"/>
      <w:r w:rsidRPr="00F6415D">
        <w:rPr>
          <w:rFonts w:ascii="Segoe UI" w:hAnsi="Segoe UI" w:cs="Segoe UI"/>
          <w:i/>
        </w:rPr>
        <w:t>: Combination of aged care services used</w:t>
      </w:r>
    </w:p>
    <w:tbl>
      <w:tblPr>
        <w:tblStyle w:val="TableGrid"/>
        <w:tblW w:w="5000" w:type="pct"/>
        <w:tblLook w:val="04A0" w:firstRow="1" w:lastRow="0" w:firstColumn="1" w:lastColumn="0" w:noHBand="0" w:noVBand="1"/>
        <w:tblCaption w:val="Table 7: Combination of aged care services used"/>
        <w:tblDescription w:val="Table 7 outlines the combination of aged care services used, including help at home from family and friends or carers, privately funded home support and Government funded in home support."/>
      </w:tblPr>
      <w:tblGrid>
        <w:gridCol w:w="2011"/>
        <w:gridCol w:w="2271"/>
        <w:gridCol w:w="2233"/>
        <w:gridCol w:w="1787"/>
      </w:tblGrid>
      <w:tr w:rsidR="00CE1469" w:rsidRPr="00F6415D" w:rsidTr="00886077">
        <w:trPr>
          <w:tblHeader/>
        </w:trPr>
        <w:tc>
          <w:tcPr>
            <w:tcW w:w="1211" w:type="pct"/>
            <w:shd w:val="clear" w:color="auto" w:fill="002060"/>
          </w:tcPr>
          <w:p w:rsidR="00CE1469" w:rsidRPr="00F6415D" w:rsidRDefault="00CE1469" w:rsidP="00886077">
            <w:pPr>
              <w:pStyle w:val="Tableheading"/>
              <w:rPr>
                <w:rFonts w:ascii="Segoe UI" w:hAnsi="Segoe UI" w:cs="Segoe UI"/>
              </w:rPr>
            </w:pPr>
            <w:r w:rsidRPr="00F6415D">
              <w:rPr>
                <w:rFonts w:ascii="Segoe UI" w:hAnsi="Segoe UI" w:cs="Segoe UI"/>
              </w:rPr>
              <w:t>Service 1</w:t>
            </w:r>
          </w:p>
        </w:tc>
        <w:tc>
          <w:tcPr>
            <w:tcW w:w="1368" w:type="pct"/>
            <w:shd w:val="clear" w:color="auto" w:fill="002060"/>
          </w:tcPr>
          <w:p w:rsidR="00CE1469" w:rsidRPr="00F6415D" w:rsidRDefault="00CE1469" w:rsidP="00886077">
            <w:pPr>
              <w:pStyle w:val="Tableheading"/>
              <w:rPr>
                <w:rFonts w:ascii="Segoe UI" w:hAnsi="Segoe UI" w:cs="Segoe UI"/>
              </w:rPr>
            </w:pPr>
            <w:r w:rsidRPr="00F6415D">
              <w:rPr>
                <w:rFonts w:ascii="Segoe UI" w:hAnsi="Segoe UI" w:cs="Segoe UI"/>
              </w:rPr>
              <w:t>Service 2</w:t>
            </w:r>
          </w:p>
        </w:tc>
        <w:tc>
          <w:tcPr>
            <w:tcW w:w="1345" w:type="pct"/>
            <w:shd w:val="clear" w:color="auto" w:fill="002060"/>
          </w:tcPr>
          <w:p w:rsidR="00CE1469" w:rsidRPr="00F6415D" w:rsidRDefault="00CE1469" w:rsidP="00886077">
            <w:pPr>
              <w:pStyle w:val="Tableheading"/>
              <w:rPr>
                <w:rFonts w:ascii="Segoe UI" w:hAnsi="Segoe UI" w:cs="Segoe UI"/>
              </w:rPr>
            </w:pPr>
            <w:r w:rsidRPr="00F6415D">
              <w:rPr>
                <w:rFonts w:ascii="Segoe UI" w:hAnsi="Segoe UI" w:cs="Segoe UI"/>
              </w:rPr>
              <w:t>Service 3</w:t>
            </w:r>
          </w:p>
        </w:tc>
        <w:tc>
          <w:tcPr>
            <w:tcW w:w="1076" w:type="pct"/>
            <w:shd w:val="clear" w:color="auto" w:fill="002060"/>
          </w:tcPr>
          <w:p w:rsidR="00CE1469" w:rsidRPr="00F6415D" w:rsidRDefault="00CE1469" w:rsidP="00886077">
            <w:pPr>
              <w:pStyle w:val="Tableheading"/>
              <w:rPr>
                <w:rFonts w:ascii="Segoe UI" w:hAnsi="Segoe UI" w:cs="Segoe UI"/>
              </w:rPr>
            </w:pPr>
            <w:r w:rsidRPr="00F6415D">
              <w:rPr>
                <w:rFonts w:ascii="Segoe UI" w:hAnsi="Segoe UI" w:cs="Segoe UI"/>
              </w:rPr>
              <w:t>Total %</w:t>
            </w:r>
          </w:p>
        </w:tc>
      </w:tr>
      <w:tr w:rsidR="00CE1469" w:rsidRPr="00F6415D" w:rsidTr="00CE1469">
        <w:tc>
          <w:tcPr>
            <w:tcW w:w="1211"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Help at home from family, friends or carers</w:t>
            </w:r>
          </w:p>
        </w:tc>
        <w:tc>
          <w:tcPr>
            <w:tcW w:w="1368"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Privately funded in home support</w:t>
            </w:r>
          </w:p>
        </w:tc>
        <w:tc>
          <w:tcPr>
            <w:tcW w:w="1345" w:type="pct"/>
            <w:vAlign w:val="center"/>
          </w:tcPr>
          <w:p w:rsidR="00CE1469" w:rsidRPr="00F6415D" w:rsidRDefault="00CE1469" w:rsidP="00886077">
            <w:pPr>
              <w:pStyle w:val="Tabletext1"/>
              <w:rPr>
                <w:rFonts w:ascii="Segoe UI" w:hAnsi="Segoe UI" w:cs="Segoe UI"/>
              </w:rPr>
            </w:pPr>
          </w:p>
        </w:tc>
        <w:tc>
          <w:tcPr>
            <w:tcW w:w="1076" w:type="pct"/>
            <w:vAlign w:val="center"/>
          </w:tcPr>
          <w:p w:rsidR="00CE1469" w:rsidRPr="00F6415D" w:rsidRDefault="00CE1469" w:rsidP="00886077">
            <w:pPr>
              <w:pStyle w:val="Tabletext1"/>
              <w:rPr>
                <w:rFonts w:ascii="Segoe UI" w:hAnsi="Segoe UI" w:cs="Segoe UI"/>
                <w:color w:val="000000"/>
              </w:rPr>
            </w:pPr>
            <w:r w:rsidRPr="00F6415D">
              <w:rPr>
                <w:rFonts w:ascii="Segoe UI" w:hAnsi="Segoe UI" w:cs="Segoe UI"/>
                <w:color w:val="000000"/>
              </w:rPr>
              <w:t>15%</w:t>
            </w:r>
          </w:p>
        </w:tc>
      </w:tr>
      <w:tr w:rsidR="00CE1469" w:rsidRPr="00F6415D" w:rsidTr="00CE1469">
        <w:tc>
          <w:tcPr>
            <w:tcW w:w="1211" w:type="pct"/>
          </w:tcPr>
          <w:p w:rsidR="00CE1469" w:rsidRPr="00F6415D" w:rsidRDefault="00CE1469" w:rsidP="00886077">
            <w:pPr>
              <w:pStyle w:val="Tabletext1"/>
              <w:rPr>
                <w:rFonts w:ascii="Segoe UI" w:hAnsi="Segoe UI" w:cs="Segoe UI"/>
              </w:rPr>
            </w:pPr>
            <w:r w:rsidRPr="00F6415D">
              <w:rPr>
                <w:rFonts w:ascii="Segoe UI" w:hAnsi="Segoe UI" w:cs="Segoe UI"/>
              </w:rPr>
              <w:t>Help at home from family, friends or carers</w:t>
            </w:r>
          </w:p>
        </w:tc>
        <w:tc>
          <w:tcPr>
            <w:tcW w:w="1368"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Government funded in home support</w:t>
            </w:r>
          </w:p>
        </w:tc>
        <w:tc>
          <w:tcPr>
            <w:tcW w:w="1345" w:type="pct"/>
            <w:vAlign w:val="center"/>
          </w:tcPr>
          <w:p w:rsidR="00CE1469" w:rsidRPr="00F6415D" w:rsidRDefault="00CE1469" w:rsidP="00886077">
            <w:pPr>
              <w:pStyle w:val="Tabletext1"/>
              <w:rPr>
                <w:rFonts w:ascii="Segoe UI" w:hAnsi="Segoe UI" w:cs="Segoe UI"/>
              </w:rPr>
            </w:pPr>
          </w:p>
        </w:tc>
        <w:tc>
          <w:tcPr>
            <w:tcW w:w="1076" w:type="pct"/>
            <w:vAlign w:val="center"/>
          </w:tcPr>
          <w:p w:rsidR="00CE1469" w:rsidRPr="00F6415D" w:rsidRDefault="00CE1469" w:rsidP="00886077">
            <w:pPr>
              <w:pStyle w:val="Tabletext1"/>
              <w:rPr>
                <w:rFonts w:ascii="Segoe UI" w:hAnsi="Segoe UI" w:cs="Segoe UI"/>
                <w:color w:val="000000"/>
              </w:rPr>
            </w:pPr>
            <w:r w:rsidRPr="00F6415D">
              <w:rPr>
                <w:rFonts w:ascii="Segoe UI" w:hAnsi="Segoe UI" w:cs="Segoe UI"/>
                <w:color w:val="000000"/>
              </w:rPr>
              <w:t>7%</w:t>
            </w:r>
          </w:p>
        </w:tc>
      </w:tr>
      <w:tr w:rsidR="00CE1469" w:rsidRPr="00F6415D" w:rsidTr="00CE1469">
        <w:tc>
          <w:tcPr>
            <w:tcW w:w="1211" w:type="pct"/>
          </w:tcPr>
          <w:p w:rsidR="00CE1469" w:rsidRPr="00F6415D" w:rsidRDefault="00CE1469" w:rsidP="00886077">
            <w:pPr>
              <w:pStyle w:val="Tabletext1"/>
              <w:rPr>
                <w:rFonts w:ascii="Segoe UI" w:hAnsi="Segoe UI" w:cs="Segoe UI"/>
              </w:rPr>
            </w:pPr>
            <w:r w:rsidRPr="00F6415D">
              <w:rPr>
                <w:rFonts w:ascii="Segoe UI" w:hAnsi="Segoe UI" w:cs="Segoe UI"/>
              </w:rPr>
              <w:t>Help at home from family, friends or carers</w:t>
            </w:r>
          </w:p>
        </w:tc>
        <w:tc>
          <w:tcPr>
            <w:tcW w:w="1368"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Government funded in home care package</w:t>
            </w:r>
          </w:p>
        </w:tc>
        <w:tc>
          <w:tcPr>
            <w:tcW w:w="1345" w:type="pct"/>
            <w:vAlign w:val="center"/>
          </w:tcPr>
          <w:p w:rsidR="00CE1469" w:rsidRPr="00F6415D" w:rsidRDefault="00CE1469" w:rsidP="00886077">
            <w:pPr>
              <w:pStyle w:val="Tabletext1"/>
              <w:rPr>
                <w:rFonts w:ascii="Segoe UI" w:hAnsi="Segoe UI" w:cs="Segoe UI"/>
              </w:rPr>
            </w:pPr>
          </w:p>
        </w:tc>
        <w:tc>
          <w:tcPr>
            <w:tcW w:w="1076" w:type="pct"/>
            <w:vAlign w:val="center"/>
          </w:tcPr>
          <w:p w:rsidR="00CE1469" w:rsidRPr="00F6415D" w:rsidRDefault="00CE1469" w:rsidP="00886077">
            <w:pPr>
              <w:pStyle w:val="Tabletext1"/>
              <w:rPr>
                <w:rFonts w:ascii="Segoe UI" w:hAnsi="Segoe UI" w:cs="Segoe UI"/>
                <w:color w:val="000000"/>
              </w:rPr>
            </w:pPr>
            <w:r w:rsidRPr="00F6415D">
              <w:rPr>
                <w:rFonts w:ascii="Segoe UI" w:hAnsi="Segoe UI" w:cs="Segoe UI"/>
                <w:color w:val="000000"/>
              </w:rPr>
              <w:t>6%</w:t>
            </w:r>
          </w:p>
        </w:tc>
      </w:tr>
      <w:tr w:rsidR="00CE1469" w:rsidRPr="00F6415D" w:rsidTr="00CE1469">
        <w:tc>
          <w:tcPr>
            <w:tcW w:w="1211" w:type="pct"/>
          </w:tcPr>
          <w:p w:rsidR="00CE1469" w:rsidRPr="00F6415D" w:rsidRDefault="00CE1469" w:rsidP="00886077">
            <w:pPr>
              <w:pStyle w:val="Tabletext1"/>
              <w:rPr>
                <w:rFonts w:ascii="Segoe UI" w:hAnsi="Segoe UI" w:cs="Segoe UI"/>
              </w:rPr>
            </w:pPr>
            <w:r w:rsidRPr="00F6415D">
              <w:rPr>
                <w:rFonts w:ascii="Segoe UI" w:hAnsi="Segoe UI" w:cs="Segoe UI"/>
              </w:rPr>
              <w:t>Help at home from family, friends or carers</w:t>
            </w:r>
          </w:p>
        </w:tc>
        <w:tc>
          <w:tcPr>
            <w:tcW w:w="1368"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Retirement village (independent living)</w:t>
            </w:r>
          </w:p>
        </w:tc>
        <w:tc>
          <w:tcPr>
            <w:tcW w:w="1345" w:type="pct"/>
            <w:vAlign w:val="center"/>
          </w:tcPr>
          <w:p w:rsidR="00CE1469" w:rsidRPr="00F6415D" w:rsidRDefault="00CE1469" w:rsidP="00886077">
            <w:pPr>
              <w:pStyle w:val="Tabletext1"/>
              <w:rPr>
                <w:rFonts w:ascii="Segoe UI" w:hAnsi="Segoe UI" w:cs="Segoe UI"/>
              </w:rPr>
            </w:pPr>
          </w:p>
        </w:tc>
        <w:tc>
          <w:tcPr>
            <w:tcW w:w="1076" w:type="pct"/>
            <w:vAlign w:val="center"/>
          </w:tcPr>
          <w:p w:rsidR="00CE1469" w:rsidRPr="00F6415D" w:rsidRDefault="00CE1469" w:rsidP="00886077">
            <w:pPr>
              <w:pStyle w:val="Tabletext1"/>
              <w:rPr>
                <w:rFonts w:ascii="Segoe UI" w:hAnsi="Segoe UI" w:cs="Segoe UI"/>
                <w:color w:val="000000"/>
              </w:rPr>
            </w:pPr>
            <w:r w:rsidRPr="00F6415D">
              <w:rPr>
                <w:rFonts w:ascii="Segoe UI" w:hAnsi="Segoe UI" w:cs="Segoe UI"/>
                <w:color w:val="000000"/>
              </w:rPr>
              <w:t>4%</w:t>
            </w:r>
          </w:p>
        </w:tc>
      </w:tr>
      <w:tr w:rsidR="00CE1469" w:rsidRPr="00F6415D" w:rsidTr="00CE1469">
        <w:tc>
          <w:tcPr>
            <w:tcW w:w="1211" w:type="pct"/>
          </w:tcPr>
          <w:p w:rsidR="00CE1469" w:rsidRPr="00F6415D" w:rsidRDefault="00CE1469" w:rsidP="00886077">
            <w:pPr>
              <w:pStyle w:val="Tabletext1"/>
              <w:rPr>
                <w:rFonts w:ascii="Segoe UI" w:hAnsi="Segoe UI" w:cs="Segoe UI"/>
              </w:rPr>
            </w:pPr>
            <w:r w:rsidRPr="00F6415D">
              <w:rPr>
                <w:rFonts w:ascii="Segoe UI" w:hAnsi="Segoe UI" w:cs="Segoe UI"/>
              </w:rPr>
              <w:t>Help at home from family, friends or carers</w:t>
            </w:r>
          </w:p>
        </w:tc>
        <w:tc>
          <w:tcPr>
            <w:tcW w:w="1368"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Privately funded in home support</w:t>
            </w:r>
          </w:p>
        </w:tc>
        <w:tc>
          <w:tcPr>
            <w:tcW w:w="1345" w:type="pct"/>
            <w:vAlign w:val="center"/>
          </w:tcPr>
          <w:p w:rsidR="00CE1469" w:rsidRPr="00F6415D" w:rsidRDefault="00CE1469" w:rsidP="00886077">
            <w:pPr>
              <w:pStyle w:val="Tabletext1"/>
              <w:rPr>
                <w:rFonts w:ascii="Segoe UI" w:hAnsi="Segoe UI" w:cs="Segoe UI"/>
              </w:rPr>
            </w:pPr>
            <w:r w:rsidRPr="00F6415D">
              <w:rPr>
                <w:rFonts w:ascii="Segoe UI" w:hAnsi="Segoe UI" w:cs="Segoe UI"/>
              </w:rPr>
              <w:t>Government funded in home support</w:t>
            </w:r>
          </w:p>
        </w:tc>
        <w:tc>
          <w:tcPr>
            <w:tcW w:w="1076" w:type="pct"/>
            <w:vAlign w:val="center"/>
          </w:tcPr>
          <w:p w:rsidR="00CE1469" w:rsidRPr="00F6415D" w:rsidRDefault="00CE1469" w:rsidP="00886077">
            <w:pPr>
              <w:pStyle w:val="Tabletext1"/>
              <w:rPr>
                <w:rFonts w:ascii="Segoe UI" w:hAnsi="Segoe UI" w:cs="Segoe UI"/>
                <w:color w:val="000000"/>
              </w:rPr>
            </w:pPr>
            <w:r w:rsidRPr="00F6415D">
              <w:rPr>
                <w:rFonts w:ascii="Segoe UI" w:hAnsi="Segoe UI" w:cs="Segoe UI"/>
                <w:color w:val="000000"/>
              </w:rPr>
              <w:t>3%</w:t>
            </w:r>
          </w:p>
        </w:tc>
      </w:tr>
    </w:tbl>
    <w:p w:rsidR="00CE1469" w:rsidRPr="00F6415D" w:rsidRDefault="00CE1469" w:rsidP="002056EC">
      <w:pPr>
        <w:pStyle w:val="BodyText"/>
        <w:rPr>
          <w:rFonts w:ascii="Segoe UI" w:hAnsi="Segoe UI" w:cs="Segoe UI"/>
        </w:rPr>
      </w:pPr>
      <w:r w:rsidRPr="00F6415D">
        <w:rPr>
          <w:rFonts w:ascii="Segoe UI" w:hAnsi="Segoe UI" w:cs="Segoe UI"/>
        </w:rPr>
        <w:t>Of those who are currently accessing aged care services, 26 per cent (288 people) are only accessing government funded aged care services.</w:t>
      </w:r>
    </w:p>
    <w:p w:rsidR="00CE1469" w:rsidRPr="00F6415D" w:rsidRDefault="00CE1469" w:rsidP="002056EC">
      <w:pPr>
        <w:pStyle w:val="Heading2"/>
        <w:rPr>
          <w:rFonts w:ascii="Segoe UI" w:hAnsi="Segoe UI" w:cs="Segoe UI"/>
          <w:lang w:val="en-GB"/>
        </w:rPr>
      </w:pPr>
      <w:bookmarkStart w:id="215" w:name="_Toc527561559"/>
      <w:bookmarkStart w:id="216" w:name="_Toc527564633"/>
      <w:bookmarkStart w:id="217" w:name="_Toc528224262"/>
      <w:bookmarkStart w:id="218" w:name="_Toc528861143"/>
      <w:bookmarkStart w:id="219" w:name="_Toc529890586"/>
      <w:bookmarkStart w:id="220" w:name="_Ref531161754"/>
      <w:bookmarkStart w:id="221" w:name="_Ref531161756"/>
      <w:bookmarkStart w:id="222" w:name="_Toc531271093"/>
      <w:bookmarkStart w:id="223" w:name="_Toc532206389"/>
      <w:r w:rsidRPr="00F6415D">
        <w:rPr>
          <w:rFonts w:ascii="Segoe UI" w:hAnsi="Segoe UI" w:cs="Segoe UI"/>
          <w:lang w:val="en-GB"/>
        </w:rPr>
        <w:lastRenderedPageBreak/>
        <w:t xml:space="preserve">Challenges with </w:t>
      </w:r>
      <w:r w:rsidRPr="00F6415D">
        <w:rPr>
          <w:rFonts w:ascii="Segoe UI" w:hAnsi="Segoe UI" w:cs="Segoe UI"/>
        </w:rPr>
        <w:t>paying for aged care</w:t>
      </w:r>
      <w:bookmarkEnd w:id="215"/>
      <w:bookmarkEnd w:id="216"/>
      <w:bookmarkEnd w:id="217"/>
      <w:bookmarkEnd w:id="218"/>
      <w:bookmarkEnd w:id="219"/>
      <w:bookmarkEnd w:id="220"/>
      <w:bookmarkEnd w:id="221"/>
      <w:bookmarkEnd w:id="222"/>
      <w:bookmarkEnd w:id="223"/>
    </w:p>
    <w:p w:rsidR="00CE1469" w:rsidRPr="00F6415D" w:rsidRDefault="00CE1469" w:rsidP="006E6C2E">
      <w:pPr>
        <w:pStyle w:val="BodyText"/>
        <w:rPr>
          <w:rFonts w:ascii="Segoe UI" w:hAnsi="Segoe UI" w:cs="Segoe UI"/>
        </w:rPr>
      </w:pPr>
      <w:bookmarkStart w:id="224" w:name="_Toc528861144"/>
      <w:bookmarkStart w:id="225" w:name="_Toc522190405"/>
      <w:bookmarkStart w:id="226" w:name="_Toc523408257"/>
      <w:bookmarkStart w:id="227" w:name="_Toc523482238"/>
      <w:bookmarkEnd w:id="195"/>
      <w:bookmarkEnd w:id="196"/>
      <w:bookmarkEnd w:id="197"/>
      <w:r w:rsidRPr="00F6415D">
        <w:rPr>
          <w:rFonts w:ascii="Segoe UI" w:hAnsi="Segoe UI" w:cs="Segoe UI"/>
        </w:rPr>
        <w:t>This chapter provides a summary of the findings from the ACFA consumer survey and stakeholder consultations regarding the challenges identified with paying for aged care.</w:t>
      </w:r>
    </w:p>
    <w:p w:rsidR="00CE1469" w:rsidRPr="00F6415D" w:rsidRDefault="00CE1469" w:rsidP="006E6C2E">
      <w:pPr>
        <w:pStyle w:val="BodyText"/>
        <w:rPr>
          <w:rFonts w:ascii="Segoe UI" w:hAnsi="Segoe UI" w:cs="Segoe UI"/>
        </w:rPr>
      </w:pPr>
      <w:r w:rsidRPr="00F6415D">
        <w:rPr>
          <w:rFonts w:ascii="Segoe UI" w:hAnsi="Segoe UI" w:cs="Segoe UI"/>
        </w:rPr>
        <w:t xml:space="preserve">While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 xml:space="preserve">identified that half of consumers are not worried about paying for their aged care, half are therefore worried. It is unknown whether the half that are not worried have a sufficient understanding of the issues and costs as this was not examined. This chapter explores different challenges consumers face when paying for aged care and the impact their chosen aged care service has on their ability to pay. </w:t>
      </w:r>
    </w:p>
    <w:p w:rsidR="00CE1469" w:rsidRPr="00F6415D" w:rsidRDefault="00CE1469" w:rsidP="006E6C2E">
      <w:pPr>
        <w:pStyle w:val="BodyText"/>
        <w:rPr>
          <w:rFonts w:ascii="Segoe UI" w:hAnsi="Segoe UI" w:cs="Segoe UI"/>
        </w:rPr>
      </w:pPr>
      <w:r w:rsidRPr="00F6415D">
        <w:rPr>
          <w:rFonts w:ascii="Segoe UI" w:hAnsi="Segoe UI" w:cs="Segoe UI"/>
        </w:rPr>
        <w:t>While some identified challenges can be attributed to the care type, general challenges for rural and remote consumers, special needs groups, and financial abuse have been identified.</w:t>
      </w:r>
    </w:p>
    <w:p w:rsidR="00CE1469" w:rsidRPr="00F6415D" w:rsidRDefault="00CE1469" w:rsidP="006E6C2E">
      <w:pPr>
        <w:pStyle w:val="BodyText"/>
        <w:rPr>
          <w:rFonts w:ascii="Segoe UI" w:hAnsi="Segoe UI" w:cs="Segoe UI"/>
        </w:rPr>
      </w:pPr>
      <w:r w:rsidRPr="00F6415D">
        <w:rPr>
          <w:rFonts w:ascii="Segoe UI" w:hAnsi="Segoe UI" w:cs="Segoe UI"/>
        </w:rPr>
        <w:t>This chapter also explores how these challenges may be a barrier to consumers engaging wi</w:t>
      </w:r>
      <w:r w:rsidRPr="00F6415D">
        <w:rPr>
          <w:rStyle w:val="BodyTextChar"/>
          <w:rFonts w:ascii="Segoe UI" w:hAnsi="Segoe UI" w:cs="Segoe UI"/>
        </w:rPr>
        <w:t xml:space="preserve">th </w:t>
      </w:r>
      <w:r w:rsidRPr="00F6415D">
        <w:rPr>
          <w:rFonts w:ascii="Segoe UI" w:hAnsi="Segoe UI" w:cs="Segoe UI"/>
        </w:rPr>
        <w:t xml:space="preserve">the planning stages identified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_Ref531779042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3</w:t>
      </w:r>
      <w:r w:rsidR="00A5778B" w:rsidRPr="00F6415D">
        <w:rPr>
          <w:rFonts w:ascii="Segoe UI" w:hAnsi="Segoe UI" w:cs="Segoe UI"/>
        </w:rPr>
        <w:fldChar w:fldCharType="end"/>
      </w:r>
      <w:r w:rsidRPr="00F6415D">
        <w:rPr>
          <w:rFonts w:ascii="Segoe UI" w:hAnsi="Segoe UI" w:cs="Segoe UI"/>
        </w:rPr>
        <w:t>.</w:t>
      </w:r>
    </w:p>
    <w:p w:rsidR="00CE1469" w:rsidRPr="00F6415D" w:rsidRDefault="00CE1469" w:rsidP="006E6C2E">
      <w:pPr>
        <w:pStyle w:val="Heading3"/>
        <w:rPr>
          <w:rFonts w:ascii="Segoe UI" w:hAnsi="Segoe UI" w:cs="Segoe UI"/>
        </w:rPr>
      </w:pPr>
      <w:bookmarkStart w:id="228" w:name="_Toc529890587"/>
      <w:bookmarkStart w:id="229" w:name="_Toc531271094"/>
      <w:bookmarkStart w:id="230" w:name="_Toc532206390"/>
      <w:r w:rsidRPr="00F6415D">
        <w:rPr>
          <w:rFonts w:ascii="Segoe UI" w:hAnsi="Segoe UI" w:cs="Segoe UI"/>
        </w:rPr>
        <w:t>Costs as a barrier to accessing aged care</w:t>
      </w:r>
      <w:bookmarkEnd w:id="224"/>
      <w:bookmarkEnd w:id="228"/>
      <w:bookmarkEnd w:id="229"/>
      <w:bookmarkEnd w:id="230"/>
      <w:r w:rsidRPr="00F6415D">
        <w:rPr>
          <w:rFonts w:ascii="Segoe UI" w:hAnsi="Segoe UI" w:cs="Segoe UI"/>
        </w:rPr>
        <w:t xml:space="preserve"> </w:t>
      </w:r>
    </w:p>
    <w:p w:rsidR="00CE1469" w:rsidRPr="00F6415D" w:rsidRDefault="00CE1469" w:rsidP="006E6C2E">
      <w:pPr>
        <w:pStyle w:val="BodyText"/>
        <w:rPr>
          <w:rFonts w:ascii="Segoe UI" w:hAnsi="Segoe UI" w:cs="Segoe UI"/>
        </w:rPr>
      </w:pPr>
      <w:r w:rsidRPr="00F6415D">
        <w:rPr>
          <w:rFonts w:ascii="Segoe UI" w:hAnsi="Segoe UI" w:cs="Segoe UI"/>
        </w:rPr>
        <w:t>Consumer attitudes towards paying for current or future aged care vary. However, the consumer survey identified some trends that may raise concerns.</w:t>
      </w:r>
    </w:p>
    <w:p w:rsidR="00FE0CF6" w:rsidRDefault="00CE1469" w:rsidP="006E6C2E">
      <w:pPr>
        <w:pStyle w:val="BodyText"/>
        <w:rPr>
          <w:rFonts w:ascii="Segoe UI" w:hAnsi="Segoe UI" w:cs="Segoe UI"/>
        </w:rPr>
      </w:pPr>
      <w:r w:rsidRPr="00F6415D">
        <w:rPr>
          <w:rFonts w:ascii="Segoe UI" w:hAnsi="Segoe UI" w:cs="Segoe UI"/>
        </w:rPr>
        <w:t>In stakeholder consultations, it was identified that some consumers were refusing aged care services that they were eligible for. The survey sought to understand why this occurred and whether this was due to the aged care costs. Twenty per cent of respondents who had refused services felt that they could not afford the service.</w:t>
      </w:r>
    </w:p>
    <w:p w:rsidR="00CE1469" w:rsidRPr="00F6415D" w:rsidRDefault="00CE1469" w:rsidP="00203A59">
      <w:pPr>
        <w:pStyle w:val="FigureTitle"/>
        <w:rPr>
          <w:rFonts w:ascii="Segoe UI" w:hAnsi="Segoe UI" w:cs="Segoe UI"/>
          <w:i/>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9</w:t>
      </w:r>
      <w:r w:rsidRPr="00F6415D">
        <w:rPr>
          <w:rFonts w:ascii="Segoe UI" w:hAnsi="Segoe UI" w:cs="Segoe UI"/>
          <w:i/>
          <w:noProof/>
        </w:rPr>
        <w:fldChar w:fldCharType="end"/>
      </w:r>
      <w:r w:rsidRPr="00F6415D">
        <w:rPr>
          <w:rFonts w:ascii="Segoe UI" w:hAnsi="Segoe UI" w:cs="Segoe UI"/>
          <w:i/>
        </w:rPr>
        <w:t>: Reasons why consumers are not accessing services they have been assessed as needing</w:t>
      </w:r>
    </w:p>
    <w:p w:rsidR="00CE1469" w:rsidRPr="00F6415D" w:rsidRDefault="005063A6" w:rsidP="006E6C2E">
      <w:pPr>
        <w:pStyle w:val="BodyText"/>
        <w:rPr>
          <w:rFonts w:ascii="Segoe UI" w:hAnsi="Segoe UI" w:cs="Segoe UI"/>
        </w:rPr>
      </w:pPr>
      <w:r w:rsidRPr="00F6415D">
        <w:rPr>
          <w:rFonts w:ascii="Segoe UI" w:hAnsi="Segoe UI" w:cs="Segoe UI"/>
          <w:noProof/>
          <w:lang w:eastAsia="en-AU"/>
        </w:rPr>
        <w:drawing>
          <wp:inline distT="0" distB="0" distL="0" distR="0" wp14:anchorId="27E08C95">
            <wp:extent cx="5126990" cy="2798445"/>
            <wp:effectExtent l="0" t="0" r="0" b="0"/>
            <wp:docPr id="58" name="Picture 58" descr="Figure 9, a bar chart, outlines the reasons why consumers are not accessing services they have been assessed as needing. " title="Figure 9: Reasons why consumers are not accessing services they have been assessed as nee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26990" cy="2798445"/>
                    </a:xfrm>
                    <a:prstGeom prst="rect">
                      <a:avLst/>
                    </a:prstGeom>
                    <a:noFill/>
                  </pic:spPr>
                </pic:pic>
              </a:graphicData>
            </a:graphic>
          </wp:inline>
        </w:drawing>
      </w:r>
    </w:p>
    <w:p w:rsidR="00CA14BD" w:rsidRPr="00F6415D" w:rsidRDefault="00CE1469" w:rsidP="006E6C2E">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6E6C2E">
      <w:pPr>
        <w:pStyle w:val="BodyText"/>
        <w:rPr>
          <w:rFonts w:ascii="Segoe UI" w:hAnsi="Segoe UI" w:cs="Segoe UI"/>
        </w:rPr>
      </w:pPr>
      <w:r w:rsidRPr="00F6415D">
        <w:rPr>
          <w:rFonts w:ascii="Segoe UI" w:hAnsi="Segoe UI" w:cs="Segoe UI"/>
        </w:rPr>
        <w:t xml:space="preserve">For those respondents who indicated they are not accessing services they have been assessed as needing because of affordability issues, two-thirds reported earning less </w:t>
      </w:r>
      <w:r w:rsidRPr="00F6415D">
        <w:rPr>
          <w:rFonts w:ascii="Segoe UI" w:hAnsi="Segoe UI" w:cs="Segoe UI"/>
        </w:rPr>
        <w:lastRenderedPageBreak/>
        <w:t>than $80,000 per annum. There were no significant differences in responses by females and males (46 and 54 per cent respectively).</w:t>
      </w:r>
    </w:p>
    <w:p w:rsidR="00CE1469" w:rsidRPr="00F6415D" w:rsidRDefault="00CE1469" w:rsidP="006E6C2E">
      <w:pPr>
        <w:pStyle w:val="BodyText"/>
        <w:rPr>
          <w:rFonts w:ascii="Segoe UI" w:hAnsi="Segoe UI" w:cs="Segoe UI"/>
        </w:rPr>
      </w:pPr>
      <w:r w:rsidRPr="00F6415D">
        <w:rPr>
          <w:rFonts w:ascii="Segoe UI" w:hAnsi="Segoe UI" w:cs="Segoe UI"/>
        </w:rPr>
        <w:t xml:space="preserve">The survey indicates that for some consumers, cost appears to be an influencing factor when choosing their care, with 38 per cent either somewhat or strongly disagreeing with the statement </w:t>
      </w:r>
      <w:r w:rsidRPr="00F6415D">
        <w:rPr>
          <w:rFonts w:ascii="Segoe UI" w:hAnsi="Segoe UI" w:cs="Segoe UI"/>
          <w:i/>
        </w:rPr>
        <w:t>‘I always choose the best aged care services available, regardless of the price’</w:t>
      </w:r>
      <w:r w:rsidRPr="00F6415D">
        <w:rPr>
          <w:rFonts w:ascii="Segoe UI" w:hAnsi="Segoe UI" w:cs="Segoe UI"/>
        </w:rPr>
        <w:t xml:space="preserve">. </w:t>
      </w:r>
    </w:p>
    <w:p w:rsidR="00CE1469" w:rsidRPr="00F6415D" w:rsidRDefault="00CE1469" w:rsidP="006E6C2E">
      <w:pPr>
        <w:pStyle w:val="Heading3"/>
        <w:rPr>
          <w:rFonts w:ascii="Segoe UI" w:hAnsi="Segoe UI" w:cs="Segoe UI"/>
        </w:rPr>
      </w:pPr>
      <w:bookmarkStart w:id="231" w:name="_Toc531271095"/>
      <w:bookmarkStart w:id="232" w:name="_Toc532206391"/>
      <w:r w:rsidRPr="00F6415D">
        <w:rPr>
          <w:rFonts w:ascii="Segoe UI" w:hAnsi="Segoe UI" w:cs="Segoe UI"/>
        </w:rPr>
        <w:t>Barriers for low to medium level care to support independence at home</w:t>
      </w:r>
      <w:bookmarkEnd w:id="231"/>
      <w:bookmarkEnd w:id="232"/>
    </w:p>
    <w:p w:rsidR="00CE1469" w:rsidRPr="00F6415D" w:rsidRDefault="00CE1469" w:rsidP="00A4080F">
      <w:pPr>
        <w:pStyle w:val="BodyText"/>
        <w:rPr>
          <w:rFonts w:ascii="Segoe UI" w:hAnsi="Segoe UI" w:cs="Segoe UI"/>
        </w:rPr>
      </w:pPr>
      <w:r w:rsidRPr="00F6415D">
        <w:rPr>
          <w:rFonts w:ascii="Segoe UI" w:hAnsi="Segoe UI" w:cs="Segoe UI"/>
        </w:rPr>
        <w:t xml:space="preserve">Identified barriers to accessing low to medium level aged care included; the aged care fee structure for CHSP compared to home care as well as insufficient Australian Government aged care services resulting in an increased reliance on informal care and services. </w:t>
      </w:r>
    </w:p>
    <w:p w:rsidR="00CE1469" w:rsidRPr="00F6415D" w:rsidRDefault="00CE1469" w:rsidP="006E6C2E">
      <w:pPr>
        <w:pStyle w:val="ListBullet"/>
        <w:rPr>
          <w:rFonts w:ascii="Segoe UI" w:hAnsi="Segoe UI" w:cs="Segoe UI"/>
        </w:rPr>
      </w:pPr>
      <w:r w:rsidRPr="00F6415D">
        <w:rPr>
          <w:rFonts w:ascii="Segoe UI" w:hAnsi="Segoe UI" w:cs="Segoe UI"/>
          <w:b/>
        </w:rPr>
        <w:t>CHSP and home care interface:</w:t>
      </w:r>
      <w:r w:rsidRPr="00F6415D">
        <w:rPr>
          <w:rFonts w:ascii="Segoe UI" w:hAnsi="Segoe UI" w:cs="Segoe UI"/>
        </w:rPr>
        <w:t xml:space="preserve"> Stakeholder consultations advised that consumer contributions are not always collected for services delivered through CHSP, and as a result, it is often viewed as a free or low-cost support that offers excellent value. This contrasts to home care packages, where potential fees are higher than CHSP fees and potentially viewed as less value for money. </w:t>
      </w:r>
    </w:p>
    <w:p w:rsidR="00CE1469" w:rsidRPr="00F6415D" w:rsidRDefault="00CE1469" w:rsidP="006E6C2E">
      <w:pPr>
        <w:pStyle w:val="BodyTextIndent"/>
        <w:rPr>
          <w:rFonts w:ascii="Segoe UI" w:hAnsi="Segoe UI" w:cs="Segoe UI"/>
        </w:rPr>
      </w:pPr>
      <w:r w:rsidRPr="00F6415D">
        <w:rPr>
          <w:rFonts w:ascii="Segoe UI" w:hAnsi="Segoe UI" w:cs="Segoe UI"/>
        </w:rPr>
        <w:t>The reality (or perception) of lower fees for CHSP, for a similar type of care and services, has resulted in the following consumer behaviours:</w:t>
      </w:r>
    </w:p>
    <w:p w:rsidR="00CE1469" w:rsidRPr="00F6415D" w:rsidRDefault="00CE1469" w:rsidP="006E6C2E">
      <w:pPr>
        <w:pStyle w:val="ListBullet2"/>
        <w:rPr>
          <w:rFonts w:ascii="Segoe UI" w:hAnsi="Segoe UI" w:cs="Segoe UI"/>
        </w:rPr>
      </w:pPr>
      <w:r w:rsidRPr="00F6415D">
        <w:rPr>
          <w:rFonts w:ascii="Segoe UI" w:hAnsi="Segoe UI" w:cs="Segoe UI"/>
        </w:rPr>
        <w:t xml:space="preserve">Consumers may decline lower level home care packages in favour of receiving a similar level of care through CHSP for a lower, or no, cost. </w:t>
      </w:r>
    </w:p>
    <w:p w:rsidR="00CE1469" w:rsidRPr="00F6415D" w:rsidRDefault="00CE1469" w:rsidP="006E6C2E">
      <w:pPr>
        <w:pStyle w:val="ListBullet2"/>
        <w:rPr>
          <w:rFonts w:ascii="Segoe UI" w:hAnsi="Segoe UI" w:cs="Segoe UI"/>
        </w:rPr>
      </w:pPr>
      <w:r w:rsidRPr="00F6415D">
        <w:rPr>
          <w:rFonts w:ascii="Segoe UI" w:hAnsi="Segoe UI" w:cs="Segoe UI"/>
        </w:rPr>
        <w:t>Consumers may increase their CHSP services to create their own pseudo home care package at a lower, or no, cost.</w:t>
      </w:r>
    </w:p>
    <w:p w:rsidR="00CE1469" w:rsidRPr="00F6415D" w:rsidRDefault="00CE1469" w:rsidP="006E6C2E">
      <w:pPr>
        <w:pStyle w:val="ListBullet2"/>
        <w:rPr>
          <w:rFonts w:ascii="Segoe UI" w:hAnsi="Segoe UI" w:cs="Segoe UI"/>
        </w:rPr>
      </w:pPr>
      <w:r w:rsidRPr="00F6415D">
        <w:rPr>
          <w:rFonts w:ascii="Segoe UI" w:hAnsi="Segoe UI" w:cs="Segoe UI"/>
        </w:rPr>
        <w:t xml:space="preserve">Consumers may accept a lower level (interim) package in addition to CHSP services while they wait for a higher level package to become available. </w:t>
      </w:r>
    </w:p>
    <w:p w:rsidR="00CE1469" w:rsidRPr="00F6415D" w:rsidRDefault="00CE1469" w:rsidP="006E6C2E">
      <w:pPr>
        <w:pStyle w:val="ListBullet"/>
        <w:rPr>
          <w:rFonts w:ascii="Segoe UI" w:hAnsi="Segoe UI" w:cs="Segoe UI"/>
        </w:rPr>
      </w:pPr>
      <w:r w:rsidRPr="00F6415D">
        <w:rPr>
          <w:rFonts w:ascii="Segoe UI" w:hAnsi="Segoe UI" w:cs="Segoe UI"/>
          <w:b/>
        </w:rPr>
        <w:t>Home care packages:</w:t>
      </w:r>
      <w:r w:rsidRPr="00F6415D">
        <w:rPr>
          <w:rFonts w:ascii="Segoe UI" w:hAnsi="Segoe UI" w:cs="Segoe UI"/>
        </w:rPr>
        <w:t xml:space="preserve"> Stakeholder consultations advised that the flat structure of home care fees has resulted in a perception that consumers do not receive value for money from the lower level packages. This is particularly pertinent for consumers who pay an income-tested care fee. As such, consumers may decline lower level packages in favour of retaining CHSP services or accessing private (fee-for-service) care and services. However, it was also reported that these consumers would typically accept a higher level package when available, because of the perceived higher value. </w:t>
      </w:r>
    </w:p>
    <w:p w:rsidR="00CE1469" w:rsidRPr="00F6415D" w:rsidRDefault="00CE1469" w:rsidP="006E6C2E">
      <w:pPr>
        <w:pStyle w:val="BodyTextIndent"/>
        <w:rPr>
          <w:rFonts w:ascii="Segoe UI" w:hAnsi="Segoe UI" w:cs="Segoe UI"/>
        </w:rPr>
      </w:pPr>
      <w:r w:rsidRPr="00F6415D">
        <w:rPr>
          <w:rFonts w:ascii="Segoe UI" w:hAnsi="Segoe UI" w:cs="Segoe UI"/>
        </w:rPr>
        <w:t xml:space="preserve">The flat structure of home care fees may also compound perceptions of what constitutes value for money, particularly for consumers who pay the maximum income-tested care fee. This perception may also be a contributing factor for consumers accepting a higher level package prematurely which, in turn, may be leading to a corresponding increase in unspent funds from </w:t>
      </w:r>
      <w:r w:rsidRPr="00F6415D">
        <w:rPr>
          <w:rFonts w:ascii="Segoe UI" w:hAnsi="Segoe UI" w:cs="Segoe UI"/>
          <w:lang w:val="en-GB"/>
        </w:rPr>
        <w:t>$3,667 per consumer, at 30 June 2016 to $4,613 per consumer at 30 June 2017</w:t>
      </w:r>
      <w:r w:rsidR="001B5BED" w:rsidRPr="00F6415D">
        <w:rPr>
          <w:rFonts w:ascii="Segoe UI" w:hAnsi="Segoe UI" w:cs="Segoe UI"/>
        </w:rPr>
        <w:t xml:space="preserve">. </w:t>
      </w:r>
      <w:r w:rsidRPr="00F6415D">
        <w:rPr>
          <w:rFonts w:ascii="Segoe UI" w:hAnsi="Segoe UI" w:cs="Segoe UI"/>
        </w:rPr>
        <w:t xml:space="preserve">As noted in the 2018 ACFA Annual Report, ACFA </w:t>
      </w:r>
      <w:r w:rsidRPr="00F6415D">
        <w:rPr>
          <w:rFonts w:ascii="Segoe UI" w:hAnsi="Segoe UI" w:cs="Segoe UI"/>
          <w:lang w:val="en-GB"/>
        </w:rPr>
        <w:t>considers that a review of policies concerning unspent funds and the implications for the home care program funding is warranted.</w:t>
      </w:r>
    </w:p>
    <w:p w:rsidR="00CE1469" w:rsidRPr="00F6415D" w:rsidRDefault="00CE1469" w:rsidP="006E6C2E">
      <w:pPr>
        <w:pStyle w:val="BodyTextIndent"/>
        <w:rPr>
          <w:rFonts w:ascii="Segoe UI" w:hAnsi="Segoe UI" w:cs="Segoe UI"/>
        </w:rPr>
      </w:pPr>
      <w:r w:rsidRPr="00F6415D">
        <w:rPr>
          <w:rFonts w:ascii="Segoe UI" w:hAnsi="Segoe UI" w:cs="Segoe UI"/>
        </w:rPr>
        <w:t xml:space="preserve">These perceptions and behaviours are likely to be impacting on the national prioritisation queue. This arises from consumers in receipt of a lower level </w:t>
      </w:r>
      <w:r w:rsidRPr="00F6415D">
        <w:rPr>
          <w:rFonts w:ascii="Segoe UI" w:hAnsi="Segoe UI" w:cs="Segoe UI"/>
        </w:rPr>
        <w:lastRenderedPageBreak/>
        <w:t xml:space="preserve">package remaining in the queue, because they are waiting to receive the perceived increased value of the higher-level packages. As noted in the 2018 ACFA Annual Report, ACFA </w:t>
      </w:r>
      <w:r w:rsidRPr="00F6415D">
        <w:rPr>
          <w:rFonts w:ascii="Segoe UI" w:hAnsi="Segoe UI" w:cs="Segoe UI"/>
          <w:lang w:val="en-GB"/>
        </w:rPr>
        <w:t xml:space="preserve">considers </w:t>
      </w:r>
      <w:r w:rsidRPr="00F6415D">
        <w:rPr>
          <w:rFonts w:ascii="Segoe UI" w:hAnsi="Segoe UI" w:cs="Segoe UI"/>
        </w:rPr>
        <w:t>that further analysis is required to better understand the extent to which the queue represents actual unmet need and whether the current home care package fee structure is compounding waiting times</w:t>
      </w:r>
      <w:r w:rsidR="001B5BED" w:rsidRPr="00F6415D">
        <w:rPr>
          <w:rFonts w:ascii="Segoe UI" w:hAnsi="Segoe UI" w:cs="Segoe UI"/>
        </w:rPr>
        <w:t xml:space="preserve">. </w:t>
      </w:r>
    </w:p>
    <w:p w:rsidR="00CE1469" w:rsidRPr="00F6415D" w:rsidRDefault="00CE1469" w:rsidP="006E6C2E">
      <w:pPr>
        <w:pStyle w:val="ListBullet"/>
        <w:rPr>
          <w:rFonts w:ascii="Segoe UI" w:hAnsi="Segoe UI" w:cs="Segoe UI"/>
        </w:rPr>
      </w:pPr>
      <w:r w:rsidRPr="00F6415D">
        <w:rPr>
          <w:rFonts w:ascii="Segoe UI" w:hAnsi="Segoe UI" w:cs="Segoe UI"/>
          <w:b/>
        </w:rPr>
        <w:t>Financial hardship assistance for home care packages:</w:t>
      </w:r>
      <w:r w:rsidRPr="00F6415D">
        <w:rPr>
          <w:rFonts w:ascii="Segoe UI" w:hAnsi="Segoe UI" w:cs="Segoe UI"/>
        </w:rPr>
        <w:t xml:space="preserve"> From 1 July 2014, home care consumers are able to apply for financial hardship assistance with their fees. However, approval rates remain low. This is likely due to the essential expenses threshold being the same threshold used for residential aged care and as such, does not allow for differences in full income needs. ACFA considers that a review of rejected hardship applications for the home care program should be undertaken to determine if this threshold needs to be adjusted.</w:t>
      </w:r>
    </w:p>
    <w:p w:rsidR="00CE1469" w:rsidRPr="00F6415D" w:rsidRDefault="00CE1469" w:rsidP="006E6C2E">
      <w:pPr>
        <w:pStyle w:val="ListBullet"/>
        <w:rPr>
          <w:rFonts w:ascii="Segoe UI" w:hAnsi="Segoe UI" w:cs="Segoe UI"/>
        </w:rPr>
      </w:pPr>
      <w:r w:rsidRPr="00F6415D">
        <w:rPr>
          <w:rFonts w:ascii="Segoe UI" w:hAnsi="Segoe UI" w:cs="Segoe UI"/>
          <w:b/>
        </w:rPr>
        <w:t>Informal care and services:</w:t>
      </w:r>
      <w:r w:rsidRPr="00F6415D">
        <w:rPr>
          <w:rFonts w:ascii="Segoe UI" w:hAnsi="Segoe UI" w:cs="Segoe UI"/>
        </w:rPr>
        <w:t xml:space="preserve"> Stakeholder consultations reported that consumers whose home care packages are insufficient to cover their care needs may rely on informal care arrangements unless they can afford private (fee-for-service) care and services. </w:t>
      </w:r>
    </w:p>
    <w:p w:rsidR="00CE1469" w:rsidRPr="00F6415D" w:rsidRDefault="00CE1469" w:rsidP="006E6C2E">
      <w:pPr>
        <w:pStyle w:val="BodyTextIndent"/>
        <w:rPr>
          <w:rFonts w:ascii="Segoe UI" w:hAnsi="Segoe UI" w:cs="Segoe UI"/>
        </w:rPr>
      </w:pPr>
      <w:r w:rsidRPr="00F6415D">
        <w:rPr>
          <w:rFonts w:ascii="Segoe UI" w:hAnsi="Segoe UI" w:cs="Segoe UI"/>
        </w:rPr>
        <w:t>Previous research has shown that this care burden is more likely to fall on female family members who are then less likely to engage in the workforce due to the care burden.</w:t>
      </w:r>
      <w:r w:rsidRPr="00F6415D">
        <w:rPr>
          <w:rStyle w:val="EndnoteReference"/>
          <w:rFonts w:ascii="Segoe UI" w:hAnsi="Segoe UI" w:cs="Segoe UI"/>
        </w:rPr>
        <w:endnoteReference w:id="12"/>
      </w:r>
    </w:p>
    <w:p w:rsidR="00CE1469" w:rsidRPr="00F6415D" w:rsidRDefault="00CE1469" w:rsidP="006E6C2E">
      <w:pPr>
        <w:pStyle w:val="BodyTextIndent"/>
        <w:rPr>
          <w:rFonts w:ascii="Segoe UI" w:hAnsi="Segoe UI" w:cs="Segoe UI"/>
        </w:rPr>
      </w:pPr>
      <w:r w:rsidRPr="00F6415D">
        <w:rPr>
          <w:rFonts w:ascii="Segoe UI" w:hAnsi="Segoe UI" w:cs="Segoe UI"/>
        </w:rPr>
        <w:t>Consultations with stakeholders revealed anecdotes of family members taking time off work, reducing working hours, resigning from employment and/or working ‘shifts’ with other family members to care for the ageing relative.</w:t>
      </w:r>
    </w:p>
    <w:p w:rsidR="00CE1469" w:rsidRPr="00F6415D" w:rsidRDefault="00CE1469" w:rsidP="006E6C2E">
      <w:pPr>
        <w:pStyle w:val="BodyTextIndent"/>
        <w:rPr>
          <w:rFonts w:ascii="Segoe UI" w:hAnsi="Segoe UI" w:cs="Segoe UI"/>
        </w:rPr>
      </w:pPr>
      <w:r w:rsidRPr="00F6415D">
        <w:rPr>
          <w:rFonts w:ascii="Segoe UI" w:hAnsi="Segoe UI" w:cs="Segoe UI"/>
        </w:rPr>
        <w:t>It was noted that the carer is likely to experience a personal financial impact, and in some instances may create a source of family conflict.</w:t>
      </w:r>
    </w:p>
    <w:p w:rsidR="00CE1469" w:rsidRPr="00F6415D" w:rsidRDefault="00CE1469" w:rsidP="006E6C2E">
      <w:pPr>
        <w:pStyle w:val="ListBullet"/>
        <w:rPr>
          <w:rFonts w:ascii="Segoe UI" w:hAnsi="Segoe UI" w:cs="Segoe UI"/>
        </w:rPr>
      </w:pPr>
      <w:r w:rsidRPr="00F6415D">
        <w:rPr>
          <w:rFonts w:ascii="Segoe UI" w:hAnsi="Segoe UI" w:cs="Segoe UI"/>
          <w:b/>
        </w:rPr>
        <w:t>Emerging strategies for home care fees:</w:t>
      </w:r>
      <w:r w:rsidRPr="00F6415D">
        <w:rPr>
          <w:rFonts w:ascii="Segoe UI" w:hAnsi="Segoe UI" w:cs="Segoe UI"/>
        </w:rPr>
        <w:t xml:space="preserve"> Stakeholder consultations advised that some home care providers, especially new providers, reported that they have commenced advertising no-fee home care packages whereby they do not collect the full, or any, basic daily fee. Stakeholders agree that many consumers see this as a positive measure to make care affordable and accessible, however, it is not clear if consumers realise they will receive a lower level of care and services as a result, and may represent a false economy for some consumers.</w:t>
      </w:r>
    </w:p>
    <w:p w:rsidR="00CE1469" w:rsidRPr="00F6415D" w:rsidRDefault="00CE1469" w:rsidP="006E6C2E">
      <w:pPr>
        <w:pStyle w:val="BodyTextIndent"/>
        <w:rPr>
          <w:rFonts w:ascii="Segoe UI" w:hAnsi="Segoe UI" w:cs="Segoe UI"/>
        </w:rPr>
      </w:pPr>
      <w:r w:rsidRPr="00F6415D">
        <w:rPr>
          <w:rFonts w:ascii="Segoe UI" w:hAnsi="Segoe UI" w:cs="Segoe UI"/>
        </w:rPr>
        <w:t xml:space="preserve">Another emerging advertising strategy from some providers is to offer consumers ‘deferred fee’ home care, where services are provided to a consumer approved for a home care package, but who is still waiting for its allocation. Services are provided to the consumer at no immediate cost, and once the package is allocated ‘payment’ is progressively deducted from the available package. </w:t>
      </w:r>
    </w:p>
    <w:p w:rsidR="00CE1469" w:rsidRPr="00F6415D" w:rsidRDefault="00CE1469" w:rsidP="006E6C2E">
      <w:pPr>
        <w:pStyle w:val="BodyTextIndent"/>
        <w:rPr>
          <w:rFonts w:ascii="Segoe UI" w:hAnsi="Segoe UI" w:cs="Segoe UI"/>
        </w:rPr>
      </w:pPr>
      <w:r w:rsidRPr="00F6415D">
        <w:rPr>
          <w:rFonts w:ascii="Segoe UI" w:hAnsi="Segoe UI" w:cs="Segoe UI"/>
        </w:rPr>
        <w:t xml:space="preserve">These strategies are driven by competitive behaviours of providers in marketing activities to attract consumers, who are in turn being influenced by the perceived cheaper costs as a way of managing the financial impact. </w:t>
      </w:r>
    </w:p>
    <w:p w:rsidR="00CE1469" w:rsidRPr="00F6415D" w:rsidRDefault="00CE1469" w:rsidP="00CE1469">
      <w:pPr>
        <w:pStyle w:val="BodyText"/>
        <w:rPr>
          <w:rFonts w:ascii="Segoe UI" w:hAnsi="Segoe UI" w:cs="Segoe UI"/>
        </w:rPr>
      </w:pPr>
      <w:r w:rsidRPr="00F6415D">
        <w:rPr>
          <w:rFonts w:ascii="Segoe UI" w:hAnsi="Segoe UI" w:cs="Segoe UI"/>
        </w:rPr>
        <w:t xml:space="preserve">A number of recommendations from the </w:t>
      </w:r>
      <w:r w:rsidRPr="00F6415D">
        <w:rPr>
          <w:rFonts w:ascii="Segoe UI" w:hAnsi="Segoe UI" w:cs="Segoe UI"/>
          <w:i/>
        </w:rPr>
        <w:t>Legislated Review of Aged Care 2017</w:t>
      </w:r>
      <w:r w:rsidRPr="00F6415D">
        <w:rPr>
          <w:rFonts w:ascii="Segoe UI" w:hAnsi="Segoe UI" w:cs="Segoe UI"/>
        </w:rPr>
        <w:t xml:space="preserve"> may assist with these issues. Specifically:</w:t>
      </w:r>
    </w:p>
    <w:p w:rsidR="00CE1469" w:rsidRPr="00F6415D" w:rsidRDefault="00CE1469" w:rsidP="006E6C2E">
      <w:pPr>
        <w:pStyle w:val="ListBullet"/>
        <w:rPr>
          <w:rFonts w:ascii="Segoe UI" w:hAnsi="Segoe UI" w:cs="Segoe UI"/>
          <w:lang w:val="en-US"/>
        </w:rPr>
      </w:pPr>
      <w:r w:rsidRPr="00F6415D">
        <w:rPr>
          <w:rFonts w:ascii="Segoe UI" w:hAnsi="Segoe UI" w:cs="Segoe UI"/>
          <w:b/>
          <w:lang w:val="en-US"/>
        </w:rPr>
        <w:t>Recommendation 11:</w:t>
      </w:r>
      <w:r w:rsidRPr="00F6415D">
        <w:rPr>
          <w:rFonts w:ascii="Segoe UI" w:hAnsi="Segoe UI" w:cs="Segoe UI"/>
          <w:lang w:val="en-US"/>
        </w:rPr>
        <w:t xml:space="preserve"> intends to enable </w:t>
      </w:r>
      <w:r w:rsidRPr="00F6415D">
        <w:rPr>
          <w:rFonts w:ascii="Segoe UI" w:hAnsi="Segoe UI" w:cs="Segoe UI"/>
        </w:rPr>
        <w:t xml:space="preserve">individuals </w:t>
      </w:r>
      <w:r w:rsidRPr="00F6415D">
        <w:rPr>
          <w:rFonts w:ascii="Segoe UI" w:hAnsi="Segoe UI" w:cs="Segoe UI"/>
          <w:lang w:val="en-US"/>
        </w:rPr>
        <w:t xml:space="preserve">to compare home care pricing on the My Aged Care website. Potentially, this comparability should be </w:t>
      </w:r>
      <w:r w:rsidRPr="00F6415D">
        <w:rPr>
          <w:rFonts w:ascii="Segoe UI" w:hAnsi="Segoe UI" w:cs="Segoe UI"/>
          <w:lang w:val="en-US"/>
        </w:rPr>
        <w:lastRenderedPageBreak/>
        <w:t>extended to CHSP to further remove some of the disparity between these programs.</w:t>
      </w:r>
    </w:p>
    <w:p w:rsidR="00CE1469" w:rsidRPr="00F6415D" w:rsidRDefault="00CE1469" w:rsidP="006E6C2E">
      <w:pPr>
        <w:pStyle w:val="ListBullet"/>
        <w:rPr>
          <w:rFonts w:ascii="Segoe UI" w:hAnsi="Segoe UI" w:cs="Segoe UI"/>
          <w:lang w:val="en-US"/>
        </w:rPr>
      </w:pPr>
      <w:r w:rsidRPr="00F6415D">
        <w:rPr>
          <w:rFonts w:ascii="Segoe UI" w:hAnsi="Segoe UI" w:cs="Segoe UI"/>
          <w:b/>
          <w:lang w:val="en-US"/>
        </w:rPr>
        <w:t>Recommendation 12:</w:t>
      </w:r>
      <w:r w:rsidRPr="00F6415D">
        <w:rPr>
          <w:rFonts w:ascii="Segoe UI" w:hAnsi="Segoe UI" w:cs="Segoe UI"/>
          <w:lang w:val="en-US"/>
        </w:rPr>
        <w:t xml:space="preserve"> intends to make the basic daily fee proportionate to the value of the home care package level. Potentially, this proportionality should be extended to the income-tested care fee.</w:t>
      </w:r>
    </w:p>
    <w:p w:rsidR="00CE1469" w:rsidRPr="00F6415D" w:rsidRDefault="00CE1469" w:rsidP="006E6C2E">
      <w:pPr>
        <w:pStyle w:val="ListBullet"/>
        <w:rPr>
          <w:rFonts w:ascii="Segoe UI" w:hAnsi="Segoe UI" w:cs="Segoe UI"/>
          <w:lang w:val="en-US"/>
        </w:rPr>
      </w:pPr>
      <w:r w:rsidRPr="00F6415D">
        <w:rPr>
          <w:rFonts w:ascii="Segoe UI" w:hAnsi="Segoe UI" w:cs="Segoe UI"/>
          <w:b/>
        </w:rPr>
        <w:t>Recommendation 16:</w:t>
      </w:r>
      <w:r w:rsidRPr="00F6415D">
        <w:rPr>
          <w:rFonts w:ascii="Segoe UI" w:hAnsi="Segoe UI" w:cs="Segoe UI"/>
          <w:lang w:val="en-US"/>
        </w:rPr>
        <w:t xml:space="preserve"> intends remove some of the aged care fee disparity between the CHSP and home care programs.</w:t>
      </w:r>
    </w:p>
    <w:p w:rsidR="00CE1469" w:rsidRPr="00F6415D" w:rsidRDefault="00CE1469" w:rsidP="006E6C2E">
      <w:pPr>
        <w:pStyle w:val="Heading3"/>
        <w:rPr>
          <w:rFonts w:ascii="Segoe UI" w:hAnsi="Segoe UI" w:cs="Segoe UI"/>
        </w:rPr>
      </w:pPr>
      <w:bookmarkStart w:id="233" w:name="_Toc531271096"/>
      <w:bookmarkStart w:id="234" w:name="_Toc532206392"/>
      <w:r w:rsidRPr="00F6415D">
        <w:rPr>
          <w:rFonts w:ascii="Segoe UI" w:hAnsi="Segoe UI" w:cs="Segoe UI"/>
        </w:rPr>
        <w:t>Barriers for acute/complex needs</w:t>
      </w:r>
      <w:bookmarkEnd w:id="233"/>
      <w:bookmarkEnd w:id="234"/>
    </w:p>
    <w:p w:rsidR="00CE1469" w:rsidRPr="00F6415D" w:rsidRDefault="00CE1469" w:rsidP="006E6C2E">
      <w:pPr>
        <w:pStyle w:val="BodyText"/>
        <w:rPr>
          <w:rFonts w:ascii="Segoe UI" w:hAnsi="Segoe UI" w:cs="Segoe UI"/>
        </w:rPr>
      </w:pPr>
      <w:bookmarkStart w:id="235" w:name="_Toc527561561"/>
      <w:bookmarkStart w:id="236" w:name="_Toc527564635"/>
      <w:bookmarkStart w:id="237" w:name="_Toc528224263"/>
      <w:bookmarkStart w:id="238" w:name="_Toc528861145"/>
      <w:bookmarkStart w:id="239" w:name="_Toc529890588"/>
      <w:r w:rsidRPr="00F6415D">
        <w:rPr>
          <w:rFonts w:ascii="Segoe UI" w:hAnsi="Segoe UI" w:cs="Segoe UI"/>
          <w:b/>
        </w:rPr>
        <w:t>Early entry to residential care:</w:t>
      </w:r>
      <w:r w:rsidRPr="00F6415D">
        <w:rPr>
          <w:rFonts w:ascii="Segoe UI" w:hAnsi="Segoe UI" w:cs="Segoe UI"/>
        </w:rPr>
        <w:t xml:space="preserve"> Stakeholder consultations advised that some consumers have elected to move into residential aged care earlier than needed due to cost of living pressures. </w:t>
      </w:r>
    </w:p>
    <w:p w:rsidR="00CE1469" w:rsidRPr="00F6415D" w:rsidRDefault="00CE1469" w:rsidP="006E6C2E">
      <w:pPr>
        <w:pStyle w:val="ListBullet"/>
        <w:rPr>
          <w:rFonts w:ascii="Segoe UI" w:hAnsi="Segoe UI" w:cs="Segoe UI"/>
        </w:rPr>
      </w:pPr>
      <w:r w:rsidRPr="00F6415D">
        <w:rPr>
          <w:rFonts w:ascii="Segoe UI" w:hAnsi="Segoe UI" w:cs="Segoe UI"/>
        </w:rPr>
        <w:t>It has been noted that some consumers with low means (i.e. receiving the age pension as the sole, or major, source of their income) and the inability to rely on informal care may have no longer been able to afford the</w:t>
      </w:r>
      <w:r w:rsidR="001B5BED" w:rsidRPr="00F6415D">
        <w:rPr>
          <w:rFonts w:ascii="Segoe UI" w:hAnsi="Segoe UI" w:cs="Segoe UI"/>
        </w:rPr>
        <w:t xml:space="preserve"> </w:t>
      </w:r>
      <w:r w:rsidRPr="00F6415D">
        <w:rPr>
          <w:rFonts w:ascii="Segoe UI" w:hAnsi="Segoe UI" w:cs="Segoe UI"/>
        </w:rPr>
        <w:t>cost of living (such as higher utility costs during winter), in addition to their home care fees. As such, they decided to move into residential care where the cost of living was known and potentially cheaper and could be managed on a fixed income. However, such residents often attract a lower Aged Care Funding Instrument (ACFI) score and, as such, may not be as attractive to providers.</w:t>
      </w:r>
    </w:p>
    <w:p w:rsidR="00CE1469" w:rsidRPr="00F6415D" w:rsidRDefault="00CE1469" w:rsidP="00686BFA">
      <w:pPr>
        <w:pStyle w:val="ListParagraph"/>
        <w:numPr>
          <w:ilvl w:val="0"/>
          <w:numId w:val="35"/>
        </w:numPr>
        <w:suppressAutoHyphens/>
        <w:spacing w:after="60"/>
        <w:rPr>
          <w:rFonts w:ascii="Segoe UI" w:hAnsi="Segoe UI" w:cs="Segoe UI"/>
          <w:b/>
        </w:rPr>
      </w:pPr>
      <w:r w:rsidRPr="00F6415D">
        <w:rPr>
          <w:rFonts w:ascii="Segoe UI" w:hAnsi="Segoe UI" w:cs="Segoe UI"/>
          <w:b/>
        </w:rPr>
        <w:t xml:space="preserve">Residential respite care: </w:t>
      </w:r>
      <w:r w:rsidRPr="00F6415D">
        <w:rPr>
          <w:rFonts w:ascii="Segoe UI" w:hAnsi="Segoe UI" w:cs="Segoe UI"/>
        </w:rPr>
        <w:t>When consumers access respite care, they often struggle to pay for their aged care fees in addition to maintaining the costs of daily living in the community. As such, consumers will apply for financial hardship assistance with these fees with 56 per cent of applications for financial hardship assistance (for respite care recipients) being approved during the 2017/18 financial year.</w:t>
      </w:r>
    </w:p>
    <w:p w:rsidR="00CE1469" w:rsidRPr="00F6415D" w:rsidRDefault="00CE1469" w:rsidP="006E6C2E">
      <w:pPr>
        <w:pStyle w:val="BodyTextIndent"/>
        <w:rPr>
          <w:rFonts w:ascii="Segoe UI" w:hAnsi="Segoe UI" w:cs="Segoe UI"/>
        </w:rPr>
      </w:pPr>
      <w:r w:rsidRPr="00F6415D">
        <w:rPr>
          <w:rFonts w:ascii="Segoe UI" w:hAnsi="Segoe UI" w:cs="Segoe UI"/>
        </w:rPr>
        <w:t xml:space="preserve">The implications of respite care are covered more fully in the </w:t>
      </w:r>
      <w:r w:rsidRPr="00F6415D">
        <w:rPr>
          <w:rFonts w:ascii="Segoe UI" w:hAnsi="Segoe UI" w:cs="Segoe UI"/>
          <w:i/>
        </w:rPr>
        <w:t>ACFA report on respite for aged care recipients October 2018</w:t>
      </w:r>
      <w:r w:rsidRPr="00F6415D">
        <w:rPr>
          <w:rFonts w:ascii="Segoe UI" w:hAnsi="Segoe UI" w:cs="Segoe UI"/>
        </w:rPr>
        <w:t>.</w:t>
      </w:r>
    </w:p>
    <w:p w:rsidR="00CE1469" w:rsidRPr="00F6415D" w:rsidRDefault="00CE1469" w:rsidP="006E6C2E">
      <w:pPr>
        <w:pStyle w:val="ListBullet"/>
        <w:rPr>
          <w:rFonts w:ascii="Segoe UI" w:hAnsi="Segoe UI" w:cs="Segoe UI"/>
        </w:rPr>
      </w:pPr>
      <w:r w:rsidRPr="00F6415D">
        <w:rPr>
          <w:rFonts w:ascii="Segoe UI" w:hAnsi="Segoe UI" w:cs="Segoe UI"/>
          <w:b/>
        </w:rPr>
        <w:t>Delays with selling the principal (family) home:</w:t>
      </w:r>
      <w:r w:rsidRPr="00F6415D">
        <w:rPr>
          <w:rFonts w:ascii="Segoe UI" w:hAnsi="Segoe UI" w:cs="Segoe UI"/>
        </w:rPr>
        <w:t xml:space="preserve"> Consumers may choose to sell the family home to pay fees but this may create difficulties if long delays in selling are experienced. In some areas it may take longer than six months to sell. Relief is generally not available during this period as there is a waiting period for property to be classed as an unrealisable asset under the financial hardship assistance rules. Some jurisdictions are experiencing house prices that are lower than average RAD prices in the same area, consequently impacting the consumer’s ability to pay the full RAD for their accommodation. However, ACFA notes that the flexibility in the accommodation payment options means that residents are not restricted by their net assets when considering accommodation as they can pay by lump sum, daily payment or a combination of the two.</w:t>
      </w:r>
    </w:p>
    <w:p w:rsidR="00CE1469" w:rsidRPr="00F6415D" w:rsidRDefault="00CE1469" w:rsidP="006E6C2E">
      <w:pPr>
        <w:pStyle w:val="ListBullet"/>
        <w:rPr>
          <w:rFonts w:ascii="Segoe UI" w:hAnsi="Segoe UI" w:cs="Segoe UI"/>
        </w:rPr>
      </w:pPr>
      <w:r w:rsidRPr="00F6415D">
        <w:rPr>
          <w:rFonts w:ascii="Segoe UI" w:hAnsi="Segoe UI" w:cs="Segoe UI"/>
          <w:b/>
        </w:rPr>
        <w:t>Accommodation choices:</w:t>
      </w:r>
      <w:r w:rsidRPr="00F6415D">
        <w:rPr>
          <w:rFonts w:ascii="Segoe UI" w:hAnsi="Segoe UI" w:cs="Segoe UI"/>
        </w:rPr>
        <w:t xml:space="preserve"> Consumers transitioning from retirement living or land lease communities can struggle to afford the accommodation costs of residential aged care. This may be due to estates being reduced by fees associated with retirement living contracts, delays in selling, settling or receiving funds from operators, or due to the market value of these homes being well under the expected residential aged care accommodation payment. </w:t>
      </w:r>
    </w:p>
    <w:p w:rsidR="00CE1469" w:rsidRPr="00F6415D" w:rsidRDefault="00CE1469" w:rsidP="006E6C2E">
      <w:pPr>
        <w:pStyle w:val="BodyTextIndent"/>
        <w:rPr>
          <w:rFonts w:ascii="Segoe UI" w:hAnsi="Segoe UI" w:cs="Segoe UI"/>
        </w:rPr>
      </w:pPr>
      <w:r w:rsidRPr="00F6415D">
        <w:rPr>
          <w:rFonts w:ascii="Segoe UI" w:hAnsi="Segoe UI" w:cs="Segoe UI"/>
        </w:rPr>
        <w:lastRenderedPageBreak/>
        <w:t>Consumers who fall outside of the partially supported threshold by a small margin find the costs of residential care significant, which impacts heavily on their financial position until they are able to apply for financial hardship assistance.</w:t>
      </w:r>
    </w:p>
    <w:p w:rsidR="00CE1469" w:rsidRPr="00F6415D" w:rsidRDefault="00CE1469" w:rsidP="006E6C2E">
      <w:pPr>
        <w:pStyle w:val="ListBullet"/>
        <w:rPr>
          <w:rFonts w:ascii="Segoe UI" w:hAnsi="Segoe UI" w:cs="Segoe UI"/>
        </w:rPr>
      </w:pPr>
      <w:r w:rsidRPr="00F6415D">
        <w:rPr>
          <w:rFonts w:ascii="Segoe UI" w:hAnsi="Segoe UI" w:cs="Segoe UI"/>
          <w:b/>
        </w:rPr>
        <w:t xml:space="preserve">Additional service fees: </w:t>
      </w:r>
      <w:r w:rsidRPr="00F6415D">
        <w:rPr>
          <w:rFonts w:ascii="Segoe UI" w:hAnsi="Segoe UI" w:cs="Segoe UI"/>
        </w:rPr>
        <w:t xml:space="preserve">There is uncertainty in relation to additional service fees. This information is not required to be published on My Aged Care unlike other fees that a provider charges and is not always prominent or clear on a provider’s website or in a residential agreement. Consumers often do not know whether they will be required to pay an additional service fee, what their rights are in relation to the services that they are paying for, or indeed what services they are actually purchasing. </w:t>
      </w:r>
    </w:p>
    <w:p w:rsidR="00CE1469" w:rsidRPr="00F6415D" w:rsidRDefault="00CE1469" w:rsidP="006E6C2E">
      <w:pPr>
        <w:pStyle w:val="ListBullet"/>
        <w:rPr>
          <w:rFonts w:ascii="Segoe UI" w:hAnsi="Segoe UI" w:cs="Segoe UI"/>
        </w:rPr>
      </w:pPr>
      <w:r w:rsidRPr="00F6415D">
        <w:rPr>
          <w:rFonts w:ascii="Segoe UI" w:hAnsi="Segoe UI" w:cs="Segoe UI"/>
          <w:b/>
        </w:rPr>
        <w:t>Means testing for couples:</w:t>
      </w:r>
      <w:r w:rsidRPr="00F6415D">
        <w:rPr>
          <w:rFonts w:ascii="Segoe UI" w:hAnsi="Segoe UI" w:cs="Segoe UI"/>
        </w:rPr>
        <w:t xml:space="preserve"> Couples where both partners are entering care face a range of unique challenges which include:</w:t>
      </w:r>
    </w:p>
    <w:p w:rsidR="00CE1469" w:rsidRPr="00F6415D" w:rsidRDefault="00CE1469" w:rsidP="006E6C2E">
      <w:pPr>
        <w:pStyle w:val="ListBullet2"/>
        <w:rPr>
          <w:rFonts w:ascii="Segoe UI" w:hAnsi="Segoe UI" w:cs="Segoe UI"/>
        </w:rPr>
      </w:pPr>
      <w:r w:rsidRPr="00F6415D">
        <w:rPr>
          <w:rFonts w:ascii="Segoe UI" w:hAnsi="Segoe UI" w:cs="Segoe UI"/>
        </w:rPr>
        <w:t>Each member of the couple will need to complete the means test assessment, with half the combined income and assets of both members of the couple being included in each assessment, irrespective of who earns the income or whose name in which the asset is held. This can be a particular concern for second and subsequent marriages and blended families.</w:t>
      </w:r>
    </w:p>
    <w:p w:rsidR="00CE1469" w:rsidRPr="00F6415D" w:rsidRDefault="00CE1469" w:rsidP="006E6C2E">
      <w:pPr>
        <w:pStyle w:val="ListBullet2"/>
        <w:rPr>
          <w:rFonts w:ascii="Segoe UI" w:hAnsi="Segoe UI" w:cs="Segoe UI"/>
        </w:rPr>
      </w:pPr>
      <w:r w:rsidRPr="00F6415D">
        <w:rPr>
          <w:rFonts w:ascii="Segoe UI" w:hAnsi="Segoe UI" w:cs="Segoe UI"/>
        </w:rPr>
        <w:t xml:space="preserve">Each member of the couple pays individual accommodation costs, basic daily fees, and means-tested care fees (if applicable). </w:t>
      </w:r>
    </w:p>
    <w:p w:rsidR="00CE1469" w:rsidRPr="00F6415D" w:rsidRDefault="00CE1469" w:rsidP="006E6C2E">
      <w:pPr>
        <w:pStyle w:val="ListBullet2"/>
        <w:rPr>
          <w:rFonts w:ascii="Segoe UI" w:hAnsi="Segoe UI" w:cs="Segoe UI"/>
        </w:rPr>
      </w:pPr>
      <w:r w:rsidRPr="00F6415D">
        <w:rPr>
          <w:rFonts w:ascii="Segoe UI" w:hAnsi="Segoe UI" w:cs="Segoe UI"/>
        </w:rPr>
        <w:t>Couples may not be able to stay in the same room within the residential aged care home or even the same residential aged care home.</w:t>
      </w:r>
    </w:p>
    <w:p w:rsidR="00CE1469" w:rsidRPr="00F6415D" w:rsidRDefault="00CE1469" w:rsidP="006E6C2E">
      <w:pPr>
        <w:pStyle w:val="ListBullet2"/>
        <w:rPr>
          <w:rFonts w:ascii="Segoe UI" w:hAnsi="Segoe UI" w:cs="Segoe UI"/>
        </w:rPr>
      </w:pPr>
      <w:r w:rsidRPr="00F6415D">
        <w:rPr>
          <w:rFonts w:ascii="Segoe UI" w:hAnsi="Segoe UI" w:cs="Segoe UI"/>
        </w:rPr>
        <w:t>If they enter on different dates, the aged care fees payable for the first member of the couple may increase upon entry of the second member of the couple. However, their low-means status (if applicable) will not change. Note that for the period of time that one partner is in care and the other is not this will mean that they are required to fund two households with the same resources that were previously being used to fund one.</w:t>
      </w:r>
    </w:p>
    <w:p w:rsidR="00CE1469" w:rsidRPr="00F6415D" w:rsidRDefault="00CE1469" w:rsidP="006E6C2E">
      <w:pPr>
        <w:pStyle w:val="ListBullet2"/>
        <w:rPr>
          <w:rFonts w:ascii="Segoe UI" w:hAnsi="Segoe UI" w:cs="Segoe UI"/>
        </w:rPr>
      </w:pPr>
      <w:r w:rsidRPr="00F6415D">
        <w:rPr>
          <w:rFonts w:ascii="Segoe UI" w:hAnsi="Segoe UI" w:cs="Segoe UI"/>
        </w:rPr>
        <w:t>If the second member of the couple exhausts their combined income and assets to pay for their RAD, there may be insufficient income to pay both sets of aged care fees.</w:t>
      </w:r>
    </w:p>
    <w:p w:rsidR="00CE1469" w:rsidRPr="00F6415D" w:rsidRDefault="00CE1469" w:rsidP="006E6C2E">
      <w:pPr>
        <w:pStyle w:val="Heading3"/>
        <w:rPr>
          <w:rFonts w:ascii="Segoe UI" w:hAnsi="Segoe UI" w:cs="Segoe UI"/>
        </w:rPr>
      </w:pPr>
      <w:bookmarkStart w:id="240" w:name="_Toc531271097"/>
      <w:bookmarkStart w:id="241" w:name="_Toc532206393"/>
      <w:r w:rsidRPr="00F6415D">
        <w:rPr>
          <w:rFonts w:ascii="Segoe UI" w:hAnsi="Segoe UI" w:cs="Segoe UI"/>
        </w:rPr>
        <w:t>Financial stress and sacrifices</w:t>
      </w:r>
      <w:bookmarkEnd w:id="235"/>
      <w:bookmarkEnd w:id="236"/>
      <w:bookmarkEnd w:id="237"/>
      <w:bookmarkEnd w:id="238"/>
      <w:bookmarkEnd w:id="239"/>
      <w:bookmarkEnd w:id="240"/>
      <w:bookmarkEnd w:id="241"/>
    </w:p>
    <w:p w:rsidR="00CE1469" w:rsidRPr="00F6415D" w:rsidRDefault="00CE1469" w:rsidP="006E6C2E">
      <w:pPr>
        <w:pStyle w:val="BodyText"/>
        <w:rPr>
          <w:rFonts w:ascii="Segoe UI" w:hAnsi="Segoe UI" w:cs="Segoe UI"/>
        </w:rPr>
      </w:pPr>
      <w:bookmarkStart w:id="242" w:name="_Toc527561562"/>
      <w:bookmarkStart w:id="243" w:name="_Toc527564636"/>
      <w:bookmarkStart w:id="244" w:name="_Toc528224264"/>
      <w:bookmarkStart w:id="245" w:name="_Toc528861146"/>
      <w:bookmarkStart w:id="246" w:name="_Toc529890589"/>
      <w:r w:rsidRPr="00F6415D">
        <w:rPr>
          <w:rFonts w:ascii="Segoe UI" w:hAnsi="Segoe UI" w:cs="Segoe UI"/>
        </w:rPr>
        <w:t xml:space="preserve">The ACFA consumer survey indicates that the lack of preparation and planning for aged care can lead to financial stress for older Australians and their families across all program types. </w:t>
      </w:r>
    </w:p>
    <w:p w:rsidR="00CE1469" w:rsidRPr="00F6415D" w:rsidRDefault="00CE1469" w:rsidP="00CE1469">
      <w:pPr>
        <w:ind w:left="720"/>
        <w:rPr>
          <w:rFonts w:ascii="Segoe UI" w:hAnsi="Segoe UI" w:cs="Segoe UI"/>
        </w:rPr>
      </w:pPr>
      <w:r w:rsidRPr="00F6415D">
        <w:rPr>
          <w:rFonts w:ascii="Segoe UI" w:hAnsi="Segoe UI" w:cs="Segoe UI"/>
        </w:rPr>
        <w:t xml:space="preserve">Financial </w:t>
      </w:r>
      <w:r w:rsidR="007E5969" w:rsidRPr="00F6415D">
        <w:rPr>
          <w:rFonts w:ascii="Segoe UI" w:hAnsi="Segoe UI" w:cs="Segoe UI"/>
        </w:rPr>
        <w:t>stress</w:t>
      </w:r>
      <w:r w:rsidRPr="00F6415D">
        <w:rPr>
          <w:rFonts w:ascii="Segoe UI" w:hAnsi="Segoe UI" w:cs="Segoe UI"/>
        </w:rPr>
        <w:t xml:space="preserve"> is a </w:t>
      </w:r>
      <w:r w:rsidRPr="00F6415D">
        <w:rPr>
          <w:rFonts w:ascii="Segoe UI" w:hAnsi="Segoe UI" w:cs="Segoe UI"/>
          <w:i/>
        </w:rPr>
        <w:t>condition that is the result of financial and/or economic events that create anxiety, worry, or a sense of scarcity, and is accompanied by a physiological stress response</w:t>
      </w:r>
      <w:r w:rsidRPr="00F6415D">
        <w:rPr>
          <w:rStyle w:val="EndnoteReference"/>
          <w:rFonts w:ascii="Segoe UI" w:hAnsi="Segoe UI" w:cs="Segoe UI"/>
          <w:i/>
        </w:rPr>
        <w:endnoteReference w:id="13"/>
      </w:r>
      <w:r w:rsidRPr="00F6415D">
        <w:rPr>
          <w:rFonts w:ascii="Segoe UI" w:hAnsi="Segoe UI" w:cs="Segoe UI"/>
        </w:rPr>
        <w:t>.</w:t>
      </w:r>
    </w:p>
    <w:p w:rsidR="00CE1469" w:rsidRPr="00F6415D" w:rsidRDefault="00CE1469" w:rsidP="006E6C2E">
      <w:pPr>
        <w:pStyle w:val="BodyText"/>
        <w:rPr>
          <w:rFonts w:ascii="Segoe UI" w:hAnsi="Segoe UI" w:cs="Segoe UI"/>
        </w:rPr>
      </w:pPr>
      <w:r w:rsidRPr="00F6415D">
        <w:rPr>
          <w:rFonts w:ascii="Segoe UI" w:hAnsi="Segoe UI" w:cs="Segoe UI"/>
        </w:rPr>
        <w:t>To determine if consumers experience financial stress with paying their aged care fees, they were asked to weight their feelings with the statement ‘</w:t>
      </w:r>
      <w:r w:rsidRPr="00F6415D">
        <w:rPr>
          <w:rFonts w:ascii="Segoe UI" w:hAnsi="Segoe UI" w:cs="Segoe UI"/>
          <w:i/>
        </w:rPr>
        <w:t>I worry everyday about affording the care I need</w:t>
      </w:r>
      <w:r w:rsidRPr="00F6415D">
        <w:rPr>
          <w:rFonts w:ascii="Segoe UI" w:hAnsi="Segoe UI" w:cs="Segoe UI"/>
        </w:rPr>
        <w:t xml:space="preserve">’, nearly half (49 per cent) either somewhat agreed or strongly agreed. </w:t>
      </w:r>
    </w:p>
    <w:p w:rsidR="00CE1469" w:rsidRPr="00F6415D" w:rsidRDefault="00CE1469" w:rsidP="006E6C2E">
      <w:pPr>
        <w:pStyle w:val="BodyText"/>
        <w:rPr>
          <w:rFonts w:ascii="Segoe UI" w:hAnsi="Segoe UI" w:cs="Segoe UI"/>
        </w:rPr>
      </w:pPr>
      <w:r w:rsidRPr="00F6415D">
        <w:rPr>
          <w:rFonts w:ascii="Segoe UI" w:hAnsi="Segoe UI" w:cs="Segoe UI"/>
        </w:rPr>
        <w:lastRenderedPageBreak/>
        <w:t>Fifty three per cent of consumers either strongly disagreed or somewhat disagreed with the statement ‘</w:t>
      </w:r>
      <w:r w:rsidRPr="00F6415D">
        <w:rPr>
          <w:rFonts w:ascii="Segoe UI" w:hAnsi="Segoe UI" w:cs="Segoe UI"/>
          <w:i/>
        </w:rPr>
        <w:t>I am not worried about the ability to pay for my care, I have more than enough</w:t>
      </w:r>
      <w:r w:rsidRPr="00F6415D">
        <w:rPr>
          <w:rFonts w:ascii="Segoe UI" w:hAnsi="Segoe UI" w:cs="Segoe UI"/>
        </w:rPr>
        <w:t>’.</w:t>
      </w:r>
    </w:p>
    <w:p w:rsidR="00CE1469" w:rsidRPr="00F6415D" w:rsidRDefault="00CE1469" w:rsidP="006E6C2E">
      <w:pPr>
        <w:pStyle w:val="BodyText"/>
        <w:rPr>
          <w:rFonts w:ascii="Segoe UI" w:hAnsi="Segoe UI" w:cs="Segoe UI"/>
        </w:rPr>
      </w:pPr>
      <w:r w:rsidRPr="00F6415D">
        <w:rPr>
          <w:rFonts w:ascii="Segoe UI" w:hAnsi="Segoe UI" w:cs="Segoe UI"/>
        </w:rPr>
        <w:t>Consumers were asked what sacrifices they are making (or expect to make) to pay for aged care. Largely, the response was to reduce discretionary or leisure expenditure with 47 per cent indicating they would reduce expenditure on holidays (or fewer holidays) and/or 36 per cent no longer eating out or taking part in recreational activities.</w:t>
      </w:r>
    </w:p>
    <w:p w:rsidR="00CE1469" w:rsidRPr="00F6415D" w:rsidRDefault="00CE1469" w:rsidP="006E6C2E">
      <w:pPr>
        <w:pStyle w:val="BodyText"/>
        <w:rPr>
          <w:rFonts w:ascii="Segoe UI" w:hAnsi="Segoe UI" w:cs="Segoe UI"/>
        </w:rPr>
      </w:pPr>
      <w:r w:rsidRPr="00F6415D">
        <w:rPr>
          <w:rFonts w:ascii="Segoe UI" w:hAnsi="Segoe UI" w:cs="Segoe UI"/>
        </w:rPr>
        <w:t xml:space="preserve">While a reduction in leisure activities could be expected, more concerning are the expectations that the reductions will occur in visits to GPs or other health professionals (11.2 per cent) and/or missing meals (12.5 per cent). </w:t>
      </w:r>
    </w:p>
    <w:p w:rsidR="00CE1469" w:rsidRPr="00F6415D" w:rsidRDefault="00CE1469" w:rsidP="00CF0227">
      <w:pPr>
        <w:pStyle w:val="FigureTitle"/>
        <w:rPr>
          <w:rFonts w:ascii="Segoe UI" w:hAnsi="Segoe UI" w:cs="Segoe UI"/>
          <w:i/>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10</w:t>
      </w:r>
      <w:r w:rsidRPr="00F6415D">
        <w:rPr>
          <w:rFonts w:ascii="Segoe UI" w:hAnsi="Segoe UI" w:cs="Segoe UI"/>
          <w:i/>
          <w:noProof/>
        </w:rPr>
        <w:fldChar w:fldCharType="end"/>
      </w:r>
      <w:r w:rsidRPr="00F6415D">
        <w:rPr>
          <w:rFonts w:ascii="Segoe UI" w:hAnsi="Segoe UI" w:cs="Segoe UI"/>
          <w:i/>
        </w:rPr>
        <w:t>: Sacrifices made or expected to be made to fund aged care</w:t>
      </w:r>
    </w:p>
    <w:p w:rsidR="00CE1469" w:rsidRPr="00F6415D" w:rsidRDefault="0025412B" w:rsidP="006E6C2E">
      <w:pPr>
        <w:pStyle w:val="BodyText"/>
        <w:rPr>
          <w:rFonts w:ascii="Segoe UI" w:hAnsi="Segoe UI" w:cs="Segoe UI"/>
        </w:rPr>
      </w:pPr>
      <w:r w:rsidRPr="00F6415D">
        <w:rPr>
          <w:rFonts w:ascii="Segoe UI" w:hAnsi="Segoe UI" w:cs="Segoe UI"/>
          <w:noProof/>
          <w:lang w:eastAsia="en-AU"/>
        </w:rPr>
        <w:drawing>
          <wp:inline distT="0" distB="0" distL="0" distR="0" wp14:anchorId="5CFF4B99">
            <wp:extent cx="6245524" cy="3627120"/>
            <wp:effectExtent l="0" t="0" r="0" b="0"/>
            <wp:docPr id="59" name="Picture 59" descr="Figure 10, a horizontal bar chart, outlines sacrifices made or expected to be made to fund aged care. " title="Figure 10: Sacrifices made or expected to be made to fu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45906" cy="3627342"/>
                    </a:xfrm>
                    <a:prstGeom prst="rect">
                      <a:avLst/>
                    </a:prstGeom>
                    <a:noFill/>
                  </pic:spPr>
                </pic:pic>
              </a:graphicData>
            </a:graphic>
          </wp:inline>
        </w:drawing>
      </w:r>
    </w:p>
    <w:p w:rsidR="00CE1469" w:rsidRPr="00F6415D" w:rsidRDefault="00CE1469" w:rsidP="006E6C2E">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6E6C2E">
      <w:pPr>
        <w:pStyle w:val="BodyText"/>
        <w:rPr>
          <w:rFonts w:ascii="Segoe UI" w:hAnsi="Segoe UI" w:cs="Segoe UI"/>
        </w:rPr>
      </w:pPr>
      <w:r w:rsidRPr="00F6415D">
        <w:rPr>
          <w:rFonts w:ascii="Segoe UI" w:hAnsi="Segoe UI" w:cs="Segoe UI"/>
        </w:rPr>
        <w:t xml:space="preserve">The financial pressures and need to make sacrifices affects both couples and singles, but appeared to be slightly more prevalent in couples, with over half (56 per cent) of those who indicated that sacrifices had been made being either married or in a de-facto relationship. </w:t>
      </w:r>
    </w:p>
    <w:p w:rsidR="00CE1469" w:rsidRPr="00F6415D" w:rsidRDefault="00CE1469" w:rsidP="006E6C2E">
      <w:pPr>
        <w:pStyle w:val="BodyText"/>
        <w:rPr>
          <w:rFonts w:ascii="Segoe UI" w:hAnsi="Segoe UI" w:cs="Segoe UI"/>
        </w:rPr>
      </w:pPr>
      <w:r w:rsidRPr="00F6415D">
        <w:rPr>
          <w:rFonts w:ascii="Segoe UI" w:hAnsi="Segoe UI" w:cs="Segoe UI"/>
        </w:rPr>
        <w:t xml:space="preserve">The incidence is however, highly correlated to income levels. </w:t>
      </w:r>
      <w:r w:rsidRPr="00F6415D">
        <w:rPr>
          <w:rFonts w:ascii="Segoe UI" w:hAnsi="Segoe UI" w:cs="Segoe UI"/>
        </w:rPr>
        <w:fldChar w:fldCharType="begin"/>
      </w:r>
      <w:r w:rsidRPr="00F6415D">
        <w:rPr>
          <w:rFonts w:ascii="Segoe UI" w:hAnsi="Segoe UI" w:cs="Segoe UI"/>
        </w:rPr>
        <w:instrText xml:space="preserve"> REF _Ref530578497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8</w:t>
      </w:r>
      <w:r w:rsidRPr="00F6415D">
        <w:rPr>
          <w:rFonts w:ascii="Segoe UI" w:hAnsi="Segoe UI" w:cs="Segoe UI"/>
        </w:rPr>
        <w:fldChar w:fldCharType="end"/>
      </w:r>
      <w:r w:rsidRPr="00F6415D">
        <w:rPr>
          <w:rFonts w:ascii="Segoe UI" w:hAnsi="Segoe UI" w:cs="Segoe UI"/>
        </w:rPr>
        <w:t xml:space="preserve"> below shows expenditure sacrifice by income bracket. Consumers across all household income brackets indicated the need to make sacrifices to pay for aged care. However, the data suggests that those with household income less than $20,000 are most likely to need to make sacrifices</w:t>
      </w:r>
      <w:r w:rsidR="001B5BED" w:rsidRPr="00F6415D">
        <w:rPr>
          <w:rFonts w:ascii="Segoe UI" w:hAnsi="Segoe UI" w:cs="Segoe UI"/>
        </w:rPr>
        <w:t xml:space="preserve">. </w:t>
      </w:r>
      <w:r w:rsidRPr="00F6415D">
        <w:rPr>
          <w:rFonts w:ascii="Segoe UI" w:hAnsi="Segoe UI" w:cs="Segoe UI"/>
        </w:rPr>
        <w:t xml:space="preserve">Those with household income between $20,001 and $80,000 indicate a lower (but still significant) need to make sacrifices. </w:t>
      </w:r>
    </w:p>
    <w:p w:rsidR="00CE1469" w:rsidRPr="00F6415D" w:rsidRDefault="00CE1469" w:rsidP="00C40CA4">
      <w:pPr>
        <w:pStyle w:val="TableTitle"/>
        <w:rPr>
          <w:rFonts w:ascii="Segoe UI" w:hAnsi="Segoe UI" w:cs="Segoe UI"/>
          <w:i/>
        </w:rPr>
      </w:pPr>
      <w:bookmarkStart w:id="247" w:name="_Ref530459951"/>
      <w:bookmarkStart w:id="248" w:name="_Ref530578497"/>
      <w:r w:rsidRPr="00F6415D">
        <w:rPr>
          <w:rFonts w:ascii="Segoe UI" w:hAnsi="Segoe UI" w:cs="Segoe UI"/>
          <w:i/>
        </w:rPr>
        <w:lastRenderedPageBreak/>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8</w:t>
      </w:r>
      <w:r w:rsidRPr="00F6415D">
        <w:rPr>
          <w:rFonts w:ascii="Segoe UI" w:hAnsi="Segoe UI" w:cs="Segoe UI"/>
          <w:i/>
          <w:noProof/>
        </w:rPr>
        <w:fldChar w:fldCharType="end"/>
      </w:r>
      <w:bookmarkEnd w:id="247"/>
      <w:bookmarkEnd w:id="248"/>
      <w:r w:rsidRPr="00F6415D">
        <w:rPr>
          <w:rFonts w:ascii="Segoe UI" w:hAnsi="Segoe UI" w:cs="Segoe UI"/>
          <w:i/>
        </w:rPr>
        <w:t>: Expenditure sacrifices to pay for aged care, by income bracket</w:t>
      </w:r>
    </w:p>
    <w:tbl>
      <w:tblPr>
        <w:tblW w:w="8715" w:type="dxa"/>
        <w:tblInd w:w="108" w:type="dxa"/>
        <w:tblLook w:val="04A0" w:firstRow="1" w:lastRow="0" w:firstColumn="1" w:lastColumn="0" w:noHBand="0" w:noVBand="1"/>
        <w:tblCaption w:val="Table 8: Expenditure sacrifices to pay for aged care, by income bracket"/>
        <w:tblDescription w:val="Table 8 outlines the proportion of respondents by income bracket as an answer to the statement ‘I have to make sacrifices in daily spending to be able to pay aged care needs’ in terms of agreement. "/>
      </w:tblPr>
      <w:tblGrid>
        <w:gridCol w:w="2084"/>
        <w:gridCol w:w="1134"/>
        <w:gridCol w:w="1134"/>
        <w:gridCol w:w="1035"/>
        <w:gridCol w:w="1134"/>
        <w:gridCol w:w="1134"/>
        <w:gridCol w:w="1060"/>
      </w:tblGrid>
      <w:tr w:rsidR="00CE1469" w:rsidRPr="00F6415D" w:rsidTr="00886077">
        <w:trPr>
          <w:trHeight w:val="462"/>
          <w:tblHeader/>
        </w:trPr>
        <w:tc>
          <w:tcPr>
            <w:tcW w:w="2127" w:type="dxa"/>
            <w:tcBorders>
              <w:top w:val="nil"/>
              <w:left w:val="nil"/>
              <w:bottom w:val="single" w:sz="4" w:space="0" w:color="auto"/>
              <w:right w:val="single" w:sz="4" w:space="0" w:color="auto"/>
            </w:tcBorders>
            <w:shd w:val="clear" w:color="auto" w:fill="1F497D" w:themeFill="text2"/>
            <w:vAlign w:val="center"/>
          </w:tcPr>
          <w:p w:rsidR="00CE1469" w:rsidRPr="00F6415D" w:rsidRDefault="00CE1469" w:rsidP="00C40CA4">
            <w:pPr>
              <w:pStyle w:val="Tableheading"/>
              <w:keepNext/>
              <w:rPr>
                <w:rFonts w:ascii="Segoe UI" w:hAnsi="Segoe UI" w:cs="Segoe UI"/>
                <w:lang w:eastAsia="en-AU"/>
              </w:rPr>
            </w:pPr>
            <w:r w:rsidRPr="00F6415D">
              <w:rPr>
                <w:rFonts w:ascii="Segoe UI" w:hAnsi="Segoe UI" w:cs="Segoe UI"/>
                <w:lang w:eastAsia="en-AU"/>
              </w:rPr>
              <w:t xml:space="preserve">Survey question </w:t>
            </w:r>
          </w:p>
        </w:tc>
        <w:tc>
          <w:tcPr>
            <w:tcW w:w="6588" w:type="dxa"/>
            <w:gridSpan w:val="6"/>
            <w:tcBorders>
              <w:top w:val="nil"/>
              <w:left w:val="nil"/>
              <w:bottom w:val="single" w:sz="4" w:space="0" w:color="auto"/>
              <w:right w:val="nil"/>
            </w:tcBorders>
            <w:shd w:val="clear" w:color="auto" w:fill="1F497D" w:themeFill="text2"/>
            <w:vAlign w:val="center"/>
          </w:tcPr>
          <w:p w:rsidR="00CE1469" w:rsidRPr="00F6415D" w:rsidRDefault="00CE1469" w:rsidP="00C40CA4">
            <w:pPr>
              <w:pStyle w:val="Tableheading"/>
              <w:keepNext/>
              <w:rPr>
                <w:rFonts w:ascii="Segoe UI" w:hAnsi="Segoe UI" w:cs="Segoe UI"/>
                <w:lang w:eastAsia="en-AU"/>
              </w:rPr>
            </w:pPr>
            <w:r w:rsidRPr="00F6415D">
              <w:rPr>
                <w:rFonts w:ascii="Segoe UI" w:hAnsi="Segoe UI" w:cs="Segoe UI"/>
                <w:lang w:eastAsia="en-AU"/>
              </w:rPr>
              <w:t xml:space="preserve">Household income </w:t>
            </w:r>
          </w:p>
        </w:tc>
      </w:tr>
      <w:tr w:rsidR="00CE1469" w:rsidRPr="00F6415D" w:rsidTr="00886077">
        <w:trPr>
          <w:trHeight w:val="462"/>
          <w:tblHeader/>
        </w:trPr>
        <w:tc>
          <w:tcPr>
            <w:tcW w:w="2127" w:type="dxa"/>
            <w:tcBorders>
              <w:top w:val="nil"/>
              <w:left w:val="nil"/>
              <w:bottom w:val="single" w:sz="4" w:space="0" w:color="auto"/>
              <w:right w:val="single" w:sz="4" w:space="0" w:color="auto"/>
            </w:tcBorders>
            <w:shd w:val="clear" w:color="auto" w:fill="DAEEF3" w:themeFill="accent5" w:themeFillTint="33"/>
            <w:vAlign w:val="center"/>
            <w:hideMark/>
          </w:tcPr>
          <w:p w:rsidR="00CE1469" w:rsidRPr="00F6415D" w:rsidRDefault="00CE1469" w:rsidP="00C40CA4">
            <w:pPr>
              <w:pStyle w:val="Tabletext1"/>
              <w:keepNext/>
              <w:rPr>
                <w:rFonts w:ascii="Segoe UI" w:hAnsi="Segoe UI" w:cs="Segoe UI"/>
                <w:lang w:eastAsia="en-AU"/>
              </w:rPr>
            </w:pPr>
            <w:r w:rsidRPr="00F6415D">
              <w:rPr>
                <w:rFonts w:ascii="Segoe UI" w:hAnsi="Segoe UI" w:cs="Segoe UI"/>
                <w:lang w:eastAsia="en-AU"/>
              </w:rPr>
              <w:t>‘I have to make sacrifices in daily spending to be able to pay aged care needs’</w:t>
            </w:r>
          </w:p>
        </w:tc>
        <w:tc>
          <w:tcPr>
            <w:tcW w:w="1134"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less than $20,000</w:t>
            </w:r>
          </w:p>
        </w:tc>
        <w:tc>
          <w:tcPr>
            <w:tcW w:w="1134"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$20,001 - $30,000</w:t>
            </w:r>
          </w:p>
        </w:tc>
        <w:tc>
          <w:tcPr>
            <w:tcW w:w="992"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$30,001 - $40,000</w:t>
            </w:r>
          </w:p>
        </w:tc>
        <w:tc>
          <w:tcPr>
            <w:tcW w:w="1134"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$40,001 - $50,000</w:t>
            </w:r>
          </w:p>
        </w:tc>
        <w:tc>
          <w:tcPr>
            <w:tcW w:w="1134"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$50,001 - $80,000</w:t>
            </w:r>
          </w:p>
        </w:tc>
        <w:tc>
          <w:tcPr>
            <w:tcW w:w="1060" w:type="dxa"/>
            <w:tcBorders>
              <w:top w:val="nil"/>
              <w:left w:val="nil"/>
              <w:bottom w:val="single" w:sz="4" w:space="0" w:color="auto"/>
              <w:right w:val="nil"/>
            </w:tcBorders>
            <w:shd w:val="clear" w:color="auto" w:fill="DAEEF3" w:themeFill="accent5" w:themeFillTint="33"/>
            <w:vAlign w:val="bottom"/>
            <w:hideMark/>
          </w:tcPr>
          <w:p w:rsidR="00CE1469" w:rsidRPr="00F6415D" w:rsidRDefault="00CE1469" w:rsidP="00C40CA4">
            <w:pPr>
              <w:pStyle w:val="Tabletext1"/>
              <w:keepNext/>
              <w:rPr>
                <w:rFonts w:ascii="Segoe UI" w:hAnsi="Segoe UI" w:cs="Segoe UI"/>
                <w:b/>
                <w:bCs/>
                <w:lang w:eastAsia="en-AU"/>
              </w:rPr>
            </w:pPr>
            <w:r w:rsidRPr="00F6415D">
              <w:rPr>
                <w:rFonts w:ascii="Segoe UI" w:hAnsi="Segoe UI" w:cs="Segoe UI"/>
                <w:b/>
                <w:bCs/>
                <w:lang w:eastAsia="en-AU"/>
              </w:rPr>
              <w:t>More than $80,000</w:t>
            </w:r>
          </w:p>
        </w:tc>
      </w:tr>
      <w:tr w:rsidR="00CE1469" w:rsidRPr="00F6415D" w:rsidTr="00CE1469">
        <w:trPr>
          <w:trHeight w:val="462"/>
        </w:trPr>
        <w:tc>
          <w:tcPr>
            <w:tcW w:w="2127"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C40CA4">
            <w:pPr>
              <w:pStyle w:val="Tabletext1"/>
              <w:keepNext/>
              <w:rPr>
                <w:rFonts w:ascii="Segoe UI" w:hAnsi="Segoe UI" w:cs="Segoe UI"/>
                <w:lang w:eastAsia="en-AU"/>
              </w:rPr>
            </w:pPr>
            <w:r w:rsidRPr="00F6415D">
              <w:rPr>
                <w:rFonts w:ascii="Segoe UI" w:hAnsi="Segoe UI" w:cs="Segoe UI"/>
                <w:lang w:eastAsia="en-AU"/>
              </w:rPr>
              <w:t>Strongly disagree</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13.1%</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13.3%</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7.7%</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14.6%</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12.1%</w:t>
            </w:r>
          </w:p>
        </w:tc>
        <w:tc>
          <w:tcPr>
            <w:tcW w:w="1060" w:type="dxa"/>
            <w:tcBorders>
              <w:top w:val="nil"/>
              <w:left w:val="single" w:sz="4" w:space="0" w:color="auto"/>
              <w:bottom w:val="single" w:sz="4" w:space="0" w:color="auto"/>
              <w:right w:val="nil"/>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4.1%</w:t>
            </w:r>
          </w:p>
        </w:tc>
      </w:tr>
      <w:tr w:rsidR="00CE1469" w:rsidRPr="00F6415D" w:rsidTr="00CE1469">
        <w:trPr>
          <w:trHeight w:val="462"/>
        </w:trPr>
        <w:tc>
          <w:tcPr>
            <w:tcW w:w="2127"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C40CA4">
            <w:pPr>
              <w:pStyle w:val="Tabletext1"/>
              <w:keepNext/>
              <w:rPr>
                <w:rFonts w:ascii="Segoe UI" w:hAnsi="Segoe UI" w:cs="Segoe UI"/>
                <w:lang w:eastAsia="en-AU"/>
              </w:rPr>
            </w:pPr>
            <w:r w:rsidRPr="00F6415D">
              <w:rPr>
                <w:rFonts w:ascii="Segoe UI" w:hAnsi="Segoe UI" w:cs="Segoe UI"/>
                <w:lang w:eastAsia="en-AU"/>
              </w:rPr>
              <w:t>Somewhat disagree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9.8%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23.7%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13.9%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22.1%</w:t>
            </w:r>
          </w:p>
        </w:tc>
        <w:tc>
          <w:tcPr>
            <w:tcW w:w="1060"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16.2%</w:t>
            </w:r>
          </w:p>
        </w:tc>
      </w:tr>
      <w:tr w:rsidR="00CE1469" w:rsidRPr="00F6415D" w:rsidTr="00CE1469">
        <w:trPr>
          <w:trHeight w:val="462"/>
        </w:trPr>
        <w:tc>
          <w:tcPr>
            <w:tcW w:w="2127"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C40CA4">
            <w:pPr>
              <w:pStyle w:val="Tabletext1"/>
              <w:keepNext/>
              <w:rPr>
                <w:rFonts w:ascii="Segoe UI" w:hAnsi="Segoe UI" w:cs="Segoe UI"/>
                <w:lang w:eastAsia="en-AU"/>
              </w:rPr>
            </w:pPr>
            <w:r w:rsidRPr="00F6415D">
              <w:rPr>
                <w:rFonts w:ascii="Segoe UI" w:hAnsi="Segoe UI" w:cs="Segoe UI"/>
                <w:lang w:eastAsia="en-AU"/>
              </w:rPr>
              <w:t>Neither</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22.0%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30.3%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34.6%</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26.8%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29.3%</w:t>
            </w:r>
          </w:p>
        </w:tc>
        <w:tc>
          <w:tcPr>
            <w:tcW w:w="1060"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27.2%</w:t>
            </w:r>
          </w:p>
        </w:tc>
      </w:tr>
      <w:tr w:rsidR="00CE1469" w:rsidRPr="00F6415D" w:rsidTr="00CE1469">
        <w:trPr>
          <w:trHeight w:val="462"/>
        </w:trPr>
        <w:tc>
          <w:tcPr>
            <w:tcW w:w="2127"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C40CA4">
            <w:pPr>
              <w:pStyle w:val="Tabletext1"/>
              <w:keepNext/>
              <w:rPr>
                <w:rFonts w:ascii="Segoe UI" w:hAnsi="Segoe UI" w:cs="Segoe UI"/>
                <w:lang w:eastAsia="en-AU"/>
              </w:rPr>
            </w:pPr>
            <w:r w:rsidRPr="00F6415D">
              <w:rPr>
                <w:rFonts w:ascii="Segoe UI" w:hAnsi="Segoe UI" w:cs="Segoe UI"/>
                <w:lang w:eastAsia="en-AU"/>
              </w:rPr>
              <w:t>Somewhat agree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34.4%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25.3%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27.9%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28.3%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25.7%</w:t>
            </w:r>
          </w:p>
        </w:tc>
        <w:tc>
          <w:tcPr>
            <w:tcW w:w="1060"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C40CA4">
            <w:pPr>
              <w:pStyle w:val="Tabletext1"/>
              <w:keepNext/>
              <w:rPr>
                <w:rFonts w:ascii="Segoe UI" w:hAnsi="Segoe UI" w:cs="Segoe UI"/>
                <w:i/>
                <w:iCs/>
                <w:lang w:eastAsia="en-AU"/>
              </w:rPr>
            </w:pPr>
            <w:r w:rsidRPr="00F6415D">
              <w:rPr>
                <w:rFonts w:ascii="Segoe UI" w:hAnsi="Segoe UI" w:cs="Segoe UI"/>
                <w:i/>
                <w:iCs/>
                <w:lang w:eastAsia="en-AU"/>
              </w:rPr>
              <w:t>37.1%</w:t>
            </w:r>
          </w:p>
        </w:tc>
      </w:tr>
      <w:tr w:rsidR="00CE1469" w:rsidRPr="00F6415D" w:rsidTr="00CE1469">
        <w:trPr>
          <w:trHeight w:val="462"/>
        </w:trPr>
        <w:tc>
          <w:tcPr>
            <w:tcW w:w="2127" w:type="dxa"/>
            <w:tcBorders>
              <w:top w:val="single" w:sz="4" w:space="0" w:color="auto"/>
              <w:left w:val="nil"/>
              <w:bottom w:val="single" w:sz="4" w:space="0" w:color="auto"/>
              <w:right w:val="single" w:sz="4" w:space="0" w:color="auto"/>
            </w:tcBorders>
            <w:shd w:val="clear" w:color="auto" w:fill="auto"/>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Strongly agree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20.7%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16.1%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6.0%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16.4%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10.8%</w:t>
            </w:r>
          </w:p>
        </w:tc>
        <w:tc>
          <w:tcPr>
            <w:tcW w:w="1060" w:type="dxa"/>
            <w:tcBorders>
              <w:top w:val="single" w:sz="4" w:space="0" w:color="auto"/>
              <w:left w:val="single" w:sz="4" w:space="0" w:color="auto"/>
              <w:bottom w:val="single" w:sz="4" w:space="0" w:color="auto"/>
              <w:right w:val="nil"/>
            </w:tcBorders>
            <w:shd w:val="clear" w:color="auto" w:fill="auto"/>
            <w:noWrap/>
            <w:vAlign w:val="bottom"/>
            <w:hideMark/>
          </w:tcPr>
          <w:p w:rsidR="00CE1469" w:rsidRPr="00F6415D" w:rsidRDefault="00CE1469" w:rsidP="00886077">
            <w:pPr>
              <w:pStyle w:val="Tabletext1"/>
              <w:rPr>
                <w:rFonts w:ascii="Segoe UI" w:hAnsi="Segoe UI" w:cs="Segoe UI"/>
                <w:i/>
                <w:iCs/>
                <w:lang w:eastAsia="en-AU"/>
              </w:rPr>
            </w:pPr>
            <w:r w:rsidRPr="00F6415D">
              <w:rPr>
                <w:rFonts w:ascii="Segoe UI" w:hAnsi="Segoe UI" w:cs="Segoe UI"/>
                <w:i/>
                <w:iCs/>
                <w:lang w:eastAsia="en-AU"/>
              </w:rPr>
              <w:t>15.4%</w:t>
            </w:r>
          </w:p>
        </w:tc>
      </w:tr>
    </w:tbl>
    <w:p w:rsidR="00CE1469" w:rsidRPr="00F6415D" w:rsidRDefault="00CE1469" w:rsidP="006E6C2E">
      <w:pPr>
        <w:pStyle w:val="Heading3"/>
        <w:rPr>
          <w:rFonts w:ascii="Segoe UI" w:hAnsi="Segoe UI" w:cs="Segoe UI"/>
        </w:rPr>
      </w:pPr>
      <w:bookmarkStart w:id="249" w:name="_Toc531271098"/>
      <w:bookmarkStart w:id="250" w:name="_Toc532206394"/>
      <w:r w:rsidRPr="00F6415D">
        <w:rPr>
          <w:rFonts w:ascii="Segoe UI" w:hAnsi="Segoe UI" w:cs="Segoe UI"/>
        </w:rPr>
        <w:t>Elder abuse and changing family dynamics</w:t>
      </w:r>
      <w:bookmarkEnd w:id="242"/>
      <w:bookmarkEnd w:id="243"/>
      <w:bookmarkEnd w:id="244"/>
      <w:bookmarkEnd w:id="245"/>
      <w:bookmarkEnd w:id="246"/>
      <w:bookmarkEnd w:id="249"/>
      <w:bookmarkEnd w:id="250"/>
    </w:p>
    <w:p w:rsidR="00CE1469" w:rsidRPr="00F6415D" w:rsidRDefault="00CE1469" w:rsidP="006E6C2E">
      <w:pPr>
        <w:pStyle w:val="BodyText"/>
        <w:rPr>
          <w:rFonts w:ascii="Segoe UI" w:hAnsi="Segoe UI" w:cs="Segoe UI"/>
        </w:rPr>
      </w:pPr>
      <w:r w:rsidRPr="00F6415D">
        <w:rPr>
          <w:rFonts w:ascii="Segoe UI" w:hAnsi="Segoe UI" w:cs="Segoe UI"/>
        </w:rPr>
        <w:t>A significant number of stakeholders, including aged care providers, peak bodies, financial advisors and CALD representatives expressed concern around the increase they are seeing in financial elder abuse from family members and carers across all programs. These concerns are outlined below.</w:t>
      </w:r>
    </w:p>
    <w:p w:rsidR="00CE1469" w:rsidRPr="00F6415D" w:rsidRDefault="00CE1469" w:rsidP="006E6C2E">
      <w:pPr>
        <w:pStyle w:val="Heading4"/>
        <w:rPr>
          <w:rFonts w:ascii="Segoe UI" w:hAnsi="Segoe UI" w:cs="Segoe UI"/>
        </w:rPr>
      </w:pPr>
      <w:r w:rsidRPr="00F6415D">
        <w:rPr>
          <w:rFonts w:ascii="Segoe UI" w:hAnsi="Segoe UI" w:cs="Segoe UI"/>
        </w:rPr>
        <w:t>Family abuse</w:t>
      </w:r>
    </w:p>
    <w:p w:rsidR="00CE1469" w:rsidRPr="00F6415D" w:rsidRDefault="00CE1469" w:rsidP="006E6C2E">
      <w:pPr>
        <w:pStyle w:val="BodyText"/>
        <w:rPr>
          <w:rFonts w:ascii="Segoe UI" w:hAnsi="Segoe UI" w:cs="Segoe UI"/>
        </w:rPr>
      </w:pPr>
      <w:r w:rsidRPr="00F6415D">
        <w:rPr>
          <w:rFonts w:ascii="Segoe UI" w:hAnsi="Segoe UI" w:cs="Segoe UI"/>
          <w:lang w:val="en"/>
        </w:rPr>
        <w:t xml:space="preserve">Senior </w:t>
      </w:r>
      <w:r w:rsidRPr="00F6415D">
        <w:rPr>
          <w:rFonts w:ascii="Segoe UI" w:hAnsi="Segoe UI" w:cs="Segoe UI"/>
        </w:rPr>
        <w:t xml:space="preserve">Australians are in a vulnerable position in terms of their finances if they become more reliant on children/family members/carers to help them manage their day-to-day finances. </w:t>
      </w:r>
    </w:p>
    <w:p w:rsidR="00CE1469" w:rsidRPr="00F6415D" w:rsidRDefault="00CE1469" w:rsidP="006E6C2E">
      <w:pPr>
        <w:pStyle w:val="BodyText"/>
        <w:rPr>
          <w:rFonts w:ascii="Segoe UI" w:hAnsi="Segoe UI" w:cs="Segoe UI"/>
        </w:rPr>
      </w:pPr>
      <w:r w:rsidRPr="00F6415D">
        <w:rPr>
          <w:rFonts w:ascii="Segoe UI" w:hAnsi="Segoe UI" w:cs="Segoe UI"/>
        </w:rPr>
        <w:t xml:space="preserve">Aged care providers advised that in some instances: </w:t>
      </w:r>
    </w:p>
    <w:p w:rsidR="00CE1469" w:rsidRPr="00F6415D" w:rsidRDefault="00CE1469" w:rsidP="006E6C2E">
      <w:pPr>
        <w:pStyle w:val="ListBullet"/>
        <w:rPr>
          <w:rFonts w:ascii="Segoe UI" w:hAnsi="Segoe UI" w:cs="Segoe UI"/>
        </w:rPr>
      </w:pPr>
      <w:r w:rsidRPr="00F6415D">
        <w:rPr>
          <w:rFonts w:ascii="Segoe UI" w:hAnsi="Segoe UI" w:cs="Segoe UI"/>
        </w:rPr>
        <w:t>Enduring Power of Attorneys (EPoAs) have taken control of a family member’s finances and used the money for personal gain</w:t>
      </w:r>
    </w:p>
    <w:p w:rsidR="00CE1469" w:rsidRPr="00F6415D" w:rsidRDefault="00CE1469" w:rsidP="006E6C2E">
      <w:pPr>
        <w:pStyle w:val="ListBullet"/>
        <w:rPr>
          <w:rFonts w:ascii="Segoe UI" w:hAnsi="Segoe UI" w:cs="Segoe UI"/>
        </w:rPr>
      </w:pPr>
      <w:r w:rsidRPr="00F6415D">
        <w:rPr>
          <w:rFonts w:ascii="Segoe UI" w:hAnsi="Segoe UI" w:cs="Segoe UI"/>
        </w:rPr>
        <w:t xml:space="preserve">Family members, who are registered nominees for Centrelink purposes, changed the banking details attached to a person’s pension to their own banking details to ‘assist the </w:t>
      </w:r>
      <w:r w:rsidRPr="00F6415D">
        <w:rPr>
          <w:rFonts w:ascii="Segoe UI" w:hAnsi="Segoe UI" w:cs="Segoe UI"/>
          <w:lang w:val="en"/>
        </w:rPr>
        <w:t xml:space="preserve">senior </w:t>
      </w:r>
      <w:r w:rsidRPr="00F6415D">
        <w:rPr>
          <w:rFonts w:ascii="Segoe UI" w:hAnsi="Segoe UI" w:cs="Segoe UI"/>
        </w:rPr>
        <w:t>Australian to manage their finances’</w:t>
      </w:r>
    </w:p>
    <w:p w:rsidR="00CE1469" w:rsidRPr="00F6415D" w:rsidRDefault="00CE1469" w:rsidP="006E6C2E">
      <w:pPr>
        <w:pStyle w:val="ListBullet"/>
        <w:rPr>
          <w:rFonts w:ascii="Segoe UI" w:hAnsi="Segoe UI" w:cs="Segoe UI"/>
        </w:rPr>
      </w:pPr>
      <w:r w:rsidRPr="00F6415D">
        <w:rPr>
          <w:rFonts w:ascii="Segoe UI" w:hAnsi="Segoe UI" w:cs="Segoe UI"/>
        </w:rPr>
        <w:t xml:space="preserve">Family members have convinced </w:t>
      </w:r>
      <w:r w:rsidRPr="00F6415D">
        <w:rPr>
          <w:rFonts w:ascii="Segoe UI" w:hAnsi="Segoe UI" w:cs="Segoe UI"/>
          <w:lang w:val="en"/>
        </w:rPr>
        <w:t xml:space="preserve">senior </w:t>
      </w:r>
      <w:r w:rsidRPr="00F6415D">
        <w:rPr>
          <w:rFonts w:ascii="Segoe UI" w:hAnsi="Segoe UI" w:cs="Segoe UI"/>
        </w:rPr>
        <w:t>Australians to sell the family home and disperse the estate prior to accessing aged care.</w:t>
      </w:r>
    </w:p>
    <w:p w:rsidR="00CE1469" w:rsidRPr="00F6415D" w:rsidRDefault="00CE1469" w:rsidP="006E6C2E">
      <w:pPr>
        <w:pStyle w:val="BodyText"/>
        <w:rPr>
          <w:rFonts w:ascii="Segoe UI" w:hAnsi="Segoe UI" w:cs="Segoe UI"/>
        </w:rPr>
      </w:pPr>
      <w:r w:rsidRPr="00F6415D">
        <w:rPr>
          <w:rFonts w:ascii="Segoe UI" w:hAnsi="Segoe UI" w:cs="Segoe UI"/>
        </w:rPr>
        <w:t>These actions may result in the consumers being unable to pay their aged care fees or buy essential daily items due to financial resources having been exhausted. In some cases, the strategies to disperse assets may be a deliberate attempt to reduce fees when the move to aged care occurs.</w:t>
      </w:r>
    </w:p>
    <w:p w:rsidR="00CE1469" w:rsidRPr="00F6415D" w:rsidRDefault="00CE1469" w:rsidP="006E6C2E">
      <w:pPr>
        <w:pStyle w:val="BodyText"/>
        <w:rPr>
          <w:rFonts w:ascii="Segoe UI" w:hAnsi="Segoe UI" w:cs="Segoe UI"/>
        </w:rPr>
      </w:pPr>
      <w:r w:rsidRPr="00F6415D">
        <w:rPr>
          <w:rFonts w:ascii="Segoe UI" w:hAnsi="Segoe UI" w:cs="Segoe UI"/>
        </w:rPr>
        <w:t xml:space="preserve">Aged care providers also advised that in some instances, consumers are prevented from accessing higher levels of care (e.g. residential care) because family members do </w:t>
      </w:r>
      <w:r w:rsidRPr="00F6415D">
        <w:rPr>
          <w:rFonts w:ascii="Segoe UI" w:hAnsi="Segoe UI" w:cs="Segoe UI"/>
        </w:rPr>
        <w:lastRenderedPageBreak/>
        <w:t>not want to lose the supports associated with home care, such as lawn mowing and home maintenance and/or pooled income streams.</w:t>
      </w:r>
    </w:p>
    <w:p w:rsidR="00CE1469" w:rsidRPr="00F6415D" w:rsidRDefault="00CE1469" w:rsidP="006E6C2E">
      <w:pPr>
        <w:pStyle w:val="BodyText"/>
        <w:rPr>
          <w:rFonts w:ascii="Segoe UI" w:hAnsi="Segoe UI" w:cs="Segoe UI"/>
        </w:rPr>
      </w:pPr>
      <w:r w:rsidRPr="00F6415D">
        <w:rPr>
          <w:rFonts w:ascii="Segoe UI" w:hAnsi="Segoe UI" w:cs="Segoe UI"/>
        </w:rPr>
        <w:t>Aged care providers in particular commented that there is a lack of information in terms of how to report and escalate instances of elder abuse and that the tribunal process to appoint a guardian can be slow and emotionally draining, and not always in the family’s or the consumer’s best interests.</w:t>
      </w:r>
    </w:p>
    <w:p w:rsidR="00CE1469" w:rsidRPr="00F6415D" w:rsidRDefault="00CE1469" w:rsidP="006E6C2E">
      <w:pPr>
        <w:pStyle w:val="Heading4"/>
        <w:rPr>
          <w:rFonts w:ascii="Segoe UI" w:hAnsi="Segoe UI" w:cs="Segoe UI"/>
        </w:rPr>
      </w:pPr>
      <w:r w:rsidRPr="00F6415D">
        <w:rPr>
          <w:rFonts w:ascii="Segoe UI" w:hAnsi="Segoe UI" w:cs="Segoe UI"/>
        </w:rPr>
        <w:t xml:space="preserve">Family dynamics </w:t>
      </w:r>
    </w:p>
    <w:p w:rsidR="00CE1469" w:rsidRPr="00F6415D" w:rsidRDefault="00CE1469" w:rsidP="006E6C2E">
      <w:pPr>
        <w:pStyle w:val="BodyText"/>
        <w:rPr>
          <w:rFonts w:ascii="Segoe UI" w:hAnsi="Segoe UI" w:cs="Segoe UI"/>
        </w:rPr>
      </w:pPr>
      <w:r w:rsidRPr="00F6415D">
        <w:rPr>
          <w:rFonts w:ascii="Segoe UI" w:hAnsi="Segoe UI" w:cs="Segoe UI"/>
        </w:rPr>
        <w:t xml:space="preserve">Changing family dynamics can be a significant contributor to the elder abuse issue. There are several unique challenges for </w:t>
      </w:r>
      <w:r w:rsidRPr="00F6415D">
        <w:rPr>
          <w:rFonts w:ascii="Segoe UI" w:hAnsi="Segoe UI" w:cs="Segoe UI"/>
          <w:lang w:val="en"/>
        </w:rPr>
        <w:t>older Australians</w:t>
      </w:r>
      <w:r w:rsidRPr="00F6415D">
        <w:rPr>
          <w:rFonts w:ascii="Segoe UI" w:hAnsi="Segoe UI" w:cs="Segoe UI"/>
        </w:rPr>
        <w:t xml:space="preserve"> who are, for example, in a second marriage or living with a partner but not married, including people who are lesbian, gay, bisexual, transgender, and/or intersex (LGBTI). </w:t>
      </w:r>
    </w:p>
    <w:p w:rsidR="00CE1469" w:rsidRPr="00F6415D" w:rsidRDefault="00CE1469" w:rsidP="006E6C2E">
      <w:pPr>
        <w:pStyle w:val="BodyText"/>
        <w:rPr>
          <w:rFonts w:ascii="Segoe UI" w:hAnsi="Segoe UI" w:cs="Segoe UI"/>
        </w:rPr>
      </w:pPr>
      <w:r w:rsidRPr="00F6415D">
        <w:rPr>
          <w:rFonts w:ascii="Segoe UI" w:hAnsi="Segoe UI" w:cs="Segoe UI"/>
        </w:rPr>
        <w:t xml:space="preserve">Stakeholders reported that often inadequate planning or arrangements to deal with the estate planning implications can cause difficulties, particularly in relation to the family home if one member of the couple enters care or passes away. The combined treatment of assets and income for a coupled (who do not always pool resources) for aged care means testing purposes can also create difficulties. Estate management can become complicated for instance, if the children from a first marriage do not recognise the ownership/occupation rights of the new spouse, which may render that person homeless. </w:t>
      </w:r>
    </w:p>
    <w:p w:rsidR="00CE1469" w:rsidRPr="00F6415D" w:rsidRDefault="00CE1469" w:rsidP="006E6C2E">
      <w:pPr>
        <w:pStyle w:val="Heading4"/>
        <w:rPr>
          <w:rFonts w:ascii="Segoe UI" w:hAnsi="Segoe UI" w:cs="Segoe UI"/>
        </w:rPr>
      </w:pPr>
      <w:r w:rsidRPr="00F6415D">
        <w:rPr>
          <w:rFonts w:ascii="Segoe UI" w:hAnsi="Segoe UI" w:cs="Segoe UI"/>
        </w:rPr>
        <w:t>Abuse by carers</w:t>
      </w:r>
    </w:p>
    <w:p w:rsidR="00CE1469" w:rsidRPr="00F6415D" w:rsidRDefault="00CE1469" w:rsidP="006E6C2E">
      <w:pPr>
        <w:pStyle w:val="BodyText"/>
        <w:rPr>
          <w:rFonts w:ascii="Segoe UI" w:hAnsi="Segoe UI" w:cs="Segoe UI"/>
        </w:rPr>
      </w:pPr>
      <w:bookmarkStart w:id="251" w:name="_Toc528861147"/>
      <w:bookmarkStart w:id="252" w:name="_Toc529890590"/>
      <w:bookmarkStart w:id="253" w:name="_Toc527561563"/>
      <w:bookmarkStart w:id="254" w:name="_Toc527564637"/>
      <w:bookmarkStart w:id="255" w:name="_Toc528224265"/>
      <w:r w:rsidRPr="00F6415D">
        <w:rPr>
          <w:rFonts w:ascii="Segoe UI" w:hAnsi="Segoe UI" w:cs="Segoe UI"/>
        </w:rPr>
        <w:t xml:space="preserve">CALD representative bodies noted that CALD communities are particularly vulnerable to elder abuse. Specifically, people who do not speak English as their first language, do not speak English, or have lost their ability to speak English through a loss of cognitive function (such as dementia) are particularly vulnerable. </w:t>
      </w:r>
    </w:p>
    <w:p w:rsidR="00CE1469" w:rsidRPr="00F6415D" w:rsidRDefault="00CE1469" w:rsidP="006E6C2E">
      <w:pPr>
        <w:pStyle w:val="BodyText"/>
        <w:rPr>
          <w:rFonts w:ascii="Segoe UI" w:hAnsi="Segoe UI" w:cs="Segoe UI"/>
        </w:rPr>
      </w:pPr>
      <w:r w:rsidRPr="00F6415D">
        <w:rPr>
          <w:rFonts w:ascii="Segoe UI" w:hAnsi="Segoe UI" w:cs="Segoe UI"/>
        </w:rPr>
        <w:t xml:space="preserve">Aged care providers and CALD representative bodies reported that they were aware of instances when carers who were relied on to provide translation for the consumer, manipulated the consumer to name them as a beneficiary in their will or to provide them with money for personal use. </w:t>
      </w:r>
    </w:p>
    <w:p w:rsidR="00CE1469" w:rsidRPr="00F6415D" w:rsidRDefault="00CE1469" w:rsidP="006E6C2E">
      <w:pPr>
        <w:pStyle w:val="BodyText"/>
        <w:rPr>
          <w:rFonts w:ascii="Segoe UI" w:hAnsi="Segoe UI" w:cs="Segoe UI"/>
        </w:rPr>
      </w:pPr>
      <w:r w:rsidRPr="00F6415D">
        <w:rPr>
          <w:rFonts w:ascii="Segoe UI" w:hAnsi="Segoe UI" w:cs="Segoe UI"/>
        </w:rPr>
        <w:t xml:space="preserve">ACFA notes that the Australian Law Reform Commission released the </w:t>
      </w:r>
      <w:r w:rsidRPr="00F6415D">
        <w:rPr>
          <w:rFonts w:ascii="Segoe UI" w:hAnsi="Segoe UI" w:cs="Segoe UI"/>
          <w:i/>
        </w:rPr>
        <w:t>Elder Abuse – A National Legal Response</w:t>
      </w:r>
      <w:r w:rsidRPr="00F6415D">
        <w:rPr>
          <w:rFonts w:ascii="Segoe UI" w:hAnsi="Segoe UI" w:cs="Segoe UI"/>
          <w:i/>
          <w:vertAlign w:val="superscript"/>
        </w:rPr>
        <w:endnoteReference w:id="14"/>
      </w:r>
      <w:r w:rsidR="001B5BED" w:rsidRPr="00F6415D">
        <w:rPr>
          <w:rFonts w:ascii="Segoe UI" w:hAnsi="Segoe UI" w:cs="Segoe UI"/>
        </w:rPr>
        <w:t xml:space="preserve"> </w:t>
      </w:r>
      <w:r w:rsidRPr="00F6415D">
        <w:rPr>
          <w:rFonts w:ascii="Segoe UI" w:hAnsi="Segoe UI" w:cs="Segoe UI"/>
        </w:rPr>
        <w:t>report in May 2017, in which it identified financial abuse as the most commonly reported type of elder abuse. The report recommends the Australian Government, in cooperation with state and territory governments, should develop a National Plan to combat elder abuse. On 20 February 2018, the Attorney-General announced the National Plan to address elder abuse will be developed in conjunction with the Australian Government and state and territory attorneys-general.</w:t>
      </w:r>
    </w:p>
    <w:p w:rsidR="00CE1469" w:rsidRPr="00F6415D" w:rsidRDefault="00CE1469" w:rsidP="006E6C2E">
      <w:pPr>
        <w:pStyle w:val="Heading3"/>
        <w:rPr>
          <w:rFonts w:ascii="Segoe UI" w:hAnsi="Segoe UI" w:cs="Segoe UI"/>
        </w:rPr>
      </w:pPr>
      <w:bookmarkStart w:id="256" w:name="_Toc531271099"/>
      <w:bookmarkStart w:id="257" w:name="_Toc532206395"/>
      <w:r w:rsidRPr="00F6415D">
        <w:rPr>
          <w:rFonts w:ascii="Segoe UI" w:hAnsi="Segoe UI" w:cs="Segoe UI"/>
        </w:rPr>
        <w:t>Regional, rural and remote</w:t>
      </w:r>
      <w:bookmarkEnd w:id="251"/>
      <w:bookmarkEnd w:id="252"/>
      <w:bookmarkEnd w:id="256"/>
      <w:bookmarkEnd w:id="257"/>
      <w:r w:rsidRPr="00F6415D">
        <w:rPr>
          <w:rFonts w:ascii="Segoe UI" w:hAnsi="Segoe UI" w:cs="Segoe UI"/>
        </w:rPr>
        <w:t xml:space="preserve"> </w:t>
      </w:r>
      <w:bookmarkEnd w:id="253"/>
      <w:bookmarkEnd w:id="254"/>
      <w:bookmarkEnd w:id="255"/>
    </w:p>
    <w:p w:rsidR="00CE1469" w:rsidRPr="00F6415D" w:rsidRDefault="00CE1469" w:rsidP="006E6C2E">
      <w:pPr>
        <w:pStyle w:val="BodyText"/>
        <w:rPr>
          <w:rFonts w:ascii="Segoe UI" w:hAnsi="Segoe UI" w:cs="Segoe UI"/>
        </w:rPr>
      </w:pPr>
      <w:r w:rsidRPr="00F6415D">
        <w:rPr>
          <w:rFonts w:ascii="Segoe UI" w:hAnsi="Segoe UI" w:cs="Segoe UI"/>
        </w:rPr>
        <w:t>The ACFA consumer survey and stakeholder consultations identified that consumers in regional, rural and remote areas face unique challenges when it comes to financing aged care. These challenges are outlined below.</w:t>
      </w:r>
    </w:p>
    <w:p w:rsidR="00CE1469" w:rsidRPr="00F6415D" w:rsidRDefault="00CE1469" w:rsidP="006E6C2E">
      <w:pPr>
        <w:pStyle w:val="Heading4"/>
        <w:rPr>
          <w:rFonts w:ascii="Segoe UI" w:hAnsi="Segoe UI" w:cs="Segoe UI"/>
        </w:rPr>
      </w:pPr>
      <w:r w:rsidRPr="00F6415D">
        <w:rPr>
          <w:rFonts w:ascii="Segoe UI" w:hAnsi="Segoe UI" w:cs="Segoe UI"/>
        </w:rPr>
        <w:lastRenderedPageBreak/>
        <w:t>Accessibility of the system</w:t>
      </w:r>
    </w:p>
    <w:p w:rsidR="00CE1469" w:rsidRPr="00F6415D" w:rsidRDefault="00CE1469" w:rsidP="006E6C2E">
      <w:pPr>
        <w:pStyle w:val="BodyText"/>
        <w:rPr>
          <w:rFonts w:ascii="Segoe UI" w:hAnsi="Segoe UI" w:cs="Segoe UI"/>
        </w:rPr>
      </w:pPr>
      <w:r w:rsidRPr="00F6415D">
        <w:rPr>
          <w:rFonts w:ascii="Segoe UI" w:hAnsi="Segoe UI" w:cs="Segoe UI"/>
        </w:rPr>
        <w:t xml:space="preserve">Stakeholder consultations advised that consumers in more remote locations can find it difficult to access RAS and ACATs in a timely manner, leading to delays in the assessment process and financial pressure in financing interim supports. </w:t>
      </w:r>
    </w:p>
    <w:p w:rsidR="00CE1469" w:rsidRPr="00F6415D" w:rsidRDefault="00CE1469" w:rsidP="006E6C2E">
      <w:pPr>
        <w:pStyle w:val="BodyText"/>
        <w:rPr>
          <w:rFonts w:ascii="Segoe UI" w:hAnsi="Segoe UI" w:cs="Segoe UI"/>
        </w:rPr>
      </w:pPr>
      <w:r w:rsidRPr="00F6415D">
        <w:rPr>
          <w:rFonts w:ascii="Segoe UI" w:hAnsi="Segoe UI" w:cs="Segoe UI"/>
        </w:rPr>
        <w:t xml:space="preserve">Aboriginal and Torres Strait Islander consumers also experience a range of cultural barriers in navigating the My Aged Care contact centre. It is only with additional support from a provider or appropriate advocate that many consumers are able to progress through the system. </w:t>
      </w:r>
    </w:p>
    <w:p w:rsidR="00CE1469" w:rsidRPr="00F6415D" w:rsidRDefault="00CE1469" w:rsidP="006E6C2E">
      <w:pPr>
        <w:pStyle w:val="BodyText"/>
        <w:rPr>
          <w:rFonts w:ascii="Segoe UI" w:hAnsi="Segoe UI" w:cs="Segoe UI"/>
        </w:rPr>
      </w:pPr>
      <w:r w:rsidRPr="00F6415D">
        <w:rPr>
          <w:rFonts w:ascii="Segoe UI" w:hAnsi="Segoe UI" w:cs="Segoe UI"/>
        </w:rPr>
        <w:t xml:space="preserve">Home care was more problematic because it requires an ACAT, rather than an assessment that can be completed over the telephone. </w:t>
      </w:r>
    </w:p>
    <w:p w:rsidR="00CE1469" w:rsidRPr="00F6415D" w:rsidRDefault="00CE1469" w:rsidP="006E6C2E">
      <w:pPr>
        <w:pStyle w:val="Heading4"/>
        <w:rPr>
          <w:rFonts w:ascii="Segoe UI" w:hAnsi="Segoe UI" w:cs="Segoe UI"/>
        </w:rPr>
      </w:pPr>
      <w:r w:rsidRPr="00F6415D">
        <w:rPr>
          <w:rFonts w:ascii="Segoe UI" w:hAnsi="Segoe UI" w:cs="Segoe UI"/>
        </w:rPr>
        <w:t>Availability of services</w:t>
      </w:r>
    </w:p>
    <w:p w:rsidR="00CE1469" w:rsidRPr="00F6415D" w:rsidRDefault="00CE1469" w:rsidP="006E6C2E">
      <w:pPr>
        <w:pStyle w:val="BodyText"/>
        <w:rPr>
          <w:rFonts w:ascii="Segoe UI" w:hAnsi="Segoe UI" w:cs="Segoe UI"/>
        </w:rPr>
      </w:pPr>
      <w:r w:rsidRPr="00F6415D">
        <w:rPr>
          <w:rFonts w:ascii="Segoe UI" w:hAnsi="Segoe UI" w:cs="Segoe UI"/>
        </w:rPr>
        <w:t xml:space="preserve">Stakeholder consultations noted that the availability of aged care services in regional, rural and remote settings is limited, both in terms of number of service providers and types of services available. </w:t>
      </w:r>
    </w:p>
    <w:p w:rsidR="00CE1469" w:rsidRPr="00F6415D" w:rsidRDefault="00CE1469" w:rsidP="006E6C2E">
      <w:pPr>
        <w:pStyle w:val="BodyText"/>
        <w:rPr>
          <w:rFonts w:ascii="Segoe UI" w:hAnsi="Segoe UI" w:cs="Segoe UI"/>
        </w:rPr>
      </w:pPr>
      <w:r w:rsidRPr="00F6415D">
        <w:rPr>
          <w:rFonts w:ascii="Segoe UI" w:hAnsi="Segoe UI" w:cs="Segoe UI"/>
        </w:rPr>
        <w:t xml:space="preserve">Most consumers in more remote locations have limited choice in the types of services available, and the number of providers available to them. Subsequently, competition in these thin markets is reduced and not only limits consumer choice, but also leads to a higher cost of service. This is especially true for home care services, where consumers are often charged higher rates than consumers who reside in </w:t>
      </w:r>
      <w:r w:rsidR="00506DC3" w:rsidRPr="00F6415D">
        <w:rPr>
          <w:rFonts w:ascii="Segoe UI" w:hAnsi="Segoe UI" w:cs="Segoe UI"/>
        </w:rPr>
        <w:t>metropolitan</w:t>
      </w:r>
      <w:r w:rsidRPr="00F6415D">
        <w:rPr>
          <w:rFonts w:ascii="Segoe UI" w:hAnsi="Segoe UI" w:cs="Segoe UI"/>
        </w:rPr>
        <w:t xml:space="preserve"> areas. These increased costs are driven by factors such as increased travel costs and difficulties in service provision, but also the lack of competition in some areas. This increased cost limits the quantum of services accessible from a home care package for consumers. For example, a number of providers identified consumers who may only be provided with 10 hours of services per week on a level four package due to the costs associated with travelling to them and the administration charges.</w:t>
      </w:r>
    </w:p>
    <w:p w:rsidR="00CE1469" w:rsidRPr="00F6415D" w:rsidRDefault="00CE1469" w:rsidP="006E6C2E">
      <w:pPr>
        <w:pStyle w:val="BodyText"/>
        <w:rPr>
          <w:rFonts w:ascii="Segoe UI" w:hAnsi="Segoe UI" w:cs="Segoe UI"/>
        </w:rPr>
      </w:pPr>
      <w:r w:rsidRPr="00F6415D">
        <w:rPr>
          <w:rFonts w:ascii="Segoe UI" w:hAnsi="Segoe UI" w:cs="Segoe UI"/>
        </w:rPr>
        <w:t xml:space="preserve">Aged care providers indicated that the block funding nature of the national Aboriginal and Torres Strait Islander flexible aged care program (NATSIFACP) and multi-purpose services (MPS) enables them to deliver a flexible and more financially viable model of care for consumers in a rural setting. Aged care providers noted that these programs ensure a constant income stream which provides them with stability of income and the flexibility to manage the delivery of aged care services to meet the needs of the community. </w:t>
      </w:r>
    </w:p>
    <w:p w:rsidR="00CE1469" w:rsidRPr="00F6415D" w:rsidRDefault="00CE1469" w:rsidP="006E6C2E">
      <w:pPr>
        <w:pStyle w:val="BodyText"/>
        <w:rPr>
          <w:rFonts w:ascii="Segoe UI" w:hAnsi="Segoe UI" w:cs="Segoe UI"/>
        </w:rPr>
      </w:pPr>
      <w:r w:rsidRPr="00F6415D">
        <w:rPr>
          <w:rFonts w:ascii="Segoe UI" w:hAnsi="Segoe UI" w:cs="Segoe UI"/>
        </w:rPr>
        <w:t xml:space="preserve">In addition, MPS services may provide a lower cost option to consumers, as the collection of the basic daily fee and accommodation payments are left to the discretion of the MPS provider which is often government owned or not for profit and, as a result, may result in the consumer not being asked to pay these aged care fees. </w:t>
      </w:r>
    </w:p>
    <w:p w:rsidR="00CE1469" w:rsidRPr="00F6415D" w:rsidRDefault="00CE1469" w:rsidP="006E6C2E">
      <w:pPr>
        <w:pStyle w:val="BodyText"/>
        <w:rPr>
          <w:rFonts w:ascii="Segoe UI" w:hAnsi="Segoe UI" w:cs="Segoe UI"/>
        </w:rPr>
      </w:pPr>
      <w:r w:rsidRPr="00F6415D">
        <w:rPr>
          <w:rFonts w:ascii="Segoe UI" w:hAnsi="Segoe UI" w:cs="Segoe UI"/>
        </w:rPr>
        <w:t xml:space="preserve">New platform home care provider options may also open up the range and access in rural and remote areas and drive competition in pricing and flexibility of services. </w:t>
      </w:r>
    </w:p>
    <w:p w:rsidR="00CE1469" w:rsidRPr="00F6415D" w:rsidRDefault="00CE1469" w:rsidP="006E6C2E">
      <w:pPr>
        <w:pStyle w:val="Heading4"/>
        <w:rPr>
          <w:rFonts w:ascii="Segoe UI" w:hAnsi="Segoe UI" w:cs="Segoe UI"/>
        </w:rPr>
      </w:pPr>
      <w:r w:rsidRPr="00F6415D">
        <w:rPr>
          <w:rFonts w:ascii="Segoe UI" w:hAnsi="Segoe UI" w:cs="Segoe UI"/>
        </w:rPr>
        <w:lastRenderedPageBreak/>
        <w:t>Ability to finance aged care</w:t>
      </w:r>
    </w:p>
    <w:p w:rsidR="00CE1469" w:rsidRPr="00F6415D" w:rsidRDefault="00CE1469" w:rsidP="006E6C2E">
      <w:pPr>
        <w:pStyle w:val="BodyText"/>
        <w:rPr>
          <w:rFonts w:ascii="Segoe UI" w:hAnsi="Segoe UI" w:cs="Segoe UI"/>
        </w:rPr>
      </w:pPr>
      <w:bookmarkStart w:id="258" w:name="_Toc527561564"/>
      <w:bookmarkStart w:id="259" w:name="_Toc527564638"/>
      <w:bookmarkStart w:id="260" w:name="_Toc528224266"/>
      <w:bookmarkStart w:id="261" w:name="_Toc528861148"/>
      <w:bookmarkStart w:id="262" w:name="_Toc529890591"/>
      <w:r w:rsidRPr="00F6415D">
        <w:rPr>
          <w:rFonts w:ascii="Segoe UI" w:hAnsi="Segoe UI" w:cs="Segoe UI"/>
        </w:rPr>
        <w:t xml:space="preserve">Stakeholder consultations highlighted that the ability to plan and contribute to the cost of care was lower for consumers in rural and remote areas. Some consumers in more remote locations have little in terms of income outside of income support payments and are unable to plan for financing their aged care. One provider identified 70-80 per cent of their consumers fitting into this category. </w:t>
      </w:r>
    </w:p>
    <w:p w:rsidR="00CE1469" w:rsidRPr="00F6415D" w:rsidRDefault="00CE1469" w:rsidP="006E6C2E">
      <w:pPr>
        <w:pStyle w:val="BodyText"/>
        <w:rPr>
          <w:rFonts w:ascii="Segoe UI" w:hAnsi="Segoe UI" w:cs="Segoe UI"/>
          <w:lang w:val="en-GB"/>
        </w:rPr>
      </w:pPr>
      <w:r w:rsidRPr="00F6415D">
        <w:rPr>
          <w:rFonts w:ascii="Segoe UI" w:hAnsi="Segoe UI" w:cs="Segoe UI"/>
          <w:lang w:val="en-GB"/>
        </w:rPr>
        <w:t>Over half of respondents in rural regions (57 per cent) receive a yearly household income of $0</w:t>
      </w:r>
      <w:r w:rsidRPr="00F6415D">
        <w:rPr>
          <w:rFonts w:ascii="Segoe UI" w:hAnsi="Segoe UI" w:cs="Segoe UI"/>
          <w:lang w:val="en-GB"/>
        </w:rPr>
        <w:noBreakHyphen/>
        <w:t xml:space="preserve">$40,000, compared with 39 per cent of those living in </w:t>
      </w:r>
      <w:r w:rsidR="00F9121C" w:rsidRPr="00F6415D">
        <w:rPr>
          <w:rFonts w:ascii="Segoe UI" w:hAnsi="Segoe UI" w:cs="Segoe UI"/>
          <w:lang w:val="en-GB"/>
        </w:rPr>
        <w:t>metropolitan</w:t>
      </w:r>
      <w:r w:rsidRPr="00F6415D">
        <w:rPr>
          <w:rFonts w:ascii="Segoe UI" w:hAnsi="Segoe UI" w:cs="Segoe UI"/>
          <w:lang w:val="en-GB"/>
        </w:rPr>
        <w:t xml:space="preserve"> regions</w:t>
      </w:r>
      <w:r w:rsidR="001B5BED" w:rsidRPr="00F6415D">
        <w:rPr>
          <w:rFonts w:ascii="Segoe UI" w:hAnsi="Segoe UI" w:cs="Segoe UI"/>
          <w:lang w:val="en-GB"/>
        </w:rPr>
        <w:t xml:space="preserve">. </w:t>
      </w:r>
      <w:r w:rsidRPr="00F6415D">
        <w:rPr>
          <w:rFonts w:ascii="Segoe UI" w:hAnsi="Segoe UI" w:cs="Segoe UI"/>
          <w:lang w:val="en-GB"/>
        </w:rPr>
        <w:t>The two cohorts are comparable in the $40,001</w:t>
      </w:r>
      <w:r w:rsidRPr="00F6415D">
        <w:rPr>
          <w:rFonts w:ascii="Segoe UI" w:hAnsi="Segoe UI" w:cs="Segoe UI"/>
          <w:lang w:val="en-GB"/>
        </w:rPr>
        <w:noBreakHyphen/>
        <w:t xml:space="preserve">$50,000 bracket with 10 per cent of </w:t>
      </w:r>
      <w:r w:rsidR="00F9121C" w:rsidRPr="00F6415D">
        <w:rPr>
          <w:rFonts w:ascii="Segoe UI" w:hAnsi="Segoe UI" w:cs="Segoe UI"/>
          <w:lang w:val="en-GB"/>
        </w:rPr>
        <w:t>metropolitan</w:t>
      </w:r>
      <w:r w:rsidRPr="00F6415D">
        <w:rPr>
          <w:rFonts w:ascii="Segoe UI" w:hAnsi="Segoe UI" w:cs="Segoe UI"/>
          <w:lang w:val="en-GB"/>
        </w:rPr>
        <w:t xml:space="preserve"> respondents and 10 per cent of rural respondents falling into this category. In the higher income brackets (from $50,001</w:t>
      </w:r>
      <w:r w:rsidRPr="00F6415D">
        <w:rPr>
          <w:rFonts w:ascii="Segoe UI" w:hAnsi="Segoe UI" w:cs="Segoe UI"/>
          <w:lang w:val="en-GB"/>
        </w:rPr>
        <w:noBreakHyphen/>
        <w:t xml:space="preserve">$250,000) there were consistently more </w:t>
      </w:r>
      <w:r w:rsidR="00F9121C" w:rsidRPr="00F6415D">
        <w:rPr>
          <w:rFonts w:ascii="Segoe UI" w:hAnsi="Segoe UI" w:cs="Segoe UI"/>
          <w:lang w:val="en-GB"/>
        </w:rPr>
        <w:t>metropolitan</w:t>
      </w:r>
      <w:r w:rsidRPr="00F6415D">
        <w:rPr>
          <w:rFonts w:ascii="Segoe UI" w:hAnsi="Segoe UI" w:cs="Segoe UI"/>
          <w:lang w:val="en-GB"/>
        </w:rPr>
        <w:t xml:space="preserve"> respondents in each bracket.</w:t>
      </w:r>
    </w:p>
    <w:p w:rsidR="00CE1469" w:rsidRPr="00F6415D" w:rsidRDefault="00CE1469" w:rsidP="006E6C2E">
      <w:pPr>
        <w:pStyle w:val="BodyText"/>
        <w:rPr>
          <w:rFonts w:ascii="Segoe UI" w:hAnsi="Segoe UI" w:cs="Segoe UI"/>
        </w:rPr>
      </w:pPr>
      <w:r w:rsidRPr="00F6415D">
        <w:rPr>
          <w:rFonts w:ascii="Segoe UI" w:hAnsi="Segoe UI" w:cs="Segoe UI"/>
        </w:rPr>
        <w:t xml:space="preserve">Survey results indicate that there is a difference in the aged care cost incurred by people living in </w:t>
      </w:r>
      <w:r w:rsidR="00F9121C" w:rsidRPr="00F6415D">
        <w:rPr>
          <w:rFonts w:ascii="Segoe UI" w:hAnsi="Segoe UI" w:cs="Segoe UI"/>
        </w:rPr>
        <w:t>metropolitan</w:t>
      </w:r>
      <w:r w:rsidRPr="00F6415D">
        <w:rPr>
          <w:rFonts w:ascii="Segoe UI" w:hAnsi="Segoe UI" w:cs="Segoe UI"/>
        </w:rPr>
        <w:t xml:space="preserve"> areas compared with rural areas as shown in </w:t>
      </w:r>
      <w:r w:rsidR="003B03AF" w:rsidRPr="00F6415D">
        <w:rPr>
          <w:rFonts w:ascii="Segoe UI" w:hAnsi="Segoe UI" w:cs="Segoe UI"/>
        </w:rPr>
        <w:fldChar w:fldCharType="begin"/>
      </w:r>
      <w:r w:rsidR="003B03AF" w:rsidRPr="00F6415D">
        <w:rPr>
          <w:rFonts w:ascii="Segoe UI" w:hAnsi="Segoe UI" w:cs="Segoe UI"/>
        </w:rPr>
        <w:instrText xml:space="preserve"> REF _Ref531163115 \h </w:instrText>
      </w:r>
      <w:r w:rsidR="00E12DF5" w:rsidRPr="00F6415D">
        <w:rPr>
          <w:rFonts w:ascii="Segoe UI" w:hAnsi="Segoe UI" w:cs="Segoe UI"/>
        </w:rPr>
        <w:instrText xml:space="preserve"> \* MERGEFORMAT </w:instrText>
      </w:r>
      <w:r w:rsidR="003B03AF" w:rsidRPr="00F6415D">
        <w:rPr>
          <w:rFonts w:ascii="Segoe UI" w:hAnsi="Segoe UI" w:cs="Segoe UI"/>
        </w:rPr>
      </w:r>
      <w:r w:rsidR="003B03AF" w:rsidRPr="00F6415D">
        <w:rPr>
          <w:rFonts w:ascii="Segoe UI" w:hAnsi="Segoe UI" w:cs="Segoe UI"/>
        </w:rPr>
        <w:fldChar w:fldCharType="separate"/>
      </w:r>
      <w:r w:rsidR="00C40CA4" w:rsidRPr="00C40CA4">
        <w:rPr>
          <w:rFonts w:ascii="Segoe UI" w:hAnsi="Segoe UI" w:cs="Segoe UI"/>
        </w:rPr>
        <w:t xml:space="preserve">Figure </w:t>
      </w:r>
      <w:r w:rsidR="00C40CA4" w:rsidRPr="00C40CA4">
        <w:rPr>
          <w:rFonts w:ascii="Segoe UI" w:hAnsi="Segoe UI" w:cs="Segoe UI"/>
          <w:noProof/>
        </w:rPr>
        <w:t>11</w:t>
      </w:r>
      <w:r w:rsidR="003B03AF" w:rsidRPr="00F6415D">
        <w:rPr>
          <w:rFonts w:ascii="Segoe UI" w:hAnsi="Segoe UI" w:cs="Segoe UI"/>
        </w:rPr>
        <w:fldChar w:fldCharType="end"/>
      </w:r>
      <w:r w:rsidR="003B03AF" w:rsidRPr="00F6415D">
        <w:rPr>
          <w:rFonts w:ascii="Segoe UI" w:hAnsi="Segoe UI" w:cs="Segoe UI"/>
        </w:rPr>
        <w:t xml:space="preserve"> </w:t>
      </w:r>
      <w:r w:rsidRPr="00F6415D">
        <w:rPr>
          <w:rFonts w:ascii="Segoe UI" w:hAnsi="Segoe UI" w:cs="Segoe UI"/>
        </w:rPr>
        <w:t xml:space="preserve">below. Those in rural areas, currently receiving aged care are less likely to incur costs for their care. For example, of the survey respondents who are paying a home care package basic care fee, 70 per cent are living in </w:t>
      </w:r>
      <w:r w:rsidR="00F9121C" w:rsidRPr="00F6415D">
        <w:rPr>
          <w:rFonts w:ascii="Segoe UI" w:hAnsi="Segoe UI" w:cs="Segoe UI"/>
        </w:rPr>
        <w:t>metropolitan</w:t>
      </w:r>
      <w:r w:rsidRPr="00F6415D">
        <w:rPr>
          <w:rFonts w:ascii="Segoe UI" w:hAnsi="Segoe UI" w:cs="Segoe UI"/>
        </w:rPr>
        <w:t xml:space="preserve"> areas, compared with 30 per cent living in a rural area</w:t>
      </w:r>
      <w:r w:rsidR="001B5BED" w:rsidRPr="00F6415D">
        <w:rPr>
          <w:rFonts w:ascii="Segoe UI" w:hAnsi="Segoe UI" w:cs="Segoe UI"/>
        </w:rPr>
        <w:t xml:space="preserve">. </w:t>
      </w:r>
    </w:p>
    <w:p w:rsidR="00CE1469" w:rsidRPr="00F6415D" w:rsidRDefault="00CE1469" w:rsidP="006E6C2E">
      <w:pPr>
        <w:pStyle w:val="BodyText"/>
        <w:rPr>
          <w:rFonts w:ascii="Segoe UI" w:hAnsi="Segoe UI" w:cs="Segoe UI"/>
        </w:rPr>
      </w:pPr>
      <w:r w:rsidRPr="00F6415D">
        <w:rPr>
          <w:rFonts w:ascii="Segoe UI" w:hAnsi="Segoe UI" w:cs="Segoe UI"/>
        </w:rPr>
        <w:t xml:space="preserve">This trend is similar for those consumers paying a home care package income-tested care fee, with 65 per cent of consumers residing in a </w:t>
      </w:r>
      <w:r w:rsidR="00F9121C" w:rsidRPr="00F6415D">
        <w:rPr>
          <w:rFonts w:ascii="Segoe UI" w:hAnsi="Segoe UI" w:cs="Segoe UI"/>
        </w:rPr>
        <w:t>metropolitan</w:t>
      </w:r>
      <w:r w:rsidRPr="00F6415D">
        <w:rPr>
          <w:rFonts w:ascii="Segoe UI" w:hAnsi="Segoe UI" w:cs="Segoe UI"/>
        </w:rPr>
        <w:t xml:space="preserve"> area compared with 35 per cent in rural areas. This is supported by stakeholder consultation with various providers which indicate that ability to plan and contribute to the cost of care was noted to be lower for consumers in rural and remote areas. </w:t>
      </w:r>
    </w:p>
    <w:p w:rsidR="00CE1469" w:rsidRPr="00F6415D" w:rsidRDefault="00CE1469" w:rsidP="006E6C2E">
      <w:pPr>
        <w:pStyle w:val="BodyText"/>
        <w:rPr>
          <w:rFonts w:ascii="Segoe UI" w:hAnsi="Segoe UI" w:cs="Segoe UI"/>
        </w:rPr>
      </w:pPr>
      <w:r w:rsidRPr="00F6415D">
        <w:rPr>
          <w:rFonts w:ascii="Segoe UI" w:hAnsi="Segoe UI" w:cs="Segoe UI"/>
        </w:rPr>
        <w:t xml:space="preserve">The consumer survey highlighted that consumers from regional, rural and remote areas are generally less confident in their ability to pay their aged care costs compared to their </w:t>
      </w:r>
      <w:r w:rsidR="00F9121C" w:rsidRPr="00F6415D">
        <w:rPr>
          <w:rFonts w:ascii="Segoe UI" w:hAnsi="Segoe UI" w:cs="Segoe UI"/>
        </w:rPr>
        <w:t>metropolitan</w:t>
      </w:r>
      <w:r w:rsidRPr="00F6415D">
        <w:rPr>
          <w:rFonts w:ascii="Segoe UI" w:hAnsi="Segoe UI" w:cs="Segoe UI"/>
        </w:rPr>
        <w:t xml:space="preserve"> counterparts. In addition to the specific challenges discussed, this might be linked to the difference in property values, and lower household incomes.</w:t>
      </w:r>
    </w:p>
    <w:p w:rsidR="00CE1469" w:rsidRPr="00F6415D" w:rsidRDefault="00CE1469" w:rsidP="00A23459">
      <w:pPr>
        <w:pStyle w:val="FigureTitle"/>
        <w:rPr>
          <w:rFonts w:ascii="Segoe UI" w:hAnsi="Segoe UI" w:cs="Segoe UI"/>
          <w:i/>
        </w:rPr>
      </w:pPr>
      <w:bookmarkStart w:id="263" w:name="_Ref531163115"/>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11</w:t>
      </w:r>
      <w:r w:rsidRPr="00F6415D">
        <w:rPr>
          <w:rFonts w:ascii="Segoe UI" w:hAnsi="Segoe UI" w:cs="Segoe UI"/>
          <w:i/>
          <w:noProof/>
        </w:rPr>
        <w:fldChar w:fldCharType="end"/>
      </w:r>
      <w:bookmarkEnd w:id="263"/>
      <w:r w:rsidR="003B03AF" w:rsidRPr="00F6415D">
        <w:rPr>
          <w:rFonts w:ascii="Segoe UI" w:hAnsi="Segoe UI" w:cs="Segoe UI"/>
          <w:i/>
        </w:rPr>
        <w:t>: P</w:t>
      </w:r>
      <w:r w:rsidRPr="00F6415D">
        <w:rPr>
          <w:rFonts w:ascii="Segoe UI" w:hAnsi="Segoe UI" w:cs="Segoe UI"/>
          <w:i/>
        </w:rPr>
        <w:t xml:space="preserve">ayment of aged care fees by program type for rural and </w:t>
      </w:r>
      <w:r w:rsidR="00F9121C" w:rsidRPr="00F6415D">
        <w:rPr>
          <w:rFonts w:ascii="Segoe UI" w:hAnsi="Segoe UI" w:cs="Segoe UI"/>
          <w:i/>
        </w:rPr>
        <w:t>metropolitan</w:t>
      </w:r>
    </w:p>
    <w:p w:rsidR="00CE1469" w:rsidRPr="00F6415D" w:rsidRDefault="004A6866" w:rsidP="006E6C2E">
      <w:pPr>
        <w:pStyle w:val="BodyText"/>
        <w:rPr>
          <w:rFonts w:ascii="Segoe UI" w:hAnsi="Segoe UI" w:cs="Segoe UI"/>
        </w:rPr>
      </w:pPr>
      <w:r w:rsidRPr="00F6415D">
        <w:rPr>
          <w:rFonts w:ascii="Segoe UI" w:hAnsi="Segoe UI" w:cs="Segoe UI"/>
          <w:noProof/>
          <w:lang w:eastAsia="en-AU"/>
        </w:rPr>
        <w:drawing>
          <wp:inline distT="0" distB="0" distL="0" distR="0" wp14:anchorId="430A0DC4">
            <wp:extent cx="5426075" cy="3963035"/>
            <wp:effectExtent l="0" t="0" r="3175" b="0"/>
            <wp:docPr id="292" name="Picture 292" descr="Figure 11, a bar chart, outlines the payment of aged care fees by program type for rural and metropolitan." title="Figure 11: Payment of aged care fees by program type for rural and metropolit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26075" cy="3963035"/>
                    </a:xfrm>
                    <a:prstGeom prst="rect">
                      <a:avLst/>
                    </a:prstGeom>
                    <a:noFill/>
                  </pic:spPr>
                </pic:pic>
              </a:graphicData>
            </a:graphic>
          </wp:inline>
        </w:drawing>
      </w:r>
    </w:p>
    <w:p w:rsidR="00CE1469" w:rsidRPr="00F6415D" w:rsidRDefault="00CE1469" w:rsidP="006E6C2E">
      <w:pPr>
        <w:pStyle w:val="BodyText"/>
        <w:rPr>
          <w:rFonts w:ascii="Segoe UI" w:hAnsi="Segoe UI" w:cs="Segoe UI"/>
        </w:rPr>
      </w:pPr>
      <w:r w:rsidRPr="00F6415D">
        <w:rPr>
          <w:rFonts w:ascii="Segoe UI" w:hAnsi="Segoe UI" w:cs="Segoe UI"/>
        </w:rPr>
        <w:t>Source: ACFA consumer survey data</w:t>
      </w:r>
    </w:p>
    <w:p w:rsidR="00CE1469" w:rsidRPr="00F6415D" w:rsidRDefault="00CE1469" w:rsidP="006E6C2E">
      <w:pPr>
        <w:pStyle w:val="BodyText"/>
        <w:rPr>
          <w:rFonts w:ascii="Segoe UI" w:hAnsi="Segoe UI" w:cs="Segoe UI"/>
        </w:rPr>
      </w:pPr>
      <w:r w:rsidRPr="00F6415D">
        <w:rPr>
          <w:rFonts w:ascii="Segoe UI" w:hAnsi="Segoe UI" w:cs="Segoe UI"/>
        </w:rPr>
        <w:t>During stakeholder consultations, it was noted that people living in rural areas often face long waiting times to sell property, leading to uncertainty and stress in planning how to pay for care fees. While hardship provisions may apply, the six months waiting period for property to be classed as an unrealisable asset under the financial hardship assistance rules, may leave consumers in limbo for that period.</w:t>
      </w:r>
    </w:p>
    <w:p w:rsidR="00CE1469" w:rsidRPr="00F6415D" w:rsidRDefault="00CE1469" w:rsidP="006E6C2E">
      <w:pPr>
        <w:pStyle w:val="BodyText"/>
        <w:rPr>
          <w:rFonts w:ascii="Segoe UI" w:hAnsi="Segoe UI" w:cs="Segoe UI"/>
        </w:rPr>
      </w:pPr>
      <w:r w:rsidRPr="00F6415D">
        <w:rPr>
          <w:rFonts w:ascii="Segoe UI" w:hAnsi="Segoe UI" w:cs="Segoe UI"/>
        </w:rPr>
        <w:t xml:space="preserve">Some rural and remote areas are experiencing house prices lower than average RAD prices in the same area. Without awareness of the options for funding accommodation, it may create a perceived financial barrier for some consumers from seeking residential care. </w:t>
      </w:r>
    </w:p>
    <w:p w:rsidR="00CE1469" w:rsidRPr="00F6415D" w:rsidRDefault="00CE1469" w:rsidP="006E6C2E">
      <w:pPr>
        <w:pStyle w:val="BodyText"/>
        <w:rPr>
          <w:rFonts w:ascii="Segoe UI" w:hAnsi="Segoe UI" w:cs="Segoe UI"/>
        </w:rPr>
      </w:pPr>
      <w:r w:rsidRPr="00F6415D">
        <w:rPr>
          <w:rFonts w:ascii="Segoe UI" w:hAnsi="Segoe UI" w:cs="Segoe UI"/>
        </w:rPr>
        <w:t xml:space="preserve">Other rural consumers, such as farmers with significant land assets, are often unable to easily liquidate them. This creates issues and concerns with funding their accommodation costs in residential care as well as care fees and other ongoing costs. The ownership structures and use of trusts may create unexpected and unintended consequences and lead to financial hardships and stress for farming families. </w:t>
      </w:r>
    </w:p>
    <w:p w:rsidR="00CE1469" w:rsidRPr="00F6415D" w:rsidRDefault="00CE1469" w:rsidP="006E6C2E">
      <w:pPr>
        <w:pStyle w:val="BodyText"/>
        <w:rPr>
          <w:rFonts w:ascii="Segoe UI" w:hAnsi="Segoe UI" w:cs="Segoe UI"/>
        </w:rPr>
      </w:pPr>
      <w:r w:rsidRPr="00F6415D">
        <w:rPr>
          <w:rFonts w:ascii="Segoe UI" w:hAnsi="Segoe UI" w:cs="Segoe UI"/>
        </w:rPr>
        <w:t xml:space="preserve">Additional complexities arise when Aboriginal and Torres Strait Islander consumers live in a group/share home, with a carer and access social housing support. In these circumstances barriers may arise to limit the consumer transitioning to residential care because the other people co-sharing the accommodation are reluctant to </w:t>
      </w:r>
      <w:r w:rsidR="00E946CE">
        <w:rPr>
          <w:rFonts w:ascii="Segoe UI" w:hAnsi="Segoe UI" w:cs="Segoe UI"/>
        </w:rPr>
        <w:t>lose some of the pooled income.</w:t>
      </w:r>
    </w:p>
    <w:p w:rsidR="00CE1469" w:rsidRPr="00F6415D" w:rsidRDefault="00CE1469" w:rsidP="006E6C2E">
      <w:pPr>
        <w:pStyle w:val="Heading2"/>
        <w:rPr>
          <w:rFonts w:ascii="Segoe UI" w:hAnsi="Segoe UI" w:cs="Segoe UI"/>
        </w:rPr>
      </w:pPr>
      <w:bookmarkStart w:id="264" w:name="_Toc531271100"/>
      <w:bookmarkStart w:id="265" w:name="_Toc532206396"/>
      <w:r w:rsidRPr="00F6415D">
        <w:rPr>
          <w:rFonts w:ascii="Segoe UI" w:hAnsi="Segoe UI" w:cs="Segoe UI"/>
        </w:rPr>
        <w:lastRenderedPageBreak/>
        <w:t>Financial products</w:t>
      </w:r>
      <w:bookmarkEnd w:id="258"/>
      <w:bookmarkEnd w:id="259"/>
      <w:bookmarkEnd w:id="260"/>
      <w:bookmarkEnd w:id="261"/>
      <w:bookmarkEnd w:id="262"/>
      <w:bookmarkEnd w:id="264"/>
      <w:bookmarkEnd w:id="265"/>
    </w:p>
    <w:p w:rsidR="00CE1469" w:rsidRPr="00F6415D" w:rsidRDefault="00CE1469" w:rsidP="006E6C2E">
      <w:pPr>
        <w:pStyle w:val="BodyText"/>
        <w:rPr>
          <w:rFonts w:ascii="Segoe UI" w:hAnsi="Segoe UI" w:cs="Segoe UI"/>
        </w:rPr>
      </w:pPr>
      <w:bookmarkStart w:id="266" w:name="_Toc528861149"/>
      <w:bookmarkStart w:id="267" w:name="_Toc529890592"/>
      <w:bookmarkStart w:id="268" w:name="_Toc528224267"/>
      <w:r w:rsidRPr="00F6415D">
        <w:rPr>
          <w:rFonts w:ascii="Segoe UI" w:eastAsia="Segoe UI" w:hAnsi="Segoe UI" w:cs="Segoe UI"/>
        </w:rPr>
        <w:t xml:space="preserve">This chapter provides a summary of the different financial products available to help senior Australians pay their aged care costs </w:t>
      </w:r>
      <w:r w:rsidRPr="00F6415D">
        <w:rPr>
          <w:rFonts w:ascii="Segoe UI" w:hAnsi="Segoe UI" w:cs="Segoe UI"/>
        </w:rPr>
        <w:t>through:</w:t>
      </w:r>
    </w:p>
    <w:p w:rsidR="00CE1469" w:rsidRPr="00F6415D" w:rsidRDefault="00CE1469" w:rsidP="006E6C2E">
      <w:pPr>
        <w:pStyle w:val="ListBullet"/>
        <w:rPr>
          <w:rFonts w:ascii="Segoe UI" w:hAnsi="Segoe UI" w:cs="Segoe UI"/>
        </w:rPr>
      </w:pPr>
      <w:r w:rsidRPr="00F6415D">
        <w:rPr>
          <w:rFonts w:ascii="Segoe UI" w:hAnsi="Segoe UI" w:cs="Segoe UI"/>
        </w:rPr>
        <w:t>debt and equity release products</w:t>
      </w:r>
    </w:p>
    <w:p w:rsidR="00CE1469" w:rsidRPr="00F6415D" w:rsidRDefault="00CE1469" w:rsidP="006E6C2E">
      <w:pPr>
        <w:pStyle w:val="ListBullet"/>
        <w:rPr>
          <w:rFonts w:ascii="Segoe UI" w:hAnsi="Segoe UI" w:cs="Segoe UI"/>
        </w:rPr>
      </w:pPr>
      <w:r w:rsidRPr="00F6415D">
        <w:rPr>
          <w:rFonts w:ascii="Segoe UI" w:hAnsi="Segoe UI" w:cs="Segoe UI"/>
        </w:rPr>
        <w:t>financial investments</w:t>
      </w:r>
    </w:p>
    <w:p w:rsidR="00CE1469" w:rsidRPr="00F6415D" w:rsidRDefault="00CE1469" w:rsidP="006E6C2E">
      <w:pPr>
        <w:pStyle w:val="Heading3"/>
        <w:rPr>
          <w:rFonts w:ascii="Segoe UI" w:hAnsi="Segoe UI" w:cs="Segoe UI"/>
        </w:rPr>
      </w:pPr>
      <w:bookmarkStart w:id="269" w:name="_Toc531271101"/>
      <w:bookmarkStart w:id="270" w:name="_Toc532206397"/>
      <w:r w:rsidRPr="00F6415D">
        <w:rPr>
          <w:rFonts w:ascii="Segoe UI" w:hAnsi="Segoe UI" w:cs="Segoe UI"/>
        </w:rPr>
        <w:t>Debt and equity release products</w:t>
      </w:r>
      <w:bookmarkEnd w:id="266"/>
      <w:bookmarkEnd w:id="267"/>
      <w:bookmarkEnd w:id="269"/>
      <w:bookmarkEnd w:id="270"/>
      <w:r w:rsidRPr="00F6415D">
        <w:rPr>
          <w:rFonts w:ascii="Segoe UI" w:hAnsi="Segoe UI" w:cs="Segoe UI"/>
        </w:rPr>
        <w:t xml:space="preserve"> </w:t>
      </w:r>
      <w:bookmarkEnd w:id="268"/>
    </w:p>
    <w:p w:rsidR="00CE1469" w:rsidRPr="00F6415D" w:rsidRDefault="00CE1469" w:rsidP="006E6C2E">
      <w:pPr>
        <w:pStyle w:val="BodyText"/>
        <w:rPr>
          <w:rFonts w:ascii="Segoe UI" w:hAnsi="Segoe UI" w:cs="Segoe UI"/>
        </w:rPr>
      </w:pPr>
      <w:r w:rsidRPr="00F6415D">
        <w:rPr>
          <w:rFonts w:ascii="Segoe UI" w:hAnsi="Segoe UI" w:cs="Segoe UI"/>
        </w:rPr>
        <w:t>It is often said that many senior Australians are ‘cash poor and asset rich’ whereby their wealth is tied up in assets (typically the family home).</w:t>
      </w:r>
      <w:r w:rsidRPr="00F6415D">
        <w:rPr>
          <w:rFonts w:ascii="Segoe UI" w:hAnsi="Segoe UI" w:cs="Segoe UI"/>
          <w:vertAlign w:val="superscript"/>
        </w:rPr>
        <w:endnoteReference w:id="15"/>
      </w:r>
      <w:r w:rsidRPr="00F6415D">
        <w:rPr>
          <w:rFonts w:ascii="Segoe UI" w:hAnsi="Segoe UI" w:cs="Segoe UI"/>
        </w:rPr>
        <w:t xml:space="preserve"> Debt and equity release products allow senior Australians to access the equity in their home to assist with the cost of living, including financing aged care needs, while still living in their home. </w:t>
      </w:r>
    </w:p>
    <w:p w:rsidR="00CE1469" w:rsidRPr="00F6415D" w:rsidRDefault="00CE1469" w:rsidP="006E6C2E">
      <w:pPr>
        <w:pStyle w:val="Heading4"/>
        <w:rPr>
          <w:rFonts w:ascii="Segoe UI" w:eastAsia="Segoe UI" w:hAnsi="Segoe UI" w:cs="Segoe UI"/>
        </w:rPr>
      </w:pPr>
      <w:r w:rsidRPr="00F6415D">
        <w:rPr>
          <w:rFonts w:ascii="Segoe UI" w:eastAsia="Segoe UI" w:hAnsi="Segoe UI" w:cs="Segoe UI"/>
        </w:rPr>
        <w:t>Reverse mortgages</w:t>
      </w:r>
    </w:p>
    <w:p w:rsidR="00CE1469" w:rsidRPr="00F6415D" w:rsidRDefault="00CE1469" w:rsidP="006E6C2E">
      <w:pPr>
        <w:pStyle w:val="BodyText"/>
        <w:rPr>
          <w:rFonts w:ascii="Segoe UI" w:hAnsi="Segoe UI" w:cs="Segoe UI"/>
        </w:rPr>
      </w:pPr>
      <w:r w:rsidRPr="00F6415D">
        <w:rPr>
          <w:rFonts w:ascii="Segoe UI" w:hAnsi="Segoe UI" w:cs="Segoe UI"/>
        </w:rPr>
        <w:t>Reverse mortgage and equity release loans work by allowing consumers to borrow against a portion of the equity in their home while allowing them to remain living in the home and continue to own the home. These funds are then used by the consumer to, amongst other things:</w:t>
      </w:r>
    </w:p>
    <w:p w:rsidR="00CE1469" w:rsidRPr="00F6415D" w:rsidRDefault="00CE1469" w:rsidP="006E6C2E">
      <w:pPr>
        <w:pStyle w:val="ListBullet"/>
        <w:rPr>
          <w:rFonts w:ascii="Segoe UI" w:hAnsi="Segoe UI" w:cs="Segoe UI"/>
        </w:rPr>
      </w:pPr>
      <w:r w:rsidRPr="00F6415D">
        <w:rPr>
          <w:rFonts w:ascii="Segoe UI" w:hAnsi="Segoe UI" w:cs="Segoe UI"/>
        </w:rPr>
        <w:t>pay ongoing living expenses</w:t>
      </w:r>
    </w:p>
    <w:p w:rsidR="00CE1469" w:rsidRPr="00F6415D" w:rsidRDefault="00CE1469" w:rsidP="006E6C2E">
      <w:pPr>
        <w:pStyle w:val="ListBullet"/>
        <w:rPr>
          <w:rFonts w:ascii="Segoe UI" w:hAnsi="Segoe UI" w:cs="Segoe UI"/>
        </w:rPr>
      </w:pPr>
      <w:r w:rsidRPr="00F6415D">
        <w:rPr>
          <w:rFonts w:ascii="Segoe UI" w:hAnsi="Segoe UI" w:cs="Segoe UI"/>
        </w:rPr>
        <w:t>maintain or upgrade their house to remain safely living within the community</w:t>
      </w:r>
    </w:p>
    <w:p w:rsidR="00CE1469" w:rsidRPr="00F6415D" w:rsidRDefault="00CE1469" w:rsidP="006E6C2E">
      <w:pPr>
        <w:pStyle w:val="ListBullet"/>
        <w:rPr>
          <w:rFonts w:ascii="Segoe UI" w:hAnsi="Segoe UI" w:cs="Segoe UI"/>
        </w:rPr>
      </w:pPr>
      <w:r w:rsidRPr="00F6415D">
        <w:rPr>
          <w:rFonts w:ascii="Segoe UI" w:hAnsi="Segoe UI" w:cs="Segoe UI"/>
        </w:rPr>
        <w:t>prepare a house for rental or sale</w:t>
      </w:r>
    </w:p>
    <w:p w:rsidR="00CE1469" w:rsidRPr="00F6415D" w:rsidRDefault="00CE1469" w:rsidP="006E6C2E">
      <w:pPr>
        <w:pStyle w:val="ListBullet"/>
        <w:rPr>
          <w:rFonts w:ascii="Segoe UI" w:hAnsi="Segoe UI" w:cs="Segoe UI"/>
        </w:rPr>
      </w:pPr>
      <w:r w:rsidRPr="00F6415D">
        <w:rPr>
          <w:rFonts w:ascii="Segoe UI" w:hAnsi="Segoe UI" w:cs="Segoe UI"/>
        </w:rPr>
        <w:t>pay accommodation costs to enter an aged care home (RAD or DAP).</w:t>
      </w:r>
    </w:p>
    <w:p w:rsidR="00CE1469" w:rsidRPr="00F6415D" w:rsidRDefault="00CE1469" w:rsidP="006E6C2E">
      <w:pPr>
        <w:pStyle w:val="BodyText"/>
        <w:rPr>
          <w:rFonts w:ascii="Segoe UI" w:hAnsi="Segoe UI" w:cs="Segoe UI"/>
        </w:rPr>
      </w:pPr>
      <w:r w:rsidRPr="00F6415D">
        <w:rPr>
          <w:rFonts w:ascii="Segoe UI" w:hAnsi="Segoe UI" w:cs="Segoe UI"/>
        </w:rPr>
        <w:t>Reverse mortgages and equity release products can be taken as a lump sum, a regular income stream, a line of credit or a combination of these options and are generally repayable upon the sale of the home, however, conditions vary across providers.</w:t>
      </w:r>
      <w:r w:rsidRPr="00F6415D">
        <w:rPr>
          <w:rFonts w:ascii="Segoe UI" w:hAnsi="Segoe UI" w:cs="Segoe UI"/>
          <w:vertAlign w:val="superscript"/>
        </w:rPr>
        <w:t>20</w:t>
      </w:r>
    </w:p>
    <w:p w:rsidR="00CE1469" w:rsidRPr="00F6415D" w:rsidRDefault="00CE1469" w:rsidP="006E6C2E">
      <w:pPr>
        <w:pStyle w:val="Heading4"/>
        <w:rPr>
          <w:rFonts w:ascii="Segoe UI" w:eastAsia="Segoe UI" w:hAnsi="Segoe UI" w:cs="Segoe UI"/>
        </w:rPr>
      </w:pPr>
      <w:r w:rsidRPr="00F6415D">
        <w:rPr>
          <w:rFonts w:ascii="Segoe UI" w:eastAsia="Segoe UI" w:hAnsi="Segoe UI" w:cs="Segoe UI"/>
        </w:rPr>
        <w:t>Aged care loans</w:t>
      </w:r>
    </w:p>
    <w:p w:rsidR="00CE1469" w:rsidRPr="00F6415D" w:rsidRDefault="00CE1469" w:rsidP="006E6C2E">
      <w:pPr>
        <w:pStyle w:val="BodyText"/>
        <w:rPr>
          <w:rFonts w:ascii="Segoe UI" w:hAnsi="Segoe UI" w:cs="Segoe UI"/>
          <w:vertAlign w:val="superscript"/>
        </w:rPr>
      </w:pPr>
      <w:r w:rsidRPr="00F6415D">
        <w:rPr>
          <w:rFonts w:ascii="Segoe UI" w:hAnsi="Segoe UI" w:cs="Segoe UI"/>
        </w:rPr>
        <w:t xml:space="preserve">Some reverse mortgage loans may require repayment if the consumer leaves the home, making them unsuitable for funding residential aged care. In recent years, product development has also seen the emergence of aged care loans which are a variation on reverse mortgages in that the borrower does not have to remain living in the home but the loan is usually for a limited term e.g. five years. </w:t>
      </w:r>
    </w:p>
    <w:p w:rsidR="00CE1469" w:rsidRPr="00F6415D" w:rsidRDefault="00CE1469" w:rsidP="006E6C2E">
      <w:pPr>
        <w:pStyle w:val="Heading4"/>
        <w:rPr>
          <w:rFonts w:ascii="Segoe UI" w:eastAsia="Segoe UI" w:hAnsi="Segoe UI" w:cs="Segoe UI"/>
        </w:rPr>
      </w:pPr>
      <w:r w:rsidRPr="00F6415D">
        <w:rPr>
          <w:rFonts w:ascii="Segoe UI" w:eastAsia="Segoe UI" w:hAnsi="Segoe UI" w:cs="Segoe UI"/>
        </w:rPr>
        <w:t>Equity release alternatives</w:t>
      </w:r>
    </w:p>
    <w:p w:rsidR="00CE1469" w:rsidRPr="00F6415D" w:rsidRDefault="00CE1469" w:rsidP="006E6C2E">
      <w:pPr>
        <w:pStyle w:val="BodyText"/>
        <w:rPr>
          <w:rFonts w:ascii="Segoe UI" w:eastAsia="Segoe UI" w:hAnsi="Segoe UI" w:cs="Segoe UI"/>
        </w:rPr>
      </w:pPr>
      <w:r w:rsidRPr="00F6415D">
        <w:rPr>
          <w:rFonts w:ascii="Segoe UI" w:hAnsi="Segoe UI" w:cs="Segoe UI"/>
        </w:rPr>
        <w:t xml:space="preserve">Alternative </w:t>
      </w:r>
      <w:r w:rsidRPr="00F6415D">
        <w:rPr>
          <w:rFonts w:ascii="Segoe UI" w:eastAsia="Segoe UI" w:hAnsi="Segoe UI" w:cs="Segoe UI"/>
        </w:rPr>
        <w:t>products that are available to access equity in the home</w:t>
      </w:r>
      <w:r w:rsidRPr="00F6415D">
        <w:rPr>
          <w:rFonts w:ascii="Segoe UI" w:hAnsi="Segoe UI" w:cs="Segoe UI"/>
        </w:rPr>
        <w:t xml:space="preserve"> that are not debt related </w:t>
      </w:r>
      <w:r w:rsidRPr="00F6415D">
        <w:rPr>
          <w:rFonts w:ascii="Segoe UI" w:eastAsia="Segoe UI" w:hAnsi="Segoe UI" w:cs="Segoe UI"/>
        </w:rPr>
        <w:t xml:space="preserve">include </w:t>
      </w:r>
      <w:r w:rsidRPr="00F6415D">
        <w:rPr>
          <w:rFonts w:ascii="Segoe UI" w:hAnsi="Segoe UI" w:cs="Segoe UI"/>
        </w:rPr>
        <w:t>partial sale schemes.</w:t>
      </w:r>
    </w:p>
    <w:p w:rsidR="00CE1469" w:rsidRPr="00F6415D" w:rsidRDefault="00CE1469" w:rsidP="006E6C2E">
      <w:pPr>
        <w:pStyle w:val="BodyText"/>
        <w:rPr>
          <w:rFonts w:ascii="Segoe UI" w:eastAsia="Segoe UI" w:hAnsi="Segoe UI" w:cs="Segoe UI"/>
          <w:iCs/>
        </w:rPr>
      </w:pPr>
      <w:r w:rsidRPr="00F6415D">
        <w:rPr>
          <w:rFonts w:ascii="Segoe UI" w:eastAsia="Segoe UI" w:hAnsi="Segoe UI" w:cs="Segoe UI"/>
          <w:iCs/>
        </w:rPr>
        <w:t xml:space="preserve">Under these schemes, </w:t>
      </w:r>
      <w:r w:rsidRPr="00F6415D">
        <w:rPr>
          <w:rFonts w:ascii="Segoe UI" w:hAnsi="Segoe UI" w:cs="Segoe UI"/>
        </w:rPr>
        <w:t xml:space="preserve">the consumer enters into a deferred sale contract to sell the lender a percentage of the future sale price of the home in exchange for an upfront lump sum payment. The consumer continues to live in the home. Once the property is sold, the </w:t>
      </w:r>
      <w:r w:rsidRPr="00F6415D">
        <w:rPr>
          <w:rFonts w:ascii="Segoe UI" w:eastAsia="Segoe UI" w:hAnsi="Segoe UI" w:cs="Segoe UI"/>
          <w:iCs/>
        </w:rPr>
        <w:t xml:space="preserve">scheme operator </w:t>
      </w:r>
      <w:r w:rsidRPr="00F6415D">
        <w:rPr>
          <w:rFonts w:ascii="Segoe UI" w:hAnsi="Segoe UI" w:cs="Segoe UI"/>
        </w:rPr>
        <w:t>will receive the original agreed percentage from the sale proceeds.</w:t>
      </w:r>
    </w:p>
    <w:p w:rsidR="00CE1469" w:rsidRPr="00F6415D" w:rsidRDefault="00CE1469" w:rsidP="006E6C2E">
      <w:pPr>
        <w:pStyle w:val="Heading4"/>
        <w:rPr>
          <w:rFonts w:ascii="Segoe UI" w:eastAsia="Segoe UI" w:hAnsi="Segoe UI" w:cs="Segoe UI"/>
        </w:rPr>
      </w:pPr>
      <w:r w:rsidRPr="00F6415D">
        <w:rPr>
          <w:rFonts w:ascii="Segoe UI" w:eastAsia="Segoe UI" w:hAnsi="Segoe UI" w:cs="Segoe UI"/>
        </w:rPr>
        <w:lastRenderedPageBreak/>
        <w:t>Land lease communities and downsizing</w:t>
      </w:r>
    </w:p>
    <w:p w:rsidR="00CE1469" w:rsidRPr="00F6415D" w:rsidRDefault="00CE1469" w:rsidP="006E6C2E">
      <w:pPr>
        <w:pStyle w:val="BodyText"/>
        <w:rPr>
          <w:rFonts w:ascii="Segoe UI" w:hAnsi="Segoe UI" w:cs="Segoe UI"/>
        </w:rPr>
      </w:pPr>
      <w:r w:rsidRPr="00F6415D">
        <w:rPr>
          <w:rFonts w:ascii="Segoe UI" w:hAnsi="Segoe UI" w:cs="Segoe UI"/>
        </w:rPr>
        <w:t xml:space="preserve">Land Lease communities are another alternative to equity release products. In these communities, residents rent the land on which their home sits, so they only need to purchase the physical building and not the land. </w:t>
      </w:r>
    </w:p>
    <w:p w:rsidR="00CE1469" w:rsidRPr="00F6415D" w:rsidRDefault="00CE1469" w:rsidP="006E6C2E">
      <w:pPr>
        <w:pStyle w:val="BodyText"/>
        <w:rPr>
          <w:rFonts w:ascii="Segoe UI" w:hAnsi="Segoe UI" w:cs="Segoe UI"/>
        </w:rPr>
      </w:pPr>
      <w:r w:rsidRPr="00F6415D">
        <w:rPr>
          <w:rFonts w:ascii="Segoe UI" w:hAnsi="Segoe UI" w:cs="Segoe UI"/>
        </w:rPr>
        <w:t>Downsizing of property often does not release as much equity as consumers expect due to sale and relocation costs (including stamp duty) as well as the fact that while consumers may downsize in size of the home, they often upgrade in terms of location and/or amenities.</w:t>
      </w:r>
    </w:p>
    <w:p w:rsidR="00CE1469" w:rsidRPr="00F6415D" w:rsidRDefault="00CE1469" w:rsidP="006E6C2E">
      <w:pPr>
        <w:pStyle w:val="BodyText"/>
        <w:rPr>
          <w:rFonts w:ascii="Segoe UI" w:hAnsi="Segoe UI" w:cs="Segoe UI"/>
        </w:rPr>
      </w:pPr>
      <w:r w:rsidRPr="00F6415D">
        <w:rPr>
          <w:rFonts w:ascii="Segoe UI" w:hAnsi="Segoe UI" w:cs="Segoe UI"/>
        </w:rPr>
        <w:t>Land lease communities may allow consumers to sell their home and move to alternative accommodation that may be cheaper than other real estate options so equity can be released.</w:t>
      </w:r>
    </w:p>
    <w:p w:rsidR="00CE1469" w:rsidRPr="00F6415D" w:rsidRDefault="00CE1469" w:rsidP="006E6C2E">
      <w:pPr>
        <w:pStyle w:val="Heading4"/>
        <w:rPr>
          <w:rFonts w:ascii="Segoe UI" w:hAnsi="Segoe UI" w:cs="Segoe UI"/>
        </w:rPr>
      </w:pPr>
      <w:r w:rsidRPr="00F6415D">
        <w:rPr>
          <w:rFonts w:ascii="Segoe UI" w:hAnsi="Segoe UI" w:cs="Segoe UI"/>
        </w:rPr>
        <w:t>Pension Loan Scheme (PLS)</w:t>
      </w:r>
    </w:p>
    <w:p w:rsidR="00CE1469" w:rsidRPr="00F6415D" w:rsidRDefault="00CE1469" w:rsidP="006E6C2E">
      <w:pPr>
        <w:pStyle w:val="BodyText"/>
        <w:rPr>
          <w:rFonts w:ascii="Segoe UI" w:hAnsi="Segoe UI" w:cs="Segoe UI"/>
        </w:rPr>
      </w:pPr>
      <w:bookmarkStart w:id="271" w:name="_Toc528861150"/>
      <w:bookmarkStart w:id="272" w:name="_Toc529890593"/>
      <w:r w:rsidRPr="00F6415D">
        <w:rPr>
          <w:rFonts w:ascii="Segoe UI" w:hAnsi="Segoe UI" w:cs="Segoe UI"/>
        </w:rPr>
        <w:t>The Australian Government provides a subsidised reverse mortgage scheme for part</w:t>
      </w:r>
      <w:r w:rsidRPr="00F6415D">
        <w:rPr>
          <w:rFonts w:ascii="Segoe UI" w:hAnsi="Segoe UI" w:cs="Segoe UI"/>
        </w:rPr>
        <w:noBreakHyphen/>
        <w:t>pensioners and self-funded retirees by way of the Pension Loan Scheme (PLS). The PLS allows eligible recipients to unlock equity in their home to increase their regular fortnightly payments, for a short or indefinite period. Repayments can be made at any time or the debt can be left, including the accrued interest, to be recovered from the person's estate. The loan is secured against the value of any Australian real estate they own</w:t>
      </w:r>
      <w:r w:rsidRPr="00F6415D">
        <w:rPr>
          <w:rFonts w:ascii="Segoe UI" w:hAnsi="Segoe UI" w:cs="Segoe UI"/>
          <w:vertAlign w:val="superscript"/>
        </w:rPr>
        <w:endnoteReference w:id="16"/>
      </w:r>
      <w:r w:rsidRPr="00F6415D">
        <w:rPr>
          <w:rFonts w:ascii="Segoe UI" w:hAnsi="Segoe UI" w:cs="Segoe UI"/>
        </w:rPr>
        <w:t>.</w:t>
      </w:r>
    </w:p>
    <w:p w:rsidR="00CE1469" w:rsidRPr="00F6415D" w:rsidRDefault="00CE1469" w:rsidP="006E6C2E">
      <w:pPr>
        <w:pStyle w:val="BodyText"/>
        <w:rPr>
          <w:rFonts w:ascii="Segoe UI" w:hAnsi="Segoe UI" w:cs="Segoe UI"/>
        </w:rPr>
      </w:pPr>
      <w:r w:rsidRPr="00F6415D">
        <w:rPr>
          <w:rFonts w:ascii="Segoe UI" w:hAnsi="Segoe UI" w:cs="Segoe UI"/>
        </w:rPr>
        <w:t xml:space="preserve">Take-up of the PLS is low and declining further from 805 loans in 2013 to 650 currently. </w:t>
      </w:r>
    </w:p>
    <w:p w:rsidR="00CE1469" w:rsidRPr="00F6415D" w:rsidRDefault="00CE1469" w:rsidP="006E6C2E">
      <w:pPr>
        <w:pStyle w:val="BodyText"/>
        <w:rPr>
          <w:rFonts w:ascii="Segoe UI" w:hAnsi="Segoe UI" w:cs="Segoe UI"/>
        </w:rPr>
      </w:pPr>
      <w:r w:rsidRPr="00F6415D">
        <w:rPr>
          <w:rFonts w:ascii="Segoe UI" w:hAnsi="Segoe UI" w:cs="Segoe UI"/>
        </w:rPr>
        <w:t xml:space="preserve">The 2018-19 </w:t>
      </w:r>
      <w:r w:rsidRPr="00F6415D">
        <w:rPr>
          <w:rFonts w:ascii="Segoe UI" w:hAnsi="Segoe UI" w:cs="Segoe UI"/>
          <w:i/>
        </w:rPr>
        <w:t>Preparing financially for a longer and more secure life – Expansion of the Pension Loan Scheme</w:t>
      </w:r>
      <w:r w:rsidRPr="00F6415D">
        <w:rPr>
          <w:rFonts w:ascii="Segoe UI" w:hAnsi="Segoe UI" w:cs="Segoe UI"/>
        </w:rPr>
        <w:t xml:space="preserve"> measure will expand the eligibility of the PLS to all Australians of age pension age and will allow senior Australians to access up to an additional $11,800 for a single person and $17,800 for a couple, thus increasing their income stream by up to 50 per cent of the full pension. This is seen as a positive measure that may encourage consumers to consider the use of equity in the home to improve quality of life in the later stages of retirement.</w:t>
      </w:r>
    </w:p>
    <w:p w:rsidR="00CE1469" w:rsidRPr="00F6415D" w:rsidRDefault="00CE1469" w:rsidP="006E6C2E">
      <w:pPr>
        <w:pStyle w:val="Heading3"/>
        <w:rPr>
          <w:rFonts w:ascii="Segoe UI" w:hAnsi="Segoe UI" w:cs="Segoe UI"/>
        </w:rPr>
      </w:pPr>
      <w:bookmarkStart w:id="273" w:name="_Toc531271102"/>
      <w:bookmarkStart w:id="274" w:name="_Toc532206398"/>
      <w:r w:rsidRPr="00F6415D">
        <w:rPr>
          <w:rFonts w:ascii="Segoe UI" w:hAnsi="Segoe UI" w:cs="Segoe UI"/>
        </w:rPr>
        <w:t>Financial investments</w:t>
      </w:r>
      <w:bookmarkEnd w:id="271"/>
      <w:bookmarkEnd w:id="272"/>
      <w:bookmarkEnd w:id="273"/>
      <w:bookmarkEnd w:id="274"/>
    </w:p>
    <w:p w:rsidR="00CE1469" w:rsidRPr="00F6415D" w:rsidRDefault="00CE1469" w:rsidP="006E6C2E">
      <w:pPr>
        <w:pStyle w:val="Heading4"/>
        <w:rPr>
          <w:rFonts w:ascii="Segoe UI" w:hAnsi="Segoe UI" w:cs="Segoe UI"/>
        </w:rPr>
      </w:pPr>
      <w:r w:rsidRPr="00F6415D">
        <w:rPr>
          <w:rFonts w:ascii="Segoe UI" w:hAnsi="Segoe UI" w:cs="Segoe UI"/>
        </w:rPr>
        <w:t>Deposit and investment based accounts</w:t>
      </w:r>
    </w:p>
    <w:p w:rsidR="00CE1469" w:rsidRPr="00F6415D" w:rsidRDefault="00CE1469" w:rsidP="006E6C2E">
      <w:pPr>
        <w:pStyle w:val="BodyText"/>
        <w:rPr>
          <w:rFonts w:ascii="Segoe UI" w:hAnsi="Segoe UI" w:cs="Segoe UI"/>
        </w:rPr>
      </w:pPr>
      <w:r w:rsidRPr="00F6415D">
        <w:rPr>
          <w:rFonts w:ascii="Segoe UI" w:hAnsi="Segoe UI" w:cs="Segoe UI"/>
        </w:rPr>
        <w:t xml:space="preserve">Whilst not specific to financing aged care, deposit accounts assist consumers in terms of providing cash reserves for short term needs and preservation of capital. These are often used to deposit the proceeds of asset sales (including the sale of the home) </w:t>
      </w:r>
      <w:r w:rsidR="007E5969" w:rsidRPr="00F6415D">
        <w:rPr>
          <w:rFonts w:ascii="Segoe UI" w:hAnsi="Segoe UI" w:cs="Segoe UI"/>
        </w:rPr>
        <w:t>that are</w:t>
      </w:r>
      <w:r w:rsidRPr="00F6415D">
        <w:rPr>
          <w:rFonts w:ascii="Segoe UI" w:hAnsi="Segoe UI" w:cs="Segoe UI"/>
        </w:rPr>
        <w:t xml:space="preserve"> surplus to the needs for funding aged care.</w:t>
      </w:r>
    </w:p>
    <w:p w:rsidR="00CE1469" w:rsidRPr="00F6415D" w:rsidRDefault="00CE1469" w:rsidP="006E6C2E">
      <w:pPr>
        <w:pStyle w:val="BodyText"/>
        <w:rPr>
          <w:rFonts w:ascii="Segoe UI" w:hAnsi="Segoe UI" w:cs="Segoe UI"/>
        </w:rPr>
      </w:pPr>
      <w:r w:rsidRPr="00F6415D">
        <w:rPr>
          <w:rFonts w:ascii="Segoe UI" w:hAnsi="Segoe UI" w:cs="Segoe UI"/>
        </w:rPr>
        <w:t xml:space="preserve">Longer term </w:t>
      </w:r>
      <w:hyperlink r:id="rId27" w:history="1">
        <w:r w:rsidRPr="00F6415D">
          <w:rPr>
            <w:rFonts w:ascii="Segoe UI" w:hAnsi="Segoe UI" w:cs="Segoe UI"/>
          </w:rPr>
          <w:t>investment</w:t>
        </w:r>
      </w:hyperlink>
      <w:r w:rsidRPr="00F6415D">
        <w:rPr>
          <w:rFonts w:ascii="Segoe UI" w:hAnsi="Segoe UI" w:cs="Segoe UI"/>
        </w:rPr>
        <w:t xml:space="preserve">s (including term deposits, unit trusts and shares) may be used for </w:t>
      </w:r>
      <w:hyperlink r:id="rId28" w:history="1">
        <w:r w:rsidRPr="00F6415D">
          <w:rPr>
            <w:rFonts w:ascii="Segoe UI" w:hAnsi="Segoe UI" w:cs="Segoe UI"/>
          </w:rPr>
          <w:t>capital</w:t>
        </w:r>
      </w:hyperlink>
      <w:r w:rsidRPr="00F6415D">
        <w:rPr>
          <w:rFonts w:ascii="Segoe UI" w:hAnsi="Segoe UI" w:cs="Segoe UI"/>
        </w:rPr>
        <w:t xml:space="preserve"> </w:t>
      </w:r>
      <w:hyperlink r:id="rId29" w:history="1">
        <w:r w:rsidRPr="00F6415D">
          <w:rPr>
            <w:rFonts w:ascii="Segoe UI" w:hAnsi="Segoe UI" w:cs="Segoe UI"/>
          </w:rPr>
          <w:t>growth</w:t>
        </w:r>
      </w:hyperlink>
      <w:r w:rsidRPr="00F6415D">
        <w:rPr>
          <w:rFonts w:ascii="Segoe UI" w:hAnsi="Segoe UI" w:cs="Segoe UI"/>
        </w:rPr>
        <w:t xml:space="preserve"> and to protect against inflation. These investments can also be used to provide additional sources of income.</w:t>
      </w:r>
    </w:p>
    <w:p w:rsidR="00CE1469" w:rsidRPr="00F6415D" w:rsidRDefault="00CE1469" w:rsidP="006E6C2E">
      <w:pPr>
        <w:pStyle w:val="BodyText"/>
        <w:rPr>
          <w:rFonts w:ascii="Segoe UI" w:hAnsi="Segoe UI" w:cs="Segoe UI"/>
        </w:rPr>
      </w:pPr>
      <w:r w:rsidRPr="00F6415D">
        <w:rPr>
          <w:rFonts w:ascii="Segoe UI" w:hAnsi="Segoe UI" w:cs="Segoe UI"/>
        </w:rPr>
        <w:t xml:space="preserve">Providers of these investment products include </w:t>
      </w:r>
      <w:hyperlink r:id="rId30" w:history="1">
        <w:r w:rsidRPr="00F6415D">
          <w:rPr>
            <w:rFonts w:ascii="Segoe UI" w:hAnsi="Segoe UI" w:cs="Segoe UI"/>
          </w:rPr>
          <w:t>banks</w:t>
        </w:r>
      </w:hyperlink>
      <w:r w:rsidRPr="00F6415D">
        <w:rPr>
          <w:rFonts w:ascii="Segoe UI" w:hAnsi="Segoe UI" w:cs="Segoe UI"/>
        </w:rPr>
        <w:t>, </w:t>
      </w:r>
      <w:hyperlink r:id="rId31" w:history="1">
        <w:r w:rsidRPr="00F6415D">
          <w:rPr>
            <w:rFonts w:ascii="Segoe UI" w:hAnsi="Segoe UI" w:cs="Segoe UI"/>
          </w:rPr>
          <w:t>insurance companies</w:t>
        </w:r>
      </w:hyperlink>
      <w:r w:rsidRPr="00F6415D">
        <w:rPr>
          <w:rFonts w:ascii="Segoe UI" w:hAnsi="Segoe UI" w:cs="Segoe UI"/>
        </w:rPr>
        <w:t>, funds management companies and </w:t>
      </w:r>
      <w:hyperlink r:id="rId32" w:history="1">
        <w:r w:rsidRPr="00F6415D">
          <w:rPr>
            <w:rFonts w:ascii="Segoe UI" w:hAnsi="Segoe UI" w:cs="Segoe UI"/>
          </w:rPr>
          <w:t>brokerage houses</w:t>
        </w:r>
      </w:hyperlink>
      <w:r w:rsidRPr="00F6415D">
        <w:rPr>
          <w:rFonts w:ascii="Segoe UI" w:hAnsi="Segoe UI" w:cs="Segoe UI"/>
        </w:rPr>
        <w:t>.</w:t>
      </w:r>
      <w:r w:rsidRPr="00F6415D">
        <w:rPr>
          <w:rFonts w:ascii="Segoe UI" w:hAnsi="Segoe UI" w:cs="Segoe UI"/>
          <w:vertAlign w:val="superscript"/>
        </w:rPr>
        <w:endnoteReference w:id="17"/>
      </w:r>
      <w:r w:rsidRPr="00F6415D">
        <w:rPr>
          <w:rFonts w:ascii="Segoe UI" w:hAnsi="Segoe UI" w:cs="Segoe UI"/>
        </w:rPr>
        <w:t xml:space="preserve"> </w:t>
      </w:r>
    </w:p>
    <w:p w:rsidR="00CE1469" w:rsidRPr="00F6415D" w:rsidRDefault="00CE1469" w:rsidP="006E6C2E">
      <w:pPr>
        <w:pStyle w:val="Heading4"/>
        <w:rPr>
          <w:rFonts w:ascii="Segoe UI" w:hAnsi="Segoe UI" w:cs="Segoe UI"/>
        </w:rPr>
      </w:pPr>
      <w:r w:rsidRPr="00F6415D">
        <w:rPr>
          <w:rFonts w:ascii="Segoe UI" w:hAnsi="Segoe UI" w:cs="Segoe UI"/>
        </w:rPr>
        <w:lastRenderedPageBreak/>
        <w:t>Account-based pensions</w:t>
      </w:r>
    </w:p>
    <w:p w:rsidR="00CE1469" w:rsidRPr="00F6415D" w:rsidRDefault="00CE1469" w:rsidP="006E6C2E">
      <w:pPr>
        <w:pStyle w:val="BodyText"/>
        <w:rPr>
          <w:rFonts w:ascii="Segoe UI" w:hAnsi="Segoe UI" w:cs="Segoe UI"/>
        </w:rPr>
      </w:pPr>
      <w:r w:rsidRPr="00F6415D">
        <w:rPr>
          <w:rFonts w:ascii="Segoe UI" w:hAnsi="Segoe UI" w:cs="Segoe UI"/>
        </w:rPr>
        <w:t>An account-based pension is created with a lump sum from a superannuation fund. This is usually done by transferring money from an accumulation superannuation account to an account-based pension account, after the consumer has reached their preservation age and met a condition of release. The consumer will be required to withdraw a minimum pension amount each year, depending on their age. If they have met a full condition of release (e.g. terminating meaningful employment), the consumer may elect to withdraw the entire balance and close the account-based pension. This can have estate planning benefits as well as provide capital to fund aged care needs.</w:t>
      </w:r>
    </w:p>
    <w:p w:rsidR="00CE1469" w:rsidRPr="00F6415D" w:rsidRDefault="00CE1469" w:rsidP="006E6C2E">
      <w:pPr>
        <w:pStyle w:val="Heading4"/>
        <w:rPr>
          <w:rFonts w:ascii="Segoe UI" w:hAnsi="Segoe UI" w:cs="Segoe UI"/>
        </w:rPr>
      </w:pPr>
      <w:r w:rsidRPr="00F6415D">
        <w:rPr>
          <w:rFonts w:ascii="Segoe UI" w:hAnsi="Segoe UI" w:cs="Segoe UI"/>
        </w:rPr>
        <w:t>Deferred annuities and other income streams</w:t>
      </w:r>
    </w:p>
    <w:p w:rsidR="00CE1469" w:rsidRPr="00F6415D" w:rsidRDefault="00CE1469" w:rsidP="006E6C2E">
      <w:pPr>
        <w:pStyle w:val="BodyText"/>
        <w:rPr>
          <w:rFonts w:ascii="Segoe UI" w:hAnsi="Segoe UI" w:cs="Segoe UI"/>
        </w:rPr>
      </w:pPr>
      <w:bookmarkStart w:id="275" w:name="_Toc522190406"/>
      <w:bookmarkStart w:id="276" w:name="_Toc523408259"/>
      <w:bookmarkStart w:id="277" w:name="_Toc523482240"/>
      <w:bookmarkStart w:id="278" w:name="_Toc524605297"/>
      <w:bookmarkStart w:id="279" w:name="_Toc527561566"/>
      <w:bookmarkStart w:id="280" w:name="_Toc527564640"/>
      <w:bookmarkStart w:id="281" w:name="_Toc528224269"/>
      <w:bookmarkStart w:id="282" w:name="_Toc528861152"/>
      <w:bookmarkStart w:id="283" w:name="_Toc529890594"/>
      <w:r w:rsidRPr="00F6415D">
        <w:rPr>
          <w:rFonts w:ascii="Segoe UI" w:hAnsi="Segoe UI" w:cs="Segoe UI"/>
        </w:rPr>
        <w:t>An annuity pays a guaranteed income for a set period of time. Consumers can choose the payment period, whether it be a lifetime or a set number of years. Unlike other retirement phase income products, annuities provide certainty in terms of return and timeframe.</w:t>
      </w:r>
    </w:p>
    <w:p w:rsidR="00CE1469" w:rsidRPr="00F6415D" w:rsidRDefault="00CE1469" w:rsidP="006E6C2E">
      <w:pPr>
        <w:pStyle w:val="BodyText"/>
        <w:rPr>
          <w:rFonts w:ascii="Segoe UI" w:hAnsi="Segoe UI" w:cs="Segoe UI"/>
        </w:rPr>
      </w:pPr>
      <w:r w:rsidRPr="00F6415D">
        <w:rPr>
          <w:rFonts w:ascii="Segoe UI" w:hAnsi="Segoe UI" w:cs="Segoe UI"/>
        </w:rPr>
        <w:t xml:space="preserve">Annuities are typically purchased from a superannuation fund or a life insurance company with a lump sum. Deferred lifetime annuities (DLAs) are an emerging form of lifetime annuity where income payments are delayed for a set amount of time. For example, a 65-year-old retiree may purchase a DLA that will provide a steady income stream after the retiree turns 85 to guarantee income more than just the Age Pension for the remainder of the retiree’s life. </w:t>
      </w:r>
    </w:p>
    <w:p w:rsidR="00CE1469" w:rsidRPr="00F6415D" w:rsidRDefault="00CE1469" w:rsidP="006E6C2E">
      <w:pPr>
        <w:pStyle w:val="BodyText"/>
        <w:rPr>
          <w:rFonts w:ascii="Segoe UI" w:hAnsi="Segoe UI" w:cs="Segoe UI"/>
        </w:rPr>
      </w:pPr>
      <w:r w:rsidRPr="00F6415D">
        <w:rPr>
          <w:rFonts w:ascii="Segoe UI" w:hAnsi="Segoe UI" w:cs="Segoe UI"/>
        </w:rPr>
        <w:t xml:space="preserve">As part of the 2018-19 </w:t>
      </w:r>
      <w:r w:rsidRPr="00F6415D">
        <w:rPr>
          <w:rFonts w:ascii="Segoe UI" w:hAnsi="Segoe UI" w:cs="Segoe UI"/>
          <w:i/>
        </w:rPr>
        <w:t>Preparing financially for a longer and more secure life – Retirement Income Framework</w:t>
      </w:r>
      <w:r w:rsidRPr="00F6415D">
        <w:rPr>
          <w:rFonts w:ascii="Segoe UI" w:hAnsi="Segoe UI" w:cs="Segoe UI"/>
        </w:rPr>
        <w:t xml:space="preserve"> measure, the Australian Government announced they will introduce a retirement income covenant in the </w:t>
      </w:r>
      <w:r w:rsidRPr="00F6415D">
        <w:rPr>
          <w:rFonts w:ascii="Segoe UI" w:hAnsi="Segoe UI" w:cs="Segoe UI"/>
          <w:i/>
        </w:rPr>
        <w:t>Superannuation Industry (Supervision) Act 1993</w:t>
      </w:r>
      <w:r w:rsidRPr="00F6415D">
        <w:rPr>
          <w:rFonts w:ascii="Segoe UI" w:hAnsi="Segoe UI" w:cs="Segoe UI"/>
        </w:rPr>
        <w:t>, requiring trustees to develop a strategy that would help members achieve their retirement income objectives. This will focus the industry on supporting a higher standard of living for retirees.</w:t>
      </w:r>
    </w:p>
    <w:p w:rsidR="00CE1469" w:rsidRPr="00F6415D" w:rsidRDefault="00CE1469" w:rsidP="006E6C2E">
      <w:pPr>
        <w:pStyle w:val="BodyText"/>
        <w:rPr>
          <w:rFonts w:ascii="Segoe UI" w:hAnsi="Segoe UI" w:cs="Segoe UI"/>
        </w:rPr>
      </w:pPr>
      <w:r w:rsidRPr="00F6415D">
        <w:rPr>
          <w:rFonts w:ascii="Segoe UI" w:hAnsi="Segoe UI" w:cs="Segoe UI"/>
        </w:rPr>
        <w:t>The covenant will require trustees to offer Comprehensive Income Products for Retirement (CIPRs): products that provide individuals income for life, no matter how long they live.</w:t>
      </w:r>
    </w:p>
    <w:p w:rsidR="00CE1469" w:rsidRPr="00F6415D" w:rsidRDefault="00CE1469" w:rsidP="006E6C2E">
      <w:pPr>
        <w:pStyle w:val="Heading3"/>
        <w:rPr>
          <w:rFonts w:ascii="Segoe UI" w:hAnsi="Segoe UI" w:cs="Segoe UI"/>
        </w:rPr>
      </w:pPr>
      <w:bookmarkStart w:id="284" w:name="_Toc531271103"/>
      <w:bookmarkStart w:id="285" w:name="_Toc532206399"/>
      <w:r w:rsidRPr="00F6415D">
        <w:rPr>
          <w:rFonts w:ascii="Segoe UI" w:hAnsi="Segoe UI" w:cs="Segoe UI"/>
        </w:rPr>
        <w:t>Challenges with financial products</w:t>
      </w:r>
      <w:bookmarkEnd w:id="275"/>
      <w:bookmarkEnd w:id="276"/>
      <w:bookmarkEnd w:id="277"/>
      <w:bookmarkEnd w:id="278"/>
      <w:bookmarkEnd w:id="279"/>
      <w:bookmarkEnd w:id="280"/>
      <w:bookmarkEnd w:id="281"/>
      <w:bookmarkEnd w:id="282"/>
      <w:bookmarkEnd w:id="283"/>
      <w:bookmarkEnd w:id="284"/>
      <w:bookmarkEnd w:id="285"/>
    </w:p>
    <w:p w:rsidR="00CE1469" w:rsidRPr="00F6415D" w:rsidRDefault="00CE1469" w:rsidP="006E6C2E">
      <w:pPr>
        <w:pStyle w:val="BodyText"/>
        <w:rPr>
          <w:rFonts w:ascii="Segoe UI" w:hAnsi="Segoe UI" w:cs="Segoe UI"/>
        </w:rPr>
      </w:pPr>
      <w:bookmarkStart w:id="286" w:name="_Toc522190407"/>
      <w:bookmarkStart w:id="287" w:name="_Toc523408260"/>
      <w:bookmarkStart w:id="288" w:name="_Toc523482241"/>
      <w:bookmarkStart w:id="289" w:name="_Toc524605298"/>
      <w:bookmarkStart w:id="290" w:name="_Toc527561567"/>
      <w:bookmarkStart w:id="291" w:name="_Toc527564641"/>
      <w:bookmarkStart w:id="292" w:name="_Toc528224270"/>
      <w:bookmarkStart w:id="293" w:name="_Toc528861153"/>
      <w:bookmarkStart w:id="294" w:name="_Toc529890595"/>
      <w:bookmarkStart w:id="295" w:name="_Toc522190416"/>
      <w:bookmarkStart w:id="296" w:name="_Toc523408271"/>
      <w:bookmarkStart w:id="297" w:name="_Toc523482252"/>
      <w:bookmarkStart w:id="298" w:name="_Toc524605309"/>
      <w:bookmarkEnd w:id="65"/>
      <w:bookmarkEnd w:id="66"/>
      <w:bookmarkEnd w:id="225"/>
      <w:bookmarkEnd w:id="226"/>
      <w:bookmarkEnd w:id="227"/>
      <w:r w:rsidRPr="00F6415D">
        <w:rPr>
          <w:rFonts w:ascii="Segoe UI" w:hAnsi="Segoe UI" w:cs="Segoe UI"/>
        </w:rPr>
        <w:t>The extent to which consumers are accessing financial products to finance their care varies significantly. While consumers are able to use cash flow and/or accumulated wealth and equity to fund their aged care needs, the ACFA consumer survey and consumer follow-up consultations indicate that consumers aim to use traditional cash flow</w:t>
      </w:r>
      <w:r w:rsidR="001B5BED" w:rsidRPr="00F6415D">
        <w:rPr>
          <w:rFonts w:ascii="Segoe UI" w:hAnsi="Segoe UI" w:cs="Segoe UI"/>
        </w:rPr>
        <w:t xml:space="preserve"> </w:t>
      </w:r>
      <w:r w:rsidRPr="00F6415D">
        <w:rPr>
          <w:rFonts w:ascii="Segoe UI" w:hAnsi="Segoe UI" w:cs="Segoe UI"/>
        </w:rPr>
        <w:t xml:space="preserve">sources first (age pension, superannuation, savings) and then their assets, to pay their aged care costs (as discussed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_Ref531779149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5</w:t>
      </w:r>
      <w:r w:rsidR="00A5778B" w:rsidRPr="00F6415D">
        <w:rPr>
          <w:rFonts w:ascii="Segoe UI" w:hAnsi="Segoe UI" w:cs="Segoe UI"/>
        </w:rPr>
        <w:fldChar w:fldCharType="end"/>
      </w:r>
      <w:r w:rsidR="00A5778B" w:rsidRPr="00F6415D">
        <w:rPr>
          <w:rFonts w:ascii="Segoe UI" w:hAnsi="Segoe UI" w:cs="Segoe UI"/>
        </w:rPr>
        <w:t xml:space="preserve"> </w:t>
      </w:r>
      <w:r w:rsidRPr="00F6415D">
        <w:rPr>
          <w:rFonts w:ascii="Segoe UI" w:hAnsi="Segoe UI" w:cs="Segoe UI"/>
        </w:rPr>
        <w:t xml:space="preserve">and shown in </w:t>
      </w:r>
      <w:r w:rsidR="003B03AF" w:rsidRPr="00F6415D">
        <w:rPr>
          <w:rFonts w:ascii="Segoe UI" w:hAnsi="Segoe UI" w:cs="Segoe UI"/>
        </w:rPr>
        <w:fldChar w:fldCharType="begin"/>
      </w:r>
      <w:r w:rsidR="003B03AF" w:rsidRPr="00F6415D">
        <w:rPr>
          <w:rFonts w:ascii="Segoe UI" w:hAnsi="Segoe UI" w:cs="Segoe UI"/>
        </w:rPr>
        <w:instrText xml:space="preserve"> REF _Ref531778076 \h </w:instrText>
      </w:r>
      <w:r w:rsidR="00E12DF5" w:rsidRPr="00F6415D">
        <w:rPr>
          <w:rFonts w:ascii="Segoe UI" w:hAnsi="Segoe UI" w:cs="Segoe UI"/>
        </w:rPr>
        <w:instrText xml:space="preserve"> \* MERGEFORMAT </w:instrText>
      </w:r>
      <w:r w:rsidR="003B03AF" w:rsidRPr="00F6415D">
        <w:rPr>
          <w:rFonts w:ascii="Segoe UI" w:hAnsi="Segoe UI" w:cs="Segoe UI"/>
        </w:rPr>
      </w:r>
      <w:r w:rsidR="003B03AF" w:rsidRPr="00F6415D">
        <w:rPr>
          <w:rFonts w:ascii="Segoe UI" w:hAnsi="Segoe UI" w:cs="Segoe UI"/>
        </w:rPr>
        <w:fldChar w:fldCharType="separate"/>
      </w:r>
      <w:r w:rsidR="00C40CA4" w:rsidRPr="00C40CA4">
        <w:rPr>
          <w:rFonts w:ascii="Segoe UI" w:hAnsi="Segoe UI" w:cs="Segoe UI"/>
        </w:rPr>
        <w:t xml:space="preserve">Figure </w:t>
      </w:r>
      <w:r w:rsidR="00C40CA4" w:rsidRPr="00C40CA4">
        <w:rPr>
          <w:rFonts w:ascii="Segoe UI" w:hAnsi="Segoe UI" w:cs="Segoe UI"/>
          <w:noProof/>
        </w:rPr>
        <w:t>12</w:t>
      </w:r>
      <w:r w:rsidR="003B03AF" w:rsidRPr="00F6415D">
        <w:rPr>
          <w:rFonts w:ascii="Segoe UI" w:hAnsi="Segoe UI" w:cs="Segoe UI"/>
        </w:rPr>
        <w:fldChar w:fldCharType="end"/>
      </w:r>
      <w:r w:rsidRPr="00F6415D">
        <w:rPr>
          <w:rFonts w:ascii="Segoe UI" w:hAnsi="Segoe UI" w:cs="Segoe UI"/>
        </w:rPr>
        <w:t xml:space="preserve"> below). They were less likely to use specific financial products to fund their care, with only 2 per cent of respondents indicating they currently use an aged care loan, 5 per cent indicating they use a personal loan and 5 per cent using an equity release product.</w:t>
      </w:r>
    </w:p>
    <w:p w:rsidR="00CE1469" w:rsidRPr="00F6415D" w:rsidRDefault="00CE1469" w:rsidP="00A23459">
      <w:pPr>
        <w:pStyle w:val="FigureTitle"/>
        <w:rPr>
          <w:rFonts w:ascii="Segoe UI" w:hAnsi="Segoe UI" w:cs="Segoe UI"/>
          <w:i/>
        </w:rPr>
      </w:pPr>
      <w:bookmarkStart w:id="299" w:name="_Ref531778076"/>
      <w:r w:rsidRPr="00F6415D">
        <w:rPr>
          <w:rFonts w:ascii="Segoe UI" w:hAnsi="Segoe UI" w:cs="Segoe UI"/>
          <w:i/>
        </w:rPr>
        <w:lastRenderedPageBreak/>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12</w:t>
      </w:r>
      <w:r w:rsidRPr="00F6415D">
        <w:rPr>
          <w:rFonts w:ascii="Segoe UI" w:hAnsi="Segoe UI" w:cs="Segoe UI"/>
          <w:i/>
          <w:noProof/>
        </w:rPr>
        <w:fldChar w:fldCharType="end"/>
      </w:r>
      <w:bookmarkEnd w:id="299"/>
      <w:r w:rsidR="003B03AF" w:rsidRPr="00F6415D">
        <w:rPr>
          <w:rFonts w:ascii="Segoe UI" w:hAnsi="Segoe UI" w:cs="Segoe UI"/>
          <w:i/>
        </w:rPr>
        <w:t>: I</w:t>
      </w:r>
      <w:r w:rsidRPr="00F6415D">
        <w:rPr>
          <w:rFonts w:ascii="Segoe UI" w:hAnsi="Segoe UI" w:cs="Segoe UI"/>
          <w:i/>
        </w:rPr>
        <w:t>ncome streams used to pay aged care costs</w:t>
      </w:r>
    </w:p>
    <w:p w:rsidR="00CE1469" w:rsidRPr="00F6415D" w:rsidRDefault="00510B41" w:rsidP="006E6C2E">
      <w:pPr>
        <w:pStyle w:val="BodyText"/>
        <w:rPr>
          <w:rFonts w:ascii="Segoe UI" w:hAnsi="Segoe UI" w:cs="Segoe UI"/>
        </w:rPr>
      </w:pPr>
      <w:r w:rsidRPr="00F6415D">
        <w:rPr>
          <w:rFonts w:ascii="Segoe UI" w:hAnsi="Segoe UI" w:cs="Segoe UI"/>
          <w:noProof/>
          <w:lang w:eastAsia="en-AU"/>
        </w:rPr>
        <w:drawing>
          <wp:inline distT="0" distB="0" distL="0" distR="0" wp14:anchorId="3EF34CE8">
            <wp:extent cx="6066155" cy="2707005"/>
            <wp:effectExtent l="0" t="0" r="0" b="0"/>
            <wp:docPr id="293" name="Picture 293" descr="Figure 12, a horizontal bar chart, outlines the income streams used to pay aged care costs." title="Figure 12: Income streams used to pay aged care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066155" cy="2707005"/>
                    </a:xfrm>
                    <a:prstGeom prst="rect">
                      <a:avLst/>
                    </a:prstGeom>
                    <a:noFill/>
                  </pic:spPr>
                </pic:pic>
              </a:graphicData>
            </a:graphic>
          </wp:inline>
        </w:drawing>
      </w:r>
    </w:p>
    <w:p w:rsidR="00CE1469" w:rsidRPr="00F6415D" w:rsidRDefault="00CE1469" w:rsidP="006E6C2E">
      <w:pPr>
        <w:pStyle w:val="BodyText"/>
        <w:rPr>
          <w:rFonts w:ascii="Segoe UI" w:hAnsi="Segoe UI" w:cs="Segoe UI"/>
        </w:rPr>
      </w:pPr>
      <w:r w:rsidRPr="00F6415D">
        <w:rPr>
          <w:rFonts w:ascii="Segoe UI" w:hAnsi="Segoe UI" w:cs="Segoe UI"/>
        </w:rPr>
        <w:t>Source: ACFA consumer survey</w:t>
      </w:r>
    </w:p>
    <w:p w:rsidR="00CE1469" w:rsidRPr="00F6415D" w:rsidRDefault="00CE1469" w:rsidP="006E6C2E">
      <w:pPr>
        <w:pStyle w:val="BodyText"/>
        <w:rPr>
          <w:rFonts w:ascii="Segoe UI" w:hAnsi="Segoe UI" w:cs="Segoe UI"/>
        </w:rPr>
      </w:pPr>
      <w:r w:rsidRPr="00F6415D">
        <w:rPr>
          <w:rFonts w:ascii="Segoe UI" w:hAnsi="Segoe UI" w:cs="Segoe UI"/>
        </w:rPr>
        <w:t>While</w:t>
      </w:r>
      <w:r w:rsidRPr="00F6415D" w:rsidDel="006D2B10">
        <w:rPr>
          <w:rFonts w:ascii="Segoe UI" w:hAnsi="Segoe UI" w:cs="Segoe UI"/>
        </w:rPr>
        <w:t xml:space="preserve"> </w:t>
      </w:r>
      <w:r w:rsidRPr="00F6415D">
        <w:rPr>
          <w:rFonts w:ascii="Segoe UI" w:hAnsi="Segoe UI" w:cs="Segoe UI"/>
        </w:rPr>
        <w:t>consumers accessing CHSP and home care can rely more heavily on cash flow to fund their aged care costs, once a consumer enters residential care, in addition to accessing their cash flow, they may need to restructure their assets to meet their aged care costs, in particular the accommodation costs in residential aged care.</w:t>
      </w:r>
    </w:p>
    <w:p w:rsidR="00CE1469" w:rsidRPr="00F6415D" w:rsidRDefault="00CE1469" w:rsidP="006E6C2E">
      <w:pPr>
        <w:pStyle w:val="Heading4"/>
        <w:rPr>
          <w:rFonts w:ascii="Segoe UI" w:hAnsi="Segoe UI" w:cs="Segoe UI"/>
        </w:rPr>
      </w:pPr>
      <w:r w:rsidRPr="00F6415D">
        <w:rPr>
          <w:rFonts w:ascii="Segoe UI" w:hAnsi="Segoe UI" w:cs="Segoe UI"/>
        </w:rPr>
        <w:t>Challenges with equity release</w:t>
      </w:r>
    </w:p>
    <w:p w:rsidR="00CE1469" w:rsidRPr="00F6415D" w:rsidRDefault="00CE1469" w:rsidP="006E6C2E">
      <w:pPr>
        <w:pStyle w:val="BodyText"/>
        <w:rPr>
          <w:rFonts w:ascii="Segoe UI" w:hAnsi="Segoe UI" w:cs="Segoe UI"/>
        </w:rPr>
      </w:pPr>
      <w:r w:rsidRPr="00F6415D">
        <w:rPr>
          <w:rFonts w:ascii="Segoe UI" w:hAnsi="Segoe UI" w:cs="Segoe UI"/>
        </w:rPr>
        <w:t>The survey also indicated that consumers aged 60-64 years are the most likely to use equity release products with 8 per cent of this cohort currently using equity release to fund their care. This is compared with 3 per cent of consumers aged 65</w:t>
      </w:r>
      <w:r w:rsidRPr="00F6415D">
        <w:rPr>
          <w:rFonts w:ascii="Segoe UI" w:hAnsi="Segoe UI" w:cs="Segoe UI"/>
        </w:rPr>
        <w:noBreakHyphen/>
        <w:t>69 years, 5 per cent of consumers aged 70</w:t>
      </w:r>
      <w:r w:rsidRPr="00F6415D">
        <w:rPr>
          <w:rFonts w:ascii="Segoe UI" w:hAnsi="Segoe UI" w:cs="Segoe UI"/>
        </w:rPr>
        <w:noBreakHyphen/>
        <w:t>74 years and 4 per cent of consumers aged 75 years and over.</w:t>
      </w:r>
    </w:p>
    <w:p w:rsidR="00CE1469" w:rsidRPr="00F6415D" w:rsidRDefault="00CE1469" w:rsidP="006E6C2E">
      <w:pPr>
        <w:pStyle w:val="BodyText"/>
        <w:rPr>
          <w:rFonts w:ascii="Segoe UI" w:hAnsi="Segoe UI" w:cs="Segoe UI"/>
        </w:rPr>
      </w:pPr>
      <w:r w:rsidRPr="00F6415D">
        <w:rPr>
          <w:rFonts w:ascii="Segoe UI" w:hAnsi="Segoe UI" w:cs="Segoe UI"/>
        </w:rPr>
        <w:t>However, consumers overall tend to have an unwillingness to take on debt in their retirement years. If consumers have worked for many years to pay off a mortgage, there is a reluctance to ‘re-enter’ into debt. In addition, there is a fear that hard-earned equity will diminish and reduce the inheritance they can leave to the next generation.</w:t>
      </w:r>
    </w:p>
    <w:p w:rsidR="00CE1469" w:rsidRPr="00F6415D" w:rsidRDefault="00CE1469" w:rsidP="006E6C2E">
      <w:pPr>
        <w:pStyle w:val="BodyText"/>
        <w:rPr>
          <w:rFonts w:ascii="Segoe UI" w:hAnsi="Segoe UI" w:cs="Segoe UI"/>
          <w:color w:val="0070C0"/>
        </w:rPr>
      </w:pPr>
      <w:r w:rsidRPr="00F6415D">
        <w:rPr>
          <w:rFonts w:ascii="Segoe UI" w:hAnsi="Segoe UI" w:cs="Segoe UI"/>
        </w:rPr>
        <w:t>Take-up of equity release products is generally low in Australia</w:t>
      </w:r>
      <w:r w:rsidR="001B5BED" w:rsidRPr="00F6415D">
        <w:rPr>
          <w:rFonts w:ascii="Segoe UI" w:hAnsi="Segoe UI" w:cs="Segoe UI"/>
        </w:rPr>
        <w:t xml:space="preserve">. </w:t>
      </w:r>
      <w:r w:rsidRPr="00F6415D">
        <w:rPr>
          <w:rFonts w:ascii="Segoe UI" w:hAnsi="Segoe UI" w:cs="Segoe UI"/>
        </w:rPr>
        <w:t>At 31 December 2014 there were approximately 40,000 reverse mortgages in Australia worth a total of $3.6 billion.</w:t>
      </w:r>
      <w:r w:rsidRPr="00F6415D">
        <w:rPr>
          <w:rStyle w:val="EndnoteReference"/>
          <w:rFonts w:ascii="Segoe UI" w:hAnsi="Segoe UI" w:cs="Segoe UI"/>
          <w:iCs/>
        </w:rPr>
        <w:endnoteReference w:id="18"/>
      </w:r>
      <w:r w:rsidR="001B5BED" w:rsidRPr="00F6415D">
        <w:rPr>
          <w:rFonts w:ascii="Segoe UI" w:hAnsi="Segoe UI" w:cs="Segoe UI"/>
        </w:rPr>
        <w:t xml:space="preserve"> </w:t>
      </w:r>
    </w:p>
    <w:p w:rsidR="00275957" w:rsidRPr="00F6415D" w:rsidRDefault="00275957" w:rsidP="00275957">
      <w:pPr>
        <w:pStyle w:val="Caption"/>
        <w:rPr>
          <w:rFonts w:ascii="Segoe UI" w:hAnsi="Segoe UI" w:cs="Segoe UI"/>
        </w:rPr>
      </w:pPr>
      <w:r w:rsidRPr="00F6415D">
        <w:rPr>
          <w:rFonts w:ascii="Segoe UI" w:hAnsi="Segoe UI" w:cs="Segoe UI"/>
        </w:rPr>
        <w:lastRenderedPageBreak/>
        <w:t xml:space="preserve">Figure </w:t>
      </w:r>
      <w:r w:rsidRPr="00F6415D">
        <w:rPr>
          <w:rFonts w:ascii="Segoe UI" w:hAnsi="Segoe UI" w:cs="Segoe UI"/>
        </w:rPr>
        <w:fldChar w:fldCharType="begin"/>
      </w:r>
      <w:r w:rsidRPr="00F6415D">
        <w:rPr>
          <w:rFonts w:ascii="Segoe UI" w:hAnsi="Segoe UI" w:cs="Segoe UI"/>
        </w:rPr>
        <w:instrText xml:space="preserve"> SEQ Figure \* ARABIC </w:instrText>
      </w:r>
      <w:r w:rsidRPr="00F6415D">
        <w:rPr>
          <w:rFonts w:ascii="Segoe UI" w:hAnsi="Segoe UI" w:cs="Segoe UI"/>
        </w:rPr>
        <w:fldChar w:fldCharType="separate"/>
      </w:r>
      <w:r w:rsidR="00C40CA4">
        <w:rPr>
          <w:rFonts w:ascii="Segoe UI" w:hAnsi="Segoe UI" w:cs="Segoe UI"/>
          <w:noProof/>
        </w:rPr>
        <w:t>13</w:t>
      </w:r>
      <w:r w:rsidRPr="00F6415D">
        <w:rPr>
          <w:rFonts w:ascii="Segoe UI" w:hAnsi="Segoe UI" w:cs="Segoe UI"/>
        </w:rPr>
        <w:fldChar w:fldCharType="end"/>
      </w:r>
      <w:r w:rsidRPr="00F6415D">
        <w:rPr>
          <w:rFonts w:ascii="Segoe UI" w:hAnsi="Segoe UI" w:cs="Segoe UI"/>
        </w:rPr>
        <w:t xml:space="preserve"> growth in the reverse mortgage market between December 2006 and December 2014</w:t>
      </w:r>
    </w:p>
    <w:p w:rsidR="00CE1469" w:rsidRPr="00F6415D" w:rsidRDefault="00CE1469" w:rsidP="00CE1469">
      <w:pPr>
        <w:rPr>
          <w:rFonts w:ascii="Segoe UI" w:hAnsi="Segoe UI" w:cs="Segoe UI"/>
          <w:iCs/>
        </w:rPr>
      </w:pPr>
      <w:r w:rsidRPr="00F6415D">
        <w:rPr>
          <w:rFonts w:ascii="Segoe UI" w:hAnsi="Segoe UI" w:cs="Segoe UI"/>
          <w:iCs/>
          <w:noProof/>
          <w:lang w:eastAsia="en-AU"/>
        </w:rPr>
        <w:drawing>
          <wp:inline distT="0" distB="0" distL="0" distR="0" wp14:anchorId="57EB14D0" wp14:editId="708A5E01">
            <wp:extent cx="5495026" cy="3261360"/>
            <wp:effectExtent l="0" t="0" r="0" b="0"/>
            <wp:docPr id="15" name="Picture 15" descr="The the growth in the reverse mortgage market between December 2006 and December 2014." title="Figure 13 growth in the reverse mortgage market between December 2006 and December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98367" cy="3263343"/>
                    </a:xfrm>
                    <a:prstGeom prst="rect">
                      <a:avLst/>
                    </a:prstGeom>
                    <a:noFill/>
                  </pic:spPr>
                </pic:pic>
              </a:graphicData>
            </a:graphic>
          </wp:inline>
        </w:drawing>
      </w:r>
    </w:p>
    <w:p w:rsidR="00CE1469" w:rsidRPr="00F6415D" w:rsidRDefault="00CE1469" w:rsidP="0059246E">
      <w:pPr>
        <w:pStyle w:val="BodyText"/>
        <w:rPr>
          <w:rFonts w:ascii="Segoe UI" w:hAnsi="Segoe UI" w:cs="Segoe UI"/>
        </w:rPr>
      </w:pPr>
      <w:r w:rsidRPr="00F6415D">
        <w:rPr>
          <w:rFonts w:ascii="Segoe UI" w:hAnsi="Segoe UI" w:cs="Segoe UI"/>
        </w:rPr>
        <w:t xml:space="preserve">While the reverse mortgage market expanded during the mid-2000s, growth slowed substantially following the global financial crisis and has since flattened out, with the number of loans actually decreasing between 2011 and 2014. </w:t>
      </w:r>
    </w:p>
    <w:p w:rsidR="00CE1469" w:rsidRPr="00F6415D" w:rsidRDefault="00CE1469" w:rsidP="0059246E">
      <w:pPr>
        <w:pStyle w:val="BodyText"/>
        <w:rPr>
          <w:rFonts w:ascii="Segoe UI" w:hAnsi="Segoe UI" w:cs="Segoe UI"/>
        </w:rPr>
      </w:pPr>
      <w:r w:rsidRPr="00F6415D">
        <w:rPr>
          <w:rFonts w:ascii="Segoe UI" w:hAnsi="Segoe UI" w:cs="Segoe UI"/>
        </w:rPr>
        <w:t>The Productivity Commission suggests that there has been a modest revival in the market, and that a number of providers are now offering products specifically for aged care purposes, demand for which has been slowly growing since the 2014 reforms to aged care</w:t>
      </w:r>
      <w:r w:rsidRPr="00F6415D">
        <w:rPr>
          <w:rStyle w:val="EndnoteReference"/>
          <w:rFonts w:ascii="Segoe UI" w:hAnsi="Segoe UI" w:cs="Segoe UI"/>
        </w:rPr>
        <w:endnoteReference w:id="19"/>
      </w:r>
      <w:r w:rsidRPr="00F6415D">
        <w:rPr>
          <w:rFonts w:ascii="Segoe UI" w:hAnsi="Segoe UI" w:cs="Segoe UI"/>
        </w:rPr>
        <w:t>. However, recent announcements in the market have a major bank lender preparing to exit this area which means none of the big four banks will be operating in this market.</w:t>
      </w:r>
    </w:p>
    <w:p w:rsidR="00CE1469" w:rsidRPr="00F6415D" w:rsidRDefault="00CE1469" w:rsidP="0059246E">
      <w:pPr>
        <w:pStyle w:val="BodyText"/>
        <w:rPr>
          <w:rFonts w:ascii="Segoe UI" w:hAnsi="Segoe UI" w:cs="Segoe UI"/>
        </w:rPr>
      </w:pPr>
      <w:r w:rsidRPr="00F6415D">
        <w:rPr>
          <w:rFonts w:ascii="Segoe UI" w:hAnsi="Segoe UI" w:cs="Segoe UI"/>
        </w:rPr>
        <w:t xml:space="preserve">The Productivity Commission also suggests that both demand and supply issues are constraining a higher take up of equity release products. </w:t>
      </w:r>
    </w:p>
    <w:p w:rsidR="00CE1469" w:rsidRPr="00F6415D" w:rsidRDefault="00CE1469" w:rsidP="0059246E">
      <w:pPr>
        <w:pStyle w:val="ListBullet"/>
        <w:rPr>
          <w:rFonts w:ascii="Segoe UI" w:hAnsi="Segoe UI" w:cs="Segoe UI"/>
        </w:rPr>
      </w:pPr>
      <w:r w:rsidRPr="00F6415D">
        <w:rPr>
          <w:rFonts w:ascii="Segoe UI" w:hAnsi="Segoe UI" w:cs="Segoe UI"/>
          <w:b/>
        </w:rPr>
        <w:t>Consumers:</w:t>
      </w:r>
      <w:r w:rsidRPr="00F6415D">
        <w:rPr>
          <w:rFonts w:ascii="Segoe UI" w:hAnsi="Segoe UI" w:cs="Segoe UI"/>
        </w:rPr>
        <w:t xml:space="preserve"> demand is impeded by preferences affecting the family home and debt; negative perceptions of the products; poor financial literacy and information; high costs and risks; and disincentives arising from the tax and transfer treatment of the principal residence.</w:t>
      </w:r>
    </w:p>
    <w:p w:rsidR="00CE1469" w:rsidRPr="00F6415D" w:rsidRDefault="00CE1469" w:rsidP="0059246E">
      <w:pPr>
        <w:pStyle w:val="ListBullet"/>
        <w:rPr>
          <w:rFonts w:ascii="Segoe UI" w:hAnsi="Segoe UI" w:cs="Segoe UI"/>
        </w:rPr>
      </w:pPr>
      <w:r w:rsidRPr="00F6415D">
        <w:rPr>
          <w:rFonts w:ascii="Segoe UI" w:hAnsi="Segoe UI" w:cs="Segoe UI"/>
          <w:b/>
        </w:rPr>
        <w:t>Providers and investors:</w:t>
      </w:r>
      <w:r w:rsidRPr="00F6415D">
        <w:rPr>
          <w:rFonts w:ascii="Segoe UI" w:hAnsi="Segoe UI" w:cs="Segoe UI"/>
        </w:rPr>
        <w:t xml:space="preserve"> little interest in the products due to the relatively small market size; the risks caused by the uncertain timing and value of returns; costly prudential and regulatory requirements; the lack of a consistent regulatory framework across ERPs; and the reputational risk inherent in offering the products</w:t>
      </w:r>
      <w:r w:rsidRPr="00F6415D">
        <w:rPr>
          <w:rStyle w:val="EndnoteReference"/>
          <w:rFonts w:ascii="Segoe UI" w:hAnsi="Segoe UI" w:cs="Segoe UI"/>
        </w:rPr>
        <w:endnoteReference w:id="20"/>
      </w:r>
      <w:r w:rsidRPr="00F6415D">
        <w:rPr>
          <w:rFonts w:ascii="Segoe UI" w:hAnsi="Segoe UI" w:cs="Segoe UI"/>
        </w:rPr>
        <w:t>.</w:t>
      </w:r>
    </w:p>
    <w:p w:rsidR="00CE1469" w:rsidRPr="00F6415D" w:rsidRDefault="00CE1469" w:rsidP="0059246E">
      <w:pPr>
        <w:pStyle w:val="BodyText"/>
        <w:rPr>
          <w:rFonts w:ascii="Segoe UI" w:hAnsi="Segoe UI" w:cs="Segoe UI"/>
          <w:color w:val="0070C0"/>
        </w:rPr>
      </w:pPr>
      <w:r w:rsidRPr="00F6415D">
        <w:rPr>
          <w:rFonts w:ascii="Segoe UI" w:hAnsi="Segoe UI" w:cs="Segoe UI"/>
        </w:rPr>
        <w:t>A recent review conducted by ASIC, indicated that the longer-term challenges associated for consumers remain with consumers continuing to have poor understanding of the risks and future costs of their loan, and generally failing to consider how their loan could impact their ability to afford their possible future aged care needs.</w:t>
      </w:r>
      <w:r w:rsidRPr="00F6415D">
        <w:rPr>
          <w:rStyle w:val="EndnoteReference"/>
          <w:rFonts w:ascii="Segoe UI" w:eastAsia="Segoe UI" w:hAnsi="Segoe UI" w:cs="Segoe UI"/>
          <w:color w:val="262626"/>
        </w:rPr>
        <w:endnoteReference w:id="21"/>
      </w:r>
      <w:r w:rsidRPr="00F6415D">
        <w:rPr>
          <w:rFonts w:ascii="Segoe UI" w:hAnsi="Segoe UI" w:cs="Segoe UI"/>
        </w:rPr>
        <w:t xml:space="preserve"> Improved awareness among consumers, of the</w:t>
      </w:r>
      <w:r w:rsidRPr="00F6415D" w:rsidDel="00495FBC">
        <w:rPr>
          <w:rFonts w:ascii="Segoe UI" w:hAnsi="Segoe UI" w:cs="Segoe UI"/>
        </w:rPr>
        <w:t xml:space="preserve"> </w:t>
      </w:r>
      <w:r w:rsidRPr="00F6415D">
        <w:rPr>
          <w:rFonts w:ascii="Segoe UI" w:hAnsi="Segoe UI" w:cs="Segoe UI"/>
        </w:rPr>
        <w:t xml:space="preserve">costs associated with </w:t>
      </w:r>
      <w:r w:rsidRPr="00F6415D">
        <w:rPr>
          <w:rFonts w:ascii="Segoe UI" w:hAnsi="Segoe UI" w:cs="Segoe UI"/>
        </w:rPr>
        <w:lastRenderedPageBreak/>
        <w:t>aged care may lead to more consideration of equity release products as a viable option to fund future aged care needs, particularly for funding home care services.</w:t>
      </w:r>
    </w:p>
    <w:p w:rsidR="00CE1469" w:rsidRPr="00F6415D" w:rsidRDefault="00CE1469" w:rsidP="0059246E">
      <w:pPr>
        <w:pStyle w:val="BodyText"/>
        <w:rPr>
          <w:rFonts w:ascii="Segoe UI" w:hAnsi="Segoe UI" w:cs="Segoe UI"/>
        </w:rPr>
      </w:pPr>
      <w:r w:rsidRPr="00F6415D">
        <w:rPr>
          <w:rFonts w:ascii="Segoe UI" w:hAnsi="Segoe UI" w:cs="Segoe UI"/>
        </w:rPr>
        <w:t>Senior Australians accessing these products also need to consider the impact on other people living within their home, changes to their pension and estate planning before accessing these products.</w:t>
      </w:r>
    </w:p>
    <w:p w:rsidR="00CE1469" w:rsidRPr="00F6415D" w:rsidRDefault="00CE1469" w:rsidP="0059246E">
      <w:pPr>
        <w:pStyle w:val="BodyText"/>
        <w:rPr>
          <w:rFonts w:ascii="Segoe UI" w:hAnsi="Segoe UI" w:cs="Segoe UI"/>
        </w:rPr>
      </w:pPr>
      <w:r w:rsidRPr="00F6415D">
        <w:rPr>
          <w:rFonts w:ascii="Segoe UI" w:hAnsi="Segoe UI" w:cs="Segoe UI"/>
        </w:rPr>
        <w:t>ACFA notes that consumers in some areas may face difficulties in using reverse mortgages to fund aged care costs due to lending restrictions in some postcodes (especially rural and remote regions) and loan-to-value ratio restrictions.</w:t>
      </w:r>
    </w:p>
    <w:p w:rsidR="00CE1469" w:rsidRPr="00F6415D" w:rsidRDefault="00CE1469" w:rsidP="0059246E">
      <w:pPr>
        <w:pStyle w:val="BodyText"/>
        <w:rPr>
          <w:rFonts w:ascii="Segoe UI" w:hAnsi="Segoe UI" w:cs="Segoe UI"/>
        </w:rPr>
      </w:pPr>
      <w:r w:rsidRPr="00F6415D">
        <w:rPr>
          <w:rFonts w:ascii="Segoe UI" w:hAnsi="Segoe UI" w:cs="Segoe UI"/>
        </w:rPr>
        <w:t xml:space="preserve">The Aged Care Sector Committee’s Roadmap envisages a greater role for consumer contributions in return for greater consumer choice and control and competition in the provision of services leading to higher quality services. To support this growth, the Roadmap also envisages that the market will provide an expanded range of financial products to provide flexible ways for people to pay for their aged care. </w:t>
      </w:r>
    </w:p>
    <w:p w:rsidR="00CE1469" w:rsidRPr="00F6415D" w:rsidRDefault="00CE1469" w:rsidP="0059246E">
      <w:pPr>
        <w:pStyle w:val="BodyText"/>
        <w:rPr>
          <w:rFonts w:ascii="Segoe UI" w:hAnsi="Segoe UI" w:cs="Segoe UI"/>
        </w:rPr>
      </w:pPr>
      <w:r w:rsidRPr="00F6415D">
        <w:rPr>
          <w:rFonts w:ascii="Segoe UI" w:hAnsi="Segoe UI" w:cs="Segoe UI"/>
        </w:rPr>
        <w:t xml:space="preserve">To ensure consistency with other potential reforms changes, ACFA notes that any changes to enhance the profile of equity release products should be made in conjunction with outcomes as recommended by the Royal Commission into Misconduct in the Banking, Superannuation and Financial Services Industry. </w:t>
      </w:r>
    </w:p>
    <w:p w:rsidR="00CE1469" w:rsidRPr="00F6415D" w:rsidRDefault="00CE1469" w:rsidP="0059246E">
      <w:pPr>
        <w:pStyle w:val="Heading2"/>
        <w:rPr>
          <w:rFonts w:ascii="Segoe UI" w:hAnsi="Segoe UI" w:cs="Segoe UI"/>
          <w:lang w:val="en-GB"/>
        </w:rPr>
      </w:pPr>
      <w:bookmarkStart w:id="300" w:name="_Toc531271104"/>
      <w:bookmarkStart w:id="301" w:name="_Ref531779085"/>
      <w:bookmarkStart w:id="302" w:name="_Ref531779163"/>
      <w:bookmarkStart w:id="303" w:name="_Toc532206400"/>
      <w:r w:rsidRPr="00F6415D">
        <w:rPr>
          <w:rFonts w:ascii="Segoe UI" w:hAnsi="Segoe UI" w:cs="Segoe UI"/>
          <w:lang w:val="en-GB"/>
        </w:rPr>
        <w:lastRenderedPageBreak/>
        <w:t xml:space="preserve">Sources of information and </w:t>
      </w:r>
      <w:bookmarkEnd w:id="286"/>
      <w:bookmarkEnd w:id="287"/>
      <w:bookmarkEnd w:id="288"/>
      <w:bookmarkEnd w:id="289"/>
      <w:r w:rsidRPr="00F6415D">
        <w:rPr>
          <w:rFonts w:ascii="Segoe UI" w:hAnsi="Segoe UI" w:cs="Segoe UI"/>
          <w:lang w:val="en-GB"/>
        </w:rPr>
        <w:t>advice</w:t>
      </w:r>
      <w:bookmarkEnd w:id="290"/>
      <w:bookmarkEnd w:id="291"/>
      <w:bookmarkEnd w:id="292"/>
      <w:bookmarkEnd w:id="293"/>
      <w:bookmarkEnd w:id="294"/>
      <w:bookmarkEnd w:id="300"/>
      <w:bookmarkEnd w:id="301"/>
      <w:bookmarkEnd w:id="302"/>
      <w:bookmarkEnd w:id="303"/>
    </w:p>
    <w:p w:rsidR="00CE1469" w:rsidRPr="00F6415D" w:rsidRDefault="00CE1469" w:rsidP="0059246E">
      <w:pPr>
        <w:pStyle w:val="BodyText"/>
        <w:rPr>
          <w:rFonts w:ascii="Segoe UI" w:hAnsi="Segoe UI" w:cs="Segoe UI"/>
        </w:rPr>
      </w:pPr>
      <w:bookmarkStart w:id="304" w:name="_Toc528224271"/>
      <w:bookmarkStart w:id="305" w:name="_Toc528861154"/>
      <w:bookmarkStart w:id="306" w:name="_Toc529890596"/>
      <w:r w:rsidRPr="00F6415D">
        <w:rPr>
          <w:rFonts w:ascii="Segoe UI" w:hAnsi="Segoe UI" w:cs="Segoe UI"/>
        </w:rPr>
        <w:t>This chapter provides a summary of the information products and advice services that are available to support senior Australians to navigate the aged care system and understand how they will pay for their current and future aged care needs. These include:</w:t>
      </w:r>
    </w:p>
    <w:p w:rsidR="00CE1469" w:rsidRPr="00F6415D" w:rsidRDefault="00CE1469" w:rsidP="0059246E">
      <w:pPr>
        <w:pStyle w:val="ListBullet"/>
        <w:rPr>
          <w:rFonts w:ascii="Segoe UI" w:hAnsi="Segoe UI" w:cs="Segoe UI"/>
        </w:rPr>
      </w:pPr>
      <w:r w:rsidRPr="00F6415D">
        <w:rPr>
          <w:rFonts w:ascii="Segoe UI" w:hAnsi="Segoe UI" w:cs="Segoe UI"/>
        </w:rPr>
        <w:t>Government information services</w:t>
      </w:r>
    </w:p>
    <w:p w:rsidR="00CE1469" w:rsidRPr="00F6415D" w:rsidRDefault="00CE1469" w:rsidP="0059246E">
      <w:pPr>
        <w:pStyle w:val="ListBullet"/>
        <w:rPr>
          <w:rFonts w:ascii="Segoe UI" w:hAnsi="Segoe UI" w:cs="Segoe UI"/>
        </w:rPr>
      </w:pPr>
      <w:r w:rsidRPr="00F6415D">
        <w:rPr>
          <w:rFonts w:ascii="Segoe UI" w:hAnsi="Segoe UI" w:cs="Segoe UI"/>
        </w:rPr>
        <w:t>financial planning industry</w:t>
      </w:r>
    </w:p>
    <w:p w:rsidR="00CE1469" w:rsidRPr="00F6415D" w:rsidRDefault="00CE1469" w:rsidP="0059246E">
      <w:pPr>
        <w:pStyle w:val="ListBullet"/>
        <w:rPr>
          <w:rFonts w:ascii="Segoe UI" w:hAnsi="Segoe UI" w:cs="Segoe UI"/>
        </w:rPr>
      </w:pPr>
      <w:r w:rsidRPr="00F6415D">
        <w:rPr>
          <w:rFonts w:ascii="Segoe UI" w:hAnsi="Segoe UI" w:cs="Segoe UI"/>
        </w:rPr>
        <w:t>mortgage and finance brokers</w:t>
      </w:r>
    </w:p>
    <w:p w:rsidR="00CE1469" w:rsidRPr="00F6415D" w:rsidRDefault="00CE1469" w:rsidP="0059246E">
      <w:pPr>
        <w:pStyle w:val="ListBullet"/>
        <w:rPr>
          <w:rFonts w:ascii="Segoe UI" w:hAnsi="Segoe UI" w:cs="Segoe UI"/>
        </w:rPr>
      </w:pPr>
      <w:r w:rsidRPr="00F6415D">
        <w:rPr>
          <w:rFonts w:ascii="Segoe UI" w:hAnsi="Segoe UI" w:cs="Segoe UI"/>
        </w:rPr>
        <w:t>aged care providers and placement agencies</w:t>
      </w:r>
    </w:p>
    <w:p w:rsidR="00CE1469" w:rsidRPr="00F6415D" w:rsidRDefault="00CE1469" w:rsidP="0059246E">
      <w:pPr>
        <w:pStyle w:val="ListBullet"/>
        <w:rPr>
          <w:rFonts w:ascii="Segoe UI" w:hAnsi="Segoe UI" w:cs="Segoe UI"/>
        </w:rPr>
      </w:pPr>
      <w:r w:rsidRPr="00F6415D">
        <w:rPr>
          <w:rFonts w:ascii="Segoe UI" w:hAnsi="Segoe UI" w:cs="Segoe UI"/>
        </w:rPr>
        <w:t>consumer groups and other services</w:t>
      </w:r>
    </w:p>
    <w:p w:rsidR="00CE1469" w:rsidRPr="00F6415D" w:rsidRDefault="00CE1469" w:rsidP="0059246E">
      <w:pPr>
        <w:pStyle w:val="ListBullet"/>
        <w:rPr>
          <w:rFonts w:ascii="Segoe UI" w:hAnsi="Segoe UI" w:cs="Segoe UI"/>
        </w:rPr>
      </w:pPr>
      <w:r w:rsidRPr="00F6415D">
        <w:rPr>
          <w:rFonts w:ascii="Segoe UI" w:hAnsi="Segoe UI" w:cs="Segoe UI"/>
        </w:rPr>
        <w:t>benchmarking retiree income needs</w:t>
      </w:r>
    </w:p>
    <w:p w:rsidR="00CE1469" w:rsidRPr="00F6415D" w:rsidRDefault="00CE1469" w:rsidP="0059246E">
      <w:pPr>
        <w:pStyle w:val="BodyText"/>
        <w:rPr>
          <w:rFonts w:ascii="Segoe UI" w:hAnsi="Segoe UI" w:cs="Segoe UI"/>
        </w:rPr>
      </w:pPr>
      <w:r w:rsidRPr="00F6415D">
        <w:rPr>
          <w:rFonts w:ascii="Segoe UI" w:hAnsi="Segoe UI" w:cs="Segoe UI"/>
        </w:rPr>
        <w:t>This chapter also outlines the potential fees associated with these services</w:t>
      </w:r>
    </w:p>
    <w:p w:rsidR="00CE1469" w:rsidRPr="00F6415D" w:rsidRDefault="00CE1469" w:rsidP="0059246E">
      <w:pPr>
        <w:pStyle w:val="Heading3"/>
        <w:rPr>
          <w:rFonts w:ascii="Segoe UI" w:hAnsi="Segoe UI" w:cs="Segoe UI"/>
        </w:rPr>
      </w:pPr>
      <w:bookmarkStart w:id="307" w:name="_Toc531271105"/>
      <w:bookmarkStart w:id="308" w:name="_Toc532206401"/>
      <w:r w:rsidRPr="00F6415D">
        <w:rPr>
          <w:rFonts w:ascii="Segoe UI" w:hAnsi="Segoe UI" w:cs="Segoe UI"/>
        </w:rPr>
        <w:t>How consumers access information and advice</w:t>
      </w:r>
      <w:bookmarkEnd w:id="304"/>
      <w:bookmarkEnd w:id="305"/>
      <w:bookmarkEnd w:id="306"/>
      <w:bookmarkEnd w:id="307"/>
      <w:bookmarkEnd w:id="308"/>
    </w:p>
    <w:p w:rsidR="00CE1469" w:rsidRPr="00F6415D" w:rsidRDefault="00CE1469" w:rsidP="0059246E">
      <w:pPr>
        <w:pStyle w:val="BodyText"/>
        <w:rPr>
          <w:rFonts w:ascii="Segoe UI" w:hAnsi="Segoe UI" w:cs="Segoe UI"/>
        </w:rPr>
      </w:pPr>
      <w:r w:rsidRPr="00F6415D">
        <w:rPr>
          <w:rFonts w:ascii="Segoe UI" w:hAnsi="Segoe UI" w:cs="Segoe UI"/>
        </w:rPr>
        <w:t xml:space="preserve">Stakeholder consultations and the ACFA consumer survey sought to understand what information products and advice services are available to support senior Australians to navigate the aged care system and understand how they will pay for their current and future aged care needs. </w:t>
      </w:r>
    </w:p>
    <w:p w:rsidR="00CE1469" w:rsidRPr="00F6415D" w:rsidRDefault="00CE1469" w:rsidP="0059246E">
      <w:pPr>
        <w:pStyle w:val="BodyText"/>
        <w:rPr>
          <w:rFonts w:ascii="Segoe UI" w:hAnsi="Segoe UI" w:cs="Segoe UI"/>
        </w:rPr>
      </w:pPr>
      <w:r w:rsidRPr="00F6415D">
        <w:rPr>
          <w:rFonts w:ascii="Segoe UI" w:hAnsi="Segoe UI" w:cs="Segoe UI"/>
        </w:rPr>
        <w:t>The way in which consumers access information and the level of support they need is dependent on the individual. Some consumers want information that they can use to make their own decisions, while others prefer to have someone navigate the aged care system on their behalf. As a result, various information resources and advice services are available from Government, the financial planning industry, mortgage and credit brokers, aged care providers, placement agencies, and consumer groups, to meet these individual needs.</w:t>
      </w:r>
    </w:p>
    <w:p w:rsidR="00CE1469" w:rsidRPr="00F6415D" w:rsidRDefault="00CE1469" w:rsidP="00A5778B">
      <w:pPr>
        <w:pStyle w:val="BodyText"/>
        <w:rPr>
          <w:rFonts w:ascii="Segoe UI" w:hAnsi="Segoe UI" w:cs="Segoe UI"/>
        </w:rPr>
      </w:pPr>
      <w:r w:rsidRPr="00F6415D">
        <w:rPr>
          <w:rFonts w:ascii="Segoe UI" w:hAnsi="Segoe UI" w:cs="Segoe UI"/>
        </w:rPr>
        <w:t>The findings of the stakeholder consultations and the consumer survey are presented within this section in relation to the main sources of information and advice available to help consumers make informed decisions about financing, planning and accessing aged care.</w:t>
      </w:r>
    </w:p>
    <w:p w:rsidR="00CE1469" w:rsidRPr="00F6415D" w:rsidRDefault="00CE1469" w:rsidP="0059246E">
      <w:pPr>
        <w:pStyle w:val="BodyText"/>
        <w:rPr>
          <w:rFonts w:ascii="Segoe UI" w:hAnsi="Segoe UI" w:cs="Segoe UI"/>
        </w:rPr>
      </w:pPr>
      <w:r w:rsidRPr="00F6415D">
        <w:rPr>
          <w:rFonts w:ascii="Segoe UI" w:hAnsi="Segoe UI" w:cs="Segoe UI"/>
        </w:rPr>
        <w:t>To determine how consumers decide to pay for aged care, the survey sought to understand who the consumer would seek advice from, which sources of information they used to help decide how to fund their aged care, and which sources they found to be most useful</w:t>
      </w:r>
      <w:r w:rsidR="001B5BED" w:rsidRPr="00F6415D">
        <w:rPr>
          <w:rFonts w:ascii="Segoe UI" w:hAnsi="Segoe UI" w:cs="Segoe UI"/>
        </w:rPr>
        <w:t xml:space="preserve">. </w:t>
      </w:r>
      <w:r w:rsidRPr="00F6415D">
        <w:rPr>
          <w:rFonts w:ascii="Segoe UI" w:hAnsi="Segoe UI" w:cs="Segoe UI"/>
        </w:rPr>
        <w:t>However, the survey did n</w:t>
      </w:r>
      <w:r w:rsidRPr="00F6415D">
        <w:rPr>
          <w:rStyle w:val="BodyTextChar"/>
          <w:rFonts w:ascii="Segoe UI" w:hAnsi="Segoe UI" w:cs="Segoe UI"/>
        </w:rPr>
        <w:t xml:space="preserve">ot </w:t>
      </w:r>
      <w:r w:rsidRPr="00F6415D">
        <w:rPr>
          <w:rFonts w:ascii="Segoe UI" w:hAnsi="Segoe UI" w:cs="Segoe UI"/>
        </w:rPr>
        <w:t xml:space="preserve">test how consumers determined which aged </w:t>
      </w:r>
      <w:r w:rsidRPr="00F6415D">
        <w:rPr>
          <w:rStyle w:val="BodyTextChar"/>
          <w:rFonts w:ascii="Segoe UI" w:hAnsi="Segoe UI" w:cs="Segoe UI"/>
        </w:rPr>
        <w:t>c</w:t>
      </w:r>
      <w:r w:rsidRPr="00F6415D">
        <w:rPr>
          <w:rFonts w:ascii="Segoe UI" w:hAnsi="Segoe UI" w:cs="Segoe UI"/>
        </w:rPr>
        <w:t>are service would best meet their needs, or how they then accessed that service.</w:t>
      </w:r>
    </w:p>
    <w:p w:rsidR="00CE1469" w:rsidRPr="00F6415D" w:rsidRDefault="00CE1469" w:rsidP="0059246E">
      <w:pPr>
        <w:pStyle w:val="BodyText"/>
        <w:rPr>
          <w:rFonts w:ascii="Segoe UI" w:hAnsi="Segoe UI" w:cs="Segoe UI"/>
        </w:rPr>
      </w:pPr>
      <w:r w:rsidRPr="00F6415D">
        <w:rPr>
          <w:rFonts w:ascii="Segoe UI" w:hAnsi="Segoe UI" w:cs="Segoe UI"/>
        </w:rPr>
        <w:t>ACFA’s consumer survey indicates that consumers and their families are predominantly using websites to access information, with 38 per cent accessing Government websites and 27 per cent accessing aged care provider websites. The survey also indicates that consumers will seek information directly from a provider through either site visits (16 per cent) and/or the telephone (16 per cent).</w:t>
      </w:r>
    </w:p>
    <w:p w:rsidR="00CE1469" w:rsidRPr="00F6415D" w:rsidRDefault="00CE1469" w:rsidP="0059246E">
      <w:pPr>
        <w:pStyle w:val="BodyText"/>
        <w:rPr>
          <w:rFonts w:ascii="Segoe UI" w:hAnsi="Segoe UI" w:cs="Segoe UI"/>
          <w:lang w:eastAsia="en-AU"/>
        </w:rPr>
      </w:pPr>
      <w:r w:rsidRPr="00F6415D">
        <w:rPr>
          <w:rFonts w:ascii="Segoe UI" w:hAnsi="Segoe UI" w:cs="Segoe UI"/>
          <w:lang w:eastAsia="en-AU"/>
        </w:rPr>
        <w:lastRenderedPageBreak/>
        <w:t xml:space="preserve">While the survey indicated a significant proportion of consumers are seeking information and support in terms of planning to fund their care this does not reflect general trends identified in other research and surveys and may indicate a misconception in what it means to plan for aged care. For example, survey research undertaken by McCrindle and Absolute Care found that more than one in five feel uninformed (22 per cent not really/not at all informed) about the care options available. </w:t>
      </w:r>
    </w:p>
    <w:p w:rsidR="00CE1469" w:rsidRPr="00F6415D" w:rsidRDefault="00CE1469" w:rsidP="00957059">
      <w:pPr>
        <w:pStyle w:val="TableTitle"/>
        <w:rPr>
          <w:rFonts w:ascii="Segoe UI" w:hAnsi="Segoe UI" w:cs="Segoe UI"/>
          <w:i/>
        </w:rPr>
      </w:pPr>
      <w:bookmarkStart w:id="309" w:name="_Ref530579255"/>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14</w:t>
      </w:r>
      <w:r w:rsidRPr="00F6415D">
        <w:rPr>
          <w:rFonts w:ascii="Segoe UI" w:hAnsi="Segoe UI" w:cs="Segoe UI"/>
          <w:i/>
          <w:noProof/>
        </w:rPr>
        <w:fldChar w:fldCharType="end"/>
      </w:r>
      <w:bookmarkEnd w:id="309"/>
      <w:r w:rsidRPr="00F6415D">
        <w:rPr>
          <w:rFonts w:ascii="Segoe UI" w:hAnsi="Segoe UI" w:cs="Segoe UI"/>
          <w:i/>
        </w:rPr>
        <w:t>: Sources of information accessed when deciding how to pay for aged care</w:t>
      </w:r>
    </w:p>
    <w:p w:rsidR="00CE1469" w:rsidRPr="00F6415D" w:rsidRDefault="006A690D" w:rsidP="0059246E">
      <w:pPr>
        <w:pStyle w:val="BodyText"/>
        <w:rPr>
          <w:rFonts w:ascii="Segoe UI" w:hAnsi="Segoe UI" w:cs="Segoe UI"/>
        </w:rPr>
      </w:pPr>
      <w:r w:rsidRPr="00F6415D">
        <w:rPr>
          <w:rFonts w:ascii="Segoe UI" w:hAnsi="Segoe UI" w:cs="Segoe UI"/>
          <w:noProof/>
          <w:lang w:eastAsia="en-AU"/>
        </w:rPr>
        <w:drawing>
          <wp:inline distT="0" distB="0" distL="0" distR="0" wp14:anchorId="2EFD04E6">
            <wp:extent cx="5279390" cy="3578860"/>
            <wp:effectExtent l="0" t="0" r="0" b="0"/>
            <wp:docPr id="294" name="Picture 294" descr="Figure 13, a horizontal bar chart, outlines the proportion of consumers who indicated accessing various sources of information when deciding how to pay for aged care. " title="Figure 14: Sources of information accessed when deciding how to pay for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79390" cy="3578860"/>
                    </a:xfrm>
                    <a:prstGeom prst="rect">
                      <a:avLst/>
                    </a:prstGeom>
                    <a:noFill/>
                  </pic:spPr>
                </pic:pic>
              </a:graphicData>
            </a:graphic>
          </wp:inline>
        </w:drawing>
      </w:r>
    </w:p>
    <w:p w:rsidR="009066A5" w:rsidRPr="00F6415D" w:rsidRDefault="00CE1469" w:rsidP="0059246E">
      <w:pPr>
        <w:pStyle w:val="BodyText"/>
        <w:rPr>
          <w:rFonts w:ascii="Segoe UI" w:hAnsi="Segoe UI" w:cs="Segoe UI"/>
        </w:rPr>
      </w:pPr>
      <w:r w:rsidRPr="00F6415D">
        <w:rPr>
          <w:rFonts w:ascii="Segoe UI" w:hAnsi="Segoe UI" w:cs="Segoe UI"/>
        </w:rPr>
        <w:t>Source: ACFA consumer survey 2018</w:t>
      </w:r>
    </w:p>
    <w:p w:rsidR="00CE1469" w:rsidRPr="00F6415D" w:rsidRDefault="00CE1469" w:rsidP="0059246E">
      <w:pPr>
        <w:pStyle w:val="BodyText"/>
        <w:rPr>
          <w:rFonts w:ascii="Segoe UI" w:hAnsi="Segoe UI" w:cs="Segoe UI"/>
          <w:lang w:eastAsia="en-AU"/>
        </w:rPr>
      </w:pPr>
      <w:r w:rsidRPr="00F6415D">
        <w:rPr>
          <w:rFonts w:ascii="Segoe UI" w:hAnsi="Segoe UI" w:cs="Segoe UI"/>
          <w:lang w:eastAsia="en-AU"/>
        </w:rPr>
        <w:t xml:space="preserve">Of the 20 per cent of consumers who advised that they did not seek advice prior to accessing aged care services (as shown in </w:t>
      </w:r>
      <w:r w:rsidRPr="00F6415D">
        <w:rPr>
          <w:rFonts w:ascii="Segoe UI" w:hAnsi="Segoe UI" w:cs="Segoe UI"/>
          <w:lang w:eastAsia="en-AU"/>
        </w:rPr>
        <w:fldChar w:fldCharType="begin"/>
      </w:r>
      <w:r w:rsidRPr="00F6415D">
        <w:rPr>
          <w:rFonts w:ascii="Segoe UI" w:hAnsi="Segoe UI" w:cs="Segoe UI"/>
          <w:lang w:eastAsia="en-AU"/>
        </w:rPr>
        <w:instrText xml:space="preserve"> REF _Ref530579255 \h </w:instrText>
      </w:r>
      <w:r w:rsidR="00E12DF5" w:rsidRPr="00F6415D">
        <w:rPr>
          <w:rFonts w:ascii="Segoe UI" w:hAnsi="Segoe UI" w:cs="Segoe UI"/>
          <w:lang w:eastAsia="en-AU"/>
        </w:rPr>
        <w:instrText xml:space="preserve"> \* MERGEFORMAT </w:instrText>
      </w:r>
      <w:r w:rsidRPr="00F6415D">
        <w:rPr>
          <w:rFonts w:ascii="Segoe UI" w:hAnsi="Segoe UI" w:cs="Segoe UI"/>
          <w:lang w:eastAsia="en-AU"/>
        </w:rPr>
      </w:r>
      <w:r w:rsidRPr="00F6415D">
        <w:rPr>
          <w:rFonts w:ascii="Segoe UI" w:hAnsi="Segoe UI" w:cs="Segoe UI"/>
          <w:lang w:eastAsia="en-AU"/>
        </w:rPr>
        <w:fldChar w:fldCharType="separate"/>
      </w:r>
      <w:r w:rsidR="00C40CA4" w:rsidRPr="00C40CA4">
        <w:rPr>
          <w:rFonts w:ascii="Segoe UI" w:hAnsi="Segoe UI" w:cs="Segoe UI"/>
        </w:rPr>
        <w:t xml:space="preserve">Figure </w:t>
      </w:r>
      <w:r w:rsidR="00C40CA4" w:rsidRPr="00C40CA4">
        <w:rPr>
          <w:rFonts w:ascii="Segoe UI" w:hAnsi="Segoe UI" w:cs="Segoe UI"/>
          <w:noProof/>
        </w:rPr>
        <w:t>14</w:t>
      </w:r>
      <w:r w:rsidRPr="00F6415D">
        <w:rPr>
          <w:rFonts w:ascii="Segoe UI" w:hAnsi="Segoe UI" w:cs="Segoe UI"/>
          <w:lang w:eastAsia="en-AU"/>
        </w:rPr>
        <w:fldChar w:fldCharType="end"/>
      </w:r>
      <w:r w:rsidRPr="00F6415D">
        <w:rPr>
          <w:rFonts w:ascii="Segoe UI" w:hAnsi="Segoe UI" w:cs="Segoe UI"/>
          <w:lang w:eastAsia="en-AU"/>
        </w:rPr>
        <w:t>):</w:t>
      </w:r>
    </w:p>
    <w:p w:rsidR="00CE1469" w:rsidRPr="00F6415D" w:rsidRDefault="00CE1469" w:rsidP="0059246E">
      <w:pPr>
        <w:pStyle w:val="ListBullet"/>
        <w:rPr>
          <w:rFonts w:ascii="Segoe UI" w:hAnsi="Segoe UI" w:cs="Segoe UI"/>
          <w:lang w:eastAsia="en-AU"/>
        </w:rPr>
      </w:pPr>
      <w:r w:rsidRPr="00F6415D">
        <w:rPr>
          <w:rFonts w:ascii="Segoe UI" w:hAnsi="Segoe UI" w:cs="Segoe UI"/>
          <w:lang w:eastAsia="en-AU"/>
        </w:rPr>
        <w:t>50 per cent reported that they want to do it in time, but have not done so yet</w:t>
      </w:r>
    </w:p>
    <w:p w:rsidR="00CE1469" w:rsidRPr="00F6415D" w:rsidRDefault="00CE1469" w:rsidP="0059246E">
      <w:pPr>
        <w:pStyle w:val="ListBullet"/>
        <w:rPr>
          <w:rFonts w:ascii="Segoe UI" w:hAnsi="Segoe UI" w:cs="Segoe UI"/>
          <w:lang w:eastAsia="en-AU"/>
        </w:rPr>
      </w:pPr>
      <w:r w:rsidRPr="00F6415D">
        <w:rPr>
          <w:rFonts w:ascii="Segoe UI" w:hAnsi="Segoe UI" w:cs="Segoe UI"/>
          <w:lang w:eastAsia="en-AU"/>
        </w:rPr>
        <w:t>18 per cent reported that they were not aware of the various sources of information available</w:t>
      </w:r>
    </w:p>
    <w:p w:rsidR="00CE1469" w:rsidRPr="00F6415D" w:rsidRDefault="00CE1469" w:rsidP="0059246E">
      <w:pPr>
        <w:pStyle w:val="ListBullet"/>
        <w:rPr>
          <w:rFonts w:ascii="Segoe UI" w:hAnsi="Segoe UI" w:cs="Segoe UI"/>
          <w:lang w:eastAsia="en-AU"/>
        </w:rPr>
      </w:pPr>
      <w:r w:rsidRPr="00F6415D">
        <w:rPr>
          <w:rFonts w:ascii="Segoe UI" w:hAnsi="Segoe UI" w:cs="Segoe UI"/>
          <w:lang w:eastAsia="en-AU"/>
        </w:rPr>
        <w:t>15 per cent did not feel that the information was relevant to their situation</w:t>
      </w:r>
    </w:p>
    <w:p w:rsidR="00CE1469" w:rsidRPr="00F6415D" w:rsidRDefault="00CE1469" w:rsidP="0059246E">
      <w:pPr>
        <w:pStyle w:val="ListBullet"/>
        <w:rPr>
          <w:rFonts w:ascii="Segoe UI" w:hAnsi="Segoe UI" w:cs="Segoe UI"/>
          <w:lang w:eastAsia="en-AU"/>
        </w:rPr>
      </w:pPr>
      <w:r w:rsidRPr="00F6415D">
        <w:rPr>
          <w:rFonts w:ascii="Segoe UI" w:hAnsi="Segoe UI" w:cs="Segoe UI"/>
          <w:lang w:eastAsia="en-AU"/>
        </w:rPr>
        <w:t>6 per cent indicated they did not trust the sources of information</w:t>
      </w:r>
    </w:p>
    <w:p w:rsidR="00CE1469" w:rsidRPr="00F6415D" w:rsidRDefault="00CE1469" w:rsidP="0059246E">
      <w:pPr>
        <w:pStyle w:val="ListBullet"/>
        <w:rPr>
          <w:rFonts w:ascii="Segoe UI" w:hAnsi="Segoe UI" w:cs="Segoe UI"/>
          <w:lang w:eastAsia="en-AU"/>
        </w:rPr>
      </w:pPr>
      <w:r w:rsidRPr="00F6415D">
        <w:rPr>
          <w:rFonts w:ascii="Segoe UI" w:hAnsi="Segoe UI" w:cs="Segoe UI"/>
          <w:lang w:eastAsia="en-AU"/>
        </w:rPr>
        <w:t xml:space="preserve">13 per cent felt they already had enough information. </w:t>
      </w:r>
    </w:p>
    <w:p w:rsidR="00CE1469" w:rsidRPr="00F6415D" w:rsidRDefault="00CE1469" w:rsidP="0059246E">
      <w:pPr>
        <w:pStyle w:val="BodyText"/>
        <w:rPr>
          <w:rFonts w:ascii="Segoe UI" w:hAnsi="Segoe UI" w:cs="Segoe UI"/>
        </w:rPr>
      </w:pPr>
      <w:r w:rsidRPr="00F6415D">
        <w:rPr>
          <w:rFonts w:ascii="Segoe UI" w:hAnsi="Segoe UI" w:cs="Segoe UI"/>
        </w:rPr>
        <w:t xml:space="preserve">This data indicates that further opportunities are available to support consumers with accessing relevant and timely information that will assist with making decisions about financing aged care needs. ACFA’s view is that the confusion and lack of awareness of what was available that was expressed by consumers indicates that improvements can be gained with further analysis on how and when the information and advice sources were used and how linkages can be more effectively formed. </w:t>
      </w:r>
    </w:p>
    <w:p w:rsidR="00CE1469" w:rsidRPr="00F6415D" w:rsidRDefault="00CE1469" w:rsidP="0059246E">
      <w:pPr>
        <w:pStyle w:val="Heading4"/>
        <w:rPr>
          <w:rFonts w:ascii="Segoe UI" w:eastAsiaTheme="minorHAnsi" w:hAnsi="Segoe UI" w:cs="Segoe UI"/>
        </w:rPr>
      </w:pPr>
      <w:bookmarkStart w:id="310" w:name="_Ref531163714"/>
      <w:r w:rsidRPr="00F6415D">
        <w:rPr>
          <w:rFonts w:ascii="Segoe UI" w:eastAsiaTheme="minorHAnsi" w:hAnsi="Segoe UI" w:cs="Segoe UI"/>
        </w:rPr>
        <w:lastRenderedPageBreak/>
        <w:t>Information accessed</w:t>
      </w:r>
      <w:bookmarkEnd w:id="310"/>
      <w:r w:rsidRPr="00F6415D">
        <w:rPr>
          <w:rFonts w:ascii="Segoe UI" w:eastAsiaTheme="minorHAnsi" w:hAnsi="Segoe UI" w:cs="Segoe UI"/>
        </w:rPr>
        <w:t xml:space="preserve"> </w:t>
      </w:r>
    </w:p>
    <w:p w:rsidR="00886077" w:rsidRPr="00F6415D" w:rsidRDefault="00886077" w:rsidP="00886077">
      <w:pPr>
        <w:pStyle w:val="BodyText"/>
        <w:rPr>
          <w:rFonts w:ascii="Segoe UI" w:hAnsi="Segoe UI" w:cs="Segoe UI"/>
        </w:rPr>
      </w:pPr>
      <w:r w:rsidRPr="00F6415D">
        <w:rPr>
          <w:rFonts w:ascii="Segoe UI" w:hAnsi="Segoe UI" w:cs="Segoe UI"/>
        </w:rPr>
        <w:fldChar w:fldCharType="begin"/>
      </w:r>
      <w:r w:rsidRPr="00F6415D">
        <w:rPr>
          <w:rFonts w:ascii="Segoe UI" w:hAnsi="Segoe UI" w:cs="Segoe UI"/>
        </w:rPr>
        <w:instrText xml:space="preserve"> REF _Ref530579452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9</w:t>
      </w:r>
      <w:r w:rsidRPr="00F6415D">
        <w:rPr>
          <w:rFonts w:ascii="Segoe UI" w:hAnsi="Segoe UI" w:cs="Segoe UI"/>
        </w:rPr>
        <w:fldChar w:fldCharType="end"/>
      </w:r>
      <w:r w:rsidRPr="00F6415D">
        <w:rPr>
          <w:rFonts w:ascii="Segoe UI" w:hAnsi="Segoe UI" w:cs="Segoe UI"/>
        </w:rPr>
        <w:t xml:space="preserve"> below lists the sources of information reported as being accessed and indicates whether the consumer found the information useful. The most useful sources of information were financial advisors (46 per cent), government websites (41 per cent) and family or friends (38 per cent).</w:t>
      </w:r>
    </w:p>
    <w:p w:rsidR="00886077" w:rsidRPr="00F6415D" w:rsidRDefault="00886077" w:rsidP="00957059">
      <w:pPr>
        <w:pStyle w:val="TableTitle"/>
        <w:rPr>
          <w:rFonts w:ascii="Segoe UI" w:hAnsi="Segoe UI" w:cs="Segoe UI"/>
          <w:i/>
        </w:rPr>
      </w:pPr>
      <w:bookmarkStart w:id="311" w:name="_Ref530579452"/>
      <w:r w:rsidRPr="00F6415D">
        <w:rPr>
          <w:rFonts w:ascii="Segoe UI" w:hAnsi="Segoe UI" w:cs="Segoe UI"/>
          <w:i/>
        </w:rPr>
        <w:t xml:space="preserve">Table </w:t>
      </w:r>
      <w:r w:rsidRPr="00F6415D">
        <w:rPr>
          <w:rFonts w:ascii="Segoe UI" w:hAnsi="Segoe UI" w:cs="Segoe UI"/>
          <w:i/>
          <w:noProof/>
        </w:rPr>
        <w:fldChar w:fldCharType="begin"/>
      </w:r>
      <w:r w:rsidRPr="00F6415D">
        <w:rPr>
          <w:rFonts w:ascii="Segoe UI" w:hAnsi="Segoe UI" w:cs="Segoe UI"/>
          <w:i/>
          <w:noProof/>
        </w:rPr>
        <w:instrText xml:space="preserve"> SEQ Table \* ARABIC </w:instrText>
      </w:r>
      <w:r w:rsidRPr="00F6415D">
        <w:rPr>
          <w:rFonts w:ascii="Segoe UI" w:hAnsi="Segoe UI" w:cs="Segoe UI"/>
          <w:i/>
          <w:noProof/>
        </w:rPr>
        <w:fldChar w:fldCharType="separate"/>
      </w:r>
      <w:r w:rsidR="00C40CA4">
        <w:rPr>
          <w:rFonts w:ascii="Segoe UI" w:hAnsi="Segoe UI" w:cs="Segoe UI"/>
          <w:i/>
          <w:noProof/>
        </w:rPr>
        <w:t>9</w:t>
      </w:r>
      <w:r w:rsidRPr="00F6415D">
        <w:rPr>
          <w:rFonts w:ascii="Segoe UI" w:hAnsi="Segoe UI" w:cs="Segoe UI"/>
          <w:i/>
          <w:noProof/>
        </w:rPr>
        <w:fldChar w:fldCharType="end"/>
      </w:r>
      <w:bookmarkEnd w:id="311"/>
      <w:r w:rsidRPr="00F6415D">
        <w:rPr>
          <w:rFonts w:ascii="Segoe UI" w:hAnsi="Segoe UI" w:cs="Segoe UI"/>
          <w:i/>
        </w:rPr>
        <w:t>: usefulness of information accessed</w:t>
      </w:r>
    </w:p>
    <w:tbl>
      <w:tblPr>
        <w:tblW w:w="9360" w:type="dxa"/>
        <w:tblLook w:val="04A0" w:firstRow="1" w:lastRow="0" w:firstColumn="1" w:lastColumn="0" w:noHBand="0" w:noVBand="1"/>
      </w:tblPr>
      <w:tblGrid>
        <w:gridCol w:w="9360"/>
      </w:tblGrid>
      <w:tr w:rsidR="00CE1469" w:rsidRPr="00F6415D" w:rsidTr="00D97F6F">
        <w:trPr>
          <w:trHeight w:val="288"/>
        </w:trPr>
        <w:tc>
          <w:tcPr>
            <w:tcW w:w="9360" w:type="dxa"/>
            <w:noWrap/>
            <w:vAlign w:val="bottom"/>
          </w:tcPr>
          <w:tbl>
            <w:tblPr>
              <w:tblStyle w:val="TableGrid"/>
              <w:tblW w:w="5000" w:type="pct"/>
              <w:tblLook w:val="04A0" w:firstRow="1" w:lastRow="0" w:firstColumn="1" w:lastColumn="0" w:noHBand="0" w:noVBand="1"/>
              <w:tblCaption w:val="Table 9: usefulness of information accessed"/>
              <w:tblDescription w:val="Table 9 outlines the usefulness of the various information sources accessed. "/>
            </w:tblPr>
            <w:tblGrid>
              <w:gridCol w:w="5700"/>
              <w:gridCol w:w="3434"/>
            </w:tblGrid>
            <w:tr w:rsidR="00CE1469" w:rsidRPr="00F6415D" w:rsidTr="00D97F6F">
              <w:trPr>
                <w:tblHeader/>
              </w:trPr>
              <w:tc>
                <w:tcPr>
                  <w:tcW w:w="3120" w:type="pct"/>
                  <w:tcBorders>
                    <w:top w:val="single" w:sz="4" w:space="0" w:color="auto"/>
                    <w:left w:val="single" w:sz="4" w:space="0" w:color="auto"/>
                    <w:bottom w:val="single" w:sz="4" w:space="0" w:color="auto"/>
                    <w:right w:val="single" w:sz="4" w:space="0" w:color="auto"/>
                  </w:tcBorders>
                  <w:shd w:val="clear" w:color="auto" w:fill="002060"/>
                  <w:hideMark/>
                </w:tcPr>
                <w:p w:rsidR="00CE1469" w:rsidRPr="00F6415D" w:rsidRDefault="00CE1469" w:rsidP="00CE1469">
                  <w:pPr>
                    <w:pStyle w:val="ListParagraph"/>
                    <w:spacing w:after="0"/>
                    <w:ind w:left="0"/>
                    <w:rPr>
                      <w:rFonts w:ascii="Segoe UI" w:hAnsi="Segoe UI" w:cs="Segoe UI"/>
                      <w:b/>
                      <w:color w:val="FFFFFF" w:themeColor="background1"/>
                      <w:lang w:eastAsia="en-AU"/>
                    </w:rPr>
                  </w:pPr>
                  <w:bookmarkStart w:id="312" w:name="_Toc527561569"/>
                  <w:bookmarkStart w:id="313" w:name="_Toc527564643"/>
                  <w:bookmarkStart w:id="314" w:name="_Toc528224273"/>
                  <w:bookmarkStart w:id="315" w:name="_Toc528861155"/>
                  <w:bookmarkStart w:id="316" w:name="_Toc529890597"/>
                  <w:r w:rsidRPr="00F6415D">
                    <w:rPr>
                      <w:rFonts w:ascii="Segoe UI" w:hAnsi="Segoe UI" w:cs="Segoe UI"/>
                      <w:b/>
                      <w:color w:val="FFFFFF" w:themeColor="background1"/>
                      <w:lang w:eastAsia="en-AU"/>
                    </w:rPr>
                    <w:t>Information source</w:t>
                  </w:r>
                </w:p>
              </w:tc>
              <w:tc>
                <w:tcPr>
                  <w:tcW w:w="1880" w:type="pct"/>
                  <w:tcBorders>
                    <w:top w:val="single" w:sz="4" w:space="0" w:color="auto"/>
                    <w:left w:val="single" w:sz="4" w:space="0" w:color="auto"/>
                    <w:bottom w:val="single" w:sz="4" w:space="0" w:color="auto"/>
                    <w:right w:val="single" w:sz="4" w:space="0" w:color="auto"/>
                  </w:tcBorders>
                  <w:shd w:val="clear" w:color="auto" w:fill="002060"/>
                  <w:hideMark/>
                </w:tcPr>
                <w:p w:rsidR="00CE1469" w:rsidRPr="00F6415D" w:rsidRDefault="00CE1469" w:rsidP="00CE1469">
                  <w:pPr>
                    <w:spacing w:after="0"/>
                    <w:rPr>
                      <w:rFonts w:ascii="Segoe UI" w:hAnsi="Segoe UI" w:cs="Segoe UI"/>
                      <w:b/>
                      <w:color w:val="FFFFFF" w:themeColor="background1"/>
                      <w:lang w:eastAsia="en-AU"/>
                    </w:rPr>
                  </w:pPr>
                  <w:r w:rsidRPr="00F6415D">
                    <w:rPr>
                      <w:rFonts w:ascii="Segoe UI" w:hAnsi="Segoe UI" w:cs="Segoe UI"/>
                      <w:b/>
                      <w:color w:val="FFFFFF" w:themeColor="background1"/>
                      <w:lang w:eastAsia="en-AU"/>
                    </w:rPr>
                    <w:t>Proportion reporting information source as useful</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Government websites such as My Aged Care or Money Smart</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41%</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Websites of aged care service providers</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19%</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Other websites</w:t>
                  </w:r>
                </w:p>
              </w:tc>
              <w:tc>
                <w:tcPr>
                  <w:tcW w:w="1880" w:type="pct"/>
                  <w:tcBorders>
                    <w:top w:val="single" w:sz="4" w:space="0" w:color="auto"/>
                    <w:left w:val="single" w:sz="4" w:space="0" w:color="auto"/>
                    <w:bottom w:val="single" w:sz="4" w:space="0" w:color="auto"/>
                    <w:right w:val="single" w:sz="4" w:space="0" w:color="auto"/>
                  </w:tcBorders>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17%</w:t>
                  </w:r>
                </w:p>
                <w:p w:rsidR="00CE1469" w:rsidRPr="00F6415D" w:rsidRDefault="00CE1469" w:rsidP="00886077">
                  <w:pPr>
                    <w:pStyle w:val="Tabletext1"/>
                    <w:rPr>
                      <w:rFonts w:ascii="Segoe UI" w:hAnsi="Segoe UI" w:cs="Segoe UI"/>
                      <w:lang w:eastAsia="en-AU"/>
                    </w:rPr>
                  </w:pP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Contacted age care provider by telephone</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20%</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Visited aged care provider</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27%</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Financial advisor</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46%</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GP or other health professional</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26%</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Family or friends</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38%</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Pensioner association (e.g. Council Of The Ageing, National Seniors Association)</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lang w:eastAsia="en-AU"/>
                    </w:rPr>
                  </w:pPr>
                  <w:r w:rsidRPr="00F6415D">
                    <w:rPr>
                      <w:rFonts w:ascii="Segoe UI" w:hAnsi="Segoe UI" w:cs="Segoe UI"/>
                      <w:lang w:eastAsia="en-AU"/>
                    </w:rPr>
                    <w:t>11%</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rPr>
                  </w:pPr>
                  <w:r w:rsidRPr="00F6415D">
                    <w:rPr>
                      <w:rFonts w:ascii="Segoe UI" w:hAnsi="Segoe UI" w:cs="Segoe UI"/>
                    </w:rPr>
                    <w:t>Aged care planner/placement agency</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rPr>
                  </w:pPr>
                  <w:r w:rsidRPr="00F6415D">
                    <w:rPr>
                      <w:rFonts w:ascii="Segoe UI" w:hAnsi="Segoe UI" w:cs="Segoe UI"/>
                    </w:rPr>
                    <w:t>17%</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rPr>
                  </w:pPr>
                  <w:r w:rsidRPr="00F6415D">
                    <w:rPr>
                      <w:rFonts w:ascii="Segoe UI" w:hAnsi="Segoe UI" w:cs="Segoe UI"/>
                    </w:rPr>
                    <w:t>Financial Information Services (FIS)</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rPr>
                  </w:pPr>
                  <w:r w:rsidRPr="00F6415D">
                    <w:rPr>
                      <w:rFonts w:ascii="Segoe UI" w:hAnsi="Segoe UI" w:cs="Segoe UI"/>
                    </w:rPr>
                    <w:t>20%</w:t>
                  </w:r>
                </w:p>
              </w:tc>
            </w:tr>
            <w:tr w:rsidR="00CE1469" w:rsidRPr="00F6415D" w:rsidTr="00886077">
              <w:tc>
                <w:tcPr>
                  <w:tcW w:w="3120" w:type="pct"/>
                  <w:tcBorders>
                    <w:top w:val="single" w:sz="4" w:space="0" w:color="auto"/>
                    <w:left w:val="single" w:sz="4" w:space="0" w:color="auto"/>
                    <w:bottom w:val="single" w:sz="4" w:space="0" w:color="auto"/>
                    <w:right w:val="single" w:sz="4" w:space="0" w:color="auto"/>
                  </w:tcBorders>
                  <w:vAlign w:val="center"/>
                  <w:hideMark/>
                </w:tcPr>
                <w:p w:rsidR="00CE1469" w:rsidRPr="00F6415D" w:rsidRDefault="00CE1469" w:rsidP="00886077">
                  <w:pPr>
                    <w:pStyle w:val="Tabletext1"/>
                    <w:rPr>
                      <w:rFonts w:ascii="Segoe UI" w:hAnsi="Segoe UI" w:cs="Segoe UI"/>
                    </w:rPr>
                  </w:pPr>
                  <w:r w:rsidRPr="00F6415D">
                    <w:rPr>
                      <w:rFonts w:ascii="Segoe UI" w:hAnsi="Segoe UI" w:cs="Segoe UI"/>
                    </w:rPr>
                    <w:t>Magazines or newspapers</w:t>
                  </w:r>
                </w:p>
              </w:tc>
              <w:tc>
                <w:tcPr>
                  <w:tcW w:w="1880" w:type="pct"/>
                  <w:tcBorders>
                    <w:top w:val="single" w:sz="4" w:space="0" w:color="auto"/>
                    <w:left w:val="single" w:sz="4" w:space="0" w:color="auto"/>
                    <w:bottom w:val="single" w:sz="4" w:space="0" w:color="auto"/>
                    <w:right w:val="single" w:sz="4" w:space="0" w:color="auto"/>
                  </w:tcBorders>
                  <w:hideMark/>
                </w:tcPr>
                <w:p w:rsidR="00CE1469" w:rsidRPr="00F6415D" w:rsidRDefault="00CE1469" w:rsidP="00886077">
                  <w:pPr>
                    <w:pStyle w:val="Tabletext1"/>
                    <w:rPr>
                      <w:rFonts w:ascii="Segoe UI" w:hAnsi="Segoe UI" w:cs="Segoe UI"/>
                    </w:rPr>
                  </w:pPr>
                  <w:r w:rsidRPr="00F6415D">
                    <w:rPr>
                      <w:rFonts w:ascii="Segoe UI" w:hAnsi="Segoe UI" w:cs="Segoe UI"/>
                    </w:rPr>
                    <w:t>15%</w:t>
                  </w:r>
                </w:p>
              </w:tc>
            </w:tr>
          </w:tbl>
          <w:p w:rsidR="00CE1469" w:rsidRPr="00F6415D" w:rsidRDefault="00CE1469" w:rsidP="00CE1469">
            <w:pPr>
              <w:spacing w:after="0"/>
              <w:rPr>
                <w:rFonts w:ascii="Segoe UI" w:hAnsi="Segoe UI" w:cs="Segoe UI"/>
              </w:rPr>
            </w:pPr>
          </w:p>
        </w:tc>
      </w:tr>
    </w:tbl>
    <w:p w:rsidR="00E423C7" w:rsidRPr="00F6415D" w:rsidRDefault="00E423C7" w:rsidP="0059246E">
      <w:pPr>
        <w:pStyle w:val="BodyText"/>
        <w:rPr>
          <w:rFonts w:ascii="Segoe UI" w:hAnsi="Segoe UI" w:cs="Segoe UI"/>
        </w:rPr>
      </w:pPr>
    </w:p>
    <w:p w:rsidR="00CE1469" w:rsidRPr="00F6415D" w:rsidRDefault="00CE1469" w:rsidP="0059246E">
      <w:pPr>
        <w:pStyle w:val="BodyText"/>
        <w:rPr>
          <w:rFonts w:ascii="Segoe UI" w:hAnsi="Segoe UI" w:cs="Segoe UI"/>
        </w:rPr>
      </w:pPr>
      <w:r w:rsidRPr="00F6415D">
        <w:rPr>
          <w:rFonts w:ascii="Segoe UI" w:hAnsi="Segoe UI" w:cs="Segoe UI"/>
        </w:rPr>
        <w:t>This data indicates that consumers may be looking for advice to facilitate decision-making, not just information which they need to interpret on their own. Financial advisors need to be encouraged to provide advice and the reasons why the extent of advisors working in this area is limited should be explored further.</w:t>
      </w:r>
    </w:p>
    <w:p w:rsidR="00CE1469" w:rsidRPr="00F6415D" w:rsidRDefault="00CE1469" w:rsidP="0059246E">
      <w:pPr>
        <w:pStyle w:val="Heading3"/>
        <w:rPr>
          <w:rFonts w:ascii="Segoe UI" w:hAnsi="Segoe UI" w:cs="Segoe UI"/>
        </w:rPr>
      </w:pPr>
      <w:bookmarkStart w:id="317" w:name="_Toc531271106"/>
      <w:bookmarkStart w:id="318" w:name="_Toc532206402"/>
      <w:r w:rsidRPr="00F6415D">
        <w:rPr>
          <w:rFonts w:ascii="Segoe UI" w:hAnsi="Segoe UI" w:cs="Segoe UI"/>
        </w:rPr>
        <w:t>Government information services</w:t>
      </w:r>
      <w:bookmarkEnd w:id="312"/>
      <w:bookmarkEnd w:id="313"/>
      <w:bookmarkEnd w:id="314"/>
      <w:bookmarkEnd w:id="315"/>
      <w:bookmarkEnd w:id="316"/>
      <w:bookmarkEnd w:id="317"/>
      <w:bookmarkEnd w:id="318"/>
    </w:p>
    <w:p w:rsidR="00CE1469" w:rsidRPr="00F6415D" w:rsidRDefault="00CE1469" w:rsidP="0059246E">
      <w:pPr>
        <w:pStyle w:val="BodyText"/>
        <w:rPr>
          <w:rFonts w:ascii="Segoe UI" w:hAnsi="Segoe UI" w:cs="Segoe UI"/>
        </w:rPr>
      </w:pPr>
      <w:r w:rsidRPr="00F6415D">
        <w:rPr>
          <w:rFonts w:ascii="Segoe UI" w:hAnsi="Segoe UI" w:cs="Segoe UI"/>
        </w:rPr>
        <w:t>ACFA’s consumer survey indicates that Government websites such as Money Smart and My Aged Care were reported as the highest source of information accessed, with 41 per cent of consumers indicating they used these websites when planning aged care needs.</w:t>
      </w:r>
    </w:p>
    <w:p w:rsidR="00CE1469" w:rsidRPr="00F6415D" w:rsidRDefault="00CE1469" w:rsidP="0059246E">
      <w:pPr>
        <w:pStyle w:val="Heading4"/>
        <w:rPr>
          <w:rFonts w:ascii="Segoe UI" w:hAnsi="Segoe UI" w:cs="Segoe UI"/>
        </w:rPr>
      </w:pPr>
      <w:r w:rsidRPr="00F6415D">
        <w:rPr>
          <w:rFonts w:ascii="Segoe UI" w:hAnsi="Segoe UI" w:cs="Segoe UI"/>
        </w:rPr>
        <w:lastRenderedPageBreak/>
        <w:t>My Aged Care</w:t>
      </w:r>
    </w:p>
    <w:p w:rsidR="00CE1469" w:rsidRPr="00F6415D" w:rsidRDefault="00CE1469" w:rsidP="0059246E">
      <w:pPr>
        <w:pStyle w:val="BodyText"/>
        <w:rPr>
          <w:rFonts w:ascii="Segoe UI" w:hAnsi="Segoe UI" w:cs="Segoe UI"/>
        </w:rPr>
      </w:pPr>
      <w:r w:rsidRPr="00F6415D">
        <w:rPr>
          <w:rFonts w:ascii="Segoe UI" w:hAnsi="Segoe UI" w:cs="Segoe UI"/>
        </w:rPr>
        <w:t xml:space="preserve">The My Aged Care contact centre and website has been established to help senior Australians, their families, carers and other interested consumers to navigate and understand the Australian Government funded aged care system, including the fees payable. </w:t>
      </w:r>
    </w:p>
    <w:p w:rsidR="00CE1469" w:rsidRPr="00F6415D" w:rsidRDefault="00CE1469" w:rsidP="0059246E">
      <w:pPr>
        <w:pStyle w:val="BodyText"/>
        <w:rPr>
          <w:rFonts w:ascii="Segoe UI" w:hAnsi="Segoe UI" w:cs="Segoe UI"/>
        </w:rPr>
      </w:pPr>
      <w:r w:rsidRPr="00F6415D">
        <w:rPr>
          <w:rFonts w:ascii="Segoe UI" w:hAnsi="Segoe UI" w:cs="Segoe UI"/>
        </w:rPr>
        <w:t>Two key features of the My Aged Care website that assist consumers to understand the application of the rules and fees payable are:</w:t>
      </w:r>
    </w:p>
    <w:p w:rsidR="00CE1469" w:rsidRPr="00F6415D" w:rsidRDefault="00CE1469" w:rsidP="0059246E">
      <w:pPr>
        <w:pStyle w:val="ListBullet"/>
        <w:rPr>
          <w:rFonts w:ascii="Segoe UI" w:hAnsi="Segoe UI" w:cs="Segoe UI"/>
        </w:rPr>
      </w:pPr>
      <w:r w:rsidRPr="00F6415D">
        <w:rPr>
          <w:rFonts w:ascii="Segoe UI" w:hAnsi="Segoe UI" w:cs="Segoe UI"/>
        </w:rPr>
        <w:t>Two fee estimators (www.myagedcare.gov.au/estimate-fees-for-aged-care-services) which can be used by prospective home care and residential care consumers to calculate their expected aged care fees.</w:t>
      </w:r>
    </w:p>
    <w:p w:rsidR="00CE1469" w:rsidRPr="00F6415D" w:rsidRDefault="00CE1469" w:rsidP="0059246E">
      <w:pPr>
        <w:pStyle w:val="ListBullet"/>
        <w:rPr>
          <w:rFonts w:ascii="Segoe UI" w:hAnsi="Segoe UI" w:cs="Segoe UI"/>
        </w:rPr>
      </w:pPr>
      <w:r w:rsidRPr="00F6415D">
        <w:rPr>
          <w:rFonts w:ascii="Segoe UI" w:hAnsi="Segoe UI" w:cs="Segoe UI"/>
        </w:rPr>
        <w:t>Aged Care Service Finder (</w:t>
      </w:r>
      <w:hyperlink r:id="rId36" w:history="1">
        <w:r w:rsidRPr="00F6415D">
          <w:rPr>
            <w:rFonts w:ascii="Segoe UI" w:hAnsi="Segoe UI" w:cs="Segoe UI"/>
          </w:rPr>
          <w:t>www.myagedcare.gov.au/service-finders</w:t>
        </w:r>
      </w:hyperlink>
      <w:r w:rsidRPr="00F6415D">
        <w:rPr>
          <w:rFonts w:ascii="Segoe UI" w:hAnsi="Segoe UI" w:cs="Segoe UI"/>
        </w:rPr>
        <w:t>) which can be used by consumers to identify aged care providers across CHSP, home care packages and residential care and compare the various prices for accommodation and care services.</w:t>
      </w:r>
    </w:p>
    <w:p w:rsidR="00CE1469" w:rsidRPr="00F6415D" w:rsidRDefault="00CE1469" w:rsidP="0059246E">
      <w:pPr>
        <w:pStyle w:val="BodyText"/>
        <w:rPr>
          <w:rFonts w:ascii="Segoe UI" w:hAnsi="Segoe UI" w:cs="Segoe UI"/>
        </w:rPr>
      </w:pPr>
      <w:r w:rsidRPr="00F6415D">
        <w:rPr>
          <w:rFonts w:ascii="Segoe UI" w:hAnsi="Segoe UI" w:cs="Segoe UI"/>
        </w:rPr>
        <w:t xml:space="preserve">In addition to information on fees, the My Aged Care contact centre and website also helps consumers to navigate and understand the Australian Government funded aged care system. This includes detailed information on CHSP, short-term restorative care (STRC), transition care, home care package program, residential respite care, and residential aged care. Detailed material includes: </w:t>
      </w:r>
      <w:r w:rsidRPr="00F6415D">
        <w:rPr>
          <w:rFonts w:ascii="Segoe UI" w:hAnsi="Segoe UI" w:cs="Segoe UI"/>
          <w:lang w:val="en"/>
        </w:rPr>
        <w:t>Steps to enter an aged care home, Your guide to home care package services, and Your guide to Commonwealth home support program services, and provide consumers with information on how to access the program and potential aged care fees.</w:t>
      </w:r>
    </w:p>
    <w:p w:rsidR="00CE1469" w:rsidRPr="00F6415D" w:rsidRDefault="00CE1469" w:rsidP="0059246E">
      <w:pPr>
        <w:pStyle w:val="Heading4"/>
        <w:rPr>
          <w:rFonts w:ascii="Segoe UI" w:hAnsi="Segoe UI" w:cs="Segoe UI"/>
        </w:rPr>
      </w:pPr>
      <w:r w:rsidRPr="00F6415D">
        <w:rPr>
          <w:rFonts w:ascii="Segoe UI" w:hAnsi="Segoe UI" w:cs="Segoe UI"/>
        </w:rPr>
        <w:t>Financial Information Service</w:t>
      </w:r>
    </w:p>
    <w:p w:rsidR="00CE1469" w:rsidRPr="00F6415D" w:rsidRDefault="00CE1469" w:rsidP="0059246E">
      <w:pPr>
        <w:pStyle w:val="BodyText"/>
        <w:rPr>
          <w:rFonts w:ascii="Segoe UI" w:hAnsi="Segoe UI" w:cs="Segoe UI"/>
        </w:rPr>
      </w:pPr>
      <w:r w:rsidRPr="00F6415D">
        <w:rPr>
          <w:rFonts w:ascii="Segoe UI" w:hAnsi="Segoe UI" w:cs="Segoe UI"/>
        </w:rPr>
        <w:t>The Financial Information Service (FIS) provided through Centrelink is a free information service that aims to support people to make informed decisions about their current and future financial needs. This includes education regarding lifestyle matters such as accommodation options in retirement, and fees and charges associated with accessing aged care services.</w:t>
      </w:r>
    </w:p>
    <w:p w:rsidR="006E654E" w:rsidRPr="00F6415D" w:rsidRDefault="00CE1469" w:rsidP="0059246E">
      <w:pPr>
        <w:pStyle w:val="BodyText"/>
        <w:rPr>
          <w:rFonts w:ascii="Segoe UI" w:hAnsi="Segoe UI" w:cs="Segoe UI"/>
        </w:rPr>
      </w:pPr>
      <w:r w:rsidRPr="00F6415D">
        <w:rPr>
          <w:rFonts w:ascii="Segoe UI" w:hAnsi="Segoe UI" w:cs="Segoe UI"/>
        </w:rPr>
        <w:t>FIS is independent, free and confidential and provides services over the telephone (FIS Phone service), by appointment and through the delivery of a national seminar program.</w:t>
      </w:r>
    </w:p>
    <w:p w:rsidR="00CE1469" w:rsidRPr="00F6415D" w:rsidRDefault="00CE1469" w:rsidP="0059246E">
      <w:pPr>
        <w:pStyle w:val="BodyText"/>
        <w:rPr>
          <w:rFonts w:ascii="Segoe UI" w:hAnsi="Segoe UI" w:cs="Segoe UI"/>
        </w:rPr>
      </w:pPr>
      <w:r w:rsidRPr="00F6415D">
        <w:rPr>
          <w:rFonts w:ascii="Segoe UI" w:hAnsi="Segoe UI" w:cs="Segoe UI"/>
        </w:rPr>
        <w:t>While the mandate of FIS officers does not extend to the provision of advice, recommendations of financial products or referrals to specific financial advisors, they provide information to help people to</w:t>
      </w:r>
      <w:r w:rsidRPr="00F6415D">
        <w:rPr>
          <w:rFonts w:ascii="Segoe UI" w:hAnsi="Segoe UI" w:cs="Segoe UI"/>
          <w:vertAlign w:val="superscript"/>
        </w:rPr>
        <w:endnoteReference w:id="22"/>
      </w:r>
      <w:r w:rsidRPr="00F6415D">
        <w:rPr>
          <w:rFonts w:ascii="Segoe UI" w:hAnsi="Segoe UI" w:cs="Segoe UI"/>
        </w:rPr>
        <w:t xml:space="preserve">: </w:t>
      </w:r>
    </w:p>
    <w:p w:rsidR="00CE1469" w:rsidRPr="00F6415D" w:rsidRDefault="00CE1469" w:rsidP="0059246E">
      <w:pPr>
        <w:pStyle w:val="ListBullet"/>
        <w:rPr>
          <w:rFonts w:ascii="Segoe UI" w:hAnsi="Segoe UI" w:cs="Segoe UI"/>
          <w:lang w:val="en" w:eastAsia="en-AU"/>
        </w:rPr>
      </w:pPr>
      <w:r w:rsidRPr="00F6415D">
        <w:rPr>
          <w:rFonts w:ascii="Segoe UI" w:hAnsi="Segoe UI" w:cs="Segoe UI"/>
          <w:lang w:val="en" w:eastAsia="en-AU"/>
        </w:rPr>
        <w:t>make informed financial decisions</w:t>
      </w:r>
    </w:p>
    <w:p w:rsidR="00CE1469" w:rsidRPr="00F6415D" w:rsidRDefault="00CE1469" w:rsidP="0059246E">
      <w:pPr>
        <w:pStyle w:val="ListBullet"/>
        <w:rPr>
          <w:rFonts w:ascii="Segoe UI" w:hAnsi="Segoe UI" w:cs="Segoe UI"/>
          <w:lang w:val="en" w:eastAsia="en-AU"/>
        </w:rPr>
      </w:pPr>
      <w:r w:rsidRPr="00F6415D">
        <w:rPr>
          <w:rFonts w:ascii="Segoe UI" w:hAnsi="Segoe UI" w:cs="Segoe UI"/>
          <w:lang w:val="en" w:eastAsia="en-AU"/>
        </w:rPr>
        <w:t>understand the results of their decisions in the short and long term</w:t>
      </w:r>
    </w:p>
    <w:p w:rsidR="00CE1469" w:rsidRPr="00F6415D" w:rsidRDefault="00CE1469" w:rsidP="0059246E">
      <w:pPr>
        <w:pStyle w:val="ListBullet"/>
        <w:rPr>
          <w:rFonts w:ascii="Segoe UI" w:hAnsi="Segoe UI" w:cs="Segoe UI"/>
          <w:lang w:val="en" w:eastAsia="en-AU"/>
        </w:rPr>
      </w:pPr>
      <w:r w:rsidRPr="00F6415D">
        <w:rPr>
          <w:rFonts w:ascii="Segoe UI" w:hAnsi="Segoe UI" w:cs="Segoe UI"/>
          <w:lang w:val="en" w:eastAsia="en-AU"/>
        </w:rPr>
        <w:t xml:space="preserve">prepare for retirement </w:t>
      </w:r>
    </w:p>
    <w:p w:rsidR="00CE1469" w:rsidRPr="00F6415D" w:rsidRDefault="00CE1469" w:rsidP="0059246E">
      <w:pPr>
        <w:pStyle w:val="ListBullet"/>
        <w:rPr>
          <w:rFonts w:ascii="Segoe UI" w:hAnsi="Segoe UI" w:cs="Segoe UI"/>
          <w:lang w:val="en" w:eastAsia="en-AU"/>
        </w:rPr>
      </w:pPr>
      <w:r w:rsidRPr="00F6415D">
        <w:rPr>
          <w:rFonts w:ascii="Segoe UI" w:hAnsi="Segoe UI" w:cs="Segoe UI"/>
          <w:lang w:val="en" w:eastAsia="en-AU"/>
        </w:rPr>
        <w:t>take control of their finances to increase lifestyle choices</w:t>
      </w:r>
    </w:p>
    <w:p w:rsidR="00CE1469" w:rsidRPr="00F6415D" w:rsidRDefault="00CE1469" w:rsidP="0059246E">
      <w:pPr>
        <w:pStyle w:val="ListBullet"/>
        <w:rPr>
          <w:rFonts w:ascii="Segoe UI" w:hAnsi="Segoe UI" w:cs="Segoe UI"/>
          <w:lang w:val="en" w:eastAsia="en-AU"/>
        </w:rPr>
      </w:pPr>
      <w:r w:rsidRPr="00F6415D">
        <w:rPr>
          <w:rFonts w:ascii="Segoe UI" w:hAnsi="Segoe UI" w:cs="Segoe UI"/>
          <w:lang w:val="en" w:eastAsia="en-AU"/>
        </w:rPr>
        <w:t>understand the aged care system.</w:t>
      </w:r>
    </w:p>
    <w:p w:rsidR="00CE1469" w:rsidRPr="00F6415D" w:rsidRDefault="00CE1469" w:rsidP="0059246E">
      <w:pPr>
        <w:pStyle w:val="BodyText"/>
        <w:rPr>
          <w:rFonts w:ascii="Segoe UI" w:hAnsi="Segoe UI" w:cs="Segoe UI"/>
          <w:lang w:eastAsia="en-AU"/>
        </w:rPr>
      </w:pPr>
      <w:r w:rsidRPr="00F6415D">
        <w:rPr>
          <w:rFonts w:ascii="Segoe UI" w:hAnsi="Segoe UI" w:cs="Segoe UI"/>
        </w:rPr>
        <w:t xml:space="preserve">ACFA’s consumer survey indicated that the use of the FIS was low, with only 4 per cent of consumers indicating they had accessed this service. The Department of </w:t>
      </w:r>
      <w:r w:rsidRPr="00F6415D">
        <w:rPr>
          <w:rFonts w:ascii="Segoe UI" w:hAnsi="Segoe UI" w:cs="Segoe UI"/>
        </w:rPr>
        <w:lastRenderedPageBreak/>
        <w:t xml:space="preserve">Human Services (DHS) provided additional information on the 5,521 consumers who were seeking information on aged care for the period </w:t>
      </w:r>
      <w:r w:rsidRPr="00F6415D">
        <w:rPr>
          <w:rFonts w:ascii="Segoe UI" w:hAnsi="Segoe UI" w:cs="Segoe UI"/>
          <w:lang w:eastAsia="en-AU"/>
        </w:rPr>
        <w:t>1 July 2017 - 30 April 2018. This information showed that a majority of the consumers attending FIS were women (66 per cent), and of these women, approximately 69 per cent identified as single. However, the ACFA consumer survey indicated no significant difference between male and female seeking services from a FIS officer (15 and 14 per cent respectively).</w:t>
      </w:r>
    </w:p>
    <w:p w:rsidR="00CE1469" w:rsidRPr="00F6415D" w:rsidRDefault="00CE1469" w:rsidP="00957059">
      <w:pPr>
        <w:pStyle w:val="FigureTitle"/>
        <w:rPr>
          <w:rFonts w:ascii="Segoe UI" w:hAnsi="Segoe UI" w:cs="Segoe UI"/>
          <w:i/>
          <w:lang w:eastAsia="en-AU"/>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15</w:t>
      </w:r>
      <w:r w:rsidRPr="00F6415D">
        <w:rPr>
          <w:rFonts w:ascii="Segoe UI" w:hAnsi="Segoe UI" w:cs="Segoe UI"/>
          <w:i/>
          <w:noProof/>
        </w:rPr>
        <w:fldChar w:fldCharType="end"/>
      </w:r>
      <w:r w:rsidRPr="00F6415D">
        <w:rPr>
          <w:rFonts w:ascii="Segoe UI" w:hAnsi="Segoe UI" w:cs="Segoe UI"/>
          <w:i/>
        </w:rPr>
        <w:t>: FIS interview participant numbers - Gender</w:t>
      </w:r>
    </w:p>
    <w:p w:rsidR="00CE1469" w:rsidRPr="00F6415D" w:rsidRDefault="006E654E" w:rsidP="0059246E">
      <w:pPr>
        <w:pStyle w:val="BodyText"/>
        <w:rPr>
          <w:rFonts w:ascii="Segoe UI" w:hAnsi="Segoe UI" w:cs="Segoe UI"/>
        </w:rPr>
      </w:pPr>
      <w:r w:rsidRPr="00F6415D">
        <w:rPr>
          <w:rFonts w:ascii="Segoe UI" w:hAnsi="Segoe UI" w:cs="Segoe UI"/>
          <w:noProof/>
          <w:lang w:eastAsia="en-AU"/>
        </w:rPr>
        <w:drawing>
          <wp:inline distT="0" distB="0" distL="0" distR="0" wp14:anchorId="572F8D9F">
            <wp:extent cx="2420620" cy="2463165"/>
            <wp:effectExtent l="0" t="0" r="0" b="0"/>
            <wp:docPr id="295" name="Picture 295" descr="Figure 14, a bar graph, depicts the FIS interview participant numbers by gender. " title="Figure 15: FIS interview participant numbers - Ge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420620" cy="2463165"/>
                    </a:xfrm>
                    <a:prstGeom prst="rect">
                      <a:avLst/>
                    </a:prstGeom>
                    <a:noFill/>
                  </pic:spPr>
                </pic:pic>
              </a:graphicData>
            </a:graphic>
          </wp:inline>
        </w:drawing>
      </w:r>
    </w:p>
    <w:p w:rsidR="00E423C7" w:rsidRPr="00F6415D" w:rsidRDefault="00CE1469" w:rsidP="0059246E">
      <w:pPr>
        <w:pStyle w:val="BodyText"/>
        <w:rPr>
          <w:rFonts w:ascii="Segoe UI" w:hAnsi="Segoe UI" w:cs="Segoe UI"/>
        </w:rPr>
      </w:pPr>
      <w:r w:rsidRPr="00F6415D">
        <w:rPr>
          <w:rFonts w:ascii="Segoe UI" w:hAnsi="Segoe UI" w:cs="Segoe UI"/>
        </w:rPr>
        <w:t>Sourc</w:t>
      </w:r>
      <w:r w:rsidR="006A3506" w:rsidRPr="00F6415D">
        <w:rPr>
          <w:rFonts w:ascii="Segoe UI" w:hAnsi="Segoe UI" w:cs="Segoe UI"/>
        </w:rPr>
        <w:t>e: Department of Human Services</w:t>
      </w:r>
    </w:p>
    <w:p w:rsidR="00CE1469" w:rsidRPr="00F6415D" w:rsidRDefault="00CE1469" w:rsidP="0059246E">
      <w:pPr>
        <w:pStyle w:val="BodyText"/>
        <w:rPr>
          <w:rFonts w:ascii="Segoe UI" w:hAnsi="Segoe UI" w:cs="Segoe UI"/>
          <w:lang w:eastAsia="en-AU"/>
        </w:rPr>
      </w:pPr>
      <w:r w:rsidRPr="00F6415D">
        <w:rPr>
          <w:rFonts w:ascii="Segoe UI" w:hAnsi="Segoe UI" w:cs="Segoe UI"/>
          <w:lang w:eastAsia="en-AU"/>
        </w:rPr>
        <w:t xml:space="preserve">During this period, FIS officers also conducted 231 aged care seminar presentations, of which 4,562 people attended. </w:t>
      </w:r>
    </w:p>
    <w:p w:rsidR="00CE1469" w:rsidRPr="00F6415D" w:rsidRDefault="00CE1469" w:rsidP="00957059">
      <w:pPr>
        <w:pStyle w:val="FigureTitle"/>
        <w:rPr>
          <w:rFonts w:ascii="Segoe UI" w:hAnsi="Segoe UI" w:cs="Segoe UI"/>
          <w:i/>
        </w:rPr>
      </w:pPr>
      <w:r w:rsidRPr="00F6415D">
        <w:rPr>
          <w:rFonts w:ascii="Segoe UI" w:hAnsi="Segoe UI" w:cs="Segoe UI"/>
          <w:i/>
        </w:rPr>
        <w:t xml:space="preserve">Figure </w:t>
      </w:r>
      <w:r w:rsidRPr="00F6415D">
        <w:rPr>
          <w:rFonts w:ascii="Segoe UI" w:hAnsi="Segoe UI" w:cs="Segoe UI"/>
          <w:i/>
          <w:noProof/>
        </w:rPr>
        <w:fldChar w:fldCharType="begin"/>
      </w:r>
      <w:r w:rsidRPr="00F6415D">
        <w:rPr>
          <w:rFonts w:ascii="Segoe UI" w:hAnsi="Segoe UI" w:cs="Segoe UI"/>
          <w:i/>
          <w:noProof/>
        </w:rPr>
        <w:instrText xml:space="preserve"> SEQ Figure \* ARABIC </w:instrText>
      </w:r>
      <w:r w:rsidRPr="00F6415D">
        <w:rPr>
          <w:rFonts w:ascii="Segoe UI" w:hAnsi="Segoe UI" w:cs="Segoe UI"/>
          <w:i/>
          <w:noProof/>
        </w:rPr>
        <w:fldChar w:fldCharType="separate"/>
      </w:r>
      <w:r w:rsidR="00C40CA4">
        <w:rPr>
          <w:rFonts w:ascii="Segoe UI" w:hAnsi="Segoe UI" w:cs="Segoe UI"/>
          <w:i/>
          <w:noProof/>
        </w:rPr>
        <w:t>16</w:t>
      </w:r>
      <w:r w:rsidRPr="00F6415D">
        <w:rPr>
          <w:rFonts w:ascii="Segoe UI" w:hAnsi="Segoe UI" w:cs="Segoe UI"/>
          <w:i/>
          <w:noProof/>
        </w:rPr>
        <w:fldChar w:fldCharType="end"/>
      </w:r>
      <w:r w:rsidRPr="00F6415D">
        <w:rPr>
          <w:rFonts w:ascii="Segoe UI" w:hAnsi="Segoe UI" w:cs="Segoe UI"/>
          <w:i/>
        </w:rPr>
        <w:t>: FIS interview participant numbers - Marital Status</w:t>
      </w:r>
    </w:p>
    <w:p w:rsidR="00CE1469" w:rsidRPr="00F6415D" w:rsidRDefault="00542721" w:rsidP="0059246E">
      <w:pPr>
        <w:pStyle w:val="BodyText"/>
        <w:rPr>
          <w:rFonts w:ascii="Segoe UI" w:hAnsi="Segoe UI" w:cs="Segoe UI"/>
        </w:rPr>
      </w:pPr>
      <w:r w:rsidRPr="00F6415D">
        <w:rPr>
          <w:rFonts w:ascii="Segoe UI" w:hAnsi="Segoe UI" w:cs="Segoe UI"/>
          <w:noProof/>
          <w:lang w:eastAsia="en-AU"/>
        </w:rPr>
        <w:drawing>
          <wp:inline distT="0" distB="0" distL="0" distR="0" wp14:anchorId="4459838A">
            <wp:extent cx="3846830" cy="2676525"/>
            <wp:effectExtent l="0" t="0" r="0" b="0"/>
            <wp:docPr id="296" name="Picture 296" descr="Figure 15, a bar graph, depicts FIS interview participant numbers by marital status. " title="Figure 16: FIS interview participant numbers - Marital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846830" cy="2676525"/>
                    </a:xfrm>
                    <a:prstGeom prst="rect">
                      <a:avLst/>
                    </a:prstGeom>
                    <a:noFill/>
                  </pic:spPr>
                </pic:pic>
              </a:graphicData>
            </a:graphic>
          </wp:inline>
        </w:drawing>
      </w:r>
    </w:p>
    <w:p w:rsidR="00E423C7" w:rsidRPr="00F6415D" w:rsidRDefault="00CE1469" w:rsidP="00542721">
      <w:pPr>
        <w:pStyle w:val="BodyText"/>
        <w:rPr>
          <w:rFonts w:ascii="Segoe UI" w:hAnsi="Segoe UI" w:cs="Segoe UI"/>
        </w:rPr>
      </w:pPr>
      <w:r w:rsidRPr="00F6415D">
        <w:rPr>
          <w:rFonts w:ascii="Segoe UI" w:hAnsi="Segoe UI" w:cs="Segoe UI"/>
        </w:rPr>
        <w:t>Sourc</w:t>
      </w:r>
      <w:r w:rsidR="00542721" w:rsidRPr="00F6415D">
        <w:rPr>
          <w:rFonts w:ascii="Segoe UI" w:hAnsi="Segoe UI" w:cs="Segoe UI"/>
        </w:rPr>
        <w:t>e: Department of Human Services</w:t>
      </w:r>
    </w:p>
    <w:p w:rsidR="00CE1469" w:rsidRPr="00F6415D" w:rsidRDefault="00CE1469" w:rsidP="0059246E">
      <w:pPr>
        <w:pStyle w:val="Heading4"/>
        <w:rPr>
          <w:rFonts w:ascii="Segoe UI" w:hAnsi="Segoe UI" w:cs="Segoe UI"/>
        </w:rPr>
      </w:pPr>
      <w:r w:rsidRPr="00F6415D">
        <w:rPr>
          <w:rFonts w:ascii="Segoe UI" w:hAnsi="Segoe UI" w:cs="Segoe UI"/>
        </w:rPr>
        <w:t>MoneySmart</w:t>
      </w:r>
    </w:p>
    <w:p w:rsidR="00CE1469" w:rsidRPr="00F6415D" w:rsidRDefault="00CE1469" w:rsidP="0059246E">
      <w:pPr>
        <w:pStyle w:val="BodyText"/>
        <w:rPr>
          <w:rFonts w:ascii="Segoe UI" w:hAnsi="Segoe UI" w:cs="Segoe UI"/>
        </w:rPr>
      </w:pPr>
      <w:r w:rsidRPr="00F6415D">
        <w:rPr>
          <w:rFonts w:ascii="Segoe UI" w:hAnsi="Segoe UI" w:cs="Segoe UI"/>
        </w:rPr>
        <w:t xml:space="preserve">The Australian Securities and Investments Commission’s (ASIC) MoneySmart website provides information to help consumers manage their money. MoneySmart provides </w:t>
      </w:r>
      <w:r w:rsidRPr="00F6415D">
        <w:rPr>
          <w:rFonts w:ascii="Segoe UI" w:hAnsi="Segoe UI" w:cs="Segoe UI"/>
        </w:rPr>
        <w:lastRenderedPageBreak/>
        <w:t>information on retirement planning,</w:t>
      </w:r>
      <w:r w:rsidRPr="00F6415D" w:rsidDel="00E66438">
        <w:rPr>
          <w:rFonts w:ascii="Segoe UI" w:hAnsi="Segoe UI" w:cs="Segoe UI"/>
        </w:rPr>
        <w:t xml:space="preserve"> </w:t>
      </w:r>
      <w:r w:rsidRPr="00F6415D">
        <w:rPr>
          <w:rFonts w:ascii="Segoe UI" w:hAnsi="Segoe UI" w:cs="Segoe UI"/>
        </w:rPr>
        <w:t>reverse mortgages,</w:t>
      </w:r>
      <w:r w:rsidRPr="00F6415D" w:rsidDel="00E66438">
        <w:rPr>
          <w:rFonts w:ascii="Segoe UI" w:hAnsi="Segoe UI" w:cs="Segoe UI"/>
        </w:rPr>
        <w:t xml:space="preserve"> </w:t>
      </w:r>
      <w:r w:rsidRPr="00F6415D">
        <w:rPr>
          <w:rFonts w:ascii="Segoe UI" w:hAnsi="Segoe UI" w:cs="Segoe UI"/>
        </w:rPr>
        <w:t xml:space="preserve">budgeting tools and credit card calculators. </w:t>
      </w:r>
    </w:p>
    <w:p w:rsidR="00CE1469" w:rsidRPr="00F6415D" w:rsidRDefault="00CE1469" w:rsidP="0059246E">
      <w:pPr>
        <w:pStyle w:val="BodyText"/>
        <w:rPr>
          <w:rFonts w:ascii="Segoe UI" w:hAnsi="Segoe UI" w:cs="Segoe UI"/>
          <w:lang w:val="en-US"/>
        </w:rPr>
      </w:pPr>
      <w:r w:rsidRPr="00F6415D">
        <w:rPr>
          <w:rFonts w:ascii="Segoe UI" w:hAnsi="Segoe UI" w:cs="Segoe UI"/>
        </w:rPr>
        <w:t xml:space="preserve">In 2017 ASIC undertook a National Financial Literacy Strategy Consultation to determine the next phase of their work plan to support </w:t>
      </w:r>
      <w:r w:rsidRPr="00F6415D">
        <w:rPr>
          <w:rFonts w:ascii="Segoe UI" w:hAnsi="Segoe UI" w:cs="Segoe UI"/>
          <w:lang w:val="en"/>
        </w:rPr>
        <w:t xml:space="preserve">senior </w:t>
      </w:r>
      <w:r w:rsidRPr="00F6415D">
        <w:rPr>
          <w:rFonts w:ascii="Segoe UI" w:hAnsi="Segoe UI" w:cs="Segoe UI"/>
        </w:rPr>
        <w:t xml:space="preserve">Australians to make informed financial decisions. The findings were released in the 2018 National Financial Capability Strategy. </w:t>
      </w:r>
      <w:r w:rsidRPr="00F6415D">
        <w:rPr>
          <w:rFonts w:ascii="Segoe UI" w:hAnsi="Segoe UI" w:cs="Segoe UI"/>
          <w:lang w:val="en-US"/>
        </w:rPr>
        <w:t>In particular, the Strategy aims to provide additional to support: women, to be more confident with money; young people, to find the information they need when required; older Australians, to receive the support they need; and Indigenous Australians to access appropriate financial products and services.</w:t>
      </w:r>
    </w:p>
    <w:p w:rsidR="00CE1469" w:rsidRPr="00F6415D" w:rsidRDefault="00CE1469" w:rsidP="0059246E">
      <w:pPr>
        <w:pStyle w:val="BodyText"/>
        <w:rPr>
          <w:rFonts w:ascii="Segoe UI" w:hAnsi="Segoe UI" w:cs="Segoe UI"/>
        </w:rPr>
      </w:pPr>
      <w:r w:rsidRPr="00F6415D">
        <w:rPr>
          <w:rFonts w:ascii="Segoe UI" w:hAnsi="Segoe UI" w:cs="Segoe UI"/>
          <w:lang w:val="en-US"/>
        </w:rPr>
        <w:t>As such the MoneySmart website contains tools to help family and friends support older consumers with taking control of their finances by working out what assets and liabilities they have and knowing where there legal and financial paperwork is kept. It also suggested consumers should plan for the future by ensuring that they have a current will, appoint a power of attorney and that they should consider getting financial advice to develop financial goals and create the necessary plan to achieve them</w:t>
      </w:r>
      <w:r w:rsidRPr="00F6415D">
        <w:rPr>
          <w:rStyle w:val="EndnoteReference"/>
          <w:rFonts w:ascii="Segoe UI" w:hAnsi="Segoe UI" w:cs="Segoe UI"/>
          <w:lang w:val="en-US"/>
        </w:rPr>
        <w:endnoteReference w:id="23"/>
      </w:r>
      <w:r w:rsidRPr="00F6415D">
        <w:rPr>
          <w:rFonts w:ascii="Segoe UI" w:hAnsi="Segoe UI" w:cs="Segoe UI"/>
          <w:lang w:val="en-US"/>
        </w:rPr>
        <w:t>.</w:t>
      </w:r>
    </w:p>
    <w:p w:rsidR="00CE1469" w:rsidRPr="00F6415D" w:rsidRDefault="00CE1469" w:rsidP="0059246E">
      <w:pPr>
        <w:pStyle w:val="BodyText"/>
        <w:rPr>
          <w:rFonts w:ascii="Segoe UI" w:hAnsi="Segoe UI" w:cs="Segoe UI"/>
        </w:rPr>
      </w:pPr>
      <w:r w:rsidRPr="00F6415D">
        <w:rPr>
          <w:rFonts w:ascii="Segoe UI" w:hAnsi="Segoe UI" w:cs="Segoe UI"/>
        </w:rPr>
        <w:t>MoneySmart also connects consumers who are having financial difficulties with free and confidential financial counselling to help them negotiate with their creditors if they have debts, organise their finances and create a budget.</w:t>
      </w:r>
    </w:p>
    <w:p w:rsidR="00092C82" w:rsidRPr="00F6415D" w:rsidRDefault="00092C82" w:rsidP="0059246E">
      <w:pPr>
        <w:pStyle w:val="BodyText"/>
        <w:rPr>
          <w:rFonts w:ascii="Segoe UI" w:hAnsi="Segoe UI" w:cs="Segoe UI"/>
        </w:rPr>
      </w:pPr>
    </w:p>
    <w:p w:rsidR="00CE1469" w:rsidRPr="00F6415D" w:rsidRDefault="00CE1469" w:rsidP="0059246E">
      <w:pPr>
        <w:pStyle w:val="Heading4"/>
        <w:rPr>
          <w:rFonts w:ascii="Segoe UI" w:hAnsi="Segoe UI" w:cs="Segoe UI"/>
          <w:lang w:eastAsia="en-AU"/>
        </w:rPr>
      </w:pPr>
      <w:r w:rsidRPr="00F6415D">
        <w:rPr>
          <w:rFonts w:ascii="Segoe UI" w:hAnsi="Segoe UI" w:cs="Segoe UI"/>
          <w:lang w:eastAsia="en-AU"/>
        </w:rPr>
        <w:t>Department of Human Services</w:t>
      </w:r>
    </w:p>
    <w:p w:rsidR="00CE1469" w:rsidRPr="00F6415D" w:rsidRDefault="00CE1469" w:rsidP="0059246E">
      <w:pPr>
        <w:pStyle w:val="BodyText"/>
        <w:rPr>
          <w:rFonts w:ascii="Segoe UI" w:eastAsia="Segoe UI" w:hAnsi="Segoe UI" w:cs="Segoe UI"/>
        </w:rPr>
      </w:pPr>
      <w:bookmarkStart w:id="319" w:name="_Toc527561570"/>
      <w:bookmarkStart w:id="320" w:name="_Toc527564644"/>
      <w:bookmarkStart w:id="321" w:name="_Toc528224274"/>
      <w:bookmarkStart w:id="322" w:name="_Toc528861156"/>
      <w:bookmarkStart w:id="323" w:name="_Toc529890598"/>
      <w:r w:rsidRPr="00F6415D">
        <w:rPr>
          <w:rFonts w:ascii="Segoe UI" w:eastAsia="Segoe UI" w:hAnsi="Segoe UI" w:cs="Segoe UI"/>
        </w:rPr>
        <w:t>While the Department of Health has policy responsibility for means test assessments, the Department of Human Services (DHS) has administrative responsibility for conducting the test. As such, DHS has a website which provides further information to consumers on aged care fees and issues fee advice notifications to consumers, their nominee (if they have one) and the service provides once their means are known. DHS also maintain a provider enquiry line as well as a consumer enquiry line which enables consumers to discuss issues in relation to their means test assessments, or to directly update their information with DHS.</w:t>
      </w:r>
    </w:p>
    <w:p w:rsidR="00CE1469" w:rsidRPr="00F6415D" w:rsidRDefault="00CE1469" w:rsidP="0059246E">
      <w:pPr>
        <w:pStyle w:val="Heading3"/>
        <w:rPr>
          <w:rFonts w:ascii="Segoe UI" w:hAnsi="Segoe UI" w:cs="Segoe UI"/>
        </w:rPr>
      </w:pPr>
      <w:bookmarkStart w:id="324" w:name="_Toc531271107"/>
      <w:bookmarkStart w:id="325" w:name="_Toc532206403"/>
      <w:r w:rsidRPr="00F6415D">
        <w:rPr>
          <w:rFonts w:ascii="Segoe UI" w:hAnsi="Segoe UI" w:cs="Segoe UI"/>
        </w:rPr>
        <w:t>Financial planning industry</w:t>
      </w:r>
      <w:bookmarkEnd w:id="319"/>
      <w:bookmarkEnd w:id="320"/>
      <w:bookmarkEnd w:id="321"/>
      <w:bookmarkEnd w:id="322"/>
      <w:bookmarkEnd w:id="323"/>
      <w:bookmarkEnd w:id="324"/>
      <w:bookmarkEnd w:id="325"/>
    </w:p>
    <w:p w:rsidR="00CE1469" w:rsidRPr="00F6415D" w:rsidRDefault="00CE1469" w:rsidP="0059246E">
      <w:pPr>
        <w:pStyle w:val="BodyText"/>
        <w:rPr>
          <w:rFonts w:ascii="Segoe UI" w:hAnsi="Segoe UI" w:cs="Segoe UI"/>
        </w:rPr>
      </w:pPr>
      <w:r w:rsidRPr="00F6415D">
        <w:rPr>
          <w:rFonts w:ascii="Segoe UI" w:hAnsi="Segoe UI" w:cs="Segoe UI"/>
        </w:rPr>
        <w:t xml:space="preserve">The financial planning industry has only largely started to focus on aged care issues since the change to aged care fees in July 2014. Before that date it was a specialisation taken up by a limited number of financial advisors, many of whom were advisors who had personal experience of aged care with </w:t>
      </w:r>
      <w:r w:rsidRPr="00F6415D">
        <w:rPr>
          <w:rStyle w:val="BodyTextChar"/>
          <w:rFonts w:ascii="Segoe UI" w:hAnsi="Segoe UI" w:cs="Segoe UI"/>
        </w:rPr>
        <w:t>o</w:t>
      </w:r>
      <w:r w:rsidRPr="00F6415D">
        <w:rPr>
          <w:rFonts w:ascii="Segoe UI" w:hAnsi="Segoe UI" w:cs="Segoe UI"/>
        </w:rPr>
        <w:t xml:space="preserve">lder family members. </w:t>
      </w:r>
    </w:p>
    <w:p w:rsidR="00CE1469" w:rsidRPr="00F6415D" w:rsidRDefault="00CE1469" w:rsidP="0059246E">
      <w:pPr>
        <w:pStyle w:val="BodyText"/>
        <w:rPr>
          <w:rFonts w:ascii="Segoe UI" w:hAnsi="Segoe UI" w:cs="Segoe UI"/>
        </w:rPr>
      </w:pPr>
      <w:r w:rsidRPr="00F6415D">
        <w:rPr>
          <w:rFonts w:ascii="Segoe UI" w:hAnsi="Segoe UI" w:cs="Segoe UI"/>
        </w:rPr>
        <w:t>ACFA’s consumer survey indicates that financial advisors were not widely consulted as a source of information or advice when planning aged care needs. When specifically asked what sources of information were used when planning to fund their aged care 14 per cent of consumers indicated they had used this source.</w:t>
      </w:r>
    </w:p>
    <w:p w:rsidR="00CE1469" w:rsidRPr="00F6415D" w:rsidRDefault="00CE1469" w:rsidP="0059246E">
      <w:pPr>
        <w:pStyle w:val="BodyText"/>
        <w:rPr>
          <w:rFonts w:ascii="Segoe UI" w:hAnsi="Segoe UI" w:cs="Segoe UI"/>
        </w:rPr>
      </w:pPr>
      <w:r w:rsidRPr="00F6415D">
        <w:rPr>
          <w:rFonts w:ascii="Segoe UI" w:hAnsi="Segoe UI" w:cs="Segoe UI"/>
        </w:rPr>
        <w:t xml:space="preserve">However, as shown in </w:t>
      </w:r>
      <w:r w:rsidRPr="00F6415D">
        <w:rPr>
          <w:rFonts w:ascii="Segoe UI" w:hAnsi="Segoe UI" w:cs="Segoe UI"/>
        </w:rPr>
        <w:fldChar w:fldCharType="begin"/>
      </w:r>
      <w:r w:rsidRPr="00F6415D">
        <w:rPr>
          <w:rFonts w:ascii="Segoe UI" w:hAnsi="Segoe UI" w:cs="Segoe UI"/>
        </w:rPr>
        <w:instrText xml:space="preserve"> REF _Ref530579452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sidRPr="00C40CA4">
        <w:rPr>
          <w:rFonts w:ascii="Segoe UI" w:hAnsi="Segoe UI" w:cs="Segoe UI"/>
        </w:rPr>
        <w:t xml:space="preserve">Table </w:t>
      </w:r>
      <w:r w:rsidR="00C40CA4" w:rsidRPr="00C40CA4">
        <w:rPr>
          <w:rFonts w:ascii="Segoe UI" w:hAnsi="Segoe UI" w:cs="Segoe UI"/>
          <w:noProof/>
        </w:rPr>
        <w:t>9</w:t>
      </w:r>
      <w:r w:rsidRPr="00F6415D">
        <w:rPr>
          <w:rFonts w:ascii="Segoe UI" w:hAnsi="Segoe UI" w:cs="Segoe UI"/>
        </w:rPr>
        <w:fldChar w:fldCharType="end"/>
      </w:r>
      <w:r w:rsidRPr="00F6415D">
        <w:rPr>
          <w:rFonts w:ascii="Segoe UI" w:hAnsi="Segoe UI" w:cs="Segoe UI"/>
        </w:rPr>
        <w:t xml:space="preserve"> in section </w:t>
      </w:r>
      <w:r w:rsidRPr="00F6415D">
        <w:rPr>
          <w:rFonts w:ascii="Segoe UI" w:hAnsi="Segoe UI" w:cs="Segoe UI"/>
        </w:rPr>
        <w:fldChar w:fldCharType="begin"/>
      </w:r>
      <w:r w:rsidRPr="00F6415D">
        <w:rPr>
          <w:rFonts w:ascii="Segoe UI" w:hAnsi="Segoe UI" w:cs="Segoe UI"/>
        </w:rPr>
        <w:instrText xml:space="preserve"> REF _Ref531163714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8.1.1</w:t>
      </w:r>
      <w:r w:rsidRPr="00F6415D">
        <w:rPr>
          <w:rFonts w:ascii="Segoe UI" w:hAnsi="Segoe UI" w:cs="Segoe UI"/>
        </w:rPr>
        <w:fldChar w:fldCharType="end"/>
      </w:r>
      <w:r w:rsidRPr="00F6415D">
        <w:rPr>
          <w:rFonts w:ascii="Segoe UI" w:hAnsi="Segoe UI" w:cs="Segoe UI"/>
        </w:rPr>
        <w:t xml:space="preserve">, of the consumers who accessed information, financial advisors ranked as the most useful source (46 per cent). </w:t>
      </w:r>
    </w:p>
    <w:p w:rsidR="00CE1469" w:rsidRPr="00F6415D" w:rsidRDefault="00CE1469" w:rsidP="0059246E">
      <w:pPr>
        <w:pStyle w:val="Heading4"/>
        <w:rPr>
          <w:rFonts w:ascii="Segoe UI" w:eastAsia="Segoe UI" w:hAnsi="Segoe UI" w:cs="Segoe UI"/>
        </w:rPr>
      </w:pPr>
      <w:r w:rsidRPr="00F6415D">
        <w:rPr>
          <w:rFonts w:ascii="Segoe UI" w:eastAsia="Segoe UI" w:hAnsi="Segoe UI" w:cs="Segoe UI"/>
        </w:rPr>
        <w:lastRenderedPageBreak/>
        <w:t>Role of financial advisors</w:t>
      </w:r>
    </w:p>
    <w:p w:rsidR="00CE1469" w:rsidRPr="00F6415D" w:rsidRDefault="00CE1469" w:rsidP="0059246E">
      <w:pPr>
        <w:pStyle w:val="BodyText"/>
        <w:rPr>
          <w:rFonts w:ascii="Segoe UI" w:hAnsi="Segoe UI" w:cs="Segoe UI"/>
        </w:rPr>
      </w:pPr>
      <w:r w:rsidRPr="00F6415D">
        <w:rPr>
          <w:rFonts w:ascii="Segoe UI" w:hAnsi="Segoe UI" w:cs="Segoe UI"/>
        </w:rPr>
        <w:t xml:space="preserve">Financial advisors assist people to achieve financial goals across both wealth accumulation and retirement phases of life, including accessing aged care and estate planning. </w:t>
      </w:r>
    </w:p>
    <w:p w:rsidR="00CE1469" w:rsidRPr="00F6415D" w:rsidRDefault="00CE1469" w:rsidP="0059246E">
      <w:pPr>
        <w:pStyle w:val="BodyText"/>
        <w:rPr>
          <w:rFonts w:ascii="Segoe UI" w:hAnsi="Segoe UI" w:cs="Segoe UI"/>
        </w:rPr>
      </w:pPr>
      <w:r w:rsidRPr="00F6415D">
        <w:rPr>
          <w:rFonts w:ascii="Segoe UI" w:hAnsi="Segoe UI" w:cs="Segoe UI"/>
        </w:rPr>
        <w:t>A growing interest and focus is being placed on aged care advice by financial advisors. A small proportion of financial advisors in the Australian industry have chosen to specialise solely on aged care advice but increasing numbers of advisors are including a specialisation in aged care within their service offer. Other advisors just gain enough expertise to create awareness with clients and then outsource advice when needed to a specialist in aged care or refer clients to FIS or placement services.</w:t>
      </w:r>
    </w:p>
    <w:p w:rsidR="00CE1469" w:rsidRPr="00F6415D" w:rsidRDefault="00CE1469" w:rsidP="0059246E">
      <w:pPr>
        <w:pStyle w:val="BodyText"/>
        <w:rPr>
          <w:rFonts w:ascii="Segoe UI" w:hAnsi="Segoe UI" w:cs="Segoe UI"/>
        </w:rPr>
      </w:pPr>
      <w:r w:rsidRPr="00F6415D">
        <w:rPr>
          <w:rFonts w:ascii="Segoe UI" w:hAnsi="Segoe UI" w:cs="Segoe UI"/>
        </w:rPr>
        <w:t>Financial advisors who provide advice on aged care tend to focus on advice regarding how consumers can fund their aged care and cash flow management, for example, determining the impacts of paying a RAD or a DAP or a combination of the two and evaluation of which assets to liquidate to fund their fees. These advisors also help consumers to understand the options and processes for accessing care including options for living arrangements such as retirement villages, own home or residential aged care. Some advisors may assist with selecting a care provider and negotiating fees or a residential care place.</w:t>
      </w:r>
    </w:p>
    <w:p w:rsidR="00CE1469" w:rsidRPr="00F6415D" w:rsidRDefault="00CE1469" w:rsidP="0059246E">
      <w:pPr>
        <w:pStyle w:val="Heading4"/>
        <w:rPr>
          <w:rFonts w:ascii="Segoe UI" w:eastAsia="Segoe UI" w:hAnsi="Segoe UI" w:cs="Segoe UI"/>
        </w:rPr>
      </w:pPr>
      <w:r w:rsidRPr="00F6415D">
        <w:rPr>
          <w:rFonts w:ascii="Segoe UI" w:eastAsia="Segoe UI" w:hAnsi="Segoe UI" w:cs="Segoe UI"/>
        </w:rPr>
        <w:t>Advice models and pricing of services</w:t>
      </w:r>
    </w:p>
    <w:p w:rsidR="00CE1469" w:rsidRPr="00F6415D" w:rsidRDefault="00CE1469" w:rsidP="0059246E">
      <w:pPr>
        <w:pStyle w:val="BodyText"/>
        <w:rPr>
          <w:rFonts w:ascii="Segoe UI" w:hAnsi="Segoe UI" w:cs="Segoe UI"/>
        </w:rPr>
      </w:pPr>
      <w:r w:rsidRPr="00F6415D">
        <w:rPr>
          <w:rFonts w:ascii="Segoe UI" w:hAnsi="Segoe UI" w:cs="Segoe UI"/>
        </w:rPr>
        <w:t>Fee structures for financial advisors vary significantly however a typical payment structure is outlined below:</w:t>
      </w:r>
    </w:p>
    <w:p w:rsidR="00CE1469" w:rsidRPr="00F6415D" w:rsidRDefault="00CE1469" w:rsidP="0059246E">
      <w:pPr>
        <w:pStyle w:val="ListBullet"/>
        <w:rPr>
          <w:rFonts w:ascii="Segoe UI" w:hAnsi="Segoe UI" w:cs="Segoe UI"/>
        </w:rPr>
      </w:pPr>
      <w:r w:rsidRPr="00F6415D">
        <w:rPr>
          <w:rFonts w:ascii="Segoe UI" w:hAnsi="Segoe UI" w:cs="Segoe UI"/>
        </w:rPr>
        <w:t>Free initial meeting: Discuss the consumer needs and the adviser will determine what assistance they can provide. This may be a telephone meeting or a face to face meeting.</w:t>
      </w:r>
    </w:p>
    <w:p w:rsidR="00CE1469" w:rsidRPr="00F6415D" w:rsidRDefault="00CE1469" w:rsidP="0059246E">
      <w:pPr>
        <w:pStyle w:val="ListBullet"/>
        <w:rPr>
          <w:rFonts w:ascii="Segoe UI" w:hAnsi="Segoe UI" w:cs="Segoe UI"/>
        </w:rPr>
      </w:pPr>
      <w:r w:rsidRPr="00F6415D">
        <w:rPr>
          <w:rFonts w:ascii="Segoe UI" w:hAnsi="Segoe UI" w:cs="Segoe UI"/>
        </w:rPr>
        <w:t xml:space="preserve">Advice preparation fee: Once the consumer has agreed to proceed with advice, the advisor is required to develop the advice and funding strategies and formally document in either a strategy paper or statement of advice (SOA). </w:t>
      </w:r>
      <w:r w:rsidRPr="00F6415D">
        <w:rPr>
          <w:rFonts w:ascii="Segoe UI" w:hAnsi="Segoe UI" w:cs="Segoe UI"/>
          <w:color w:val="262626"/>
        </w:rPr>
        <w:t>The cost of the advice can vary significantly depending on the scope of the advice and how the advisor charges fees.</w:t>
      </w:r>
    </w:p>
    <w:p w:rsidR="00CE1469" w:rsidRPr="00F6415D" w:rsidRDefault="00CE1469" w:rsidP="0059246E">
      <w:pPr>
        <w:pStyle w:val="ListBullet"/>
        <w:rPr>
          <w:rFonts w:ascii="Segoe UI" w:hAnsi="Segoe UI" w:cs="Segoe UI"/>
        </w:rPr>
      </w:pPr>
      <w:r w:rsidRPr="00F6415D">
        <w:rPr>
          <w:rFonts w:ascii="Segoe UI" w:hAnsi="Segoe UI" w:cs="Segoe UI"/>
          <w:color w:val="222222"/>
          <w:shd w:val="clear" w:color="auto" w:fill="FFFFFF"/>
        </w:rPr>
        <w:t xml:space="preserve">Advice </w:t>
      </w:r>
      <w:r w:rsidRPr="00F6415D">
        <w:rPr>
          <w:rFonts w:ascii="Segoe UI" w:hAnsi="Segoe UI" w:cs="Segoe UI"/>
          <w:color w:val="262626"/>
        </w:rPr>
        <w:t xml:space="preserve">implementation fee: A fee may be charged for implementing the advice, but usually only if a consumer is investing in a new product. </w:t>
      </w:r>
    </w:p>
    <w:p w:rsidR="00CE1469" w:rsidRPr="00F6415D" w:rsidRDefault="00CE1469" w:rsidP="0059246E">
      <w:pPr>
        <w:pStyle w:val="ListBullet"/>
        <w:rPr>
          <w:rFonts w:ascii="Segoe UI" w:hAnsi="Segoe UI" w:cs="Segoe UI"/>
        </w:rPr>
      </w:pPr>
      <w:r w:rsidRPr="00F6415D">
        <w:rPr>
          <w:rFonts w:ascii="Segoe UI" w:hAnsi="Segoe UI" w:cs="Segoe UI"/>
          <w:color w:val="222222"/>
          <w:shd w:val="clear" w:color="auto" w:fill="FFFFFF"/>
        </w:rPr>
        <w:t>Ongoing advice fees are less common with aged care advice (to date) but may be charged for:</w:t>
      </w:r>
    </w:p>
    <w:p w:rsidR="00CE1469" w:rsidRPr="00F6415D" w:rsidRDefault="00CE1469" w:rsidP="0059246E">
      <w:pPr>
        <w:pStyle w:val="ListBullet2"/>
        <w:rPr>
          <w:rFonts w:ascii="Segoe UI" w:hAnsi="Segoe UI" w:cs="Segoe UI"/>
        </w:rPr>
      </w:pPr>
      <w:r w:rsidRPr="00F6415D">
        <w:rPr>
          <w:rFonts w:ascii="Segoe UI" w:hAnsi="Segoe UI" w:cs="Segoe UI"/>
        </w:rPr>
        <w:t>regular reviews with the financial adviser</w:t>
      </w:r>
    </w:p>
    <w:p w:rsidR="00CE1469" w:rsidRPr="00F6415D" w:rsidRDefault="00CE1469" w:rsidP="0059246E">
      <w:pPr>
        <w:pStyle w:val="ListBullet2"/>
        <w:rPr>
          <w:rFonts w:ascii="Segoe UI" w:hAnsi="Segoe UI" w:cs="Segoe UI"/>
        </w:rPr>
      </w:pPr>
      <w:r w:rsidRPr="00F6415D">
        <w:rPr>
          <w:rFonts w:ascii="Segoe UI" w:hAnsi="Segoe UI" w:cs="Segoe UI"/>
        </w:rPr>
        <w:t>regular reports on the investment portfolio</w:t>
      </w:r>
    </w:p>
    <w:p w:rsidR="00CE1469" w:rsidRPr="00F6415D" w:rsidRDefault="00CE1469" w:rsidP="0059246E">
      <w:pPr>
        <w:pStyle w:val="Heading4"/>
        <w:rPr>
          <w:rFonts w:ascii="Segoe UI" w:eastAsia="Segoe UI" w:hAnsi="Segoe UI" w:cs="Segoe UI"/>
        </w:rPr>
      </w:pPr>
      <w:r w:rsidRPr="00F6415D">
        <w:rPr>
          <w:rFonts w:ascii="Segoe UI" w:eastAsia="Segoe UI" w:hAnsi="Segoe UI" w:cs="Segoe UI"/>
        </w:rPr>
        <w:t>Licensing requirements and compliance issues</w:t>
      </w:r>
    </w:p>
    <w:p w:rsidR="00CE1469" w:rsidRPr="00F6415D" w:rsidRDefault="00CE1469" w:rsidP="00CE1469">
      <w:pPr>
        <w:pStyle w:val="BodyText"/>
        <w:rPr>
          <w:rFonts w:ascii="Segoe UI" w:eastAsia="Segoe UI" w:hAnsi="Segoe UI" w:cs="Segoe UI"/>
        </w:rPr>
      </w:pPr>
      <w:r w:rsidRPr="00F6415D">
        <w:rPr>
          <w:rFonts w:ascii="Segoe UI" w:eastAsia="Segoe UI" w:hAnsi="Segoe UI" w:cs="Segoe UI"/>
        </w:rPr>
        <w:t>Under the Corporations Act, personal advice that impacts on a financial product requires authorisation under an Australian Financial Services Licence (AFSL). This is regulated by the Australian Securities and Investment Commission (ASIC).</w:t>
      </w:r>
    </w:p>
    <w:p w:rsidR="00CE1469" w:rsidRPr="00F6415D" w:rsidRDefault="00CE1469" w:rsidP="00CE1469">
      <w:pPr>
        <w:pStyle w:val="BodyText"/>
        <w:rPr>
          <w:rFonts w:ascii="Segoe UI" w:eastAsia="Segoe UI" w:hAnsi="Segoe UI" w:cs="Segoe UI"/>
        </w:rPr>
      </w:pPr>
      <w:r w:rsidRPr="00F6415D">
        <w:rPr>
          <w:rFonts w:ascii="Segoe UI" w:eastAsia="Segoe UI" w:hAnsi="Segoe UI" w:cs="Segoe UI"/>
        </w:rPr>
        <w:lastRenderedPageBreak/>
        <w:t>If advice is provided on credit products and loans, authorisation under an Australian Credit Licence (ACL) is required. This includes advice on a reverse mortgage or the Pension Loan Scheme. Some advisors are authorised under an ACL as well as an AFSL.</w:t>
      </w:r>
    </w:p>
    <w:p w:rsidR="00CE1469" w:rsidRPr="00F6415D" w:rsidRDefault="00CE1469" w:rsidP="00CE1469">
      <w:pPr>
        <w:pStyle w:val="BodyText"/>
        <w:rPr>
          <w:rFonts w:ascii="Segoe UI" w:eastAsia="Segoe UI" w:hAnsi="Segoe UI" w:cs="Segoe UI"/>
        </w:rPr>
      </w:pPr>
      <w:r w:rsidRPr="00F6415D">
        <w:rPr>
          <w:rFonts w:ascii="Segoe UI" w:eastAsia="Segoe UI" w:hAnsi="Segoe UI" w:cs="Segoe UI"/>
        </w:rPr>
        <w:t>The majority of financial advisors belong to a professional body which regulates the professional standards and codes of conduct and set requirements for ongoing education.</w:t>
      </w:r>
    </w:p>
    <w:p w:rsidR="00CE1469" w:rsidRPr="00F6415D" w:rsidRDefault="00CE1469" w:rsidP="0059246E">
      <w:pPr>
        <w:pStyle w:val="Heading4"/>
        <w:rPr>
          <w:rFonts w:ascii="Segoe UI" w:eastAsia="Segoe UI" w:hAnsi="Segoe UI" w:cs="Segoe UI"/>
        </w:rPr>
      </w:pPr>
      <w:bookmarkStart w:id="326" w:name="_Ref530742384"/>
      <w:r w:rsidRPr="00F6415D">
        <w:rPr>
          <w:rFonts w:ascii="Segoe UI" w:eastAsia="Segoe UI" w:hAnsi="Segoe UI" w:cs="Segoe UI"/>
        </w:rPr>
        <w:t>Education and training</w:t>
      </w:r>
      <w:bookmarkEnd w:id="326"/>
    </w:p>
    <w:p w:rsidR="00CE1469" w:rsidRPr="00F6415D" w:rsidRDefault="00CE1469" w:rsidP="00CE1469">
      <w:pPr>
        <w:pStyle w:val="BodyText"/>
        <w:rPr>
          <w:rFonts w:ascii="Segoe UI" w:eastAsia="Segoe UI" w:hAnsi="Segoe UI" w:cs="Segoe UI"/>
        </w:rPr>
      </w:pPr>
      <w:bookmarkStart w:id="327" w:name="_Toc527561571"/>
      <w:bookmarkStart w:id="328" w:name="_Toc527564645"/>
      <w:bookmarkStart w:id="329" w:name="_Toc528224275"/>
      <w:bookmarkStart w:id="330" w:name="_Toc528861157"/>
      <w:bookmarkStart w:id="331" w:name="_Toc529890599"/>
      <w:r w:rsidRPr="00F6415D">
        <w:rPr>
          <w:rFonts w:ascii="Segoe UI" w:eastAsia="Segoe UI" w:hAnsi="Segoe UI" w:cs="Segoe UI"/>
          <w:color w:val="262626"/>
        </w:rPr>
        <w:t xml:space="preserve">There is no mandated requirement by ASIC or professional bodies for education or accreditation in aged care for financial </w:t>
      </w:r>
      <w:r w:rsidRPr="00F6415D">
        <w:rPr>
          <w:rFonts w:ascii="Segoe UI" w:eastAsia="Segoe UI" w:hAnsi="Segoe UI" w:cs="Segoe UI"/>
        </w:rPr>
        <w:t>advisors providing aged care advice.</w:t>
      </w:r>
    </w:p>
    <w:p w:rsidR="00CE1469" w:rsidRPr="00F6415D" w:rsidRDefault="00CE1469" w:rsidP="00CE1469">
      <w:pPr>
        <w:pStyle w:val="BodyText"/>
        <w:rPr>
          <w:rFonts w:ascii="Segoe UI" w:eastAsia="Segoe UI" w:hAnsi="Segoe UI" w:cs="Segoe UI"/>
          <w:color w:val="262626"/>
        </w:rPr>
      </w:pPr>
      <w:r w:rsidRPr="00F6415D">
        <w:rPr>
          <w:rFonts w:ascii="Segoe UI" w:eastAsia="Segoe UI" w:hAnsi="Segoe UI" w:cs="Segoe UI"/>
        </w:rPr>
        <w:t>However, as AFSL holders have a responsibility to ensure that authorised advisors are competent and capable of giving advice on the authorised</w:t>
      </w:r>
      <w:r w:rsidRPr="00F6415D">
        <w:rPr>
          <w:rFonts w:ascii="Segoe UI" w:eastAsia="Segoe UI" w:hAnsi="Segoe UI" w:cs="Segoe UI"/>
          <w:color w:val="262626"/>
        </w:rPr>
        <w:t xml:space="preserve"> areas, AFSL holders are increasingly imposing education and training policies for authorised advisors who wish to provide advice on aged care.</w:t>
      </w:r>
    </w:p>
    <w:p w:rsidR="00CE1469" w:rsidRPr="00F6415D" w:rsidRDefault="00CE1469" w:rsidP="0059246E">
      <w:pPr>
        <w:pStyle w:val="BodyText"/>
        <w:rPr>
          <w:rFonts w:ascii="Segoe UI" w:eastAsia="Segoe UI" w:hAnsi="Segoe UI" w:cs="Segoe UI"/>
        </w:rPr>
      </w:pPr>
      <w:r w:rsidRPr="00F6415D">
        <w:rPr>
          <w:rFonts w:ascii="Segoe UI" w:eastAsia="Segoe UI" w:hAnsi="Segoe UI" w:cs="Segoe UI"/>
        </w:rPr>
        <w:t>A number of education and commercial organisations provide training and education for professionals working in the aged care sector. This training can range from short webinars to comprehensive accreditation training courses. Universities and tertiary education providers are also starting to introduce aged care subjects into their subject ranges.</w:t>
      </w:r>
    </w:p>
    <w:p w:rsidR="00CE1469" w:rsidRPr="00F6415D" w:rsidRDefault="00CE1469" w:rsidP="0059246E">
      <w:pPr>
        <w:pStyle w:val="Heading3"/>
        <w:rPr>
          <w:rFonts w:ascii="Segoe UI" w:hAnsi="Segoe UI" w:cs="Segoe UI"/>
        </w:rPr>
      </w:pPr>
      <w:bookmarkStart w:id="332" w:name="_Toc531271108"/>
      <w:bookmarkStart w:id="333" w:name="_Toc532206404"/>
      <w:r w:rsidRPr="00F6415D">
        <w:rPr>
          <w:rFonts w:ascii="Segoe UI" w:hAnsi="Segoe UI" w:cs="Segoe UI"/>
        </w:rPr>
        <w:t xml:space="preserve">Mortgage and finance </w:t>
      </w:r>
      <w:bookmarkEnd w:id="327"/>
      <w:bookmarkEnd w:id="328"/>
      <w:r w:rsidRPr="00F6415D">
        <w:rPr>
          <w:rFonts w:ascii="Segoe UI" w:hAnsi="Segoe UI" w:cs="Segoe UI"/>
        </w:rPr>
        <w:t>brokers</w:t>
      </w:r>
      <w:bookmarkEnd w:id="329"/>
      <w:bookmarkEnd w:id="330"/>
      <w:bookmarkEnd w:id="331"/>
      <w:bookmarkEnd w:id="332"/>
      <w:bookmarkEnd w:id="333"/>
    </w:p>
    <w:p w:rsidR="00CE1469" w:rsidRPr="00F6415D" w:rsidRDefault="00CE1469" w:rsidP="0059246E">
      <w:pPr>
        <w:pStyle w:val="Heading4"/>
        <w:rPr>
          <w:rFonts w:ascii="Segoe UI" w:hAnsi="Segoe UI" w:cs="Segoe UI"/>
        </w:rPr>
      </w:pPr>
      <w:r w:rsidRPr="00F6415D">
        <w:rPr>
          <w:rFonts w:ascii="Segoe UI" w:hAnsi="Segoe UI" w:cs="Segoe UI"/>
        </w:rPr>
        <w:t>Role of mortgage and finance brokers</w:t>
      </w:r>
    </w:p>
    <w:p w:rsidR="00CE1469" w:rsidRPr="00F6415D" w:rsidRDefault="00CE1469" w:rsidP="0059246E">
      <w:pPr>
        <w:pStyle w:val="BodyText"/>
        <w:rPr>
          <w:rFonts w:ascii="Segoe UI" w:hAnsi="Segoe UI" w:cs="Segoe UI"/>
        </w:rPr>
      </w:pPr>
      <w:r w:rsidRPr="00F6415D">
        <w:rPr>
          <w:rFonts w:ascii="Segoe UI" w:hAnsi="Segoe UI" w:cs="Segoe UI"/>
        </w:rPr>
        <w:t>Mortgage and finance brokers can help consumers to choose and arrange finance from a variety of lenders. They may manage the process on behalf of the consumer through to the loan settlement.</w:t>
      </w:r>
    </w:p>
    <w:p w:rsidR="00CE1469" w:rsidRPr="00F6415D" w:rsidRDefault="00CE1469" w:rsidP="0059246E">
      <w:pPr>
        <w:pStyle w:val="BodyText"/>
        <w:rPr>
          <w:rFonts w:ascii="Segoe UI" w:hAnsi="Segoe UI" w:cs="Segoe UI"/>
        </w:rPr>
      </w:pPr>
      <w:r w:rsidRPr="00F6415D">
        <w:rPr>
          <w:rFonts w:ascii="Segoe UI" w:hAnsi="Segoe UI" w:cs="Segoe UI"/>
        </w:rPr>
        <w:t>Some brokers may include equity release loans (such as reverse mortgages) in their offer to help seniors access their home equity. There are a small number of brokers who specialise in seniors equity release options.</w:t>
      </w:r>
    </w:p>
    <w:p w:rsidR="00CE1469" w:rsidRPr="00F6415D" w:rsidRDefault="00CE1469" w:rsidP="0059246E">
      <w:pPr>
        <w:pStyle w:val="BodyText"/>
        <w:rPr>
          <w:rFonts w:ascii="Segoe UI" w:eastAsia="Segoe UI" w:hAnsi="Segoe UI" w:cs="Segoe UI"/>
        </w:rPr>
      </w:pPr>
      <w:r w:rsidRPr="00F6415D">
        <w:rPr>
          <w:rFonts w:ascii="Segoe UI" w:eastAsia="Segoe UI" w:hAnsi="Segoe UI" w:cs="Segoe UI"/>
        </w:rPr>
        <w:t xml:space="preserve">Under the </w:t>
      </w:r>
      <w:r w:rsidRPr="00F6415D">
        <w:rPr>
          <w:rFonts w:ascii="Segoe UI" w:eastAsia="Segoe UI" w:hAnsi="Segoe UI" w:cs="Segoe UI"/>
          <w:i/>
        </w:rPr>
        <w:t>National Consumer Credit Protection Act 2009</w:t>
      </w:r>
      <w:r w:rsidRPr="00F6415D">
        <w:rPr>
          <w:rFonts w:ascii="Segoe UI" w:eastAsia="Segoe UI" w:hAnsi="Segoe UI" w:cs="Segoe UI"/>
        </w:rPr>
        <w:t>, recommendations on loan products (including reverse mortgages and the Pension Loans Scheme) require authorisation under an ACL. This is regulated by ASIC.</w:t>
      </w:r>
    </w:p>
    <w:p w:rsidR="00CE1469" w:rsidRPr="00F6415D" w:rsidRDefault="00CE1469" w:rsidP="0059246E">
      <w:pPr>
        <w:pStyle w:val="BodyText"/>
        <w:rPr>
          <w:rFonts w:ascii="Segoe UI" w:hAnsi="Segoe UI" w:cs="Segoe UI"/>
        </w:rPr>
      </w:pPr>
      <w:r w:rsidRPr="00F6415D">
        <w:rPr>
          <w:rFonts w:ascii="Segoe UI" w:hAnsi="Segoe UI" w:cs="Segoe UI"/>
        </w:rPr>
        <w:t>Through the stakeholder consultation process, reverse mortgage advisors advised that while they provide consumers with information on reverse mortgages, they do not provide financial advice. Rather, they will refer a consumer on to a financial advisor for this support.</w:t>
      </w:r>
    </w:p>
    <w:p w:rsidR="00CE1469" w:rsidRPr="00F6415D" w:rsidRDefault="00CE1469" w:rsidP="0059246E">
      <w:pPr>
        <w:pStyle w:val="Heading4"/>
        <w:rPr>
          <w:rFonts w:ascii="Segoe UI" w:eastAsia="Segoe UI" w:hAnsi="Segoe UI" w:cs="Segoe UI"/>
        </w:rPr>
      </w:pPr>
      <w:r w:rsidRPr="00F6415D">
        <w:rPr>
          <w:rFonts w:ascii="Segoe UI" w:eastAsia="Segoe UI" w:hAnsi="Segoe UI" w:cs="Segoe UI"/>
        </w:rPr>
        <w:t>Advice models and pricing of services</w:t>
      </w:r>
    </w:p>
    <w:p w:rsidR="00CE1469" w:rsidRPr="00F6415D" w:rsidRDefault="00CE1469" w:rsidP="0059246E">
      <w:pPr>
        <w:pStyle w:val="BodyText"/>
        <w:rPr>
          <w:rFonts w:ascii="Segoe UI" w:hAnsi="Segoe UI" w:cs="Segoe UI"/>
        </w:rPr>
      </w:pPr>
      <w:bookmarkStart w:id="334" w:name="_Toc527561572"/>
      <w:bookmarkStart w:id="335" w:name="_Toc527564646"/>
      <w:bookmarkStart w:id="336" w:name="_Toc528224276"/>
      <w:bookmarkStart w:id="337" w:name="_Toc528861158"/>
      <w:bookmarkStart w:id="338" w:name="_Toc529890600"/>
      <w:r w:rsidRPr="00F6415D">
        <w:rPr>
          <w:rFonts w:ascii="Segoe UI" w:hAnsi="Segoe UI" w:cs="Segoe UI"/>
        </w:rPr>
        <w:t xml:space="preserve">Typically, reverse mortgage brokers are paid a fee/commission directly by the financial institution through which the loan product is taken. There is usually no direct cost to the consumer however fee structure and arrangements can vary significantly and some may charge service fees. </w:t>
      </w:r>
    </w:p>
    <w:p w:rsidR="00CE1469" w:rsidRPr="00F6415D" w:rsidRDefault="00CE1469" w:rsidP="0059246E">
      <w:pPr>
        <w:pStyle w:val="Heading3"/>
        <w:rPr>
          <w:rFonts w:ascii="Segoe UI" w:hAnsi="Segoe UI" w:cs="Segoe UI"/>
        </w:rPr>
      </w:pPr>
      <w:bookmarkStart w:id="339" w:name="_Toc531271109"/>
      <w:bookmarkStart w:id="340" w:name="_Toc532206405"/>
      <w:r w:rsidRPr="00F6415D">
        <w:rPr>
          <w:rFonts w:ascii="Segoe UI" w:hAnsi="Segoe UI" w:cs="Segoe UI"/>
        </w:rPr>
        <w:lastRenderedPageBreak/>
        <w:t>Aged Care providers and placement agencies</w:t>
      </w:r>
      <w:bookmarkEnd w:id="334"/>
      <w:bookmarkEnd w:id="335"/>
      <w:bookmarkEnd w:id="336"/>
      <w:bookmarkEnd w:id="337"/>
      <w:bookmarkEnd w:id="338"/>
      <w:bookmarkEnd w:id="339"/>
      <w:bookmarkEnd w:id="340"/>
    </w:p>
    <w:p w:rsidR="00CE1469" w:rsidRPr="00F6415D" w:rsidRDefault="00CE1469" w:rsidP="0059246E">
      <w:pPr>
        <w:pStyle w:val="Heading4"/>
        <w:rPr>
          <w:rFonts w:ascii="Segoe UI" w:hAnsi="Segoe UI" w:cs="Segoe UI"/>
        </w:rPr>
      </w:pPr>
      <w:r w:rsidRPr="00F6415D">
        <w:rPr>
          <w:rFonts w:ascii="Segoe UI" w:hAnsi="Segoe UI" w:cs="Segoe UI"/>
        </w:rPr>
        <w:t>Aged care providers</w:t>
      </w:r>
    </w:p>
    <w:p w:rsidR="00CE1469" w:rsidRPr="00F6415D" w:rsidRDefault="00CE1469" w:rsidP="0059246E">
      <w:pPr>
        <w:pStyle w:val="BodyText"/>
        <w:rPr>
          <w:rFonts w:ascii="Segoe UI" w:hAnsi="Segoe UI" w:cs="Segoe UI"/>
        </w:rPr>
      </w:pPr>
      <w:r w:rsidRPr="00F6415D">
        <w:rPr>
          <w:rFonts w:ascii="Segoe UI" w:hAnsi="Segoe UI" w:cs="Segoe UI"/>
        </w:rPr>
        <w:t>Through the stakeholder consultation process, residential aged care providers advised that consumers with whom they have contact often have no previous experience with the Australian Government funded aged care system prior to requiring care and as a result, need support with navigating the aged care system. This support is often undertaken by providers during the admittance process for home care and residential care and, as a result, is not something that they can charge the consumer for.</w:t>
      </w:r>
    </w:p>
    <w:p w:rsidR="00CE1469" w:rsidRPr="00F6415D" w:rsidRDefault="00CE1469" w:rsidP="0059246E">
      <w:pPr>
        <w:pStyle w:val="BodyText"/>
        <w:rPr>
          <w:rFonts w:ascii="Segoe UI" w:hAnsi="Segoe UI" w:cs="Segoe UI"/>
        </w:rPr>
      </w:pPr>
      <w:r w:rsidRPr="00F6415D">
        <w:rPr>
          <w:rFonts w:ascii="Segoe UI" w:hAnsi="Segoe UI" w:cs="Segoe UI"/>
        </w:rPr>
        <w:t>Aged care providers are currently exempt from requiring a credit licence for accommodation bonds and refundable accommodation deposits (RADs), which enables them to discuss accommodation pricing with consumers without breaching the Corporations Act. However, they are not able to provide financial advice regarding how a consumer should fund their accommodation costs and sometimes these lines can become blurred.</w:t>
      </w:r>
    </w:p>
    <w:p w:rsidR="00CE1469" w:rsidRPr="00F6415D" w:rsidRDefault="00CE1469" w:rsidP="0059246E">
      <w:pPr>
        <w:pStyle w:val="BodyText"/>
        <w:rPr>
          <w:rFonts w:ascii="Segoe UI" w:hAnsi="Segoe UI" w:cs="Segoe UI"/>
        </w:rPr>
      </w:pPr>
      <w:r w:rsidRPr="00F6415D">
        <w:rPr>
          <w:rFonts w:ascii="Segoe UI" w:hAnsi="Segoe UI" w:cs="Segoe UI"/>
        </w:rPr>
        <w:t>Where consumers need advice, the providers may refer consumers to a financial advisor</w:t>
      </w:r>
      <w:r w:rsidR="001B5BED" w:rsidRPr="00F6415D">
        <w:rPr>
          <w:rFonts w:ascii="Segoe UI" w:hAnsi="Segoe UI" w:cs="Segoe UI"/>
        </w:rPr>
        <w:t xml:space="preserve">. </w:t>
      </w:r>
      <w:r w:rsidRPr="00F6415D">
        <w:rPr>
          <w:rFonts w:ascii="Segoe UI" w:hAnsi="Segoe UI" w:cs="Segoe UI"/>
        </w:rPr>
        <w:t>Some providers have developed formal or informal panels of financial advisors which consumers can use to select an appropriate advisor to avoid conflicts of interest. Referrals may also be made to FIS for information and explanations.</w:t>
      </w:r>
    </w:p>
    <w:p w:rsidR="00CE1469" w:rsidRPr="00F6415D" w:rsidRDefault="00CE1469" w:rsidP="0059246E">
      <w:pPr>
        <w:pStyle w:val="BodyText"/>
        <w:rPr>
          <w:rFonts w:ascii="Segoe UI" w:eastAsia="Segoe UI" w:hAnsi="Segoe UI" w:cs="Segoe UI"/>
        </w:rPr>
      </w:pPr>
      <w:r w:rsidRPr="00F6415D">
        <w:rPr>
          <w:rFonts w:ascii="Segoe UI" w:eastAsia="Segoe UI" w:hAnsi="Segoe UI" w:cs="Segoe UI"/>
        </w:rPr>
        <w:t>ACFA’s consumer survey identified that 28 per cent of respondents sought information about funding their care accessed the website of an aged care provider, 16 per cent contacted a provider by telephone and 16 per cent visited a financial advisor</w:t>
      </w:r>
      <w:r w:rsidR="001B5BED" w:rsidRPr="00F6415D">
        <w:rPr>
          <w:rFonts w:ascii="Segoe UI" w:eastAsia="Segoe UI" w:hAnsi="Segoe UI" w:cs="Segoe UI"/>
        </w:rPr>
        <w:t xml:space="preserve">. </w:t>
      </w:r>
    </w:p>
    <w:p w:rsidR="00CE1469" w:rsidRPr="00F6415D" w:rsidRDefault="00CE1469" w:rsidP="0059246E">
      <w:pPr>
        <w:pStyle w:val="Heading4"/>
        <w:rPr>
          <w:rFonts w:ascii="Segoe UI" w:hAnsi="Segoe UI" w:cs="Segoe UI"/>
        </w:rPr>
      </w:pPr>
      <w:r w:rsidRPr="00F6415D">
        <w:rPr>
          <w:rFonts w:ascii="Segoe UI" w:hAnsi="Segoe UI" w:cs="Segoe UI"/>
        </w:rPr>
        <w:t>Placement agencies</w:t>
      </w:r>
    </w:p>
    <w:p w:rsidR="00CE1469" w:rsidRPr="00F6415D" w:rsidRDefault="00CE1469" w:rsidP="0059246E">
      <w:pPr>
        <w:pStyle w:val="BodyText"/>
        <w:rPr>
          <w:rFonts w:ascii="Segoe UI" w:hAnsi="Segoe UI" w:cs="Segoe UI"/>
        </w:rPr>
      </w:pPr>
      <w:bookmarkStart w:id="341" w:name="_Toc522190409"/>
      <w:bookmarkStart w:id="342" w:name="_Toc523408262"/>
      <w:bookmarkStart w:id="343" w:name="_Toc523482243"/>
      <w:bookmarkStart w:id="344" w:name="_Toc524605300"/>
      <w:bookmarkStart w:id="345" w:name="_Toc527561574"/>
      <w:bookmarkStart w:id="346" w:name="_Toc527564648"/>
      <w:bookmarkStart w:id="347" w:name="_Toc528224277"/>
      <w:bookmarkStart w:id="348" w:name="_Toc528861159"/>
      <w:bookmarkStart w:id="349" w:name="_Toc529890601"/>
      <w:r w:rsidRPr="00F6415D">
        <w:rPr>
          <w:rFonts w:ascii="Segoe UI" w:hAnsi="Segoe UI" w:cs="Segoe UI"/>
        </w:rPr>
        <w:t>Aged care placement agencies have emerged and expanded over the last decade. Many are small individual businesses while others are larger organisations. They may be attached to aged care providers or financial advisory businesses, or operate on their own.</w:t>
      </w:r>
    </w:p>
    <w:p w:rsidR="00CE1469" w:rsidRPr="00F6415D" w:rsidRDefault="00CE1469" w:rsidP="0059246E">
      <w:pPr>
        <w:pStyle w:val="BodyText"/>
        <w:rPr>
          <w:rFonts w:ascii="Segoe UI" w:hAnsi="Segoe UI" w:cs="Segoe UI"/>
        </w:rPr>
      </w:pPr>
      <w:r w:rsidRPr="00F6415D">
        <w:rPr>
          <w:rFonts w:ascii="Segoe UI" w:hAnsi="Segoe UI" w:cs="Segoe UI"/>
        </w:rPr>
        <w:t xml:space="preserve">Placement agencies help senior Australians and their families find the right aged care services to meet their needs. To date, this has focussed mainly on residential care, but it is expanding into home care services. The services include supporting the consumer and their family manage the stress, emotional and practical issues relating to entering aged care which may include negotiating the accommodation room price with the aged care provider on the consumer’s behalf. However, they should not provide financial advice. </w:t>
      </w:r>
    </w:p>
    <w:p w:rsidR="00CE1469" w:rsidRPr="00F6415D" w:rsidRDefault="00CE1469" w:rsidP="0059246E">
      <w:pPr>
        <w:pStyle w:val="BodyText"/>
        <w:rPr>
          <w:rFonts w:ascii="Segoe UI" w:hAnsi="Segoe UI" w:cs="Segoe UI"/>
          <w:color w:val="0070C0"/>
        </w:rPr>
      </w:pPr>
      <w:r w:rsidRPr="00F6415D">
        <w:rPr>
          <w:rFonts w:ascii="Segoe UI" w:hAnsi="Segoe UI" w:cs="Segoe UI"/>
        </w:rPr>
        <w:t>The fee structure for aged care placement consultants depend on each business and may range from a flat fee for service to an hourly rate. </w:t>
      </w:r>
    </w:p>
    <w:p w:rsidR="00CE1469" w:rsidRPr="00F6415D" w:rsidRDefault="00CE1469" w:rsidP="0059246E">
      <w:pPr>
        <w:pStyle w:val="Heading3"/>
        <w:rPr>
          <w:rFonts w:ascii="Segoe UI" w:hAnsi="Segoe UI" w:cs="Segoe UI"/>
        </w:rPr>
      </w:pPr>
      <w:bookmarkStart w:id="350" w:name="_Toc531271110"/>
      <w:bookmarkStart w:id="351" w:name="_Toc532206406"/>
      <w:r w:rsidRPr="00F6415D">
        <w:rPr>
          <w:rFonts w:ascii="Segoe UI" w:hAnsi="Segoe UI" w:cs="Segoe UI"/>
        </w:rPr>
        <w:t>Consumer groups and other services</w:t>
      </w:r>
      <w:bookmarkEnd w:id="341"/>
      <w:bookmarkEnd w:id="342"/>
      <w:bookmarkEnd w:id="343"/>
      <w:bookmarkEnd w:id="344"/>
      <w:bookmarkEnd w:id="345"/>
      <w:bookmarkEnd w:id="346"/>
      <w:bookmarkEnd w:id="347"/>
      <w:bookmarkEnd w:id="348"/>
      <w:bookmarkEnd w:id="349"/>
      <w:bookmarkEnd w:id="350"/>
      <w:bookmarkEnd w:id="351"/>
    </w:p>
    <w:p w:rsidR="00CE1469" w:rsidRPr="00F6415D" w:rsidRDefault="00CE1469" w:rsidP="0059246E">
      <w:pPr>
        <w:pStyle w:val="BodyText"/>
        <w:rPr>
          <w:rFonts w:ascii="Segoe UI" w:hAnsi="Segoe UI" w:cs="Segoe UI"/>
        </w:rPr>
      </w:pPr>
      <w:r w:rsidRPr="00F6415D">
        <w:rPr>
          <w:rFonts w:ascii="Segoe UI" w:hAnsi="Segoe UI" w:cs="Segoe UI"/>
        </w:rPr>
        <w:t xml:space="preserve">A number of consumer groups provide information on aged care to help consumers understand how to navigate the system and understand aged care costs. The extent </w:t>
      </w:r>
      <w:r w:rsidRPr="00F6415D">
        <w:rPr>
          <w:rFonts w:ascii="Segoe UI" w:hAnsi="Segoe UI" w:cs="Segoe UI"/>
        </w:rPr>
        <w:lastRenderedPageBreak/>
        <w:t>of information an</w:t>
      </w:r>
      <w:r w:rsidRPr="00F6415D">
        <w:rPr>
          <w:rStyle w:val="BodyTextChar"/>
          <w:rFonts w:ascii="Segoe UI" w:hAnsi="Segoe UI" w:cs="Segoe UI"/>
        </w:rPr>
        <w:t xml:space="preserve">d </w:t>
      </w:r>
      <w:r w:rsidRPr="00F6415D">
        <w:rPr>
          <w:rFonts w:ascii="Segoe UI" w:hAnsi="Segoe UI" w:cs="Segoe UI"/>
        </w:rPr>
        <w:t>method of delivery varies. Some of the key groups are discussed below.</w:t>
      </w:r>
    </w:p>
    <w:p w:rsidR="00CE1469" w:rsidRPr="00F6415D" w:rsidRDefault="00CE1469" w:rsidP="0059246E">
      <w:pPr>
        <w:pStyle w:val="Heading4"/>
        <w:rPr>
          <w:rFonts w:ascii="Segoe UI" w:hAnsi="Segoe UI" w:cs="Segoe UI"/>
        </w:rPr>
      </w:pPr>
      <w:r w:rsidRPr="00F6415D">
        <w:rPr>
          <w:rFonts w:ascii="Segoe UI" w:hAnsi="Segoe UI" w:cs="Segoe UI"/>
        </w:rPr>
        <w:t>Seniors Information Service</w:t>
      </w:r>
    </w:p>
    <w:p w:rsidR="00CE1469" w:rsidRPr="00F6415D" w:rsidRDefault="00CE1469" w:rsidP="0059246E">
      <w:pPr>
        <w:pStyle w:val="BodyText"/>
        <w:rPr>
          <w:rFonts w:ascii="Segoe UI" w:hAnsi="Segoe UI" w:cs="Segoe UI"/>
        </w:rPr>
      </w:pPr>
      <w:r w:rsidRPr="00F6415D">
        <w:rPr>
          <w:rFonts w:ascii="Segoe UI" w:hAnsi="Segoe UI" w:cs="Segoe UI"/>
        </w:rPr>
        <w:t>Seniors Information Services exist in each state and territory. Funded by each state and territory government, their objective is to provide senior Australians and their families and carers with information on the range of services and options available to them.</w:t>
      </w:r>
    </w:p>
    <w:p w:rsidR="00CE1469" w:rsidRPr="00F6415D" w:rsidRDefault="00CE1469" w:rsidP="0059246E">
      <w:pPr>
        <w:pStyle w:val="Heading4"/>
        <w:rPr>
          <w:rFonts w:ascii="Segoe UI" w:hAnsi="Segoe UI" w:cs="Segoe UI"/>
        </w:rPr>
      </w:pPr>
      <w:r w:rsidRPr="00F6415D">
        <w:rPr>
          <w:rFonts w:ascii="Segoe UI" w:hAnsi="Segoe UI" w:cs="Segoe UI"/>
        </w:rPr>
        <w:t>National Seniors Australia</w:t>
      </w:r>
    </w:p>
    <w:p w:rsidR="00CE1469" w:rsidRPr="00F6415D" w:rsidRDefault="00CE1469" w:rsidP="0059246E">
      <w:pPr>
        <w:pStyle w:val="BodyText"/>
        <w:rPr>
          <w:rFonts w:ascii="Segoe UI" w:hAnsi="Segoe UI" w:cs="Segoe UI"/>
        </w:rPr>
      </w:pPr>
      <w:r w:rsidRPr="00F6415D">
        <w:rPr>
          <w:rFonts w:ascii="Segoe UI" w:hAnsi="Segoe UI" w:cs="Segoe UI"/>
        </w:rPr>
        <w:t>National Seniors Australia (NSA) is the consumer lobby group representing senior Australians with a view to influencing key policy to improve outcomes, including in aged care. NSA operates a membership model, enabling members access to information for a fee, and currently has over 130,000 members</w:t>
      </w:r>
      <w:r w:rsidRPr="00F6415D">
        <w:rPr>
          <w:rFonts w:ascii="Segoe UI" w:eastAsia="Segoe UI" w:hAnsi="Segoe UI" w:cs="Segoe UI"/>
          <w:vertAlign w:val="superscript"/>
        </w:rPr>
        <w:endnoteReference w:id="24"/>
      </w:r>
      <w:r w:rsidRPr="00F6415D">
        <w:rPr>
          <w:rFonts w:ascii="Segoe UI" w:hAnsi="Segoe UI" w:cs="Segoe UI"/>
        </w:rPr>
        <w:t>.</w:t>
      </w:r>
    </w:p>
    <w:p w:rsidR="00CE1469" w:rsidRPr="00F6415D" w:rsidDel="00E66438" w:rsidRDefault="00CE1469" w:rsidP="0059246E">
      <w:pPr>
        <w:pStyle w:val="BodyText"/>
        <w:rPr>
          <w:rFonts w:ascii="Segoe UI" w:hAnsi="Segoe UI" w:cs="Segoe UI"/>
        </w:rPr>
      </w:pPr>
      <w:r w:rsidRPr="00F6415D">
        <w:rPr>
          <w:rFonts w:ascii="Segoe UI" w:hAnsi="Segoe UI" w:cs="Segoe UI"/>
        </w:rPr>
        <w:t>NSA offers their members a financial information desk, which provides independent, confidential services to members on superannuation, investments and aged care costs.</w:t>
      </w:r>
    </w:p>
    <w:p w:rsidR="00CE1469" w:rsidRPr="00F6415D" w:rsidRDefault="00CE1469" w:rsidP="0059246E">
      <w:pPr>
        <w:pStyle w:val="Heading4"/>
        <w:rPr>
          <w:rFonts w:ascii="Segoe UI" w:hAnsi="Segoe UI" w:cs="Segoe UI"/>
        </w:rPr>
      </w:pPr>
      <w:r w:rsidRPr="00F6415D">
        <w:rPr>
          <w:rFonts w:ascii="Segoe UI" w:hAnsi="Segoe UI" w:cs="Segoe UI"/>
        </w:rPr>
        <w:t>Council of the Aged (COTA)</w:t>
      </w:r>
    </w:p>
    <w:p w:rsidR="00CE1469" w:rsidRPr="00F6415D" w:rsidRDefault="00CE1469" w:rsidP="0059246E">
      <w:pPr>
        <w:pStyle w:val="BodyText"/>
        <w:rPr>
          <w:rFonts w:ascii="Segoe UI" w:hAnsi="Segoe UI" w:cs="Segoe UI"/>
        </w:rPr>
      </w:pPr>
      <w:r w:rsidRPr="00F6415D">
        <w:rPr>
          <w:rFonts w:ascii="Segoe UI" w:hAnsi="Segoe UI" w:cs="Segoe UI"/>
        </w:rPr>
        <w:t>COTA Australia is a policy development, advocacy and representation organisation for senior Australians, representing COTAs in every state and territory and through them over 500,000 senior Australians</w:t>
      </w:r>
      <w:r w:rsidRPr="00F6415D">
        <w:rPr>
          <w:rStyle w:val="EndnoteReference"/>
          <w:rFonts w:ascii="Segoe UI" w:hAnsi="Segoe UI" w:cs="Segoe UI"/>
        </w:rPr>
        <w:endnoteReference w:id="25"/>
      </w:r>
      <w:r w:rsidRPr="00F6415D">
        <w:rPr>
          <w:rFonts w:ascii="Segoe UI" w:hAnsi="Segoe UI" w:cs="Segoe UI"/>
        </w:rPr>
        <w:t xml:space="preserve">. </w:t>
      </w:r>
    </w:p>
    <w:p w:rsidR="00CE1469" w:rsidRPr="00F6415D" w:rsidRDefault="00CE1469" w:rsidP="0059246E">
      <w:pPr>
        <w:pStyle w:val="BodyText"/>
        <w:rPr>
          <w:rFonts w:ascii="Segoe UI" w:hAnsi="Segoe UI" w:cs="Segoe UI"/>
        </w:rPr>
      </w:pPr>
      <w:r w:rsidRPr="00F6415D">
        <w:rPr>
          <w:rFonts w:ascii="Segoe UI" w:hAnsi="Segoe UI" w:cs="Segoe UI"/>
        </w:rPr>
        <w:t xml:space="preserve">Each state and territory COTA works to </w:t>
      </w:r>
      <w:r w:rsidRPr="00F6415D">
        <w:rPr>
          <w:rFonts w:ascii="Segoe UI" w:hAnsi="Segoe UI" w:cs="Segoe UI"/>
          <w:lang w:val="en-GB"/>
        </w:rPr>
        <w:t>protect and promote the well-being, rights and interests of all </w:t>
      </w:r>
      <w:r w:rsidRPr="00F6415D">
        <w:rPr>
          <w:rFonts w:ascii="Segoe UI" w:hAnsi="Segoe UI" w:cs="Segoe UI"/>
        </w:rPr>
        <w:t>senior Australians</w:t>
      </w:r>
      <w:r w:rsidRPr="00F6415D">
        <w:rPr>
          <w:rFonts w:ascii="Segoe UI" w:hAnsi="Segoe UI" w:cs="Segoe UI"/>
          <w:lang w:val="en-GB"/>
        </w:rPr>
        <w:t xml:space="preserve"> in their respective </w:t>
      </w:r>
      <w:r w:rsidRPr="00F6415D">
        <w:rPr>
          <w:rFonts w:ascii="Segoe UI" w:hAnsi="Segoe UI" w:cs="Segoe UI"/>
        </w:rPr>
        <w:t>state and territory. This is achieved through services such as the community education program which encourages and enables senior Australians to minimise the risks to their health and well-being. By delivering these services on a ‘peer education’ model, people are able learn about the services available within their local area from someone who is speaking from experience</w:t>
      </w:r>
      <w:r w:rsidRPr="00F6415D">
        <w:rPr>
          <w:rStyle w:val="EndnoteReference"/>
          <w:rFonts w:ascii="Segoe UI" w:hAnsi="Segoe UI" w:cs="Segoe UI"/>
        </w:rPr>
        <w:endnoteReference w:id="26"/>
      </w:r>
      <w:r w:rsidRPr="00F6415D">
        <w:rPr>
          <w:rFonts w:ascii="Segoe UI" w:hAnsi="Segoe UI" w:cs="Segoe UI"/>
        </w:rPr>
        <w:t xml:space="preserve">. </w:t>
      </w:r>
    </w:p>
    <w:p w:rsidR="00CE1469" w:rsidRPr="00F6415D" w:rsidRDefault="00CE1469" w:rsidP="0059246E">
      <w:pPr>
        <w:pStyle w:val="Heading4"/>
        <w:rPr>
          <w:rFonts w:ascii="Segoe UI" w:hAnsi="Segoe UI" w:cs="Segoe UI"/>
        </w:rPr>
      </w:pPr>
      <w:r w:rsidRPr="00F6415D">
        <w:rPr>
          <w:rFonts w:ascii="Segoe UI" w:hAnsi="Segoe UI" w:cs="Segoe UI"/>
        </w:rPr>
        <w:t>Informal sources of information</w:t>
      </w:r>
    </w:p>
    <w:p w:rsidR="00CE1469" w:rsidRPr="00F6415D" w:rsidRDefault="00CE1469" w:rsidP="0059246E">
      <w:pPr>
        <w:pStyle w:val="BodyText"/>
        <w:rPr>
          <w:rFonts w:ascii="Segoe UI" w:hAnsi="Segoe UI" w:cs="Segoe UI"/>
        </w:rPr>
      </w:pPr>
      <w:r w:rsidRPr="00F6415D">
        <w:rPr>
          <w:rFonts w:ascii="Segoe UI" w:hAnsi="Segoe UI" w:cs="Segoe UI"/>
        </w:rPr>
        <w:t>Throughout stakeholder consultations, it became apparent that consumers rely heavily on informal sources of information about aged care and the associated fees. Predominantly, this is in the form of conversations with and provision of information from friends, family, neighbours and acquaintances.</w:t>
      </w:r>
    </w:p>
    <w:p w:rsidR="00CE1469" w:rsidRPr="00F6415D" w:rsidRDefault="00CE1469" w:rsidP="0059246E">
      <w:pPr>
        <w:pStyle w:val="BodyText"/>
        <w:rPr>
          <w:rFonts w:ascii="Segoe UI" w:hAnsi="Segoe UI" w:cs="Segoe UI"/>
        </w:rPr>
      </w:pPr>
      <w:r w:rsidRPr="00F6415D">
        <w:rPr>
          <w:rFonts w:ascii="Segoe UI" w:hAnsi="Segoe UI" w:cs="Segoe UI"/>
        </w:rPr>
        <w:t xml:space="preserve">Information gained through consumer follow-up interviews indicate that this reliance on informal supports is predominantly related to the consumers’ inherent trust in the information provided by friends and family and their ability to quickly and easily clarify points of confusion or ask follow-up questions. </w:t>
      </w:r>
    </w:p>
    <w:p w:rsidR="00CE1469" w:rsidRPr="00F6415D" w:rsidRDefault="00CE1469" w:rsidP="0059246E">
      <w:pPr>
        <w:pStyle w:val="Heading4"/>
        <w:rPr>
          <w:rFonts w:ascii="Segoe UI" w:hAnsi="Segoe UI" w:cs="Segoe UI"/>
        </w:rPr>
      </w:pPr>
      <w:r w:rsidRPr="00F6415D">
        <w:rPr>
          <w:rFonts w:ascii="Segoe UI" w:hAnsi="Segoe UI" w:cs="Segoe UI"/>
        </w:rPr>
        <w:t>Elder abuse supports</w:t>
      </w:r>
    </w:p>
    <w:p w:rsidR="00CE1469" w:rsidRPr="00F6415D" w:rsidRDefault="00CE1469" w:rsidP="0059246E">
      <w:pPr>
        <w:pStyle w:val="BodyText"/>
        <w:rPr>
          <w:rFonts w:ascii="Segoe UI" w:hAnsi="Segoe UI" w:cs="Segoe UI"/>
        </w:rPr>
      </w:pPr>
      <w:r w:rsidRPr="00F6415D">
        <w:rPr>
          <w:rFonts w:ascii="Segoe UI" w:hAnsi="Segoe UI" w:cs="Segoe UI"/>
        </w:rPr>
        <w:t>Most states and territories have dedicated resources to prevent elder abuse, including financial abuse of elders. For example</w:t>
      </w:r>
      <w:r w:rsidRPr="00F6415D" w:rsidDel="00E66438">
        <w:rPr>
          <w:rFonts w:ascii="Segoe UI" w:hAnsi="Segoe UI" w:cs="Segoe UI"/>
        </w:rPr>
        <w:t xml:space="preserve"> </w:t>
      </w:r>
      <w:r w:rsidRPr="00F6415D">
        <w:rPr>
          <w:rFonts w:ascii="Segoe UI" w:hAnsi="Segoe UI" w:cs="Segoe UI"/>
        </w:rPr>
        <w:t xml:space="preserve">in NSW, the Elder Abuse Helpline and Resource Unit (EAHRU) provides a confidential helpline offering information, advice </w:t>
      </w:r>
      <w:r w:rsidRPr="00F6415D">
        <w:rPr>
          <w:rFonts w:ascii="Segoe UI" w:hAnsi="Segoe UI" w:cs="Segoe UI"/>
        </w:rPr>
        <w:lastRenderedPageBreak/>
        <w:t>and referrals for people who experience, witness or suspect the abuse of senior Australians living in their homes in NSW</w:t>
      </w:r>
      <w:r w:rsidRPr="00F6415D">
        <w:rPr>
          <w:rFonts w:ascii="Segoe UI" w:eastAsia="Segoe UI" w:hAnsi="Segoe UI" w:cs="Segoe UI"/>
          <w:vertAlign w:val="superscript"/>
        </w:rPr>
        <w:endnoteReference w:id="27"/>
      </w:r>
      <w:r w:rsidRPr="00F6415D">
        <w:rPr>
          <w:rFonts w:ascii="Segoe UI" w:hAnsi="Segoe UI" w:cs="Segoe UI"/>
        </w:rPr>
        <w:t xml:space="preserve">. </w:t>
      </w:r>
    </w:p>
    <w:p w:rsidR="00CE1469" w:rsidRPr="00F6415D" w:rsidRDefault="00CE1469" w:rsidP="0059246E">
      <w:pPr>
        <w:pStyle w:val="BodyText"/>
        <w:rPr>
          <w:rFonts w:ascii="Segoe UI" w:hAnsi="Segoe UI" w:cs="Segoe UI"/>
        </w:rPr>
      </w:pPr>
      <w:r w:rsidRPr="00F6415D">
        <w:rPr>
          <w:rFonts w:ascii="Segoe UI" w:hAnsi="Segoe UI" w:cs="Segoe UI"/>
        </w:rPr>
        <w:t>A similar approach is taken in various other states and territories across Australia with Queensland, Northern Territory, South Australia, Tasmania, Western Australia and ACT all providing an elder abuse helpline along with various other supports.</w:t>
      </w:r>
    </w:p>
    <w:p w:rsidR="00CE1469" w:rsidRPr="00F6415D" w:rsidRDefault="00CE1469" w:rsidP="0059246E">
      <w:pPr>
        <w:pStyle w:val="Heading4"/>
        <w:rPr>
          <w:rFonts w:ascii="Segoe UI" w:hAnsi="Segoe UI" w:cs="Segoe UI"/>
        </w:rPr>
      </w:pPr>
      <w:r w:rsidRPr="00F6415D">
        <w:rPr>
          <w:rFonts w:ascii="Segoe UI" w:hAnsi="Segoe UI" w:cs="Segoe UI"/>
        </w:rPr>
        <w:t>Advance care planning</w:t>
      </w:r>
    </w:p>
    <w:p w:rsidR="00CE1469" w:rsidRPr="00F6415D" w:rsidRDefault="00CE1469" w:rsidP="0059246E">
      <w:pPr>
        <w:pStyle w:val="BodyText"/>
        <w:rPr>
          <w:rFonts w:ascii="Segoe UI" w:hAnsi="Segoe UI" w:cs="Segoe UI"/>
        </w:rPr>
      </w:pPr>
      <w:r w:rsidRPr="00F6415D">
        <w:rPr>
          <w:rFonts w:ascii="Segoe UI" w:hAnsi="Segoe UI" w:cs="Segoe UI"/>
        </w:rPr>
        <w:t xml:space="preserve">Advance care planning involves consumers discussing with their families and trusted supports their future wishes surrounding future care, and health interventions in the advent of serious illness and injury. These wishes and directions are recorded in an appropriate advance care planning format, which is provided to health and aged care providers. </w:t>
      </w:r>
    </w:p>
    <w:p w:rsidR="00CE1469" w:rsidRPr="00F6415D" w:rsidRDefault="00CE1469" w:rsidP="0059246E">
      <w:pPr>
        <w:pStyle w:val="BodyText"/>
        <w:rPr>
          <w:rFonts w:ascii="Segoe UI" w:hAnsi="Segoe UI" w:cs="Segoe UI"/>
        </w:rPr>
      </w:pPr>
      <w:r w:rsidRPr="00F6415D">
        <w:rPr>
          <w:rFonts w:ascii="Segoe UI" w:hAnsi="Segoe UI" w:cs="Segoe UI"/>
        </w:rPr>
        <w:t>For some consumers, the advance care planning process is the first time they have considered their future health needs and forms a routine part of a person's health care. When a person's values are discussed openly, their healthcare preferences can be respected at a time when they cannot voice their decisions. It is an ongoing process that needs cooperation between consumers, their families, care workers, and health professionals as well as community organisations and healthcare organisations</w:t>
      </w:r>
      <w:r w:rsidR="001B5BED" w:rsidRPr="00F6415D">
        <w:rPr>
          <w:rFonts w:ascii="Segoe UI" w:hAnsi="Segoe UI" w:cs="Segoe UI"/>
        </w:rPr>
        <w:t xml:space="preserve">. </w:t>
      </w:r>
    </w:p>
    <w:p w:rsidR="00CE1469" w:rsidRPr="00F6415D" w:rsidRDefault="00CE1469" w:rsidP="0059246E">
      <w:pPr>
        <w:pStyle w:val="BodyText"/>
        <w:rPr>
          <w:rFonts w:ascii="Segoe UI" w:hAnsi="Segoe UI" w:cs="Segoe UI"/>
        </w:rPr>
      </w:pPr>
      <w:r w:rsidRPr="00F6415D">
        <w:rPr>
          <w:rFonts w:ascii="Segoe UI" w:hAnsi="Segoe UI" w:cs="Segoe UI"/>
        </w:rPr>
        <w:t>Advance Care Planning Australia is a national program funded by the Department of Health that provides information and resources to consumers, care workers and healthcare professionals to improve this cooperation.</w:t>
      </w:r>
      <w:r w:rsidRPr="00F6415D">
        <w:rPr>
          <w:rFonts w:ascii="Segoe UI" w:eastAsia="Segoe UI" w:hAnsi="Segoe UI" w:cs="Segoe UI"/>
          <w:vertAlign w:val="superscript"/>
        </w:rPr>
        <w:endnoteReference w:id="28"/>
      </w:r>
    </w:p>
    <w:p w:rsidR="00CE1469" w:rsidRPr="00F6415D" w:rsidRDefault="00CE1469" w:rsidP="0059246E">
      <w:pPr>
        <w:pStyle w:val="BodyText"/>
        <w:rPr>
          <w:rFonts w:ascii="Segoe UI" w:hAnsi="Segoe UI" w:cs="Segoe UI"/>
        </w:rPr>
      </w:pPr>
      <w:r w:rsidRPr="00F6415D">
        <w:rPr>
          <w:rFonts w:ascii="Segoe UI" w:hAnsi="Segoe UI" w:cs="Segoe UI"/>
        </w:rPr>
        <w:t>Consumer follow-up consultations identified that knowledge and awareness of advanced care planning is low. When asked if they participate in advanced care planning, respondents did not understand what this meant, and when further explained consumers largely indicated they had not undertaken any planning of this nature.</w:t>
      </w:r>
    </w:p>
    <w:p w:rsidR="00CE1469" w:rsidRPr="00F6415D" w:rsidRDefault="00CE1469" w:rsidP="0059246E">
      <w:pPr>
        <w:pStyle w:val="Heading4"/>
        <w:rPr>
          <w:rFonts w:ascii="Segoe UI" w:hAnsi="Segoe UI" w:cs="Segoe UI"/>
        </w:rPr>
      </w:pPr>
      <w:r w:rsidRPr="00F6415D">
        <w:rPr>
          <w:rFonts w:ascii="Segoe UI" w:hAnsi="Segoe UI" w:cs="Segoe UI"/>
        </w:rPr>
        <w:t>General Practitioners</w:t>
      </w:r>
    </w:p>
    <w:p w:rsidR="00CE1469" w:rsidRPr="00F6415D" w:rsidRDefault="00CE1469" w:rsidP="0059246E">
      <w:pPr>
        <w:pStyle w:val="BodyText"/>
        <w:rPr>
          <w:rFonts w:ascii="Segoe UI" w:hAnsi="Segoe UI" w:cs="Segoe UI"/>
        </w:rPr>
      </w:pPr>
      <w:bookmarkStart w:id="352" w:name="_Toc529890602"/>
      <w:r w:rsidRPr="00F6415D">
        <w:rPr>
          <w:rFonts w:ascii="Segoe UI" w:hAnsi="Segoe UI" w:cs="Segoe UI"/>
        </w:rPr>
        <w:t xml:space="preserve">As font line health workers, general practitioners (GPs) combine physical, psychological and social aspects of care and often notice a decline in their patient before family members notice. However, stakeholder consultations identified the need for GPs to have more of an educative role in the aged care planning process. This is due to the interaction GPs have with consumers prior to their entry into the aged care system and, as a result, it was felt that GPs were in the best position to assist </w:t>
      </w:r>
      <w:r w:rsidRPr="00F6415D">
        <w:rPr>
          <w:rFonts w:ascii="Segoe UI" w:hAnsi="Segoe UI" w:cs="Segoe UI"/>
          <w:lang w:val="en"/>
        </w:rPr>
        <w:t xml:space="preserve">senior </w:t>
      </w:r>
      <w:r w:rsidRPr="00F6415D">
        <w:rPr>
          <w:rFonts w:ascii="Segoe UI" w:hAnsi="Segoe UI" w:cs="Segoe UI"/>
        </w:rPr>
        <w:t>Australians and their families to access early planning for aged care. Consumer follow-up consultations identified that GPs were seen as a key source of information, and GP practices and waiting rooms were a good mechanism to promote and view information.</w:t>
      </w:r>
    </w:p>
    <w:p w:rsidR="00CE1469" w:rsidRPr="00F6415D" w:rsidRDefault="00CE1469" w:rsidP="0059246E">
      <w:pPr>
        <w:pStyle w:val="BodyText"/>
        <w:rPr>
          <w:rFonts w:ascii="Segoe UI" w:hAnsi="Segoe UI" w:cs="Segoe UI"/>
        </w:rPr>
      </w:pPr>
      <w:r w:rsidRPr="00F6415D">
        <w:rPr>
          <w:rFonts w:ascii="Segoe UI" w:hAnsi="Segoe UI" w:cs="Segoe UI"/>
        </w:rPr>
        <w:t xml:space="preserve">Previously, the Department has undertaken e-marketing to GPs following the 2017 campaign to increase connection between GPs and the My Aged Care system. The Department has also distributed resources and developed videos aimed at senior Australians for GP waiting rooms. </w:t>
      </w:r>
    </w:p>
    <w:p w:rsidR="00CE1469" w:rsidRPr="00F6415D" w:rsidRDefault="00CE1469" w:rsidP="0059246E">
      <w:pPr>
        <w:pStyle w:val="Heading3"/>
        <w:rPr>
          <w:rFonts w:ascii="Segoe UI" w:hAnsi="Segoe UI" w:cs="Segoe UI"/>
        </w:rPr>
      </w:pPr>
      <w:bookmarkStart w:id="353" w:name="_Toc531271111"/>
      <w:bookmarkStart w:id="354" w:name="_Toc532206407"/>
      <w:r w:rsidRPr="00F6415D">
        <w:rPr>
          <w:rFonts w:ascii="Segoe UI" w:hAnsi="Segoe UI" w:cs="Segoe UI"/>
        </w:rPr>
        <w:lastRenderedPageBreak/>
        <w:t>Benchmarking retiree income needs</w:t>
      </w:r>
      <w:bookmarkEnd w:id="352"/>
      <w:bookmarkEnd w:id="353"/>
      <w:bookmarkEnd w:id="354"/>
    </w:p>
    <w:p w:rsidR="00CE1469" w:rsidRPr="00F6415D" w:rsidRDefault="00CE1469" w:rsidP="0059246E">
      <w:pPr>
        <w:pStyle w:val="BodyText"/>
        <w:rPr>
          <w:rFonts w:ascii="Segoe UI" w:hAnsi="Segoe UI" w:cs="Segoe UI"/>
        </w:rPr>
      </w:pPr>
      <w:bookmarkStart w:id="355" w:name="_Toc528224279"/>
      <w:bookmarkStart w:id="356" w:name="_Toc528861161"/>
      <w:bookmarkStart w:id="357" w:name="_Toc529890603"/>
      <w:r w:rsidRPr="00F6415D">
        <w:rPr>
          <w:rFonts w:ascii="Segoe UI" w:hAnsi="Segoe UI" w:cs="Segoe UI"/>
        </w:rPr>
        <w:t xml:space="preserve">Various organisations have conducted surveys to benchmark income needs for retirees. These benchmarks aim to help consumers with planning for retirement by indicating what income a typical person needs to live on in retirement and what level of savings may be needed to generate that income. </w:t>
      </w:r>
    </w:p>
    <w:p w:rsidR="00CE1469" w:rsidRPr="00F6415D" w:rsidRDefault="00CE1469" w:rsidP="0059246E">
      <w:pPr>
        <w:pStyle w:val="BodyText"/>
        <w:rPr>
          <w:rFonts w:ascii="Segoe UI" w:hAnsi="Segoe UI" w:cs="Segoe UI"/>
        </w:rPr>
      </w:pPr>
      <w:r w:rsidRPr="00F6415D">
        <w:rPr>
          <w:rFonts w:ascii="Segoe UI" w:hAnsi="Segoe UI" w:cs="Segoe UI"/>
        </w:rPr>
        <w:t>The various benchmarks create different outcomes depending on the assumptions and methodology used. However, it is important to note, that these benchmarks still tend to assume the consumer is in good health with high levels of independence and do not include any significant costs of aged care services.</w:t>
      </w:r>
    </w:p>
    <w:p w:rsidR="00CE1469" w:rsidRPr="00F6415D" w:rsidRDefault="00CE1469" w:rsidP="0059246E">
      <w:pPr>
        <w:pStyle w:val="Heading2"/>
        <w:rPr>
          <w:rFonts w:ascii="Segoe UI" w:hAnsi="Segoe UI" w:cs="Segoe UI"/>
        </w:rPr>
      </w:pPr>
      <w:bookmarkStart w:id="358" w:name="_Toc531271112"/>
      <w:bookmarkStart w:id="359" w:name="_Ref531779105"/>
      <w:bookmarkStart w:id="360" w:name="_Toc532206408"/>
      <w:r w:rsidRPr="00F6415D">
        <w:rPr>
          <w:rFonts w:ascii="Segoe UI" w:hAnsi="Segoe UI" w:cs="Segoe UI"/>
        </w:rPr>
        <w:lastRenderedPageBreak/>
        <w:t>Challenges with sources of information and advice</w:t>
      </w:r>
      <w:bookmarkEnd w:id="355"/>
      <w:bookmarkEnd w:id="356"/>
      <w:bookmarkEnd w:id="357"/>
      <w:bookmarkEnd w:id="358"/>
      <w:bookmarkEnd w:id="359"/>
      <w:bookmarkEnd w:id="360"/>
    </w:p>
    <w:p w:rsidR="00CE1469" w:rsidRPr="00F6415D" w:rsidRDefault="00CE1469" w:rsidP="0059246E">
      <w:pPr>
        <w:pStyle w:val="BodyText"/>
        <w:rPr>
          <w:rFonts w:ascii="Segoe UI" w:hAnsi="Segoe UI" w:cs="Segoe UI"/>
        </w:rPr>
      </w:pPr>
      <w:bookmarkStart w:id="361" w:name="_Toc528224280"/>
      <w:bookmarkStart w:id="362" w:name="_Toc528861162"/>
      <w:bookmarkStart w:id="363" w:name="_Toc529890604"/>
      <w:r w:rsidRPr="00F6415D">
        <w:rPr>
          <w:rFonts w:ascii="Segoe UI" w:hAnsi="Segoe UI" w:cs="Segoe UI"/>
        </w:rPr>
        <w:t>This chapter provides a summary of the findings from the ACFA consumer survey and stakeholder consultations regarding the challenges identified with sources of information and advice. When consumers sought advice it was primarily in relation to residential care and as such this chapter primarily discusses the challenges associated with accessing residential aged care. This includes challenges with:</w:t>
      </w:r>
    </w:p>
    <w:p w:rsidR="00CE1469" w:rsidRPr="00F6415D" w:rsidRDefault="00CE1469" w:rsidP="0059246E">
      <w:pPr>
        <w:pStyle w:val="ListBullet"/>
        <w:rPr>
          <w:rFonts w:ascii="Segoe UI" w:hAnsi="Segoe UI" w:cs="Segoe UI"/>
        </w:rPr>
      </w:pPr>
      <w:r w:rsidRPr="00F6415D">
        <w:rPr>
          <w:rFonts w:ascii="Segoe UI" w:hAnsi="Segoe UI" w:cs="Segoe UI"/>
        </w:rPr>
        <w:t>Government information services</w:t>
      </w:r>
    </w:p>
    <w:p w:rsidR="00CE1469" w:rsidRPr="00F6415D" w:rsidRDefault="00CE1469" w:rsidP="0059246E">
      <w:pPr>
        <w:pStyle w:val="ListBullet"/>
        <w:rPr>
          <w:rFonts w:ascii="Segoe UI" w:hAnsi="Segoe UI" w:cs="Segoe UI"/>
        </w:rPr>
      </w:pPr>
      <w:r w:rsidRPr="00F6415D">
        <w:rPr>
          <w:rFonts w:ascii="Segoe UI" w:hAnsi="Segoe UI" w:cs="Segoe UI"/>
        </w:rPr>
        <w:t>financial planning industry</w:t>
      </w:r>
    </w:p>
    <w:p w:rsidR="00CE1469" w:rsidRPr="00F6415D" w:rsidRDefault="00CE1469" w:rsidP="0059246E">
      <w:pPr>
        <w:pStyle w:val="ListBullet"/>
        <w:rPr>
          <w:rFonts w:ascii="Segoe UI" w:hAnsi="Segoe UI" w:cs="Segoe UI"/>
        </w:rPr>
      </w:pPr>
      <w:r w:rsidRPr="00F6415D">
        <w:rPr>
          <w:rFonts w:ascii="Segoe UI" w:hAnsi="Segoe UI" w:cs="Segoe UI"/>
        </w:rPr>
        <w:t>aged care providers and placement agencies</w:t>
      </w:r>
    </w:p>
    <w:p w:rsidR="00CE1469" w:rsidRPr="00F6415D" w:rsidRDefault="00CE1469" w:rsidP="0059246E">
      <w:pPr>
        <w:pStyle w:val="ListBullet"/>
        <w:rPr>
          <w:rFonts w:ascii="Segoe UI" w:hAnsi="Segoe UI" w:cs="Segoe UI"/>
        </w:rPr>
      </w:pPr>
      <w:r w:rsidRPr="00F6415D">
        <w:rPr>
          <w:rFonts w:ascii="Segoe UI" w:hAnsi="Segoe UI" w:cs="Segoe UI"/>
        </w:rPr>
        <w:t>benchmarking retiree income needs</w:t>
      </w:r>
    </w:p>
    <w:p w:rsidR="00CE1469" w:rsidRPr="00F6415D" w:rsidRDefault="00CE1469" w:rsidP="0059246E">
      <w:pPr>
        <w:pStyle w:val="ListBullet"/>
        <w:rPr>
          <w:rFonts w:ascii="Segoe UI" w:hAnsi="Segoe UI" w:cs="Segoe UI"/>
        </w:rPr>
      </w:pPr>
      <w:r w:rsidRPr="00F6415D">
        <w:rPr>
          <w:rFonts w:ascii="Segoe UI" w:hAnsi="Segoe UI" w:cs="Segoe UI"/>
        </w:rPr>
        <w:t>lack of forward planning for care</w:t>
      </w:r>
    </w:p>
    <w:p w:rsidR="00CE1469" w:rsidRPr="00F6415D" w:rsidRDefault="00CE1469" w:rsidP="0059246E">
      <w:pPr>
        <w:pStyle w:val="Heading3"/>
        <w:rPr>
          <w:rFonts w:ascii="Segoe UI" w:eastAsia="Segoe UI" w:hAnsi="Segoe UI" w:cs="Segoe UI"/>
        </w:rPr>
      </w:pPr>
      <w:bookmarkStart w:id="364" w:name="_Toc531271113"/>
      <w:bookmarkStart w:id="365" w:name="_Toc532206409"/>
      <w:r w:rsidRPr="00F6415D">
        <w:rPr>
          <w:rFonts w:ascii="Segoe UI" w:eastAsia="Segoe UI" w:hAnsi="Segoe UI" w:cs="Segoe UI"/>
        </w:rPr>
        <w:t>Government information services</w:t>
      </w:r>
      <w:bookmarkEnd w:id="361"/>
      <w:bookmarkEnd w:id="362"/>
      <w:bookmarkEnd w:id="363"/>
      <w:bookmarkEnd w:id="364"/>
      <w:bookmarkEnd w:id="365"/>
    </w:p>
    <w:p w:rsidR="00CE1469" w:rsidRPr="00F6415D" w:rsidRDefault="00CE1469" w:rsidP="0059246E">
      <w:pPr>
        <w:pStyle w:val="Heading4"/>
        <w:rPr>
          <w:rFonts w:ascii="Segoe UI" w:eastAsia="Segoe UI" w:hAnsi="Segoe UI" w:cs="Segoe UI"/>
        </w:rPr>
      </w:pPr>
      <w:bookmarkStart w:id="366" w:name="_Ref531170886"/>
      <w:r w:rsidRPr="00F6415D">
        <w:rPr>
          <w:rFonts w:ascii="Segoe UI" w:eastAsia="Segoe UI" w:hAnsi="Segoe UI" w:cs="Segoe UI"/>
        </w:rPr>
        <w:t>My Aged Care</w:t>
      </w:r>
      <w:bookmarkEnd w:id="366"/>
    </w:p>
    <w:p w:rsidR="00CE1469" w:rsidRPr="00F6415D" w:rsidRDefault="00CE1469" w:rsidP="0059246E">
      <w:pPr>
        <w:pStyle w:val="BodyText"/>
        <w:rPr>
          <w:rFonts w:ascii="Segoe UI" w:hAnsi="Segoe UI" w:cs="Segoe UI"/>
        </w:rPr>
      </w:pPr>
      <w:r w:rsidRPr="00F6415D">
        <w:rPr>
          <w:rFonts w:ascii="Segoe UI" w:hAnsi="Segoe UI" w:cs="Segoe UI"/>
          <w:lang w:val="en"/>
        </w:rPr>
        <w:t xml:space="preserve">Stakeholders reported that </w:t>
      </w:r>
      <w:r w:rsidRPr="00F6415D">
        <w:rPr>
          <w:rFonts w:ascii="Segoe UI" w:hAnsi="Segoe UI" w:cs="Segoe UI"/>
        </w:rPr>
        <w:t>My Aged Care was a useful tool for initial enquiries about entry into the aged care system. In particular, aged care providers identified that consumers and family members who had accessed My Aged Care are more informed in terms of the critical questions to ask of providers, including financial aspects, and in arranging the necessary forms and applications.</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 xml:space="preserve">However, some consumer groups advised that </w:t>
      </w:r>
      <w:r w:rsidRPr="00F6415D">
        <w:rPr>
          <w:rFonts w:ascii="Segoe UI" w:hAnsi="Segoe UI" w:cs="Segoe UI"/>
        </w:rPr>
        <w:t xml:space="preserve">consumers </w:t>
      </w:r>
      <w:r w:rsidRPr="00F6415D">
        <w:rPr>
          <w:rFonts w:ascii="Segoe UI" w:hAnsi="Segoe UI" w:cs="Segoe UI"/>
          <w:lang w:val="en"/>
        </w:rPr>
        <w:t>are often either not aware of the website or find it difficult to navigate. In particular, those with a CALD background and Aboriginal and Torres Strait Islander people advised that they often require additional and culturally appropriate assistance to navigate the system.</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 xml:space="preserve">Consumers expressed confusion about the roles and responsibilities of various stakeholders that are presented on My Aged Care. These include: health professionals; My Aged Care contact center; Department of Human Services; Department of Veterans’ Affairs; assessors; and aged care providers. </w:t>
      </w:r>
    </w:p>
    <w:p w:rsidR="00CE1469" w:rsidRPr="00F6415D" w:rsidRDefault="00CE1469" w:rsidP="00CE1469">
      <w:pPr>
        <w:rPr>
          <w:rFonts w:ascii="Segoe UI" w:hAnsi="Segoe UI" w:cs="Segoe UI"/>
          <w:lang w:val="en"/>
        </w:rPr>
      </w:pPr>
      <w:r w:rsidRPr="00F6415D">
        <w:rPr>
          <w:rFonts w:ascii="Segoe UI" w:hAnsi="Segoe UI" w:cs="Segoe UI"/>
          <w:lang w:val="en"/>
        </w:rPr>
        <w:t>My Aged Care does mention very briefly the importance of seeking financial advice. The issue for consumers is in finding an adviser who is experienced and accredited in aged care advice. The website provides a link to the ASIC Money Smart Financial Advisers Register but the problem is that because aged care advice is not listed as a competency within the Corporations Act, advisers cannot indicate that they provide aged care advice. This makes it difficult for consumers to identify who they should contact.</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While the My Aged Care website was recently redeveloped to better map consumer pathways, some stakeholder consultations advised that frequent changes to the website make it hard to develop and maintain familiarity with the resource and can be a barrier to proactively engaging with the system. Furthermore, when they navigate the My Aged Care website, the information is sometimes presented through circular linking pages, which does not provide adequate resolution.</w:t>
      </w:r>
    </w:p>
    <w:p w:rsidR="00CE1469" w:rsidRPr="00F6415D" w:rsidRDefault="00CE1469" w:rsidP="0059246E">
      <w:pPr>
        <w:pStyle w:val="BodyText"/>
        <w:rPr>
          <w:rFonts w:ascii="Segoe UI" w:hAnsi="Segoe UI" w:cs="Segoe UI"/>
          <w:lang w:val="en"/>
        </w:rPr>
      </w:pPr>
      <w:r w:rsidRPr="00F6415D">
        <w:rPr>
          <w:rFonts w:ascii="Segoe UI" w:hAnsi="Segoe UI" w:cs="Segoe UI"/>
        </w:rPr>
        <w:lastRenderedPageBreak/>
        <w:t xml:space="preserve">The 2018-19 </w:t>
      </w:r>
      <w:r w:rsidRPr="00F6415D">
        <w:rPr>
          <w:rFonts w:ascii="Segoe UI" w:hAnsi="Segoe UI" w:cs="Segoe UI"/>
          <w:i/>
        </w:rPr>
        <w:t>Better Access to Care – improving access to aged care through My Aged Care</w:t>
      </w:r>
      <w:r w:rsidRPr="00F6415D">
        <w:rPr>
          <w:rFonts w:ascii="Segoe UI" w:hAnsi="Segoe UI" w:cs="Segoe UI"/>
        </w:rPr>
        <w:t xml:space="preserve"> measure provided funding to make it easier for senior Australians to use My Aged Care by enhancing self-service options and improving website and aged care service finder functionality. My Aged Care will be improved to make it easier to use, along with simplifying the forms required to apply for aged care services. A comprehensive navigator for the aged care system will be designed and trialled, including outreach services to help older Australians make informed choices about their aged care needs.</w:t>
      </w:r>
    </w:p>
    <w:p w:rsidR="00CE1469" w:rsidRPr="00F6415D" w:rsidRDefault="00CE1469" w:rsidP="0059246E">
      <w:pPr>
        <w:pStyle w:val="Heading4"/>
        <w:rPr>
          <w:rFonts w:ascii="Segoe UI" w:hAnsi="Segoe UI" w:cs="Segoe UI"/>
        </w:rPr>
      </w:pPr>
      <w:r w:rsidRPr="00F6415D">
        <w:rPr>
          <w:rFonts w:ascii="Segoe UI" w:eastAsia="Segoe UI" w:hAnsi="Segoe UI" w:cs="Segoe UI"/>
        </w:rPr>
        <w:t>Financial information service (FIS)</w:t>
      </w:r>
    </w:p>
    <w:p w:rsidR="00CE1469" w:rsidRPr="00F6415D" w:rsidRDefault="00CE1469" w:rsidP="0059246E">
      <w:pPr>
        <w:pStyle w:val="BodyText"/>
        <w:rPr>
          <w:rFonts w:ascii="Segoe UI" w:hAnsi="Segoe UI" w:cs="Segoe UI"/>
        </w:rPr>
      </w:pPr>
      <w:r w:rsidRPr="00F6415D">
        <w:rPr>
          <w:rFonts w:ascii="Segoe UI" w:hAnsi="Segoe UI" w:cs="Segoe UI"/>
        </w:rPr>
        <w:t xml:space="preserve">A minority of aged care service providers indicated that they refer </w:t>
      </w:r>
      <w:r w:rsidRPr="00F6415D">
        <w:rPr>
          <w:rFonts w:ascii="Segoe UI" w:hAnsi="Segoe UI" w:cs="Segoe UI"/>
          <w:lang w:val="en"/>
        </w:rPr>
        <w:t xml:space="preserve">senior </w:t>
      </w:r>
      <w:r w:rsidRPr="00F6415D">
        <w:rPr>
          <w:rFonts w:ascii="Segoe UI" w:hAnsi="Segoe UI" w:cs="Segoe UI"/>
        </w:rPr>
        <w:t>Australians and their families to the FIS for financial information and explanations (this service offered by the FIS was not widely known amongst providers). However, they also identified that it is increasingly difficult to obtain an appointment with a FIS Officer which is an issue for consumers who need information urgently.</w:t>
      </w:r>
    </w:p>
    <w:p w:rsidR="00CE1469" w:rsidRPr="00F6415D" w:rsidRDefault="00CE1469" w:rsidP="0059246E">
      <w:pPr>
        <w:pStyle w:val="BodyText"/>
        <w:rPr>
          <w:rFonts w:ascii="Segoe UI" w:hAnsi="Segoe UI" w:cs="Segoe UI"/>
        </w:rPr>
      </w:pPr>
      <w:r w:rsidRPr="00F6415D">
        <w:rPr>
          <w:rFonts w:ascii="Segoe UI" w:hAnsi="Segoe UI" w:cs="Segoe UI"/>
        </w:rPr>
        <w:t>Some stakeholders were concerned with reports that (on occasion) some FIS officers had advised consumers not to seek additional advice from financial planners. FIS officers are unable to provide financial advice, and while it is not necessary to seek advice from a financial planner, particularly when financial affairs are relatively simple, consumers should not be dissuaded from seeking such advice if they desire it. Conversely, ACFA is aware that FIS officers can and do recommend that consumers seek financial advice in some situations.</w:t>
      </w:r>
    </w:p>
    <w:p w:rsidR="00CE1469" w:rsidRPr="00F6415D" w:rsidRDefault="00CE1469" w:rsidP="0059246E">
      <w:pPr>
        <w:pStyle w:val="BodyText"/>
        <w:rPr>
          <w:rFonts w:ascii="Segoe UI" w:hAnsi="Segoe UI" w:cs="Segoe UI"/>
        </w:rPr>
      </w:pPr>
      <w:r w:rsidRPr="00F6415D">
        <w:rPr>
          <w:rFonts w:ascii="Segoe UI" w:hAnsi="Segoe UI" w:cs="Segoe UI"/>
        </w:rPr>
        <w:t xml:space="preserve">The Department of Health has discussed this matter with the Department of Human Services. </w:t>
      </w:r>
    </w:p>
    <w:p w:rsidR="00CE1469" w:rsidRPr="00F6415D" w:rsidRDefault="00CE1469" w:rsidP="0059246E">
      <w:pPr>
        <w:pStyle w:val="Heading4"/>
        <w:rPr>
          <w:rFonts w:ascii="Segoe UI" w:hAnsi="Segoe UI" w:cs="Segoe UI"/>
        </w:rPr>
      </w:pPr>
      <w:r w:rsidRPr="00F6415D">
        <w:rPr>
          <w:rFonts w:ascii="Segoe UI" w:hAnsi="Segoe UI" w:cs="Segoe UI"/>
        </w:rPr>
        <w:t>MoneySmart</w:t>
      </w:r>
    </w:p>
    <w:p w:rsidR="00CE1469" w:rsidRPr="00F6415D" w:rsidRDefault="00CE1469" w:rsidP="0059246E">
      <w:pPr>
        <w:pStyle w:val="BodyText"/>
        <w:rPr>
          <w:rFonts w:ascii="Segoe UI" w:hAnsi="Segoe UI" w:cs="Segoe UI"/>
        </w:rPr>
      </w:pPr>
      <w:r w:rsidRPr="00F6415D">
        <w:rPr>
          <w:rFonts w:ascii="Segoe UI" w:hAnsi="Segoe UI" w:cs="Segoe UI"/>
        </w:rPr>
        <w:t>While ASIC’s MoneySmart website provides information to help consumers manage their money, the steps identified to help consumers set their goals and advice needs lacks the concept of planning for aged care needs. As with other retirement planning tools, it suggests consumers long term planning stops at achieving a certain level of income in retirement.</w:t>
      </w:r>
      <w:r w:rsidRPr="00F6415D">
        <w:rPr>
          <w:rStyle w:val="EndnoteReference"/>
          <w:rFonts w:ascii="Segoe UI" w:hAnsi="Segoe UI" w:cs="Segoe UI"/>
        </w:rPr>
        <w:endnoteReference w:id="29"/>
      </w:r>
    </w:p>
    <w:p w:rsidR="00CE1469" w:rsidRPr="00F6415D" w:rsidRDefault="00CE1469" w:rsidP="0059246E">
      <w:pPr>
        <w:pStyle w:val="BodyText"/>
        <w:rPr>
          <w:rFonts w:ascii="Segoe UI" w:hAnsi="Segoe UI" w:cs="Segoe UI"/>
        </w:rPr>
      </w:pPr>
      <w:r w:rsidRPr="00F6415D">
        <w:rPr>
          <w:rFonts w:ascii="Segoe UI" w:hAnsi="Segoe UI" w:cs="Segoe UI"/>
        </w:rPr>
        <w:t>ACFA considers that further work is required on this tool to encourage and enable consumers to plan for their future aged care needs.</w:t>
      </w:r>
    </w:p>
    <w:p w:rsidR="00CE1469" w:rsidRPr="00F6415D" w:rsidRDefault="00CE1469" w:rsidP="0059246E">
      <w:pPr>
        <w:pStyle w:val="Heading4"/>
        <w:rPr>
          <w:rFonts w:ascii="Segoe UI" w:hAnsi="Segoe UI" w:cs="Segoe UI"/>
          <w:lang w:eastAsia="en-AU"/>
        </w:rPr>
      </w:pPr>
      <w:r w:rsidRPr="00F6415D">
        <w:rPr>
          <w:rFonts w:ascii="Segoe UI" w:hAnsi="Segoe UI" w:cs="Segoe UI"/>
          <w:lang w:eastAsia="en-AU"/>
        </w:rPr>
        <w:t>Department of Human Services</w:t>
      </w:r>
    </w:p>
    <w:p w:rsidR="00CE1469" w:rsidRPr="00F6415D" w:rsidRDefault="00CE1469" w:rsidP="0059246E">
      <w:pPr>
        <w:pStyle w:val="BodyText"/>
        <w:rPr>
          <w:rFonts w:ascii="Segoe UI" w:hAnsi="Segoe UI" w:cs="Segoe UI"/>
          <w:lang w:val="en"/>
        </w:rPr>
      </w:pPr>
      <w:bookmarkStart w:id="367" w:name="_Toc528224281"/>
      <w:bookmarkStart w:id="368" w:name="_Toc528861163"/>
      <w:bookmarkStart w:id="369" w:name="_Toc529890605"/>
      <w:r w:rsidRPr="00F6415D">
        <w:rPr>
          <w:rFonts w:ascii="Segoe UI" w:hAnsi="Segoe UI" w:cs="Segoe UI"/>
          <w:lang w:eastAsia="en-AU"/>
        </w:rPr>
        <w:t xml:space="preserve">Stakeholder consultations </w:t>
      </w:r>
      <w:r w:rsidRPr="00F6415D">
        <w:rPr>
          <w:rFonts w:ascii="Segoe UI" w:hAnsi="Segoe UI" w:cs="Segoe UI"/>
          <w:lang w:val="en"/>
        </w:rPr>
        <w:t>advised that a significant amount of time is spent on hold to the Department of Human Services (DHS) provider and consumer enquiry lines waiting to discuss incorrect means test assessments. Some reported waiting up to half an hour before their call was answered but noted that their issues were often then quickly resolved.</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 xml:space="preserve">However, financial advisors report that the errors and inconsistencies in recorded data between Centrelink records and aged care records is difficult and time consuming to rectify. Some advisors have found they need to employ staff to deal with the DHS interactions and resolve issues for clients. </w:t>
      </w:r>
    </w:p>
    <w:p w:rsidR="00CE1469" w:rsidRPr="00F6415D" w:rsidRDefault="00CE1469" w:rsidP="00CE1469">
      <w:pPr>
        <w:pStyle w:val="BodyText"/>
        <w:rPr>
          <w:rFonts w:ascii="Segoe UI" w:hAnsi="Segoe UI" w:cs="Segoe UI"/>
          <w:lang w:val="en"/>
        </w:rPr>
      </w:pPr>
      <w:r w:rsidRPr="00F6415D">
        <w:rPr>
          <w:rFonts w:ascii="Segoe UI" w:hAnsi="Segoe UI" w:cs="Segoe UI"/>
          <w:lang w:val="en"/>
        </w:rPr>
        <w:lastRenderedPageBreak/>
        <w:t>The quality of the information provided in the fee advice notification letters was also raised as an issue for consumers. It was reported that the letters did not clearly inform the consumer if they needed to agree an accommodation price with their provider or if they were required to pay an accommodation contribution. This resulted in large debts accruing until the misunderstanding was resolved.</w:t>
      </w:r>
    </w:p>
    <w:p w:rsidR="00CE1469" w:rsidRPr="00F6415D" w:rsidRDefault="00CE1469" w:rsidP="00CE1469">
      <w:pPr>
        <w:pStyle w:val="BodyText"/>
        <w:rPr>
          <w:rFonts w:ascii="Segoe UI" w:hAnsi="Segoe UI" w:cs="Segoe UI"/>
          <w:lang w:eastAsia="en-AU"/>
        </w:rPr>
      </w:pPr>
      <w:r w:rsidRPr="00F6415D">
        <w:rPr>
          <w:rFonts w:ascii="Segoe UI" w:hAnsi="Segoe UI" w:cs="Segoe UI"/>
        </w:rPr>
        <w:t xml:space="preserve">The 2018-19 </w:t>
      </w:r>
      <w:r w:rsidRPr="00F6415D">
        <w:rPr>
          <w:rFonts w:ascii="Segoe UI" w:hAnsi="Segoe UI" w:cs="Segoe UI"/>
          <w:i/>
        </w:rPr>
        <w:t>Better Access to Care – simpler forms</w:t>
      </w:r>
      <w:r w:rsidRPr="00F6415D">
        <w:rPr>
          <w:rFonts w:ascii="Segoe UI" w:hAnsi="Segoe UI" w:cs="Segoe UI"/>
        </w:rPr>
        <w:t xml:space="preserve"> measure will simplify the means test assessment form and establish a Forms Taskforce to create a simpler short form for consumers who have straightforward financial affairs. It is anticipated that this new form will be implemented in May 2019. In addition, the Taskforce will also make recommendations on simplifying the means testing forms and process for all aged care consumers, including for consumers with more complex financial affairs.</w:t>
      </w:r>
    </w:p>
    <w:p w:rsidR="00CE1469" w:rsidRPr="00F6415D" w:rsidRDefault="00CE1469" w:rsidP="0059246E">
      <w:pPr>
        <w:pStyle w:val="Heading3"/>
        <w:rPr>
          <w:rFonts w:ascii="Segoe UI" w:eastAsia="Segoe UI" w:hAnsi="Segoe UI" w:cs="Segoe UI"/>
        </w:rPr>
      </w:pPr>
      <w:bookmarkStart w:id="370" w:name="_Toc531271114"/>
      <w:bookmarkStart w:id="371" w:name="_Toc532206410"/>
      <w:r w:rsidRPr="00F6415D">
        <w:rPr>
          <w:rFonts w:ascii="Segoe UI" w:eastAsia="Segoe UI" w:hAnsi="Segoe UI" w:cs="Segoe UI"/>
        </w:rPr>
        <w:t>Financial planning industry</w:t>
      </w:r>
      <w:bookmarkEnd w:id="367"/>
      <w:bookmarkEnd w:id="368"/>
      <w:bookmarkEnd w:id="369"/>
      <w:bookmarkEnd w:id="370"/>
      <w:bookmarkEnd w:id="371"/>
    </w:p>
    <w:p w:rsidR="00CE1469" w:rsidRPr="00F6415D" w:rsidRDefault="00CE1469" w:rsidP="0059246E">
      <w:pPr>
        <w:pStyle w:val="BodyText"/>
        <w:rPr>
          <w:rFonts w:ascii="Segoe UI" w:hAnsi="Segoe UI" w:cs="Segoe UI"/>
          <w:lang w:val="en"/>
        </w:rPr>
      </w:pPr>
      <w:r w:rsidRPr="00F6415D">
        <w:rPr>
          <w:rFonts w:ascii="Segoe UI" w:hAnsi="Segoe UI" w:cs="Segoe UI"/>
          <w:lang w:val="en"/>
        </w:rPr>
        <w:t>The key challenges that consumers experience when accessing financial advice are discussed in this section:</w:t>
      </w:r>
    </w:p>
    <w:p w:rsidR="00CE1469" w:rsidRPr="00F6415D" w:rsidRDefault="00CE1469" w:rsidP="0059246E">
      <w:pPr>
        <w:pStyle w:val="Heading4"/>
        <w:rPr>
          <w:rFonts w:ascii="Segoe UI" w:hAnsi="Segoe UI" w:cs="Segoe UI"/>
        </w:rPr>
      </w:pPr>
      <w:r w:rsidRPr="00F6415D">
        <w:rPr>
          <w:rFonts w:ascii="Segoe UI" w:hAnsi="Segoe UI" w:cs="Segoe UI"/>
        </w:rPr>
        <w:t>Access to advisers</w:t>
      </w:r>
    </w:p>
    <w:p w:rsidR="00CE1469" w:rsidRPr="00F6415D" w:rsidRDefault="00CE1469" w:rsidP="0059246E">
      <w:pPr>
        <w:pStyle w:val="ListBullet"/>
        <w:rPr>
          <w:rFonts w:ascii="Segoe UI" w:hAnsi="Segoe UI" w:cs="Segoe UI"/>
        </w:rPr>
      </w:pPr>
      <w:r w:rsidRPr="00F6415D">
        <w:rPr>
          <w:rFonts w:ascii="Segoe UI" w:hAnsi="Segoe UI" w:cs="Segoe UI"/>
          <w:b/>
        </w:rPr>
        <w:t>Access is dependent on location:</w:t>
      </w:r>
      <w:r w:rsidRPr="00F6415D">
        <w:rPr>
          <w:rFonts w:ascii="Segoe UI" w:hAnsi="Segoe UI" w:cs="Segoe UI"/>
        </w:rPr>
        <w:t xml:space="preserve"> access to financial advisors with specialisations and accreditation (or understanding) in aged care advice varies significantly and in some jurisdictions there are limited advisors to choose from.</w:t>
      </w:r>
    </w:p>
    <w:p w:rsidR="00CE1469" w:rsidRPr="00F6415D" w:rsidRDefault="00CE1469" w:rsidP="0059246E">
      <w:pPr>
        <w:pStyle w:val="BodyTextIndent"/>
        <w:rPr>
          <w:rFonts w:ascii="Segoe UI" w:hAnsi="Segoe UI" w:cs="Segoe UI"/>
        </w:rPr>
      </w:pPr>
      <w:r w:rsidRPr="00F6415D">
        <w:rPr>
          <w:rFonts w:ascii="Segoe UI" w:hAnsi="Segoe UI" w:cs="Segoe UI"/>
        </w:rPr>
        <w:t xml:space="preserve">As discussed in section </w:t>
      </w:r>
      <w:r w:rsidRPr="00F6415D">
        <w:rPr>
          <w:rFonts w:ascii="Segoe UI" w:hAnsi="Segoe UI" w:cs="Segoe UI"/>
        </w:rPr>
        <w:fldChar w:fldCharType="begin"/>
      </w:r>
      <w:r w:rsidRPr="00F6415D">
        <w:rPr>
          <w:rFonts w:ascii="Segoe UI" w:hAnsi="Segoe UI" w:cs="Segoe UI"/>
        </w:rPr>
        <w:instrText xml:space="preserve"> REF _Ref531170886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9.1.1</w:t>
      </w:r>
      <w:r w:rsidRPr="00F6415D">
        <w:rPr>
          <w:rFonts w:ascii="Segoe UI" w:hAnsi="Segoe UI" w:cs="Segoe UI"/>
        </w:rPr>
        <w:fldChar w:fldCharType="end"/>
      </w:r>
      <w:r w:rsidRPr="00F6415D">
        <w:rPr>
          <w:rFonts w:ascii="Segoe UI" w:hAnsi="Segoe UI" w:cs="Segoe UI"/>
        </w:rPr>
        <w:t>, consumers can search the Money Smart (ASIC) Financial Advisers Register but identifying a suitable advisor is difficult. Aged care advice is not listed as a competency within the Corporations Act so advisers are not able to indicate that they provide aged care advice in this register.</w:t>
      </w:r>
    </w:p>
    <w:p w:rsidR="00CE1469" w:rsidRPr="00F6415D" w:rsidRDefault="00CE1469" w:rsidP="0059246E">
      <w:pPr>
        <w:pStyle w:val="Heading4"/>
        <w:rPr>
          <w:rFonts w:ascii="Segoe UI" w:hAnsi="Segoe UI" w:cs="Segoe UI"/>
        </w:rPr>
      </w:pPr>
      <w:r w:rsidRPr="00F6415D">
        <w:rPr>
          <w:rFonts w:ascii="Segoe UI" w:hAnsi="Segoe UI" w:cs="Segoe UI"/>
        </w:rPr>
        <w:t>Service variability</w:t>
      </w:r>
    </w:p>
    <w:p w:rsidR="00CE1469" w:rsidRPr="00F6415D" w:rsidRDefault="00CE1469" w:rsidP="0059246E">
      <w:pPr>
        <w:pStyle w:val="ListBullet"/>
        <w:rPr>
          <w:rFonts w:ascii="Segoe UI" w:hAnsi="Segoe UI" w:cs="Segoe UI"/>
        </w:rPr>
      </w:pPr>
      <w:r w:rsidRPr="00F6415D">
        <w:rPr>
          <w:rFonts w:ascii="Segoe UI" w:hAnsi="Segoe UI" w:cs="Segoe UI"/>
          <w:b/>
        </w:rPr>
        <w:t>Quality and service offering:</w:t>
      </w:r>
      <w:r w:rsidRPr="00F6415D">
        <w:rPr>
          <w:rFonts w:ascii="Segoe UI" w:hAnsi="Segoe UI" w:cs="Segoe UI"/>
        </w:rPr>
        <w:t xml:space="preserve"> some advisors only provide support with filling out forms (such as the means testing form), some will provide a Statement of Advice (SoA), while others provide comprehensive case coordination through the aged care system. Consumers may not be aware of this difference in service.</w:t>
      </w:r>
    </w:p>
    <w:p w:rsidR="00CE1469" w:rsidRPr="00F6415D" w:rsidRDefault="00CE1469" w:rsidP="0059246E">
      <w:pPr>
        <w:pStyle w:val="ListBullet"/>
        <w:rPr>
          <w:rFonts w:ascii="Segoe UI" w:hAnsi="Segoe UI" w:cs="Segoe UI"/>
        </w:rPr>
      </w:pPr>
      <w:r w:rsidRPr="00F6415D">
        <w:rPr>
          <w:rFonts w:ascii="Segoe UI" w:hAnsi="Segoe UI" w:cs="Segoe UI"/>
          <w:b/>
        </w:rPr>
        <w:t>Costs are variable:</w:t>
      </w:r>
      <w:r w:rsidRPr="00F6415D">
        <w:rPr>
          <w:rFonts w:ascii="Segoe UI" w:hAnsi="Segoe UI" w:cs="Segoe UI"/>
        </w:rPr>
        <w:t xml:space="preserve"> costs for services (and the value provided) vary widely with the ACFA consumer survey indicating that:</w:t>
      </w:r>
    </w:p>
    <w:p w:rsidR="00CE1469" w:rsidRPr="00F6415D" w:rsidRDefault="00CE1469" w:rsidP="0059246E">
      <w:pPr>
        <w:pStyle w:val="ListBullet2"/>
        <w:rPr>
          <w:rFonts w:ascii="Segoe UI" w:hAnsi="Segoe UI" w:cs="Segoe UI"/>
        </w:rPr>
      </w:pPr>
      <w:r w:rsidRPr="00F6415D">
        <w:rPr>
          <w:rFonts w:ascii="Segoe UI" w:hAnsi="Segoe UI" w:cs="Segoe UI"/>
          <w:lang w:eastAsia="en-AU"/>
        </w:rPr>
        <w:t xml:space="preserve">twenty two per cent paid less than $500 </w:t>
      </w:r>
    </w:p>
    <w:p w:rsidR="00CE1469" w:rsidRPr="00F6415D" w:rsidRDefault="00CE1469" w:rsidP="0059246E">
      <w:pPr>
        <w:pStyle w:val="ListBullet2"/>
        <w:rPr>
          <w:rFonts w:ascii="Segoe UI" w:hAnsi="Segoe UI" w:cs="Segoe UI"/>
        </w:rPr>
      </w:pPr>
      <w:r w:rsidRPr="00F6415D">
        <w:rPr>
          <w:rFonts w:ascii="Segoe UI" w:hAnsi="Segoe UI" w:cs="Segoe UI"/>
          <w:lang w:eastAsia="en-AU"/>
        </w:rPr>
        <w:t xml:space="preserve">over half (58 per cent) paid between $500 and $4999, </w:t>
      </w:r>
    </w:p>
    <w:p w:rsidR="00CE1469" w:rsidRPr="00F6415D" w:rsidRDefault="00CE1469" w:rsidP="0059246E">
      <w:pPr>
        <w:pStyle w:val="ListBullet2"/>
        <w:rPr>
          <w:rFonts w:ascii="Segoe UI" w:hAnsi="Segoe UI" w:cs="Segoe UI"/>
        </w:rPr>
      </w:pPr>
      <w:r w:rsidRPr="00F6415D">
        <w:rPr>
          <w:rFonts w:ascii="Segoe UI" w:hAnsi="Segoe UI" w:cs="Segoe UI"/>
          <w:lang w:eastAsia="en-AU"/>
        </w:rPr>
        <w:t>two per cent paid more than $10,000.</w:t>
      </w:r>
    </w:p>
    <w:p w:rsidR="00CE1469" w:rsidRPr="00F6415D" w:rsidRDefault="00CE1469" w:rsidP="0059246E">
      <w:pPr>
        <w:pStyle w:val="BodyTextIndent"/>
        <w:rPr>
          <w:rFonts w:ascii="Segoe UI" w:hAnsi="Segoe UI" w:cs="Segoe UI"/>
        </w:rPr>
      </w:pPr>
      <w:r w:rsidRPr="00F6415D">
        <w:rPr>
          <w:rFonts w:ascii="Segoe UI" w:hAnsi="Segoe UI" w:cs="Segoe UI"/>
        </w:rPr>
        <w:t xml:space="preserve">The compliance processes needed to provide advice and produce the relevant documentation create an overlay and add to the costs of advice delivery, making it difficult to deliver cheaply. When a consumer is unable to afford these costs, they then rely on FIS for free information, family members, friends and their accountant. </w:t>
      </w:r>
    </w:p>
    <w:p w:rsidR="00CE1469" w:rsidRPr="00F6415D" w:rsidRDefault="00CE1469" w:rsidP="0059246E">
      <w:pPr>
        <w:pStyle w:val="ListBullet"/>
        <w:rPr>
          <w:rFonts w:ascii="Segoe UI" w:hAnsi="Segoe UI" w:cs="Segoe UI"/>
          <w:lang w:val="en"/>
        </w:rPr>
      </w:pPr>
      <w:r w:rsidRPr="00F6415D">
        <w:rPr>
          <w:rFonts w:ascii="Segoe UI" w:hAnsi="Segoe UI" w:cs="Segoe UI"/>
          <w:b/>
        </w:rPr>
        <w:t xml:space="preserve">Consumers use them as an information service: </w:t>
      </w:r>
      <w:r w:rsidRPr="00F6415D">
        <w:rPr>
          <w:rFonts w:ascii="Segoe UI" w:hAnsi="Segoe UI" w:cs="Segoe UI"/>
          <w:lang w:val="en"/>
        </w:rPr>
        <w:t xml:space="preserve">financial advisors noted a significant proportion of their time is spent explaining the basics of residential aged care fees and income and asset assessment when first engaging with a </w:t>
      </w:r>
      <w:r w:rsidRPr="00F6415D">
        <w:rPr>
          <w:rFonts w:ascii="Segoe UI" w:hAnsi="Segoe UI" w:cs="Segoe UI"/>
          <w:lang w:val="en"/>
        </w:rPr>
        <w:lastRenderedPageBreak/>
        <w:t>consumer. This lack of awareness creates an issue in that it either limits the amount of time to engage with consumers to identify and solve the real needs and add true value or it increases the cost of providing advice due to the increased time involved.</w:t>
      </w:r>
    </w:p>
    <w:p w:rsidR="00CE1469" w:rsidRPr="00F6415D" w:rsidRDefault="00CE1469" w:rsidP="0059246E">
      <w:pPr>
        <w:pStyle w:val="ListBullet"/>
        <w:rPr>
          <w:rFonts w:ascii="Segoe UI" w:hAnsi="Segoe UI" w:cs="Segoe UI"/>
          <w:lang w:val="en"/>
        </w:rPr>
      </w:pPr>
      <w:r w:rsidRPr="00F6415D">
        <w:rPr>
          <w:rFonts w:ascii="Segoe UI" w:hAnsi="Segoe UI" w:cs="Segoe UI"/>
          <w:b/>
        </w:rPr>
        <w:t xml:space="preserve">Current clients are unwilling to engage in aged care planning: </w:t>
      </w:r>
      <w:r w:rsidRPr="00F6415D">
        <w:rPr>
          <w:rFonts w:ascii="Segoe UI" w:hAnsi="Segoe UI" w:cs="Segoe UI"/>
        </w:rPr>
        <w:t>financial advisors reported that they are unable to engage their mainstream consumers with planning for their aged care needs as their consumers felt they were not old enough for these services.</w:t>
      </w:r>
    </w:p>
    <w:p w:rsidR="00CE1469" w:rsidRPr="00F6415D" w:rsidRDefault="00CE1469" w:rsidP="0059246E">
      <w:pPr>
        <w:pStyle w:val="ListBullet2"/>
        <w:rPr>
          <w:rFonts w:ascii="Segoe UI" w:hAnsi="Segoe UI" w:cs="Segoe UI"/>
        </w:rPr>
      </w:pPr>
      <w:r w:rsidRPr="00F6415D">
        <w:rPr>
          <w:rFonts w:ascii="Segoe UI" w:hAnsi="Segoe UI" w:cs="Segoe UI"/>
        </w:rPr>
        <w:t xml:space="preserve">Aged care providers commented that consumers who have accessed financial advice often transitioned into aged care more easily which resulted in better outcomes for them and their family. As such, they suggested that financial advisors be more proactive in focusing and initiating conversations with their consumers around aged care costs, structures, and implications for other areas of advice such as superannuation and estate planning. </w:t>
      </w:r>
    </w:p>
    <w:p w:rsidR="00CE1469" w:rsidRPr="00F6415D" w:rsidRDefault="00CE1469" w:rsidP="0059246E">
      <w:pPr>
        <w:pStyle w:val="ListBullet2"/>
        <w:rPr>
          <w:rFonts w:ascii="Segoe UI" w:hAnsi="Segoe UI" w:cs="Segoe UI"/>
        </w:rPr>
      </w:pPr>
      <w:r w:rsidRPr="00F6415D">
        <w:rPr>
          <w:rFonts w:ascii="Segoe UI" w:hAnsi="Segoe UI" w:cs="Segoe UI"/>
        </w:rPr>
        <w:t>Specialist aged care advisors also felt that most advisors focus on wealth accumulation, pre-retirement and post-retirement planning, and do not balance this with consideration of aged c</w:t>
      </w:r>
      <w:r w:rsidR="00E946CE">
        <w:rPr>
          <w:rFonts w:ascii="Segoe UI" w:hAnsi="Segoe UI" w:cs="Segoe UI"/>
        </w:rPr>
        <w:t>are affordability and planning.</w:t>
      </w:r>
    </w:p>
    <w:p w:rsidR="00CE1469" w:rsidRPr="00F6415D" w:rsidRDefault="00CE1469" w:rsidP="0059246E">
      <w:pPr>
        <w:pStyle w:val="Heading4"/>
        <w:rPr>
          <w:rFonts w:ascii="Segoe UI" w:hAnsi="Segoe UI" w:cs="Segoe UI"/>
        </w:rPr>
      </w:pPr>
      <w:r w:rsidRPr="00F6415D">
        <w:rPr>
          <w:rFonts w:ascii="Segoe UI" w:hAnsi="Segoe UI" w:cs="Segoe UI"/>
        </w:rPr>
        <w:t>Education and compliance issues</w:t>
      </w:r>
    </w:p>
    <w:p w:rsidR="00CE1469" w:rsidRPr="00F6415D" w:rsidRDefault="00CE1469" w:rsidP="0059246E">
      <w:pPr>
        <w:pStyle w:val="BodyText"/>
        <w:rPr>
          <w:rFonts w:ascii="Segoe UI" w:hAnsi="Segoe UI" w:cs="Segoe UI"/>
        </w:rPr>
      </w:pPr>
      <w:bookmarkStart w:id="372" w:name="_Toc528224282"/>
      <w:bookmarkStart w:id="373" w:name="_Toc528861164"/>
      <w:bookmarkStart w:id="374" w:name="_Toc529890606"/>
      <w:r w:rsidRPr="00F6415D">
        <w:rPr>
          <w:rFonts w:ascii="Segoe UI" w:hAnsi="Segoe UI" w:cs="Segoe UI"/>
        </w:rPr>
        <w:t>Compliance and regulation of financial advisors presents a number of challenges for access to financial advice for consumers.</w:t>
      </w:r>
    </w:p>
    <w:p w:rsidR="00CE1469" w:rsidRPr="00F6415D" w:rsidRDefault="00CE1469" w:rsidP="0059246E">
      <w:pPr>
        <w:pStyle w:val="BodyText"/>
        <w:rPr>
          <w:rFonts w:ascii="Segoe UI" w:hAnsi="Segoe UI" w:cs="Segoe UI"/>
        </w:rPr>
      </w:pPr>
      <w:r w:rsidRPr="00F6415D">
        <w:rPr>
          <w:rFonts w:ascii="Segoe UI" w:hAnsi="Segoe UI" w:cs="Segoe UI"/>
        </w:rPr>
        <w:t xml:space="preserve">Financial advice is regulated by ASIC under the Corporations Act, but the focus is on financial product advice rather than strategic advice. As a result, and as mentioned in section </w:t>
      </w:r>
      <w:r w:rsidRPr="00F6415D">
        <w:rPr>
          <w:rFonts w:ascii="Segoe UI" w:hAnsi="Segoe UI" w:cs="Segoe UI"/>
        </w:rPr>
        <w:fldChar w:fldCharType="begin"/>
      </w:r>
      <w:r w:rsidRPr="00F6415D">
        <w:rPr>
          <w:rFonts w:ascii="Segoe UI" w:hAnsi="Segoe UI" w:cs="Segoe UI"/>
        </w:rPr>
        <w:instrText xml:space="preserve"> REF _Ref530742384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8.3.4</w:t>
      </w:r>
      <w:r w:rsidRPr="00F6415D">
        <w:rPr>
          <w:rFonts w:ascii="Segoe UI" w:hAnsi="Segoe UI" w:cs="Segoe UI"/>
        </w:rPr>
        <w:fldChar w:fldCharType="end"/>
      </w:r>
      <w:r w:rsidRPr="00F6415D">
        <w:rPr>
          <w:rFonts w:ascii="Segoe UI" w:hAnsi="Segoe UI" w:cs="Segoe UI"/>
        </w:rPr>
        <w:t xml:space="preserve">, financial advisors are not subject to minimum legislated educational requirements for aged care. Instead, the current education requirements focus on asset classes and product types and not on consumer interaction skills or strategy development. </w:t>
      </w:r>
    </w:p>
    <w:p w:rsidR="00CE1469" w:rsidRPr="00F6415D" w:rsidRDefault="00CE1469" w:rsidP="0059246E">
      <w:pPr>
        <w:pStyle w:val="BodyText"/>
        <w:rPr>
          <w:rFonts w:ascii="Segoe UI" w:hAnsi="Segoe UI" w:cs="Segoe UI"/>
        </w:rPr>
      </w:pPr>
      <w:r w:rsidRPr="00F6415D">
        <w:rPr>
          <w:rFonts w:ascii="Segoe UI" w:hAnsi="Segoe UI" w:cs="Segoe UI"/>
        </w:rPr>
        <w:t xml:space="preserve">Among the financial services stakeholders, there were mixed views about an additional layer of qualification for ‘aged care’ advisors. Some thought that this was a logical step, while others felt there were adequate mechanisms in place that drove quality. This included competition, referral networks to specialist accredited advisors, and quality and training programs initiated by licensees. </w:t>
      </w:r>
    </w:p>
    <w:p w:rsidR="00CE1469" w:rsidRPr="00F6415D" w:rsidRDefault="00CE1469" w:rsidP="0059246E">
      <w:pPr>
        <w:pStyle w:val="BodyText"/>
        <w:rPr>
          <w:rFonts w:ascii="Segoe UI" w:hAnsi="Segoe UI" w:cs="Segoe UI"/>
        </w:rPr>
      </w:pPr>
      <w:r w:rsidRPr="00F6415D">
        <w:rPr>
          <w:rFonts w:ascii="Segoe UI" w:hAnsi="Segoe UI" w:cs="Segoe UI"/>
        </w:rPr>
        <w:t xml:space="preserve">Aged care advice provided to consumers usually considers the outcomes from different courses of action they could choose to take to finance their contributions. This may not result in a definitive recommendation, but rather in several viable options and a facilitated discussion to help consumers choose the most appropriate course of action for their needs and preferences. However, there is debate and different views across the financial services industry around what form the documentation of advice needs to take and this creates significant obstacles (as well as additional expense) for many advisors when trying to provide advice. </w:t>
      </w:r>
    </w:p>
    <w:p w:rsidR="00CE1469" w:rsidRPr="00F6415D" w:rsidRDefault="00CE1469" w:rsidP="0059246E">
      <w:pPr>
        <w:pStyle w:val="BodyText"/>
        <w:rPr>
          <w:rFonts w:ascii="Segoe UI" w:hAnsi="Segoe UI" w:cs="Segoe UI"/>
        </w:rPr>
      </w:pPr>
      <w:r w:rsidRPr="00F6415D">
        <w:rPr>
          <w:rFonts w:ascii="Segoe UI" w:hAnsi="Segoe UI" w:cs="Segoe UI"/>
        </w:rPr>
        <w:t xml:space="preserve">ACFA believes there is scope for ASIC to work more closely with sections of the financial services industry that are involved with aged care advice to provide greater guidance on the limitations of advice without an AFSL and the specifics needed in advice documents that deal with strategic advice and no sale of products. </w:t>
      </w:r>
    </w:p>
    <w:p w:rsidR="00CE1469" w:rsidRPr="00F6415D" w:rsidRDefault="00CE1469" w:rsidP="0059246E">
      <w:pPr>
        <w:pStyle w:val="Heading3"/>
        <w:rPr>
          <w:rFonts w:ascii="Segoe UI" w:hAnsi="Segoe UI" w:cs="Segoe UI"/>
        </w:rPr>
      </w:pPr>
      <w:bookmarkStart w:id="375" w:name="_Toc528224283"/>
      <w:bookmarkStart w:id="376" w:name="_Toc528861165"/>
      <w:bookmarkStart w:id="377" w:name="_Toc529890607"/>
      <w:bookmarkStart w:id="378" w:name="_Toc531271115"/>
      <w:bookmarkStart w:id="379" w:name="_Toc532206411"/>
      <w:bookmarkEnd w:id="372"/>
      <w:bookmarkEnd w:id="373"/>
      <w:bookmarkEnd w:id="374"/>
      <w:r w:rsidRPr="00F6415D">
        <w:rPr>
          <w:rFonts w:ascii="Segoe UI" w:hAnsi="Segoe UI" w:cs="Segoe UI"/>
        </w:rPr>
        <w:lastRenderedPageBreak/>
        <w:t>Aged care providers and placement agencies</w:t>
      </w:r>
      <w:bookmarkEnd w:id="375"/>
      <w:bookmarkEnd w:id="376"/>
      <w:bookmarkEnd w:id="377"/>
      <w:bookmarkEnd w:id="378"/>
      <w:bookmarkEnd w:id="379"/>
    </w:p>
    <w:p w:rsidR="00CE1469" w:rsidRPr="00F6415D" w:rsidRDefault="00CE1469" w:rsidP="0059246E">
      <w:pPr>
        <w:pStyle w:val="Heading4"/>
        <w:rPr>
          <w:rFonts w:ascii="Segoe UI" w:eastAsia="Segoe UI" w:hAnsi="Segoe UI" w:cs="Segoe UI"/>
        </w:rPr>
      </w:pPr>
      <w:r w:rsidRPr="00F6415D">
        <w:rPr>
          <w:rFonts w:ascii="Segoe UI" w:hAnsi="Segoe UI" w:cs="Segoe UI"/>
        </w:rPr>
        <w:t>Aged</w:t>
      </w:r>
      <w:r w:rsidRPr="00F6415D">
        <w:rPr>
          <w:rFonts w:ascii="Segoe UI" w:eastAsia="Segoe UI" w:hAnsi="Segoe UI" w:cs="Segoe UI"/>
        </w:rPr>
        <w:t xml:space="preserve"> care providers</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 xml:space="preserve">Aged care providers reported that because </w:t>
      </w:r>
      <w:r w:rsidRPr="00F6415D">
        <w:rPr>
          <w:rFonts w:ascii="Segoe UI" w:hAnsi="Segoe UI" w:cs="Segoe UI"/>
        </w:rPr>
        <w:t xml:space="preserve">consumers </w:t>
      </w:r>
      <w:r w:rsidRPr="00F6415D">
        <w:rPr>
          <w:rFonts w:ascii="Segoe UI" w:hAnsi="Segoe UI" w:cs="Segoe UI"/>
          <w:lang w:val="en"/>
        </w:rPr>
        <w:t xml:space="preserve">often enter residential aged care after a crisis with little pre-planning, they are relied on as a key source of knowledge for aged care, including associated costs. As a result, this has led to </w:t>
      </w:r>
      <w:r w:rsidRPr="00F6415D">
        <w:rPr>
          <w:rFonts w:ascii="Segoe UI" w:hAnsi="Segoe UI" w:cs="Segoe UI"/>
        </w:rPr>
        <w:t xml:space="preserve">consumers </w:t>
      </w:r>
      <w:r w:rsidRPr="00F6415D">
        <w:rPr>
          <w:rFonts w:ascii="Segoe UI" w:hAnsi="Segoe UI" w:cs="Segoe UI"/>
          <w:lang w:val="en"/>
        </w:rPr>
        <w:t>and their family members having an expectation that providers will provide financial advice.</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To manage this expectation, aged care providers have developed strategies to address consumers’ concerns by either having a formal or informal panel of financial advisors to which they refer consumers. For the aged care providers who maintain informal arrangements, they have a list of advisors that they use, but without formal arrangements such as a contract, formal panel arrangement or commission. However, it should be noted that other stakeholders raised concerns that some aged care providers were providing financial advice, beyond appropriate scope.</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 xml:space="preserve">Aged care providers have advised that they provide </w:t>
      </w:r>
      <w:r w:rsidRPr="00F6415D">
        <w:rPr>
          <w:rFonts w:ascii="Segoe UI" w:hAnsi="Segoe UI" w:cs="Segoe UI"/>
        </w:rPr>
        <w:t xml:space="preserve">consumers </w:t>
      </w:r>
      <w:r w:rsidRPr="00F6415D">
        <w:rPr>
          <w:rFonts w:ascii="Segoe UI" w:hAnsi="Segoe UI" w:cs="Segoe UI"/>
          <w:lang w:val="en"/>
        </w:rPr>
        <w:t xml:space="preserve">with general information about the aged care system, but are less likely to provide advice on more complex or context specific matters. These information requests from </w:t>
      </w:r>
      <w:r w:rsidRPr="00F6415D">
        <w:rPr>
          <w:rFonts w:ascii="Segoe UI" w:hAnsi="Segoe UI" w:cs="Segoe UI"/>
        </w:rPr>
        <w:t xml:space="preserve">consumers </w:t>
      </w:r>
      <w:r w:rsidRPr="00F6415D">
        <w:rPr>
          <w:rFonts w:ascii="Segoe UI" w:hAnsi="Segoe UI" w:cs="Segoe UI"/>
          <w:lang w:val="en"/>
        </w:rPr>
        <w:t xml:space="preserve">often include explanations about how aged care fees are calculated or charged, how </w:t>
      </w:r>
      <w:r w:rsidRPr="00F6415D">
        <w:rPr>
          <w:rFonts w:ascii="Segoe UI" w:hAnsi="Segoe UI" w:cs="Segoe UI"/>
        </w:rPr>
        <w:t xml:space="preserve">consumers </w:t>
      </w:r>
      <w:r w:rsidRPr="00F6415D">
        <w:rPr>
          <w:rFonts w:ascii="Segoe UI" w:hAnsi="Segoe UI" w:cs="Segoe UI"/>
          <w:lang w:val="en"/>
        </w:rPr>
        <w:t xml:space="preserve">access aged care services, and how to complete DHS forms. While the majority of stakeholders noted that </w:t>
      </w:r>
      <w:r w:rsidRPr="00F6415D">
        <w:rPr>
          <w:rFonts w:ascii="Segoe UI" w:hAnsi="Segoe UI" w:cs="Segoe UI"/>
        </w:rPr>
        <w:t xml:space="preserve">consumers </w:t>
      </w:r>
      <w:r w:rsidRPr="00F6415D">
        <w:rPr>
          <w:rFonts w:ascii="Segoe UI" w:hAnsi="Segoe UI" w:cs="Segoe UI"/>
          <w:lang w:val="en"/>
        </w:rPr>
        <w:t xml:space="preserve">and their carers are often directed to My Aged Care or DHS with their queries, service providers thought that the information </w:t>
      </w:r>
      <w:r w:rsidRPr="00F6415D">
        <w:rPr>
          <w:rFonts w:ascii="Segoe UI" w:hAnsi="Segoe UI" w:cs="Segoe UI"/>
        </w:rPr>
        <w:t xml:space="preserve">consumers </w:t>
      </w:r>
      <w:r w:rsidRPr="00F6415D">
        <w:rPr>
          <w:rFonts w:ascii="Segoe UI" w:hAnsi="Segoe UI" w:cs="Segoe UI"/>
          <w:lang w:val="en"/>
        </w:rPr>
        <w:t xml:space="preserve">received from these sources was sometimes inadequate, difficult to understand, </w:t>
      </w:r>
      <w:r w:rsidR="00E946CE">
        <w:rPr>
          <w:rFonts w:ascii="Segoe UI" w:hAnsi="Segoe UI" w:cs="Segoe UI"/>
          <w:lang w:val="en"/>
        </w:rPr>
        <w:t>incomplete and/or inconsistent.</w:t>
      </w:r>
    </w:p>
    <w:p w:rsidR="00CE1469" w:rsidRPr="00F6415D" w:rsidRDefault="00CE1469" w:rsidP="0059246E">
      <w:pPr>
        <w:pStyle w:val="BodyText"/>
        <w:rPr>
          <w:rFonts w:ascii="Segoe UI" w:hAnsi="Segoe UI" w:cs="Segoe UI"/>
          <w:lang w:val="en"/>
        </w:rPr>
      </w:pPr>
      <w:r w:rsidRPr="00F6415D">
        <w:rPr>
          <w:rFonts w:ascii="Segoe UI" w:hAnsi="Segoe UI" w:cs="Segoe UI"/>
          <w:lang w:val="en"/>
        </w:rPr>
        <w:t>Some aged care providers use calculators to model the fee outcomes under different courses of actions (e</w:t>
      </w:r>
      <w:r w:rsidR="002A4E6A" w:rsidRPr="00F6415D">
        <w:rPr>
          <w:rFonts w:ascii="Segoe UI" w:hAnsi="Segoe UI" w:cs="Segoe UI"/>
          <w:lang w:val="en"/>
        </w:rPr>
        <w:t>.</w:t>
      </w:r>
      <w:r w:rsidRPr="00F6415D">
        <w:rPr>
          <w:rFonts w:ascii="Segoe UI" w:hAnsi="Segoe UI" w:cs="Segoe UI"/>
          <w:lang w:val="en"/>
        </w:rPr>
        <w:t>g</w:t>
      </w:r>
      <w:r w:rsidR="002A4E6A" w:rsidRPr="00F6415D">
        <w:rPr>
          <w:rFonts w:ascii="Segoe UI" w:hAnsi="Segoe UI" w:cs="Segoe UI"/>
          <w:lang w:val="en"/>
        </w:rPr>
        <w:t>.</w:t>
      </w:r>
      <w:r w:rsidRPr="00F6415D">
        <w:rPr>
          <w:rFonts w:ascii="Segoe UI" w:hAnsi="Segoe UI" w:cs="Segoe UI"/>
          <w:lang w:val="en"/>
        </w:rPr>
        <w:t xml:space="preserve"> sell house or keep and rent house or various accommodation payment options). The concern is that this could border on advice which is given without the appropriate controls and requirements of financial advice. </w:t>
      </w:r>
    </w:p>
    <w:p w:rsidR="00CE1469" w:rsidRPr="00F6415D" w:rsidRDefault="00CE1469" w:rsidP="0059246E">
      <w:pPr>
        <w:pStyle w:val="BodyText"/>
        <w:rPr>
          <w:rFonts w:ascii="Segoe UI" w:hAnsi="Segoe UI" w:cs="Segoe UI"/>
        </w:rPr>
      </w:pPr>
      <w:r w:rsidRPr="00F6415D">
        <w:rPr>
          <w:rFonts w:ascii="Segoe UI" w:hAnsi="Segoe UI" w:cs="Segoe UI"/>
          <w:lang w:val="en"/>
        </w:rPr>
        <w:t>Aged care providers also identified the lack of culturally appropriate information, skills or support services to assist in responding to cultural needs, as an information gap. To mitigate this gap, one aged care provider indicated that due to their consumer focus, they have employed an Aboriginal Liaison Officer.</w:t>
      </w:r>
    </w:p>
    <w:p w:rsidR="00CE1469" w:rsidRPr="00F6415D" w:rsidRDefault="00CE1469" w:rsidP="0059246E">
      <w:pPr>
        <w:pStyle w:val="Heading4"/>
        <w:rPr>
          <w:rFonts w:ascii="Segoe UI" w:eastAsia="Segoe UI" w:hAnsi="Segoe UI" w:cs="Segoe UI"/>
        </w:rPr>
      </w:pPr>
      <w:r w:rsidRPr="00F6415D">
        <w:rPr>
          <w:rFonts w:ascii="Segoe UI" w:hAnsi="Segoe UI" w:cs="Segoe UI"/>
        </w:rPr>
        <w:t>Placement</w:t>
      </w:r>
      <w:r w:rsidRPr="00F6415D">
        <w:rPr>
          <w:rFonts w:ascii="Segoe UI" w:eastAsia="Segoe UI" w:hAnsi="Segoe UI" w:cs="Segoe UI"/>
        </w:rPr>
        <w:t xml:space="preserve"> agencies</w:t>
      </w:r>
    </w:p>
    <w:p w:rsidR="00CE1469" w:rsidRPr="00F6415D" w:rsidRDefault="00CE1469" w:rsidP="0059246E">
      <w:pPr>
        <w:pStyle w:val="BodyText"/>
        <w:rPr>
          <w:rFonts w:ascii="Segoe UI" w:hAnsi="Segoe UI" w:cs="Segoe UI"/>
          <w:lang w:eastAsia="en-AU"/>
        </w:rPr>
      </w:pPr>
      <w:bookmarkStart w:id="380" w:name="_Toc527561573"/>
      <w:bookmarkStart w:id="381" w:name="_Toc527564647"/>
      <w:bookmarkStart w:id="382" w:name="_Toc528224278"/>
      <w:bookmarkStart w:id="383" w:name="_Toc528861160"/>
      <w:bookmarkStart w:id="384" w:name="_Toc529890608"/>
      <w:r w:rsidRPr="00F6415D">
        <w:rPr>
          <w:rFonts w:ascii="Segoe UI" w:hAnsi="Segoe UI" w:cs="Segoe UI"/>
        </w:rPr>
        <w:t>ACFA’s consumer survey data suggests that utilisation of consumer placement agencies is relatively low with six per cent indicating that they have used this type of service.</w:t>
      </w:r>
    </w:p>
    <w:p w:rsidR="00CE1469" w:rsidRPr="00F6415D" w:rsidRDefault="00CE1469" w:rsidP="0059246E">
      <w:pPr>
        <w:pStyle w:val="BodyText"/>
        <w:rPr>
          <w:rFonts w:ascii="Segoe UI" w:hAnsi="Segoe UI" w:cs="Segoe UI"/>
          <w:lang w:eastAsia="en-AU"/>
        </w:rPr>
      </w:pPr>
      <w:r w:rsidRPr="00F6415D">
        <w:rPr>
          <w:rFonts w:ascii="Segoe UI" w:hAnsi="Segoe UI" w:cs="Segoe UI"/>
          <w:lang w:eastAsia="en-AU"/>
        </w:rPr>
        <w:t xml:space="preserve">The extent to which the information sources and support available to consumers are being used varies significantly as does the availability of </w:t>
      </w:r>
      <w:r w:rsidRPr="00F6415D">
        <w:rPr>
          <w:rFonts w:ascii="Segoe UI" w:hAnsi="Segoe UI" w:cs="Segoe UI"/>
        </w:rPr>
        <w:t>placement agencies varying across jurisdictions, while the fee structure ranges from commission-based referral fees to fee-for-service.</w:t>
      </w:r>
    </w:p>
    <w:p w:rsidR="00CE1469" w:rsidRPr="00F6415D" w:rsidRDefault="00CE1469" w:rsidP="0059246E">
      <w:pPr>
        <w:pStyle w:val="BodyText"/>
        <w:rPr>
          <w:rFonts w:ascii="Segoe UI" w:hAnsi="Segoe UI" w:cs="Segoe UI"/>
        </w:rPr>
      </w:pPr>
      <w:r w:rsidRPr="00F6415D">
        <w:rPr>
          <w:rFonts w:ascii="Segoe UI" w:hAnsi="Segoe UI" w:cs="Segoe UI"/>
        </w:rPr>
        <w:t>Consultations indicated that when consumers have used a placement agent, they value the help they are given with navigating the aged care system, completing relevant forms, undertaking research and competitor analysis and negotiatin</w:t>
      </w:r>
      <w:r w:rsidR="00E946CE">
        <w:rPr>
          <w:rFonts w:ascii="Segoe UI" w:hAnsi="Segoe UI" w:cs="Segoe UI"/>
        </w:rPr>
        <w:t>g residential care room prices.</w:t>
      </w:r>
    </w:p>
    <w:p w:rsidR="00CE1469" w:rsidRPr="00F6415D" w:rsidRDefault="00CE1469" w:rsidP="0059246E">
      <w:pPr>
        <w:pStyle w:val="BodyText"/>
        <w:rPr>
          <w:rFonts w:ascii="Segoe UI" w:hAnsi="Segoe UI" w:cs="Segoe UI"/>
        </w:rPr>
      </w:pPr>
      <w:r w:rsidRPr="00F6415D">
        <w:rPr>
          <w:rFonts w:ascii="Segoe UI" w:hAnsi="Segoe UI" w:cs="Segoe UI"/>
        </w:rPr>
        <w:lastRenderedPageBreak/>
        <w:t>Importantly, placement agencies should not provide financial advice. However, by negotiating residential care room prices, some consumers are under the impression that they are providing financial advice, thus causing confusion. As a result, some aged care providers and financial advisors raised concerns that some placement agencies are not being clear enough that the consumer may still need to seek independent financial advice to determine how they will fund their aged care costs and the implications across their full financial situation, including estate planning.</w:t>
      </w:r>
    </w:p>
    <w:p w:rsidR="00CE1469" w:rsidRPr="00F6415D" w:rsidRDefault="00CE1469" w:rsidP="0059246E">
      <w:pPr>
        <w:pStyle w:val="BodyText"/>
        <w:rPr>
          <w:rFonts w:ascii="Segoe UI" w:hAnsi="Segoe UI" w:cs="Segoe UI"/>
        </w:rPr>
      </w:pPr>
      <w:r w:rsidRPr="00F6415D">
        <w:rPr>
          <w:rFonts w:ascii="Segoe UI" w:hAnsi="Segoe UI" w:cs="Segoe UI"/>
        </w:rPr>
        <w:t>ACFA considers that better information on the respective roles of different bodies in dealing with aged care issues may be required.</w:t>
      </w:r>
    </w:p>
    <w:p w:rsidR="00CE1469" w:rsidRPr="00F6415D" w:rsidRDefault="00CE1469" w:rsidP="0059246E">
      <w:pPr>
        <w:pStyle w:val="Heading3"/>
        <w:rPr>
          <w:rFonts w:ascii="Segoe UI" w:hAnsi="Segoe UI" w:cs="Segoe UI"/>
        </w:rPr>
      </w:pPr>
      <w:bookmarkStart w:id="385" w:name="_Toc531271116"/>
      <w:bookmarkStart w:id="386" w:name="_Toc532206412"/>
      <w:r w:rsidRPr="00F6415D">
        <w:rPr>
          <w:rFonts w:ascii="Segoe UI" w:hAnsi="Segoe UI" w:cs="Segoe UI"/>
        </w:rPr>
        <w:t>Benchmarking retiree income needs</w:t>
      </w:r>
      <w:bookmarkEnd w:id="380"/>
      <w:bookmarkEnd w:id="381"/>
      <w:bookmarkEnd w:id="382"/>
      <w:bookmarkEnd w:id="383"/>
      <w:bookmarkEnd w:id="384"/>
      <w:bookmarkEnd w:id="385"/>
      <w:bookmarkEnd w:id="386"/>
    </w:p>
    <w:p w:rsidR="00CE1469" w:rsidRPr="00F6415D" w:rsidRDefault="00CE1469" w:rsidP="0059246E">
      <w:pPr>
        <w:pStyle w:val="BodyText"/>
        <w:rPr>
          <w:rFonts w:ascii="Segoe UI" w:hAnsi="Segoe UI" w:cs="Segoe UI"/>
        </w:rPr>
      </w:pPr>
      <w:bookmarkStart w:id="387" w:name="_Toc529890609"/>
      <w:r w:rsidRPr="00F6415D">
        <w:rPr>
          <w:rFonts w:ascii="Segoe UI" w:hAnsi="Segoe UI" w:cs="Segoe UI"/>
        </w:rPr>
        <w:t xml:space="preserve">There is limited information available for individuals planning for their retirement which enable them to financially plan for potential future aged care needs. As a result, financial advice to this cohort usually does not take </w:t>
      </w:r>
      <w:r w:rsidR="00E946CE">
        <w:rPr>
          <w:rFonts w:ascii="Segoe UI" w:hAnsi="Segoe UI" w:cs="Segoe UI"/>
        </w:rPr>
        <w:t>aged care funding into account.</w:t>
      </w:r>
    </w:p>
    <w:p w:rsidR="00CE1469" w:rsidRPr="00F6415D" w:rsidRDefault="00CE1469" w:rsidP="0059246E">
      <w:pPr>
        <w:pStyle w:val="BodyText"/>
        <w:rPr>
          <w:rFonts w:ascii="Segoe UI" w:hAnsi="Segoe UI" w:cs="Segoe UI"/>
        </w:rPr>
      </w:pPr>
      <w:r w:rsidRPr="00F6415D">
        <w:rPr>
          <w:rFonts w:ascii="Segoe UI" w:hAnsi="Segoe UI" w:cs="Segoe UI"/>
        </w:rPr>
        <w:t xml:space="preserve">Compounding this is current retirement income benchmarks (discussed further in chapter </w:t>
      </w:r>
      <w:r w:rsidR="00A5778B" w:rsidRPr="00F6415D">
        <w:rPr>
          <w:rFonts w:ascii="Segoe UI" w:hAnsi="Segoe UI" w:cs="Segoe UI"/>
        </w:rPr>
        <w:fldChar w:fldCharType="begin"/>
      </w:r>
      <w:r w:rsidR="00A5778B" w:rsidRPr="00F6415D">
        <w:rPr>
          <w:rFonts w:ascii="Segoe UI" w:hAnsi="Segoe UI" w:cs="Segoe UI"/>
        </w:rPr>
        <w:instrText xml:space="preserve"> REF _Ref531779163 \w \h </w:instrText>
      </w:r>
      <w:r w:rsidR="00E12DF5" w:rsidRPr="00F6415D">
        <w:rPr>
          <w:rFonts w:ascii="Segoe UI" w:hAnsi="Segoe UI" w:cs="Segoe UI"/>
        </w:rPr>
        <w:instrText xml:space="preserve"> \* MERGEFORMAT </w:instrText>
      </w:r>
      <w:r w:rsidR="00A5778B" w:rsidRPr="00F6415D">
        <w:rPr>
          <w:rFonts w:ascii="Segoe UI" w:hAnsi="Segoe UI" w:cs="Segoe UI"/>
        </w:rPr>
      </w:r>
      <w:r w:rsidR="00A5778B" w:rsidRPr="00F6415D">
        <w:rPr>
          <w:rFonts w:ascii="Segoe UI" w:hAnsi="Segoe UI" w:cs="Segoe UI"/>
        </w:rPr>
        <w:fldChar w:fldCharType="separate"/>
      </w:r>
      <w:r w:rsidR="00C40CA4">
        <w:rPr>
          <w:rFonts w:ascii="Segoe UI" w:hAnsi="Segoe UI" w:cs="Segoe UI"/>
        </w:rPr>
        <w:t>8</w:t>
      </w:r>
      <w:r w:rsidR="00A5778B" w:rsidRPr="00F6415D">
        <w:rPr>
          <w:rFonts w:ascii="Segoe UI" w:hAnsi="Segoe UI" w:cs="Segoe UI"/>
        </w:rPr>
        <w:fldChar w:fldCharType="end"/>
      </w:r>
      <w:r w:rsidRPr="00F6415D">
        <w:rPr>
          <w:rFonts w:ascii="Segoe UI" w:hAnsi="Segoe UI" w:cs="Segoe UI"/>
        </w:rPr>
        <w:t>). While these benchmarks assist senior Australians to plan their retirement lifestyle by indicating what income a typical person needs to live on in retirement and what level of savings may be needed to generate that income, they tend to assume a person in good health with high levels of independence and do not include any significant costs of aged care services. Potentially, this focus may be linked to a general unwillingness to contemplate future health and ageing needs.</w:t>
      </w:r>
    </w:p>
    <w:p w:rsidR="00CE1469" w:rsidRPr="00F6415D" w:rsidRDefault="00CE1469" w:rsidP="0059246E">
      <w:pPr>
        <w:pStyle w:val="BodyText"/>
        <w:rPr>
          <w:rFonts w:ascii="Segoe UI" w:eastAsia="Segoe UI" w:hAnsi="Segoe UI" w:cs="Segoe UI"/>
          <w:color w:val="262626"/>
        </w:rPr>
      </w:pPr>
      <w:r w:rsidRPr="00F6415D">
        <w:rPr>
          <w:rFonts w:ascii="Segoe UI" w:hAnsi="Segoe UI" w:cs="Segoe UI"/>
        </w:rPr>
        <w:t xml:space="preserve">The 2018-19 </w:t>
      </w:r>
      <w:r w:rsidRPr="00F6415D">
        <w:rPr>
          <w:rFonts w:ascii="Segoe UI" w:hAnsi="Segoe UI" w:cs="Segoe UI"/>
          <w:i/>
        </w:rPr>
        <w:t>Preparing financially for a longer and more secure life –</w:t>
      </w:r>
      <w:r w:rsidRPr="00F6415D">
        <w:rPr>
          <w:rFonts w:ascii="Segoe UI" w:hAnsi="Segoe UI" w:cs="Segoe UI"/>
        </w:rPr>
        <w:t xml:space="preserve"> </w:t>
      </w:r>
      <w:r w:rsidRPr="00F6415D">
        <w:rPr>
          <w:rFonts w:ascii="Segoe UI" w:hAnsi="Segoe UI" w:cs="Segoe UI"/>
          <w:i/>
        </w:rPr>
        <w:t>Retirement Income Framework measure</w:t>
      </w:r>
      <w:r w:rsidRPr="00F6415D">
        <w:rPr>
          <w:rFonts w:ascii="Segoe UI" w:hAnsi="Segoe UI" w:cs="Segoe UI"/>
        </w:rPr>
        <w:t xml:space="preserve"> will assist retirees in having more retirement income products to choose from and the information they need to</w:t>
      </w:r>
      <w:r w:rsidRPr="00F6415D">
        <w:rPr>
          <w:rFonts w:ascii="Segoe UI" w:eastAsia="Segoe UI" w:hAnsi="Segoe UI" w:cs="Segoe UI"/>
          <w:color w:val="262626"/>
        </w:rPr>
        <w:t xml:space="preserve"> make a choice. However, it is unclear if the increased flexibility and choice for retirees, which is aimed to help boost living standards will also incorporate aged care costs.</w:t>
      </w:r>
    </w:p>
    <w:p w:rsidR="00CE1469" w:rsidRPr="00F6415D" w:rsidRDefault="00CE1469" w:rsidP="0059246E">
      <w:pPr>
        <w:pStyle w:val="BodyText"/>
        <w:rPr>
          <w:rFonts w:ascii="Segoe UI" w:hAnsi="Segoe UI" w:cs="Segoe UI"/>
        </w:rPr>
      </w:pPr>
      <w:r w:rsidRPr="00F6415D">
        <w:rPr>
          <w:rFonts w:ascii="Segoe UI" w:hAnsi="Segoe UI" w:cs="Segoe UI"/>
        </w:rPr>
        <w:t xml:space="preserve">Furthermore, the 2018-19 </w:t>
      </w:r>
      <w:r w:rsidRPr="00F6415D">
        <w:rPr>
          <w:rFonts w:ascii="Segoe UI" w:hAnsi="Segoe UI" w:cs="Segoe UI"/>
          <w:i/>
        </w:rPr>
        <w:t>Better Ageing 45 and 65 year online checkup</w:t>
      </w:r>
      <w:r w:rsidRPr="00F6415D">
        <w:rPr>
          <w:rFonts w:ascii="Segoe UI" w:hAnsi="Segoe UI" w:cs="Segoe UI"/>
        </w:rPr>
        <w:t xml:space="preserve"> measure will help people review their superannuation and others assets, the income they will need in retirement and what steps they can take now to ensure they have the financial resources they need for the future.</w:t>
      </w:r>
    </w:p>
    <w:p w:rsidR="00CE1469" w:rsidRPr="00F6415D" w:rsidRDefault="00CE1469" w:rsidP="0059246E">
      <w:pPr>
        <w:pStyle w:val="Heading3"/>
        <w:rPr>
          <w:rFonts w:ascii="Segoe UI" w:hAnsi="Segoe UI" w:cs="Segoe UI"/>
        </w:rPr>
      </w:pPr>
      <w:bookmarkStart w:id="388" w:name="_Toc531271117"/>
      <w:bookmarkStart w:id="389" w:name="_Toc532206413"/>
      <w:r w:rsidRPr="00F6415D">
        <w:rPr>
          <w:rFonts w:ascii="Segoe UI" w:hAnsi="Segoe UI" w:cs="Segoe UI"/>
        </w:rPr>
        <w:t>Lack of forward planning for care</w:t>
      </w:r>
      <w:bookmarkEnd w:id="387"/>
      <w:bookmarkEnd w:id="388"/>
      <w:bookmarkEnd w:id="389"/>
    </w:p>
    <w:p w:rsidR="00CE1469" w:rsidRPr="00F6415D" w:rsidRDefault="00CE1469" w:rsidP="0059246E">
      <w:pPr>
        <w:pStyle w:val="BodyText"/>
        <w:rPr>
          <w:rFonts w:ascii="Segoe UI" w:hAnsi="Segoe UI" w:cs="Segoe UI"/>
        </w:rPr>
      </w:pPr>
      <w:bookmarkStart w:id="390" w:name="_Toc527561575"/>
      <w:bookmarkStart w:id="391" w:name="_Toc527564649"/>
      <w:bookmarkStart w:id="392" w:name="_Toc528224284"/>
      <w:bookmarkStart w:id="393" w:name="_Toc528861166"/>
      <w:bookmarkStart w:id="394" w:name="_Toc529890610"/>
      <w:r w:rsidRPr="00F6415D">
        <w:rPr>
          <w:rFonts w:ascii="Segoe UI" w:hAnsi="Segoe UI" w:cs="Segoe UI"/>
        </w:rPr>
        <w:t xml:space="preserve">As discussed in section </w:t>
      </w:r>
      <w:r w:rsidRPr="00F6415D">
        <w:rPr>
          <w:rFonts w:ascii="Segoe UI" w:hAnsi="Segoe UI" w:cs="Segoe UI"/>
        </w:rPr>
        <w:fldChar w:fldCharType="begin"/>
      </w:r>
      <w:r w:rsidRPr="00F6415D">
        <w:rPr>
          <w:rFonts w:ascii="Segoe UI" w:hAnsi="Segoe UI" w:cs="Segoe UI"/>
        </w:rPr>
        <w:instrText xml:space="preserve"> REF _Ref530742408 \r \h </w:instrText>
      </w:r>
      <w:r w:rsidR="00E12DF5" w:rsidRPr="00F6415D">
        <w:rPr>
          <w:rFonts w:ascii="Segoe UI" w:hAnsi="Segoe UI" w:cs="Segoe UI"/>
        </w:rPr>
        <w:instrText xml:space="preserve"> \* MERGEFORMAT </w:instrText>
      </w:r>
      <w:r w:rsidRPr="00F6415D">
        <w:rPr>
          <w:rFonts w:ascii="Segoe UI" w:hAnsi="Segoe UI" w:cs="Segoe UI"/>
        </w:rPr>
      </w:r>
      <w:r w:rsidRPr="00F6415D">
        <w:rPr>
          <w:rFonts w:ascii="Segoe UI" w:hAnsi="Segoe UI" w:cs="Segoe UI"/>
        </w:rPr>
        <w:fldChar w:fldCharType="separate"/>
      </w:r>
      <w:r w:rsidR="00C40CA4">
        <w:rPr>
          <w:rFonts w:ascii="Segoe UI" w:hAnsi="Segoe UI" w:cs="Segoe UI"/>
        </w:rPr>
        <w:t>4.1</w:t>
      </w:r>
      <w:r w:rsidRPr="00F6415D">
        <w:rPr>
          <w:rFonts w:ascii="Segoe UI" w:hAnsi="Segoe UI" w:cs="Segoe UI"/>
        </w:rPr>
        <w:fldChar w:fldCharType="end"/>
      </w:r>
      <w:r w:rsidRPr="00F6415D">
        <w:rPr>
          <w:rFonts w:ascii="Segoe UI" w:hAnsi="Segoe UI" w:cs="Segoe UI"/>
        </w:rPr>
        <w:t xml:space="preserve">, some consumers do not plan to access aged care prior to needing it. Compounding this, 20 per cent of consumers indicated that they believed they would not be moving into an aged care home. This lack of forward planning increases the need for sources of information and advice to be clear and concise as they are being accessed at a point in crisis. </w:t>
      </w:r>
    </w:p>
    <w:p w:rsidR="00CE1469" w:rsidRPr="00F6415D" w:rsidRDefault="00CE1469" w:rsidP="0059246E">
      <w:pPr>
        <w:pStyle w:val="BodyText"/>
        <w:rPr>
          <w:rFonts w:ascii="Segoe UI" w:hAnsi="Segoe UI" w:cs="Segoe UI"/>
        </w:rPr>
      </w:pPr>
      <w:r w:rsidRPr="00F6415D">
        <w:rPr>
          <w:rFonts w:ascii="Segoe UI" w:hAnsi="Segoe UI" w:cs="Segoe UI"/>
        </w:rPr>
        <w:t xml:space="preserve">Further to the other challenges identified in this chapter, the sources of information and advice function in separate stages, and as such, it may not be obvious to the consumer that they may need to contact multiple organisations for assistance. In turn, once the consumer finds a source that is able to give them some information, they then apply pressure seeking assistance in further stages. This results in the blurring of boundaries and confusion i.e. placement agent negotiates a room price </w:t>
      </w:r>
      <w:r w:rsidRPr="00F6415D">
        <w:rPr>
          <w:rFonts w:ascii="Segoe UI" w:hAnsi="Segoe UI" w:cs="Segoe UI"/>
        </w:rPr>
        <w:lastRenderedPageBreak/>
        <w:t>but is unable to provide financial advice – from whom does the consumer seek that information?</w:t>
      </w:r>
    </w:p>
    <w:p w:rsidR="00CE1469" w:rsidRPr="00F6415D" w:rsidRDefault="00CE1469" w:rsidP="0059246E">
      <w:pPr>
        <w:pStyle w:val="Heading2"/>
        <w:rPr>
          <w:rFonts w:ascii="Segoe UI" w:hAnsi="Segoe UI" w:cs="Segoe UI"/>
          <w:lang w:val="en-GB"/>
        </w:rPr>
      </w:pPr>
      <w:bookmarkStart w:id="395" w:name="_Toc531271118"/>
      <w:bookmarkStart w:id="396" w:name="_Ref531776844"/>
      <w:bookmarkStart w:id="397" w:name="_Toc532206414"/>
      <w:r w:rsidRPr="00F6415D">
        <w:rPr>
          <w:rFonts w:ascii="Segoe UI" w:hAnsi="Segoe UI" w:cs="Segoe UI"/>
          <w:lang w:val="en-GB"/>
        </w:rPr>
        <w:lastRenderedPageBreak/>
        <w:t>ACFA’s conclusions and recommendations</w:t>
      </w:r>
      <w:bookmarkEnd w:id="295"/>
      <w:bookmarkEnd w:id="296"/>
      <w:bookmarkEnd w:id="297"/>
      <w:bookmarkEnd w:id="298"/>
      <w:bookmarkEnd w:id="390"/>
      <w:bookmarkEnd w:id="391"/>
      <w:bookmarkEnd w:id="392"/>
      <w:bookmarkEnd w:id="393"/>
      <w:bookmarkEnd w:id="394"/>
      <w:bookmarkEnd w:id="395"/>
      <w:bookmarkEnd w:id="396"/>
      <w:bookmarkEnd w:id="397"/>
    </w:p>
    <w:p w:rsidR="00CE1469" w:rsidRPr="00F6415D" w:rsidRDefault="00CE1469" w:rsidP="0059246E">
      <w:pPr>
        <w:pStyle w:val="Heading3"/>
        <w:rPr>
          <w:rFonts w:ascii="Segoe UI" w:hAnsi="Segoe UI" w:cs="Segoe UI"/>
        </w:rPr>
      </w:pPr>
      <w:bookmarkStart w:id="398" w:name="_Toc529483934"/>
      <w:bookmarkStart w:id="399" w:name="_Toc529890611"/>
      <w:bookmarkStart w:id="400" w:name="_Toc531271119"/>
      <w:bookmarkStart w:id="401" w:name="_Toc532206415"/>
      <w:r w:rsidRPr="00F6415D">
        <w:rPr>
          <w:rFonts w:ascii="Segoe UI" w:hAnsi="Segoe UI" w:cs="Segoe UI"/>
        </w:rPr>
        <w:t>Responding to concerns</w:t>
      </w:r>
      <w:bookmarkEnd w:id="398"/>
      <w:bookmarkEnd w:id="399"/>
      <w:bookmarkEnd w:id="400"/>
      <w:bookmarkEnd w:id="401"/>
    </w:p>
    <w:p w:rsidR="00CE1469" w:rsidRPr="00F6415D" w:rsidRDefault="00CE1469" w:rsidP="0059246E">
      <w:pPr>
        <w:pStyle w:val="BodyText"/>
        <w:rPr>
          <w:rFonts w:ascii="Segoe UI" w:hAnsi="Segoe UI" w:cs="Segoe UI"/>
        </w:rPr>
      </w:pPr>
      <w:bookmarkStart w:id="402" w:name="_Toc529483935"/>
      <w:bookmarkStart w:id="403" w:name="_Toc529890612"/>
      <w:r w:rsidRPr="00F6415D">
        <w:rPr>
          <w:rFonts w:ascii="Segoe UI" w:hAnsi="Segoe UI" w:cs="Segoe UI"/>
        </w:rPr>
        <w:t xml:space="preserve">Aged care is inherently complex for consumers and expensive for the Australian Government and senior Australians. Furthermore, the ageing of the Australian population and longer life expectancy will result in a significant increase in the number and proportion of Australians needing aged care. As noted in the </w:t>
      </w:r>
      <w:r w:rsidRPr="00F6415D">
        <w:rPr>
          <w:rFonts w:ascii="Segoe UI" w:hAnsi="Segoe UI" w:cs="Segoe UI"/>
          <w:i/>
        </w:rPr>
        <w:t>2018 ACFA Annual Report</w:t>
      </w:r>
      <w:r w:rsidRPr="00F6415D">
        <w:rPr>
          <w:rFonts w:ascii="Segoe UI" w:hAnsi="Segoe UI" w:cs="Segoe UI"/>
        </w:rPr>
        <w:t>, over the next 20 years, Australia will see the population size of the 70 years and over cohort increase by around one million people each decade</w:t>
      </w:r>
      <w:r w:rsidR="001B5BED" w:rsidRPr="00F6415D">
        <w:rPr>
          <w:rFonts w:ascii="Segoe UI" w:hAnsi="Segoe UI" w:cs="Segoe UI"/>
        </w:rPr>
        <w:t xml:space="preserve">. </w:t>
      </w:r>
      <w:r w:rsidRPr="00F6415D">
        <w:rPr>
          <w:rFonts w:ascii="Segoe UI" w:hAnsi="Segoe UI" w:cs="Segoe UI"/>
        </w:rPr>
        <w:t>The 85 years and over cohort will increase from just under 500,000 people in 2018 to just over one million people by 2038.</w:t>
      </w:r>
    </w:p>
    <w:p w:rsidR="00CE1469" w:rsidRPr="00F6415D" w:rsidRDefault="00CE1469" w:rsidP="0059246E">
      <w:pPr>
        <w:pStyle w:val="BodyText"/>
        <w:rPr>
          <w:rFonts w:ascii="Segoe UI" w:hAnsi="Segoe UI" w:cs="Segoe UI"/>
        </w:rPr>
      </w:pPr>
      <w:r w:rsidRPr="00F6415D">
        <w:rPr>
          <w:rFonts w:ascii="Segoe UI" w:hAnsi="Segoe UI" w:cs="Segoe UI"/>
        </w:rPr>
        <w:t>To deliver the care that aged consumers need and desire into the future, it is critical that the aged care sector is financially viable and sustainable. All stakeholders – Government, providers and aged consumers – have a key role in contributing to this objective</w:t>
      </w:r>
      <w:r w:rsidR="00F175EC">
        <w:rPr>
          <w:rFonts w:ascii="Segoe UI" w:hAnsi="Segoe UI" w:cs="Segoe UI"/>
        </w:rPr>
        <w:t>.</w:t>
      </w:r>
    </w:p>
    <w:p w:rsidR="00CE1469" w:rsidRPr="00F6415D" w:rsidRDefault="00CE1469" w:rsidP="0059246E">
      <w:pPr>
        <w:pStyle w:val="BodyText"/>
        <w:rPr>
          <w:rFonts w:ascii="Segoe UI" w:hAnsi="Segoe UI" w:cs="Segoe UI"/>
        </w:rPr>
      </w:pPr>
      <w:r w:rsidRPr="00F6415D">
        <w:rPr>
          <w:rFonts w:ascii="Segoe UI" w:hAnsi="Segoe UI" w:cs="Segoe UI"/>
        </w:rPr>
        <w:t xml:space="preserve">While the Australian Government is the principal funder of aged care, consumers also make significant contributions towards the cost of their aged care and will play an integral role in the long-term sustainability of the aged care system. However, a central finding from this report is that consumers are not adequately planning for their aged care and as such, are not ensuring they can fund the level and quality of aged care that they would prefer. </w:t>
      </w:r>
    </w:p>
    <w:p w:rsidR="00CE1469" w:rsidRPr="00F6415D" w:rsidRDefault="00CE1469" w:rsidP="00CE1469">
      <w:pPr>
        <w:ind w:firstLine="720"/>
        <w:rPr>
          <w:rFonts w:ascii="Segoe UI" w:hAnsi="Segoe UI" w:cs="Segoe UI"/>
        </w:rPr>
      </w:pPr>
      <w:r w:rsidRPr="00F6415D">
        <w:rPr>
          <w:rFonts w:ascii="Segoe UI" w:hAnsi="Segoe UI" w:cs="Segoe UI"/>
        </w:rPr>
        <w:t>‘Most aged care planning takes place in the hospital car park.’</w:t>
      </w:r>
      <w:r w:rsidRPr="00F6415D">
        <w:rPr>
          <w:rStyle w:val="EndnoteReference"/>
          <w:rFonts w:ascii="Segoe UI" w:hAnsi="Segoe UI" w:cs="Segoe UI"/>
        </w:rPr>
        <w:t>1</w:t>
      </w:r>
    </w:p>
    <w:p w:rsidR="00CE1469" w:rsidRPr="00F6415D" w:rsidRDefault="00CE1469" w:rsidP="0059246E">
      <w:pPr>
        <w:pStyle w:val="BodyText"/>
        <w:rPr>
          <w:rFonts w:ascii="Segoe UI" w:hAnsi="Segoe UI" w:cs="Segoe UI"/>
        </w:rPr>
      </w:pPr>
      <w:r w:rsidRPr="00F6415D">
        <w:rPr>
          <w:rFonts w:ascii="Segoe UI" w:hAnsi="Segoe UI" w:cs="Segoe UI"/>
        </w:rPr>
        <w:t>For the consumers who do plan for their retirement, the current retirement planning tools do not include aged care costs, further hindering their ability to adequately plan for their future aged care needs. As such, further work is required to enhance retirement planning tools to enable consumers to incorporate aged care costs into their long</w:t>
      </w:r>
      <w:r w:rsidRPr="00F6415D">
        <w:rPr>
          <w:rFonts w:ascii="Segoe UI" w:hAnsi="Segoe UI" w:cs="Segoe UI"/>
        </w:rPr>
        <w:noBreakHyphen/>
        <w:t>term retirement plans.</w:t>
      </w:r>
    </w:p>
    <w:p w:rsidR="00CE1469" w:rsidRPr="00F6415D" w:rsidRDefault="00CE1469" w:rsidP="0059246E">
      <w:pPr>
        <w:pStyle w:val="BodyText"/>
        <w:rPr>
          <w:rFonts w:ascii="Segoe UI" w:hAnsi="Segoe UI" w:cs="Segoe UI"/>
        </w:rPr>
      </w:pPr>
      <w:r w:rsidRPr="00F6415D">
        <w:rPr>
          <w:rFonts w:ascii="Segoe UI" w:hAnsi="Segoe UI" w:cs="Segoe UI"/>
        </w:rPr>
        <w:t>Another major factor limiting planning is a lack of awareness as to the aged care system in general, in addition to how much it may cost them. This lack of awareness can partially be attributed to aged care being seen as a service that is delivered in an unattractive and uninviting institution - as consumers have no desire to access these types of services, they will not form part of th</w:t>
      </w:r>
      <w:r w:rsidR="00F175EC">
        <w:rPr>
          <w:rFonts w:ascii="Segoe UI" w:hAnsi="Segoe UI" w:cs="Segoe UI"/>
        </w:rPr>
        <w:t>eir long term retirement plans.</w:t>
      </w:r>
    </w:p>
    <w:p w:rsidR="00CE1469" w:rsidRPr="00F6415D" w:rsidRDefault="00CE1469" w:rsidP="0059246E">
      <w:pPr>
        <w:pStyle w:val="BodyText"/>
        <w:rPr>
          <w:rFonts w:ascii="Segoe UI" w:hAnsi="Segoe UI" w:cs="Segoe UI"/>
        </w:rPr>
      </w:pPr>
      <w:r w:rsidRPr="00F6415D">
        <w:rPr>
          <w:rFonts w:ascii="Segoe UI" w:hAnsi="Segoe UI" w:cs="Segoe UI"/>
        </w:rPr>
        <w:t>There are many misconceptions around what aged care services are available and who is responsible for their funding. Some consumers believe aged care is part of the health system, and as such the costs associated with aged care is often a shock for them, with some reporting that they have experienced financial stress due to their aged care costs. This is further compounded by different fee structures across the aged care programs and the perceived value for money that some programs provide over others, resulting in some consumers not transitioning to higher level programs when their needs change.</w:t>
      </w:r>
    </w:p>
    <w:p w:rsidR="00CE1469" w:rsidRPr="00F6415D" w:rsidRDefault="00CE1469" w:rsidP="0059246E">
      <w:pPr>
        <w:pStyle w:val="BodyText"/>
        <w:rPr>
          <w:rFonts w:ascii="Segoe UI" w:hAnsi="Segoe UI" w:cs="Segoe UI"/>
        </w:rPr>
      </w:pPr>
      <w:r w:rsidRPr="00F6415D">
        <w:rPr>
          <w:rFonts w:ascii="Segoe UI" w:hAnsi="Segoe UI" w:cs="Segoe UI"/>
        </w:rPr>
        <w:t>Consequently, a central focus of Government initiatives to assist consumers in planning for their aged care should be on increasing consumer awareness of the range of aged care services available and the cost to consumers.</w:t>
      </w:r>
    </w:p>
    <w:p w:rsidR="00CE1469" w:rsidRPr="00F6415D" w:rsidRDefault="00CE1469" w:rsidP="0059246E">
      <w:pPr>
        <w:pStyle w:val="Heading3"/>
        <w:rPr>
          <w:rFonts w:ascii="Segoe UI" w:hAnsi="Segoe UI" w:cs="Segoe UI"/>
        </w:rPr>
      </w:pPr>
      <w:bookmarkStart w:id="404" w:name="_Toc531271120"/>
      <w:bookmarkStart w:id="405" w:name="_Toc532206416"/>
      <w:r w:rsidRPr="00F6415D">
        <w:rPr>
          <w:rFonts w:ascii="Segoe UI" w:hAnsi="Segoe UI" w:cs="Segoe UI"/>
        </w:rPr>
        <w:lastRenderedPageBreak/>
        <w:t>Recommendations</w:t>
      </w:r>
      <w:bookmarkEnd w:id="402"/>
      <w:bookmarkEnd w:id="403"/>
      <w:bookmarkEnd w:id="404"/>
      <w:bookmarkEnd w:id="405"/>
    </w:p>
    <w:p w:rsidR="00CE1469" w:rsidRPr="00F6415D" w:rsidRDefault="00CE1469" w:rsidP="00CE1469">
      <w:pPr>
        <w:pStyle w:val="BodyText"/>
        <w:rPr>
          <w:rFonts w:ascii="Segoe UI" w:hAnsi="Segoe UI" w:cs="Segoe UI"/>
        </w:rPr>
      </w:pPr>
      <w:r w:rsidRPr="00F6415D">
        <w:rPr>
          <w:rFonts w:ascii="Segoe UI" w:hAnsi="Segoe UI" w:cs="Segoe UI"/>
        </w:rPr>
        <w:t>To better support consumers in making financial decisions in relation to their aged care needs, improvements are needed in the following areas: enhancing current information sources on retirement planning to ensure aged care is included and more visible; increasing understanding of the cost of aged care and the choices consumers can make; and ensuring advisors are properly equipped to assist consumers with planning their aged care needs.</w:t>
      </w:r>
    </w:p>
    <w:p w:rsidR="00CE1469" w:rsidRPr="00F6415D" w:rsidRDefault="00CE1469" w:rsidP="0059246E">
      <w:pPr>
        <w:pStyle w:val="Heading4"/>
        <w:rPr>
          <w:rFonts w:ascii="Segoe UI" w:hAnsi="Segoe UI" w:cs="Segoe UI"/>
        </w:rPr>
      </w:pPr>
      <w:r w:rsidRPr="00F6415D">
        <w:rPr>
          <w:rFonts w:ascii="Segoe UI" w:hAnsi="Segoe UI" w:cs="Segoe UI"/>
        </w:rPr>
        <w:t>Improving information sources</w:t>
      </w:r>
    </w:p>
    <w:p w:rsidR="00CE1469" w:rsidRPr="00F6415D" w:rsidRDefault="00CE1469" w:rsidP="0059246E">
      <w:pPr>
        <w:pStyle w:val="BodyText"/>
        <w:rPr>
          <w:rFonts w:ascii="Segoe UI" w:hAnsi="Segoe UI" w:cs="Segoe UI"/>
        </w:rPr>
      </w:pPr>
      <w:r w:rsidRPr="00F6415D">
        <w:rPr>
          <w:rFonts w:ascii="Segoe UI" w:hAnsi="Segoe UI" w:cs="Segoe UI"/>
        </w:rPr>
        <w:t>For consumers to truly understand the range of aged care services available and the cost of these services, and to facilitate both their incentive and capacity to plan for their current and future aged care needs, various information sources need to be improved, including:</w:t>
      </w:r>
      <w:r w:rsidR="001B5BED" w:rsidRPr="00F6415D">
        <w:rPr>
          <w:rFonts w:ascii="Segoe UI" w:hAnsi="Segoe UI" w:cs="Segoe UI"/>
        </w:rPr>
        <w:t xml:space="preserve"> </w:t>
      </w:r>
      <w:r w:rsidRPr="00F6415D">
        <w:rPr>
          <w:rFonts w:ascii="Segoe UI" w:hAnsi="Segoe UI" w:cs="Segoe UI"/>
        </w:rPr>
        <w:t>retirement planning tools; equity release products; My Aged Care website; retirement villages; and fee advice letters issued by DHS; as well as improving the general per</w:t>
      </w:r>
      <w:r w:rsidR="00E946CE">
        <w:rPr>
          <w:rFonts w:ascii="Segoe UI" w:hAnsi="Segoe UI" w:cs="Segoe UI"/>
        </w:rPr>
        <w:t>ception of aged care.</w:t>
      </w:r>
    </w:p>
    <w:p w:rsidR="00CE1469" w:rsidRPr="00F6415D" w:rsidRDefault="00CE1469" w:rsidP="00A4080F">
      <w:pPr>
        <w:pStyle w:val="Heading5"/>
        <w:rPr>
          <w:rFonts w:ascii="Segoe UI" w:hAnsi="Segoe UI" w:cs="Segoe UI"/>
        </w:rPr>
      </w:pPr>
      <w:r w:rsidRPr="00F6415D">
        <w:rPr>
          <w:rFonts w:ascii="Segoe UI" w:hAnsi="Segoe UI" w:cs="Segoe UI"/>
        </w:rPr>
        <w:t>Ensuring retirement planning tools include future aged care needs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critical role of planning for future aged care requirements needs to be recognised by all stakeholders, especially the Government, financial advisors and consumers. If consumers were advised that planning for their future aged care needs gave them greater choice and control over the services they received, they may be more likely to incorporate these needs into their retirement plans. The Government should work with relevant industry bodies to ensure that retirement plans enable greater life planning and reflect the following retirement stages:</w:t>
      </w:r>
    </w:p>
    <w:p w:rsidR="00CE1469" w:rsidRPr="00F6415D" w:rsidRDefault="00CE1469" w:rsidP="00686BFA">
      <w:pPr>
        <w:pStyle w:val="BodyText"/>
        <w:numPr>
          <w:ilvl w:val="1"/>
          <w:numId w:val="38"/>
        </w:numPr>
        <w:suppressAutoHyphens/>
        <w:spacing w:line="240" w:lineRule="auto"/>
        <w:rPr>
          <w:rFonts w:ascii="Segoe UI" w:hAnsi="Segoe UI" w:cs="Segoe UI"/>
        </w:rPr>
      </w:pPr>
      <w:r w:rsidRPr="00F6415D">
        <w:rPr>
          <w:rFonts w:ascii="Segoe UI" w:hAnsi="Segoe UI" w:cs="Segoe UI"/>
        </w:rPr>
        <w:t>retirement planning</w:t>
      </w:r>
    </w:p>
    <w:p w:rsidR="00CE1469" w:rsidRPr="00F6415D" w:rsidRDefault="00CE1469" w:rsidP="00686BFA">
      <w:pPr>
        <w:pStyle w:val="BodyText"/>
        <w:numPr>
          <w:ilvl w:val="1"/>
          <w:numId w:val="38"/>
        </w:numPr>
        <w:suppressAutoHyphens/>
        <w:spacing w:line="240" w:lineRule="auto"/>
        <w:rPr>
          <w:rFonts w:ascii="Segoe UI" w:hAnsi="Segoe UI" w:cs="Segoe UI"/>
        </w:rPr>
      </w:pPr>
      <w:r w:rsidRPr="00F6415D">
        <w:rPr>
          <w:rFonts w:ascii="Segoe UI" w:hAnsi="Segoe UI" w:cs="Segoe UI"/>
        </w:rPr>
        <w:t>post retirement: active years</w:t>
      </w:r>
    </w:p>
    <w:p w:rsidR="00CE1469" w:rsidRPr="00F6415D" w:rsidRDefault="00CE1469" w:rsidP="00686BFA">
      <w:pPr>
        <w:pStyle w:val="BodyText"/>
        <w:numPr>
          <w:ilvl w:val="1"/>
          <w:numId w:val="38"/>
        </w:numPr>
        <w:suppressAutoHyphens/>
        <w:spacing w:line="240" w:lineRule="auto"/>
        <w:rPr>
          <w:rFonts w:ascii="Segoe UI" w:hAnsi="Segoe UI" w:cs="Segoe UI"/>
        </w:rPr>
      </w:pPr>
      <w:r w:rsidRPr="00F6415D">
        <w:rPr>
          <w:rFonts w:ascii="Segoe UI" w:hAnsi="Segoe UI" w:cs="Segoe UI"/>
        </w:rPr>
        <w:t>post retirement: low to medium level care to support independence at home</w:t>
      </w:r>
    </w:p>
    <w:p w:rsidR="00CE1469" w:rsidRPr="00F6415D" w:rsidRDefault="00CE1469" w:rsidP="00686BFA">
      <w:pPr>
        <w:pStyle w:val="BodyText"/>
        <w:numPr>
          <w:ilvl w:val="1"/>
          <w:numId w:val="38"/>
        </w:numPr>
        <w:suppressAutoHyphens/>
        <w:spacing w:line="240" w:lineRule="auto"/>
        <w:rPr>
          <w:rFonts w:ascii="Segoe UI" w:hAnsi="Segoe UI" w:cs="Segoe UI"/>
        </w:rPr>
      </w:pPr>
      <w:r w:rsidRPr="00F6415D">
        <w:rPr>
          <w:rFonts w:ascii="Segoe UI" w:hAnsi="Segoe UI" w:cs="Segoe UI"/>
        </w:rPr>
        <w:t>post retirement: acute/complex needs either at home or in an aged care facility.</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Government agencies, particularly the Department of Health and the Department of Social Services (DSS) should ensure that the online checkups initiative announced in the 2018-19 </w:t>
      </w:r>
      <w:r w:rsidRPr="00F6415D">
        <w:rPr>
          <w:rFonts w:ascii="Segoe UI" w:hAnsi="Segoe UI" w:cs="Segoe UI"/>
          <w:i/>
        </w:rPr>
        <w:t>Better Ageing – 45 and 65 year online checkup</w:t>
      </w:r>
      <w:r w:rsidRPr="00F6415D">
        <w:rPr>
          <w:rFonts w:ascii="Segoe UI" w:hAnsi="Segoe UI" w:cs="Segoe UI"/>
        </w:rPr>
        <w:t xml:space="preserve"> measure, and retirement income framework initiative announced in the 2018</w:t>
      </w:r>
      <w:r w:rsidRPr="00F6415D">
        <w:rPr>
          <w:rFonts w:ascii="Segoe UI" w:hAnsi="Segoe UI" w:cs="Segoe UI"/>
        </w:rPr>
        <w:noBreakHyphen/>
        <w:t xml:space="preserve">19 </w:t>
      </w:r>
      <w:r w:rsidRPr="00F6415D">
        <w:rPr>
          <w:rFonts w:ascii="Segoe UI" w:hAnsi="Segoe UI" w:cs="Segoe UI"/>
          <w:i/>
        </w:rPr>
        <w:t xml:space="preserve">Preparing financially for a longer and more secure life – retirement income framework </w:t>
      </w:r>
      <w:r w:rsidRPr="00F6415D">
        <w:rPr>
          <w:rFonts w:ascii="Segoe UI" w:hAnsi="Segoe UI" w:cs="Segoe UI"/>
        </w:rPr>
        <w:t>measure, include aged care planning and costs.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The Government should expand the online checkups initiative announced in the 2018-19 </w:t>
      </w:r>
      <w:r w:rsidRPr="00F6415D">
        <w:rPr>
          <w:rFonts w:ascii="Segoe UI" w:hAnsi="Segoe UI" w:cs="Segoe UI"/>
          <w:i/>
        </w:rPr>
        <w:t>Better Ageing – 45 and 65 year online checkup</w:t>
      </w:r>
      <w:r w:rsidRPr="00F6415D">
        <w:rPr>
          <w:rFonts w:ascii="Segoe UI" w:hAnsi="Segoe UI" w:cs="Segoe UI"/>
        </w:rPr>
        <w:t xml:space="preserve"> measure to include a 70 year or 75 year online checkup. The additional online checkup would focus on the consumer’s current health needs and (potential) ageing needs, at a point where this information is particularly relevant for them.</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ASIC should expand their retirement planning tool available on the MoneySmart website to include aged care costs which may help consumers with planning for </w:t>
      </w:r>
      <w:r w:rsidRPr="00F6415D">
        <w:rPr>
          <w:rFonts w:ascii="Segoe UI" w:hAnsi="Segoe UI" w:cs="Segoe UI"/>
        </w:rPr>
        <w:lastRenderedPageBreak/>
        <w:t>their future aged care needs and enable financial advisors to record competency in aged care advice.</w:t>
      </w:r>
    </w:p>
    <w:p w:rsidR="00CE1469" w:rsidRPr="00F6415D" w:rsidRDefault="00CE1469" w:rsidP="00CE1469">
      <w:pPr>
        <w:pStyle w:val="BodyText"/>
        <w:keepNext/>
        <w:rPr>
          <w:rFonts w:ascii="Segoe UI" w:hAnsi="Segoe UI" w:cs="Segoe UI"/>
          <w:b/>
        </w:rPr>
      </w:pPr>
      <w:r w:rsidRPr="00F6415D">
        <w:rPr>
          <w:rFonts w:ascii="Segoe UI" w:hAnsi="Segoe UI" w:cs="Segoe UI"/>
          <w:b/>
        </w:rPr>
        <w:t>Raising the profile of equity release products to assist consumers with funding their aged care costs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Government, in conjunction with financial institutions, should develop initiatives to give greater awareness of equity release products and the role they can play in giving consumers a greater range of options to fund their aged care needs while enabling them to continue living in their own home longer. This includes a need to review the regulatory environment that governs equity release products and consult with industry on any reforms that will give greater awareness of these products. This will, in turn, facilitate product development by industry.</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ACFA supports the 2018-19 </w:t>
      </w:r>
      <w:r w:rsidRPr="00F6415D">
        <w:rPr>
          <w:rFonts w:ascii="Segoe UI" w:hAnsi="Segoe UI" w:cs="Segoe UI"/>
          <w:i/>
        </w:rPr>
        <w:t>Preparing financially for a longer and more secure life – Expansion of the Pension Loan Scheme</w:t>
      </w:r>
      <w:r w:rsidRPr="00F6415D">
        <w:rPr>
          <w:rFonts w:ascii="Segoe UI" w:hAnsi="Segoe UI" w:cs="Segoe UI"/>
        </w:rPr>
        <w:t xml:space="preserve"> (PLS) measure to expand eligibility of the PLS to all Australians of age pension age. ACFA recommends that the expansion of the scheme be significantly promoted so that all consumers are aware of this funding option and shift perceptions about the role of the home and its availability as a source of equity to improve quality of life.</w:t>
      </w:r>
    </w:p>
    <w:p w:rsidR="00CE1469" w:rsidRPr="00F6415D" w:rsidRDefault="00CE1469" w:rsidP="00CE1469">
      <w:pPr>
        <w:pStyle w:val="BodyText"/>
        <w:keepNext/>
        <w:rPr>
          <w:rFonts w:ascii="Segoe UI" w:hAnsi="Segoe UI" w:cs="Segoe UI"/>
          <w:b/>
        </w:rPr>
      </w:pPr>
      <w:r w:rsidRPr="00F6415D">
        <w:rPr>
          <w:rFonts w:ascii="Segoe UI" w:hAnsi="Segoe UI" w:cs="Segoe UI"/>
          <w:b/>
        </w:rPr>
        <w:t>Access to information on My Aged Care</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The current misconception that aged care is part of the health care system prevents some consumers from understanding the different costs they may be asked to pay when accessing aged care services. A multi-pronged campaign is required with the aim of increasing consumer awareness in relation to the likely cost to consumers to access aged care services. This campaign should be undertaken by the Government in consultation with the aged care industry.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ACFA supports the work being undertaken to improve the My Aged Care platform and the enhancement of self-service options for consumers, but recommends that the aged care fee estimators be located in a more prominent location on the My Aged Care website landing page.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ACFA recommends that the planning content available on the My Aged Care website be lifted to a more prominent location on the landing page so as to better facilitate consumers in planning for their future aged care needs.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ACFA recommends that the information on the My Aged Care website regarding finances and aged care financial advice be improved so that consumers are aware how to access these services and the value they can receive. </w:t>
      </w:r>
    </w:p>
    <w:p w:rsidR="00CE1469" w:rsidRPr="00F6415D" w:rsidRDefault="00CE1469" w:rsidP="00CE1469">
      <w:pPr>
        <w:pStyle w:val="BodyText"/>
        <w:rPr>
          <w:rFonts w:ascii="Segoe UI" w:hAnsi="Segoe UI" w:cs="Segoe UI"/>
          <w:b/>
        </w:rPr>
      </w:pPr>
      <w:r w:rsidRPr="00F6415D">
        <w:rPr>
          <w:rFonts w:ascii="Segoe UI" w:hAnsi="Segoe UI" w:cs="Segoe UI"/>
          <w:b/>
        </w:rPr>
        <w:t xml:space="preserve">Misconceptions regarding retirement villages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The current misconception that retirement villages are aged care services prevents some consumers from fully planning for their aged care needs as the separation of care and housing is not well understood. In addition, when estates are reduced by fees associated with retirement living contracts or there are delays in selling, settling or receiving funds from operators, some consumers experience difficulty with paying for their residential aged care accommodation costs. Further work is needed by state and territory Consumer Affairs Ministers to </w:t>
      </w:r>
      <w:r w:rsidRPr="00F6415D">
        <w:rPr>
          <w:rFonts w:ascii="Segoe UI" w:hAnsi="Segoe UI" w:cs="Segoe UI"/>
        </w:rPr>
        <w:lastRenderedPageBreak/>
        <w:t xml:space="preserve">increase community education regarding retirement villages, particularly in how they differ from residential aged care including on costs. </w:t>
      </w:r>
    </w:p>
    <w:p w:rsidR="00CE1469" w:rsidRPr="00F6415D" w:rsidRDefault="00CE1469" w:rsidP="00CE1469">
      <w:pPr>
        <w:pStyle w:val="BodyText"/>
        <w:keepNext/>
        <w:rPr>
          <w:rFonts w:ascii="Segoe UI" w:hAnsi="Segoe UI" w:cs="Segoe UI"/>
          <w:b/>
        </w:rPr>
      </w:pPr>
      <w:r w:rsidRPr="00F6415D">
        <w:rPr>
          <w:rFonts w:ascii="Segoe UI" w:hAnsi="Segoe UI" w:cs="Segoe UI"/>
          <w:b/>
        </w:rPr>
        <w:t>Improving fee advice letters from DHS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ACFA supports the 2018-19 </w:t>
      </w:r>
      <w:r w:rsidRPr="00F6415D">
        <w:rPr>
          <w:rFonts w:ascii="Segoe UI" w:hAnsi="Segoe UI" w:cs="Segoe UI"/>
          <w:i/>
        </w:rPr>
        <w:t>Better Access to Care – simpler forms</w:t>
      </w:r>
      <w:r w:rsidRPr="00F6415D">
        <w:rPr>
          <w:rFonts w:ascii="Segoe UI" w:hAnsi="Segoe UI" w:cs="Segoe UI"/>
        </w:rPr>
        <w:t xml:space="preserve"> measure which will simplify the means test assessment form and establish a Forms Taskforce to create a simpler short form for consumers with straightforward financial affairs. However, ACFA considers that work is also required by DHS to improve the clarity of the information provided in the fee advice notification and other letters for consumers.</w:t>
      </w:r>
    </w:p>
    <w:p w:rsidR="00CE1469" w:rsidRPr="00F6415D" w:rsidRDefault="00CE1469" w:rsidP="00CE1469">
      <w:pPr>
        <w:pStyle w:val="BodyText"/>
        <w:keepNext/>
        <w:rPr>
          <w:rFonts w:ascii="Segoe UI" w:hAnsi="Segoe UI" w:cs="Segoe UI"/>
          <w:b/>
        </w:rPr>
      </w:pPr>
      <w:r w:rsidRPr="00F6415D">
        <w:rPr>
          <w:rFonts w:ascii="Segoe UI" w:hAnsi="Segoe UI" w:cs="Segoe UI"/>
          <w:b/>
        </w:rPr>
        <w:t>Improving perceptions of aged care to support increased planning</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Perceptions by consumers that residential aged care is delivered in unattractive and uninviting institutions, is likely to result in consumers not planning to access these services and in some cases actively planning to avoid aged care without considering alternative options. This is compounded by the emotional attachments consumers understandably have to their current lifestyle which includes their family home, personal possessions, loved ones, pets, and gardens (amongst other things). As such, the sector, in consultation with Government, should consider if there are appropriate ways to improve the understanding and perception of aged care and the services available to assist consumers plan for care.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Government consider a targeted research project to determine the extent to which consumers envisage and plan for their senior years, including what type of preventative health measures and alternative accommodation choices to residential care they to consider in planning for aged care. The outcomes from this research will assist the Government to support the use of products and services that address planning, life quality and ultimately less dependence on Government funded aged care</w:t>
      </w:r>
      <w:r w:rsidR="001B5BED" w:rsidRPr="00F6415D">
        <w:rPr>
          <w:rFonts w:ascii="Segoe UI" w:hAnsi="Segoe UI" w:cs="Segoe UI"/>
        </w:rPr>
        <w:t xml:space="preserve">. </w:t>
      </w:r>
    </w:p>
    <w:p w:rsidR="00CE1469" w:rsidRPr="00F6415D" w:rsidRDefault="00CE1469" w:rsidP="0059246E">
      <w:pPr>
        <w:pStyle w:val="Heading4"/>
        <w:rPr>
          <w:rFonts w:ascii="Segoe UI" w:hAnsi="Segoe UI" w:cs="Segoe UI"/>
        </w:rPr>
      </w:pPr>
      <w:r w:rsidRPr="00F6415D">
        <w:rPr>
          <w:rFonts w:ascii="Segoe UI" w:hAnsi="Segoe UI" w:cs="Segoe UI"/>
        </w:rPr>
        <w:t>Aged Care Fees</w:t>
      </w:r>
    </w:p>
    <w:p w:rsidR="00CE1469" w:rsidRPr="00F6415D" w:rsidRDefault="00CE1469" w:rsidP="00CE1469">
      <w:pPr>
        <w:pStyle w:val="BodyText"/>
        <w:rPr>
          <w:rFonts w:ascii="Segoe UI" w:hAnsi="Segoe UI" w:cs="Segoe UI"/>
        </w:rPr>
      </w:pPr>
      <w:r w:rsidRPr="00F6415D">
        <w:rPr>
          <w:rFonts w:ascii="Segoe UI" w:hAnsi="Segoe UI" w:cs="Segoe UI"/>
        </w:rPr>
        <w:t>ACFA considers that in order to assist consumers in understanding aged care fees, not only is better information required but changes should be made to the aged care fees themselves. ACFA recommends changes to: improve consumer understanding of aged care fees; the fee structures of CHSP and home care; financial hardship for home care packages; residential accommodation payment options; additional service fee</w:t>
      </w:r>
      <w:r w:rsidR="002A4E6A" w:rsidRPr="00F6415D">
        <w:rPr>
          <w:rFonts w:ascii="Segoe UI" w:hAnsi="Segoe UI" w:cs="Segoe UI"/>
        </w:rPr>
        <w:t>s</w:t>
      </w:r>
      <w:r w:rsidRPr="00F6415D">
        <w:rPr>
          <w:rFonts w:ascii="Segoe UI" w:hAnsi="Segoe UI" w:cs="Segoe UI"/>
        </w:rPr>
        <w:t>; and financial abuse and complaints processes.</w:t>
      </w:r>
    </w:p>
    <w:p w:rsidR="00CE1469" w:rsidRPr="00F6415D" w:rsidRDefault="00CE1469" w:rsidP="00CE1469">
      <w:pPr>
        <w:pStyle w:val="BodyText"/>
        <w:keepNext/>
        <w:rPr>
          <w:rFonts w:ascii="Segoe UI" w:hAnsi="Segoe UI" w:cs="Segoe UI"/>
          <w:b/>
        </w:rPr>
      </w:pPr>
      <w:r w:rsidRPr="00F6415D">
        <w:rPr>
          <w:rFonts w:ascii="Segoe UI" w:hAnsi="Segoe UI" w:cs="Segoe UI"/>
          <w:b/>
        </w:rPr>
        <w:t>Improving consumer understanding of aged care fees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 xml:space="preserve">Aged care fee structures are complex with a variety of fees within and across care types. To facilitate a greater understanding of fees, including which fees are negotiable, ACFA recommends the Department develop a high level </w:t>
      </w:r>
      <w:r w:rsidRPr="00F6415D">
        <w:rPr>
          <w:rFonts w:ascii="Segoe UI" w:hAnsi="Segoe UI" w:cs="Segoe UI"/>
          <w:i/>
        </w:rPr>
        <w:t>key features statement</w:t>
      </w:r>
      <w:r w:rsidRPr="00F6415D">
        <w:rPr>
          <w:rFonts w:ascii="Segoe UI" w:hAnsi="Segoe UI" w:cs="Segoe UI"/>
        </w:rPr>
        <w:t xml:space="preserve"> explaining relevant fees that providers are required to disclose to consumers prior to entering aged care.</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ACFA recommends the Department develop aged care fee scenarios to provide consumers with a practical understanding of the aged care fees they may be asked to pay, i.e. which aged care fees may apply to them.</w:t>
      </w:r>
    </w:p>
    <w:p w:rsidR="00CE1469" w:rsidRPr="00F6415D" w:rsidRDefault="00CE1469" w:rsidP="00CE1469">
      <w:pPr>
        <w:pStyle w:val="BodyText"/>
        <w:rPr>
          <w:rFonts w:ascii="Segoe UI" w:hAnsi="Segoe UI" w:cs="Segoe UI"/>
        </w:rPr>
      </w:pPr>
      <w:r w:rsidRPr="00F6415D">
        <w:rPr>
          <w:rFonts w:ascii="Segoe UI" w:hAnsi="Segoe UI" w:cs="Segoe UI"/>
          <w:b/>
        </w:rPr>
        <w:lastRenderedPageBreak/>
        <w:t>Improving the interface between fees for CHSP and home care packages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Consumers should make an appropriate contribution towards the costs of their aged care where they can afford to do so, with appropriate support from Government where they are not able to contribute. Currently, consumer contributions for CHSP consumers are not always collected, and as a result, it is often viewed as a free or low-cost support. To ensure consistency with other potential reforms, consumer fees for CHSP should be considered in conjunction with any future consideration of wider changes to consumer care fees</w:t>
      </w:r>
      <w:r w:rsidR="001B5BED" w:rsidRPr="00F6415D">
        <w:rPr>
          <w:rFonts w:ascii="Segoe UI" w:hAnsi="Segoe UI" w:cs="Segoe UI"/>
        </w:rPr>
        <w:t xml:space="preserve">.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current flat structure of home care fees has resulted in a perception that consumers do not receive value for money from the lower level packages and is compounding perceptions of the greater value of CHSP compared with home care. This is particularly pertinent for consumers who pay an income-tested care fee. To ensure consistency with other potential reforms, consumer fees for home care should be considered in conjunction with any future consideration of wider changes to consumer care fees</w:t>
      </w:r>
      <w:r w:rsidR="001B5BED" w:rsidRPr="00F6415D">
        <w:rPr>
          <w:rFonts w:ascii="Segoe UI" w:hAnsi="Segoe UI" w:cs="Segoe UI"/>
        </w:rPr>
        <w:t xml:space="preserve">. </w:t>
      </w:r>
    </w:p>
    <w:p w:rsidR="00CE1469" w:rsidRPr="00F6415D" w:rsidRDefault="00CE1469" w:rsidP="00CE1469">
      <w:pPr>
        <w:pStyle w:val="BodyText"/>
        <w:keepNext/>
        <w:rPr>
          <w:rFonts w:ascii="Segoe UI" w:hAnsi="Segoe UI" w:cs="Segoe UI"/>
          <w:b/>
        </w:rPr>
      </w:pPr>
      <w:r w:rsidRPr="00F6415D">
        <w:rPr>
          <w:rFonts w:ascii="Segoe UI" w:hAnsi="Segoe UI" w:cs="Segoe UI"/>
          <w:b/>
        </w:rPr>
        <w:t>Review of financial hardship assistance for home care packages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Since 1 July 2014, home care consumers are able to apply for financial hardship assistance with their fees. However, approval rates remain low, with only 26 per cent of applications being approved during 2017</w:t>
      </w:r>
      <w:r w:rsidRPr="00F6415D">
        <w:rPr>
          <w:rFonts w:ascii="Segoe UI" w:hAnsi="Segoe UI" w:cs="Segoe UI"/>
        </w:rPr>
        <w:noBreakHyphen/>
        <w:t>18. This is likely due to the fact that the essential expenses threshold being used is the same threshold used for residential aged care. ACFA recommends that a review of rejected hardship applications for the home care program be undertaken to determine if this threshold needs to be adjusted.</w:t>
      </w:r>
    </w:p>
    <w:p w:rsidR="00CE1469" w:rsidRPr="00F6415D" w:rsidRDefault="00CE1469" w:rsidP="00CE1469">
      <w:pPr>
        <w:pStyle w:val="BodyText"/>
        <w:keepNext/>
        <w:rPr>
          <w:rFonts w:ascii="Segoe UI" w:hAnsi="Segoe UI" w:cs="Segoe UI"/>
          <w:b/>
        </w:rPr>
      </w:pPr>
      <w:r w:rsidRPr="00F6415D">
        <w:rPr>
          <w:rFonts w:ascii="Segoe UI" w:hAnsi="Segoe UI" w:cs="Segoe UI"/>
          <w:b/>
        </w:rPr>
        <w:t>Improving understanding of residential aged care accommodation payments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current payment choices for residential aged care accommodation continue to be misunderstood by consumers. Specifically, many consumers are unaware that lump sum accommodation payments will be returned upon exiting care (less any agreed drawdowns) and that they may be able to draw down on their lump sum payments to pay other aged care fees (if agreed by the provider). This results in a perceived lack of affordability which can lead to decisions to select the cheapest care service. The Government should expand the information available on the My Aged Care website to provide clearer information to consumers in conjunction with the work being undertaken to improve the My Aged Care platform.</w:t>
      </w:r>
    </w:p>
    <w:p w:rsidR="00CE1469" w:rsidRPr="00F6415D" w:rsidRDefault="00CE1469" w:rsidP="00CE1469">
      <w:pPr>
        <w:pStyle w:val="BodyText"/>
        <w:rPr>
          <w:rFonts w:ascii="Segoe UI" w:hAnsi="Segoe UI" w:cs="Segoe UI"/>
          <w:b/>
        </w:rPr>
      </w:pPr>
      <w:r w:rsidRPr="00F6415D">
        <w:rPr>
          <w:rFonts w:ascii="Segoe UI" w:hAnsi="Segoe UI" w:cs="Segoe UI"/>
          <w:b/>
        </w:rPr>
        <w:t xml:space="preserve">Improve understanding of additional service fees for residential aged care </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 lack of transparency for additional service fees in residential aged care is confusing for consumers. Consumers often do not know whether they will be required to pay an additional service fee, what their rights are in relation to the services that they are paying for, or indeed what services they are actually purchasing. At the same time Government should take steps to provide greater clarity to providers in relation to additional service fees. In conjunction with the work being undertaken to improve the My Aged Care platform, providers should be required to publish their additional service fees in the service finder available on the My Aged Care website and on their own website.</w:t>
      </w:r>
    </w:p>
    <w:p w:rsidR="00CE1469" w:rsidRPr="00F6415D" w:rsidRDefault="00CE1469" w:rsidP="003C7771">
      <w:pPr>
        <w:pStyle w:val="BodyText"/>
        <w:keepNext/>
        <w:rPr>
          <w:rFonts w:ascii="Segoe UI" w:hAnsi="Segoe UI" w:cs="Segoe UI"/>
          <w:b/>
        </w:rPr>
      </w:pPr>
      <w:r w:rsidRPr="00F6415D">
        <w:rPr>
          <w:rFonts w:ascii="Segoe UI" w:hAnsi="Segoe UI" w:cs="Segoe UI"/>
          <w:b/>
        </w:rPr>
        <w:lastRenderedPageBreak/>
        <w:t>Financial abuse and complaints processes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There is often confusion regarding how to raise concerns about the treatment of consumers by a third party. These concerns can relate to financial abuse by family, friends and carers but it can also relate to incorrect or inadequate financial advice being provided by financial advisors, consumer placement agencies and aged care providers. ACFA notes that the Government has announced $22 million to protect older Australians from abuse, including funding trials of specialist elder abuse support services. This work will be undertaken in conjunction with the National Plan to address elder abuse. ACFA recommends that Government agencies should ensure that this work includes aged care costs.</w:t>
      </w:r>
    </w:p>
    <w:p w:rsidR="00CE1469" w:rsidRPr="00F6415D" w:rsidRDefault="00CE1469" w:rsidP="0059246E">
      <w:pPr>
        <w:pStyle w:val="Heading4"/>
        <w:rPr>
          <w:rFonts w:ascii="Segoe UI" w:hAnsi="Segoe UI" w:cs="Segoe UI"/>
        </w:rPr>
      </w:pPr>
      <w:r w:rsidRPr="00F6415D">
        <w:rPr>
          <w:rFonts w:ascii="Segoe UI" w:hAnsi="Segoe UI" w:cs="Segoe UI"/>
        </w:rPr>
        <w:t>Financial advisors</w:t>
      </w:r>
    </w:p>
    <w:p w:rsidR="00CE1469" w:rsidRPr="00F6415D" w:rsidRDefault="00CE1469" w:rsidP="00CE1469">
      <w:pPr>
        <w:pStyle w:val="BodyText"/>
        <w:rPr>
          <w:rFonts w:ascii="Segoe UI" w:hAnsi="Segoe UI" w:cs="Segoe UI"/>
        </w:rPr>
      </w:pPr>
      <w:r w:rsidRPr="00F6415D">
        <w:rPr>
          <w:rFonts w:ascii="Segoe UI" w:hAnsi="Segoe UI" w:cs="Segoe UI"/>
        </w:rPr>
        <w:t>ACFA considers that further work is required to encourage financial advisors to more widely upskill and include aged care advice into services, both in the pre-retirement and post-retirement planning phases.</w:t>
      </w:r>
    </w:p>
    <w:p w:rsidR="00CE1469" w:rsidRPr="00F6415D" w:rsidRDefault="00CE1469" w:rsidP="00CE1469">
      <w:pPr>
        <w:pStyle w:val="BodyText"/>
        <w:rPr>
          <w:rFonts w:ascii="Segoe UI" w:hAnsi="Segoe UI" w:cs="Segoe UI"/>
          <w:b/>
        </w:rPr>
      </w:pPr>
      <w:r w:rsidRPr="00F6415D">
        <w:rPr>
          <w:rFonts w:ascii="Segoe UI" w:hAnsi="Segoe UI" w:cs="Segoe UI"/>
          <w:b/>
        </w:rPr>
        <w:t>Expansion of Financial Information Service (FIS)</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b/>
        </w:rPr>
      </w:pPr>
      <w:r w:rsidRPr="00F6415D">
        <w:rPr>
          <w:rFonts w:ascii="Segoe UI" w:hAnsi="Segoe UI" w:cs="Segoe UI"/>
        </w:rPr>
        <w:t xml:space="preserve">ACFA supports the </w:t>
      </w:r>
      <w:r w:rsidRPr="00F6415D">
        <w:rPr>
          <w:rFonts w:ascii="Segoe UI" w:hAnsi="Segoe UI" w:cs="Segoe UI"/>
          <w:i/>
        </w:rPr>
        <w:t>2018-19 Better Access to Care – aged care system navigator</w:t>
      </w:r>
      <w:r w:rsidRPr="00F6415D">
        <w:rPr>
          <w:rFonts w:ascii="Segoe UI" w:hAnsi="Segoe UI" w:cs="Segoe UI"/>
        </w:rPr>
        <w:t xml:space="preserve"> measure which trials six full time aged care FIS Officers who will provide additional support to consumers with the complex financial decisions they need to make when entering aged care. Pending the outcome of the trial, ACFA recommends implementing and expanding this service. However, attention needs to be paid to the role and scope of these services to ensure the threshold between information and advice is maintained.</w:t>
      </w:r>
    </w:p>
    <w:p w:rsidR="00CE1469" w:rsidRPr="00F6415D" w:rsidRDefault="00CE1469" w:rsidP="00CE1469">
      <w:pPr>
        <w:pStyle w:val="BodyText"/>
        <w:rPr>
          <w:rFonts w:ascii="Segoe UI" w:hAnsi="Segoe UI" w:cs="Segoe UI"/>
          <w:b/>
        </w:rPr>
      </w:pPr>
      <w:r w:rsidRPr="00F6415D">
        <w:rPr>
          <w:rFonts w:ascii="Segoe UI" w:hAnsi="Segoe UI" w:cs="Segoe UI"/>
          <w:b/>
        </w:rPr>
        <w:t>Ensuring financial planners are skilled to provide advice on aged care</w:t>
      </w:r>
    </w:p>
    <w:p w:rsidR="00CE1469" w:rsidRPr="00F6415D"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Current retirement planning focuses on wealth accumulation and generating an</w:t>
      </w:r>
      <w:r w:rsidRPr="00F6415D" w:rsidDel="003A4676">
        <w:rPr>
          <w:rFonts w:ascii="Segoe UI" w:hAnsi="Segoe UI" w:cs="Segoe UI"/>
        </w:rPr>
        <w:t xml:space="preserve"> </w:t>
      </w:r>
      <w:r w:rsidRPr="00F6415D">
        <w:rPr>
          <w:rFonts w:ascii="Segoe UI" w:hAnsi="Segoe UI" w:cs="Segoe UI"/>
        </w:rPr>
        <w:t>income stream which does not account for the consumer’s increased costs if they become frail and require aged care services. An early focus by financial planners on potential aged care costs would assist consumers being in a better position to be able to meet these costs when they access aged care. However, current licensing requirements and lack of aged care specific training and accreditation prevent more financial planners expanding into this area. ACFA recommends that the Government review licensing requirements for financial advisors with the aim to promote aged care planning and that aged care be available as a specific component of financial adviser training, education and accreditation.</w:t>
      </w:r>
    </w:p>
    <w:p w:rsidR="00CE1469" w:rsidRDefault="00CE1469" w:rsidP="00686BFA">
      <w:pPr>
        <w:pStyle w:val="BodyText"/>
        <w:numPr>
          <w:ilvl w:val="0"/>
          <w:numId w:val="43"/>
        </w:numPr>
        <w:tabs>
          <w:tab w:val="clear" w:pos="340"/>
          <w:tab w:val="num" w:pos="426"/>
        </w:tabs>
        <w:ind w:left="426" w:hanging="426"/>
        <w:rPr>
          <w:rFonts w:ascii="Segoe UI" w:hAnsi="Segoe UI" w:cs="Segoe UI"/>
        </w:rPr>
      </w:pPr>
      <w:r w:rsidRPr="00F6415D">
        <w:rPr>
          <w:rFonts w:ascii="Segoe UI" w:hAnsi="Segoe UI" w:cs="Segoe UI"/>
        </w:rPr>
        <w:t>Consideration of the particular needs of aged care advice given that it is not investment product based and the limitations on the ability to give advice due to Australian Credit Licence (ACL) and Australian Financial Services Licence (AFSL) requirements needs. This consideration needs to be done in conjunction with outcomes recommended by the Royal Commission into Misconduct in the Banking, Superannuation and Financial Services Industry.</w:t>
      </w:r>
    </w:p>
    <w:p w:rsidR="005208FF" w:rsidRPr="005208FF" w:rsidRDefault="005208FF" w:rsidP="005208FF">
      <w:pPr>
        <w:pStyle w:val="Appendixheading0"/>
      </w:pPr>
      <w:r>
        <w:lastRenderedPageBreak/>
        <w:t>Appendix</w:t>
      </w:r>
    </w:p>
    <w:p w:rsidR="00CE1469" w:rsidRPr="00F6415D" w:rsidRDefault="00CE1469" w:rsidP="00CE1469">
      <w:pPr>
        <w:pStyle w:val="AppendixHeading2"/>
        <w:rPr>
          <w:rFonts w:ascii="Segoe UI" w:eastAsiaTheme="majorEastAsia" w:hAnsi="Segoe UI" w:cs="Segoe UI"/>
        </w:rPr>
      </w:pPr>
      <w:bookmarkStart w:id="406" w:name="_Toc524605313"/>
      <w:bookmarkStart w:id="407" w:name="_Toc527561576"/>
      <w:bookmarkStart w:id="408" w:name="_Toc527564650"/>
      <w:bookmarkStart w:id="409" w:name="_Toc528224285"/>
      <w:bookmarkStart w:id="410" w:name="_Toc522190424"/>
      <w:bookmarkStart w:id="411" w:name="_Toc523408275"/>
      <w:bookmarkStart w:id="412" w:name="_Toc523482256"/>
      <w:bookmarkStart w:id="413" w:name="_Toc524605314"/>
      <w:bookmarkStart w:id="414" w:name="_Toc527561577"/>
      <w:bookmarkStart w:id="415" w:name="_Toc527564651"/>
      <w:bookmarkStart w:id="416" w:name="_Toc528224286"/>
      <w:bookmarkStart w:id="417" w:name="_Toc528861167"/>
      <w:bookmarkStart w:id="418" w:name="_Toc529890613"/>
      <w:bookmarkStart w:id="419" w:name="_Toc531271121"/>
      <w:bookmarkStart w:id="420" w:name="_Ref531777877"/>
      <w:bookmarkStart w:id="421" w:name="_Ref531777882"/>
      <w:bookmarkStart w:id="422" w:name="_Toc532206417"/>
      <w:bookmarkEnd w:id="406"/>
      <w:bookmarkEnd w:id="407"/>
      <w:bookmarkEnd w:id="408"/>
      <w:bookmarkEnd w:id="409"/>
      <w:r w:rsidRPr="00F6415D">
        <w:rPr>
          <w:rFonts w:ascii="Segoe UI" w:eastAsiaTheme="majorEastAsia" w:hAnsi="Segoe UI" w:cs="Segoe UI"/>
        </w:rPr>
        <w:lastRenderedPageBreak/>
        <w:t>: Government and non-government aged care programs and services</w:t>
      </w:r>
      <w:bookmarkEnd w:id="410"/>
      <w:bookmarkEnd w:id="411"/>
      <w:bookmarkEnd w:id="412"/>
      <w:bookmarkEnd w:id="413"/>
      <w:bookmarkEnd w:id="414"/>
      <w:bookmarkEnd w:id="415"/>
      <w:bookmarkEnd w:id="416"/>
      <w:bookmarkEnd w:id="417"/>
      <w:bookmarkEnd w:id="418"/>
      <w:bookmarkEnd w:id="419"/>
      <w:bookmarkEnd w:id="420"/>
      <w:bookmarkEnd w:id="421"/>
      <w:bookmarkEnd w:id="422"/>
    </w:p>
    <w:p w:rsidR="00CE1469" w:rsidRPr="00F6415D" w:rsidRDefault="00CE1469" w:rsidP="005208FF">
      <w:pPr>
        <w:pStyle w:val="AppendixHeading3"/>
      </w:pPr>
      <w:bookmarkStart w:id="423" w:name="_Toc522190425"/>
      <w:bookmarkStart w:id="424" w:name="_Toc523408276"/>
      <w:bookmarkStart w:id="425" w:name="_Toc523482257"/>
      <w:bookmarkStart w:id="426" w:name="_Toc524605315"/>
      <w:bookmarkStart w:id="427" w:name="_Toc527561578"/>
      <w:bookmarkStart w:id="428" w:name="_Toc527564652"/>
      <w:bookmarkStart w:id="429" w:name="_Toc528224287"/>
      <w:bookmarkStart w:id="430" w:name="_Toc528861168"/>
      <w:bookmarkStart w:id="431" w:name="_Toc529890614"/>
      <w:bookmarkStart w:id="432" w:name="_Toc531271122"/>
      <w:r w:rsidRPr="00F6415D">
        <w:t>Living independently in retirement</w:t>
      </w:r>
      <w:bookmarkEnd w:id="423"/>
      <w:bookmarkEnd w:id="424"/>
      <w:bookmarkEnd w:id="425"/>
      <w:bookmarkEnd w:id="426"/>
      <w:bookmarkEnd w:id="427"/>
      <w:bookmarkEnd w:id="428"/>
      <w:bookmarkEnd w:id="429"/>
      <w:bookmarkEnd w:id="430"/>
      <w:bookmarkEnd w:id="431"/>
      <w:bookmarkEnd w:id="432"/>
    </w:p>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retirement living "/>
      </w:tblPr>
      <w:tblGrid>
        <w:gridCol w:w="8292"/>
      </w:tblGrid>
      <w:tr w:rsidR="00CE1469" w:rsidRPr="00F6415D" w:rsidTr="00A4080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 xml:space="preserve">Retirement Living </w:t>
            </w:r>
          </w:p>
        </w:tc>
      </w:tr>
      <w:tr w:rsidR="00CE1469" w:rsidRPr="00F6415D" w:rsidTr="00CE1469">
        <w:tc>
          <w:tcPr>
            <w:tcW w:w="9549" w:type="dxa"/>
          </w:tcPr>
          <w:p w:rsidR="00CE1469" w:rsidRPr="00F6415D" w:rsidRDefault="00CE1469" w:rsidP="00CE1469">
            <w:pPr>
              <w:contextualSpacing/>
              <w:rPr>
                <w:rFonts w:ascii="Segoe UI" w:hAnsi="Segoe UI" w:cs="Segoe UI"/>
              </w:rPr>
            </w:pPr>
            <w:r w:rsidRPr="00F6415D">
              <w:rPr>
                <w:rFonts w:ascii="Segoe UI" w:hAnsi="Segoe UI" w:cs="Segoe UI"/>
                <w:lang w:val="en"/>
              </w:rPr>
              <w:t xml:space="preserve">Senior </w:t>
            </w:r>
            <w:r w:rsidRPr="00F6415D">
              <w:rPr>
                <w:rFonts w:ascii="Segoe UI" w:hAnsi="Segoe UI" w:cs="Segoe UI"/>
              </w:rPr>
              <w:t xml:space="preserve">Australians may choose to move to retirement living facilities for many reasons, including to downsize, access to improved or additional amenities and services, or to improve connectedness with a community. The types of villages range from loan/lease models (or loan license) to rental models, with the former being the prevalent model in Australia. </w:t>
            </w:r>
          </w:p>
          <w:p w:rsidR="00CE1469" w:rsidRPr="00F6415D" w:rsidRDefault="00CE1469" w:rsidP="00CE1469">
            <w:pPr>
              <w:contextualSpacing/>
              <w:rPr>
                <w:rFonts w:ascii="Segoe UI" w:hAnsi="Segoe UI" w:cs="Segoe UI"/>
              </w:rPr>
            </w:pPr>
            <w:r w:rsidRPr="00F6415D">
              <w:rPr>
                <w:rFonts w:ascii="Segoe UI" w:hAnsi="Segoe UI" w:cs="Segoe UI"/>
              </w:rPr>
              <w:t>Senior Australians living within retirement villages may still be eligible to receive CHSP, home care, transition care and STRC, to assist them with maintaining their independence and remaining in the retirement home/village for longer</w:t>
            </w:r>
            <w:r w:rsidRPr="00F6415D">
              <w:rPr>
                <w:rStyle w:val="EndnoteReference"/>
                <w:rFonts w:ascii="Segoe UI" w:hAnsi="Segoe UI" w:cs="Segoe UI"/>
              </w:rPr>
              <w:endnoteReference w:id="30"/>
            </w:r>
            <w:r w:rsidRPr="00F6415D">
              <w:rPr>
                <w:rFonts w:ascii="Segoe UI" w:hAnsi="Segoe UI" w:cs="Segoe UI"/>
              </w:rPr>
              <w:t xml:space="preserve">. </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contextualSpacing/>
              <w:rPr>
                <w:rFonts w:ascii="Segoe UI" w:hAnsi="Segoe UI" w:cs="Segoe UI"/>
              </w:rPr>
            </w:pPr>
            <w:r w:rsidRPr="00F6415D">
              <w:rPr>
                <w:rFonts w:ascii="Segoe UI" w:hAnsi="Segoe UI" w:cs="Segoe UI"/>
              </w:rPr>
              <w:t>The actual net cost to consumers can range significantly from village to village based on commercial contract terms. Under loan/lease models, consumers typically pay entry, exit, ongoing maintenance and service fees. The fees are as follows:</w:t>
            </w:r>
          </w:p>
          <w:p w:rsidR="00CE1469" w:rsidRPr="00F6415D" w:rsidRDefault="00CE1469" w:rsidP="00686BFA">
            <w:pPr>
              <w:pStyle w:val="ListParagraph"/>
              <w:numPr>
                <w:ilvl w:val="0"/>
                <w:numId w:val="31"/>
              </w:numPr>
              <w:suppressAutoHyphens/>
              <w:spacing w:after="60"/>
              <w:rPr>
                <w:rFonts w:ascii="Segoe UI" w:hAnsi="Segoe UI" w:cs="Segoe UI"/>
              </w:rPr>
            </w:pPr>
            <w:r w:rsidRPr="00F6415D">
              <w:rPr>
                <w:rFonts w:ascii="Segoe UI" w:hAnsi="Segoe UI" w:cs="Segoe UI"/>
              </w:rPr>
              <w:t xml:space="preserve">Entry fees: are a lump sum, upfront payment set at the market value of a home which is refundable upon a property being sold. </w:t>
            </w:r>
          </w:p>
          <w:p w:rsidR="00CE1469" w:rsidRPr="00F6415D" w:rsidRDefault="00CE1469" w:rsidP="00686BFA">
            <w:pPr>
              <w:pStyle w:val="ListParagraph"/>
              <w:numPr>
                <w:ilvl w:val="0"/>
                <w:numId w:val="31"/>
              </w:numPr>
              <w:suppressAutoHyphens/>
              <w:spacing w:after="60"/>
              <w:rPr>
                <w:rFonts w:ascii="Segoe UI" w:hAnsi="Segoe UI" w:cs="Segoe UI"/>
              </w:rPr>
            </w:pPr>
            <w:r w:rsidRPr="00F6415D">
              <w:rPr>
                <w:rFonts w:ascii="Segoe UI" w:hAnsi="Segoe UI" w:cs="Segoe UI"/>
              </w:rPr>
              <w:t xml:space="preserve">Maintenance fees: are charged on a monthly basis to cover the costs of amenities and services at the village. </w:t>
            </w:r>
          </w:p>
          <w:p w:rsidR="00CE1469" w:rsidRPr="00F6415D" w:rsidRDefault="00CE1469" w:rsidP="00686BFA">
            <w:pPr>
              <w:pStyle w:val="ListParagraph"/>
              <w:numPr>
                <w:ilvl w:val="0"/>
                <w:numId w:val="31"/>
              </w:numPr>
              <w:suppressAutoHyphens/>
              <w:spacing w:after="60"/>
              <w:rPr>
                <w:rFonts w:ascii="Segoe UI" w:hAnsi="Segoe UI" w:cs="Segoe UI"/>
              </w:rPr>
            </w:pPr>
            <w:r w:rsidRPr="00F6415D">
              <w:rPr>
                <w:rFonts w:ascii="Segoe UI" w:hAnsi="Segoe UI" w:cs="Segoe UI"/>
              </w:rPr>
              <w:t>Exit fee: usually in the form of a Deferred Management Fee (DMF), is deducted from the upfront payment and may be calculated based on a combination of occupancy term, new market value and refurbishment costs.</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residential land lease communities"/>
      </w:tblPr>
      <w:tblGrid>
        <w:gridCol w:w="8292"/>
      </w:tblGrid>
      <w:tr w:rsidR="00CE1469" w:rsidRPr="00F6415D" w:rsidTr="00D97F6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Residential landlease communities</w:t>
            </w:r>
          </w:p>
        </w:tc>
      </w:tr>
      <w:tr w:rsidR="00CE1469" w:rsidRPr="00F6415D" w:rsidTr="00CE1469">
        <w:tc>
          <w:tcPr>
            <w:tcW w:w="9549" w:type="dxa"/>
          </w:tcPr>
          <w:p w:rsidR="00CE1469" w:rsidRPr="00F6415D" w:rsidRDefault="00CE1469" w:rsidP="00CE1469">
            <w:pPr>
              <w:contextualSpacing/>
              <w:rPr>
                <w:rFonts w:ascii="Segoe UI" w:hAnsi="Segoe UI" w:cs="Segoe UI"/>
              </w:rPr>
            </w:pPr>
            <w:r w:rsidRPr="00F6415D">
              <w:rPr>
                <w:rFonts w:ascii="Segoe UI" w:hAnsi="Segoe UI" w:cs="Segoe UI"/>
              </w:rPr>
              <w:t xml:space="preserve">Residential landlease communities are an alternative way for </w:t>
            </w:r>
            <w:r w:rsidRPr="00F6415D">
              <w:rPr>
                <w:rFonts w:ascii="Segoe UI" w:hAnsi="Segoe UI" w:cs="Segoe UI"/>
                <w:lang w:val="en"/>
              </w:rPr>
              <w:t xml:space="preserve">senior </w:t>
            </w:r>
            <w:r w:rsidRPr="00F6415D">
              <w:rPr>
                <w:rFonts w:ascii="Segoe UI" w:hAnsi="Segoe UI" w:cs="Segoe UI"/>
              </w:rPr>
              <w:t xml:space="preserve">Australians to downsize while gaining access to improved or additional amenities. These communities consist of manufactured or mobile homes situated within a residential park of other homes. </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pStyle w:val="BodyText"/>
              <w:contextualSpacing/>
              <w:rPr>
                <w:rFonts w:ascii="Segoe UI" w:hAnsi="Segoe UI" w:cs="Segoe UI"/>
              </w:rPr>
            </w:pPr>
            <w:r w:rsidRPr="00F6415D">
              <w:rPr>
                <w:rFonts w:ascii="Segoe UI" w:hAnsi="Segoe UI" w:cs="Segoe UI"/>
              </w:rPr>
              <w:t>Consumers purchase the physical asset of the home, but do not own the land on which it stands. Land is leased through a weekly or fortnightly site contribution in return for access to a range of amenities. In contrast to retirement living, there are usually no exit fees as they operate off a rental model. There are also unlikely to be buy-back clauses.</w:t>
            </w:r>
          </w:p>
        </w:tc>
      </w:tr>
    </w:tbl>
    <w:p w:rsidR="00CE1469" w:rsidRPr="00F6415D" w:rsidRDefault="00CE1469" w:rsidP="00CE1469">
      <w:pPr>
        <w:pStyle w:val="AppendixHeading3"/>
        <w:rPr>
          <w:rFonts w:ascii="Segoe UI" w:hAnsi="Segoe UI" w:cs="Segoe UI"/>
        </w:rPr>
      </w:pPr>
      <w:bookmarkStart w:id="433" w:name="_Toc522190426"/>
      <w:bookmarkStart w:id="434" w:name="_Toc523408277"/>
      <w:bookmarkStart w:id="435" w:name="_Toc523482258"/>
      <w:bookmarkStart w:id="436" w:name="_Toc524605316"/>
      <w:bookmarkStart w:id="437" w:name="_Toc527561579"/>
      <w:bookmarkStart w:id="438" w:name="_Toc527564653"/>
      <w:bookmarkStart w:id="439" w:name="_Toc528224288"/>
      <w:bookmarkStart w:id="440" w:name="_Toc528861169"/>
      <w:bookmarkStart w:id="441" w:name="_Toc529890615"/>
      <w:bookmarkStart w:id="442" w:name="_Toc531271123"/>
      <w:r w:rsidRPr="00F6415D">
        <w:rPr>
          <w:rFonts w:ascii="Segoe UI" w:hAnsi="Segoe UI" w:cs="Segoe UI"/>
        </w:rPr>
        <w:lastRenderedPageBreak/>
        <w:t>Care to support independence</w:t>
      </w:r>
      <w:bookmarkEnd w:id="433"/>
      <w:bookmarkEnd w:id="434"/>
      <w:bookmarkEnd w:id="435"/>
      <w:bookmarkEnd w:id="436"/>
      <w:bookmarkEnd w:id="437"/>
      <w:bookmarkEnd w:id="438"/>
      <w:bookmarkEnd w:id="439"/>
      <w:bookmarkEnd w:id="440"/>
      <w:bookmarkEnd w:id="441"/>
      <w:bookmarkEnd w:id="442"/>
    </w:p>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private care arrangements "/>
      </w:tblPr>
      <w:tblGrid>
        <w:gridCol w:w="8292"/>
      </w:tblGrid>
      <w:tr w:rsidR="00CE1469" w:rsidRPr="00F6415D" w:rsidTr="00D97F6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Private care arrangements</w:t>
            </w:r>
          </w:p>
        </w:tc>
      </w:tr>
      <w:tr w:rsidR="00CE1469" w:rsidRPr="00F6415D" w:rsidTr="00CE1469">
        <w:tc>
          <w:tcPr>
            <w:tcW w:w="9549" w:type="dxa"/>
          </w:tcPr>
          <w:p w:rsidR="00CE1469" w:rsidRPr="00F6415D" w:rsidRDefault="00CE1469" w:rsidP="00CE1469">
            <w:pPr>
              <w:autoSpaceDE w:val="0"/>
              <w:autoSpaceDN w:val="0"/>
              <w:spacing w:after="0"/>
              <w:contextualSpacing/>
              <w:rPr>
                <w:rFonts w:ascii="Segoe UI" w:hAnsi="Segoe UI" w:cs="Segoe UI"/>
                <w:color w:val="000000"/>
                <w:highlight w:val="yellow"/>
              </w:rPr>
            </w:pPr>
            <w:r w:rsidRPr="00F6415D">
              <w:rPr>
                <w:rFonts w:ascii="Segoe UI" w:hAnsi="Segoe UI" w:cs="Segoe UI"/>
              </w:rPr>
              <w:br w:type="page"/>
              <w:t>A range of aged care services and supports may be purchased privately. Approved home care and residential aged care providers may also offer services on a fee-for-service basis in addition to what is included in the Government funded arrangement. For example, consumers may choose to pay for additional services in a residential care setting outside of the scope of the Quality of Care Principles. These are optional and include varying items agreed between the provider and the consumer.</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pStyle w:val="BodyText"/>
              <w:contextualSpacing/>
              <w:rPr>
                <w:rFonts w:ascii="Segoe UI" w:hAnsi="Segoe UI" w:cs="Segoe UI"/>
                <w:color w:val="000000"/>
              </w:rPr>
            </w:pPr>
            <w:r w:rsidRPr="00F6415D">
              <w:rPr>
                <w:rFonts w:ascii="Segoe UI" w:hAnsi="Segoe UI" w:cs="Segoe UI"/>
              </w:rPr>
              <w:t>Fee structures vary across providers, but are typically characterised by a pay per service arrangement or structured as a membership model</w:t>
            </w:r>
            <w:r w:rsidRPr="00F6415D">
              <w:rPr>
                <w:rFonts w:ascii="Segoe UI" w:hAnsi="Segoe UI" w:cs="Segoe UI"/>
                <w:color w:val="000000"/>
              </w:rPr>
              <w:t xml:space="preserve">, whereby </w:t>
            </w:r>
            <w:r w:rsidRPr="00F6415D">
              <w:rPr>
                <w:rFonts w:ascii="Segoe UI" w:hAnsi="Segoe UI" w:cs="Segoe UI"/>
              </w:rPr>
              <w:t xml:space="preserve">consumers </w:t>
            </w:r>
            <w:r w:rsidRPr="00F6415D">
              <w:rPr>
                <w:rFonts w:ascii="Segoe UI" w:hAnsi="Segoe UI" w:cs="Segoe UI"/>
                <w:color w:val="000000"/>
              </w:rPr>
              <w:t>pay a membership fee in addition to a flat fee for each service required.</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the Commonwealth Home Support Programme"/>
      </w:tblPr>
      <w:tblGrid>
        <w:gridCol w:w="8292"/>
      </w:tblGrid>
      <w:tr w:rsidR="00CE1469" w:rsidRPr="00F6415D" w:rsidTr="00D97F6F">
        <w:trPr>
          <w:trHeight w:val="181"/>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 xml:space="preserve">Commonwealth Home Support Programme </w:t>
            </w:r>
          </w:p>
        </w:tc>
      </w:tr>
      <w:tr w:rsidR="00CE1469" w:rsidRPr="00F6415D" w:rsidTr="00CE1469">
        <w:tc>
          <w:tcPr>
            <w:tcW w:w="9549" w:type="dxa"/>
          </w:tcPr>
          <w:p w:rsidR="00CE1469" w:rsidRPr="00F6415D" w:rsidRDefault="00CE1469" w:rsidP="00CE1469">
            <w:pPr>
              <w:pStyle w:val="BodyText"/>
              <w:spacing w:before="0" w:after="0"/>
              <w:rPr>
                <w:rFonts w:ascii="Segoe UI" w:hAnsi="Segoe UI" w:cs="Segoe UI"/>
              </w:rPr>
            </w:pPr>
            <w:r w:rsidRPr="00F6415D">
              <w:rPr>
                <w:rFonts w:ascii="Segoe UI" w:hAnsi="Segoe UI" w:cs="Segoe UI"/>
              </w:rPr>
              <w:t xml:space="preserve">The CHSP provides entry-level home support to </w:t>
            </w:r>
            <w:r w:rsidRPr="00F6415D">
              <w:rPr>
                <w:rFonts w:ascii="Segoe UI" w:hAnsi="Segoe UI" w:cs="Segoe UI"/>
                <w:lang w:val="en"/>
              </w:rPr>
              <w:t xml:space="preserve">senior </w:t>
            </w:r>
            <w:r w:rsidRPr="00F6415D">
              <w:rPr>
                <w:rFonts w:ascii="Segoe UI" w:hAnsi="Segoe UI" w:cs="Segoe UI"/>
              </w:rPr>
              <w:t>Australians who need assistance to remain living independently at home</w:t>
            </w:r>
            <w:r w:rsidRPr="00F6415D">
              <w:rPr>
                <w:rStyle w:val="EndnoteReference"/>
                <w:rFonts w:ascii="Segoe UI" w:hAnsi="Segoe UI" w:cs="Segoe UI"/>
                <w:lang w:val="en-GB"/>
              </w:rPr>
              <w:endnoteReference w:id="31"/>
            </w:r>
            <w:r w:rsidRPr="00F6415D">
              <w:rPr>
                <w:rFonts w:ascii="Segoe UI" w:hAnsi="Segoe UI" w:cs="Segoe UI"/>
              </w:rPr>
              <w:t>. Services funded under the CHSP include:</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General support – domestic assistance, personal care, home maintenance, social support.</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Carer support – in-home respite, community access, centre-based respite, residential respite.</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Housing support – assistance with care and housing for the homeless.</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 xml:space="preserve">Service system development – sector support and development activities </w:t>
            </w:r>
          </w:p>
          <w:p w:rsidR="00CE1469" w:rsidRPr="00F6415D" w:rsidRDefault="00CE1469" w:rsidP="00CE1469">
            <w:pPr>
              <w:pStyle w:val="BodyText"/>
              <w:contextualSpacing/>
              <w:rPr>
                <w:rFonts w:ascii="Segoe UI" w:hAnsi="Segoe UI" w:cs="Segoe UI"/>
              </w:rPr>
            </w:pPr>
            <w:r w:rsidRPr="00F6415D">
              <w:rPr>
                <w:rFonts w:ascii="Segoe UI" w:hAnsi="Segoe UI" w:cs="Segoe UI"/>
              </w:rPr>
              <w:t xml:space="preserve">The CHSP is a block funded program administered outside of the </w:t>
            </w:r>
            <w:r w:rsidRPr="00F6415D">
              <w:rPr>
                <w:rFonts w:ascii="Segoe UI" w:hAnsi="Segoe UI" w:cs="Segoe UI"/>
                <w:i/>
              </w:rPr>
              <w:t>Aged Care Act 1997</w:t>
            </w:r>
            <w:r w:rsidRPr="00F6415D">
              <w:rPr>
                <w:rFonts w:ascii="Segoe UI" w:hAnsi="Segoe UI" w:cs="Segoe UI"/>
              </w:rPr>
              <w:t xml:space="preserve"> (the Act) and funds services service providers to deliver the CHSP through a grant agreement. </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pStyle w:val="BodyText"/>
              <w:contextualSpacing/>
              <w:rPr>
                <w:rFonts w:ascii="Segoe UI" w:hAnsi="Segoe UI" w:cs="Segoe UI"/>
              </w:rPr>
            </w:pPr>
            <w:r w:rsidRPr="00F6415D">
              <w:rPr>
                <w:rFonts w:ascii="Segoe UI" w:hAnsi="Segoe UI" w:cs="Segoe UI"/>
              </w:rPr>
              <w:t>Consumers are asked to pay a contribution towards the cost of their care. Consumer contributions vary across service providers and are determined on a consumer basis between the consumer and the provider, depending on what the consumer can afford to pay</w:t>
            </w:r>
            <w:r w:rsidRPr="00F6415D">
              <w:rPr>
                <w:rStyle w:val="EndnoteReference"/>
                <w:rFonts w:ascii="Segoe UI" w:hAnsi="Segoe UI" w:cs="Segoe UI"/>
              </w:rPr>
              <w:endnoteReference w:id="32"/>
            </w:r>
            <w:r w:rsidRPr="00F6415D">
              <w:rPr>
                <w:rFonts w:ascii="Segoe UI" w:hAnsi="Segoe UI" w:cs="Segoe UI"/>
              </w:rPr>
              <w:t>.</w:t>
            </w:r>
          </w:p>
        </w:tc>
      </w:tr>
    </w:tbl>
    <w:p w:rsidR="00CE1469" w:rsidRPr="00F6415D" w:rsidRDefault="00CE1469" w:rsidP="00CE1469">
      <w:pPr>
        <w:contextualSpacing/>
        <w:rPr>
          <w:rFonts w:ascii="Segoe UI" w:hAnsi="Segoe UI" w:cs="Segoe UI"/>
          <w:sz w:val="8"/>
        </w:rPr>
      </w:pPr>
    </w:p>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the Home Care Packages Program"/>
      </w:tblPr>
      <w:tblGrid>
        <w:gridCol w:w="8292"/>
      </w:tblGrid>
      <w:tr w:rsidR="00CE1469" w:rsidRPr="00F6415D" w:rsidTr="00D97F6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 xml:space="preserve">Home Care Packages Program </w:t>
            </w:r>
          </w:p>
        </w:tc>
      </w:tr>
      <w:tr w:rsidR="00CE1469" w:rsidRPr="00F6415D" w:rsidTr="00CE1469">
        <w:tc>
          <w:tcPr>
            <w:tcW w:w="9549" w:type="dxa"/>
          </w:tcPr>
          <w:p w:rsidR="00CE1469" w:rsidRPr="00F6415D" w:rsidRDefault="00CE1469" w:rsidP="00CE1469">
            <w:pPr>
              <w:pStyle w:val="BodyText"/>
              <w:contextualSpacing/>
              <w:rPr>
                <w:rFonts w:ascii="Segoe UI" w:hAnsi="Segoe UI" w:cs="Segoe UI"/>
              </w:rPr>
            </w:pPr>
            <w:r w:rsidRPr="00F6415D">
              <w:rPr>
                <w:rFonts w:ascii="Segoe UI" w:hAnsi="Segoe UI" w:cs="Segoe UI"/>
              </w:rPr>
              <w:t xml:space="preserve">The Home Care Packages (Home Care) Program provides </w:t>
            </w:r>
            <w:r w:rsidRPr="00F6415D">
              <w:rPr>
                <w:rFonts w:ascii="Segoe UI" w:hAnsi="Segoe UI" w:cs="Segoe UI"/>
                <w:lang w:val="en"/>
              </w:rPr>
              <w:t xml:space="preserve">senior </w:t>
            </w:r>
            <w:r w:rsidRPr="00F6415D">
              <w:rPr>
                <w:rFonts w:ascii="Segoe UI" w:hAnsi="Segoe UI" w:cs="Segoe UI"/>
              </w:rPr>
              <w:t>Australians who want to stay at home with access to a range of ongoing services and supports to help them with their day-to-day activities. It is designed to offer a more coordinated package of care and services above what can be provided by the CHSP.</w:t>
            </w:r>
          </w:p>
          <w:p w:rsidR="00CE1469" w:rsidRPr="00F6415D" w:rsidRDefault="00CE1469" w:rsidP="00CE1469">
            <w:pPr>
              <w:pStyle w:val="BodyText"/>
              <w:contextualSpacing/>
              <w:rPr>
                <w:rFonts w:ascii="Segoe UI" w:hAnsi="Segoe UI" w:cs="Segoe UI"/>
              </w:rPr>
            </w:pPr>
            <w:r w:rsidRPr="00F6415D">
              <w:rPr>
                <w:rFonts w:ascii="Segoe UI" w:hAnsi="Segoe UI" w:cs="Segoe UI"/>
              </w:rPr>
              <w:t>There are four levels of Home Care, increasing in level of support and funding from Level 1 – supporting people with basic care needs – to Level 4 – supporting people with high care needs</w:t>
            </w:r>
            <w:r w:rsidRPr="00F6415D">
              <w:rPr>
                <w:rStyle w:val="EndnoteReference"/>
                <w:rFonts w:ascii="Segoe UI" w:hAnsi="Segoe UI" w:cs="Segoe UI"/>
                <w:lang w:val="en-US"/>
              </w:rPr>
              <w:endnoteReference w:id="33"/>
            </w:r>
            <w:r w:rsidRPr="00F6415D">
              <w:rPr>
                <w:rFonts w:ascii="Segoe UI" w:hAnsi="Segoe UI" w:cs="Segoe UI"/>
              </w:rPr>
              <w:t>. Services funded under Home Care include:</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lastRenderedPageBreak/>
              <w:t xml:space="preserve">Personal Care: hygiene needs (showering, bathing), feeding assistance (meal preparation and eating). </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 xml:space="preserve">Support Services: washing, ironing, cleaning, basic home modifications (hand rails), and transport. </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 xml:space="preserve">Clinical Care: nursing and allied health support </w:t>
            </w:r>
          </w:p>
          <w:p w:rsidR="00CE1469" w:rsidRPr="00F6415D" w:rsidRDefault="00CE1469" w:rsidP="00CE1469">
            <w:pPr>
              <w:pStyle w:val="BodyText"/>
              <w:contextualSpacing/>
              <w:rPr>
                <w:rFonts w:ascii="Segoe UI" w:hAnsi="Segoe UI" w:cs="Segoe UI"/>
              </w:rPr>
            </w:pPr>
            <w:r w:rsidRPr="00F6415D">
              <w:rPr>
                <w:rFonts w:ascii="Segoe UI" w:hAnsi="Segoe UI" w:cs="Segoe UI"/>
              </w:rPr>
              <w:t>The Australian Government pays approved providers a home care subsidy on behalf of the consumer. Additional supplements may also be paid depending on the consumer’s circumstances.</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pStyle w:val="BodyText"/>
              <w:contextualSpacing/>
              <w:rPr>
                <w:rFonts w:ascii="Segoe UI" w:hAnsi="Segoe UI" w:cs="Segoe UI"/>
              </w:rPr>
            </w:pPr>
            <w:r w:rsidRPr="00F6415D">
              <w:rPr>
                <w:rFonts w:ascii="Segoe UI" w:hAnsi="Segoe UI" w:cs="Segoe UI"/>
              </w:rPr>
              <w:t>All consumers are asked to pay a basic daily care fee, which equals 17.5 per cent of the basic single rate of age pension ($10.32 per day or $3,766.80 per year as at 1 July 2018). From 1 July 2014, if the consumer is a part-pensioner or a self</w:t>
            </w:r>
            <w:r w:rsidRPr="00F6415D">
              <w:rPr>
                <w:rFonts w:ascii="Segoe UI" w:hAnsi="Segoe UI" w:cs="Segoe UI"/>
              </w:rPr>
              <w:noBreakHyphen/>
              <w:t>funded retiree, an income-tested care fee may also apply, to which annual and lifetime caps apply. This fee is determined through an Income Assessment, depending on a consumer’s circumstances.</w:t>
            </w:r>
            <w:r w:rsidRPr="00F6415D">
              <w:rPr>
                <w:rStyle w:val="EndnoteReference"/>
                <w:rFonts w:ascii="Segoe UI" w:hAnsi="Segoe UI" w:cs="Segoe UI"/>
              </w:rPr>
              <w:endnoteReference w:id="34"/>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Residential Respite Care "/>
      </w:tblPr>
      <w:tblGrid>
        <w:gridCol w:w="8292"/>
      </w:tblGrid>
      <w:tr w:rsidR="00CE1469" w:rsidRPr="00F6415D" w:rsidTr="00D97F6F">
        <w:trPr>
          <w:tblHeader/>
        </w:trPr>
        <w:tc>
          <w:tcPr>
            <w:tcW w:w="9554"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Residential Respite Care</w:t>
            </w:r>
          </w:p>
        </w:tc>
      </w:tr>
      <w:tr w:rsidR="00CE1469" w:rsidRPr="00F6415D" w:rsidTr="00CE1469">
        <w:trPr>
          <w:trHeight w:val="1415"/>
        </w:trPr>
        <w:tc>
          <w:tcPr>
            <w:tcW w:w="9554" w:type="dxa"/>
          </w:tcPr>
          <w:p w:rsidR="00CE1469" w:rsidRPr="00F6415D" w:rsidRDefault="00CE1469" w:rsidP="00CE1469">
            <w:pPr>
              <w:contextualSpacing/>
              <w:rPr>
                <w:rFonts w:ascii="Segoe UI" w:hAnsi="Segoe UI" w:cs="Segoe UI"/>
              </w:rPr>
            </w:pPr>
            <w:r w:rsidRPr="00F6415D">
              <w:rPr>
                <w:rFonts w:ascii="Segoe UI" w:hAnsi="Segoe UI" w:cs="Segoe UI"/>
                <w:lang w:val="en-GB"/>
              </w:rPr>
              <w:t>Residential respite provides short-term care on a planned or emergency basis</w:t>
            </w:r>
            <w:r w:rsidRPr="00F6415D">
              <w:rPr>
                <w:rStyle w:val="EndnoteReference"/>
                <w:rFonts w:ascii="Segoe UI" w:hAnsi="Segoe UI" w:cs="Segoe UI"/>
                <w:lang w:val="en-GB"/>
              </w:rPr>
              <w:endnoteReference w:id="35"/>
            </w:r>
            <w:r w:rsidRPr="00F6415D">
              <w:rPr>
                <w:rFonts w:ascii="Segoe UI" w:hAnsi="Segoe UI" w:cs="Segoe UI"/>
                <w:lang w:val="en-GB"/>
              </w:rPr>
              <w:t xml:space="preserve">. Care recipients are entitled to 63 days of subsidised care in financial year if ACAT approved. It is generally used to provide carers with a break from their caring duties or to transition a </w:t>
            </w:r>
            <w:r w:rsidRPr="00F6415D">
              <w:rPr>
                <w:rFonts w:ascii="Segoe UI" w:hAnsi="Segoe UI" w:cs="Segoe UI"/>
              </w:rPr>
              <w:t xml:space="preserve">consumer </w:t>
            </w:r>
            <w:r w:rsidRPr="00F6415D">
              <w:rPr>
                <w:rFonts w:ascii="Segoe UI" w:hAnsi="Segoe UI" w:cs="Segoe UI"/>
                <w:lang w:val="en-GB"/>
              </w:rPr>
              <w:t>into permanent residential care. The Australian Government pays approved providers a residential care subsidy</w:t>
            </w:r>
            <w:r w:rsidRPr="00F6415D">
              <w:rPr>
                <w:rFonts w:ascii="Segoe UI" w:hAnsi="Segoe UI" w:cs="Segoe UI"/>
              </w:rPr>
              <w:t xml:space="preserve"> for each day a consumer is in care.</w:t>
            </w:r>
          </w:p>
          <w:p w:rsidR="00CE1469" w:rsidRPr="00F6415D" w:rsidRDefault="00CE1469" w:rsidP="00CE1469">
            <w:pPr>
              <w:pStyle w:val="Heading7"/>
              <w:contextualSpacing/>
              <w:rPr>
                <w:rFonts w:ascii="Segoe UI" w:hAnsi="Segoe UI" w:cs="Segoe UI"/>
                <w:lang w:val="en-GB"/>
              </w:rPr>
            </w:pPr>
            <w:r w:rsidRPr="00F6415D">
              <w:rPr>
                <w:rFonts w:ascii="Segoe UI" w:hAnsi="Segoe UI" w:cs="Segoe UI"/>
                <w:lang w:val="en-GB"/>
              </w:rPr>
              <w:t>Consumer contribution</w:t>
            </w:r>
          </w:p>
          <w:p w:rsidR="00CE1469" w:rsidRPr="00F6415D" w:rsidRDefault="00CE1469" w:rsidP="00CE1469">
            <w:pPr>
              <w:contextualSpacing/>
              <w:rPr>
                <w:rFonts w:ascii="Segoe UI" w:hAnsi="Segoe UI" w:cs="Segoe UI"/>
              </w:rPr>
            </w:pPr>
            <w:r w:rsidRPr="00F6415D">
              <w:rPr>
                <w:rFonts w:ascii="Segoe UI" w:hAnsi="Segoe UI" w:cs="Segoe UI"/>
              </w:rPr>
              <w:t>Consumers can be asked to pay a basic daily care fee, which equals 85 per cent of the basic single rate of age pension ($50.16 per day or $18,308.4 per year as at 1 July 2018).</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the Transition Care Program "/>
      </w:tblPr>
      <w:tblGrid>
        <w:gridCol w:w="8292"/>
      </w:tblGrid>
      <w:tr w:rsidR="00CE1469" w:rsidRPr="00F6415D" w:rsidTr="00D97F6F">
        <w:trPr>
          <w:tblHeader/>
        </w:trPr>
        <w:tc>
          <w:tcPr>
            <w:tcW w:w="8528"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Transition Care Program</w:t>
            </w:r>
          </w:p>
        </w:tc>
      </w:tr>
      <w:tr w:rsidR="00CE1469" w:rsidRPr="00F6415D" w:rsidTr="00CE1469">
        <w:tc>
          <w:tcPr>
            <w:tcW w:w="8528" w:type="dxa"/>
          </w:tcPr>
          <w:p w:rsidR="00CE1469" w:rsidRPr="00F6415D" w:rsidRDefault="00CE1469" w:rsidP="00CE1469">
            <w:pPr>
              <w:pStyle w:val="BodyText"/>
              <w:contextualSpacing/>
              <w:rPr>
                <w:rFonts w:ascii="Segoe UI" w:hAnsi="Segoe UI" w:cs="Segoe UI"/>
              </w:rPr>
            </w:pPr>
            <w:r w:rsidRPr="00F6415D">
              <w:rPr>
                <w:rFonts w:ascii="Segoe UI" w:hAnsi="Segoe UI" w:cs="Segoe UI"/>
              </w:rPr>
              <w:t xml:space="preserve">Transition Care provides a time-limited and therapy-focused services to support </w:t>
            </w:r>
            <w:r w:rsidRPr="00F6415D">
              <w:rPr>
                <w:rFonts w:ascii="Segoe UI" w:hAnsi="Segoe UI" w:cs="Segoe UI"/>
                <w:lang w:val="en"/>
              </w:rPr>
              <w:t xml:space="preserve">senior </w:t>
            </w:r>
            <w:r w:rsidRPr="00F6415D">
              <w:rPr>
                <w:rFonts w:ascii="Segoe UI" w:hAnsi="Segoe UI" w:cs="Segoe UI"/>
              </w:rPr>
              <w:t>Australians transition to home after a hospital stay. The Australian Government pays approved providers a flexible care subsidy—care provided as transition care on behalf of the consumer. Additional supplements may also be paid depending on the consumer’s circumstances.</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pStyle w:val="BodyText"/>
              <w:contextualSpacing/>
              <w:rPr>
                <w:rFonts w:ascii="Segoe UI" w:hAnsi="Segoe UI" w:cs="Segoe UI"/>
              </w:rPr>
            </w:pPr>
            <w:r w:rsidRPr="00F6415D">
              <w:rPr>
                <w:rFonts w:ascii="Segoe UI" w:hAnsi="Segoe UI" w:cs="Segoe UI"/>
              </w:rPr>
              <w:t>Consumers are asked to pay a contribution towards the cost of their care. Consumer contributions vary across service providers and are determined on a consumer basis between the consumer and the provider, depending on what a consumer can afford to pay. The caps set on contributions are as follows:</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lastRenderedPageBreak/>
              <w:t>Home setting: consumers can be asked to pay a basic daily care fee, which equals 17.5 per cent of the basic single rate of age pension ($10.32 per day or $3,766.80 per year as at 1 July 2018).</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Residential setting: consumers can be asked to pay a basic daily care fee, which equals 85 per cent of the basic single rate of age pension ($50.16 per day or $18,308.4 per year as at 1 July 2018).</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Short-term Restorative Care "/>
      </w:tblPr>
      <w:tblGrid>
        <w:gridCol w:w="8292"/>
      </w:tblGrid>
      <w:tr w:rsidR="00CE1469" w:rsidRPr="00F6415D" w:rsidTr="00D97F6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Short-term Restorative Care</w:t>
            </w:r>
          </w:p>
        </w:tc>
      </w:tr>
      <w:tr w:rsidR="00CE1469" w:rsidRPr="00F6415D" w:rsidTr="00CE1469">
        <w:tc>
          <w:tcPr>
            <w:tcW w:w="9549" w:type="dxa"/>
          </w:tcPr>
          <w:p w:rsidR="00CE1469" w:rsidRPr="00F6415D" w:rsidRDefault="00CE1469" w:rsidP="00CE1469">
            <w:pPr>
              <w:contextualSpacing/>
              <w:rPr>
                <w:rFonts w:ascii="Segoe UI" w:hAnsi="Segoe UI" w:cs="Segoe UI"/>
              </w:rPr>
            </w:pPr>
            <w:r w:rsidRPr="00F6415D">
              <w:rPr>
                <w:rFonts w:ascii="Segoe UI" w:hAnsi="Segoe UI" w:cs="Segoe UI"/>
              </w:rPr>
              <w:t xml:space="preserve">STRC is a 12 week program designed to enable </w:t>
            </w:r>
            <w:r w:rsidRPr="00F6415D">
              <w:rPr>
                <w:rFonts w:ascii="Segoe UI" w:hAnsi="Segoe UI" w:cs="Segoe UI"/>
                <w:lang w:val="en"/>
              </w:rPr>
              <w:t xml:space="preserve">senior </w:t>
            </w:r>
            <w:r w:rsidRPr="00F6415D">
              <w:rPr>
                <w:rFonts w:ascii="Segoe UI" w:hAnsi="Segoe UI" w:cs="Segoe UI"/>
              </w:rPr>
              <w:t>Australians to regain independence after a setback, such as an illness or fall. Entry to STRC is from the community. The Australian Government pays approved providers a flexible care subsidy—care provided as short-term restorative care on behalf of the consumer. Additional supplements may also be paid depending on the consumer’s circumstances.</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contextualSpacing/>
              <w:rPr>
                <w:rFonts w:ascii="Segoe UI" w:hAnsi="Segoe UI" w:cs="Segoe UI"/>
              </w:rPr>
            </w:pPr>
            <w:r w:rsidRPr="00F6415D">
              <w:rPr>
                <w:rFonts w:ascii="Segoe UI" w:hAnsi="Segoe UI" w:cs="Segoe UI"/>
              </w:rPr>
              <w:t>Consumers are asked to pay a contribution towards the cost of their care. Consumer contributions vary across service providers and are determined on a consumer basis between the consumer and the provider, depending on what the consumer can afford to pay. The caps set on contributions are as follows:</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Home setting: consumers can be asked to pay a basic daily care fee, which equals 17.5 per cent of the basic single rate of age pension ($10.32 per day or $3,766.80 per year as at 1 July 2018).</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Residential setting: consumers can be asked to pay a basic daily care fee, which equals 85 per cent of the basic single rate of age pension ($50.16 per day or $18,308.4 per year as at 1 July 2018).</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the National Aboriginal and Torres Strait Islander Flexible Aged Care Program "/>
      </w:tblPr>
      <w:tblGrid>
        <w:gridCol w:w="8292"/>
      </w:tblGrid>
      <w:tr w:rsidR="00CE1469" w:rsidRPr="00F6415D" w:rsidTr="00D97F6F">
        <w:trPr>
          <w:tblHeader/>
        </w:trPr>
        <w:tc>
          <w:tcPr>
            <w:tcW w:w="8528"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National Aboriginal and Torres Strait Islander Flexible Aged Care Program</w:t>
            </w:r>
            <w:r w:rsidRPr="00F6415D" w:rsidDel="00536D76">
              <w:rPr>
                <w:rFonts w:ascii="Segoe UI" w:hAnsi="Segoe UI" w:cs="Segoe UI"/>
                <w:sz w:val="20"/>
              </w:rPr>
              <w:t xml:space="preserve"> </w:t>
            </w:r>
          </w:p>
        </w:tc>
      </w:tr>
      <w:tr w:rsidR="00CE1469" w:rsidRPr="00F6415D" w:rsidTr="00CE1469">
        <w:trPr>
          <w:trHeight w:val="1120"/>
        </w:trPr>
        <w:tc>
          <w:tcPr>
            <w:tcW w:w="8528" w:type="dxa"/>
          </w:tcPr>
          <w:p w:rsidR="00CE1469" w:rsidRPr="00F6415D" w:rsidRDefault="00CE1469" w:rsidP="00CE1469">
            <w:pPr>
              <w:contextualSpacing/>
              <w:rPr>
                <w:rFonts w:ascii="Segoe UI" w:hAnsi="Segoe UI" w:cs="Segoe UI"/>
              </w:rPr>
            </w:pPr>
            <w:r w:rsidRPr="00F6415D">
              <w:rPr>
                <w:rFonts w:ascii="Segoe UI" w:hAnsi="Segoe UI" w:cs="Segoe UI"/>
              </w:rPr>
              <w:t>NATSIFACP funds organisations to provide culturally appropriate aged care to Aboriginal and Torres Strait Islander people close to their home/community. Care is delivered in either a residential or home care setting.</w:t>
            </w:r>
          </w:p>
          <w:p w:rsidR="00CE1469" w:rsidRPr="00F6415D" w:rsidRDefault="00CE1469" w:rsidP="00CE1469">
            <w:pPr>
              <w:contextualSpacing/>
              <w:rPr>
                <w:rFonts w:ascii="Segoe UI" w:hAnsi="Segoe UI" w:cs="Segoe UI"/>
              </w:rPr>
            </w:pPr>
            <w:r w:rsidRPr="00F6415D">
              <w:rPr>
                <w:rFonts w:ascii="Segoe UI" w:hAnsi="Segoe UI" w:cs="Segoe UI"/>
              </w:rPr>
              <w:t>NATSIFACP is administered outside of the Aged Care Act, and funds service providers through a grant agreement which is based on the number of allocated places in each setting. Unlike other flexible care types, the funding is not determined by the occupancy of those places.</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contextualSpacing/>
              <w:rPr>
                <w:rFonts w:ascii="Segoe UI" w:hAnsi="Segoe UI" w:cs="Segoe UI"/>
              </w:rPr>
            </w:pPr>
            <w:r w:rsidRPr="00F6415D">
              <w:rPr>
                <w:rFonts w:ascii="Segoe UI" w:hAnsi="Segoe UI" w:cs="Segoe UI"/>
              </w:rPr>
              <w:t>Consumers are asked to pay a contribution towards the cost of their care. Consumer contributions vary across service providers and are determined on a consumer basis between the consumer and the provider, depending on what a consumer can afford to pay. The caps set on contributions are as follows:</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t>Home setting: consumers can be asked to pay a basic daily care fee, which equals 17.5 per cent of the basic single rate of age pension ($10.32 per day or $3,766.80 per year as at 1 July 2018).</w:t>
            </w:r>
          </w:p>
          <w:p w:rsidR="00CE1469" w:rsidRPr="00F6415D" w:rsidRDefault="00CE1469" w:rsidP="00185CCF">
            <w:pPr>
              <w:pStyle w:val="ListBullet"/>
              <w:numPr>
                <w:ilvl w:val="0"/>
                <w:numId w:val="30"/>
              </w:numPr>
              <w:suppressAutoHyphens/>
              <w:spacing w:after="60"/>
              <w:contextualSpacing/>
              <w:rPr>
                <w:rFonts w:ascii="Segoe UI" w:hAnsi="Segoe UI" w:cs="Segoe UI"/>
              </w:rPr>
            </w:pPr>
            <w:r w:rsidRPr="00F6415D">
              <w:rPr>
                <w:rFonts w:ascii="Segoe UI" w:hAnsi="Segoe UI" w:cs="Segoe UI"/>
              </w:rPr>
              <w:lastRenderedPageBreak/>
              <w:t>Residential setting: consumers can be asked to pay a basic daily care fee, which equals 85 per cent of the basic single rate of age pension ($50.16 per day or $18,308.4 per year as at 1 July 2018).</w:t>
            </w:r>
          </w:p>
        </w:tc>
      </w:tr>
    </w:tbl>
    <w:p w:rsidR="00CE1469" w:rsidRPr="00F6415D" w:rsidRDefault="00CE1469" w:rsidP="00CE1469">
      <w:pPr>
        <w:pStyle w:val="AppendixHeading3"/>
        <w:rPr>
          <w:rFonts w:ascii="Segoe UI" w:hAnsi="Segoe UI" w:cs="Segoe UI"/>
        </w:rPr>
      </w:pPr>
      <w:bookmarkStart w:id="443" w:name="_Toc522190427"/>
      <w:bookmarkStart w:id="444" w:name="_Toc523408278"/>
      <w:bookmarkStart w:id="445" w:name="_Toc523482259"/>
      <w:bookmarkStart w:id="446" w:name="_Toc524605317"/>
      <w:bookmarkStart w:id="447" w:name="_Toc527561580"/>
      <w:bookmarkStart w:id="448" w:name="_Toc527564654"/>
      <w:bookmarkStart w:id="449" w:name="_Toc528224289"/>
      <w:bookmarkStart w:id="450" w:name="_Toc528861170"/>
      <w:bookmarkStart w:id="451" w:name="_Toc529890616"/>
      <w:bookmarkStart w:id="452" w:name="_Toc531271124"/>
      <w:r w:rsidRPr="00F6415D">
        <w:rPr>
          <w:rFonts w:ascii="Segoe UI" w:hAnsi="Segoe UI" w:cs="Segoe UI"/>
        </w:rPr>
        <w:lastRenderedPageBreak/>
        <w:t>Complex care</w:t>
      </w:r>
      <w:bookmarkEnd w:id="443"/>
      <w:bookmarkEnd w:id="444"/>
      <w:bookmarkEnd w:id="445"/>
      <w:bookmarkEnd w:id="446"/>
      <w:bookmarkEnd w:id="447"/>
      <w:bookmarkEnd w:id="448"/>
      <w:bookmarkEnd w:id="449"/>
      <w:bookmarkEnd w:id="450"/>
      <w:bookmarkEnd w:id="451"/>
      <w:bookmarkEnd w:id="452"/>
    </w:p>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 table describes the Multi-Purpose Services Program "/>
      </w:tblPr>
      <w:tblGrid>
        <w:gridCol w:w="8292"/>
      </w:tblGrid>
      <w:tr w:rsidR="00CE1469" w:rsidRPr="00F6415D" w:rsidTr="00D97F6F">
        <w:trPr>
          <w:tblHeader/>
        </w:trPr>
        <w:tc>
          <w:tcPr>
            <w:tcW w:w="9549"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Multi-Purpose Services Program</w:t>
            </w:r>
          </w:p>
        </w:tc>
      </w:tr>
      <w:tr w:rsidR="00CE1469" w:rsidRPr="00F6415D" w:rsidTr="00CE1469">
        <w:tc>
          <w:tcPr>
            <w:tcW w:w="9549" w:type="dxa"/>
          </w:tcPr>
          <w:p w:rsidR="00CE1469" w:rsidRPr="00F6415D" w:rsidRDefault="00CE1469" w:rsidP="00CE1469">
            <w:pPr>
              <w:contextualSpacing/>
              <w:rPr>
                <w:rFonts w:ascii="Segoe UI" w:hAnsi="Segoe UI" w:cs="Segoe UI"/>
              </w:rPr>
            </w:pPr>
            <w:r w:rsidRPr="00F6415D">
              <w:rPr>
                <w:rFonts w:ascii="Segoe UI" w:hAnsi="Segoe UI" w:cs="Segoe UI"/>
              </w:rPr>
              <w:t>The MPS is a joint initiative between the Australian Government and state and territory governments. It is an integrated model that delivers a mix of aged care and health in rural and remote settings where they may not be able to support a stand-alone hospital or aged care home. Care is delivered in a residential care setting.</w:t>
            </w:r>
          </w:p>
          <w:p w:rsidR="00CE1469" w:rsidRPr="00F6415D" w:rsidRDefault="00CE1469" w:rsidP="00CE1469">
            <w:pPr>
              <w:contextualSpacing/>
              <w:rPr>
                <w:rFonts w:ascii="Segoe UI" w:hAnsi="Segoe UI" w:cs="Segoe UI"/>
              </w:rPr>
            </w:pPr>
            <w:r w:rsidRPr="00F6415D">
              <w:rPr>
                <w:rFonts w:ascii="Segoe UI" w:hAnsi="Segoe UI" w:cs="Segoe UI"/>
              </w:rPr>
              <w:t>The Australian Government pays approved providers a flexible care subsidy for care provided through a multi-purpose service.</w:t>
            </w:r>
          </w:p>
          <w:p w:rsidR="00CE1469" w:rsidRPr="00F6415D" w:rsidRDefault="00CE1469" w:rsidP="00CE1469">
            <w:pPr>
              <w:pStyle w:val="Heading7"/>
              <w:contextualSpacing/>
              <w:rPr>
                <w:rFonts w:ascii="Segoe UI" w:hAnsi="Segoe UI" w:cs="Segoe UI"/>
              </w:rPr>
            </w:pPr>
            <w:r w:rsidRPr="00F6415D">
              <w:rPr>
                <w:rFonts w:ascii="Segoe UI" w:hAnsi="Segoe UI" w:cs="Segoe UI"/>
              </w:rPr>
              <w:t>Consumer contribution</w:t>
            </w:r>
          </w:p>
          <w:p w:rsidR="00CE1469" w:rsidRPr="00F6415D" w:rsidRDefault="00CE1469" w:rsidP="00CE1469">
            <w:pPr>
              <w:contextualSpacing/>
              <w:rPr>
                <w:rFonts w:ascii="Segoe UI" w:hAnsi="Segoe UI" w:cs="Segoe UI"/>
              </w:rPr>
            </w:pPr>
            <w:r w:rsidRPr="00F6415D">
              <w:rPr>
                <w:rFonts w:ascii="Segoe UI" w:hAnsi="Segoe UI" w:cs="Segoe UI"/>
              </w:rPr>
              <w:t>Consumers can be asked to pay a basic daily care fee, which equals 85 per cent of the basic single rate of age pension ($50.16 per day or $18,308.4 per year as at 1 July 2018) and an accommodation payment (based on a means test assessment undertaken by DHS).</w:t>
            </w:r>
          </w:p>
        </w:tc>
      </w:tr>
    </w:tbl>
    <w:p w:rsidR="00CE1469" w:rsidRPr="00E946CE" w:rsidRDefault="00CE1469" w:rsidP="00E946CE"/>
    <w:tbl>
      <w:tblPr>
        <w:tblStyle w:val="TableGrid"/>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none" w:sz="0" w:space="0" w:color="auto"/>
          <w:insideV w:val="none" w:sz="0" w:space="0" w:color="auto"/>
        </w:tblBorders>
        <w:tblLook w:val="04A0" w:firstRow="1" w:lastRow="0" w:firstColumn="1" w:lastColumn="0" w:noHBand="0" w:noVBand="1"/>
        <w:tblDescription w:val="Thisn table describes Residential Aged Care "/>
      </w:tblPr>
      <w:tblGrid>
        <w:gridCol w:w="8292"/>
      </w:tblGrid>
      <w:tr w:rsidR="00CE1469" w:rsidRPr="00F6415D" w:rsidTr="00D97F6F">
        <w:trPr>
          <w:tblHeader/>
        </w:trPr>
        <w:tc>
          <w:tcPr>
            <w:tcW w:w="8528" w:type="dxa"/>
            <w:shd w:val="clear" w:color="auto" w:fill="1F497D" w:themeFill="text2"/>
          </w:tcPr>
          <w:p w:rsidR="00CE1469" w:rsidRPr="00F6415D" w:rsidRDefault="00CE1469" w:rsidP="00031E26">
            <w:pPr>
              <w:pStyle w:val="Tableheading"/>
              <w:rPr>
                <w:rFonts w:ascii="Segoe UI" w:hAnsi="Segoe UI" w:cs="Segoe UI"/>
              </w:rPr>
            </w:pPr>
            <w:r w:rsidRPr="00F6415D">
              <w:rPr>
                <w:rFonts w:ascii="Segoe UI" w:hAnsi="Segoe UI" w:cs="Segoe UI"/>
              </w:rPr>
              <w:t>Residential Care</w:t>
            </w:r>
          </w:p>
        </w:tc>
      </w:tr>
      <w:tr w:rsidR="00CE1469" w:rsidRPr="00F6415D" w:rsidTr="00031E26">
        <w:tc>
          <w:tcPr>
            <w:tcW w:w="8528" w:type="dxa"/>
          </w:tcPr>
          <w:p w:rsidR="00CE1469" w:rsidRPr="00F6415D" w:rsidRDefault="00CE1469" w:rsidP="00031E26">
            <w:pPr>
              <w:contextualSpacing/>
              <w:rPr>
                <w:rFonts w:ascii="Segoe UI" w:hAnsi="Segoe UI" w:cs="Segoe UI"/>
                <w:lang w:val="en-GB"/>
              </w:rPr>
            </w:pPr>
            <w:r w:rsidRPr="00F6415D">
              <w:rPr>
                <w:rFonts w:ascii="Segoe UI" w:hAnsi="Segoe UI" w:cs="Segoe UI"/>
                <w:lang w:val="en-GB"/>
              </w:rPr>
              <w:t>Residential care provides care and support to</w:t>
            </w:r>
            <w:r w:rsidRPr="00F6415D">
              <w:rPr>
                <w:rFonts w:ascii="Segoe UI" w:hAnsi="Segoe UI" w:cs="Segoe UI"/>
                <w:lang w:val="en"/>
              </w:rPr>
              <w:t xml:space="preserve"> senior </w:t>
            </w:r>
            <w:r w:rsidRPr="00F6415D">
              <w:rPr>
                <w:rFonts w:ascii="Segoe UI" w:hAnsi="Segoe UI" w:cs="Segoe UI"/>
                <w:lang w:val="en-GB"/>
              </w:rPr>
              <w:t>Australians who are unable to live independently in their own home.</w:t>
            </w:r>
            <w:r w:rsidRPr="00F6415D">
              <w:rPr>
                <w:rStyle w:val="EndnoteReference"/>
                <w:rFonts w:ascii="Segoe UI" w:hAnsi="Segoe UI" w:cs="Segoe UI"/>
                <w:lang w:val="en-GB"/>
              </w:rPr>
              <w:endnoteReference w:id="36"/>
            </w:r>
            <w:r w:rsidRPr="00F6415D">
              <w:rPr>
                <w:rFonts w:ascii="Segoe UI" w:hAnsi="Segoe UI" w:cs="Segoe UI"/>
                <w:lang w:val="en-GB"/>
              </w:rPr>
              <w:t xml:space="preserve"> Services provided in residential care include:</w:t>
            </w:r>
          </w:p>
          <w:p w:rsidR="00CE1469" w:rsidRPr="00F6415D" w:rsidRDefault="00CE1469" w:rsidP="00031E26">
            <w:pPr>
              <w:pStyle w:val="ListBullet"/>
              <w:numPr>
                <w:ilvl w:val="0"/>
                <w:numId w:val="30"/>
              </w:numPr>
              <w:suppressAutoHyphens/>
              <w:spacing w:after="60"/>
              <w:contextualSpacing/>
              <w:rPr>
                <w:rFonts w:ascii="Segoe UI" w:hAnsi="Segoe UI" w:cs="Segoe UI"/>
                <w:lang w:val="en-GB"/>
              </w:rPr>
            </w:pPr>
            <w:r w:rsidRPr="00F6415D">
              <w:rPr>
                <w:rFonts w:ascii="Segoe UI" w:hAnsi="Segoe UI" w:cs="Segoe UI"/>
                <w:lang w:val="en-GB"/>
              </w:rPr>
              <w:t>accommodation.</w:t>
            </w:r>
          </w:p>
          <w:p w:rsidR="00CE1469" w:rsidRPr="00F6415D" w:rsidRDefault="00CE1469" w:rsidP="00031E26">
            <w:pPr>
              <w:pStyle w:val="ListBullet"/>
              <w:numPr>
                <w:ilvl w:val="0"/>
                <w:numId w:val="30"/>
              </w:numPr>
              <w:suppressAutoHyphens/>
              <w:spacing w:after="60"/>
              <w:contextualSpacing/>
              <w:rPr>
                <w:rFonts w:ascii="Segoe UI" w:hAnsi="Segoe UI" w:cs="Segoe UI"/>
                <w:lang w:val="en-GB"/>
              </w:rPr>
            </w:pPr>
            <w:r w:rsidRPr="00F6415D">
              <w:rPr>
                <w:rFonts w:ascii="Segoe UI" w:hAnsi="Segoe UI" w:cs="Segoe UI"/>
                <w:lang w:val="en-GB"/>
              </w:rPr>
              <w:t>day-to-day services such as meals, cleaning, laundry.</w:t>
            </w:r>
          </w:p>
          <w:p w:rsidR="00CE1469" w:rsidRPr="00F6415D" w:rsidRDefault="00CE1469" w:rsidP="00031E26">
            <w:pPr>
              <w:pStyle w:val="ListBullet"/>
              <w:numPr>
                <w:ilvl w:val="0"/>
                <w:numId w:val="30"/>
              </w:numPr>
              <w:suppressAutoHyphens/>
              <w:spacing w:after="60"/>
              <w:contextualSpacing/>
              <w:rPr>
                <w:rFonts w:ascii="Segoe UI" w:hAnsi="Segoe UI" w:cs="Segoe UI"/>
                <w:lang w:val="en-GB"/>
              </w:rPr>
            </w:pPr>
            <w:r w:rsidRPr="00F6415D">
              <w:rPr>
                <w:rFonts w:ascii="Segoe UI" w:hAnsi="Segoe UI" w:cs="Segoe UI"/>
                <w:lang w:val="en-GB"/>
              </w:rPr>
              <w:t xml:space="preserve">personal care such as assistance with dressing, grooming, toileting. </w:t>
            </w:r>
          </w:p>
          <w:p w:rsidR="00CE1469" w:rsidRPr="00F6415D" w:rsidRDefault="00CE1469" w:rsidP="00031E26">
            <w:pPr>
              <w:pStyle w:val="ListBullet"/>
              <w:numPr>
                <w:ilvl w:val="0"/>
                <w:numId w:val="30"/>
              </w:numPr>
              <w:suppressAutoHyphens/>
              <w:spacing w:after="60"/>
              <w:contextualSpacing/>
              <w:rPr>
                <w:rFonts w:ascii="Segoe UI" w:hAnsi="Segoe UI" w:cs="Segoe UI"/>
                <w:lang w:val="en-GB"/>
              </w:rPr>
            </w:pPr>
            <w:r w:rsidRPr="00F6415D">
              <w:rPr>
                <w:rFonts w:ascii="Segoe UI" w:hAnsi="Segoe UI" w:cs="Segoe UI"/>
                <w:lang w:val="en-GB"/>
              </w:rPr>
              <w:t>24-hour nursing care such as nursing assessment, pain management, wound care and catheter care.</w:t>
            </w:r>
            <w:r w:rsidRPr="00F6415D">
              <w:rPr>
                <w:rStyle w:val="EndnoteReference"/>
                <w:rFonts w:ascii="Segoe UI" w:hAnsi="Segoe UI" w:cs="Segoe UI"/>
                <w:szCs w:val="22"/>
                <w:lang w:val="en-GB"/>
              </w:rPr>
              <w:endnoteReference w:id="37"/>
            </w:r>
          </w:p>
          <w:p w:rsidR="00CE1469" w:rsidRPr="00F6415D" w:rsidRDefault="00CE1469" w:rsidP="00031E26">
            <w:pPr>
              <w:contextualSpacing/>
              <w:rPr>
                <w:rFonts w:ascii="Segoe UI" w:hAnsi="Segoe UI" w:cs="Segoe UI"/>
                <w:lang w:val="en-GB"/>
              </w:rPr>
            </w:pPr>
            <w:r w:rsidRPr="00F6415D">
              <w:rPr>
                <w:rFonts w:ascii="Segoe UI" w:hAnsi="Segoe UI" w:cs="Segoe UI"/>
                <w:lang w:val="en-GB"/>
              </w:rPr>
              <w:t xml:space="preserve">The Australian Government pays approved providers a residential care subsidy for each </w:t>
            </w:r>
            <w:r w:rsidRPr="00F6415D">
              <w:rPr>
                <w:rFonts w:ascii="Segoe UI" w:hAnsi="Segoe UI" w:cs="Segoe UI"/>
              </w:rPr>
              <w:t>consumer</w:t>
            </w:r>
            <w:r w:rsidRPr="00F6415D">
              <w:rPr>
                <w:rFonts w:ascii="Segoe UI" w:hAnsi="Segoe UI" w:cs="Segoe UI"/>
                <w:lang w:val="en-GB"/>
              </w:rPr>
              <w:t xml:space="preserve">. Additional supplements may also be paid depending on the </w:t>
            </w:r>
            <w:r w:rsidRPr="00F6415D">
              <w:rPr>
                <w:rFonts w:ascii="Segoe UI" w:hAnsi="Segoe UI" w:cs="Segoe UI"/>
              </w:rPr>
              <w:t xml:space="preserve">consumer’s </w:t>
            </w:r>
            <w:r w:rsidRPr="00F6415D">
              <w:rPr>
                <w:rFonts w:ascii="Segoe UI" w:hAnsi="Segoe UI" w:cs="Segoe UI"/>
                <w:lang w:val="en-GB"/>
              </w:rPr>
              <w:t>circumstances.</w:t>
            </w:r>
          </w:p>
          <w:p w:rsidR="00CE1469" w:rsidRPr="00F6415D" w:rsidRDefault="00CE1469" w:rsidP="00031E26">
            <w:pPr>
              <w:pStyle w:val="Heading7"/>
              <w:contextualSpacing/>
              <w:rPr>
                <w:rFonts w:ascii="Segoe UI" w:hAnsi="Segoe UI" w:cs="Segoe UI"/>
                <w:lang w:val="en-GB"/>
              </w:rPr>
            </w:pPr>
            <w:r w:rsidRPr="00F6415D">
              <w:rPr>
                <w:rFonts w:ascii="Segoe UI" w:hAnsi="Segoe UI" w:cs="Segoe UI"/>
                <w:lang w:val="en-GB"/>
              </w:rPr>
              <w:t>Consumer contributions</w:t>
            </w:r>
          </w:p>
          <w:p w:rsidR="00CE1469" w:rsidRPr="00F6415D" w:rsidRDefault="00CE1469" w:rsidP="00031E26">
            <w:pPr>
              <w:contextualSpacing/>
              <w:rPr>
                <w:rFonts w:ascii="Segoe UI" w:hAnsi="Segoe UI" w:cs="Segoe UI"/>
                <w:lang w:val="en-GB"/>
              </w:rPr>
            </w:pPr>
            <w:r w:rsidRPr="00F6415D">
              <w:rPr>
                <w:rFonts w:ascii="Segoe UI" w:hAnsi="Segoe UI" w:cs="Segoe UI"/>
              </w:rPr>
              <w:t>Consumer</w:t>
            </w:r>
            <w:r w:rsidR="002A4E6A" w:rsidRPr="00F6415D">
              <w:rPr>
                <w:rFonts w:ascii="Segoe UI" w:hAnsi="Segoe UI" w:cs="Segoe UI"/>
              </w:rPr>
              <w:t>s</w:t>
            </w:r>
            <w:r w:rsidRPr="00F6415D">
              <w:rPr>
                <w:rFonts w:ascii="Segoe UI" w:hAnsi="Segoe UI" w:cs="Segoe UI"/>
              </w:rPr>
              <w:t xml:space="preserve"> </w:t>
            </w:r>
            <w:r w:rsidRPr="00F6415D">
              <w:rPr>
                <w:rFonts w:ascii="Segoe UI" w:hAnsi="Segoe UI" w:cs="Segoe UI"/>
                <w:lang w:val="en-GB"/>
              </w:rPr>
              <w:t>are asked to pay a contribution while they are in residential care. Contributions are as follows:</w:t>
            </w:r>
          </w:p>
          <w:p w:rsidR="00CE1469" w:rsidRPr="00F6415D" w:rsidRDefault="00CE1469" w:rsidP="00686BFA">
            <w:pPr>
              <w:pStyle w:val="ListParagraph"/>
              <w:numPr>
                <w:ilvl w:val="0"/>
                <w:numId w:val="32"/>
              </w:numPr>
              <w:suppressAutoHyphens/>
              <w:spacing w:after="60"/>
              <w:ind w:left="357" w:hanging="357"/>
              <w:contextualSpacing w:val="0"/>
              <w:rPr>
                <w:rFonts w:ascii="Segoe UI" w:hAnsi="Segoe UI" w:cs="Segoe UI"/>
              </w:rPr>
            </w:pPr>
            <w:r w:rsidRPr="00F6415D">
              <w:rPr>
                <w:rFonts w:ascii="Segoe UI" w:hAnsi="Segoe UI" w:cs="Segoe UI"/>
              </w:rPr>
              <w:t xml:space="preserve">Daily living contributions: All consumers are asked to pay a basic daily care fee, which equals 85 per cent of the basic single rate of age pension ($50.16 per day or $18,308.4 per year as at 1 July 2018). </w:t>
            </w:r>
          </w:p>
          <w:p w:rsidR="00CE1469" w:rsidRPr="00F6415D" w:rsidRDefault="00CE1469" w:rsidP="00686BFA">
            <w:pPr>
              <w:pStyle w:val="ListParagraph"/>
              <w:numPr>
                <w:ilvl w:val="0"/>
                <w:numId w:val="32"/>
              </w:numPr>
              <w:suppressAutoHyphens/>
              <w:spacing w:after="60"/>
              <w:ind w:left="357" w:hanging="357"/>
              <w:contextualSpacing w:val="0"/>
              <w:rPr>
                <w:rFonts w:ascii="Segoe UI" w:hAnsi="Segoe UI" w:cs="Segoe UI"/>
              </w:rPr>
            </w:pPr>
            <w:r w:rsidRPr="00F6415D">
              <w:rPr>
                <w:rFonts w:ascii="Segoe UI" w:hAnsi="Segoe UI" w:cs="Segoe UI"/>
              </w:rPr>
              <w:t>Care contributions: Pending the result of an Income and Assets Assessment, consumers may be required to pay a means-tested care fee.</w:t>
            </w:r>
          </w:p>
          <w:p w:rsidR="00CE1469" w:rsidRPr="00F6415D" w:rsidRDefault="00CE1469" w:rsidP="00686BFA">
            <w:pPr>
              <w:pStyle w:val="ListParagraph"/>
              <w:numPr>
                <w:ilvl w:val="0"/>
                <w:numId w:val="32"/>
              </w:numPr>
              <w:suppressAutoHyphens/>
              <w:spacing w:after="60"/>
              <w:ind w:left="357" w:hanging="357"/>
              <w:contextualSpacing w:val="0"/>
              <w:rPr>
                <w:rFonts w:ascii="Segoe UI" w:hAnsi="Segoe UI" w:cs="Segoe UI"/>
              </w:rPr>
            </w:pPr>
            <w:r w:rsidRPr="00F6415D">
              <w:rPr>
                <w:rFonts w:ascii="Segoe UI" w:hAnsi="Segoe UI" w:cs="Segoe UI"/>
              </w:rPr>
              <w:lastRenderedPageBreak/>
              <w:t xml:space="preserve">Accommodation contributions: Some consumers are required to pay for either part or all of their accommodation costs. For consumers who are not eligible for support, they can pay their accommodation costs through a Refundable Accommodation Deposit (RAD), a Daily Accommodation Payment (DAP), or a combination of both. For consumers who are eligible for partial support, they can pay their accommodations through a Refundable Accommodation Contribution (RAC), Daily Accommodation Contribution (DAC), or a combination of both. Some consumers are able to have all their accommodation costs covered by the Government if their income and assets are below a certain amount. The maximum RAD amount that can be charged is $550,000 without prior approval from the Aged Care Pricing Commissioner. Extra service fee: residents may choose to occupy an extra service place. </w:t>
            </w:r>
          </w:p>
          <w:p w:rsidR="00CE1469" w:rsidRPr="00F6415D" w:rsidRDefault="00CE1469" w:rsidP="00686BFA">
            <w:pPr>
              <w:pStyle w:val="ListParagraph"/>
              <w:numPr>
                <w:ilvl w:val="0"/>
                <w:numId w:val="32"/>
              </w:numPr>
              <w:suppressAutoHyphens/>
              <w:spacing w:after="60"/>
              <w:ind w:left="357" w:hanging="357"/>
              <w:contextualSpacing w:val="0"/>
              <w:rPr>
                <w:rFonts w:ascii="Segoe UI" w:hAnsi="Segoe UI" w:cs="Segoe UI"/>
              </w:rPr>
            </w:pPr>
            <w:r w:rsidRPr="00F6415D">
              <w:rPr>
                <w:rFonts w:ascii="Segoe UI" w:hAnsi="Segoe UI" w:cs="Segoe UI"/>
              </w:rPr>
              <w:t>Extra service status is granted by the Department of Health to some aged care places to enable the provision of higher than average standards of accommodation, food and non-care related services. Residents are charged an extra service fee on a daily basis if they choose to occupy an aged care place with extra service status.</w:t>
            </w:r>
          </w:p>
          <w:p w:rsidR="00CE1469" w:rsidRPr="00F6415D" w:rsidRDefault="00CE1469" w:rsidP="00686BFA">
            <w:pPr>
              <w:pStyle w:val="ListParagraph"/>
              <w:numPr>
                <w:ilvl w:val="0"/>
                <w:numId w:val="32"/>
              </w:numPr>
              <w:suppressAutoHyphens/>
              <w:spacing w:after="60"/>
              <w:ind w:left="357" w:hanging="357"/>
              <w:contextualSpacing w:val="0"/>
              <w:rPr>
                <w:rFonts w:ascii="Segoe UI" w:hAnsi="Segoe UI" w:cs="Segoe UI"/>
              </w:rPr>
            </w:pPr>
            <w:r w:rsidRPr="00F6415D">
              <w:rPr>
                <w:rFonts w:ascii="Segoe UI" w:hAnsi="Segoe UI" w:cs="Segoe UI"/>
              </w:rPr>
              <w:t>Additional service fee: Additional services (e.g. hairdressing, wine with dinner) beyond those the provider is required to provide, which the resident has agreed to receiving.</w:t>
            </w:r>
          </w:p>
        </w:tc>
      </w:tr>
    </w:tbl>
    <w:p w:rsidR="00CE1469" w:rsidRPr="00F6415D" w:rsidRDefault="00CE1469" w:rsidP="00CE1469">
      <w:pPr>
        <w:contextualSpacing/>
        <w:rPr>
          <w:rFonts w:ascii="Segoe UI" w:hAnsi="Segoe UI" w:cs="Segoe UI"/>
          <w:i/>
          <w:color w:val="FFFFFF" w:themeColor="background1"/>
        </w:rPr>
      </w:pPr>
    </w:p>
    <w:p w:rsidR="00CE1469" w:rsidRPr="00F6415D" w:rsidRDefault="00CE1469" w:rsidP="00CE1469">
      <w:pPr>
        <w:pStyle w:val="BodyText"/>
        <w:rPr>
          <w:rFonts w:ascii="Segoe UI" w:eastAsiaTheme="majorEastAsia" w:hAnsi="Segoe UI" w:cs="Segoe UI"/>
        </w:rPr>
      </w:pPr>
    </w:p>
    <w:p w:rsidR="00CE1469" w:rsidRPr="00F6415D" w:rsidRDefault="00CE1469" w:rsidP="00CE1469">
      <w:pPr>
        <w:pStyle w:val="BodyText"/>
        <w:rPr>
          <w:rFonts w:ascii="Segoe UI" w:eastAsiaTheme="majorEastAsia" w:hAnsi="Segoe UI" w:cs="Segoe UI"/>
        </w:rPr>
        <w:sectPr w:rsidR="00CE1469" w:rsidRPr="00F6415D" w:rsidSect="00E946CE">
          <w:headerReference w:type="default" r:id="rId39"/>
          <w:footerReference w:type="default" r:id="rId40"/>
          <w:footerReference w:type="first" r:id="rId41"/>
          <w:endnotePr>
            <w:numFmt w:val="decimal"/>
          </w:endnotePr>
          <w:pgSz w:w="11906" w:h="16838"/>
          <w:pgMar w:top="1440" w:right="1797" w:bottom="1134" w:left="1797" w:header="567" w:footer="567" w:gutter="0"/>
          <w:pgNumType w:start="1"/>
          <w:cols w:space="708"/>
          <w:docGrid w:linePitch="360"/>
        </w:sectPr>
      </w:pPr>
    </w:p>
    <w:p w:rsidR="00CE1469" w:rsidRDefault="00CE1469" w:rsidP="00CE1469">
      <w:pPr>
        <w:pStyle w:val="AppendixHeading2"/>
        <w:rPr>
          <w:rFonts w:ascii="Segoe UI" w:eastAsiaTheme="majorEastAsia" w:hAnsi="Segoe UI" w:cs="Segoe UI"/>
        </w:rPr>
      </w:pPr>
      <w:bookmarkStart w:id="453" w:name="_Toc524605318"/>
      <w:bookmarkStart w:id="454" w:name="_Toc527561581"/>
      <w:bookmarkStart w:id="455" w:name="_Toc527564655"/>
      <w:bookmarkStart w:id="456" w:name="_Toc528224290"/>
      <w:bookmarkStart w:id="457" w:name="_Toc528861171"/>
      <w:bookmarkStart w:id="458" w:name="_Toc529890617"/>
      <w:bookmarkStart w:id="459" w:name="_Toc531271125"/>
      <w:bookmarkStart w:id="460" w:name="_Toc532206418"/>
      <w:r w:rsidRPr="00F6415D">
        <w:rPr>
          <w:rFonts w:ascii="Segoe UI" w:eastAsiaTheme="majorEastAsia" w:hAnsi="Segoe UI" w:cs="Segoe UI"/>
        </w:rPr>
        <w:lastRenderedPageBreak/>
        <w:t>: Income stream(s) used to finance aged care</w:t>
      </w:r>
      <w:bookmarkEnd w:id="453"/>
      <w:bookmarkEnd w:id="454"/>
      <w:bookmarkEnd w:id="455"/>
      <w:bookmarkEnd w:id="456"/>
      <w:bookmarkEnd w:id="457"/>
      <w:bookmarkEnd w:id="458"/>
      <w:bookmarkEnd w:id="459"/>
      <w:bookmarkEnd w:id="460"/>
    </w:p>
    <w:p w:rsidR="00C00666" w:rsidRPr="00C00666" w:rsidRDefault="00C00666" w:rsidP="00C00666">
      <w:pPr>
        <w:pStyle w:val="BodyText"/>
        <w:rPr>
          <w:rFonts w:eastAsiaTheme="majorEastAsia"/>
          <w:i/>
          <w:lang w:val="en-US"/>
        </w:rPr>
      </w:pPr>
      <w:r w:rsidRPr="00C00666">
        <w:rPr>
          <w:rFonts w:ascii="Segoe UI" w:hAnsi="Segoe UI" w:cs="Segoe UI"/>
          <w:i/>
        </w:rPr>
        <w:t xml:space="preserve">Table </w:t>
      </w:r>
      <w:r w:rsidRPr="00C00666">
        <w:rPr>
          <w:rFonts w:ascii="Segoe UI" w:hAnsi="Segoe UI" w:cs="Segoe UI"/>
          <w:i/>
          <w:noProof/>
        </w:rPr>
        <w:fldChar w:fldCharType="begin"/>
      </w:r>
      <w:r w:rsidRPr="00C00666">
        <w:rPr>
          <w:rFonts w:ascii="Segoe UI" w:hAnsi="Segoe UI" w:cs="Segoe UI"/>
          <w:i/>
          <w:noProof/>
        </w:rPr>
        <w:instrText xml:space="preserve"> SEQ Table \* ARABIC </w:instrText>
      </w:r>
      <w:r w:rsidRPr="00C00666">
        <w:rPr>
          <w:rFonts w:ascii="Segoe UI" w:hAnsi="Segoe UI" w:cs="Segoe UI"/>
          <w:i/>
          <w:noProof/>
        </w:rPr>
        <w:fldChar w:fldCharType="separate"/>
      </w:r>
      <w:r w:rsidR="00C40CA4">
        <w:rPr>
          <w:rFonts w:ascii="Segoe UI" w:hAnsi="Segoe UI" w:cs="Segoe UI"/>
          <w:i/>
          <w:noProof/>
        </w:rPr>
        <w:t>10</w:t>
      </w:r>
      <w:r w:rsidRPr="00C00666">
        <w:rPr>
          <w:rFonts w:ascii="Segoe UI" w:hAnsi="Segoe UI" w:cs="Segoe UI"/>
          <w:i/>
          <w:noProof/>
        </w:rPr>
        <w:fldChar w:fldCharType="end"/>
      </w:r>
      <w:r w:rsidRPr="00C00666">
        <w:rPr>
          <w:rFonts w:ascii="Segoe UI" w:hAnsi="Segoe UI" w:cs="Segoe UI"/>
          <w:i/>
        </w:rPr>
        <w:t>: Aged care service type accessed and the income stream(s) used to finance</w:t>
      </w:r>
    </w:p>
    <w:p w:rsidR="00CE1469" w:rsidRPr="00E946CE" w:rsidRDefault="00CE1469" w:rsidP="00E946CE"/>
    <w:tbl>
      <w:tblPr>
        <w:tblStyle w:val="TableGrid2"/>
        <w:tblpPr w:leftFromText="180" w:rightFromText="180" w:vertAnchor="text" w:horzAnchor="margin" w:tblpY="-26"/>
        <w:tblW w:w="5000" w:type="pct"/>
        <w:tblLayout w:type="fixed"/>
        <w:tblLook w:val="04A0" w:firstRow="1" w:lastRow="0" w:firstColumn="1" w:lastColumn="0" w:noHBand="0" w:noVBand="1"/>
        <w:tblCaption w:val="Table 10: Aged care service type accessed and the income stream(s) used to finance"/>
        <w:tblDescription w:val="Table 10 shows the aged care types accessed and the income streams used to fund care."/>
      </w:tblPr>
      <w:tblGrid>
        <w:gridCol w:w="1642"/>
        <w:gridCol w:w="879"/>
        <w:gridCol w:w="879"/>
        <w:gridCol w:w="879"/>
        <w:gridCol w:w="879"/>
        <w:gridCol w:w="879"/>
        <w:gridCol w:w="879"/>
        <w:gridCol w:w="879"/>
        <w:gridCol w:w="879"/>
        <w:gridCol w:w="879"/>
        <w:gridCol w:w="879"/>
        <w:gridCol w:w="879"/>
        <w:gridCol w:w="879"/>
        <w:gridCol w:w="879"/>
        <w:gridCol w:w="879"/>
      </w:tblGrid>
      <w:tr w:rsidR="00CE1469" w:rsidRPr="00F6415D" w:rsidTr="00CE1469">
        <w:trPr>
          <w:trHeight w:val="797"/>
          <w:tblHeader/>
        </w:trPr>
        <w:tc>
          <w:tcPr>
            <w:tcW w:w="589" w:type="pct"/>
            <w:shd w:val="clear" w:color="auto" w:fill="002060"/>
            <w:noWrap/>
            <w:hideMark/>
          </w:tcPr>
          <w:p w:rsidR="00CE1469" w:rsidRPr="00F6415D" w:rsidRDefault="00CE1469" w:rsidP="00CE1469">
            <w:pPr>
              <w:spacing w:before="0" w:after="0"/>
              <w:rPr>
                <w:rFonts w:ascii="Segoe UI" w:hAnsi="Segoe UI" w:cs="Segoe UI"/>
                <w:color w:val="auto"/>
                <w:sz w:val="18"/>
              </w:rPr>
            </w:pP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Superannuation</w:t>
            </w:r>
            <w:r w:rsidR="001B5BED" w:rsidRPr="00F6415D">
              <w:rPr>
                <w:rFonts w:ascii="Segoe UI" w:eastAsia="Times New Roman" w:hAnsi="Segoe UI" w:cs="Segoe UI"/>
                <w:color w:val="FFFFFF" w:themeColor="background1"/>
                <w:sz w:val="18"/>
                <w:szCs w:val="18"/>
                <w:lang w:eastAsia="en-AU"/>
              </w:rPr>
              <w:t xml:space="preserve"> </w:t>
            </w:r>
            <w:r w:rsidRPr="00F6415D">
              <w:rPr>
                <w:rFonts w:ascii="Segoe UI" w:eastAsia="Times New Roman" w:hAnsi="Segoe UI" w:cs="Segoe UI"/>
                <w:color w:val="FFFFFF" w:themeColor="background1"/>
                <w:sz w:val="18"/>
                <w:szCs w:val="18"/>
                <w:lang w:eastAsia="en-AU"/>
              </w:rPr>
              <w:t>other</w:t>
            </w:r>
            <w:r w:rsidR="001B5BED" w:rsidRPr="00F6415D">
              <w:rPr>
                <w:rFonts w:ascii="Segoe UI" w:eastAsia="Times New Roman" w:hAnsi="Segoe UI" w:cs="Segoe UI"/>
                <w:color w:val="FFFFFF" w:themeColor="background1"/>
                <w:sz w:val="18"/>
                <w:szCs w:val="18"/>
                <w:lang w:eastAsia="en-AU"/>
              </w:rPr>
              <w:t xml:space="preserve"> </w:t>
            </w:r>
            <w:r w:rsidRPr="00F6415D">
              <w:rPr>
                <w:rFonts w:ascii="Segoe UI" w:hAnsi="Segoe UI" w:cs="Segoe UI"/>
                <w:color w:val="FFFFFF" w:themeColor="background1"/>
                <w:sz w:val="18"/>
              </w:rPr>
              <w:t>income streams</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Age pension</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Proceeds from selling</w:t>
            </w:r>
            <w:r w:rsidR="001B5BED" w:rsidRPr="00F6415D">
              <w:rPr>
                <w:rFonts w:ascii="Segoe UI" w:hAnsi="Segoe UI" w:cs="Segoe UI"/>
                <w:color w:val="FFFFFF" w:themeColor="background1"/>
                <w:sz w:val="18"/>
              </w:rPr>
              <w:t xml:space="preserve"> </w:t>
            </w:r>
            <w:r w:rsidRPr="00F6415D">
              <w:rPr>
                <w:rFonts w:ascii="Segoe UI" w:hAnsi="Segoe UI" w:cs="Segoe UI"/>
                <w:color w:val="FFFFFF" w:themeColor="background1"/>
                <w:sz w:val="18"/>
              </w:rPr>
              <w:t>other assets</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Proceeds from selling family home</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Personal savings</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Equity release using the family home</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eastAsia="Times New Roman" w:hAnsi="Segoe UI" w:cs="Segoe UI"/>
                <w:color w:val="FFFFFF" w:themeColor="background1"/>
                <w:sz w:val="18"/>
                <w:szCs w:val="18"/>
                <w:lang w:eastAsia="en-AU"/>
              </w:rPr>
              <w:t>Pension</w:t>
            </w:r>
            <w:r w:rsidRPr="00F6415D">
              <w:rPr>
                <w:rFonts w:ascii="Segoe UI" w:hAnsi="Segoe UI" w:cs="Segoe UI"/>
                <w:color w:val="FFFFFF" w:themeColor="background1"/>
                <w:sz w:val="18"/>
              </w:rPr>
              <w:t xml:space="preserve"> loan scheme</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Personal loan</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Support from family members</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Reduce other expenses</w:t>
            </w:r>
            <w:r w:rsidR="001B5BED" w:rsidRPr="00F6415D">
              <w:rPr>
                <w:rFonts w:ascii="Segoe UI" w:hAnsi="Segoe UI" w:cs="Segoe UI"/>
                <w:color w:val="FFFFFF" w:themeColor="background1"/>
                <w:sz w:val="18"/>
              </w:rPr>
              <w:t xml:space="preserve"> </w:t>
            </w:r>
            <w:r w:rsidRPr="00F6415D">
              <w:rPr>
                <w:rFonts w:ascii="Segoe UI" w:hAnsi="Segoe UI" w:cs="Segoe UI"/>
                <w:color w:val="FFFFFF" w:themeColor="background1"/>
                <w:sz w:val="18"/>
              </w:rPr>
              <w:t>(free up income)</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Renting the family home</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Aged care loan</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Other</w:t>
            </w:r>
          </w:p>
        </w:tc>
        <w:tc>
          <w:tcPr>
            <w:tcW w:w="315" w:type="pct"/>
            <w:shd w:val="clear" w:color="auto" w:fill="002060"/>
            <w:hideMark/>
          </w:tcPr>
          <w:p w:rsidR="00CE1469" w:rsidRPr="00F6415D" w:rsidRDefault="00CE1469" w:rsidP="00CE1469">
            <w:pPr>
              <w:spacing w:before="0" w:after="0"/>
              <w:rPr>
                <w:rFonts w:ascii="Segoe UI" w:hAnsi="Segoe UI" w:cs="Segoe UI"/>
                <w:color w:val="FFFFFF" w:themeColor="background1"/>
                <w:sz w:val="18"/>
              </w:rPr>
            </w:pPr>
            <w:r w:rsidRPr="00F6415D">
              <w:rPr>
                <w:rFonts w:ascii="Segoe UI" w:hAnsi="Segoe UI" w:cs="Segoe UI"/>
                <w:color w:val="FFFFFF" w:themeColor="background1"/>
                <w:sz w:val="18"/>
              </w:rPr>
              <w:t>None of the above</w:t>
            </w:r>
          </w:p>
        </w:tc>
      </w:tr>
      <w:tr w:rsidR="00CE1469" w:rsidRPr="00F6415D" w:rsidTr="00CE1469">
        <w:trPr>
          <w:trHeight w:val="192"/>
        </w:trPr>
        <w:tc>
          <w:tcPr>
            <w:tcW w:w="589" w:type="pct"/>
            <w:tcBorders>
              <w:bottom w:val="single" w:sz="4" w:space="0" w:color="auto"/>
            </w:tcBorders>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eastAsia="Times New Roman" w:hAnsi="Segoe UI" w:cs="Segoe UI"/>
                <w:color w:val="000000"/>
                <w:sz w:val="18"/>
                <w:szCs w:val="18"/>
                <w:lang w:eastAsia="en-AU"/>
              </w:rPr>
              <w:t>Privately funded in home support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36</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60</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13</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9</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16</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w:t>
            </w:r>
            <w:r w:rsidRPr="00F6415D">
              <w:rPr>
                <w:rFonts w:ascii="Segoe UI" w:hAnsi="Segoe UI" w:cs="Segoe UI"/>
                <w:color w:val="000000"/>
                <w:sz w:val="18"/>
              </w:rPr>
              <w:t>%</w:t>
            </w:r>
          </w:p>
        </w:tc>
      </w:tr>
      <w:tr w:rsidR="00CE1469" w:rsidRPr="00F6415D" w:rsidTr="00CE1469">
        <w:trPr>
          <w:trHeight w:val="192"/>
        </w:trPr>
        <w:tc>
          <w:tcPr>
            <w:tcW w:w="589" w:type="pct"/>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hAnsi="Segoe UI" w:cs="Segoe UI"/>
                <w:color w:val="000000"/>
                <w:sz w:val="18"/>
              </w:rPr>
              <w:t>Retirement village (independent living)</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23%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17%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9</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w:t>
            </w:r>
            <w:r w:rsidRPr="00F6415D">
              <w:rPr>
                <w:rFonts w:ascii="Segoe UI" w:hAnsi="Segoe UI" w:cs="Segoe UI"/>
                <w:color w:val="000000"/>
                <w:sz w:val="18"/>
              </w:rPr>
              <w:t>%</w:t>
            </w:r>
          </w:p>
        </w:tc>
      </w:tr>
      <w:tr w:rsidR="00CE1469" w:rsidRPr="00F6415D" w:rsidTr="00CE1469">
        <w:trPr>
          <w:trHeight w:val="192"/>
        </w:trPr>
        <w:tc>
          <w:tcPr>
            <w:tcW w:w="589" w:type="pct"/>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hAnsi="Segoe UI" w:cs="Segoe UI"/>
                <w:color w:val="000000"/>
                <w:sz w:val="18"/>
              </w:rPr>
              <w:t>CHSP</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72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13</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hAnsi="Segoe UI" w:cs="Segoe UI"/>
                <w:color w:val="000000"/>
                <w:sz w:val="18"/>
              </w:rPr>
              <w:t>4%</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w:t>
            </w:r>
            <w:r w:rsidRPr="00F6415D">
              <w:rPr>
                <w:rFonts w:ascii="Segoe UI" w:hAnsi="Segoe UI" w:cs="Segoe UI"/>
                <w:color w:val="000000"/>
                <w:sz w:val="18"/>
              </w:rPr>
              <w:t>%</w:t>
            </w:r>
          </w:p>
        </w:tc>
      </w:tr>
      <w:tr w:rsidR="00CE1469" w:rsidRPr="00F6415D" w:rsidTr="00CE1469">
        <w:trPr>
          <w:trHeight w:val="192"/>
        </w:trPr>
        <w:tc>
          <w:tcPr>
            <w:tcW w:w="589" w:type="pct"/>
            <w:shd w:val="clear" w:color="auto" w:fill="DAEEF3" w:themeFill="accent5" w:themeFillTint="33"/>
            <w:hideMark/>
          </w:tcPr>
          <w:p w:rsidR="00CE1469" w:rsidRPr="00F6415D" w:rsidRDefault="00CE1469" w:rsidP="00CE1469">
            <w:pPr>
              <w:spacing w:before="0" w:after="0"/>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Home care package</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35%</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68%</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16%</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15%</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45%</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6%</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9%</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4%</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15%</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12%</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4%</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1%</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2%</w:t>
            </w:r>
          </w:p>
        </w:tc>
        <w:tc>
          <w:tcPr>
            <w:tcW w:w="315" w:type="pct"/>
            <w:noWrap/>
            <w:hideMark/>
          </w:tcPr>
          <w:p w:rsidR="00CE1469" w:rsidRPr="00F6415D" w:rsidRDefault="00CE1469" w:rsidP="00CE1469">
            <w:pPr>
              <w:spacing w:before="0" w:after="0"/>
              <w:jc w:val="center"/>
              <w:rPr>
                <w:rFonts w:ascii="Segoe UI" w:eastAsia="Times New Roman" w:hAnsi="Segoe UI" w:cs="Segoe UI"/>
                <w:color w:val="000000"/>
                <w:sz w:val="18"/>
                <w:szCs w:val="18"/>
                <w:lang w:eastAsia="en-AU"/>
              </w:rPr>
            </w:pPr>
            <w:r w:rsidRPr="00F6415D">
              <w:rPr>
                <w:rFonts w:ascii="Segoe UI" w:eastAsia="Times New Roman" w:hAnsi="Segoe UI" w:cs="Segoe UI"/>
                <w:color w:val="000000"/>
                <w:sz w:val="18"/>
                <w:szCs w:val="18"/>
                <w:lang w:eastAsia="en-AU"/>
              </w:rPr>
              <w:t>3%</w:t>
            </w:r>
          </w:p>
        </w:tc>
      </w:tr>
      <w:tr w:rsidR="00CE1469" w:rsidRPr="00F6415D" w:rsidTr="00CE1469">
        <w:trPr>
          <w:trHeight w:val="385"/>
        </w:trPr>
        <w:tc>
          <w:tcPr>
            <w:tcW w:w="589" w:type="pct"/>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hAnsi="Segoe UI" w:cs="Segoe UI"/>
                <w:color w:val="000000"/>
                <w:sz w:val="18"/>
              </w:rPr>
              <w:t>Short-term care</w:t>
            </w:r>
            <w:r w:rsidRPr="00F6415D">
              <w:rPr>
                <w:rFonts w:ascii="Segoe UI" w:eastAsia="Times New Roman" w:hAnsi="Segoe UI" w:cs="Segoe UI"/>
                <w:color w:val="000000"/>
                <w:sz w:val="18"/>
                <w:szCs w:val="18"/>
                <w:lang w:eastAsia="en-AU"/>
              </w:rPr>
              <w:t xml:space="preserve"> following a hospital stay, illness or injury</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23%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19</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46</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10</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hAnsi="Segoe UI" w:cs="Segoe UI"/>
                <w:color w:val="000000"/>
                <w:sz w:val="18"/>
              </w:rPr>
              <w:t>14%</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10%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w:t>
            </w:r>
            <w:r w:rsidRPr="00F6415D">
              <w:rPr>
                <w:rFonts w:ascii="Segoe UI" w:hAnsi="Segoe UI" w:cs="Segoe UI"/>
                <w:color w:val="000000"/>
                <w:sz w:val="18"/>
              </w:rPr>
              <w:t>%</w:t>
            </w:r>
          </w:p>
        </w:tc>
      </w:tr>
      <w:tr w:rsidR="00CE1469" w:rsidRPr="00F6415D" w:rsidTr="00CE1469">
        <w:trPr>
          <w:trHeight w:val="192"/>
        </w:trPr>
        <w:tc>
          <w:tcPr>
            <w:tcW w:w="589" w:type="pct"/>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Respite (short-term) </w:t>
            </w:r>
            <w:r w:rsidRPr="00F6415D">
              <w:rPr>
                <w:rFonts w:ascii="Segoe UI" w:hAnsi="Segoe UI" w:cs="Segoe UI"/>
                <w:color w:val="000000"/>
                <w:sz w:val="18"/>
              </w:rPr>
              <w:t>residential care</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38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56</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26%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47</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9</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17%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24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hAnsi="Segoe UI" w:cs="Segoe UI"/>
                <w:color w:val="000000"/>
                <w:sz w:val="18"/>
              </w:rPr>
              <w:t>11%</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hAnsi="Segoe UI" w:cs="Segoe UI"/>
                <w:color w:val="000000"/>
                <w:sz w:val="18"/>
              </w:rPr>
              <w:t>4%</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w:t>
            </w:r>
            <w:r w:rsidRPr="00F6415D">
              <w:rPr>
                <w:rFonts w:ascii="Segoe UI" w:hAnsi="Segoe UI" w:cs="Segoe UI"/>
                <w:color w:val="000000"/>
                <w:sz w:val="18"/>
              </w:rPr>
              <w:t>%</w:t>
            </w:r>
          </w:p>
        </w:tc>
      </w:tr>
      <w:tr w:rsidR="00CE1469" w:rsidRPr="00F6415D" w:rsidTr="00CE1469">
        <w:trPr>
          <w:trHeight w:val="39"/>
        </w:trPr>
        <w:tc>
          <w:tcPr>
            <w:tcW w:w="589" w:type="pct"/>
            <w:shd w:val="clear" w:color="auto" w:fill="DAEEF3" w:themeFill="accent5" w:themeFillTint="33"/>
            <w:hideMark/>
          </w:tcPr>
          <w:p w:rsidR="00CE1469" w:rsidRPr="00F6415D" w:rsidRDefault="00CE1469" w:rsidP="00CE1469">
            <w:pPr>
              <w:spacing w:before="0" w:after="0"/>
              <w:rPr>
                <w:rFonts w:ascii="Segoe UI" w:hAnsi="Segoe UI" w:cs="Segoe UI"/>
                <w:color w:val="000000"/>
                <w:sz w:val="18"/>
              </w:rPr>
            </w:pPr>
            <w:r w:rsidRPr="00F6415D">
              <w:rPr>
                <w:rFonts w:ascii="Segoe UI" w:eastAsia="Times New Roman" w:hAnsi="Segoe UI" w:cs="Segoe UI"/>
                <w:color w:val="000000"/>
                <w:sz w:val="18"/>
                <w:szCs w:val="18"/>
                <w:lang w:eastAsia="en-AU"/>
              </w:rPr>
              <w:t>Residential aged care</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63</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25%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36%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52</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 xml:space="preserve">16% </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19</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4</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1</w:t>
            </w:r>
            <w:r w:rsidRPr="00F6415D">
              <w:rPr>
                <w:rFonts w:ascii="Segoe UI" w:hAnsi="Segoe UI" w:cs="Segoe UI"/>
                <w:color w:val="000000"/>
                <w:sz w:val="18"/>
              </w:rPr>
              <w:t>%</w:t>
            </w:r>
          </w:p>
        </w:tc>
        <w:tc>
          <w:tcPr>
            <w:tcW w:w="315" w:type="pct"/>
            <w:noWrap/>
            <w:hideMark/>
          </w:tcPr>
          <w:p w:rsidR="00CE1469" w:rsidRPr="00F6415D" w:rsidRDefault="00CE1469" w:rsidP="00CE1469">
            <w:pPr>
              <w:spacing w:before="0" w:after="0"/>
              <w:jc w:val="center"/>
              <w:rPr>
                <w:rFonts w:ascii="Segoe UI" w:hAnsi="Segoe UI" w:cs="Segoe UI"/>
                <w:color w:val="000000"/>
                <w:sz w:val="18"/>
              </w:rPr>
            </w:pPr>
            <w:r w:rsidRPr="00F6415D">
              <w:rPr>
                <w:rFonts w:ascii="Segoe UI" w:eastAsia="Times New Roman" w:hAnsi="Segoe UI" w:cs="Segoe UI"/>
                <w:color w:val="000000"/>
                <w:sz w:val="18"/>
                <w:szCs w:val="18"/>
                <w:lang w:eastAsia="en-AU"/>
              </w:rPr>
              <w:t>8</w:t>
            </w:r>
            <w:r w:rsidRPr="00F6415D">
              <w:rPr>
                <w:rFonts w:ascii="Segoe UI" w:hAnsi="Segoe UI" w:cs="Segoe UI"/>
                <w:color w:val="000000"/>
                <w:sz w:val="18"/>
              </w:rPr>
              <w:t>%</w:t>
            </w:r>
          </w:p>
        </w:tc>
      </w:tr>
    </w:tbl>
    <w:p w:rsidR="00CE1469" w:rsidRPr="00F6415D" w:rsidRDefault="00CE1469" w:rsidP="00CE1469">
      <w:pPr>
        <w:rPr>
          <w:rFonts w:ascii="Segoe UI" w:hAnsi="Segoe UI" w:cs="Segoe UI"/>
        </w:rPr>
        <w:sectPr w:rsidR="00CE1469" w:rsidRPr="00F6415D" w:rsidSect="00CE1469">
          <w:endnotePr>
            <w:numFmt w:val="decimal"/>
          </w:endnotePr>
          <w:pgSz w:w="16838" w:h="11906" w:orient="landscape"/>
          <w:pgMar w:top="1797" w:right="1440" w:bottom="1797" w:left="1440" w:header="567" w:footer="567" w:gutter="0"/>
          <w:cols w:space="708"/>
          <w:docGrid w:linePitch="360"/>
        </w:sectPr>
      </w:pPr>
      <w:bookmarkStart w:id="461" w:name="_Toc522190428"/>
      <w:bookmarkStart w:id="462" w:name="_Toc523408279"/>
      <w:bookmarkStart w:id="463" w:name="_Toc523482260"/>
    </w:p>
    <w:p w:rsidR="00CE1469" w:rsidRDefault="00CE1469" w:rsidP="00F175EC">
      <w:pPr>
        <w:pStyle w:val="AppendixHeading2"/>
        <w:rPr>
          <w:rFonts w:eastAsiaTheme="majorEastAsia"/>
        </w:rPr>
      </w:pPr>
      <w:bookmarkStart w:id="464" w:name="_Toc529890618"/>
      <w:bookmarkStart w:id="465" w:name="_Toc531271126"/>
      <w:bookmarkStart w:id="466" w:name="_Toc532206419"/>
      <w:bookmarkStart w:id="467" w:name="_Toc524605319"/>
      <w:bookmarkStart w:id="468" w:name="_Toc527561582"/>
      <w:bookmarkStart w:id="469" w:name="_Toc527564656"/>
      <w:bookmarkStart w:id="470" w:name="_Toc528224291"/>
      <w:bookmarkStart w:id="471" w:name="_Toc528861172"/>
      <w:r w:rsidRPr="00F6415D">
        <w:rPr>
          <w:rFonts w:eastAsiaTheme="majorEastAsia"/>
        </w:rPr>
        <w:lastRenderedPageBreak/>
        <w:t xml:space="preserve">: Paying for residential aged </w:t>
      </w:r>
      <w:bookmarkEnd w:id="464"/>
      <w:bookmarkEnd w:id="465"/>
      <w:r w:rsidRPr="00F6415D">
        <w:rPr>
          <w:rFonts w:eastAsiaTheme="majorEastAsia"/>
        </w:rPr>
        <w:t>care</w:t>
      </w:r>
      <w:bookmarkEnd w:id="466"/>
    </w:p>
    <w:p w:rsidR="00C00666" w:rsidRPr="00C00666" w:rsidRDefault="00C00666" w:rsidP="00C00666">
      <w:pPr>
        <w:pStyle w:val="Caption"/>
        <w:rPr>
          <w:rFonts w:eastAsiaTheme="majorEastAsia"/>
          <w:lang w:val="en-US"/>
        </w:rPr>
      </w:pPr>
      <w:r>
        <w:t xml:space="preserve">Figure </w:t>
      </w:r>
      <w:r w:rsidR="00F7322A">
        <w:rPr>
          <w:noProof/>
        </w:rPr>
        <w:fldChar w:fldCharType="begin"/>
      </w:r>
      <w:r w:rsidR="00F7322A">
        <w:rPr>
          <w:noProof/>
        </w:rPr>
        <w:instrText xml:space="preserve"> SEQ Figure \* ARABIC </w:instrText>
      </w:r>
      <w:r w:rsidR="00F7322A">
        <w:rPr>
          <w:noProof/>
        </w:rPr>
        <w:fldChar w:fldCharType="separate"/>
      </w:r>
      <w:r w:rsidR="00C40CA4">
        <w:rPr>
          <w:noProof/>
        </w:rPr>
        <w:t>17</w:t>
      </w:r>
      <w:r w:rsidR="00F7322A">
        <w:rPr>
          <w:noProof/>
        </w:rPr>
        <w:fldChar w:fldCharType="end"/>
      </w:r>
      <w:r>
        <w:t xml:space="preserve"> Assets and income used to fund aged care</w:t>
      </w:r>
    </w:p>
    <w:p w:rsidR="00CE1469" w:rsidRPr="00F6415D" w:rsidRDefault="00CE1469" w:rsidP="00CE1469">
      <w:pPr>
        <w:pStyle w:val="BodyText"/>
        <w:rPr>
          <w:rFonts w:ascii="Segoe UI" w:hAnsi="Segoe UI" w:cs="Segoe UI"/>
        </w:rPr>
      </w:pPr>
      <w:r w:rsidRPr="00F6415D">
        <w:rPr>
          <w:rFonts w:ascii="Segoe UI" w:hAnsi="Segoe UI" w:cs="Segoe UI"/>
          <w:noProof/>
          <w:lang w:eastAsia="en-AU"/>
        </w:rPr>
        <w:drawing>
          <wp:inline distT="0" distB="0" distL="0" distR="0" wp14:anchorId="4CF26AA8" wp14:editId="0AF280C8">
            <wp:extent cx="9147281" cy="3436620"/>
            <wp:effectExtent l="0" t="0" r="0" b="0"/>
            <wp:docPr id="6" name="Picture 6" descr="Figure 17 presents the various types of costs associated with aged care and the different income streams and assets used to fund them." title="Figure 17 Assets and income used to fu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9147882" cy="3436846"/>
                    </a:xfrm>
                    <a:prstGeom prst="rect">
                      <a:avLst/>
                    </a:prstGeom>
                  </pic:spPr>
                </pic:pic>
              </a:graphicData>
            </a:graphic>
          </wp:inline>
        </w:drawing>
      </w:r>
    </w:p>
    <w:p w:rsidR="00CE1469" w:rsidRPr="00F6415D" w:rsidRDefault="00CE1469" w:rsidP="00686BFA">
      <w:pPr>
        <w:pStyle w:val="Appendixheading0"/>
        <w:numPr>
          <w:ilvl w:val="0"/>
          <w:numId w:val="34"/>
        </w:numPr>
        <w:ind w:left="0" w:firstLine="0"/>
        <w:rPr>
          <w:rFonts w:ascii="Segoe UI" w:eastAsiaTheme="majorEastAsia" w:hAnsi="Segoe UI" w:cs="Segoe UI"/>
        </w:rPr>
        <w:sectPr w:rsidR="00CE1469" w:rsidRPr="00F6415D" w:rsidSect="00CE1469">
          <w:endnotePr>
            <w:numFmt w:val="decimal"/>
          </w:endnotePr>
          <w:pgSz w:w="16838" w:h="11906" w:orient="landscape"/>
          <w:pgMar w:top="1797" w:right="1440" w:bottom="1797" w:left="1440" w:header="567" w:footer="567" w:gutter="0"/>
          <w:cols w:space="708"/>
          <w:docGrid w:linePitch="360"/>
        </w:sectPr>
      </w:pPr>
      <w:bookmarkStart w:id="472" w:name="_Toc529890619"/>
    </w:p>
    <w:p w:rsidR="00CE1469" w:rsidRPr="00F6415D" w:rsidRDefault="00CE1469" w:rsidP="00F175EC">
      <w:pPr>
        <w:pStyle w:val="AppendixHeading2"/>
        <w:rPr>
          <w:rFonts w:eastAsiaTheme="majorEastAsia"/>
        </w:rPr>
      </w:pPr>
      <w:bookmarkStart w:id="473" w:name="_Toc531271127"/>
      <w:bookmarkStart w:id="474" w:name="_Toc532206420"/>
      <w:r w:rsidRPr="00F6415D">
        <w:rPr>
          <w:rFonts w:eastAsiaTheme="majorEastAsia"/>
        </w:rPr>
        <w:lastRenderedPageBreak/>
        <w:t>: Consumer survey results</w:t>
      </w:r>
      <w:bookmarkEnd w:id="461"/>
      <w:bookmarkEnd w:id="462"/>
      <w:bookmarkEnd w:id="463"/>
      <w:bookmarkEnd w:id="467"/>
      <w:bookmarkEnd w:id="468"/>
      <w:bookmarkEnd w:id="469"/>
      <w:bookmarkEnd w:id="470"/>
      <w:bookmarkEnd w:id="471"/>
      <w:bookmarkEnd w:id="472"/>
      <w:bookmarkEnd w:id="473"/>
      <w:bookmarkEnd w:id="474"/>
    </w:p>
    <w:p w:rsidR="00CE1469" w:rsidRPr="00F6415D" w:rsidRDefault="00CE1469" w:rsidP="00CE1469">
      <w:pPr>
        <w:pStyle w:val="BodyText"/>
        <w:rPr>
          <w:rFonts w:ascii="Segoe UI" w:hAnsi="Segoe UI" w:cs="Segoe UI"/>
          <w:lang w:val="en"/>
        </w:rPr>
      </w:pPr>
      <w:r w:rsidRPr="00F6415D">
        <w:rPr>
          <w:rFonts w:ascii="Segoe UI" w:hAnsi="Segoe UI" w:cs="Segoe UI"/>
          <w:lang w:val="en"/>
        </w:rPr>
        <w:t>ACFA’s consumer survey was completed by a range of consumers. The demographics of the respondents are summarised in the charts below:</w:t>
      </w:r>
    </w:p>
    <w:p w:rsidR="00CE1469" w:rsidRPr="00F6415D" w:rsidRDefault="00CE1469" w:rsidP="00CE1469">
      <w:pPr>
        <w:pStyle w:val="AppendixHeading3"/>
        <w:rPr>
          <w:rFonts w:ascii="Segoe UI" w:hAnsi="Segoe UI" w:cs="Segoe UI"/>
        </w:rPr>
      </w:pPr>
      <w:bookmarkStart w:id="475" w:name="_Toc530148084"/>
      <w:bookmarkStart w:id="476" w:name="_Toc530582439"/>
      <w:bookmarkStart w:id="477" w:name="_Toc531271128"/>
      <w:r w:rsidRPr="00F6415D">
        <w:rPr>
          <w:rFonts w:ascii="Segoe UI" w:hAnsi="Segoe UI" w:cs="Segoe UI"/>
        </w:rPr>
        <w:t>Demographics</w:t>
      </w:r>
      <w:bookmarkEnd w:id="475"/>
      <w:bookmarkEnd w:id="476"/>
      <w:bookmarkEnd w:id="477"/>
      <w:r w:rsidRPr="00F6415D">
        <w:rPr>
          <w:rFonts w:ascii="Segoe UI" w:hAnsi="Segoe UI" w:cs="Segoe UI"/>
        </w:rPr>
        <w:t xml:space="preserve"> </w:t>
      </w:r>
    </w:p>
    <w:p w:rsidR="00CE1469" w:rsidRPr="00F6415D" w:rsidRDefault="00CE1469" w:rsidP="00CE1469">
      <w:pPr>
        <w:pStyle w:val="AppendixHeading4"/>
        <w:rPr>
          <w:rFonts w:ascii="Segoe UI" w:hAnsi="Segoe UI" w:cs="Segoe UI"/>
        </w:rPr>
      </w:pPr>
      <w:r w:rsidRPr="00F6415D">
        <w:rPr>
          <w:rFonts w:ascii="Segoe UI" w:hAnsi="Segoe UI" w:cs="Segoe UI"/>
        </w:rPr>
        <w:t xml:space="preserve">Demographics </w:t>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44332A7" wp14:editId="70FAFAC5">
            <wp:extent cx="5370449" cy="1985010"/>
            <wp:effectExtent l="0" t="0" r="0" b="0"/>
            <wp:docPr id="27" name="Picture 27" descr="This figure describes the proportion of respondents by seg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417432" cy="2002376"/>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7734A0E" wp14:editId="4CECE9E8">
            <wp:extent cx="4536271" cy="3093057"/>
            <wp:effectExtent l="0" t="0" r="0" b="0"/>
            <wp:docPr id="11" name="Picture 11" descr="This figure describes the proportion of respondents by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536271" cy="3093057"/>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37D6358F" wp14:editId="2FD18558">
            <wp:extent cx="4436804" cy="2088000"/>
            <wp:effectExtent l="0" t="0" r="0" b="7620"/>
            <wp:docPr id="29" name="Picture 29" descr="This  figure describes the proportion of respondents by when they expect to access aged car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436804" cy="20880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3F54502" wp14:editId="43650E81">
            <wp:extent cx="4436806" cy="2088000"/>
            <wp:effectExtent l="0" t="0" r="0" b="0"/>
            <wp:docPr id="21" name="Picture 21" descr="This  figure describes the proportion of respondents who are currently acessing aged care servic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436806" cy="20880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6EA4E39" wp14:editId="35C78EA4">
            <wp:extent cx="4485604" cy="2120400"/>
            <wp:effectExtent l="0" t="0" r="0" b="0"/>
            <wp:docPr id="74" name="Picture 74" descr="This figure describes the proportion of respondents by aged care u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485604" cy="2120400"/>
                    </a:xfrm>
                    <a:prstGeom prst="rect">
                      <a:avLst/>
                    </a:prstGeom>
                    <a:noFill/>
                    <a:ln>
                      <a:noFill/>
                    </a:ln>
                  </pic:spPr>
                </pic:pic>
              </a:graphicData>
            </a:graphic>
          </wp:inline>
        </w:drawing>
      </w:r>
    </w:p>
    <w:p w:rsidR="00CE1469" w:rsidRPr="00F6415D" w:rsidRDefault="00CE1469" w:rsidP="00CE1469">
      <w:pPr>
        <w:pStyle w:val="AppendixHeading3"/>
        <w:rPr>
          <w:rFonts w:ascii="Segoe UI" w:hAnsi="Segoe UI" w:cs="Segoe UI"/>
        </w:rPr>
      </w:pPr>
      <w:r w:rsidRPr="00F6415D">
        <w:rPr>
          <w:rFonts w:ascii="Segoe UI" w:hAnsi="Segoe UI" w:cs="Segoe UI"/>
        </w:rPr>
        <w:lastRenderedPageBreak/>
        <w:t>Questions</w:t>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3B7EA51" wp14:editId="01A4FCDF">
            <wp:extent cx="4710112" cy="4668253"/>
            <wp:effectExtent l="0" t="0" r="0" b="0"/>
            <wp:docPr id="56" name="Picture 56" descr="This figure describes the number of respondents by aged care services currently u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21621" cy="467966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185A984" wp14:editId="6FC4F0C3">
            <wp:extent cx="4730442" cy="2983832"/>
            <wp:effectExtent l="0" t="0" r="0" b="0"/>
            <wp:docPr id="289" name="Picture 289" descr="This figure describes the number of respondents by in home support services u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740816" cy="299037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71555CF0" wp14:editId="72DB6197">
            <wp:extent cx="5645426" cy="2329687"/>
            <wp:effectExtent l="0" t="0" r="0" b="0"/>
            <wp:docPr id="25" name="Picture 25" descr="This  figure describes the proportion of respondents by length of time using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661428" cy="233629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53BC82D" wp14:editId="417B5CF6">
            <wp:extent cx="5134641" cy="2687053"/>
            <wp:effectExtent l="0" t="0" r="0" b="0"/>
            <wp:docPr id="22" name="Picture 22" descr="This figure describes the number of respondents using aged care services as a tempory solu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148225" cy="2694162"/>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4AA1173" wp14:editId="7B6C3893">
            <wp:extent cx="4644189" cy="2294629"/>
            <wp:effectExtent l="0" t="0" r="0" b="0"/>
            <wp:docPr id="23" name="Picture 23" descr="This  figure describes the number of respondents waiting for aged care services to become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656810" cy="230086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01C34A67" wp14:editId="3C0A1395">
            <wp:extent cx="4505652" cy="2120400"/>
            <wp:effectExtent l="0" t="0" r="0" b="0"/>
            <wp:docPr id="26" name="Picture 26" descr="This figure describes the proportion of respondents by the reason they are using a temporary care solu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505652"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99DFD84" wp14:editId="6D139F3F">
            <wp:extent cx="4997116" cy="2034812"/>
            <wp:effectExtent l="0" t="0" r="0" b="0"/>
            <wp:docPr id="28" name="Picture 28" descr="This  figure describes the proportion of respondents assessed as requiring a services that they are not currently acce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020813" cy="204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24D11C1D" wp14:editId="0530517E">
            <wp:extent cx="5077326" cy="2606858"/>
            <wp:effectExtent l="0" t="0" r="0" b="0"/>
            <wp:docPr id="75" name="Picture 75" descr="This figure describes the proportion of respondents by the reason they are not accessing services they were assessed as nee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083408" cy="260998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29B2F0CB" wp14:editId="50CC610E">
            <wp:extent cx="5820355" cy="2429709"/>
            <wp:effectExtent l="0" t="0" r="0" b="0"/>
            <wp:docPr id="30" name="Picture 30" descr="This figure describes the proportion of respondents by when they expect to access various aged car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837558" cy="243689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BB43099" wp14:editId="5AB9479B">
            <wp:extent cx="4307305" cy="2137692"/>
            <wp:effectExtent l="0" t="0" r="0" b="0"/>
            <wp:docPr id="76" name="Picture 76" descr="This figure describes the number of respondents and the reason they are not planning on using any aged car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318794" cy="2143394"/>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0FCDFFA" wp14:editId="5029250E">
            <wp:extent cx="5186249" cy="2120400"/>
            <wp:effectExtent l="0" t="0" r="0" b="0"/>
            <wp:docPr id="31" name="Picture 31" descr="This figure describes the proportion of respondents by the financial decision maker in relation to their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186249"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557F5C82" wp14:editId="120CB993">
            <wp:extent cx="4505652" cy="2120400"/>
            <wp:effectExtent l="0" t="0" r="9525" b="0"/>
            <wp:docPr id="32" name="Picture 32" descr="This figure describes the proportion of respondents who have a financial pla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505652" cy="2120400"/>
                    </a:xfrm>
                    <a:prstGeom prst="rect">
                      <a:avLst/>
                    </a:prstGeom>
                    <a:noFill/>
                    <a:ln>
                      <a:noFill/>
                    </a:ln>
                  </pic:spPr>
                </pic:pic>
              </a:graphicData>
            </a:graphic>
          </wp:inline>
        </w:drawing>
      </w:r>
    </w:p>
    <w:p w:rsidR="00CE1469" w:rsidRPr="00E946CE" w:rsidRDefault="00CE1469" w:rsidP="00E946CE">
      <w:r w:rsidRPr="00F6415D">
        <w:rPr>
          <w:noProof/>
          <w:lang w:eastAsia="en-AU"/>
        </w:rPr>
        <w:drawing>
          <wp:inline distT="0" distB="0" distL="0" distR="0" wp14:anchorId="0D3807C9" wp14:editId="398F5328">
            <wp:extent cx="4505652" cy="2120400"/>
            <wp:effectExtent l="0" t="0" r="9525" b="0"/>
            <wp:docPr id="33" name="Picture 33" descr="This figure describes the proportion of respondents who have a financial plan that covers the ongoing costs of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505652"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A75F4A8" wp14:editId="2A37A3AE">
            <wp:extent cx="4505652" cy="2120400"/>
            <wp:effectExtent l="0" t="0" r="9525" b="0"/>
            <wp:docPr id="34" name="Picture 34" descr="This figure describes the proportion of respondents who have a financial plan which covers the future costs of residential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505652"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38F0B1A" wp14:editId="11A9A377">
            <wp:extent cx="5731510" cy="2119325"/>
            <wp:effectExtent l="0" t="0" r="2540" b="0"/>
            <wp:docPr id="36" name="Picture 36" descr="This figure describes the proportion of respondents by their concern in their ability to cover the costs of their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33F0B67E" wp14:editId="3495C455">
            <wp:extent cx="5731510" cy="2119325"/>
            <wp:effectExtent l="0" t="0" r="2540" b="0"/>
            <wp:docPr id="37" name="Picture 37" descr="This figure describes the proportion of respondents by how well informed they consider themselves about financing their aged ca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099D26F" wp14:editId="582AD932">
            <wp:extent cx="5731510" cy="2119325"/>
            <wp:effectExtent l="0" t="0" r="2540" b="0"/>
            <wp:docPr id="39" name="Picture 39" descr="This figure describes the proportion of respondents by how reasonable they find the cost of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EDB2A27" wp14:editId="38ED15F3">
            <wp:extent cx="5731510" cy="2119325"/>
            <wp:effectExtent l="0" t="0" r="2540" b="0"/>
            <wp:docPr id="40" name="Picture 40" descr="This figure describes the proportion of respondents by how reasonable they find the cost of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A6FE7CF" wp14:editId="321CFCEA">
            <wp:extent cx="5731510" cy="2119325"/>
            <wp:effectExtent l="0" t="0" r="0" b="0"/>
            <wp:docPr id="41" name="Picture 41" descr="This figure describes the proportion of respondents by their confidence in their ability to meet the current costs of their aged care nee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1D1F7BA5" wp14:editId="5BD72C3A">
            <wp:extent cx="5731510" cy="2119325"/>
            <wp:effectExtent l="0" t="0" r="0" b="0"/>
            <wp:docPr id="42" name="Picture 42" descr="This figure describes the proportion of respondents by their confidence in their ability to meet the future costs of their aged care nee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8C88B41" wp14:editId="709322D0">
            <wp:extent cx="5731510" cy="2119325"/>
            <wp:effectExtent l="0" t="0" r="0" b="0"/>
            <wp:docPr id="43" name="Picture 43" descr="This figure describes the proportion of respondents who are aware that Australians are living longer lives compared to previous gene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57AB7C79" wp14:editId="68D311FC">
            <wp:extent cx="5731510" cy="2119325"/>
            <wp:effectExtent l="0" t="0" r="0" b="0"/>
            <wp:docPr id="44" name="Picture 44" descr="This figure describes the proportion of respondents who think that the longer life expectancy provides motivation to plan financially for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0465DD32" wp14:editId="52E3892D">
            <wp:extent cx="5731510" cy="2119325"/>
            <wp:effectExtent l="0" t="0" r="0" b="0"/>
            <wp:docPr id="46" name="Picture 46" descr="This figure describes the proportion of respondents who experienced financial stress due to the costs of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7E125E28" wp14:editId="21B32A6E">
            <wp:extent cx="5731510" cy="2285887"/>
            <wp:effectExtent l="0" t="0" r="0" b="0"/>
            <wp:docPr id="109" name="Picture 109" descr="This figure describes the proportion of respondents by how they coped with the financial stress caused by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731510" cy="2285887"/>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16F8836" wp14:editId="5EC9800B">
            <wp:extent cx="4259840" cy="2120400"/>
            <wp:effectExtent l="0" t="0" r="0" b="0"/>
            <wp:docPr id="108" name="Picture 108" descr="This figure describes the proportion of respondents by the areas of aged care theywould spend more money on if the service was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259840"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3420CB8" wp14:editId="47EEF02B">
            <wp:extent cx="4940968" cy="3441899"/>
            <wp:effectExtent l="0" t="0" r="0" b="0"/>
            <wp:docPr id="35" name="Picture 35" descr="This figure describes the proportion of respondents by the decision maker in relation to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954906" cy="3451609"/>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34808F3E" wp14:editId="43040D66">
            <wp:extent cx="5731510" cy="2119325"/>
            <wp:effectExtent l="0" t="0" r="0" b="0"/>
            <wp:docPr id="48" name="Picture 48" descr="This figure describes the proportion of respondents by when they started planning for their aged care nee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0D82CDA9" wp14:editId="6E188A6F">
            <wp:extent cx="5731510" cy="2119325"/>
            <wp:effectExtent l="0" t="0" r="0" b="0"/>
            <wp:docPr id="49" name="Picture 49" descr="This figure describes the proportion of respondents by when they expect to start planning for thier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E83AD73" wp14:editId="5CA1E89F">
            <wp:extent cx="4689213" cy="2334127"/>
            <wp:effectExtent l="0" t="0" r="0" b="0"/>
            <wp:docPr id="106" name="Picture 106" descr="This figure describes the proportion of respondents by the sources of financial advice us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699883" cy="2339438"/>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4A65FF6B" wp14:editId="460475AD">
            <wp:extent cx="5731510" cy="3236994"/>
            <wp:effectExtent l="0" t="0" r="2540" b="0"/>
            <wp:docPr id="38" name="Picture 38" descr="This figure describes the proportion of respondents by the costs incurred in relation to the aged care services they are currently recie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731510" cy="3236994"/>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4234477" wp14:editId="4806622C">
            <wp:extent cx="5731510" cy="2119325"/>
            <wp:effectExtent l="0" t="0" r="0" b="0"/>
            <wp:docPr id="50" name="Picture 50" descr="This figure describes the proportion of respondents by how they are funding their current residential accommodaiton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7F0FCC3" wp14:editId="331DA952">
            <wp:extent cx="5731510" cy="2119325"/>
            <wp:effectExtent l="0" t="0" r="0" b="0"/>
            <wp:docPr id="51" name="Picture 51" descr="This figure describes the proportion of respondents drawing down on a lump sum to pay residential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13F57886" wp14:editId="4B1D55F7">
            <wp:extent cx="5731510" cy="2119325"/>
            <wp:effectExtent l="0" t="0" r="0" b="0"/>
            <wp:docPr id="52" name="Picture 52" descr="This figure describes the proportion of respondents darwing down on a lump sum to pay aged care fees other than residential accommodation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731510" cy="2119325"/>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F77C1CB" wp14:editId="70525326">
            <wp:extent cx="5731510" cy="3035269"/>
            <wp:effectExtent l="0" t="0" r="2540" b="0"/>
            <wp:docPr id="45" name="Picture 45" descr="This figure describes the number of respondents by the income and assets they use to fund current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731510" cy="3035269"/>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214CC0CF" wp14:editId="188D7D2C">
            <wp:extent cx="5731510" cy="2530211"/>
            <wp:effectExtent l="0" t="0" r="2540" b="0"/>
            <wp:docPr id="104" name="Picture 104" descr="This figure describes the number of respondents by the income and assets they use to fund current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731510" cy="253021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0707CEC4" wp14:editId="5193D725">
            <wp:extent cx="5731510" cy="2530211"/>
            <wp:effectExtent l="0" t="0" r="2540" b="0"/>
            <wp:docPr id="103" name="Picture 103" descr="This figure describes the number of respondents by the income and assets they plan to use to fund future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731510" cy="253021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2FB18B25" wp14:editId="4933E913">
            <wp:extent cx="5714946" cy="2113200"/>
            <wp:effectExtent l="0" t="0" r="0" b="0"/>
            <wp:docPr id="53" name="Picture 53" descr="This figure describes the proportion of respondents  by the impact that aged care costs has had on their financial well-be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714946" cy="21132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781678D" wp14:editId="6A6E6A68">
            <wp:extent cx="6184433" cy="3569368"/>
            <wp:effectExtent l="0" t="0" r="6985" b="0"/>
            <wp:docPr id="61" name="Picture 61" descr="This figure describes the number of respondents by the sacrifices made/expected to make to fund the cost of their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188896" cy="3571944"/>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28F4FDFC" wp14:editId="59C07D18">
            <wp:extent cx="5731510" cy="3510191"/>
            <wp:effectExtent l="0" t="0" r="2540" b="0"/>
            <wp:docPr id="62" name="Picture 62" descr="This figure describes the number of respondents by the sources of information used to decide how to fund aged care nee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731510" cy="351019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88BE5AC" wp14:editId="39F6DD2A">
            <wp:extent cx="4271953" cy="2120400"/>
            <wp:effectExtent l="0" t="0" r="0" b="0"/>
            <wp:docPr id="100" name="Picture 100" descr="This figure describes the number of respondents by the reason they didn't use any source of information to research the cost of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4271953"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E8F5A64" wp14:editId="6C8B88C4">
            <wp:extent cx="5093368" cy="2426127"/>
            <wp:effectExtent l="0" t="0" r="0" b="0"/>
            <wp:docPr id="65" name="Picture 65" descr="This figure describes the proportion of respondents by whether they used a financial advi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117786" cy="2437758"/>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400AAA42" wp14:editId="743284E8">
            <wp:extent cx="5714946" cy="2113200"/>
            <wp:effectExtent l="0" t="0" r="0" b="0"/>
            <wp:docPr id="57" name="Picture 57" descr="This figure describes the proportion of respondents by the cost of their financial advi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714946" cy="2113200"/>
                    </a:xfrm>
                    <a:prstGeom prst="rect">
                      <a:avLst/>
                    </a:prstGeom>
                    <a:noFill/>
                    <a:ln>
                      <a:noFill/>
                    </a:ln>
                  </pic:spPr>
                </pic:pic>
              </a:graphicData>
            </a:graphic>
          </wp:inline>
        </w:drawing>
      </w:r>
    </w:p>
    <w:p w:rsidR="00CE1469" w:rsidRPr="00F6415D" w:rsidRDefault="00CE1469" w:rsidP="00CE1469">
      <w:pPr>
        <w:rPr>
          <w:rFonts w:ascii="Segoe UI" w:hAnsi="Segoe UI" w:cs="Segoe UI"/>
        </w:rPr>
      </w:pP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4931037" wp14:editId="68E1C833">
            <wp:extent cx="4942926" cy="2911642"/>
            <wp:effectExtent l="0" t="0" r="0" b="0"/>
            <wp:docPr id="77" name="Picture 77" descr="This figure describes the proportion of respondents by the sources of information they found most useful in deciding how to fu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4956464" cy="2919616"/>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38CA2B8A" wp14:editId="3EF50CE6">
            <wp:extent cx="5714946" cy="2113200"/>
            <wp:effectExtent l="0" t="0" r="0" b="0"/>
            <wp:docPr id="60" name="Picture 60" descr="This figure describes the proportion of respondents by their marital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714946" cy="21132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59FC9D22" wp14:editId="4B25096D">
            <wp:extent cx="5731510" cy="2114461"/>
            <wp:effectExtent l="0" t="0" r="0" b="0"/>
            <wp:docPr id="66" name="Picture 66" descr="This figure describes the proportion of respondents by the language spoken at 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6E77FE6" wp14:editId="5A228A92">
            <wp:extent cx="4271953" cy="2120400"/>
            <wp:effectExtent l="0" t="0" r="0" b="0"/>
            <wp:docPr id="97" name="Picture 97" descr="This figure describes the proportion of respondents by household make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4271953" cy="21204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A2AF214" wp14:editId="5C95F0CF">
            <wp:extent cx="5731510" cy="2114461"/>
            <wp:effectExtent l="0" t="0" r="0" b="0"/>
            <wp:docPr id="67" name="Picture 67" descr="This figure describes the proportion of respondents by statements applying to a cohabitating car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7F4425AA" wp14:editId="7465DD3F">
            <wp:extent cx="5731510" cy="2114461"/>
            <wp:effectExtent l="0" t="0" r="0" b="0"/>
            <wp:docPr id="68" name="Picture 68" descr="This figure describes the proportion of respondents by statements applying to a cohabitating re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10F28D2D" wp14:editId="441EA7E7">
            <wp:extent cx="5731510" cy="2114461"/>
            <wp:effectExtent l="0" t="0" r="0" b="0"/>
            <wp:docPr id="70" name="Picture 70" descr="This figure describes the proportion of respondents by home ownership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671C175E" wp14:editId="3BB951CE">
            <wp:extent cx="5731510" cy="2114461"/>
            <wp:effectExtent l="0" t="0" r="0" b="0"/>
            <wp:docPr id="72" name="Picture 72" descr="This figure describes the proportion of respondents by employment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4F8431D0" wp14:editId="1D77DA92">
            <wp:extent cx="5714946" cy="2113200"/>
            <wp:effectExtent l="0" t="0" r="0" b="0"/>
            <wp:docPr id="64" name="Picture 64" descr="This figure describes the proportion of respondents by pension stat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714946" cy="2113200"/>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lastRenderedPageBreak/>
        <w:drawing>
          <wp:inline distT="0" distB="0" distL="0" distR="0" wp14:anchorId="1A08DCFF" wp14:editId="6112E0D3">
            <wp:extent cx="5731510" cy="2114461"/>
            <wp:effectExtent l="0" t="0" r="0" b="0"/>
            <wp:docPr id="73" name="Picture 73" descr="This figure describes the proportion of respondents by annual household income before t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731510" cy="2114461"/>
                    </a:xfrm>
                    <a:prstGeom prst="rect">
                      <a:avLst/>
                    </a:prstGeom>
                    <a:noFill/>
                    <a:ln>
                      <a:noFill/>
                    </a:ln>
                  </pic:spPr>
                </pic:pic>
              </a:graphicData>
            </a:graphic>
          </wp:inline>
        </w:drawing>
      </w:r>
    </w:p>
    <w:p w:rsidR="00CE1469" w:rsidRPr="00F6415D" w:rsidRDefault="00CE1469" w:rsidP="00CE1469">
      <w:pPr>
        <w:rPr>
          <w:rFonts w:ascii="Segoe UI" w:hAnsi="Segoe UI" w:cs="Segoe UI"/>
        </w:rPr>
      </w:pPr>
      <w:r w:rsidRPr="00F6415D">
        <w:rPr>
          <w:rFonts w:ascii="Segoe UI" w:hAnsi="Segoe UI" w:cs="Segoe UI"/>
          <w:noProof/>
          <w:lang w:eastAsia="en-AU"/>
        </w:rPr>
        <w:drawing>
          <wp:inline distT="0" distB="0" distL="0" distR="0" wp14:anchorId="2C47F5B7" wp14:editId="5FAA3902">
            <wp:extent cx="4259840" cy="2120400"/>
            <wp:effectExtent l="0" t="0" r="0" b="0"/>
            <wp:docPr id="98" name="Picture 98" descr="This figure describes the proportion of respondents by Ass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4259840" cy="2120400"/>
                    </a:xfrm>
                    <a:prstGeom prst="rect">
                      <a:avLst/>
                    </a:prstGeom>
                    <a:noFill/>
                    <a:ln>
                      <a:noFill/>
                    </a:ln>
                  </pic:spPr>
                </pic:pic>
              </a:graphicData>
            </a:graphic>
          </wp:inline>
        </w:drawing>
      </w:r>
    </w:p>
    <w:p w:rsidR="00CE1469" w:rsidRPr="00F6415D" w:rsidRDefault="00CE1469" w:rsidP="00F175EC">
      <w:pPr>
        <w:pStyle w:val="AppendixHeading2"/>
        <w:rPr>
          <w:rFonts w:eastAsiaTheme="majorEastAsia"/>
        </w:rPr>
      </w:pPr>
      <w:bookmarkStart w:id="478" w:name="_Toc522190429"/>
      <w:bookmarkStart w:id="479" w:name="_Toc523408280"/>
      <w:bookmarkStart w:id="480" w:name="_Toc523482261"/>
      <w:bookmarkStart w:id="481" w:name="_Toc524605320"/>
      <w:bookmarkStart w:id="482" w:name="_Toc527561583"/>
      <w:bookmarkStart w:id="483" w:name="_Toc527564657"/>
      <w:bookmarkStart w:id="484" w:name="_Toc528224292"/>
      <w:bookmarkStart w:id="485" w:name="_Toc528861173"/>
      <w:bookmarkStart w:id="486" w:name="_Toc529890620"/>
      <w:bookmarkStart w:id="487" w:name="_Toc531271130"/>
      <w:r w:rsidRPr="00F6415D">
        <w:rPr>
          <w:rFonts w:eastAsiaTheme="majorEastAsia"/>
        </w:rPr>
        <w:lastRenderedPageBreak/>
        <w:t>: Stakeholders Consulted</w:t>
      </w:r>
      <w:bookmarkEnd w:id="478"/>
      <w:bookmarkEnd w:id="479"/>
      <w:bookmarkEnd w:id="480"/>
      <w:bookmarkEnd w:id="481"/>
      <w:bookmarkEnd w:id="482"/>
      <w:bookmarkEnd w:id="483"/>
      <w:bookmarkEnd w:id="484"/>
      <w:bookmarkEnd w:id="485"/>
      <w:bookmarkEnd w:id="486"/>
      <w:bookmarkEnd w:id="487"/>
    </w:p>
    <w:p w:rsidR="00CE1469" w:rsidRPr="00F6415D" w:rsidRDefault="00CE1469" w:rsidP="00CE1469">
      <w:pPr>
        <w:pStyle w:val="BodyText"/>
        <w:contextualSpacing/>
        <w:rPr>
          <w:rFonts w:ascii="Segoe UI" w:hAnsi="Segoe UI" w:cs="Segoe UI"/>
        </w:rPr>
      </w:pPr>
      <w:r w:rsidRPr="00F6415D">
        <w:rPr>
          <w:rFonts w:ascii="Segoe UI" w:hAnsi="Segoe UI" w:cs="Segoe UI"/>
        </w:rPr>
        <w:t>The table below lists the organisations consulted as part of the project. A number of other organisations were invited to be consulted but were unable to participate.</w:t>
      </w:r>
    </w:p>
    <w:tbl>
      <w:tblPr>
        <w:tblStyle w:val="TableGrid"/>
        <w:tblW w:w="9470" w:type="dxa"/>
        <w:tblLook w:val="04A0" w:firstRow="1" w:lastRow="0" w:firstColumn="1" w:lastColumn="0" w:noHBand="0" w:noVBand="1"/>
        <w:tblDescription w:val="This table describes the stakeholders consulted for this report."/>
      </w:tblPr>
      <w:tblGrid>
        <w:gridCol w:w="2972"/>
        <w:gridCol w:w="3249"/>
        <w:gridCol w:w="3249"/>
      </w:tblGrid>
      <w:tr w:rsidR="00C85FB0" w:rsidRPr="00F6415D" w:rsidTr="005F42C7">
        <w:trPr>
          <w:tblHeader/>
        </w:trPr>
        <w:tc>
          <w:tcPr>
            <w:tcW w:w="2972" w:type="dxa"/>
            <w:shd w:val="clear" w:color="auto" w:fill="002060"/>
          </w:tcPr>
          <w:p w:rsidR="00C85FB0" w:rsidRPr="00F6415D" w:rsidRDefault="00C85FB0" w:rsidP="00CE1469">
            <w:pPr>
              <w:pStyle w:val="Tableheading"/>
              <w:contextualSpacing/>
              <w:rPr>
                <w:rFonts w:ascii="Segoe UI" w:hAnsi="Segoe UI" w:cs="Segoe UI"/>
              </w:rPr>
            </w:pPr>
            <w:r w:rsidRPr="00F6415D">
              <w:rPr>
                <w:rFonts w:ascii="Segoe UI" w:hAnsi="Segoe UI" w:cs="Segoe UI"/>
              </w:rPr>
              <w:t>Stakeholder</w:t>
            </w:r>
          </w:p>
        </w:tc>
        <w:tc>
          <w:tcPr>
            <w:tcW w:w="3249" w:type="dxa"/>
            <w:tcBorders>
              <w:bottom w:val="single" w:sz="4" w:space="0" w:color="auto"/>
              <w:right w:val="nil"/>
            </w:tcBorders>
            <w:shd w:val="clear" w:color="auto" w:fill="002060"/>
          </w:tcPr>
          <w:p w:rsidR="00C85FB0" w:rsidRPr="00F6415D" w:rsidRDefault="00C85FB0" w:rsidP="00CE1469">
            <w:pPr>
              <w:pStyle w:val="Tableheading"/>
              <w:contextualSpacing/>
              <w:rPr>
                <w:rFonts w:ascii="Segoe UI" w:hAnsi="Segoe UI" w:cs="Segoe UI"/>
              </w:rPr>
            </w:pPr>
            <w:r w:rsidRPr="00F6415D">
              <w:rPr>
                <w:rFonts w:ascii="Segoe UI" w:hAnsi="Segoe UI" w:cs="Segoe UI"/>
              </w:rPr>
              <w:t xml:space="preserve">Organisation name </w:t>
            </w:r>
          </w:p>
        </w:tc>
        <w:tc>
          <w:tcPr>
            <w:tcW w:w="3249" w:type="dxa"/>
            <w:tcBorders>
              <w:left w:val="nil"/>
              <w:bottom w:val="single" w:sz="4" w:space="0" w:color="auto"/>
            </w:tcBorders>
            <w:shd w:val="clear" w:color="auto" w:fill="002060"/>
          </w:tcPr>
          <w:p w:rsidR="00C85FB0" w:rsidRPr="00F6415D" w:rsidRDefault="00C85FB0" w:rsidP="00CE1469">
            <w:pPr>
              <w:pStyle w:val="Tableheading"/>
              <w:contextualSpacing/>
              <w:rPr>
                <w:rFonts w:ascii="Segoe UI" w:hAnsi="Segoe UI" w:cs="Segoe UI"/>
              </w:rPr>
            </w:pPr>
          </w:p>
        </w:tc>
      </w:tr>
      <w:tr w:rsidR="00CE1469" w:rsidRPr="00F6415D" w:rsidTr="005F42C7">
        <w:trPr>
          <w:trHeight w:val="419"/>
        </w:trPr>
        <w:tc>
          <w:tcPr>
            <w:tcW w:w="2972" w:type="dxa"/>
            <w:shd w:val="clear" w:color="auto" w:fill="auto"/>
          </w:tcPr>
          <w:p w:rsidR="00CE1469" w:rsidRPr="00F6415D" w:rsidRDefault="00CE1469" w:rsidP="00CE1469">
            <w:pPr>
              <w:pStyle w:val="Tabletext1"/>
              <w:contextualSpacing/>
              <w:rPr>
                <w:rFonts w:ascii="Segoe UI" w:hAnsi="Segoe UI" w:cs="Segoe UI"/>
                <w:b/>
              </w:rPr>
            </w:pPr>
            <w:r w:rsidRPr="00F6415D">
              <w:rPr>
                <w:rFonts w:ascii="Segoe UI" w:hAnsi="Segoe UI" w:cs="Segoe UI"/>
                <w:b/>
              </w:rPr>
              <w:t xml:space="preserve">Consumer Advocate Groups </w:t>
            </w:r>
          </w:p>
        </w:tc>
        <w:tc>
          <w:tcPr>
            <w:tcW w:w="3249" w:type="dxa"/>
            <w:tcBorders>
              <w:bottom w:val="single" w:sz="4" w:space="0" w:color="auto"/>
              <w:righ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 xml:space="preserve">COTA </w:t>
            </w:r>
          </w:p>
          <w:p w:rsidR="00CE1469" w:rsidRPr="00F6415D" w:rsidRDefault="00CE1469" w:rsidP="00031E26">
            <w:pPr>
              <w:pStyle w:val="TableBullet1"/>
              <w:rPr>
                <w:rFonts w:ascii="Segoe UI" w:hAnsi="Segoe UI" w:cs="Segoe UI"/>
              </w:rPr>
            </w:pPr>
            <w:r w:rsidRPr="00F6415D">
              <w:rPr>
                <w:rFonts w:ascii="Segoe UI" w:hAnsi="Segoe UI" w:cs="Segoe UI"/>
              </w:rPr>
              <w:t xml:space="preserve">National Seniors Ltd. </w:t>
            </w:r>
          </w:p>
          <w:p w:rsidR="00CE1469" w:rsidRPr="00F6415D" w:rsidRDefault="00CE1469" w:rsidP="00031E26">
            <w:pPr>
              <w:pStyle w:val="TableBullet1"/>
              <w:rPr>
                <w:rFonts w:ascii="Segoe UI" w:hAnsi="Segoe UI" w:cs="Segoe UI"/>
              </w:rPr>
            </w:pPr>
            <w:r w:rsidRPr="00F6415D">
              <w:rPr>
                <w:rFonts w:ascii="Segoe UI" w:hAnsi="Segoe UI" w:cs="Segoe UI"/>
              </w:rPr>
              <w:t xml:space="preserve">Dementia Australia </w:t>
            </w:r>
          </w:p>
          <w:p w:rsidR="00CE1469" w:rsidRPr="00F6415D" w:rsidRDefault="00CE1469" w:rsidP="00031E26">
            <w:pPr>
              <w:pStyle w:val="TableBullet1"/>
              <w:rPr>
                <w:rFonts w:ascii="Segoe UI" w:hAnsi="Segoe UI" w:cs="Segoe UI"/>
              </w:rPr>
            </w:pPr>
            <w:r w:rsidRPr="00F6415D">
              <w:rPr>
                <w:rFonts w:ascii="Segoe UI" w:hAnsi="Segoe UI" w:cs="Segoe UI"/>
              </w:rPr>
              <w:t xml:space="preserve">Older Persons Advocacy Network </w:t>
            </w:r>
          </w:p>
          <w:p w:rsidR="00CE1469" w:rsidRPr="00F6415D" w:rsidRDefault="00CE1469" w:rsidP="00031E26">
            <w:pPr>
              <w:pStyle w:val="TableBullet1"/>
              <w:rPr>
                <w:rFonts w:ascii="Segoe UI" w:hAnsi="Segoe UI" w:cs="Segoe UI"/>
              </w:rPr>
            </w:pPr>
            <w:r w:rsidRPr="00F6415D">
              <w:rPr>
                <w:rFonts w:ascii="Segoe UI" w:hAnsi="Segoe UI" w:cs="Segoe UI"/>
              </w:rPr>
              <w:t xml:space="preserve">National Seniors </w:t>
            </w:r>
          </w:p>
          <w:p w:rsidR="00CE1469" w:rsidRPr="00F6415D" w:rsidRDefault="00CE1469" w:rsidP="00031E26">
            <w:pPr>
              <w:pStyle w:val="TableBullet1"/>
              <w:rPr>
                <w:rFonts w:ascii="Segoe UI" w:hAnsi="Segoe UI" w:cs="Segoe UI"/>
              </w:rPr>
            </w:pPr>
            <w:r w:rsidRPr="00F6415D">
              <w:rPr>
                <w:rFonts w:ascii="Segoe UI" w:hAnsi="Segoe UI" w:cs="Segoe UI"/>
              </w:rPr>
              <w:t xml:space="preserve">National Seniors, Financial Information Desk </w:t>
            </w:r>
          </w:p>
          <w:p w:rsidR="00CE1469" w:rsidRPr="00F6415D" w:rsidRDefault="00CE1469" w:rsidP="00031E26">
            <w:pPr>
              <w:pStyle w:val="TableBullet1"/>
              <w:rPr>
                <w:rFonts w:ascii="Segoe UI" w:hAnsi="Segoe UI" w:cs="Segoe UI"/>
              </w:rPr>
            </w:pPr>
            <w:r w:rsidRPr="00F6415D">
              <w:rPr>
                <w:rFonts w:ascii="Segoe UI" w:hAnsi="Segoe UI" w:cs="Segoe UI"/>
              </w:rPr>
              <w:t xml:space="preserve">Financial Literacy Australia </w:t>
            </w:r>
          </w:p>
          <w:p w:rsidR="00CE1469" w:rsidRPr="00F6415D" w:rsidRDefault="00CE1469" w:rsidP="00031E26">
            <w:pPr>
              <w:pStyle w:val="TableBullet1"/>
              <w:rPr>
                <w:rFonts w:ascii="Segoe UI" w:hAnsi="Segoe UI" w:cs="Segoe UI"/>
              </w:rPr>
            </w:pPr>
            <w:r w:rsidRPr="00F6415D">
              <w:rPr>
                <w:rFonts w:ascii="Segoe UI" w:hAnsi="Segoe UI" w:cs="Segoe UI"/>
              </w:rPr>
              <w:t xml:space="preserve">Federation of Ethnic Communities Councils of Australia </w:t>
            </w:r>
          </w:p>
        </w:tc>
        <w:tc>
          <w:tcPr>
            <w:tcW w:w="3249" w:type="dxa"/>
            <w:tcBorders>
              <w:left w:val="nil"/>
              <w:bottom w:val="single" w:sz="4" w:space="0" w:color="auto"/>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The National Aboriginal Community Controlled Health Organisation</w:t>
            </w:r>
          </w:p>
          <w:p w:rsidR="00CE1469" w:rsidRPr="00F6415D" w:rsidRDefault="00CE1469" w:rsidP="00031E26">
            <w:pPr>
              <w:pStyle w:val="TableBullet1"/>
              <w:rPr>
                <w:rFonts w:ascii="Segoe UI" w:hAnsi="Segoe UI" w:cs="Segoe UI"/>
              </w:rPr>
            </w:pPr>
            <w:r w:rsidRPr="00F6415D">
              <w:rPr>
                <w:rFonts w:ascii="Segoe UI" w:hAnsi="Segoe UI" w:cs="Segoe UI"/>
              </w:rPr>
              <w:t>The National Aboriginal Community Controlled Health Organisation affiliates</w:t>
            </w:r>
          </w:p>
          <w:p w:rsidR="00CE1469" w:rsidRPr="00F6415D" w:rsidRDefault="00CE1469" w:rsidP="00031E26">
            <w:pPr>
              <w:pStyle w:val="TableBullet1"/>
              <w:rPr>
                <w:rFonts w:ascii="Segoe UI" w:hAnsi="Segoe UI" w:cs="Segoe UI"/>
              </w:rPr>
            </w:pPr>
            <w:r w:rsidRPr="00F6415D">
              <w:rPr>
                <w:rFonts w:ascii="Segoe UI" w:hAnsi="Segoe UI" w:cs="Segoe UI"/>
              </w:rPr>
              <w:t>VincentCare</w:t>
            </w:r>
          </w:p>
          <w:p w:rsidR="00CE1469" w:rsidRPr="00F6415D" w:rsidRDefault="00CE1469" w:rsidP="00031E26">
            <w:pPr>
              <w:pStyle w:val="TableBullet1"/>
              <w:rPr>
                <w:rFonts w:ascii="Segoe UI" w:hAnsi="Segoe UI" w:cs="Segoe UI"/>
              </w:rPr>
            </w:pPr>
            <w:r w:rsidRPr="00F6415D">
              <w:rPr>
                <w:rFonts w:ascii="Segoe UI" w:hAnsi="Segoe UI" w:cs="Segoe UI"/>
              </w:rPr>
              <w:t>Brotherhood of St Laurence</w:t>
            </w:r>
          </w:p>
          <w:p w:rsidR="00CE1469" w:rsidRPr="00F6415D" w:rsidRDefault="00CE1469" w:rsidP="00031E26">
            <w:pPr>
              <w:pStyle w:val="TableBullet1"/>
              <w:rPr>
                <w:rFonts w:ascii="Segoe UI" w:hAnsi="Segoe UI" w:cs="Segoe UI"/>
              </w:rPr>
            </w:pPr>
            <w:r w:rsidRPr="00F6415D">
              <w:rPr>
                <w:rFonts w:ascii="Segoe UI" w:hAnsi="Segoe UI" w:cs="Segoe UI"/>
              </w:rPr>
              <w:t>National Rural Health Alliance</w:t>
            </w:r>
          </w:p>
          <w:p w:rsidR="00CE1469" w:rsidRPr="00F6415D" w:rsidRDefault="00CE1469" w:rsidP="00031E26">
            <w:pPr>
              <w:pStyle w:val="TableBullet1"/>
              <w:rPr>
                <w:rFonts w:ascii="Segoe UI" w:hAnsi="Segoe UI" w:cs="Segoe UI"/>
              </w:rPr>
            </w:pPr>
            <w:r w:rsidRPr="00F6415D">
              <w:rPr>
                <w:rFonts w:ascii="Segoe UI" w:hAnsi="Segoe UI" w:cs="Segoe UI"/>
              </w:rPr>
              <w:t>Corumbene</w:t>
            </w:r>
          </w:p>
          <w:p w:rsidR="00CE1469" w:rsidRPr="00F6415D" w:rsidRDefault="00CE1469" w:rsidP="00031E26">
            <w:pPr>
              <w:pStyle w:val="TableBullet1"/>
              <w:rPr>
                <w:rFonts w:ascii="Segoe UI" w:hAnsi="Segoe UI" w:cs="Segoe UI"/>
              </w:rPr>
            </w:pPr>
            <w:r w:rsidRPr="00F6415D">
              <w:rPr>
                <w:rFonts w:ascii="Segoe UI" w:hAnsi="Segoe UI" w:cs="Segoe UI"/>
              </w:rPr>
              <w:t>Care Consultancy</w:t>
            </w:r>
          </w:p>
        </w:tc>
      </w:tr>
      <w:tr w:rsidR="00C85FB0" w:rsidRPr="00F6415D" w:rsidTr="005F42C7">
        <w:trPr>
          <w:trHeight w:val="419"/>
        </w:trPr>
        <w:tc>
          <w:tcPr>
            <w:tcW w:w="2972" w:type="dxa"/>
            <w:shd w:val="clear" w:color="auto" w:fill="auto"/>
          </w:tcPr>
          <w:p w:rsidR="00C85FB0" w:rsidRPr="00F6415D" w:rsidRDefault="00C85FB0" w:rsidP="00CE1469">
            <w:pPr>
              <w:pStyle w:val="Tabletext1"/>
              <w:contextualSpacing/>
              <w:rPr>
                <w:rFonts w:ascii="Segoe UI" w:hAnsi="Segoe UI" w:cs="Segoe UI"/>
                <w:b/>
              </w:rPr>
            </w:pPr>
            <w:r w:rsidRPr="00F6415D">
              <w:rPr>
                <w:rFonts w:ascii="Segoe UI" w:hAnsi="Segoe UI" w:cs="Segoe UI"/>
                <w:b/>
              </w:rPr>
              <w:t xml:space="preserve">Consumer placement agencies </w:t>
            </w:r>
          </w:p>
        </w:tc>
        <w:tc>
          <w:tcPr>
            <w:tcW w:w="3249" w:type="dxa"/>
            <w:tcBorders>
              <w:bottom w:val="single" w:sz="4" w:space="0" w:color="auto"/>
              <w:right w:val="nil"/>
            </w:tcBorders>
            <w:shd w:val="clear" w:color="auto" w:fill="auto"/>
          </w:tcPr>
          <w:p w:rsidR="00C85FB0" w:rsidRPr="00F6415D" w:rsidRDefault="00C85FB0" w:rsidP="00031E26">
            <w:pPr>
              <w:pStyle w:val="TableBullet1"/>
              <w:rPr>
                <w:rFonts w:ascii="Segoe UI" w:hAnsi="Segoe UI" w:cs="Segoe UI"/>
              </w:rPr>
            </w:pPr>
            <w:r w:rsidRPr="00F6415D">
              <w:rPr>
                <w:rFonts w:ascii="Segoe UI" w:hAnsi="Segoe UI" w:cs="Segoe UI"/>
              </w:rPr>
              <w:t xml:space="preserve">Care Guidance </w:t>
            </w:r>
          </w:p>
        </w:tc>
        <w:tc>
          <w:tcPr>
            <w:tcW w:w="3249" w:type="dxa"/>
            <w:tcBorders>
              <w:left w:val="nil"/>
              <w:bottom w:val="single" w:sz="4" w:space="0" w:color="auto"/>
            </w:tcBorders>
            <w:shd w:val="clear" w:color="auto" w:fill="auto"/>
          </w:tcPr>
          <w:p w:rsidR="00C85FB0" w:rsidRPr="00F6415D" w:rsidRDefault="00C85FB0" w:rsidP="00C85FB0">
            <w:pPr>
              <w:pStyle w:val="TableBullet1"/>
              <w:numPr>
                <w:ilvl w:val="0"/>
                <w:numId w:val="0"/>
              </w:numPr>
              <w:ind w:left="340"/>
              <w:rPr>
                <w:rFonts w:ascii="Segoe UI" w:hAnsi="Segoe UI" w:cs="Segoe UI"/>
              </w:rPr>
            </w:pPr>
          </w:p>
        </w:tc>
      </w:tr>
      <w:tr w:rsidR="00CE1469" w:rsidRPr="00F6415D" w:rsidTr="005F42C7">
        <w:trPr>
          <w:trHeight w:val="419"/>
        </w:trPr>
        <w:tc>
          <w:tcPr>
            <w:tcW w:w="2972" w:type="dxa"/>
            <w:shd w:val="clear" w:color="auto" w:fill="auto"/>
          </w:tcPr>
          <w:p w:rsidR="00CE1469" w:rsidRPr="00F6415D" w:rsidRDefault="00CE1469" w:rsidP="00CE1469">
            <w:pPr>
              <w:pStyle w:val="Tabletext1"/>
              <w:contextualSpacing/>
              <w:rPr>
                <w:rFonts w:ascii="Segoe UI" w:hAnsi="Segoe UI" w:cs="Segoe UI"/>
                <w:b/>
              </w:rPr>
            </w:pPr>
            <w:r w:rsidRPr="00F6415D">
              <w:rPr>
                <w:rFonts w:ascii="Segoe UI" w:hAnsi="Segoe UI" w:cs="Segoe UI"/>
                <w:b/>
              </w:rPr>
              <w:t xml:space="preserve">Aged care peak bodies </w:t>
            </w:r>
          </w:p>
        </w:tc>
        <w:tc>
          <w:tcPr>
            <w:tcW w:w="3249" w:type="dxa"/>
            <w:tcBorders>
              <w:bottom w:val="single" w:sz="4" w:space="0" w:color="auto"/>
              <w:righ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 xml:space="preserve">Aged and Community Services Australia </w:t>
            </w:r>
          </w:p>
          <w:p w:rsidR="00CE1469" w:rsidRPr="00F6415D" w:rsidRDefault="00CE1469" w:rsidP="00031E26">
            <w:pPr>
              <w:pStyle w:val="TableBullet1"/>
              <w:rPr>
                <w:rFonts w:ascii="Segoe UI" w:hAnsi="Segoe UI" w:cs="Segoe UI"/>
              </w:rPr>
            </w:pPr>
            <w:r w:rsidRPr="00F6415D">
              <w:rPr>
                <w:rFonts w:ascii="Segoe UI" w:hAnsi="Segoe UI" w:cs="Segoe UI"/>
              </w:rPr>
              <w:t>Leading Age Services Australia</w:t>
            </w:r>
          </w:p>
        </w:tc>
        <w:tc>
          <w:tcPr>
            <w:tcW w:w="3249" w:type="dxa"/>
            <w:tcBorders>
              <w:left w:val="nil"/>
              <w:bottom w:val="single" w:sz="4" w:space="0" w:color="auto"/>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Catholic Health Australia</w:t>
            </w:r>
          </w:p>
          <w:p w:rsidR="00CE1469" w:rsidRPr="00F6415D" w:rsidRDefault="00CE1469" w:rsidP="00031E26">
            <w:pPr>
              <w:pStyle w:val="TableBullet1"/>
              <w:rPr>
                <w:rFonts w:ascii="Segoe UI" w:hAnsi="Segoe UI" w:cs="Segoe UI"/>
              </w:rPr>
            </w:pPr>
            <w:r w:rsidRPr="00F6415D">
              <w:rPr>
                <w:rFonts w:ascii="Segoe UI" w:hAnsi="Segoe UI" w:cs="Segoe UI"/>
              </w:rPr>
              <w:t>Retirement Living Council (Property Council of Australia)</w:t>
            </w:r>
          </w:p>
        </w:tc>
      </w:tr>
      <w:tr w:rsidR="00CE1469" w:rsidRPr="00F6415D" w:rsidTr="005F42C7">
        <w:trPr>
          <w:trHeight w:val="419"/>
        </w:trPr>
        <w:tc>
          <w:tcPr>
            <w:tcW w:w="2972" w:type="dxa"/>
            <w:shd w:val="clear" w:color="auto" w:fill="auto"/>
          </w:tcPr>
          <w:p w:rsidR="00CE1469" w:rsidRPr="00F6415D" w:rsidRDefault="00CE1469" w:rsidP="00CE1469">
            <w:pPr>
              <w:pStyle w:val="Tabletext1"/>
              <w:contextualSpacing/>
              <w:rPr>
                <w:rFonts w:ascii="Segoe UI" w:hAnsi="Segoe UI" w:cs="Segoe UI"/>
                <w:b/>
              </w:rPr>
            </w:pPr>
            <w:r w:rsidRPr="00F6415D">
              <w:rPr>
                <w:rFonts w:ascii="Segoe UI" w:hAnsi="Segoe UI" w:cs="Segoe UI"/>
                <w:b/>
              </w:rPr>
              <w:t>Aged care providers</w:t>
            </w:r>
          </w:p>
        </w:tc>
        <w:tc>
          <w:tcPr>
            <w:tcW w:w="3249" w:type="dxa"/>
            <w:tcBorders>
              <w:bottom w:val="single" w:sz="4" w:space="0" w:color="auto"/>
              <w:righ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BUPA</w:t>
            </w:r>
          </w:p>
          <w:p w:rsidR="00CE1469" w:rsidRPr="00F6415D" w:rsidRDefault="00CE1469" w:rsidP="00031E26">
            <w:pPr>
              <w:pStyle w:val="TableBullet1"/>
              <w:rPr>
                <w:rFonts w:ascii="Segoe UI" w:hAnsi="Segoe UI" w:cs="Segoe UI"/>
              </w:rPr>
            </w:pPr>
            <w:r w:rsidRPr="00F6415D">
              <w:rPr>
                <w:rFonts w:ascii="Segoe UI" w:hAnsi="Segoe UI" w:cs="Segoe UI"/>
              </w:rPr>
              <w:t>IRT</w:t>
            </w:r>
          </w:p>
          <w:p w:rsidR="00CE1469" w:rsidRPr="00F6415D" w:rsidRDefault="00CE1469" w:rsidP="00031E26">
            <w:pPr>
              <w:pStyle w:val="TableBullet1"/>
              <w:rPr>
                <w:rFonts w:ascii="Segoe UI" w:hAnsi="Segoe UI" w:cs="Segoe UI"/>
              </w:rPr>
            </w:pPr>
            <w:r w:rsidRPr="00F6415D">
              <w:rPr>
                <w:rFonts w:ascii="Segoe UI" w:hAnsi="Segoe UI" w:cs="Segoe UI"/>
              </w:rPr>
              <w:t>Baptist Care</w:t>
            </w:r>
          </w:p>
          <w:p w:rsidR="00CE1469" w:rsidRPr="00F6415D" w:rsidRDefault="00CE1469" w:rsidP="00031E26">
            <w:pPr>
              <w:pStyle w:val="TableBullet1"/>
              <w:rPr>
                <w:rFonts w:ascii="Segoe UI" w:hAnsi="Segoe UI" w:cs="Segoe UI"/>
              </w:rPr>
            </w:pPr>
            <w:r w:rsidRPr="00F6415D">
              <w:rPr>
                <w:rFonts w:ascii="Segoe UI" w:hAnsi="Segoe UI" w:cs="Segoe UI"/>
              </w:rPr>
              <w:t>St Luke’s</w:t>
            </w:r>
          </w:p>
          <w:p w:rsidR="00CE1469" w:rsidRPr="00F6415D" w:rsidRDefault="00CE1469" w:rsidP="00031E26">
            <w:pPr>
              <w:pStyle w:val="TableBullet1"/>
              <w:rPr>
                <w:rFonts w:ascii="Segoe UI" w:hAnsi="Segoe UI" w:cs="Segoe UI"/>
              </w:rPr>
            </w:pPr>
            <w:r w:rsidRPr="00F6415D">
              <w:rPr>
                <w:rFonts w:ascii="Segoe UI" w:hAnsi="Segoe UI" w:cs="Segoe UI"/>
              </w:rPr>
              <w:t>RSL Lifecare</w:t>
            </w:r>
          </w:p>
          <w:p w:rsidR="00CE1469" w:rsidRPr="00F6415D" w:rsidRDefault="00CE1469" w:rsidP="00031E26">
            <w:pPr>
              <w:pStyle w:val="TableBullet1"/>
              <w:rPr>
                <w:rFonts w:ascii="Segoe UI" w:hAnsi="Segoe UI" w:cs="Segoe UI"/>
              </w:rPr>
            </w:pPr>
            <w:r w:rsidRPr="00F6415D">
              <w:rPr>
                <w:rFonts w:ascii="Segoe UI" w:hAnsi="Segoe UI" w:cs="Segoe UI"/>
              </w:rPr>
              <w:t>Estia</w:t>
            </w:r>
          </w:p>
          <w:p w:rsidR="00CE1469" w:rsidRPr="00F6415D" w:rsidRDefault="00CE1469" w:rsidP="00031E26">
            <w:pPr>
              <w:pStyle w:val="TableBullet1"/>
              <w:rPr>
                <w:rFonts w:ascii="Segoe UI" w:hAnsi="Segoe UI" w:cs="Segoe UI"/>
              </w:rPr>
            </w:pPr>
            <w:r w:rsidRPr="00F6415D">
              <w:rPr>
                <w:rFonts w:ascii="Segoe UI" w:hAnsi="Segoe UI" w:cs="Segoe UI"/>
              </w:rPr>
              <w:t>Baptcare</w:t>
            </w:r>
          </w:p>
          <w:p w:rsidR="00CE1469" w:rsidRPr="00F6415D" w:rsidRDefault="00CE1469" w:rsidP="00031E26">
            <w:pPr>
              <w:pStyle w:val="TableBullet1"/>
              <w:rPr>
                <w:rFonts w:ascii="Segoe UI" w:hAnsi="Segoe UI" w:cs="Segoe UI"/>
              </w:rPr>
            </w:pPr>
            <w:r w:rsidRPr="00F6415D">
              <w:rPr>
                <w:rFonts w:ascii="Segoe UI" w:hAnsi="Segoe UI" w:cs="Segoe UI"/>
              </w:rPr>
              <w:t>Moreland City Council</w:t>
            </w:r>
          </w:p>
          <w:p w:rsidR="00CE1469" w:rsidRPr="00F6415D" w:rsidRDefault="00CE1469" w:rsidP="00031E26">
            <w:pPr>
              <w:pStyle w:val="TableBullet1"/>
              <w:rPr>
                <w:rFonts w:ascii="Segoe UI" w:hAnsi="Segoe UI" w:cs="Segoe UI"/>
              </w:rPr>
            </w:pPr>
            <w:r w:rsidRPr="00F6415D">
              <w:rPr>
                <w:rFonts w:ascii="Segoe UI" w:hAnsi="Segoe UI" w:cs="Segoe UI"/>
              </w:rPr>
              <w:t>Assisi</w:t>
            </w:r>
          </w:p>
          <w:p w:rsidR="00CE1469" w:rsidRPr="00F6415D" w:rsidRDefault="00CE1469" w:rsidP="00031E26">
            <w:pPr>
              <w:pStyle w:val="TableBullet1"/>
              <w:rPr>
                <w:rFonts w:ascii="Segoe UI" w:hAnsi="Segoe UI" w:cs="Segoe UI"/>
              </w:rPr>
            </w:pPr>
            <w:r w:rsidRPr="00F6415D">
              <w:rPr>
                <w:rFonts w:ascii="Segoe UI" w:hAnsi="Segoe UI" w:cs="Segoe UI"/>
              </w:rPr>
              <w:t>Micare</w:t>
            </w:r>
          </w:p>
          <w:p w:rsidR="00CE1469" w:rsidRPr="00F6415D" w:rsidRDefault="00CE1469" w:rsidP="00031E26">
            <w:pPr>
              <w:pStyle w:val="TableBullet1"/>
              <w:rPr>
                <w:rFonts w:ascii="Segoe UI" w:hAnsi="Segoe UI" w:cs="Segoe UI"/>
              </w:rPr>
            </w:pPr>
            <w:r w:rsidRPr="00F6415D">
              <w:rPr>
                <w:rFonts w:ascii="Segoe UI" w:hAnsi="Segoe UI" w:cs="Segoe UI"/>
              </w:rPr>
              <w:t>Helping Hand</w:t>
            </w:r>
          </w:p>
          <w:p w:rsidR="00CE1469" w:rsidRPr="00F6415D" w:rsidRDefault="00CE1469" w:rsidP="00031E26">
            <w:pPr>
              <w:pStyle w:val="TableBullet1"/>
              <w:rPr>
                <w:rFonts w:ascii="Segoe UI" w:hAnsi="Segoe UI" w:cs="Segoe UI"/>
              </w:rPr>
            </w:pPr>
            <w:r w:rsidRPr="00F6415D">
              <w:rPr>
                <w:rFonts w:ascii="Segoe UI" w:hAnsi="Segoe UI" w:cs="Segoe UI"/>
              </w:rPr>
              <w:lastRenderedPageBreak/>
              <w:t>Resthaven</w:t>
            </w:r>
          </w:p>
          <w:p w:rsidR="00CE1469" w:rsidRPr="00F6415D" w:rsidRDefault="00CE1469" w:rsidP="00031E26">
            <w:pPr>
              <w:pStyle w:val="TableBullet1"/>
              <w:rPr>
                <w:rFonts w:ascii="Segoe UI" w:hAnsi="Segoe UI" w:cs="Segoe UI"/>
              </w:rPr>
            </w:pPr>
            <w:r w:rsidRPr="00F6415D">
              <w:rPr>
                <w:rFonts w:ascii="Segoe UI" w:hAnsi="Segoe UI" w:cs="Segoe UI"/>
              </w:rPr>
              <w:t>Southern Cross SA/NT</w:t>
            </w:r>
          </w:p>
          <w:p w:rsidR="00CE1469" w:rsidRPr="00F6415D" w:rsidRDefault="00CE1469" w:rsidP="00031E26">
            <w:pPr>
              <w:pStyle w:val="TableBullet1"/>
              <w:rPr>
                <w:rFonts w:ascii="Segoe UI" w:hAnsi="Segoe UI" w:cs="Segoe UI"/>
              </w:rPr>
            </w:pPr>
            <w:r w:rsidRPr="00F6415D">
              <w:rPr>
                <w:rFonts w:ascii="Segoe UI" w:hAnsi="Segoe UI" w:cs="Segoe UI"/>
              </w:rPr>
              <w:t>UCQ/BlueCare</w:t>
            </w:r>
          </w:p>
          <w:p w:rsidR="00CE1469" w:rsidRPr="00F6415D" w:rsidRDefault="00CE1469" w:rsidP="00031E26">
            <w:pPr>
              <w:pStyle w:val="TableBullet1"/>
              <w:rPr>
                <w:rFonts w:ascii="Segoe UI" w:hAnsi="Segoe UI" w:cs="Segoe UI"/>
              </w:rPr>
            </w:pPr>
            <w:r w:rsidRPr="00F6415D">
              <w:rPr>
                <w:rFonts w:ascii="Segoe UI" w:hAnsi="Segoe UI" w:cs="Segoe UI"/>
              </w:rPr>
              <w:t>Carinity</w:t>
            </w:r>
          </w:p>
          <w:p w:rsidR="00CE1469" w:rsidRPr="00F6415D" w:rsidRDefault="00CE1469" w:rsidP="00031E26">
            <w:pPr>
              <w:pStyle w:val="TableBullet1"/>
              <w:rPr>
                <w:rFonts w:ascii="Segoe UI" w:hAnsi="Segoe UI" w:cs="Segoe UI"/>
              </w:rPr>
            </w:pPr>
            <w:r w:rsidRPr="00F6415D">
              <w:rPr>
                <w:rFonts w:ascii="Segoe UI" w:hAnsi="Segoe UI" w:cs="Segoe UI"/>
              </w:rPr>
              <w:t xml:space="preserve">Footprints </w:t>
            </w:r>
          </w:p>
          <w:p w:rsidR="00CE1469" w:rsidRPr="00F6415D" w:rsidRDefault="00CE1469" w:rsidP="00031E26">
            <w:pPr>
              <w:pStyle w:val="TableBullet1"/>
              <w:rPr>
                <w:rFonts w:ascii="Segoe UI" w:hAnsi="Segoe UI" w:cs="Segoe UI"/>
              </w:rPr>
            </w:pPr>
            <w:r w:rsidRPr="00F6415D">
              <w:rPr>
                <w:rFonts w:ascii="Segoe UI" w:hAnsi="Segoe UI" w:cs="Segoe UI"/>
              </w:rPr>
              <w:t>Bolton Clarke</w:t>
            </w:r>
          </w:p>
        </w:tc>
        <w:tc>
          <w:tcPr>
            <w:tcW w:w="3249" w:type="dxa"/>
            <w:tcBorders>
              <w:left w:val="nil"/>
              <w:bottom w:val="single" w:sz="4" w:space="0" w:color="auto"/>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lastRenderedPageBreak/>
              <w:t>Prescare</w:t>
            </w:r>
          </w:p>
          <w:p w:rsidR="00CE1469" w:rsidRPr="00F6415D" w:rsidRDefault="00CE1469" w:rsidP="00031E26">
            <w:pPr>
              <w:pStyle w:val="TableBullet1"/>
              <w:rPr>
                <w:rFonts w:ascii="Segoe UI" w:hAnsi="Segoe UI" w:cs="Segoe UI"/>
              </w:rPr>
            </w:pPr>
            <w:r w:rsidRPr="00F6415D">
              <w:rPr>
                <w:rFonts w:ascii="Segoe UI" w:hAnsi="Segoe UI" w:cs="Segoe UI"/>
              </w:rPr>
              <w:t>Hall and Prior</w:t>
            </w:r>
          </w:p>
          <w:p w:rsidR="00CE1469" w:rsidRPr="00F6415D" w:rsidRDefault="00CE1469" w:rsidP="00031E26">
            <w:pPr>
              <w:pStyle w:val="TableBullet1"/>
              <w:rPr>
                <w:rFonts w:ascii="Segoe UI" w:hAnsi="Segoe UI" w:cs="Segoe UI"/>
              </w:rPr>
            </w:pPr>
            <w:r w:rsidRPr="00F6415D">
              <w:rPr>
                <w:rFonts w:ascii="Segoe UI" w:hAnsi="Segoe UI" w:cs="Segoe UI"/>
              </w:rPr>
              <w:t>Mercy Community</w:t>
            </w:r>
          </w:p>
          <w:p w:rsidR="00CE1469" w:rsidRPr="00F6415D" w:rsidRDefault="00CE1469" w:rsidP="00031E26">
            <w:pPr>
              <w:pStyle w:val="TableBullet1"/>
              <w:rPr>
                <w:rFonts w:ascii="Segoe UI" w:hAnsi="Segoe UI" w:cs="Segoe UI"/>
              </w:rPr>
            </w:pPr>
            <w:r w:rsidRPr="00F6415D">
              <w:rPr>
                <w:rFonts w:ascii="Segoe UI" w:hAnsi="Segoe UI" w:cs="Segoe UI"/>
              </w:rPr>
              <w:t>MYVISTA</w:t>
            </w:r>
          </w:p>
          <w:p w:rsidR="00CE1469" w:rsidRPr="00F6415D" w:rsidRDefault="00CE1469" w:rsidP="00031E26">
            <w:pPr>
              <w:pStyle w:val="TableBullet1"/>
              <w:rPr>
                <w:rFonts w:ascii="Segoe UI" w:hAnsi="Segoe UI" w:cs="Segoe UI"/>
              </w:rPr>
            </w:pPr>
            <w:r w:rsidRPr="00F6415D">
              <w:rPr>
                <w:rFonts w:ascii="Segoe UI" w:hAnsi="Segoe UI" w:cs="Segoe UI"/>
              </w:rPr>
              <w:t>CatholicHomes</w:t>
            </w:r>
          </w:p>
          <w:p w:rsidR="00CE1469" w:rsidRPr="00F6415D" w:rsidRDefault="00CE1469" w:rsidP="00031E26">
            <w:pPr>
              <w:pStyle w:val="TableBullet1"/>
              <w:rPr>
                <w:rFonts w:ascii="Segoe UI" w:hAnsi="Segoe UI" w:cs="Segoe UI"/>
              </w:rPr>
            </w:pPr>
            <w:r w:rsidRPr="00F6415D">
              <w:rPr>
                <w:rFonts w:ascii="Segoe UI" w:hAnsi="Segoe UI" w:cs="Segoe UI"/>
              </w:rPr>
              <w:t>Australian Regional and Remote Community Services</w:t>
            </w:r>
          </w:p>
          <w:p w:rsidR="00CE1469" w:rsidRPr="00F6415D" w:rsidRDefault="00CE1469" w:rsidP="00031E26">
            <w:pPr>
              <w:pStyle w:val="TableBullet1"/>
              <w:rPr>
                <w:rFonts w:ascii="Segoe UI" w:hAnsi="Segoe UI" w:cs="Segoe UI"/>
              </w:rPr>
            </w:pPr>
            <w:r w:rsidRPr="00F6415D">
              <w:rPr>
                <w:rFonts w:ascii="Segoe UI" w:hAnsi="Segoe UI" w:cs="Segoe UI"/>
              </w:rPr>
              <w:t>Southern Cross Care</w:t>
            </w:r>
          </w:p>
          <w:p w:rsidR="00CE1469" w:rsidRPr="00F6415D" w:rsidRDefault="00CE1469" w:rsidP="00031E26">
            <w:pPr>
              <w:pStyle w:val="TableBullet1"/>
              <w:rPr>
                <w:rFonts w:ascii="Segoe UI" w:hAnsi="Segoe UI" w:cs="Segoe UI"/>
              </w:rPr>
            </w:pPr>
            <w:r w:rsidRPr="00F6415D">
              <w:rPr>
                <w:rFonts w:ascii="Segoe UI" w:hAnsi="Segoe UI" w:cs="Segoe UI"/>
              </w:rPr>
              <w:t>Larrakia Nation Aged Care Service</w:t>
            </w:r>
          </w:p>
          <w:p w:rsidR="00CE1469" w:rsidRPr="00F6415D" w:rsidRDefault="00CE1469" w:rsidP="00031E26">
            <w:pPr>
              <w:pStyle w:val="TableBullet1"/>
              <w:rPr>
                <w:rFonts w:ascii="Segoe UI" w:hAnsi="Segoe UI" w:cs="Segoe UI"/>
              </w:rPr>
            </w:pPr>
            <w:r w:rsidRPr="00F6415D">
              <w:rPr>
                <w:rFonts w:ascii="Segoe UI" w:hAnsi="Segoe UI" w:cs="Segoe UI"/>
              </w:rPr>
              <w:lastRenderedPageBreak/>
              <w:t>Life Without Barriers</w:t>
            </w:r>
          </w:p>
          <w:p w:rsidR="00CE1469" w:rsidRPr="00F6415D" w:rsidRDefault="00CE1469" w:rsidP="00031E26">
            <w:pPr>
              <w:pStyle w:val="TableBullet1"/>
              <w:rPr>
                <w:rFonts w:ascii="Segoe UI" w:hAnsi="Segoe UI" w:cs="Segoe UI"/>
              </w:rPr>
            </w:pPr>
            <w:r w:rsidRPr="00F6415D">
              <w:rPr>
                <w:rFonts w:ascii="Segoe UI" w:hAnsi="Segoe UI" w:cs="Segoe UI"/>
              </w:rPr>
              <w:t>Respect Aged Care</w:t>
            </w:r>
          </w:p>
          <w:p w:rsidR="00CE1469" w:rsidRPr="00F6415D" w:rsidRDefault="00CE1469" w:rsidP="00031E26">
            <w:pPr>
              <w:pStyle w:val="TableBullet1"/>
              <w:rPr>
                <w:rFonts w:ascii="Segoe UI" w:hAnsi="Segoe UI" w:cs="Segoe UI"/>
              </w:rPr>
            </w:pPr>
            <w:r w:rsidRPr="00F6415D">
              <w:rPr>
                <w:rFonts w:ascii="Segoe UI" w:hAnsi="Segoe UI" w:cs="Segoe UI"/>
              </w:rPr>
              <w:t>Glenview Community Services</w:t>
            </w:r>
          </w:p>
          <w:p w:rsidR="00CE1469" w:rsidRPr="00F6415D" w:rsidRDefault="00CE1469" w:rsidP="00031E26">
            <w:pPr>
              <w:pStyle w:val="TableBullet1"/>
              <w:rPr>
                <w:rFonts w:ascii="Segoe UI" w:hAnsi="Segoe UI" w:cs="Segoe UI"/>
              </w:rPr>
            </w:pPr>
            <w:r w:rsidRPr="00F6415D">
              <w:rPr>
                <w:rFonts w:ascii="Segoe UI" w:hAnsi="Segoe UI" w:cs="Segoe UI"/>
              </w:rPr>
              <w:t>St Vincent Nursing Home &amp; Therapy Centre</w:t>
            </w:r>
          </w:p>
          <w:p w:rsidR="00CE1469" w:rsidRPr="00F6415D" w:rsidRDefault="00CE1469" w:rsidP="00031E26">
            <w:pPr>
              <w:pStyle w:val="TableBullet1"/>
              <w:rPr>
                <w:rFonts w:ascii="Segoe UI" w:hAnsi="Segoe UI" w:cs="Segoe UI"/>
              </w:rPr>
            </w:pPr>
            <w:r w:rsidRPr="00F6415D">
              <w:rPr>
                <w:rFonts w:ascii="Segoe UI" w:hAnsi="Segoe UI" w:cs="Segoe UI"/>
              </w:rPr>
              <w:t>The District Nurses</w:t>
            </w:r>
          </w:p>
          <w:p w:rsidR="00CE1469" w:rsidRPr="00F6415D" w:rsidRDefault="00CE1469" w:rsidP="00031E26">
            <w:pPr>
              <w:pStyle w:val="TableBullet1"/>
              <w:rPr>
                <w:rFonts w:ascii="Segoe UI" w:hAnsi="Segoe UI" w:cs="Segoe UI"/>
              </w:rPr>
            </w:pPr>
            <w:r w:rsidRPr="00F6415D">
              <w:rPr>
                <w:rFonts w:ascii="Segoe UI" w:hAnsi="Segoe UI" w:cs="Segoe UI"/>
              </w:rPr>
              <w:t>Anglicare Tasmania</w:t>
            </w:r>
          </w:p>
        </w:tc>
      </w:tr>
      <w:tr w:rsidR="00CE1469" w:rsidRPr="00F6415D" w:rsidTr="005F42C7">
        <w:trPr>
          <w:trHeight w:val="419"/>
        </w:trPr>
        <w:tc>
          <w:tcPr>
            <w:tcW w:w="2972" w:type="dxa"/>
            <w:shd w:val="clear" w:color="auto" w:fill="auto"/>
          </w:tcPr>
          <w:p w:rsidR="00CE1469" w:rsidRPr="00F6415D" w:rsidRDefault="00CE1469" w:rsidP="00CE1469">
            <w:pPr>
              <w:pStyle w:val="Tabletext1"/>
              <w:contextualSpacing/>
              <w:rPr>
                <w:rFonts w:ascii="Segoe UI" w:hAnsi="Segoe UI" w:cs="Segoe UI"/>
                <w:b/>
              </w:rPr>
            </w:pPr>
            <w:r w:rsidRPr="00F6415D">
              <w:rPr>
                <w:rFonts w:ascii="Segoe UI" w:hAnsi="Segoe UI" w:cs="Segoe UI"/>
                <w:b/>
              </w:rPr>
              <w:lastRenderedPageBreak/>
              <w:t>Financial Institutions</w:t>
            </w:r>
          </w:p>
        </w:tc>
        <w:tc>
          <w:tcPr>
            <w:tcW w:w="3249" w:type="dxa"/>
            <w:tcBorders>
              <w:bottom w:val="single" w:sz="4" w:space="0" w:color="auto"/>
              <w:righ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 xml:space="preserve">Madison Financial Group </w:t>
            </w:r>
          </w:p>
          <w:p w:rsidR="00CE1469" w:rsidRPr="00F6415D" w:rsidRDefault="00CE1469" w:rsidP="00031E26">
            <w:pPr>
              <w:pStyle w:val="TableBullet1"/>
              <w:rPr>
                <w:rFonts w:ascii="Segoe UI" w:hAnsi="Segoe UI" w:cs="Segoe UI"/>
              </w:rPr>
            </w:pPr>
            <w:r w:rsidRPr="00F6415D">
              <w:rPr>
                <w:rFonts w:ascii="Segoe UI" w:hAnsi="Segoe UI" w:cs="Segoe UI"/>
              </w:rPr>
              <w:t>RI Advice</w:t>
            </w:r>
          </w:p>
          <w:p w:rsidR="00CE1469" w:rsidRPr="00F6415D" w:rsidRDefault="00CE1469" w:rsidP="00031E26">
            <w:pPr>
              <w:pStyle w:val="TableBullet1"/>
              <w:rPr>
                <w:rFonts w:ascii="Segoe UI" w:hAnsi="Segoe UI" w:cs="Segoe UI"/>
              </w:rPr>
            </w:pPr>
            <w:r w:rsidRPr="00F6415D">
              <w:rPr>
                <w:rFonts w:ascii="Segoe UI" w:hAnsi="Segoe UI" w:cs="Segoe UI"/>
              </w:rPr>
              <w:t>Financial Wisdom</w:t>
            </w:r>
          </w:p>
          <w:p w:rsidR="00CE1469" w:rsidRPr="00F6415D" w:rsidRDefault="00CE1469" w:rsidP="00031E26">
            <w:pPr>
              <w:pStyle w:val="TableBullet1"/>
              <w:rPr>
                <w:rFonts w:ascii="Segoe UI" w:hAnsi="Segoe UI" w:cs="Segoe UI"/>
              </w:rPr>
            </w:pPr>
            <w:r w:rsidRPr="00F6415D">
              <w:rPr>
                <w:rFonts w:ascii="Segoe UI" w:hAnsi="Segoe UI" w:cs="Segoe UI"/>
              </w:rPr>
              <w:t>Equity Trustees</w:t>
            </w:r>
          </w:p>
          <w:p w:rsidR="00CE1469" w:rsidRPr="00F6415D" w:rsidRDefault="00CE1469" w:rsidP="00031E26">
            <w:pPr>
              <w:pStyle w:val="TableBullet1"/>
              <w:rPr>
                <w:rFonts w:ascii="Segoe UI" w:hAnsi="Segoe UI" w:cs="Segoe UI"/>
              </w:rPr>
            </w:pPr>
            <w:r w:rsidRPr="00F6415D">
              <w:rPr>
                <w:rFonts w:ascii="Segoe UI" w:hAnsi="Segoe UI" w:cs="Segoe UI"/>
              </w:rPr>
              <w:t>Interprac</w:t>
            </w:r>
          </w:p>
          <w:p w:rsidR="00CE1469" w:rsidRPr="00F6415D" w:rsidRDefault="00CE1469" w:rsidP="00031E26">
            <w:pPr>
              <w:pStyle w:val="TableBullet1"/>
              <w:rPr>
                <w:rFonts w:ascii="Segoe UI" w:hAnsi="Segoe UI" w:cs="Segoe UI"/>
              </w:rPr>
            </w:pPr>
            <w:r w:rsidRPr="00F6415D">
              <w:rPr>
                <w:rFonts w:ascii="Segoe UI" w:hAnsi="Segoe UI" w:cs="Segoe UI"/>
              </w:rPr>
              <w:t xml:space="preserve">Catholic Super </w:t>
            </w:r>
          </w:p>
          <w:p w:rsidR="00CE1469" w:rsidRPr="00F6415D" w:rsidRDefault="00CE1469" w:rsidP="00031E26">
            <w:pPr>
              <w:pStyle w:val="TableBullet1"/>
              <w:rPr>
                <w:rFonts w:ascii="Segoe UI" w:hAnsi="Segoe UI" w:cs="Segoe UI"/>
              </w:rPr>
            </w:pPr>
            <w:r w:rsidRPr="00F6415D">
              <w:rPr>
                <w:rFonts w:ascii="Segoe UI" w:hAnsi="Segoe UI" w:cs="Segoe UI"/>
              </w:rPr>
              <w:t>Affinity Wealth Services</w:t>
            </w:r>
          </w:p>
          <w:p w:rsidR="00CE1469" w:rsidRPr="00F6415D" w:rsidRDefault="00CE1469" w:rsidP="00031E26">
            <w:pPr>
              <w:pStyle w:val="TableBullet1"/>
              <w:rPr>
                <w:rFonts w:ascii="Segoe UI" w:hAnsi="Segoe UI" w:cs="Segoe UI"/>
              </w:rPr>
            </w:pPr>
            <w:r w:rsidRPr="00F6415D">
              <w:rPr>
                <w:rFonts w:ascii="Segoe UI" w:hAnsi="Segoe UI" w:cs="Segoe UI"/>
              </w:rPr>
              <w:t>Aged Care Directions</w:t>
            </w:r>
          </w:p>
          <w:p w:rsidR="00CE1469" w:rsidRPr="00F6415D" w:rsidRDefault="00CE1469" w:rsidP="00031E26">
            <w:pPr>
              <w:pStyle w:val="TableBullet1"/>
              <w:rPr>
                <w:rFonts w:ascii="Segoe UI" w:hAnsi="Segoe UI" w:cs="Segoe UI"/>
              </w:rPr>
            </w:pPr>
            <w:r w:rsidRPr="00F6415D">
              <w:rPr>
                <w:rFonts w:ascii="Segoe UI" w:hAnsi="Segoe UI" w:cs="Segoe UI"/>
              </w:rPr>
              <w:t>Hillross Financing Planning</w:t>
            </w:r>
          </w:p>
          <w:p w:rsidR="00CE1469" w:rsidRPr="00F6415D" w:rsidRDefault="00CE1469" w:rsidP="00031E26">
            <w:pPr>
              <w:pStyle w:val="TableBullet1"/>
              <w:rPr>
                <w:rFonts w:ascii="Segoe UI" w:hAnsi="Segoe UI" w:cs="Segoe UI"/>
              </w:rPr>
            </w:pPr>
            <w:r w:rsidRPr="00F6415D">
              <w:rPr>
                <w:rFonts w:ascii="Segoe UI" w:hAnsi="Segoe UI" w:cs="Segoe UI"/>
              </w:rPr>
              <w:t>Later Life Advice</w:t>
            </w:r>
          </w:p>
          <w:p w:rsidR="00CE1469" w:rsidRPr="00F6415D" w:rsidRDefault="00CE1469" w:rsidP="00031E26">
            <w:pPr>
              <w:pStyle w:val="TableBullet1"/>
              <w:rPr>
                <w:rFonts w:ascii="Segoe UI" w:hAnsi="Segoe UI" w:cs="Segoe UI"/>
              </w:rPr>
            </w:pPr>
            <w:r w:rsidRPr="00F6415D">
              <w:rPr>
                <w:rFonts w:ascii="Segoe UI" w:hAnsi="Segoe UI" w:cs="Segoe UI"/>
              </w:rPr>
              <w:t>Sydney Aged Care Financial Advisers</w:t>
            </w:r>
          </w:p>
          <w:p w:rsidR="00CE1469" w:rsidRPr="00F6415D" w:rsidRDefault="00CE1469" w:rsidP="00031E26">
            <w:pPr>
              <w:pStyle w:val="TableBullet1"/>
              <w:rPr>
                <w:rFonts w:ascii="Segoe UI" w:hAnsi="Segoe UI" w:cs="Segoe UI"/>
              </w:rPr>
            </w:pPr>
            <w:r w:rsidRPr="00F6415D">
              <w:rPr>
                <w:rFonts w:ascii="Segoe UI" w:hAnsi="Segoe UI" w:cs="Segoe UI"/>
              </w:rPr>
              <w:t>Radford Allen</w:t>
            </w:r>
          </w:p>
          <w:p w:rsidR="00CE1469" w:rsidRPr="00F6415D" w:rsidRDefault="00CE1469" w:rsidP="00031E26">
            <w:pPr>
              <w:pStyle w:val="TableBullet1"/>
              <w:rPr>
                <w:rFonts w:ascii="Segoe UI" w:hAnsi="Segoe UI" w:cs="Segoe UI"/>
              </w:rPr>
            </w:pPr>
            <w:r w:rsidRPr="00F6415D">
              <w:rPr>
                <w:rFonts w:ascii="Segoe UI" w:hAnsi="Segoe UI" w:cs="Segoe UI"/>
              </w:rPr>
              <w:t>AMP</w:t>
            </w:r>
          </w:p>
          <w:p w:rsidR="00CE1469" w:rsidRPr="00F6415D" w:rsidRDefault="00CE1469" w:rsidP="00031E26">
            <w:pPr>
              <w:pStyle w:val="TableBullet1"/>
              <w:rPr>
                <w:rFonts w:ascii="Segoe UI" w:hAnsi="Segoe UI" w:cs="Segoe UI"/>
              </w:rPr>
            </w:pPr>
            <w:r w:rsidRPr="00F6415D">
              <w:rPr>
                <w:rFonts w:ascii="Segoe UI" w:hAnsi="Segoe UI" w:cs="Segoe UI"/>
              </w:rPr>
              <w:t>Integrity One</w:t>
            </w:r>
          </w:p>
          <w:p w:rsidR="00CE1469" w:rsidRPr="00F6415D" w:rsidRDefault="00CE1469" w:rsidP="00031E26">
            <w:pPr>
              <w:pStyle w:val="TableBullet1"/>
              <w:rPr>
                <w:rFonts w:ascii="Segoe UI" w:hAnsi="Segoe UI" w:cs="Segoe UI"/>
              </w:rPr>
            </w:pPr>
            <w:r w:rsidRPr="00F6415D">
              <w:rPr>
                <w:rFonts w:ascii="Segoe UI" w:hAnsi="Segoe UI" w:cs="Segoe UI"/>
              </w:rPr>
              <w:t>Nixon Financial</w:t>
            </w:r>
          </w:p>
          <w:p w:rsidR="00CE1469" w:rsidRPr="00F6415D" w:rsidRDefault="00CE1469" w:rsidP="00031E26">
            <w:pPr>
              <w:pStyle w:val="TableBullet1"/>
              <w:rPr>
                <w:rFonts w:ascii="Segoe UI" w:hAnsi="Segoe UI" w:cs="Segoe UI"/>
              </w:rPr>
            </w:pPr>
            <w:r w:rsidRPr="00F6415D">
              <w:rPr>
                <w:rFonts w:ascii="Segoe UI" w:hAnsi="Segoe UI" w:cs="Segoe UI"/>
              </w:rPr>
              <w:t>Swiss Re</w:t>
            </w:r>
          </w:p>
          <w:p w:rsidR="00CE1469" w:rsidRPr="00F6415D" w:rsidRDefault="00CE1469" w:rsidP="00031E26">
            <w:pPr>
              <w:pStyle w:val="TableBullet1"/>
              <w:rPr>
                <w:rFonts w:ascii="Segoe UI" w:hAnsi="Segoe UI" w:cs="Segoe UI"/>
              </w:rPr>
            </w:pPr>
            <w:r w:rsidRPr="00F6415D">
              <w:rPr>
                <w:rFonts w:ascii="Segoe UI" w:hAnsi="Segoe UI" w:cs="Segoe UI"/>
              </w:rPr>
              <w:t>HomeSafe Wealth Release</w:t>
            </w:r>
          </w:p>
          <w:p w:rsidR="00CE1469" w:rsidRPr="00F6415D" w:rsidRDefault="00CE1469" w:rsidP="00031E26">
            <w:pPr>
              <w:pStyle w:val="TableBullet1"/>
              <w:rPr>
                <w:rFonts w:ascii="Segoe UI" w:hAnsi="Segoe UI" w:cs="Segoe UI"/>
              </w:rPr>
            </w:pPr>
            <w:r w:rsidRPr="00F6415D">
              <w:rPr>
                <w:rFonts w:ascii="Segoe UI" w:hAnsi="Segoe UI" w:cs="Segoe UI"/>
              </w:rPr>
              <w:t>Heartland Seniors Finance La Trobe Financial and Paul Dwyer</w:t>
            </w:r>
          </w:p>
        </w:tc>
        <w:tc>
          <w:tcPr>
            <w:tcW w:w="3249" w:type="dxa"/>
            <w:tcBorders>
              <w:left w:val="nil"/>
              <w:bottom w:val="single" w:sz="4" w:space="0" w:color="auto"/>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Aged Care Gurus</w:t>
            </w:r>
          </w:p>
          <w:p w:rsidR="00CE1469" w:rsidRPr="00F6415D" w:rsidRDefault="00CE1469" w:rsidP="00031E26">
            <w:pPr>
              <w:pStyle w:val="TableBullet1"/>
              <w:rPr>
                <w:rFonts w:ascii="Segoe UI" w:hAnsi="Segoe UI" w:cs="Segoe UI"/>
              </w:rPr>
            </w:pPr>
            <w:r w:rsidRPr="00F6415D">
              <w:rPr>
                <w:rFonts w:ascii="Segoe UI" w:hAnsi="Segoe UI" w:cs="Segoe UI"/>
              </w:rPr>
              <w:t>Aged Care Steps</w:t>
            </w:r>
          </w:p>
          <w:p w:rsidR="00CE1469" w:rsidRPr="00F6415D" w:rsidRDefault="00CE1469" w:rsidP="00031E26">
            <w:pPr>
              <w:pStyle w:val="TableBullet1"/>
              <w:rPr>
                <w:rFonts w:ascii="Segoe UI" w:hAnsi="Segoe UI" w:cs="Segoe UI"/>
              </w:rPr>
            </w:pPr>
            <w:r w:rsidRPr="00F6415D">
              <w:rPr>
                <w:rFonts w:ascii="Segoe UI" w:hAnsi="Segoe UI" w:cs="Segoe UI"/>
              </w:rPr>
              <w:t>Bendigo bank</w:t>
            </w:r>
          </w:p>
          <w:p w:rsidR="00CE1469" w:rsidRPr="00F6415D" w:rsidRDefault="00CE1469" w:rsidP="00031E26">
            <w:pPr>
              <w:pStyle w:val="TableBullet1"/>
              <w:rPr>
                <w:rFonts w:ascii="Segoe UI" w:hAnsi="Segoe UI" w:cs="Segoe UI"/>
              </w:rPr>
            </w:pPr>
            <w:r w:rsidRPr="00F6415D">
              <w:rPr>
                <w:rFonts w:ascii="Segoe UI" w:hAnsi="Segoe UI" w:cs="Segoe UI"/>
              </w:rPr>
              <w:t>Challenger</w:t>
            </w:r>
          </w:p>
          <w:p w:rsidR="00CE1469" w:rsidRPr="00F6415D" w:rsidRDefault="00CE1469" w:rsidP="00031E26">
            <w:pPr>
              <w:pStyle w:val="TableBullet1"/>
              <w:rPr>
                <w:rFonts w:ascii="Segoe UI" w:hAnsi="Segoe UI" w:cs="Segoe UI"/>
              </w:rPr>
            </w:pPr>
            <w:r w:rsidRPr="00F6415D">
              <w:rPr>
                <w:rFonts w:ascii="Segoe UI" w:hAnsi="Segoe UI" w:cs="Segoe UI"/>
              </w:rPr>
              <w:t>Association of Superannuation Funds of Australia</w:t>
            </w:r>
          </w:p>
          <w:p w:rsidR="00CE1469" w:rsidRPr="00F6415D" w:rsidRDefault="00CE1469" w:rsidP="00031E26">
            <w:pPr>
              <w:pStyle w:val="TableBullet1"/>
              <w:rPr>
                <w:rFonts w:ascii="Segoe UI" w:hAnsi="Segoe UI" w:cs="Segoe UI"/>
              </w:rPr>
            </w:pPr>
            <w:r w:rsidRPr="00F6415D">
              <w:rPr>
                <w:rFonts w:ascii="Segoe UI" w:hAnsi="Segoe UI" w:cs="Segoe UI"/>
              </w:rPr>
              <w:t>Industry Super Australia</w:t>
            </w:r>
          </w:p>
          <w:p w:rsidR="00CE1469" w:rsidRPr="00F6415D" w:rsidRDefault="00CE1469" w:rsidP="00031E26">
            <w:pPr>
              <w:pStyle w:val="TableBullet1"/>
              <w:rPr>
                <w:rFonts w:ascii="Segoe UI" w:hAnsi="Segoe UI" w:cs="Segoe UI"/>
              </w:rPr>
            </w:pPr>
            <w:r w:rsidRPr="00F6415D">
              <w:rPr>
                <w:rFonts w:ascii="Segoe UI" w:hAnsi="Segoe UI" w:cs="Segoe UI"/>
              </w:rPr>
              <w:t>Financial Planning Association of Australia</w:t>
            </w:r>
          </w:p>
          <w:p w:rsidR="00CE1469" w:rsidRPr="00F6415D" w:rsidRDefault="00CE1469" w:rsidP="00031E26">
            <w:pPr>
              <w:pStyle w:val="TableBullet1"/>
              <w:rPr>
                <w:rFonts w:ascii="Segoe UI" w:hAnsi="Segoe UI" w:cs="Segoe UI"/>
              </w:rPr>
            </w:pPr>
            <w:r w:rsidRPr="00F6415D">
              <w:rPr>
                <w:rFonts w:ascii="Segoe UI" w:hAnsi="Segoe UI" w:cs="Segoe UI"/>
              </w:rPr>
              <w:t>Your Life Choices</w:t>
            </w:r>
          </w:p>
          <w:p w:rsidR="00CE1469" w:rsidRPr="00F6415D" w:rsidRDefault="00CE1469" w:rsidP="00031E26">
            <w:pPr>
              <w:pStyle w:val="TableBullet1"/>
              <w:rPr>
                <w:rFonts w:ascii="Segoe UI" w:hAnsi="Segoe UI" w:cs="Segoe UI"/>
              </w:rPr>
            </w:pPr>
            <w:r w:rsidRPr="00F6415D">
              <w:rPr>
                <w:rFonts w:ascii="Segoe UI" w:hAnsi="Segoe UI" w:cs="Segoe UI"/>
              </w:rPr>
              <w:t>IMB</w:t>
            </w:r>
          </w:p>
          <w:p w:rsidR="00CE1469" w:rsidRPr="00F6415D" w:rsidRDefault="00CE1469" w:rsidP="00031E26">
            <w:pPr>
              <w:pStyle w:val="TableBullet1"/>
              <w:rPr>
                <w:rFonts w:ascii="Segoe UI" w:hAnsi="Segoe UI" w:cs="Segoe UI"/>
              </w:rPr>
            </w:pPr>
            <w:r w:rsidRPr="00F6415D">
              <w:rPr>
                <w:rFonts w:ascii="Segoe UI" w:hAnsi="Segoe UI" w:cs="Segoe UI"/>
              </w:rPr>
              <w:t>TML Advisory</w:t>
            </w:r>
          </w:p>
          <w:p w:rsidR="00CE1469" w:rsidRPr="00F6415D" w:rsidRDefault="00CE1469" w:rsidP="00031E26">
            <w:pPr>
              <w:pStyle w:val="TableBullet1"/>
              <w:rPr>
                <w:rFonts w:ascii="Segoe UI" w:hAnsi="Segoe UI" w:cs="Segoe UI"/>
              </w:rPr>
            </w:pPr>
            <w:r w:rsidRPr="00F6415D">
              <w:rPr>
                <w:rFonts w:ascii="Segoe UI" w:hAnsi="Segoe UI" w:cs="Segoe UI"/>
              </w:rPr>
              <w:t>Beacon Financial Planning</w:t>
            </w:r>
          </w:p>
          <w:p w:rsidR="00CE1469" w:rsidRPr="00F6415D" w:rsidRDefault="00CE1469" w:rsidP="00031E26">
            <w:pPr>
              <w:pStyle w:val="TableBullet1"/>
              <w:rPr>
                <w:rFonts w:ascii="Segoe UI" w:hAnsi="Segoe UI" w:cs="Segoe UI"/>
              </w:rPr>
            </w:pPr>
            <w:r w:rsidRPr="00F6415D">
              <w:rPr>
                <w:rFonts w:ascii="Segoe UI" w:hAnsi="Segoe UI" w:cs="Segoe UI"/>
              </w:rPr>
              <w:t>Potts Duhring</w:t>
            </w:r>
          </w:p>
          <w:p w:rsidR="00CE1469" w:rsidRPr="00F6415D" w:rsidRDefault="00CE1469" w:rsidP="00031E26">
            <w:pPr>
              <w:pStyle w:val="TableBullet1"/>
              <w:rPr>
                <w:rFonts w:ascii="Segoe UI" w:hAnsi="Segoe UI" w:cs="Segoe UI"/>
              </w:rPr>
            </w:pPr>
            <w:r w:rsidRPr="00F6415D">
              <w:rPr>
                <w:rFonts w:ascii="Segoe UI" w:hAnsi="Segoe UI" w:cs="Segoe UI"/>
              </w:rPr>
              <w:t>Dome Financial</w:t>
            </w:r>
          </w:p>
          <w:p w:rsidR="00CE1469" w:rsidRPr="00F6415D" w:rsidRDefault="00CE1469" w:rsidP="00031E26">
            <w:pPr>
              <w:pStyle w:val="TableBullet1"/>
              <w:rPr>
                <w:rFonts w:ascii="Segoe UI" w:hAnsi="Segoe UI" w:cs="Segoe UI"/>
              </w:rPr>
            </w:pPr>
            <w:r w:rsidRPr="00F6415D">
              <w:rPr>
                <w:rFonts w:ascii="Segoe UI" w:hAnsi="Segoe UI" w:cs="Segoe UI"/>
              </w:rPr>
              <w:t>Nanna’s Planners</w:t>
            </w:r>
          </w:p>
          <w:p w:rsidR="00CE1469" w:rsidRPr="00F6415D" w:rsidRDefault="00CE1469" w:rsidP="00031E26">
            <w:pPr>
              <w:pStyle w:val="TableBullet1"/>
              <w:rPr>
                <w:rFonts w:ascii="Segoe UI" w:hAnsi="Segoe UI" w:cs="Segoe UI"/>
              </w:rPr>
            </w:pPr>
            <w:r w:rsidRPr="00F6415D">
              <w:rPr>
                <w:rFonts w:ascii="Segoe UI" w:hAnsi="Segoe UI" w:cs="Segoe UI"/>
              </w:rPr>
              <w:t>Morgans</w:t>
            </w:r>
          </w:p>
          <w:p w:rsidR="00CE1469" w:rsidRPr="00F6415D" w:rsidRDefault="00CE1469" w:rsidP="00031E26">
            <w:pPr>
              <w:pStyle w:val="TableBullet1"/>
              <w:rPr>
                <w:rFonts w:ascii="Segoe UI" w:hAnsi="Segoe UI" w:cs="Segoe UI"/>
              </w:rPr>
            </w:pPr>
            <w:r w:rsidRPr="00F6415D">
              <w:rPr>
                <w:rFonts w:ascii="Segoe UI" w:hAnsi="Segoe UI" w:cs="Segoe UI"/>
              </w:rPr>
              <w:t>Adelaide Aged Care Financial Advisers</w:t>
            </w:r>
          </w:p>
          <w:p w:rsidR="00CE1469" w:rsidRPr="00F6415D" w:rsidRDefault="00CE1469" w:rsidP="00031E26">
            <w:pPr>
              <w:pStyle w:val="TableBullet1"/>
              <w:rPr>
                <w:rFonts w:ascii="Segoe UI" w:hAnsi="Segoe UI" w:cs="Segoe UI"/>
              </w:rPr>
            </w:pPr>
            <w:r w:rsidRPr="00F6415D">
              <w:rPr>
                <w:rFonts w:ascii="Segoe UI" w:hAnsi="Segoe UI" w:cs="Segoe UI"/>
              </w:rPr>
              <w:t>Strategic Financial Planning</w:t>
            </w:r>
          </w:p>
        </w:tc>
      </w:tr>
      <w:tr w:rsidR="00CE1469" w:rsidRPr="00F6415D" w:rsidTr="005F42C7">
        <w:trPr>
          <w:trHeight w:val="419"/>
        </w:trPr>
        <w:tc>
          <w:tcPr>
            <w:tcW w:w="2972" w:type="dxa"/>
            <w:shd w:val="clear" w:color="auto" w:fill="auto"/>
          </w:tcPr>
          <w:p w:rsidR="00CE1469" w:rsidRPr="00F6415D" w:rsidRDefault="00CE1469" w:rsidP="00CE1469">
            <w:pPr>
              <w:pStyle w:val="Tabletext1"/>
              <w:contextualSpacing/>
              <w:rPr>
                <w:rFonts w:ascii="Segoe UI" w:hAnsi="Segoe UI" w:cs="Segoe UI"/>
                <w:b/>
              </w:rPr>
            </w:pPr>
            <w:r w:rsidRPr="00F6415D">
              <w:rPr>
                <w:rFonts w:ascii="Segoe UI" w:hAnsi="Segoe UI" w:cs="Segoe UI"/>
                <w:b/>
              </w:rPr>
              <w:t>Other</w:t>
            </w:r>
          </w:p>
        </w:tc>
        <w:tc>
          <w:tcPr>
            <w:tcW w:w="3249" w:type="dxa"/>
            <w:tcBorders>
              <w:righ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t>Ubercare</w:t>
            </w:r>
          </w:p>
          <w:p w:rsidR="00CE1469" w:rsidRPr="00F6415D" w:rsidRDefault="00CE1469" w:rsidP="00031E26">
            <w:pPr>
              <w:pStyle w:val="TableBullet1"/>
              <w:rPr>
                <w:rFonts w:ascii="Segoe UI" w:hAnsi="Segoe UI" w:cs="Segoe UI"/>
              </w:rPr>
            </w:pPr>
            <w:r w:rsidRPr="00F6415D">
              <w:rPr>
                <w:rFonts w:ascii="Segoe UI" w:hAnsi="Segoe UI" w:cs="Segoe UI"/>
              </w:rPr>
              <w:t>Gen-wise Health</w:t>
            </w:r>
          </w:p>
          <w:p w:rsidR="00CE1469" w:rsidRPr="00F6415D" w:rsidRDefault="00CE1469" w:rsidP="00031E26">
            <w:pPr>
              <w:pStyle w:val="TableBullet1"/>
              <w:rPr>
                <w:rFonts w:ascii="Segoe UI" w:hAnsi="Segoe UI" w:cs="Segoe UI"/>
              </w:rPr>
            </w:pPr>
            <w:r w:rsidRPr="00F6415D">
              <w:rPr>
                <w:rFonts w:ascii="Segoe UI" w:hAnsi="Segoe UI" w:cs="Segoe UI"/>
              </w:rPr>
              <w:t>Wellbeing and Resilience Centre</w:t>
            </w:r>
          </w:p>
          <w:p w:rsidR="00CE1469" w:rsidRPr="00F6415D" w:rsidRDefault="00CE1469" w:rsidP="00031E26">
            <w:pPr>
              <w:pStyle w:val="TableBullet1"/>
              <w:rPr>
                <w:rFonts w:ascii="Segoe UI" w:hAnsi="Segoe UI" w:cs="Segoe UI"/>
              </w:rPr>
            </w:pPr>
            <w:r w:rsidRPr="00F6415D">
              <w:rPr>
                <w:rFonts w:ascii="Segoe UI" w:hAnsi="Segoe UI" w:cs="Segoe UI"/>
              </w:rPr>
              <w:lastRenderedPageBreak/>
              <w:t>Nexus Care</w:t>
            </w:r>
          </w:p>
          <w:p w:rsidR="00CE1469" w:rsidRPr="00F6415D" w:rsidRDefault="00CE1469" w:rsidP="00031E26">
            <w:pPr>
              <w:pStyle w:val="TableBullet1"/>
              <w:rPr>
                <w:rFonts w:ascii="Segoe UI" w:hAnsi="Segoe UI" w:cs="Segoe UI"/>
              </w:rPr>
            </w:pPr>
            <w:r w:rsidRPr="00F6415D">
              <w:rPr>
                <w:rFonts w:ascii="Segoe UI" w:hAnsi="Segoe UI" w:cs="Segoe UI"/>
              </w:rPr>
              <w:t>CareKonnect</w:t>
            </w:r>
          </w:p>
        </w:tc>
        <w:tc>
          <w:tcPr>
            <w:tcW w:w="3249" w:type="dxa"/>
            <w:tcBorders>
              <w:left w:val="nil"/>
            </w:tcBorders>
            <w:shd w:val="clear" w:color="auto" w:fill="auto"/>
          </w:tcPr>
          <w:p w:rsidR="00CE1469" w:rsidRPr="00F6415D" w:rsidRDefault="00CE1469" w:rsidP="00031E26">
            <w:pPr>
              <w:pStyle w:val="TableBullet1"/>
              <w:rPr>
                <w:rFonts w:ascii="Segoe UI" w:hAnsi="Segoe UI" w:cs="Segoe UI"/>
              </w:rPr>
            </w:pPr>
            <w:r w:rsidRPr="00F6415D">
              <w:rPr>
                <w:rFonts w:ascii="Segoe UI" w:hAnsi="Segoe UI" w:cs="Segoe UI"/>
              </w:rPr>
              <w:lastRenderedPageBreak/>
              <w:t>Living Stories</w:t>
            </w:r>
          </w:p>
          <w:p w:rsidR="00CE1469" w:rsidRPr="00F6415D" w:rsidRDefault="00CE1469" w:rsidP="00031E26">
            <w:pPr>
              <w:pStyle w:val="TableBullet1"/>
              <w:rPr>
                <w:rFonts w:ascii="Segoe UI" w:hAnsi="Segoe UI" w:cs="Segoe UI"/>
              </w:rPr>
            </w:pPr>
            <w:r w:rsidRPr="00F6415D">
              <w:rPr>
                <w:rFonts w:ascii="Segoe UI" w:hAnsi="Segoe UI" w:cs="Segoe UI"/>
              </w:rPr>
              <w:t>Ingenia</w:t>
            </w:r>
          </w:p>
          <w:p w:rsidR="00CE1469" w:rsidRPr="00F6415D" w:rsidRDefault="00CE1469" w:rsidP="00031E26">
            <w:pPr>
              <w:pStyle w:val="TableBullet1"/>
              <w:rPr>
                <w:rFonts w:ascii="Segoe UI" w:hAnsi="Segoe UI" w:cs="Segoe UI"/>
              </w:rPr>
            </w:pPr>
            <w:r w:rsidRPr="00F6415D">
              <w:rPr>
                <w:rFonts w:ascii="Segoe UI" w:hAnsi="Segoe UI" w:cs="Segoe UI"/>
              </w:rPr>
              <w:t>Care Connect</w:t>
            </w:r>
          </w:p>
          <w:p w:rsidR="00CE1469" w:rsidRPr="00F6415D" w:rsidRDefault="00CE1469" w:rsidP="00031E26">
            <w:pPr>
              <w:pStyle w:val="TableBullet1"/>
              <w:rPr>
                <w:rFonts w:ascii="Segoe UI" w:hAnsi="Segoe UI" w:cs="Segoe UI"/>
              </w:rPr>
            </w:pPr>
            <w:r w:rsidRPr="00F6415D">
              <w:rPr>
                <w:rFonts w:ascii="Segoe UI" w:hAnsi="Segoe UI" w:cs="Segoe UI"/>
              </w:rPr>
              <w:t xml:space="preserve">Five Good Friends </w:t>
            </w:r>
          </w:p>
          <w:p w:rsidR="00CE1469" w:rsidRPr="00F6415D" w:rsidRDefault="00CE1469" w:rsidP="00031E26">
            <w:pPr>
              <w:pStyle w:val="TableBullet1"/>
              <w:rPr>
                <w:rFonts w:ascii="Segoe UI" w:hAnsi="Segoe UI" w:cs="Segoe UI"/>
              </w:rPr>
            </w:pPr>
            <w:r w:rsidRPr="00F6415D">
              <w:rPr>
                <w:rFonts w:ascii="Segoe UI" w:hAnsi="Segoe UI" w:cs="Segoe UI"/>
              </w:rPr>
              <w:lastRenderedPageBreak/>
              <w:t>Group Homes Australia</w:t>
            </w:r>
          </w:p>
        </w:tc>
      </w:tr>
    </w:tbl>
    <w:p w:rsidR="00CE1469" w:rsidRPr="00F6415D" w:rsidRDefault="00CE1469" w:rsidP="00F175EC">
      <w:pPr>
        <w:pStyle w:val="AppendixHeading2"/>
      </w:pPr>
      <w:bookmarkStart w:id="488" w:name="_Toc532206421"/>
      <w:r w:rsidRPr="00E946CE">
        <w:lastRenderedPageBreak/>
        <w:t>: References</w:t>
      </w:r>
      <w:bookmarkEnd w:id="488"/>
    </w:p>
    <w:bookmarkEnd w:id="0"/>
    <w:sectPr w:rsidR="00CE1469" w:rsidRPr="00F6415D" w:rsidSect="00CE1469">
      <w:endnotePr>
        <w:numFmt w:val="decimal"/>
      </w:endnotePr>
      <w:pgSz w:w="11907" w:h="16840" w:code="9"/>
      <w:pgMar w:top="1440" w:right="1440" w:bottom="1440" w:left="1440" w:header="539" w:footer="1191" w:gutter="0"/>
      <w:cols w:space="56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1FD3" w:rsidRPr="00F175EC" w:rsidRDefault="00861FD3" w:rsidP="00F175EC"/>
  </w:endnote>
  <w:endnote w:type="continuationSeparator" w:id="0">
    <w:p w:rsidR="00861FD3" w:rsidRDefault="00861FD3">
      <w:r>
        <w:continuationSeparator/>
      </w:r>
    </w:p>
  </w:endnote>
  <w:endnote w:type="continuationNotice" w:id="1">
    <w:p w:rsidR="00F175EC" w:rsidRPr="00F175EC" w:rsidRDefault="00F175EC" w:rsidP="00F175EC">
      <w:pPr>
        <w:pStyle w:val="Footer"/>
        <w:jc w:val="left"/>
      </w:pPr>
    </w:p>
  </w:endnote>
  <w:endnote w:id="2">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A statement made by several participants in the stakeholder consultations</w:t>
      </w:r>
    </w:p>
  </w:endnote>
  <w:endnote w:id="3">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1" w:history="1">
        <w:r w:rsidRPr="000E355A">
          <w:rPr>
            <w:rStyle w:val="Hyperlink"/>
            <w:szCs w:val="24"/>
          </w:rPr>
          <w:t>Aged Care Financing Authority (2018), 2018 Report on the Funding and Financing of the Aged Care Industry.</w:t>
        </w:r>
      </w:hyperlink>
    </w:p>
  </w:endnote>
  <w:endnote w:id="4">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 w:history="1">
        <w:r w:rsidRPr="00760B91">
          <w:rPr>
            <w:rStyle w:val="Hyperlink"/>
            <w:szCs w:val="24"/>
          </w:rPr>
          <w:t xml:space="preserve">Department of the Treasury </w:t>
        </w:r>
        <w:r w:rsidRPr="00760B91">
          <w:rPr>
            <w:rStyle w:val="Hyperlink"/>
            <w:i/>
            <w:szCs w:val="24"/>
          </w:rPr>
          <w:t>Intergenerational Report, 2015</w:t>
        </w:r>
      </w:hyperlink>
      <w:r w:rsidRPr="00031E26">
        <w:rPr>
          <w:color w:val="404040" w:themeColor="text1" w:themeTint="BF"/>
          <w:szCs w:val="24"/>
        </w:rPr>
        <w:t>.</w:t>
      </w:r>
    </w:p>
  </w:endnote>
  <w:endnote w:id="5">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 w:history="1">
        <w:r w:rsidRPr="000E355A">
          <w:rPr>
            <w:rStyle w:val="Hyperlink"/>
            <w:szCs w:val="24"/>
          </w:rPr>
          <w:t>Aged Care Financing Authority (2018), 2018 Report on the Funding and Financing of the Aged Care Industry</w:t>
        </w:r>
      </w:hyperlink>
    </w:p>
  </w:endnote>
  <w:endnote w:id="6">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4" w:history="1">
        <w:r w:rsidRPr="00031E26">
          <w:rPr>
            <w:rStyle w:val="Hyperlink"/>
            <w:szCs w:val="24"/>
          </w:rPr>
          <w:t>https://nationalseniors.com.au/uploads/01182863PAR_HopeForTheBest_Report_FN.pdf</w:t>
        </w:r>
      </w:hyperlink>
      <w:r w:rsidRPr="00031E26">
        <w:rPr>
          <w:szCs w:val="24"/>
        </w:rPr>
        <w:t xml:space="preserve"> </w:t>
      </w:r>
    </w:p>
  </w:endnote>
  <w:endnote w:id="7">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5" w:history="1">
        <w:r w:rsidRPr="000E355A">
          <w:rPr>
            <w:rStyle w:val="Hyperlink"/>
            <w:szCs w:val="24"/>
          </w:rPr>
          <w:t>National Seniors Australia (2014). Downsizing decisions of senior Australians: what are the motivating and discoursing factors?</w:t>
        </w:r>
      </w:hyperlink>
      <w:r w:rsidRPr="00031E26">
        <w:rPr>
          <w:szCs w:val="24"/>
        </w:rPr>
        <w:t xml:space="preserve"> </w:t>
      </w:r>
    </w:p>
  </w:endnote>
  <w:endnote w:id="8">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6" w:history="1">
        <w:r w:rsidRPr="00031E26">
          <w:rPr>
            <w:rStyle w:val="Hyperlink"/>
            <w:szCs w:val="24"/>
          </w:rPr>
          <w:t>http://download.asic.gov.au/media/4416939/rep-537-published-17-august-2017.pdf</w:t>
        </w:r>
      </w:hyperlink>
      <w:r w:rsidRPr="00031E26">
        <w:rPr>
          <w:szCs w:val="24"/>
        </w:rPr>
        <w:t xml:space="preserve"> </w:t>
      </w:r>
    </w:p>
  </w:endnote>
  <w:endnote w:id="9">
    <w:p w:rsidR="00861FD3" w:rsidRPr="00031E26" w:rsidRDefault="00861FD3" w:rsidP="00031E26">
      <w:pPr>
        <w:pStyle w:val="FootnoteText"/>
        <w:rPr>
          <w:sz w:val="24"/>
          <w:szCs w:val="24"/>
        </w:rPr>
      </w:pPr>
      <w:r w:rsidRPr="00031E26">
        <w:rPr>
          <w:rStyle w:val="EndnoteReference"/>
          <w:sz w:val="24"/>
          <w:szCs w:val="24"/>
        </w:rPr>
        <w:endnoteRef/>
      </w:r>
      <w:r w:rsidRPr="00031E26">
        <w:rPr>
          <w:sz w:val="24"/>
          <w:szCs w:val="24"/>
        </w:rPr>
        <w:t xml:space="preserve"> </w:t>
      </w:r>
      <w:hyperlink r:id="rId7" w:history="1">
        <w:r w:rsidRPr="000E355A">
          <w:rPr>
            <w:rStyle w:val="Hyperlink"/>
            <w:sz w:val="24"/>
            <w:szCs w:val="24"/>
          </w:rPr>
          <w:t>McCrindle and Absolute Care and Health (2018)</w:t>
        </w:r>
      </w:hyperlink>
    </w:p>
  </w:endnote>
  <w:endnote w:id="10">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8" w:history="1">
        <w:r w:rsidRPr="000E355A">
          <w:rPr>
            <w:rStyle w:val="Hyperlink"/>
            <w:szCs w:val="24"/>
          </w:rPr>
          <w:t>ASFA (2017), Superannuation account balances by age and gender</w:t>
        </w:r>
      </w:hyperlink>
    </w:p>
  </w:endnote>
  <w:endnote w:id="11">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9" w:history="1">
        <w:r w:rsidRPr="000E355A">
          <w:rPr>
            <w:rStyle w:val="Hyperlink"/>
            <w:szCs w:val="24"/>
          </w:rPr>
          <w:t xml:space="preserve">ABS (2018), </w:t>
        </w:r>
        <w:r w:rsidRPr="000E355A">
          <w:rPr>
            <w:rStyle w:val="Hyperlink"/>
            <w:szCs w:val="24"/>
            <w:lang w:val="en"/>
          </w:rPr>
          <w:t>Census of Population and Housing: Reflecting Australia - Stories from the Census, 2016</w:t>
        </w:r>
      </w:hyperlink>
    </w:p>
  </w:endnote>
  <w:endnote w:id="12">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0" w:history="1">
        <w:r w:rsidRPr="000E355A">
          <w:rPr>
            <w:rStyle w:val="Hyperlink"/>
            <w:szCs w:val="24"/>
          </w:rPr>
          <w:t>Disability, Ageing and Carers, Australia: Summary of Findings 2015, 2016</w:t>
        </w:r>
      </w:hyperlink>
    </w:p>
  </w:endnote>
  <w:endnote w:id="13">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1" w:history="1">
        <w:r w:rsidRPr="00031E26">
          <w:rPr>
            <w:rStyle w:val="Hyperlink"/>
            <w:szCs w:val="24"/>
          </w:rPr>
          <w:t>http://www.financialhealthinstitute.com/financial-health-financial-stress-in-human-services/</w:t>
        </w:r>
      </w:hyperlink>
      <w:r w:rsidRPr="00031E26">
        <w:rPr>
          <w:szCs w:val="24"/>
        </w:rPr>
        <w:t xml:space="preserve"> </w:t>
      </w:r>
    </w:p>
  </w:endnote>
  <w:endnote w:id="14">
    <w:p w:rsidR="00861FD3" w:rsidRPr="00031E26" w:rsidRDefault="00861FD3" w:rsidP="00CE1469">
      <w:pPr>
        <w:pStyle w:val="EndnoteText"/>
        <w:rPr>
          <w:rStyle w:val="EndnoteReference"/>
          <w:szCs w:val="24"/>
        </w:rPr>
      </w:pPr>
      <w:r w:rsidRPr="00031E26">
        <w:rPr>
          <w:rStyle w:val="EndnoteReference"/>
          <w:szCs w:val="24"/>
        </w:rPr>
        <w:endnoteRef/>
      </w:r>
      <w:r w:rsidRPr="00031E26">
        <w:rPr>
          <w:rStyle w:val="EndnoteReference"/>
          <w:szCs w:val="24"/>
        </w:rPr>
        <w:t xml:space="preserve"> </w:t>
      </w:r>
      <w:hyperlink r:id="rId12" w:history="1">
        <w:r w:rsidRPr="00534217">
          <w:rPr>
            <w:rStyle w:val="Hyperlink"/>
            <w:szCs w:val="24"/>
          </w:rPr>
          <w:t>https://www.alrc.gov.au/sites/default/files/pdfs/publications/elder_abuse_131_final_report_31_may_2017.pdf</w:t>
        </w:r>
      </w:hyperlink>
      <w:r>
        <w:rPr>
          <w:szCs w:val="24"/>
        </w:rPr>
        <w:t xml:space="preserve"> </w:t>
      </w:r>
    </w:p>
  </w:endnote>
  <w:endnote w:id="15">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13" w:history="1">
        <w:r w:rsidRPr="00031E26">
          <w:rPr>
            <w:rStyle w:val="Hyperlink"/>
            <w:szCs w:val="24"/>
          </w:rPr>
          <w:t>https://www.dss.gov.au/about-the-department/publications-articles/research-publications/social-policy-research-paper-series/number-41-asset-rich-but-income-poor-australian-housing-wealth-and-retirement?HTML</w:t>
        </w:r>
      </w:hyperlink>
      <w:r w:rsidRPr="00031E26">
        <w:rPr>
          <w:szCs w:val="24"/>
        </w:rPr>
        <w:t xml:space="preserve"> </w:t>
      </w:r>
    </w:p>
  </w:endnote>
  <w:endnote w:id="16">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14" w:history="1">
        <w:r w:rsidRPr="00031E26">
          <w:rPr>
            <w:rStyle w:val="Hyperlink"/>
            <w:szCs w:val="24"/>
          </w:rPr>
          <w:t>https://www.dss.gov.au/our-responsibilities/seniors/benefits-payments/pension-loans-scheme</w:t>
        </w:r>
      </w:hyperlink>
      <w:r w:rsidRPr="00031E26">
        <w:rPr>
          <w:szCs w:val="24"/>
        </w:rPr>
        <w:t xml:space="preserve"> </w:t>
      </w:r>
    </w:p>
  </w:endnote>
  <w:endnote w:id="17">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15" w:history="1">
        <w:r w:rsidRPr="00031E26">
          <w:rPr>
            <w:rStyle w:val="Hyperlink"/>
            <w:szCs w:val="24"/>
          </w:rPr>
          <w:t>http://www.investorwords.com/11655/investment_account.html</w:t>
        </w:r>
      </w:hyperlink>
      <w:r w:rsidRPr="00031E26">
        <w:rPr>
          <w:szCs w:val="24"/>
        </w:rPr>
        <w:t xml:space="preserve"> </w:t>
      </w:r>
    </w:p>
  </w:endnote>
  <w:endnote w:id="18">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6" w:history="1">
        <w:r w:rsidRPr="000E355A">
          <w:rPr>
            <w:rStyle w:val="Hyperlink"/>
            <w:szCs w:val="24"/>
          </w:rPr>
          <w:t xml:space="preserve">See </w:t>
        </w:r>
        <w:r w:rsidRPr="000E355A">
          <w:rPr>
            <w:rStyle w:val="Hyperlink"/>
            <w:i/>
            <w:szCs w:val="24"/>
          </w:rPr>
          <w:t>FlagPost</w:t>
        </w:r>
        <w:r w:rsidRPr="000E355A">
          <w:rPr>
            <w:rStyle w:val="Hyperlink"/>
            <w:szCs w:val="24"/>
          </w:rPr>
          <w:t>, “The Pension Loans Scheme: an old program attracts new interest”, Parliament of Australia website, (accessed 1 April 2016)</w:t>
        </w:r>
      </w:hyperlink>
    </w:p>
  </w:endnote>
  <w:endnote w:id="19">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7" w:history="1">
        <w:r w:rsidRPr="00031E26">
          <w:rPr>
            <w:rStyle w:val="Hyperlink"/>
            <w:szCs w:val="24"/>
          </w:rPr>
          <w:t>http://www.tamborinemountainshow.com/pdf/housing-decisions-older-australians.pdf</w:t>
        </w:r>
      </w:hyperlink>
      <w:r w:rsidRPr="00031E26">
        <w:rPr>
          <w:szCs w:val="24"/>
        </w:rPr>
        <w:t xml:space="preserve"> </w:t>
      </w:r>
    </w:p>
  </w:endnote>
  <w:endnote w:id="20">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8" w:history="1">
        <w:r w:rsidRPr="00031E26">
          <w:rPr>
            <w:rStyle w:val="Hyperlink"/>
            <w:szCs w:val="24"/>
          </w:rPr>
          <w:t>http://www.tamborinemountainshow.com/pdf/housing-decisions-older-australians.pdf</w:t>
        </w:r>
      </w:hyperlink>
      <w:r w:rsidRPr="00031E26">
        <w:rPr>
          <w:szCs w:val="24"/>
        </w:rPr>
        <w:t xml:space="preserve"> </w:t>
      </w:r>
    </w:p>
  </w:endnote>
  <w:endnote w:id="21">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19" w:history="1">
        <w:r w:rsidRPr="000E355A">
          <w:rPr>
            <w:rStyle w:val="Hyperlink"/>
            <w:szCs w:val="24"/>
          </w:rPr>
          <w:t xml:space="preserve">ASIC (2018). </w:t>
        </w:r>
        <w:r w:rsidRPr="000E355A">
          <w:rPr>
            <w:rStyle w:val="Hyperlink"/>
            <w:i/>
            <w:szCs w:val="24"/>
          </w:rPr>
          <w:t>Review of reverse mortgage lending in Australia.</w:t>
        </w:r>
      </w:hyperlink>
    </w:p>
  </w:endnote>
  <w:endnote w:id="22">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20" w:history="1">
        <w:r w:rsidRPr="000E355A">
          <w:rPr>
            <w:rStyle w:val="Hyperlink"/>
            <w:szCs w:val="24"/>
          </w:rPr>
          <w:t xml:space="preserve">DHS (2018), </w:t>
        </w:r>
        <w:r w:rsidRPr="000E355A">
          <w:rPr>
            <w:rStyle w:val="Hyperlink"/>
            <w:i/>
            <w:szCs w:val="24"/>
          </w:rPr>
          <w:t>Financial information service</w:t>
        </w:r>
      </w:hyperlink>
    </w:p>
  </w:endnote>
  <w:endnote w:id="23">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1" w:history="1">
        <w:r w:rsidRPr="00031E26">
          <w:rPr>
            <w:rStyle w:val="Hyperlink"/>
            <w:szCs w:val="24"/>
          </w:rPr>
          <w:t>https://www.moneysmart.gov.au/life-events-and-you/over-55s/supporting-older-australians</w:t>
        </w:r>
      </w:hyperlink>
      <w:r w:rsidRPr="00031E26">
        <w:rPr>
          <w:szCs w:val="24"/>
        </w:rPr>
        <w:t xml:space="preserve"> </w:t>
      </w:r>
    </w:p>
  </w:endnote>
  <w:endnote w:id="24">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2" w:history="1">
        <w:r w:rsidRPr="000E355A">
          <w:rPr>
            <w:rStyle w:val="Hyperlink"/>
            <w:szCs w:val="24"/>
          </w:rPr>
          <w:t>National Seniors Australia (2018).</w:t>
        </w:r>
      </w:hyperlink>
      <w:r w:rsidRPr="00031E26">
        <w:rPr>
          <w:szCs w:val="24"/>
        </w:rPr>
        <w:t xml:space="preserve"> </w:t>
      </w:r>
    </w:p>
  </w:endnote>
  <w:endnote w:id="25">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3" w:history="1">
        <w:r w:rsidRPr="00031E26">
          <w:rPr>
            <w:rStyle w:val="Hyperlink"/>
            <w:szCs w:val="24"/>
          </w:rPr>
          <w:t>https://www.cota.org.au/about/governance/</w:t>
        </w:r>
      </w:hyperlink>
      <w:r w:rsidRPr="00031E26">
        <w:rPr>
          <w:szCs w:val="24"/>
        </w:rPr>
        <w:t xml:space="preserve"> </w:t>
      </w:r>
    </w:p>
  </w:endnote>
  <w:endnote w:id="26">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4" w:history="1">
        <w:r w:rsidRPr="00031E26">
          <w:rPr>
            <w:rStyle w:val="Hyperlink"/>
            <w:szCs w:val="24"/>
          </w:rPr>
          <w:t>http://www.cotaact.org.au/services/community-education-programs</w:t>
        </w:r>
      </w:hyperlink>
      <w:r w:rsidRPr="00031E26">
        <w:rPr>
          <w:szCs w:val="24"/>
        </w:rPr>
        <w:t xml:space="preserve"> </w:t>
      </w:r>
    </w:p>
  </w:endnote>
  <w:endnote w:id="27">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25" w:history="1">
        <w:r w:rsidRPr="000E355A">
          <w:rPr>
            <w:rStyle w:val="Hyperlink"/>
            <w:szCs w:val="24"/>
          </w:rPr>
          <w:t xml:space="preserve">ASIC (2018), </w:t>
        </w:r>
        <w:r w:rsidRPr="000E355A">
          <w:rPr>
            <w:rStyle w:val="Hyperlink"/>
            <w:i/>
            <w:szCs w:val="24"/>
          </w:rPr>
          <w:t>Elder care and seniors support</w:t>
        </w:r>
      </w:hyperlink>
    </w:p>
  </w:endnote>
  <w:endnote w:id="28">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6" w:history="1">
        <w:r w:rsidRPr="00031E26">
          <w:rPr>
            <w:rStyle w:val="Hyperlink"/>
            <w:szCs w:val="24"/>
          </w:rPr>
          <w:t>https://www.advancecareplanning.org.au/</w:t>
        </w:r>
      </w:hyperlink>
      <w:r w:rsidRPr="00031E26">
        <w:rPr>
          <w:szCs w:val="24"/>
        </w:rPr>
        <w:t xml:space="preserve"> </w:t>
      </w:r>
    </w:p>
  </w:endnote>
  <w:endnote w:id="29">
    <w:p w:rsidR="00861FD3" w:rsidRPr="00031E26" w:rsidRDefault="00861FD3" w:rsidP="00CE1469">
      <w:pPr>
        <w:pStyle w:val="EndnoteText"/>
        <w:rPr>
          <w:szCs w:val="24"/>
        </w:rPr>
      </w:pPr>
      <w:r w:rsidRPr="00031E26">
        <w:rPr>
          <w:rStyle w:val="EndnoteReference"/>
          <w:szCs w:val="24"/>
        </w:rPr>
        <w:endnoteRef/>
      </w:r>
      <w:r w:rsidRPr="00031E26">
        <w:rPr>
          <w:szCs w:val="24"/>
        </w:rPr>
        <w:t xml:space="preserve"> </w:t>
      </w:r>
      <w:hyperlink r:id="rId27" w:history="1">
        <w:r w:rsidRPr="00031E26">
          <w:rPr>
            <w:rStyle w:val="Hyperlink"/>
            <w:szCs w:val="24"/>
          </w:rPr>
          <w:t>https://www.moneysmart.gov.au/investing/financial-advice/financial-advice-toolkit</w:t>
        </w:r>
      </w:hyperlink>
      <w:r w:rsidRPr="00031E26">
        <w:rPr>
          <w:szCs w:val="24"/>
        </w:rPr>
        <w:t xml:space="preserve"> </w:t>
      </w:r>
    </w:p>
  </w:endnote>
  <w:endnote w:id="30">
    <w:p w:rsidR="00861FD3" w:rsidRPr="00031E26" w:rsidRDefault="00861FD3" w:rsidP="00CE1469">
      <w:pPr>
        <w:spacing w:before="0" w:after="0"/>
        <w:rPr>
          <w:rStyle w:val="EndnoteReference"/>
          <w:rFonts w:asciiTheme="minorHAnsi" w:hAnsiTheme="minorHAnsi"/>
          <w:szCs w:val="24"/>
        </w:rPr>
      </w:pPr>
    </w:p>
  </w:endnote>
  <w:endnote w:id="31">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28" w:history="1">
        <w:r w:rsidRPr="000E355A">
          <w:rPr>
            <w:rStyle w:val="Hyperlink"/>
            <w:szCs w:val="24"/>
          </w:rPr>
          <w:t xml:space="preserve">Department of Health. </w:t>
        </w:r>
        <w:r w:rsidRPr="000E355A">
          <w:rPr>
            <w:rStyle w:val="Hyperlink"/>
            <w:i/>
            <w:szCs w:val="24"/>
          </w:rPr>
          <w:t>Your guide to Commonwealth Home Support Programme services booklet</w:t>
        </w:r>
      </w:hyperlink>
      <w:r w:rsidRPr="00031E26">
        <w:rPr>
          <w:szCs w:val="24"/>
        </w:rPr>
        <w:t xml:space="preserve">. </w:t>
      </w:r>
    </w:p>
  </w:endnote>
  <w:endnote w:id="32">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29" w:history="1">
        <w:r w:rsidRPr="000E355A">
          <w:rPr>
            <w:rStyle w:val="Hyperlink"/>
            <w:szCs w:val="24"/>
          </w:rPr>
          <w:t xml:space="preserve">Department of Health. </w:t>
        </w:r>
        <w:r w:rsidRPr="000E355A">
          <w:rPr>
            <w:rStyle w:val="Hyperlink"/>
            <w:i/>
            <w:szCs w:val="24"/>
          </w:rPr>
          <w:t>About the Commonwealth home support programme.</w:t>
        </w:r>
      </w:hyperlink>
      <w:r w:rsidRPr="00031E26">
        <w:rPr>
          <w:i/>
          <w:szCs w:val="24"/>
        </w:rPr>
        <w:t xml:space="preserve"> </w:t>
      </w:r>
    </w:p>
  </w:endnote>
  <w:endnote w:id="33">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0" w:history="1">
        <w:r w:rsidRPr="000E355A">
          <w:rPr>
            <w:rStyle w:val="Hyperlink"/>
            <w:szCs w:val="24"/>
          </w:rPr>
          <w:t xml:space="preserve">Department of Health. </w:t>
        </w:r>
        <w:r w:rsidRPr="000E355A">
          <w:rPr>
            <w:rStyle w:val="Hyperlink"/>
            <w:i/>
            <w:szCs w:val="24"/>
          </w:rPr>
          <w:t>Information Booklet Roadshow</w:t>
        </w:r>
        <w:r w:rsidRPr="000E355A">
          <w:rPr>
            <w:rStyle w:val="Hyperlink"/>
            <w:szCs w:val="24"/>
          </w:rPr>
          <w:t>.</w:t>
        </w:r>
      </w:hyperlink>
      <w:r w:rsidRPr="00031E26">
        <w:rPr>
          <w:szCs w:val="24"/>
        </w:rPr>
        <w:t xml:space="preserve"> </w:t>
      </w:r>
    </w:p>
  </w:endnote>
  <w:endnote w:id="34">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1" w:history="1">
        <w:r w:rsidRPr="000E355A">
          <w:rPr>
            <w:rStyle w:val="Hyperlink"/>
            <w:szCs w:val="24"/>
          </w:rPr>
          <w:t>Aged Care: A Quick Guide.</w:t>
        </w:r>
      </w:hyperlink>
      <w:r w:rsidRPr="00031E26">
        <w:rPr>
          <w:szCs w:val="24"/>
        </w:rPr>
        <w:t xml:space="preserve"> </w:t>
      </w:r>
    </w:p>
  </w:endnote>
  <w:endnote w:id="35">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2" w:history="1">
        <w:r w:rsidRPr="000E355A">
          <w:rPr>
            <w:rStyle w:val="Hyperlink"/>
            <w:szCs w:val="24"/>
          </w:rPr>
          <w:t xml:space="preserve">Department of Health. </w:t>
        </w:r>
        <w:r w:rsidRPr="000E355A">
          <w:rPr>
            <w:rStyle w:val="Hyperlink"/>
            <w:i/>
            <w:szCs w:val="24"/>
          </w:rPr>
          <w:t>Residential respite subsidy and supplements</w:t>
        </w:r>
      </w:hyperlink>
      <w:r w:rsidRPr="00031E26">
        <w:rPr>
          <w:szCs w:val="24"/>
        </w:rPr>
        <w:t xml:space="preserve">. </w:t>
      </w:r>
    </w:p>
  </w:endnote>
  <w:endnote w:id="36">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3" w:history="1">
        <w:r w:rsidRPr="000E355A">
          <w:rPr>
            <w:rStyle w:val="Hyperlink"/>
            <w:szCs w:val="24"/>
          </w:rPr>
          <w:t xml:space="preserve">Department of Health. </w:t>
        </w:r>
        <w:r w:rsidRPr="000E355A">
          <w:rPr>
            <w:rStyle w:val="Hyperlink"/>
            <w:i/>
            <w:szCs w:val="24"/>
          </w:rPr>
          <w:t>Residential respite care</w:t>
        </w:r>
        <w:r w:rsidRPr="000E355A">
          <w:rPr>
            <w:rStyle w:val="Hyperlink"/>
            <w:szCs w:val="24"/>
          </w:rPr>
          <w:t>.</w:t>
        </w:r>
      </w:hyperlink>
      <w:r w:rsidRPr="00031E26">
        <w:rPr>
          <w:szCs w:val="24"/>
        </w:rPr>
        <w:t xml:space="preserve"> </w:t>
      </w:r>
    </w:p>
  </w:endnote>
  <w:endnote w:id="37">
    <w:p w:rsidR="00861FD3" w:rsidRPr="00031E26" w:rsidRDefault="00861FD3" w:rsidP="00CE1469">
      <w:pPr>
        <w:pStyle w:val="EndnoteText"/>
        <w:ind w:left="142" w:hanging="142"/>
        <w:rPr>
          <w:szCs w:val="24"/>
        </w:rPr>
      </w:pPr>
      <w:r w:rsidRPr="00031E26">
        <w:rPr>
          <w:rStyle w:val="EndnoteReference"/>
          <w:szCs w:val="24"/>
        </w:rPr>
        <w:endnoteRef/>
      </w:r>
      <w:r w:rsidRPr="00031E26">
        <w:rPr>
          <w:szCs w:val="24"/>
        </w:rPr>
        <w:t xml:space="preserve"> </w:t>
      </w:r>
      <w:hyperlink r:id="rId34" w:history="1">
        <w:r w:rsidRPr="000E355A">
          <w:rPr>
            <w:rStyle w:val="Hyperlink"/>
            <w:szCs w:val="24"/>
          </w:rPr>
          <w:t xml:space="preserve">Department of Health. </w:t>
        </w:r>
        <w:r w:rsidRPr="000E355A">
          <w:rPr>
            <w:rStyle w:val="Hyperlink"/>
            <w:i/>
            <w:szCs w:val="24"/>
          </w:rPr>
          <w:t>Information booklet on fees for home care packages and residential aged care for people entering from 1 July 2014.</w:t>
        </w:r>
      </w:hyperlink>
      <w:r w:rsidRPr="00031E26">
        <w:rPr>
          <w:szCs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9999999">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Bold">
    <w:panose1 w:val="020B0704020202020204"/>
    <w:charset w:val="00"/>
    <w:family w:val="roman"/>
    <w:notTrueType/>
    <w:pitch w:val="default"/>
  </w:font>
  <w:font w:name="Univers 45 Light">
    <w:charset w:val="00"/>
    <w:family w:val="auto"/>
    <w:pitch w:val="variable"/>
    <w:sig w:usb0="8000002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Open Sans">
    <w:altName w:val="Verdana"/>
    <w:panose1 w:val="020B0606030504020204"/>
    <w:charset w:val="00"/>
    <w:family w:val="swiss"/>
    <w:pitch w:val="variable"/>
    <w:sig w:usb0="E00002EF" w:usb1="4000205B" w:usb2="00000028" w:usb3="00000000" w:csb0="0000019F" w:csb1="00000000"/>
  </w:font>
  <w:font w:name="Candara">
    <w:panose1 w:val="020E0502030303020204"/>
    <w:charset w:val="00"/>
    <w:family w:val="swiss"/>
    <w:pitch w:val="variable"/>
    <w:sig w:usb0="A00002EF" w:usb1="4000A44B" w:usb2="00000000" w:usb3="00000000" w:csb0="0000019F" w:csb1="00000000"/>
  </w:font>
  <w:font w:name="Frutiger">
    <w:altName w:val="Frutige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Default="00861FD3" w:rsidP="00892726">
    <w:pPr>
      <w:pStyle w:val="Footer"/>
      <w:ind w:right="-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Pr="0052509A" w:rsidRDefault="00861FD3" w:rsidP="002E0701">
    <w:pPr>
      <w:pStyle w:val="Footer"/>
    </w:pPr>
    <w:r>
      <w:rPr>
        <w:rStyle w:val="PageNumber"/>
      </w:rPr>
      <w:fldChar w:fldCharType="begin"/>
    </w:r>
    <w:r>
      <w:rPr>
        <w:rStyle w:val="PageNumber"/>
      </w:rPr>
      <w:instrText xml:space="preserve"> PAGE </w:instrText>
    </w:r>
    <w:r>
      <w:rPr>
        <w:rStyle w:val="PageNumber"/>
      </w:rPr>
      <w:fldChar w:fldCharType="separate"/>
    </w:r>
    <w:r w:rsidR="00183CC8">
      <w:rPr>
        <w:rStyle w:val="PageNumber"/>
        <w:noProof/>
      </w:rPr>
      <w:t>iii</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6508501"/>
      <w:docPartObj>
        <w:docPartGallery w:val="Page Numbers (Bottom of Page)"/>
        <w:docPartUnique/>
      </w:docPartObj>
    </w:sdtPr>
    <w:sdtEndPr>
      <w:rPr>
        <w:rStyle w:val="PageNumber"/>
        <w:sz w:val="18"/>
      </w:rPr>
    </w:sdtEndPr>
    <w:sdtContent>
      <w:p w:rsidR="00861FD3" w:rsidRPr="00CE1469" w:rsidRDefault="00861FD3" w:rsidP="00CE1469">
        <w:pPr>
          <w:pStyle w:val="Footer"/>
          <w:rPr>
            <w:rStyle w:val="PageNumber"/>
          </w:rPr>
        </w:pPr>
        <w:r w:rsidRPr="00CE1469">
          <w:rPr>
            <w:rStyle w:val="PageNumber"/>
          </w:rPr>
          <w:fldChar w:fldCharType="begin"/>
        </w:r>
        <w:r w:rsidRPr="00CE1469">
          <w:rPr>
            <w:rStyle w:val="PageNumber"/>
          </w:rPr>
          <w:instrText xml:space="preserve"> PAGE   \* MERGEFORMAT </w:instrText>
        </w:r>
        <w:r w:rsidRPr="00CE1469">
          <w:rPr>
            <w:rStyle w:val="PageNumber"/>
          </w:rPr>
          <w:fldChar w:fldCharType="separate"/>
        </w:r>
        <w:r w:rsidR="00183CC8">
          <w:rPr>
            <w:rStyle w:val="PageNumber"/>
            <w:noProof/>
          </w:rPr>
          <w:t>1</w:t>
        </w:r>
        <w:r w:rsidRPr="00CE1469">
          <w:rPr>
            <w:rStyle w:val="PageNumber"/>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Default="00861FD3" w:rsidP="00CE14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1FD3" w:rsidRDefault="00861FD3">
      <w:r>
        <w:separator/>
      </w:r>
    </w:p>
  </w:footnote>
  <w:footnote w:type="continuationSeparator" w:id="0">
    <w:p w:rsidR="00861FD3" w:rsidRDefault="00861FD3">
      <w:r>
        <w:continuationSeparator/>
      </w:r>
    </w:p>
  </w:footnote>
  <w:footnote w:id="1">
    <w:p w:rsidR="00861FD3" w:rsidRPr="002C6887" w:rsidRDefault="00861FD3" w:rsidP="00CE1469">
      <w:pPr>
        <w:pStyle w:val="BodyText"/>
        <w:spacing w:before="60" w:after="60"/>
        <w:rPr>
          <w:rFonts w:asciiTheme="minorHAnsi" w:hAnsiTheme="minorHAnsi" w:cstheme="minorHAnsi"/>
          <w:color w:val="404040" w:themeColor="text1" w:themeTint="BF"/>
          <w:sz w:val="18"/>
          <w:szCs w:val="18"/>
        </w:rPr>
      </w:pPr>
      <w:r w:rsidRPr="002C6887">
        <w:rPr>
          <w:rStyle w:val="FootnoteReference"/>
          <w:rFonts w:asciiTheme="minorHAnsi" w:hAnsiTheme="minorHAnsi" w:cstheme="minorHAnsi"/>
          <w:color w:val="404040" w:themeColor="text1" w:themeTint="BF"/>
          <w:szCs w:val="18"/>
        </w:rPr>
        <w:footnoteRef/>
      </w:r>
      <w:r w:rsidRPr="002C6887">
        <w:rPr>
          <w:rFonts w:asciiTheme="minorHAnsi" w:hAnsiTheme="minorHAnsi" w:cstheme="minorHAnsi"/>
          <w:color w:val="404040" w:themeColor="text1" w:themeTint="BF"/>
          <w:sz w:val="18"/>
          <w:szCs w:val="18"/>
        </w:rPr>
        <w:t xml:space="preserve"> The MPIR is the rate used to calculate the equivalent daily payment of a</w:t>
      </w:r>
      <w:r>
        <w:rPr>
          <w:rFonts w:asciiTheme="minorHAnsi" w:hAnsiTheme="minorHAnsi" w:cstheme="minorHAnsi"/>
          <w:color w:val="404040" w:themeColor="text1" w:themeTint="BF"/>
          <w:sz w:val="18"/>
          <w:szCs w:val="18"/>
        </w:rPr>
        <w:t xml:space="preserve"> lump sum</w:t>
      </w:r>
      <w:r w:rsidRPr="002C6887">
        <w:rPr>
          <w:rFonts w:asciiTheme="minorHAnsi" w:hAnsiTheme="minorHAnsi" w:cstheme="minorHAnsi"/>
          <w:color w:val="404040" w:themeColor="text1" w:themeTint="BF"/>
          <w:sz w:val="18"/>
          <w:szCs w:val="18"/>
        </w:rPr>
        <w:t xml:space="preserve">. The </w:t>
      </w:r>
      <w:r>
        <w:rPr>
          <w:rFonts w:asciiTheme="minorHAnsi" w:hAnsiTheme="minorHAnsi" w:cstheme="minorHAnsi"/>
          <w:color w:val="404040" w:themeColor="text1" w:themeTint="BF"/>
          <w:sz w:val="18"/>
          <w:szCs w:val="18"/>
        </w:rPr>
        <w:t>lump sum</w:t>
      </w:r>
      <w:r w:rsidRPr="002C6887">
        <w:rPr>
          <w:rFonts w:asciiTheme="minorHAnsi" w:hAnsiTheme="minorHAnsi" w:cstheme="minorHAnsi"/>
          <w:color w:val="404040" w:themeColor="text1" w:themeTint="BF"/>
          <w:sz w:val="18"/>
          <w:szCs w:val="18"/>
        </w:rPr>
        <w:t xml:space="preserve"> amount is multiplied by the MPIR and divided by 365 days</w:t>
      </w:r>
      <w:r>
        <w:rPr>
          <w:rFonts w:asciiTheme="minorHAnsi" w:hAnsiTheme="minorHAnsi" w:cstheme="minorHAnsi"/>
          <w:color w:val="404040" w:themeColor="text1" w:themeTint="BF"/>
          <w:sz w:val="18"/>
          <w:szCs w:val="18"/>
        </w:rPr>
        <w:t xml:space="preserve"> to calculate the equivalent daily payment</w:t>
      </w:r>
      <w:r w:rsidRPr="002C6887">
        <w:rPr>
          <w:rFonts w:asciiTheme="minorHAnsi" w:hAnsiTheme="minorHAnsi" w:cstheme="minorHAnsi"/>
          <w:color w:val="404040" w:themeColor="text1" w:themeTint="BF"/>
          <w:sz w:val="18"/>
          <w:szCs w:val="18"/>
        </w:rPr>
        <w:t xml:space="preserve">. The MPIR is determined in accordance with Section 6 of the </w:t>
      </w:r>
      <w:r w:rsidRPr="002C6887">
        <w:rPr>
          <w:rFonts w:asciiTheme="minorHAnsi" w:hAnsiTheme="minorHAnsi" w:cstheme="minorHAnsi"/>
          <w:i/>
          <w:color w:val="404040" w:themeColor="text1" w:themeTint="BF"/>
          <w:sz w:val="18"/>
          <w:szCs w:val="18"/>
        </w:rPr>
        <w:t>Fees and Payments Principles 2014 (No. 2).</w:t>
      </w:r>
      <w:r w:rsidRPr="002C6887">
        <w:rPr>
          <w:rFonts w:asciiTheme="minorHAnsi" w:hAnsiTheme="minorHAnsi" w:cstheme="minorHAnsi"/>
          <w:color w:val="404040" w:themeColor="text1" w:themeTint="BF"/>
          <w:sz w:val="18"/>
          <w:szCs w:val="18"/>
        </w:rPr>
        <w:t xml:space="preserve"> The MPIR is available on the Department of Health website and is </w:t>
      </w:r>
      <w:r>
        <w:rPr>
          <w:rFonts w:asciiTheme="minorHAnsi" w:hAnsiTheme="minorHAnsi" w:cstheme="minorHAnsi"/>
          <w:color w:val="404040" w:themeColor="text1" w:themeTint="BF"/>
          <w:sz w:val="18"/>
          <w:szCs w:val="18"/>
        </w:rPr>
        <w:t>reviewed</w:t>
      </w:r>
      <w:r w:rsidRPr="002C6887">
        <w:rPr>
          <w:rFonts w:asciiTheme="minorHAnsi" w:hAnsiTheme="minorHAnsi" w:cstheme="minorHAnsi"/>
          <w:color w:val="404040" w:themeColor="text1" w:themeTint="BF"/>
          <w:sz w:val="18"/>
          <w:szCs w:val="18"/>
        </w:rPr>
        <w:t xml:space="preserve"> every three months.</w:t>
      </w:r>
    </w:p>
  </w:footnote>
  <w:footnote w:id="2">
    <w:p w:rsidR="00861FD3" w:rsidRPr="00FE0CF6" w:rsidRDefault="00861FD3" w:rsidP="00CE1469">
      <w:pPr>
        <w:rPr>
          <w:rFonts w:ascii="Segoe UI" w:hAnsi="Segoe UI" w:cs="Segoe UI"/>
        </w:rPr>
      </w:pPr>
      <w:r>
        <w:rPr>
          <w:rStyle w:val="FootnoteReference"/>
        </w:rPr>
        <w:footnoteRef/>
      </w:r>
      <w:r>
        <w:t xml:space="preserve"> </w:t>
      </w:r>
      <w:r w:rsidRPr="00FE0CF6">
        <w:rPr>
          <w:rFonts w:ascii="Segoe UI" w:hAnsi="Segoe UI" w:cs="Segoe UI"/>
        </w:rPr>
        <w:t>For aged care purposes a protected person is:</w:t>
      </w:r>
    </w:p>
    <w:p w:rsidR="00861FD3" w:rsidRPr="00FE0CF6" w:rsidRDefault="00861FD3" w:rsidP="002056EC">
      <w:pPr>
        <w:spacing w:before="0" w:after="0"/>
        <w:rPr>
          <w:rFonts w:ascii="Segoe UI" w:hAnsi="Segoe UI" w:cs="Segoe UI"/>
        </w:rPr>
      </w:pPr>
      <w:r w:rsidRPr="00FE0CF6">
        <w:rPr>
          <w:rFonts w:ascii="Segoe UI" w:hAnsi="Segoe UI" w:cs="Segoe UI"/>
        </w:rPr>
        <w:t>(a) the *partner or a *dependent child of the person; or</w:t>
      </w:r>
    </w:p>
    <w:p w:rsidR="00861FD3" w:rsidRPr="00FE0CF6" w:rsidRDefault="00861FD3" w:rsidP="00CE1469">
      <w:pPr>
        <w:spacing w:before="0" w:after="0"/>
        <w:rPr>
          <w:rFonts w:ascii="Segoe UI" w:hAnsi="Segoe UI" w:cs="Segoe UI"/>
        </w:rPr>
      </w:pPr>
      <w:r w:rsidRPr="00FE0CF6">
        <w:rPr>
          <w:rFonts w:ascii="Segoe UI" w:hAnsi="Segoe UI" w:cs="Segoe UI"/>
        </w:rPr>
        <w:t>(b) a carer of the person who:</w:t>
      </w:r>
    </w:p>
    <w:p w:rsidR="00861FD3" w:rsidRPr="00FE0CF6" w:rsidRDefault="00861FD3" w:rsidP="00CE1469">
      <w:pPr>
        <w:spacing w:before="0" w:after="0"/>
        <w:rPr>
          <w:rFonts w:ascii="Segoe UI" w:hAnsi="Segoe UI" w:cs="Segoe UI"/>
        </w:rPr>
      </w:pPr>
      <w:r w:rsidRPr="00FE0CF6">
        <w:rPr>
          <w:rFonts w:ascii="Segoe UI" w:hAnsi="Segoe UI" w:cs="Segoe UI"/>
        </w:rPr>
        <w:t>(i) had occupied the home for the past 2 years; and</w:t>
      </w:r>
    </w:p>
    <w:p w:rsidR="00861FD3" w:rsidRPr="00FE0CF6" w:rsidRDefault="00861FD3" w:rsidP="00CE1469">
      <w:pPr>
        <w:spacing w:before="0" w:after="0"/>
        <w:rPr>
          <w:rFonts w:ascii="Segoe UI" w:hAnsi="Segoe UI" w:cs="Segoe UI"/>
        </w:rPr>
      </w:pPr>
      <w:r w:rsidRPr="00FE0CF6">
        <w:rPr>
          <w:rFonts w:ascii="Segoe UI" w:hAnsi="Segoe UI" w:cs="Segoe UI"/>
        </w:rPr>
        <w:t>(ii) was eligible to receive an *income support payment at the time; or</w:t>
      </w:r>
    </w:p>
    <w:p w:rsidR="00861FD3" w:rsidRPr="00FE0CF6" w:rsidRDefault="00861FD3" w:rsidP="00CE1469">
      <w:pPr>
        <w:spacing w:before="0" w:after="0"/>
        <w:rPr>
          <w:rFonts w:ascii="Segoe UI" w:hAnsi="Segoe UI" w:cs="Segoe UI"/>
        </w:rPr>
      </w:pPr>
      <w:r w:rsidRPr="00FE0CF6">
        <w:rPr>
          <w:rFonts w:ascii="Segoe UI" w:hAnsi="Segoe UI" w:cs="Segoe UI"/>
        </w:rPr>
        <w:t>(c) a *close relation of the person who:</w:t>
      </w:r>
    </w:p>
    <w:p w:rsidR="00861FD3" w:rsidRPr="00FE0CF6" w:rsidRDefault="00861FD3" w:rsidP="00CE1469">
      <w:pPr>
        <w:spacing w:before="0" w:after="0"/>
        <w:rPr>
          <w:rFonts w:ascii="Segoe UI" w:hAnsi="Segoe UI" w:cs="Segoe UI"/>
        </w:rPr>
      </w:pPr>
      <w:r w:rsidRPr="00FE0CF6">
        <w:rPr>
          <w:rFonts w:ascii="Segoe UI" w:hAnsi="Segoe UI" w:cs="Segoe UI"/>
        </w:rPr>
        <w:t>(i) had occupied the home for the past 5 years; and</w:t>
      </w:r>
    </w:p>
    <w:p w:rsidR="00861FD3" w:rsidRPr="00FE0CF6" w:rsidRDefault="00861FD3" w:rsidP="00CE1469">
      <w:pPr>
        <w:spacing w:before="0" w:after="0"/>
        <w:rPr>
          <w:rFonts w:ascii="Segoe UI" w:hAnsi="Segoe UI" w:cs="Segoe UI"/>
        </w:rPr>
      </w:pPr>
      <w:r w:rsidRPr="00FE0CF6">
        <w:rPr>
          <w:rFonts w:ascii="Segoe UI" w:hAnsi="Segoe UI" w:cs="Segoe UI"/>
        </w:rPr>
        <w:t>(ii) was eligible to receive an *income support payment at the time.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Pr="00620264" w:rsidRDefault="00861FD3" w:rsidP="00760B91">
    <w:pPr>
      <w:pStyle w:val="Header"/>
      <w:ind w:left="0"/>
      <w:jc w:val="lef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Pr="00B07F68" w:rsidRDefault="00861FD3" w:rsidP="002E0701">
    <w:pPr>
      <w:pStyle w:val="Header"/>
    </w:pPr>
    <w:r w:rsidRPr="003E2D88">
      <w:t>Understanding how consumers plan and finance aged care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FD3" w:rsidRDefault="00861FD3">
    <w:pPr>
      <w:pStyle w:val="Header"/>
    </w:pPr>
    <w:r>
      <w:t>Consumer Finance Project – November 2018</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FA1E05FC"/>
    <w:lvl w:ilvl="0">
      <w:start w:val="1"/>
      <w:numFmt w:val="bullet"/>
      <w:pStyle w:val="ListBullet4"/>
      <w:lvlText w:val="-"/>
      <w:lvlJc w:val="left"/>
      <w:pPr>
        <w:tabs>
          <w:tab w:val="num" w:pos="680"/>
        </w:tabs>
        <w:ind w:left="680" w:hanging="340"/>
      </w:pPr>
      <w:rPr>
        <w:rFonts w:ascii="9999999" w:hAnsi="9999999" w:cs="Courier New" w:hint="default"/>
      </w:rPr>
    </w:lvl>
  </w:abstractNum>
  <w:abstractNum w:abstractNumId="1" w15:restartNumberingAfterBreak="0">
    <w:nsid w:val="FFFFFF82"/>
    <w:multiLevelType w:val="singleLevel"/>
    <w:tmpl w:val="09DC7A00"/>
    <w:lvl w:ilvl="0">
      <w:start w:val="1"/>
      <w:numFmt w:val="bullet"/>
      <w:pStyle w:val="ListBullet3"/>
      <w:lvlText w:val=""/>
      <w:lvlJc w:val="left"/>
      <w:pPr>
        <w:tabs>
          <w:tab w:val="num" w:pos="340"/>
        </w:tabs>
        <w:ind w:left="340" w:hanging="340"/>
      </w:pPr>
      <w:rPr>
        <w:rFonts w:ascii="Symbol" w:hAnsi="Symbol" w:hint="default"/>
        <w:color w:val="auto"/>
        <w:sz w:val="18"/>
        <w:szCs w:val="18"/>
      </w:rPr>
    </w:lvl>
  </w:abstractNum>
  <w:abstractNum w:abstractNumId="2" w15:restartNumberingAfterBreak="0">
    <w:nsid w:val="FFFFFF89"/>
    <w:multiLevelType w:val="singleLevel"/>
    <w:tmpl w:val="C0226EE6"/>
    <w:lvl w:ilvl="0">
      <w:start w:val="1"/>
      <w:numFmt w:val="bullet"/>
      <w:lvlText w:val=""/>
      <w:lvlJc w:val="left"/>
      <w:pPr>
        <w:tabs>
          <w:tab w:val="num" w:pos="340"/>
        </w:tabs>
        <w:ind w:left="340" w:hanging="340"/>
      </w:pPr>
      <w:rPr>
        <w:rFonts w:ascii="Symbol" w:hAnsi="Symbol" w:hint="default"/>
        <w:color w:val="auto"/>
        <w:sz w:val="22"/>
      </w:rPr>
    </w:lvl>
  </w:abstractNum>
  <w:abstractNum w:abstractNumId="3" w15:restartNumberingAfterBreak="0">
    <w:nsid w:val="005621E0"/>
    <w:multiLevelType w:val="hybridMultilevel"/>
    <w:tmpl w:val="54ACB7E0"/>
    <w:lvl w:ilvl="0" w:tplc="1D6E4A86">
      <w:start w:val="1"/>
      <w:numFmt w:val="bullet"/>
      <w:pStyle w:val="ListBullet"/>
      <w:lvlText w:val=""/>
      <w:lvlJc w:val="left"/>
      <w:pPr>
        <w:tabs>
          <w:tab w:val="num" w:pos="340"/>
        </w:tabs>
        <w:ind w:left="340" w:hanging="340"/>
      </w:pPr>
      <w:rPr>
        <w:rFonts w:ascii="Symbol" w:hAnsi="Symbol" w:hint="default"/>
        <w:color w:val="000080"/>
        <w:sz w:val="22"/>
      </w:rPr>
    </w:lvl>
    <w:lvl w:ilvl="1" w:tplc="D91E08B0">
      <w:start w:val="1"/>
      <w:numFmt w:val="bullet"/>
      <w:lvlText w:val=""/>
      <w:lvlJc w:val="left"/>
      <w:pPr>
        <w:tabs>
          <w:tab w:val="num" w:pos="340"/>
        </w:tabs>
        <w:ind w:left="340" w:hanging="340"/>
      </w:pPr>
      <w:rPr>
        <w:rFonts w:ascii="Symbol" w:hAnsi="Symbol" w:hint="default"/>
        <w:color w:val="000080"/>
        <w:sz w:val="22"/>
      </w:rPr>
    </w:lvl>
    <w:lvl w:ilvl="2" w:tplc="AEC080A8" w:tentative="1">
      <w:start w:val="1"/>
      <w:numFmt w:val="bullet"/>
      <w:lvlText w:val=""/>
      <w:lvlJc w:val="left"/>
      <w:pPr>
        <w:tabs>
          <w:tab w:val="num" w:pos="2160"/>
        </w:tabs>
        <w:ind w:left="2160" w:hanging="360"/>
      </w:pPr>
      <w:rPr>
        <w:rFonts w:ascii="Wingdings" w:hAnsi="Wingdings" w:hint="default"/>
      </w:rPr>
    </w:lvl>
    <w:lvl w:ilvl="3" w:tplc="308E447C" w:tentative="1">
      <w:start w:val="1"/>
      <w:numFmt w:val="bullet"/>
      <w:lvlText w:val=""/>
      <w:lvlJc w:val="left"/>
      <w:pPr>
        <w:tabs>
          <w:tab w:val="num" w:pos="2880"/>
        </w:tabs>
        <w:ind w:left="2880" w:hanging="360"/>
      </w:pPr>
      <w:rPr>
        <w:rFonts w:ascii="Symbol" w:hAnsi="Symbol" w:hint="default"/>
      </w:rPr>
    </w:lvl>
    <w:lvl w:ilvl="4" w:tplc="A91632C4" w:tentative="1">
      <w:start w:val="1"/>
      <w:numFmt w:val="bullet"/>
      <w:lvlText w:val="o"/>
      <w:lvlJc w:val="left"/>
      <w:pPr>
        <w:tabs>
          <w:tab w:val="num" w:pos="3600"/>
        </w:tabs>
        <w:ind w:left="3600" w:hanging="360"/>
      </w:pPr>
      <w:rPr>
        <w:rFonts w:ascii="Courier New" w:hAnsi="Courier New" w:cs="Courier New" w:hint="default"/>
      </w:rPr>
    </w:lvl>
    <w:lvl w:ilvl="5" w:tplc="0D608AD0" w:tentative="1">
      <w:start w:val="1"/>
      <w:numFmt w:val="bullet"/>
      <w:lvlText w:val=""/>
      <w:lvlJc w:val="left"/>
      <w:pPr>
        <w:tabs>
          <w:tab w:val="num" w:pos="4320"/>
        </w:tabs>
        <w:ind w:left="4320" w:hanging="360"/>
      </w:pPr>
      <w:rPr>
        <w:rFonts w:ascii="Wingdings" w:hAnsi="Wingdings" w:hint="default"/>
      </w:rPr>
    </w:lvl>
    <w:lvl w:ilvl="6" w:tplc="F3E648D2" w:tentative="1">
      <w:start w:val="1"/>
      <w:numFmt w:val="bullet"/>
      <w:lvlText w:val=""/>
      <w:lvlJc w:val="left"/>
      <w:pPr>
        <w:tabs>
          <w:tab w:val="num" w:pos="5040"/>
        </w:tabs>
        <w:ind w:left="5040" w:hanging="360"/>
      </w:pPr>
      <w:rPr>
        <w:rFonts w:ascii="Symbol" w:hAnsi="Symbol" w:hint="default"/>
      </w:rPr>
    </w:lvl>
    <w:lvl w:ilvl="7" w:tplc="155CC108" w:tentative="1">
      <w:start w:val="1"/>
      <w:numFmt w:val="bullet"/>
      <w:lvlText w:val="o"/>
      <w:lvlJc w:val="left"/>
      <w:pPr>
        <w:tabs>
          <w:tab w:val="num" w:pos="5760"/>
        </w:tabs>
        <w:ind w:left="5760" w:hanging="360"/>
      </w:pPr>
      <w:rPr>
        <w:rFonts w:ascii="Courier New" w:hAnsi="Courier New" w:cs="Courier New" w:hint="default"/>
      </w:rPr>
    </w:lvl>
    <w:lvl w:ilvl="8" w:tplc="C7EC495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2BD4EC6"/>
    <w:multiLevelType w:val="singleLevel"/>
    <w:tmpl w:val="AE708B28"/>
    <w:lvl w:ilvl="0">
      <w:start w:val="1"/>
      <w:numFmt w:val="bullet"/>
      <w:lvlText w:val=""/>
      <w:lvlJc w:val="left"/>
      <w:pPr>
        <w:tabs>
          <w:tab w:val="num" w:pos="340"/>
        </w:tabs>
        <w:ind w:left="340" w:hanging="340"/>
      </w:pPr>
      <w:rPr>
        <w:rFonts w:ascii="Symbol" w:hAnsi="Symbol" w:hint="default"/>
        <w:color w:val="000080"/>
        <w:sz w:val="22"/>
      </w:rPr>
    </w:lvl>
  </w:abstractNum>
  <w:abstractNum w:abstractNumId="5" w15:restartNumberingAfterBreak="0">
    <w:nsid w:val="04600CA9"/>
    <w:multiLevelType w:val="multilevel"/>
    <w:tmpl w:val="0EE4C7F8"/>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04"/>
        </w:tabs>
        <w:ind w:left="1004" w:hanging="1004"/>
      </w:pPr>
      <w:rPr>
        <w:rFonts w:hint="default"/>
      </w:rPr>
    </w:lvl>
    <w:lvl w:ilvl="3">
      <w:start w:val="1"/>
      <w:numFmt w:val="decimal"/>
      <w:lvlText w:val="%1.%2.%3.%4"/>
      <w:lvlJc w:val="left"/>
      <w:pPr>
        <w:tabs>
          <w:tab w:val="num" w:pos="720"/>
        </w:tabs>
        <w:ind w:left="720" w:hanging="720"/>
      </w:pPr>
      <w:rPr>
        <w:rFonts w:hint="default"/>
      </w:rPr>
    </w:lvl>
    <w:lvl w:ilvl="4">
      <w:start w:val="1"/>
      <w:numFmt w:val="none"/>
      <w:lvlRestart w:val="1"/>
      <w:suff w:val="nothing"/>
      <w:lvlText w:val=""/>
      <w:lvlJc w:val="left"/>
      <w:pPr>
        <w:ind w:left="0" w:firstLine="0"/>
      </w:pPr>
      <w:rPr>
        <w:rFonts w:hint="default"/>
        <w:b/>
        <w:i w:val="0"/>
      </w:rPr>
    </w:lvl>
    <w:lvl w:ilvl="5">
      <w:start w:val="1"/>
      <w:numFmt w:val="none"/>
      <w:lvlRestart w:val="1"/>
      <w:suff w:val="nothing"/>
      <w:lvlText w:val=""/>
      <w:lvlJc w:val="left"/>
      <w:pPr>
        <w:ind w:left="0" w:firstLine="0"/>
      </w:pPr>
      <w:rPr>
        <w:rFonts w:hint="default"/>
        <w:b/>
        <w:i w:val="0"/>
      </w:rPr>
    </w:lvl>
    <w:lvl w:ilvl="6">
      <w:start w:val="1"/>
      <w:numFmt w:val="none"/>
      <w:lvlRestart w:val="1"/>
      <w:suff w:val="nothing"/>
      <w:lvlText w:val=""/>
      <w:lvlJc w:val="left"/>
      <w:pPr>
        <w:ind w:left="0" w:firstLine="0"/>
      </w:pPr>
      <w:rPr>
        <w:rFonts w:hint="default"/>
        <w:b/>
        <w:i w:val="0"/>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04BB2143"/>
    <w:multiLevelType w:val="hybridMultilevel"/>
    <w:tmpl w:val="E944959C"/>
    <w:lvl w:ilvl="0" w:tplc="0408ED96">
      <w:start w:val="1"/>
      <w:numFmt w:val="decimal"/>
      <w:lvlText w:val="%1."/>
      <w:lvlJc w:val="left"/>
      <w:pPr>
        <w:tabs>
          <w:tab w:val="num" w:pos="360"/>
        </w:tabs>
        <w:ind w:left="360" w:hanging="360"/>
      </w:pPr>
      <w:rPr>
        <w:rFonts w:hint="default"/>
      </w:rPr>
    </w:lvl>
    <w:lvl w:ilvl="1" w:tplc="8D627CC6">
      <w:start w:val="1"/>
      <w:numFmt w:val="bullet"/>
      <w:pStyle w:val="bodyindentbullet1"/>
      <w:lvlText w:val=""/>
      <w:lvlJc w:val="left"/>
      <w:pPr>
        <w:tabs>
          <w:tab w:val="num" w:pos="340"/>
        </w:tabs>
        <w:ind w:left="340" w:hanging="340"/>
      </w:pPr>
      <w:rPr>
        <w:rFonts w:ascii="Symbol" w:hAnsi="Symbol" w:hint="default"/>
        <w:color w:val="000080"/>
        <w:sz w:val="22"/>
      </w:rPr>
    </w:lvl>
    <w:lvl w:ilvl="2" w:tplc="0C090005">
      <w:start w:val="1"/>
      <w:numFmt w:val="lowerRoman"/>
      <w:lvlText w:val="%3."/>
      <w:lvlJc w:val="right"/>
      <w:pPr>
        <w:tabs>
          <w:tab w:val="num" w:pos="1800"/>
        </w:tabs>
        <w:ind w:left="1800" w:hanging="180"/>
      </w:pPr>
    </w:lvl>
    <w:lvl w:ilvl="3" w:tplc="0C090001" w:tentative="1">
      <w:start w:val="1"/>
      <w:numFmt w:val="decimal"/>
      <w:lvlText w:val="%4."/>
      <w:lvlJc w:val="left"/>
      <w:pPr>
        <w:tabs>
          <w:tab w:val="num" w:pos="2520"/>
        </w:tabs>
        <w:ind w:left="2520" w:hanging="360"/>
      </w:pPr>
    </w:lvl>
    <w:lvl w:ilvl="4" w:tplc="0C090003" w:tentative="1">
      <w:start w:val="1"/>
      <w:numFmt w:val="lowerLetter"/>
      <w:lvlText w:val="%5."/>
      <w:lvlJc w:val="left"/>
      <w:pPr>
        <w:tabs>
          <w:tab w:val="num" w:pos="3240"/>
        </w:tabs>
        <w:ind w:left="3240" w:hanging="360"/>
      </w:pPr>
    </w:lvl>
    <w:lvl w:ilvl="5" w:tplc="0C090005" w:tentative="1">
      <w:start w:val="1"/>
      <w:numFmt w:val="lowerRoman"/>
      <w:lvlText w:val="%6."/>
      <w:lvlJc w:val="right"/>
      <w:pPr>
        <w:tabs>
          <w:tab w:val="num" w:pos="3960"/>
        </w:tabs>
        <w:ind w:left="3960" w:hanging="180"/>
      </w:pPr>
    </w:lvl>
    <w:lvl w:ilvl="6" w:tplc="0C090001" w:tentative="1">
      <w:start w:val="1"/>
      <w:numFmt w:val="decimal"/>
      <w:lvlText w:val="%7."/>
      <w:lvlJc w:val="left"/>
      <w:pPr>
        <w:tabs>
          <w:tab w:val="num" w:pos="4680"/>
        </w:tabs>
        <w:ind w:left="4680" w:hanging="360"/>
      </w:pPr>
    </w:lvl>
    <w:lvl w:ilvl="7" w:tplc="0C090003" w:tentative="1">
      <w:start w:val="1"/>
      <w:numFmt w:val="lowerLetter"/>
      <w:lvlText w:val="%8."/>
      <w:lvlJc w:val="left"/>
      <w:pPr>
        <w:tabs>
          <w:tab w:val="num" w:pos="5400"/>
        </w:tabs>
        <w:ind w:left="5400" w:hanging="360"/>
      </w:pPr>
    </w:lvl>
    <w:lvl w:ilvl="8" w:tplc="0C090005" w:tentative="1">
      <w:start w:val="1"/>
      <w:numFmt w:val="lowerRoman"/>
      <w:lvlText w:val="%9."/>
      <w:lvlJc w:val="right"/>
      <w:pPr>
        <w:tabs>
          <w:tab w:val="num" w:pos="6120"/>
        </w:tabs>
        <w:ind w:left="6120" w:hanging="180"/>
      </w:pPr>
    </w:lvl>
  </w:abstractNum>
  <w:abstractNum w:abstractNumId="7" w15:restartNumberingAfterBreak="0">
    <w:nsid w:val="05FA7419"/>
    <w:multiLevelType w:val="multilevel"/>
    <w:tmpl w:val="D182E8A2"/>
    <w:numStyleLink w:val="NumberedHeadings1"/>
  </w:abstractNum>
  <w:abstractNum w:abstractNumId="8" w15:restartNumberingAfterBreak="0">
    <w:nsid w:val="0C3D20B7"/>
    <w:multiLevelType w:val="hybridMultilevel"/>
    <w:tmpl w:val="A980483C"/>
    <w:lvl w:ilvl="0" w:tplc="86922E3A">
      <w:start w:val="1"/>
      <w:numFmt w:val="decimal"/>
      <w:lvlText w:val="%1."/>
      <w:lvlJc w:val="left"/>
      <w:pPr>
        <w:ind w:left="720" w:hanging="360"/>
      </w:pPr>
      <w:rPr>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1F497D" w:themeColor="text2"/>
      </w:rPr>
    </w:lvl>
    <w:lvl w:ilvl="2">
      <w:start w:val="1"/>
      <w:numFmt w:val="bullet"/>
      <w:lvlText w:val="»"/>
      <w:lvlJc w:val="left"/>
      <w:pPr>
        <w:ind w:left="852" w:hanging="284"/>
      </w:pPr>
      <w:rPr>
        <w:rFonts w:ascii="Arial" w:hAnsi="Arial" w:hint="default"/>
        <w:color w:val="1F497D"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0" w15:restartNumberingAfterBreak="0">
    <w:nsid w:val="10925D11"/>
    <w:multiLevelType w:val="multilevel"/>
    <w:tmpl w:val="CD583808"/>
    <w:lvl w:ilvl="0">
      <w:start w:val="1"/>
      <w:numFmt w:val="bullet"/>
      <w:pStyle w:val="MainBullet"/>
      <w:lvlText w:val=""/>
      <w:lvlJc w:val="left"/>
      <w:pPr>
        <w:tabs>
          <w:tab w:val="num" w:pos="284"/>
        </w:tabs>
        <w:ind w:left="284" w:hanging="284"/>
      </w:pPr>
      <w:rPr>
        <w:rFonts w:ascii="Wingdings" w:hAnsi="Wingdings" w:hint="default"/>
        <w:color w:val="0C2D83"/>
      </w:rPr>
    </w:lvl>
    <w:lvl w:ilvl="1">
      <w:start w:val="1"/>
      <w:numFmt w:val="bullet"/>
      <w:pStyle w:val="Subbullet"/>
      <w:lvlText w:val=""/>
      <w:lvlJc w:val="left"/>
      <w:pPr>
        <w:tabs>
          <w:tab w:val="num" w:pos="567"/>
        </w:tabs>
        <w:ind w:left="567" w:hanging="283"/>
      </w:pPr>
      <w:rPr>
        <w:rFonts w:ascii="Symbol" w:hAnsi="Symbol" w:hint="default"/>
        <w:color w:val="0C2D83"/>
      </w:rPr>
    </w:lvl>
    <w:lvl w:ilvl="2">
      <w:start w:val="1"/>
      <w:numFmt w:val="bullet"/>
      <w:lvlText w:val=""/>
      <w:lvlJc w:val="left"/>
      <w:pPr>
        <w:tabs>
          <w:tab w:val="num" w:pos="851"/>
        </w:tabs>
        <w:ind w:left="851" w:hanging="284"/>
      </w:pPr>
      <w:rPr>
        <w:rFonts w:ascii="Symbol" w:hAnsi="Symbol" w:hint="default"/>
        <w:color w:val="0C2D83"/>
      </w:rPr>
    </w:lvl>
    <w:lvl w:ilvl="3">
      <w:start w:val="1"/>
      <w:numFmt w:val="bullet"/>
      <w:lvlText w:val=""/>
      <w:lvlJc w:val="left"/>
      <w:pPr>
        <w:tabs>
          <w:tab w:val="num" w:pos="1134"/>
        </w:tabs>
        <w:ind w:left="1134" w:hanging="283"/>
      </w:pPr>
      <w:rPr>
        <w:rFonts w:ascii="Symbol" w:hAnsi="Symbol" w:hint="default"/>
        <w:color w:val="0C2D83"/>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1" w15:restartNumberingAfterBreak="0">
    <w:nsid w:val="10C86D94"/>
    <w:multiLevelType w:val="multilevel"/>
    <w:tmpl w:val="3DE62686"/>
    <w:lvl w:ilvl="0">
      <w:start w:val="1"/>
      <w:numFmt w:val="bullet"/>
      <w:pStyle w:val="Boxed1Bullet2"/>
      <w:lvlText w:val=""/>
      <w:lvlJc w:val="left"/>
      <w:pPr>
        <w:tabs>
          <w:tab w:val="num" w:pos="284"/>
        </w:tabs>
        <w:ind w:left="567" w:hanging="283"/>
      </w:pPr>
      <w:rPr>
        <w:rFonts w:ascii="Symbol" w:hAnsi="Symbol" w:hint="default"/>
        <w:color w:val="92CDDC" w:themeColor="accent5" w:themeTint="99"/>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1F497D" w:themeColor="text2"/>
      </w:rPr>
    </w:lvl>
    <w:lvl w:ilvl="3">
      <w:start w:val="1"/>
      <w:numFmt w:val="bullet"/>
      <w:lvlText w:val="»"/>
      <w:lvlJc w:val="left"/>
      <w:pPr>
        <w:ind w:left="794" w:hanging="510"/>
      </w:pPr>
      <w:rPr>
        <w:rFonts w:ascii="Arial" w:hAnsi="Arial" w:hint="default"/>
        <w:color w:val="1F497D"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2" w15:restartNumberingAfterBreak="0">
    <w:nsid w:val="114E195F"/>
    <w:multiLevelType w:val="hybridMultilevel"/>
    <w:tmpl w:val="212606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7CE7893"/>
    <w:multiLevelType w:val="multilevel"/>
    <w:tmpl w:val="D4904360"/>
    <w:numStyleLink w:val="AppendixNumbers"/>
  </w:abstractNum>
  <w:abstractNum w:abstractNumId="14" w15:restartNumberingAfterBreak="0">
    <w:nsid w:val="19F1618D"/>
    <w:multiLevelType w:val="multilevel"/>
    <w:tmpl w:val="803CF862"/>
    <w:styleLink w:val="List1Numbered"/>
    <w:lvl w:ilvl="0">
      <w:start w:val="1"/>
      <w:numFmt w:val="decimal"/>
      <w:pStyle w:val="List1Numbered1"/>
      <w:lvlText w:val="%1."/>
      <w:lvlJc w:val="left"/>
      <w:pPr>
        <w:ind w:left="284" w:hanging="284"/>
      </w:pPr>
      <w:rPr>
        <w:rFonts w:hint="default"/>
        <w:b w:val="0"/>
        <w:i w:val="0"/>
        <w:color w:val="auto"/>
      </w:rPr>
    </w:lvl>
    <w:lvl w:ilvl="1">
      <w:start w:val="1"/>
      <w:numFmt w:val="lowerLetter"/>
      <w:pStyle w:val="List1Numbered2"/>
      <w:lvlText w:val="%2."/>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5" w15:restartNumberingAfterBreak="0">
    <w:nsid w:val="1CC862E1"/>
    <w:multiLevelType w:val="multilevel"/>
    <w:tmpl w:val="6352A582"/>
    <w:styleLink w:val="FigureNumbers"/>
    <w:lvl w:ilvl="0">
      <w:start w:val="1"/>
      <w:numFmt w:val="decimal"/>
      <w:lvlText w:val="Figure %1."/>
      <w:lvlJc w:val="left"/>
      <w:pPr>
        <w:ind w:left="1134" w:hanging="1134"/>
      </w:pPr>
      <w:rPr>
        <w:rFonts w:hint="default"/>
        <w:b/>
        <w:i w:val="0"/>
        <w:caps w:val="0"/>
        <w:color w:val="4F81BD"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F3E4F23"/>
    <w:multiLevelType w:val="multilevel"/>
    <w:tmpl w:val="DD7675EC"/>
    <w:lvl w:ilvl="0">
      <w:start w:val="1"/>
      <w:numFmt w:val="decimal"/>
      <w:pStyle w:val="Heading2"/>
      <w:lvlText w:val="%1."/>
      <w:lvlJc w:val="left"/>
      <w:pPr>
        <w:tabs>
          <w:tab w:val="num" w:pos="1287"/>
        </w:tabs>
        <w:ind w:left="1287" w:hanging="720"/>
      </w:pPr>
      <w:rPr>
        <w:rFonts w:hint="default"/>
      </w:rPr>
    </w:lvl>
    <w:lvl w:ilvl="1">
      <w:start w:val="1"/>
      <w:numFmt w:val="decimal"/>
      <w:pStyle w:val="Heading3"/>
      <w:lvlText w:val="%1.%2"/>
      <w:lvlJc w:val="left"/>
      <w:pPr>
        <w:tabs>
          <w:tab w:val="num" w:pos="1287"/>
        </w:tabs>
        <w:ind w:left="1247" w:hanging="680"/>
      </w:pPr>
      <w:rPr>
        <w:rFonts w:hint="default"/>
      </w:rPr>
    </w:lvl>
    <w:lvl w:ilvl="2">
      <w:start w:val="1"/>
      <w:numFmt w:val="decimal"/>
      <w:pStyle w:val="Heading4"/>
      <w:lvlText w:val="%1.%2.%3"/>
      <w:lvlJc w:val="left"/>
      <w:pPr>
        <w:tabs>
          <w:tab w:val="num" w:pos="1531"/>
        </w:tabs>
        <w:ind w:left="1531" w:hanging="964"/>
      </w:pPr>
      <w:rPr>
        <w:rFonts w:hint="default"/>
      </w:rPr>
    </w:lvl>
    <w:lvl w:ilvl="3">
      <w:start w:val="1"/>
      <w:numFmt w:val="none"/>
      <w:lvlText w:val=""/>
      <w:lvlJc w:val="left"/>
      <w:pPr>
        <w:tabs>
          <w:tab w:val="num" w:pos="1287"/>
        </w:tabs>
        <w:ind w:left="1287" w:hanging="720"/>
      </w:pPr>
      <w:rPr>
        <w:rFonts w:hint="default"/>
      </w:rPr>
    </w:lvl>
    <w:lvl w:ilvl="4">
      <w:start w:val="1"/>
      <w:numFmt w:val="decimal"/>
      <w:lvlText w:val="%1.%2.%3.%4.%5."/>
      <w:lvlJc w:val="left"/>
      <w:pPr>
        <w:tabs>
          <w:tab w:val="num" w:pos="1287"/>
        </w:tabs>
        <w:ind w:left="1287" w:hanging="720"/>
      </w:pPr>
      <w:rPr>
        <w:rFonts w:hint="default"/>
      </w:rPr>
    </w:lvl>
    <w:lvl w:ilvl="5">
      <w:start w:val="1"/>
      <w:numFmt w:val="decimal"/>
      <w:lvlText w:val="%1.%2.%3.%4.%5.%6."/>
      <w:lvlJc w:val="left"/>
      <w:pPr>
        <w:tabs>
          <w:tab w:val="num" w:pos="1287"/>
        </w:tabs>
        <w:ind w:left="1287" w:hanging="720"/>
      </w:pPr>
      <w:rPr>
        <w:rFonts w:hint="default"/>
      </w:rPr>
    </w:lvl>
    <w:lvl w:ilvl="6">
      <w:start w:val="1"/>
      <w:numFmt w:val="decimal"/>
      <w:lvlText w:val="%1.%2.%3.%4.%5.%6.%7."/>
      <w:lvlJc w:val="left"/>
      <w:pPr>
        <w:tabs>
          <w:tab w:val="num" w:pos="1287"/>
        </w:tabs>
        <w:ind w:left="1287" w:hanging="720"/>
      </w:pPr>
      <w:rPr>
        <w:rFonts w:hint="default"/>
      </w:rPr>
    </w:lvl>
    <w:lvl w:ilvl="7">
      <w:start w:val="1"/>
      <w:numFmt w:val="decimal"/>
      <w:lvlText w:val="%1.%2.%3.%4.%5.%6.%7.%8."/>
      <w:lvlJc w:val="left"/>
      <w:pPr>
        <w:tabs>
          <w:tab w:val="num" w:pos="1287"/>
        </w:tabs>
        <w:ind w:left="1287" w:hanging="720"/>
      </w:pPr>
      <w:rPr>
        <w:rFonts w:hint="default"/>
      </w:rPr>
    </w:lvl>
    <w:lvl w:ilvl="8">
      <w:start w:val="1"/>
      <w:numFmt w:val="decimal"/>
      <w:lvlText w:val="%1.%2.%3.%4.%5.%6.%7.%8.%9."/>
      <w:lvlJc w:val="left"/>
      <w:pPr>
        <w:tabs>
          <w:tab w:val="num" w:pos="1287"/>
        </w:tabs>
        <w:ind w:left="1287" w:hanging="720"/>
      </w:pPr>
      <w:rPr>
        <w:rFonts w:hint="default"/>
      </w:rPr>
    </w:lvl>
  </w:abstractNum>
  <w:abstractNum w:abstractNumId="17"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4F81BD"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14517C0"/>
    <w:multiLevelType w:val="hybridMultilevel"/>
    <w:tmpl w:val="B16AE4CE"/>
    <w:lvl w:ilvl="0" w:tplc="BA94601C">
      <w:start w:val="1"/>
      <w:numFmt w:val="upperLetter"/>
      <w:lvlText w:val="Appendix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7DB3A13"/>
    <w:multiLevelType w:val="multilevel"/>
    <w:tmpl w:val="84845D76"/>
    <w:lvl w:ilvl="0">
      <w:start w:val="1"/>
      <w:numFmt w:val="decimal"/>
      <w:pStyle w:val="Numberedlevel1"/>
      <w:suff w:val="space"/>
      <w:lvlText w:val="%1."/>
      <w:lvlJc w:val="left"/>
      <w:pPr>
        <w:ind w:left="170" w:hanging="170"/>
      </w:pPr>
      <w:rPr>
        <w:rFonts w:ascii="Arial Bold" w:hAnsi="Arial Bold" w:hint="default"/>
        <w:b/>
        <w:i w:val="0"/>
        <w:color w:val="auto"/>
        <w:sz w:val="17"/>
      </w:rPr>
    </w:lvl>
    <w:lvl w:ilvl="1">
      <w:start w:val="1"/>
      <w:numFmt w:val="decimal"/>
      <w:pStyle w:val="Numberedlevel2"/>
      <w:lvlText w:val="%1.%2"/>
      <w:lvlJc w:val="left"/>
      <w:pPr>
        <w:tabs>
          <w:tab w:val="num" w:pos="340"/>
        </w:tabs>
        <w:ind w:left="340" w:hanging="340"/>
      </w:pPr>
      <w:rPr>
        <w:rFonts w:ascii="Arial" w:hAnsi="Arial" w:hint="default"/>
        <w:b w:val="0"/>
        <w:i w:val="0"/>
        <w:color w:val="auto"/>
        <w:sz w:val="14"/>
      </w:rPr>
    </w:lvl>
    <w:lvl w:ilvl="2">
      <w:start w:val="1"/>
      <w:numFmt w:val="decimal"/>
      <w:pStyle w:val="Numberedlevel3"/>
      <w:lvlText w:val="%1.%2.%3"/>
      <w:lvlJc w:val="left"/>
      <w:pPr>
        <w:tabs>
          <w:tab w:val="num" w:pos="737"/>
        </w:tabs>
        <w:ind w:left="737" w:hanging="397"/>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0"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0F01204"/>
    <w:multiLevelType w:val="multilevel"/>
    <w:tmpl w:val="409ACBD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
        </w:tabs>
        <w:ind w:left="72" w:hanging="43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none"/>
      <w:lvlText w:val=""/>
      <w:lvlJc w:val="left"/>
      <w:pPr>
        <w:tabs>
          <w:tab w:val="num" w:pos="0"/>
        </w:tabs>
        <w:ind w:left="0" w:firstLine="0"/>
      </w:pPr>
      <w:rPr>
        <w:rFonts w:hint="default"/>
      </w:rPr>
    </w:lvl>
    <w:lvl w:ilvl="5">
      <w:start w:val="1"/>
      <w:numFmt w:val="none"/>
      <w:pStyle w:val="Heading6"/>
      <w:lvlText w:val=""/>
      <w:lvlJc w:val="left"/>
      <w:pPr>
        <w:tabs>
          <w:tab w:val="num" w:pos="0"/>
        </w:tabs>
        <w:ind w:left="0" w:firstLine="0"/>
      </w:pPr>
      <w:rPr>
        <w:rFonts w:hint="default"/>
      </w:rPr>
    </w:lvl>
    <w:lvl w:ilvl="6">
      <w:start w:val="1"/>
      <w:numFmt w:val="none"/>
      <w:pStyle w:val="Heading7"/>
      <w:lvlText w:val=""/>
      <w:lvlJc w:val="left"/>
      <w:pPr>
        <w:tabs>
          <w:tab w:val="num" w:pos="0"/>
        </w:tabs>
        <w:ind w:left="0" w:firstLine="0"/>
      </w:pPr>
      <w:rPr>
        <w:rFonts w:hint="default"/>
      </w:rPr>
    </w:lvl>
    <w:lvl w:ilvl="7">
      <w:start w:val="1"/>
      <w:numFmt w:val="none"/>
      <w:pStyle w:val="Heading8"/>
      <w:lvlText w:val=""/>
      <w:lvlJc w:val="left"/>
      <w:pPr>
        <w:tabs>
          <w:tab w:val="num" w:pos="0"/>
        </w:tabs>
        <w:ind w:left="0" w:firstLine="0"/>
      </w:pPr>
      <w:rPr>
        <w:rFonts w:hint="default"/>
      </w:rPr>
    </w:lvl>
    <w:lvl w:ilvl="8">
      <w:start w:val="1"/>
      <w:numFmt w:val="none"/>
      <w:pStyle w:val="Heading9"/>
      <w:lvlText w:val=""/>
      <w:lvlJc w:val="left"/>
      <w:pPr>
        <w:ind w:left="0" w:firstLine="0"/>
      </w:pPr>
      <w:rPr>
        <w:rFonts w:hint="default"/>
      </w:rPr>
    </w:lvl>
  </w:abstractNum>
  <w:abstractNum w:abstractNumId="22" w15:restartNumberingAfterBreak="0">
    <w:nsid w:val="31D03DA2"/>
    <w:multiLevelType w:val="multilevel"/>
    <w:tmpl w:val="E5DA9592"/>
    <w:lvl w:ilvl="0">
      <w:start w:val="1"/>
      <w:numFmt w:val="decimal"/>
      <w:pStyle w:val="Numberbullet1stlevel"/>
      <w:lvlText w:val="%1)"/>
      <w:lvlJc w:val="left"/>
      <w:pPr>
        <w:tabs>
          <w:tab w:val="num" w:pos="340"/>
        </w:tabs>
        <w:ind w:left="340" w:hanging="340"/>
      </w:pPr>
      <w:rPr>
        <w:rFonts w:hint="default"/>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23"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1F497D" w:themeColor="text2"/>
      </w:rPr>
    </w:lvl>
    <w:lvl w:ilvl="3">
      <w:start w:val="1"/>
      <w:numFmt w:val="bullet"/>
      <w:lvlText w:val="»"/>
      <w:lvlJc w:val="left"/>
      <w:pPr>
        <w:ind w:left="794" w:hanging="510"/>
      </w:pPr>
      <w:rPr>
        <w:rFonts w:ascii="Arial" w:hAnsi="Arial" w:hint="default"/>
        <w:color w:val="1F497D"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4" w15:restartNumberingAfterBreak="0">
    <w:nsid w:val="44675AAE"/>
    <w:multiLevelType w:val="hybridMultilevel"/>
    <w:tmpl w:val="32B0FBFC"/>
    <w:lvl w:ilvl="0" w:tplc="272C139C">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487152BB"/>
    <w:multiLevelType w:val="hybridMultilevel"/>
    <w:tmpl w:val="D452DE3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4B071B21"/>
    <w:multiLevelType w:val="multilevel"/>
    <w:tmpl w:val="BD223A56"/>
    <w:lvl w:ilvl="0">
      <w:start w:val="1"/>
      <w:numFmt w:val="decimal"/>
      <w:lvlText w:val="%1."/>
      <w:lvlJc w:val="left"/>
      <w:pPr>
        <w:tabs>
          <w:tab w:val="num" w:pos="340"/>
        </w:tabs>
        <w:ind w:left="340" w:hanging="340"/>
      </w:pPr>
      <w:rPr>
        <w:rFonts w:ascii="Univers 45 Light" w:hAnsi="Univers 45 Light" w:hint="default"/>
        <w:b w:val="0"/>
        <w:i w:val="0"/>
        <w:sz w:val="24"/>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27" w15:restartNumberingAfterBreak="0">
    <w:nsid w:val="535249AF"/>
    <w:multiLevelType w:val="multilevel"/>
    <w:tmpl w:val="D4904360"/>
    <w:styleLink w:val="AppendixNumbers"/>
    <w:lvl w:ilvl="0">
      <w:start w:val="1"/>
      <w:numFmt w:val="upperLetter"/>
      <w:pStyle w:val="AppendixNumbered"/>
      <w:suff w:val="space"/>
      <w:lvlText w:val="Appendix %1"/>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15:restartNumberingAfterBreak="0">
    <w:nsid w:val="55AB458C"/>
    <w:multiLevelType w:val="multilevel"/>
    <w:tmpl w:val="7F405858"/>
    <w:lvl w:ilvl="0">
      <w:start w:val="1"/>
      <w:numFmt w:val="upperLetter"/>
      <w:pStyle w:val="AppendixHeading"/>
      <w:suff w:val="nothing"/>
      <w:lvlText w:val="Appendix %1"/>
      <w:lvlJc w:val="left"/>
      <w:pPr>
        <w:ind w:left="0" w:firstLine="0"/>
      </w:pPr>
      <w:rPr>
        <w:rFonts w:hint="default"/>
      </w:rPr>
    </w:lvl>
    <w:lvl w:ilvl="1">
      <w:start w:val="1"/>
      <w:numFmt w:val="decimal"/>
      <w:pStyle w:val="AppendixHeading3"/>
      <w:lvlText w:val="%1.%2"/>
      <w:lvlJc w:val="left"/>
      <w:pPr>
        <w:tabs>
          <w:tab w:val="num" w:pos="720"/>
        </w:tabs>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6DB5F4C"/>
    <w:multiLevelType w:val="multilevel"/>
    <w:tmpl w:val="D182E8A2"/>
    <w:styleLink w:val="NumberedHeadings1"/>
    <w:lvl w:ilvl="0">
      <w:start w:val="1"/>
      <w:numFmt w:val="decimal"/>
      <w:lvlText w:val="%1."/>
      <w:lvlJc w:val="left"/>
      <w:pPr>
        <w:ind w:left="567" w:hanging="567"/>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1134" w:hanging="1134"/>
      </w:pPr>
      <w:rPr>
        <w:rFonts w:hint="default"/>
      </w:rPr>
    </w:lvl>
    <w:lvl w:ilvl="4">
      <w:start w:val="1"/>
      <w:numFmt w:val="decimal"/>
      <w:lvlRestart w:val="1"/>
      <w:pStyle w:val="FigureTitle"/>
      <w:lvlText w:val="Figure %1.%5"/>
      <w:lvlJc w:val="left"/>
      <w:pPr>
        <w:ind w:left="1418" w:hanging="1418"/>
      </w:pPr>
      <w:rPr>
        <w:rFonts w:hint="default"/>
        <w:b/>
        <w:i w:val="0"/>
      </w:rPr>
    </w:lvl>
    <w:lvl w:ilvl="5">
      <w:start w:val="1"/>
      <w:numFmt w:val="decimal"/>
      <w:lvlRestart w:val="1"/>
      <w:pStyle w:val="TableTitle"/>
      <w:lvlText w:val="Table %1.%6"/>
      <w:lvlJc w:val="left"/>
      <w:pPr>
        <w:ind w:left="1701" w:hanging="1701"/>
      </w:pPr>
      <w:rPr>
        <w:rFonts w:hint="default"/>
        <w:b/>
        <w:i w:val="0"/>
      </w:rPr>
    </w:lvl>
    <w:lvl w:ilvl="6">
      <w:start w:val="1"/>
      <w:numFmt w:val="decimal"/>
      <w:lvlRestart w:val="1"/>
      <w:pStyle w:val="ChartTitle"/>
      <w:lvlText w:val="Chart %1.%7"/>
      <w:lvlJc w:val="left"/>
      <w:pPr>
        <w:ind w:left="1701" w:hanging="1701"/>
      </w:pPr>
      <w:rPr>
        <w:rFonts w:hint="default"/>
        <w:b/>
        <w:i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8615703"/>
    <w:multiLevelType w:val="multilevel"/>
    <w:tmpl w:val="803CF862"/>
    <w:numStyleLink w:val="List1Numbered"/>
  </w:abstractNum>
  <w:abstractNum w:abstractNumId="31" w15:restartNumberingAfterBreak="0">
    <w:nsid w:val="59DE59DB"/>
    <w:multiLevelType w:val="hybridMultilevel"/>
    <w:tmpl w:val="31C249F0"/>
    <w:lvl w:ilvl="0" w:tplc="44165FFE">
      <w:start w:val="1"/>
      <w:numFmt w:val="bullet"/>
      <w:pStyle w:val="TTableBullet"/>
      <w:lvlText w:val=""/>
      <w:lvlJc w:val="left"/>
      <w:pPr>
        <w:tabs>
          <w:tab w:val="num" w:pos="284"/>
        </w:tabs>
        <w:ind w:left="284" w:hanging="284"/>
      </w:pPr>
      <w:rPr>
        <w:rFonts w:ascii="Wingdings" w:hAnsi="Wingdings" w:hint="default"/>
        <w:color w:val="0C2D83"/>
      </w:rPr>
    </w:lvl>
    <w:lvl w:ilvl="1" w:tplc="01F0C9C4">
      <w:start w:val="1"/>
      <w:numFmt w:val="bullet"/>
      <w:lvlText w:val="o"/>
      <w:lvlJc w:val="left"/>
      <w:pPr>
        <w:tabs>
          <w:tab w:val="num" w:pos="1440"/>
        </w:tabs>
        <w:ind w:left="1440" w:hanging="360"/>
      </w:pPr>
      <w:rPr>
        <w:rFonts w:ascii="Courier New" w:hAnsi="Courier New" w:cs="Courier New" w:hint="default"/>
      </w:rPr>
    </w:lvl>
    <w:lvl w:ilvl="2" w:tplc="1556FE18" w:tentative="1">
      <w:start w:val="1"/>
      <w:numFmt w:val="bullet"/>
      <w:lvlText w:val=""/>
      <w:lvlJc w:val="left"/>
      <w:pPr>
        <w:tabs>
          <w:tab w:val="num" w:pos="2160"/>
        </w:tabs>
        <w:ind w:left="2160" w:hanging="360"/>
      </w:pPr>
      <w:rPr>
        <w:rFonts w:ascii="Wingdings" w:hAnsi="Wingdings" w:hint="default"/>
      </w:rPr>
    </w:lvl>
    <w:lvl w:ilvl="3" w:tplc="8A8493CC" w:tentative="1">
      <w:start w:val="1"/>
      <w:numFmt w:val="bullet"/>
      <w:lvlText w:val=""/>
      <w:lvlJc w:val="left"/>
      <w:pPr>
        <w:tabs>
          <w:tab w:val="num" w:pos="2880"/>
        </w:tabs>
        <w:ind w:left="2880" w:hanging="360"/>
      </w:pPr>
      <w:rPr>
        <w:rFonts w:ascii="Symbol" w:hAnsi="Symbol" w:hint="default"/>
      </w:rPr>
    </w:lvl>
    <w:lvl w:ilvl="4" w:tplc="99D65718" w:tentative="1">
      <w:start w:val="1"/>
      <w:numFmt w:val="bullet"/>
      <w:lvlText w:val="o"/>
      <w:lvlJc w:val="left"/>
      <w:pPr>
        <w:tabs>
          <w:tab w:val="num" w:pos="3600"/>
        </w:tabs>
        <w:ind w:left="3600" w:hanging="360"/>
      </w:pPr>
      <w:rPr>
        <w:rFonts w:ascii="Courier New" w:hAnsi="Courier New" w:cs="Courier New" w:hint="default"/>
      </w:rPr>
    </w:lvl>
    <w:lvl w:ilvl="5" w:tplc="BE7C2446" w:tentative="1">
      <w:start w:val="1"/>
      <w:numFmt w:val="bullet"/>
      <w:lvlText w:val=""/>
      <w:lvlJc w:val="left"/>
      <w:pPr>
        <w:tabs>
          <w:tab w:val="num" w:pos="4320"/>
        </w:tabs>
        <w:ind w:left="4320" w:hanging="360"/>
      </w:pPr>
      <w:rPr>
        <w:rFonts w:ascii="Wingdings" w:hAnsi="Wingdings" w:hint="default"/>
      </w:rPr>
    </w:lvl>
    <w:lvl w:ilvl="6" w:tplc="EE6426E4" w:tentative="1">
      <w:start w:val="1"/>
      <w:numFmt w:val="bullet"/>
      <w:lvlText w:val=""/>
      <w:lvlJc w:val="left"/>
      <w:pPr>
        <w:tabs>
          <w:tab w:val="num" w:pos="5040"/>
        </w:tabs>
        <w:ind w:left="5040" w:hanging="360"/>
      </w:pPr>
      <w:rPr>
        <w:rFonts w:ascii="Symbol" w:hAnsi="Symbol" w:hint="default"/>
      </w:rPr>
    </w:lvl>
    <w:lvl w:ilvl="7" w:tplc="6BB69954" w:tentative="1">
      <w:start w:val="1"/>
      <w:numFmt w:val="bullet"/>
      <w:lvlText w:val="o"/>
      <w:lvlJc w:val="left"/>
      <w:pPr>
        <w:tabs>
          <w:tab w:val="num" w:pos="5760"/>
        </w:tabs>
        <w:ind w:left="5760" w:hanging="360"/>
      </w:pPr>
      <w:rPr>
        <w:rFonts w:ascii="Courier New" w:hAnsi="Courier New" w:cs="Courier New" w:hint="default"/>
      </w:rPr>
    </w:lvl>
    <w:lvl w:ilvl="8" w:tplc="99026A9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A1469F8"/>
    <w:multiLevelType w:val="multilevel"/>
    <w:tmpl w:val="8FE82810"/>
    <w:lvl w:ilvl="0">
      <w:start w:val="1"/>
      <w:numFmt w:val="upperLetter"/>
      <w:pStyle w:val="AppendixHeading2"/>
      <w:suff w:val="nothing"/>
      <w:lvlText w:val="Appendix %1"/>
      <w:lvlJc w:val="left"/>
      <w:pPr>
        <w:ind w:left="0" w:firstLine="0"/>
      </w:pPr>
      <w:rPr>
        <w:bCs w:val="0"/>
        <w:i w:val="0"/>
        <w:iCs w:val="0"/>
        <w:caps w:val="0"/>
        <w:smallCaps w:val="0"/>
        <w:strike w:val="0"/>
        <w:dstrike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B285BE8"/>
    <w:multiLevelType w:val="hybridMultilevel"/>
    <w:tmpl w:val="A29A7C2C"/>
    <w:lvl w:ilvl="0" w:tplc="AD620192">
      <w:start w:val="1"/>
      <w:numFmt w:val="bullet"/>
      <w:pStyle w:val="SidebarBulletText1"/>
      <w:lvlText w:val=""/>
      <w:lvlJc w:val="left"/>
      <w:pPr>
        <w:ind w:left="360" w:hanging="360"/>
      </w:pPr>
      <w:rPr>
        <w:rFonts w:ascii="Wingdings" w:hAnsi="Wingdings" w:hint="default"/>
        <w:color w:val="FFFFFF" w:themeColor="background1"/>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129367F"/>
    <w:multiLevelType w:val="multilevel"/>
    <w:tmpl w:val="BA8E4A38"/>
    <w:lvl w:ilvl="0">
      <w:start w:val="1"/>
      <w:numFmt w:val="decimal"/>
      <w:lvlText w:val="%1."/>
      <w:lvlJc w:val="left"/>
      <w:pPr>
        <w:tabs>
          <w:tab w:val="num" w:pos="340"/>
        </w:tabs>
        <w:ind w:left="340" w:hanging="340"/>
      </w:pPr>
      <w:rPr>
        <w:rFonts w:ascii="Univers 45 Light" w:hAnsi="Univers 45 Light" w:hint="default"/>
        <w:b w:val="0"/>
        <w:i w:val="0"/>
        <w:sz w:val="24"/>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35" w15:restartNumberingAfterBreak="0">
    <w:nsid w:val="672D6F49"/>
    <w:multiLevelType w:val="hybridMultilevel"/>
    <w:tmpl w:val="89DA12A8"/>
    <w:lvl w:ilvl="0" w:tplc="6B007CD6">
      <w:start w:val="1"/>
      <w:numFmt w:val="bullet"/>
      <w:pStyle w:val="BulletText"/>
      <w:lvlText w:val=""/>
      <w:lvlJc w:val="left"/>
      <w:pPr>
        <w:ind w:left="36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C4030FF"/>
    <w:multiLevelType w:val="singleLevel"/>
    <w:tmpl w:val="FC866162"/>
    <w:lvl w:ilvl="0">
      <w:start w:val="1"/>
      <w:numFmt w:val="bullet"/>
      <w:pStyle w:val="ListBullet2"/>
      <w:lvlText w:val="-"/>
      <w:lvlJc w:val="left"/>
      <w:pPr>
        <w:tabs>
          <w:tab w:val="num" w:pos="697"/>
        </w:tabs>
        <w:ind w:left="697" w:hanging="340"/>
      </w:pPr>
      <w:rPr>
        <w:rFonts w:ascii="9999999" w:hAnsi="9999999" w:cs="Courier New" w:hint="default"/>
      </w:rPr>
    </w:lvl>
  </w:abstractNum>
  <w:abstractNum w:abstractNumId="37" w15:restartNumberingAfterBreak="0">
    <w:nsid w:val="6EF048C1"/>
    <w:multiLevelType w:val="singleLevel"/>
    <w:tmpl w:val="81FADA3C"/>
    <w:lvl w:ilvl="0">
      <w:start w:val="1"/>
      <w:numFmt w:val="bullet"/>
      <w:lvlText w:val=""/>
      <w:lvlJc w:val="left"/>
      <w:pPr>
        <w:tabs>
          <w:tab w:val="num" w:pos="340"/>
        </w:tabs>
        <w:ind w:left="340" w:hanging="340"/>
      </w:pPr>
      <w:rPr>
        <w:rFonts w:ascii="Symbol" w:hAnsi="Symbol" w:hint="default"/>
        <w:color w:val="000080"/>
        <w:sz w:val="22"/>
      </w:rPr>
    </w:lvl>
  </w:abstractNum>
  <w:abstractNum w:abstractNumId="38" w15:restartNumberingAfterBreak="0">
    <w:nsid w:val="71A644A7"/>
    <w:multiLevelType w:val="singleLevel"/>
    <w:tmpl w:val="5D04F2B0"/>
    <w:lvl w:ilvl="0">
      <w:start w:val="1"/>
      <w:numFmt w:val="bullet"/>
      <w:lvlText w:val=""/>
      <w:lvlJc w:val="left"/>
      <w:pPr>
        <w:tabs>
          <w:tab w:val="num" w:pos="340"/>
        </w:tabs>
        <w:ind w:left="340" w:hanging="340"/>
      </w:pPr>
      <w:rPr>
        <w:rFonts w:ascii="Symbol" w:hAnsi="Symbol" w:hint="default"/>
        <w:color w:val="auto"/>
        <w:sz w:val="22"/>
      </w:rPr>
    </w:lvl>
  </w:abstractNum>
  <w:abstractNum w:abstractNumId="39" w15:restartNumberingAfterBreak="0">
    <w:nsid w:val="738A4D83"/>
    <w:multiLevelType w:val="multilevel"/>
    <w:tmpl w:val="09E010D4"/>
    <w:styleLink w:val="DefaultBullets"/>
    <w:lvl w:ilvl="0">
      <w:start w:val="1"/>
      <w:numFmt w:val="bullet"/>
      <w:pStyle w:val="Bullet1"/>
      <w:lvlText w:val=""/>
      <w:lvlJc w:val="left"/>
      <w:pPr>
        <w:ind w:left="284" w:hanging="284"/>
      </w:pPr>
      <w:rPr>
        <w:rFonts w:ascii="Symbol" w:hAnsi="Symbol" w:hint="default"/>
        <w:color w:val="1F497D" w:themeColor="text2"/>
      </w:rPr>
    </w:lvl>
    <w:lvl w:ilvl="1">
      <w:start w:val="1"/>
      <w:numFmt w:val="bullet"/>
      <w:pStyle w:val="Bullet2"/>
      <w:lvlText w:val=""/>
      <w:lvlJc w:val="left"/>
      <w:pPr>
        <w:ind w:left="568" w:hanging="284"/>
      </w:pPr>
      <w:rPr>
        <w:rFonts w:ascii="Symbol" w:hAnsi="Symbol" w:hint="default"/>
        <w:color w:val="9BBB59" w:themeColor="accent3"/>
      </w:rPr>
    </w:lvl>
    <w:lvl w:ilvl="2">
      <w:start w:val="1"/>
      <w:numFmt w:val="bullet"/>
      <w:pStyle w:val="Bullet3"/>
      <w:lvlText w:val=""/>
      <w:lvlJc w:val="left"/>
      <w:pPr>
        <w:ind w:left="852" w:hanging="284"/>
      </w:pPr>
      <w:rPr>
        <w:rFonts w:ascii="Symbol" w:hAnsi="Symbol" w:hint="default"/>
        <w:color w:val="C0504D" w:themeColor="accen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0" w15:restartNumberingAfterBreak="0">
    <w:nsid w:val="73C1140B"/>
    <w:multiLevelType w:val="hybridMultilevel"/>
    <w:tmpl w:val="41A6E5EA"/>
    <w:lvl w:ilvl="0" w:tplc="0766480C">
      <w:start w:val="1"/>
      <w:numFmt w:val="decimal"/>
      <w:pStyle w:val="Lastnumberedlevel2"/>
      <w:lvlText w:val="1.%1"/>
      <w:lvlJc w:val="left"/>
      <w:pPr>
        <w:ind w:left="720" w:hanging="360"/>
      </w:pPr>
      <w:rPr>
        <w:rFonts w:hint="default"/>
      </w:rPr>
    </w:lvl>
    <w:lvl w:ilvl="1" w:tplc="6BA86926"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41" w15:restartNumberingAfterBreak="0">
    <w:nsid w:val="7425702C"/>
    <w:multiLevelType w:val="hybridMultilevel"/>
    <w:tmpl w:val="1EE6C698"/>
    <w:lvl w:ilvl="0" w:tplc="52726A00">
      <w:start w:val="1"/>
      <w:numFmt w:val="bullet"/>
      <w:pStyle w:val="HyphenatedBulletText"/>
      <w:lvlText w:val="­"/>
      <w:lvlJc w:val="left"/>
      <w:pPr>
        <w:ind w:left="1637" w:hanging="360"/>
      </w:pPr>
      <w:rPr>
        <w:rFonts w:ascii="Courier New" w:hAnsi="Courier New" w:hint="default"/>
      </w:rPr>
    </w:lvl>
    <w:lvl w:ilvl="1" w:tplc="E9D8A93A" w:tentative="1">
      <w:start w:val="1"/>
      <w:numFmt w:val="bullet"/>
      <w:lvlText w:val="o"/>
      <w:lvlJc w:val="left"/>
      <w:pPr>
        <w:ind w:left="2520" w:hanging="360"/>
      </w:pPr>
      <w:rPr>
        <w:rFonts w:ascii="Courier New" w:hAnsi="Courier New" w:cs="Courier New" w:hint="default"/>
      </w:rPr>
    </w:lvl>
    <w:lvl w:ilvl="2" w:tplc="810402D4" w:tentative="1">
      <w:start w:val="1"/>
      <w:numFmt w:val="bullet"/>
      <w:lvlText w:val=""/>
      <w:lvlJc w:val="left"/>
      <w:pPr>
        <w:ind w:left="3240" w:hanging="360"/>
      </w:pPr>
      <w:rPr>
        <w:rFonts w:ascii="Wingdings" w:hAnsi="Wingdings" w:hint="default"/>
      </w:rPr>
    </w:lvl>
    <w:lvl w:ilvl="3" w:tplc="DE8421E2" w:tentative="1">
      <w:start w:val="1"/>
      <w:numFmt w:val="bullet"/>
      <w:lvlText w:val=""/>
      <w:lvlJc w:val="left"/>
      <w:pPr>
        <w:ind w:left="3960" w:hanging="360"/>
      </w:pPr>
      <w:rPr>
        <w:rFonts w:ascii="Symbol" w:hAnsi="Symbol" w:hint="default"/>
      </w:rPr>
    </w:lvl>
    <w:lvl w:ilvl="4" w:tplc="5C9E98D4" w:tentative="1">
      <w:start w:val="1"/>
      <w:numFmt w:val="bullet"/>
      <w:lvlText w:val="o"/>
      <w:lvlJc w:val="left"/>
      <w:pPr>
        <w:ind w:left="4680" w:hanging="360"/>
      </w:pPr>
      <w:rPr>
        <w:rFonts w:ascii="Courier New" w:hAnsi="Courier New" w:cs="Courier New" w:hint="default"/>
      </w:rPr>
    </w:lvl>
    <w:lvl w:ilvl="5" w:tplc="67521A90" w:tentative="1">
      <w:start w:val="1"/>
      <w:numFmt w:val="bullet"/>
      <w:lvlText w:val=""/>
      <w:lvlJc w:val="left"/>
      <w:pPr>
        <w:ind w:left="5400" w:hanging="360"/>
      </w:pPr>
      <w:rPr>
        <w:rFonts w:ascii="Wingdings" w:hAnsi="Wingdings" w:hint="default"/>
      </w:rPr>
    </w:lvl>
    <w:lvl w:ilvl="6" w:tplc="8480AC6E" w:tentative="1">
      <w:start w:val="1"/>
      <w:numFmt w:val="bullet"/>
      <w:lvlText w:val=""/>
      <w:lvlJc w:val="left"/>
      <w:pPr>
        <w:ind w:left="6120" w:hanging="360"/>
      </w:pPr>
      <w:rPr>
        <w:rFonts w:ascii="Symbol" w:hAnsi="Symbol" w:hint="default"/>
      </w:rPr>
    </w:lvl>
    <w:lvl w:ilvl="7" w:tplc="8B84ECBA" w:tentative="1">
      <w:start w:val="1"/>
      <w:numFmt w:val="bullet"/>
      <w:lvlText w:val="o"/>
      <w:lvlJc w:val="left"/>
      <w:pPr>
        <w:ind w:left="6840" w:hanging="360"/>
      </w:pPr>
      <w:rPr>
        <w:rFonts w:ascii="Courier New" w:hAnsi="Courier New" w:cs="Courier New" w:hint="default"/>
      </w:rPr>
    </w:lvl>
    <w:lvl w:ilvl="8" w:tplc="5784DA40" w:tentative="1">
      <w:start w:val="1"/>
      <w:numFmt w:val="bullet"/>
      <w:lvlText w:val=""/>
      <w:lvlJc w:val="left"/>
      <w:pPr>
        <w:ind w:left="7560" w:hanging="360"/>
      </w:pPr>
      <w:rPr>
        <w:rFonts w:ascii="Wingdings" w:hAnsi="Wingdings" w:hint="default"/>
      </w:rPr>
    </w:lvl>
  </w:abstractNum>
  <w:abstractNum w:abstractNumId="42" w15:restartNumberingAfterBreak="0">
    <w:nsid w:val="78AE6AA5"/>
    <w:multiLevelType w:val="hybridMultilevel"/>
    <w:tmpl w:val="EF5ADC00"/>
    <w:lvl w:ilvl="0" w:tplc="E730A49A">
      <w:start w:val="1"/>
      <w:numFmt w:val="bullet"/>
      <w:pStyle w:val="Keymessagebullet"/>
      <w:lvlText w:val=""/>
      <w:lvlJc w:val="left"/>
      <w:pPr>
        <w:tabs>
          <w:tab w:val="num" w:pos="360"/>
        </w:tabs>
        <w:ind w:left="360" w:hanging="360"/>
      </w:pPr>
      <w:rPr>
        <w:rFonts w:ascii="Wingdings" w:hAnsi="Wingdings" w:hint="default"/>
        <w:color w:val="0C2D83"/>
      </w:rPr>
    </w:lvl>
    <w:lvl w:ilvl="1" w:tplc="5AC816A4" w:tentative="1">
      <w:start w:val="1"/>
      <w:numFmt w:val="bullet"/>
      <w:lvlText w:val="o"/>
      <w:lvlJc w:val="left"/>
      <w:pPr>
        <w:tabs>
          <w:tab w:val="num" w:pos="1440"/>
        </w:tabs>
        <w:ind w:left="1440" w:hanging="360"/>
      </w:pPr>
      <w:rPr>
        <w:rFonts w:ascii="Courier New" w:hAnsi="Courier New" w:cs="Courier New" w:hint="default"/>
      </w:rPr>
    </w:lvl>
    <w:lvl w:ilvl="2" w:tplc="E716E730" w:tentative="1">
      <w:start w:val="1"/>
      <w:numFmt w:val="bullet"/>
      <w:lvlText w:val=""/>
      <w:lvlJc w:val="left"/>
      <w:pPr>
        <w:tabs>
          <w:tab w:val="num" w:pos="2160"/>
        </w:tabs>
        <w:ind w:left="2160" w:hanging="360"/>
      </w:pPr>
      <w:rPr>
        <w:rFonts w:ascii="Wingdings" w:hAnsi="Wingdings" w:hint="default"/>
      </w:rPr>
    </w:lvl>
    <w:lvl w:ilvl="3" w:tplc="BB4257EE" w:tentative="1">
      <w:start w:val="1"/>
      <w:numFmt w:val="bullet"/>
      <w:lvlText w:val=""/>
      <w:lvlJc w:val="left"/>
      <w:pPr>
        <w:tabs>
          <w:tab w:val="num" w:pos="2880"/>
        </w:tabs>
        <w:ind w:left="2880" w:hanging="360"/>
      </w:pPr>
      <w:rPr>
        <w:rFonts w:ascii="Symbol" w:hAnsi="Symbol" w:hint="default"/>
      </w:rPr>
    </w:lvl>
    <w:lvl w:ilvl="4" w:tplc="CFCC5AE4" w:tentative="1">
      <w:start w:val="1"/>
      <w:numFmt w:val="bullet"/>
      <w:lvlText w:val="o"/>
      <w:lvlJc w:val="left"/>
      <w:pPr>
        <w:tabs>
          <w:tab w:val="num" w:pos="3600"/>
        </w:tabs>
        <w:ind w:left="3600" w:hanging="360"/>
      </w:pPr>
      <w:rPr>
        <w:rFonts w:ascii="Courier New" w:hAnsi="Courier New" w:cs="Courier New" w:hint="default"/>
      </w:rPr>
    </w:lvl>
    <w:lvl w:ilvl="5" w:tplc="31EC7F98" w:tentative="1">
      <w:start w:val="1"/>
      <w:numFmt w:val="bullet"/>
      <w:lvlText w:val=""/>
      <w:lvlJc w:val="left"/>
      <w:pPr>
        <w:tabs>
          <w:tab w:val="num" w:pos="4320"/>
        </w:tabs>
        <w:ind w:left="4320" w:hanging="360"/>
      </w:pPr>
      <w:rPr>
        <w:rFonts w:ascii="Wingdings" w:hAnsi="Wingdings" w:hint="default"/>
      </w:rPr>
    </w:lvl>
    <w:lvl w:ilvl="6" w:tplc="81F03DF2" w:tentative="1">
      <w:start w:val="1"/>
      <w:numFmt w:val="bullet"/>
      <w:lvlText w:val=""/>
      <w:lvlJc w:val="left"/>
      <w:pPr>
        <w:tabs>
          <w:tab w:val="num" w:pos="5040"/>
        </w:tabs>
        <w:ind w:left="5040" w:hanging="360"/>
      </w:pPr>
      <w:rPr>
        <w:rFonts w:ascii="Symbol" w:hAnsi="Symbol" w:hint="default"/>
      </w:rPr>
    </w:lvl>
    <w:lvl w:ilvl="7" w:tplc="B74A1E58" w:tentative="1">
      <w:start w:val="1"/>
      <w:numFmt w:val="bullet"/>
      <w:lvlText w:val="o"/>
      <w:lvlJc w:val="left"/>
      <w:pPr>
        <w:tabs>
          <w:tab w:val="num" w:pos="5760"/>
        </w:tabs>
        <w:ind w:left="5760" w:hanging="360"/>
      </w:pPr>
      <w:rPr>
        <w:rFonts w:ascii="Courier New" w:hAnsi="Courier New" w:cs="Courier New" w:hint="default"/>
      </w:rPr>
    </w:lvl>
    <w:lvl w:ilvl="8" w:tplc="791E1906"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C1C2247"/>
    <w:multiLevelType w:val="multilevel"/>
    <w:tmpl w:val="9FAC1B7C"/>
    <w:lvl w:ilvl="0">
      <w:start w:val="1"/>
      <w:numFmt w:val="decimal"/>
      <w:lvlText w:val="%1."/>
      <w:lvlJc w:val="left"/>
      <w:pPr>
        <w:tabs>
          <w:tab w:val="num" w:pos="340"/>
        </w:tabs>
        <w:ind w:left="340" w:hanging="340"/>
      </w:pPr>
      <w:rPr>
        <w:rFonts w:ascii="Univers 45 Light" w:hAnsi="Univers 45 Light" w:hint="default"/>
        <w:b w:val="0"/>
        <w:i w:val="0"/>
        <w:sz w:val="24"/>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44" w15:restartNumberingAfterBreak="0">
    <w:nsid w:val="7DB85A45"/>
    <w:multiLevelType w:val="hybridMultilevel"/>
    <w:tmpl w:val="157A2B8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6"/>
  </w:num>
  <w:num w:numId="2">
    <w:abstractNumId w:val="1"/>
  </w:num>
  <w:num w:numId="3">
    <w:abstractNumId w:val="0"/>
  </w:num>
  <w:num w:numId="4">
    <w:abstractNumId w:val="6"/>
  </w:num>
  <w:num w:numId="5">
    <w:abstractNumId w:val="16"/>
  </w:num>
  <w:num w:numId="6">
    <w:abstractNumId w:val="3"/>
  </w:num>
  <w:num w:numId="7">
    <w:abstractNumId w:val="21"/>
  </w:num>
  <w:num w:numId="8">
    <w:abstractNumId w:val="35"/>
  </w:num>
  <w:num w:numId="9">
    <w:abstractNumId w:val="41"/>
  </w:num>
  <w:num w:numId="10">
    <w:abstractNumId w:val="19"/>
  </w:num>
  <w:num w:numId="11">
    <w:abstractNumId w:val="40"/>
  </w:num>
  <w:num w:numId="12">
    <w:abstractNumId w:val="31"/>
  </w:num>
  <w:num w:numId="13">
    <w:abstractNumId w:val="42"/>
  </w:num>
  <w:num w:numId="14">
    <w:abstractNumId w:val="10"/>
  </w:num>
  <w:num w:numId="15">
    <w:abstractNumId w:val="24"/>
  </w:num>
  <w:num w:numId="16">
    <w:abstractNumId w:val="39"/>
    <w:lvlOverride w:ilvl="0">
      <w:lvl w:ilvl="0">
        <w:start w:val="1"/>
        <w:numFmt w:val="bullet"/>
        <w:pStyle w:val="Bullet1"/>
        <w:lvlText w:val=""/>
        <w:lvlJc w:val="left"/>
        <w:pPr>
          <w:ind w:left="284" w:hanging="284"/>
        </w:pPr>
        <w:rPr>
          <w:rFonts w:ascii="Symbol" w:hAnsi="Symbol" w:hint="default"/>
          <w:color w:val="1F497D" w:themeColor="text2"/>
        </w:rPr>
      </w:lvl>
    </w:lvlOverride>
    <w:lvlOverride w:ilvl="1">
      <w:lvl w:ilvl="1">
        <w:start w:val="1"/>
        <w:numFmt w:val="bullet"/>
        <w:pStyle w:val="Bullet2"/>
        <w:lvlText w:val=""/>
        <w:lvlJc w:val="left"/>
        <w:pPr>
          <w:ind w:left="568" w:hanging="284"/>
        </w:pPr>
        <w:rPr>
          <w:rFonts w:ascii="Symbol" w:hAnsi="Symbol" w:hint="default"/>
          <w:color w:val="9BBB59" w:themeColor="accent3"/>
        </w:rPr>
      </w:lvl>
    </w:lvlOverride>
  </w:num>
  <w:num w:numId="17">
    <w:abstractNumId w:val="11"/>
  </w:num>
  <w:num w:numId="18">
    <w:abstractNumId w:val="14"/>
  </w:num>
  <w:num w:numId="19">
    <w:abstractNumId w:val="30"/>
  </w:num>
  <w:num w:numId="20">
    <w:abstractNumId w:val="20"/>
  </w:num>
  <w:num w:numId="21">
    <w:abstractNumId w:val="23"/>
  </w:num>
  <w:num w:numId="22">
    <w:abstractNumId w:val="15"/>
  </w:num>
  <w:num w:numId="23">
    <w:abstractNumId w:val="9"/>
  </w:num>
  <w:num w:numId="24">
    <w:abstractNumId w:val="29"/>
  </w:num>
  <w:num w:numId="25">
    <w:abstractNumId w:val="17"/>
  </w:num>
  <w:num w:numId="26">
    <w:abstractNumId w:val="7"/>
    <w:lvlOverride w:ilvl="0">
      <w:lvl w:ilvl="0">
        <w:start w:val="1"/>
        <w:numFmt w:val="decimal"/>
        <w:lvlText w:val="%1"/>
        <w:lvlJc w:val="left"/>
        <w:pPr>
          <w:tabs>
            <w:tab w:val="num" w:pos="720"/>
          </w:tabs>
          <w:ind w:left="720" w:hanging="720"/>
        </w:pPr>
        <w:rPr>
          <w:rFonts w:hint="default"/>
        </w:rPr>
      </w:lvl>
    </w:lvlOverride>
    <w:lvlOverride w:ilvl="1">
      <w:lvl w:ilvl="1">
        <w:start w:val="1"/>
        <w:numFmt w:val="decimal"/>
        <w:lvlText w:val="%1.%2"/>
        <w:lvlJc w:val="left"/>
        <w:pPr>
          <w:tabs>
            <w:tab w:val="num" w:pos="720"/>
          </w:tabs>
          <w:ind w:left="720" w:hanging="720"/>
        </w:pPr>
        <w:rPr>
          <w:rFonts w:hint="default"/>
        </w:rPr>
      </w:lvl>
    </w:lvlOverride>
    <w:lvlOverride w:ilvl="2">
      <w:lvl w:ilvl="2">
        <w:start w:val="1"/>
        <w:numFmt w:val="decimal"/>
        <w:lvlText w:val="%1.%2.%3"/>
        <w:lvlJc w:val="left"/>
        <w:pPr>
          <w:tabs>
            <w:tab w:val="num" w:pos="720"/>
          </w:tabs>
          <w:ind w:left="720" w:hanging="720"/>
        </w:pPr>
        <w:rPr>
          <w:rFonts w:hint="default"/>
        </w:rPr>
      </w:lvl>
    </w:lvlOverride>
    <w:lvlOverride w:ilvl="3">
      <w:lvl w:ilvl="3">
        <w:start w:val="1"/>
        <w:numFmt w:val="decimal"/>
        <w:lvlText w:val="%1.%2.%3.%4"/>
        <w:lvlJc w:val="left"/>
        <w:pPr>
          <w:tabs>
            <w:tab w:val="num" w:pos="720"/>
          </w:tabs>
          <w:ind w:left="720" w:hanging="720"/>
        </w:pPr>
        <w:rPr>
          <w:rFonts w:hint="default"/>
        </w:rPr>
      </w:lvl>
    </w:lvlOverride>
    <w:lvlOverride w:ilvl="4">
      <w:lvl w:ilvl="4">
        <w:start w:val="1"/>
        <w:numFmt w:val="none"/>
        <w:lvlRestart w:val="1"/>
        <w:pStyle w:val="FigureTitle"/>
        <w:suff w:val="nothing"/>
        <w:lvlText w:val=""/>
        <w:lvlJc w:val="left"/>
        <w:pPr>
          <w:ind w:left="0" w:firstLine="0"/>
        </w:pPr>
        <w:rPr>
          <w:rFonts w:hint="default"/>
          <w:b/>
          <w:i w:val="0"/>
        </w:rPr>
      </w:lvl>
    </w:lvlOverride>
    <w:lvlOverride w:ilvl="5">
      <w:lvl w:ilvl="5">
        <w:start w:val="1"/>
        <w:numFmt w:val="none"/>
        <w:lvlRestart w:val="1"/>
        <w:pStyle w:val="TableTitle"/>
        <w:suff w:val="nothing"/>
        <w:lvlText w:val=""/>
        <w:lvlJc w:val="left"/>
        <w:pPr>
          <w:ind w:left="0" w:firstLine="0"/>
        </w:pPr>
        <w:rPr>
          <w:rFonts w:hint="default"/>
          <w:b/>
          <w:i w:val="0"/>
        </w:rPr>
      </w:lvl>
    </w:lvlOverride>
    <w:lvlOverride w:ilvl="6">
      <w:lvl w:ilvl="6">
        <w:start w:val="1"/>
        <w:numFmt w:val="none"/>
        <w:lvlRestart w:val="1"/>
        <w:pStyle w:val="ChartTitle"/>
        <w:suff w:val="nothing"/>
        <w:lvlText w:val=""/>
        <w:lvlJc w:val="left"/>
        <w:pPr>
          <w:ind w:left="0" w:firstLine="0"/>
        </w:pPr>
        <w:rPr>
          <w:rFonts w:hint="default"/>
          <w:b/>
          <w:i w:val="0"/>
        </w:rPr>
      </w:lvl>
    </w:lvlOverride>
    <w:lvlOverride w:ilvl="7">
      <w:lvl w:ilvl="7">
        <w:start w:val="1"/>
        <w:numFmt w:val="none"/>
        <w:suff w:val="nothing"/>
        <w:lvlText w:val=""/>
        <w:lvlJc w:val="left"/>
        <w:pPr>
          <w:ind w:left="0" w:firstLine="0"/>
        </w:pPr>
        <w:rPr>
          <w:rFonts w:hint="default"/>
        </w:rPr>
      </w:lvl>
    </w:lvlOverride>
    <w:lvlOverride w:ilvl="8">
      <w:lvl w:ilvl="8">
        <w:start w:val="1"/>
        <w:numFmt w:val="none"/>
        <w:suff w:val="nothing"/>
        <w:lvlText w:val=""/>
        <w:lvlJc w:val="left"/>
        <w:pPr>
          <w:ind w:left="0" w:firstLine="0"/>
        </w:pPr>
        <w:rPr>
          <w:rFonts w:hint="default"/>
        </w:rPr>
      </w:lvl>
    </w:lvlOverride>
  </w:num>
  <w:num w:numId="27">
    <w:abstractNumId w:val="27"/>
  </w:num>
  <w:num w:numId="28">
    <w:abstractNumId w:val="13"/>
  </w:num>
  <w:num w:numId="29">
    <w:abstractNumId w:val="22"/>
  </w:num>
  <w:num w:numId="30">
    <w:abstractNumId w:val="2"/>
  </w:num>
  <w:num w:numId="31">
    <w:abstractNumId w:val="5"/>
  </w:num>
  <w:num w:numId="32">
    <w:abstractNumId w:val="25"/>
  </w:num>
  <w:num w:numId="33">
    <w:abstractNumId w:val="33"/>
  </w:num>
  <w:num w:numId="34">
    <w:abstractNumId w:val="18"/>
  </w:num>
  <w:num w:numId="35">
    <w:abstractNumId w:val="12"/>
  </w:num>
  <w:num w:numId="36">
    <w:abstractNumId w:val="38"/>
  </w:num>
  <w:num w:numId="37">
    <w:abstractNumId w:val="8"/>
  </w:num>
  <w:num w:numId="38">
    <w:abstractNumId w:val="44"/>
  </w:num>
  <w:num w:numId="39">
    <w:abstractNumId w:val="32"/>
  </w:num>
  <w:num w:numId="40">
    <w:abstractNumId w:val="28"/>
  </w:num>
  <w:num w:numId="41">
    <w:abstractNumId w:val="34"/>
  </w:num>
  <w:num w:numId="42">
    <w:abstractNumId w:val="43"/>
  </w:num>
  <w:num w:numId="43">
    <w:abstractNumId w:val="26"/>
  </w:num>
  <w:num w:numId="44">
    <w:abstractNumId w:val="39"/>
  </w:num>
  <w:num w:numId="45">
    <w:abstractNumId w:val="4"/>
  </w:num>
  <w:num w:numId="46">
    <w:abstractNumId w:val="37"/>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567"/>
  <w:doNotHyphenateCaps/>
  <w:drawingGridHorizontalSpacing w:val="110"/>
  <w:displayHorizontalDrawingGridEvery w:val="0"/>
  <w:displayVerticalDrawingGridEvery w:val="0"/>
  <w:doNotShadeFormData/>
  <w:noPunctuationKerning/>
  <w:characterSpacingControl w:val="doNotCompress"/>
  <w:hdrShapeDefaults>
    <o:shapedefaults v:ext="edit" spidmax="14337">
      <o:colormru v:ext="edit" colors="#ccd6e3,#a9b9cf"/>
    </o:shapedefaults>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BrandText" w:val="&lt;n/a&gt;"/>
    <w:docVar w:name="ColourHeadings" w:val="1"/>
    <w:docVar w:name="CoName" w:val="Health Practitioner Service Review"/>
    <w:docVar w:name="DraftWatermark" w:val="0"/>
    <w:docVar w:name="FirmName" w:val="KPMG"/>
    <w:docVar w:name="FlagDuplex" w:val="0"/>
    <w:docVar w:name="HdrInfo" w:val="September 2009"/>
    <w:docVar w:name="KISDocType" w:val="Report"/>
    <w:docVar w:name="KISFilledIn" w:val="Y"/>
    <w:docVar w:name="KISVer" w:val="3.0"/>
    <w:docVar w:name="Num3Paras" w:val="No"/>
    <w:docVar w:name="OffIndex" w:val=" 3"/>
    <w:docVar w:name="OffName" w:val="Canberra"/>
    <w:docVar w:name="Orientation" w:val="1"/>
    <w:docVar w:name="ReptStyle" w:val=" 2"/>
  </w:docVars>
  <w:rsids>
    <w:rsidRoot w:val="003F1B0A"/>
    <w:rsid w:val="0000262F"/>
    <w:rsid w:val="00007B70"/>
    <w:rsid w:val="000107CC"/>
    <w:rsid w:val="0001291D"/>
    <w:rsid w:val="000140B7"/>
    <w:rsid w:val="00015B9E"/>
    <w:rsid w:val="000169CD"/>
    <w:rsid w:val="00022700"/>
    <w:rsid w:val="000232C1"/>
    <w:rsid w:val="000316E8"/>
    <w:rsid w:val="00031E26"/>
    <w:rsid w:val="00031E4A"/>
    <w:rsid w:val="0003600E"/>
    <w:rsid w:val="000367A6"/>
    <w:rsid w:val="000432D8"/>
    <w:rsid w:val="00051AA1"/>
    <w:rsid w:val="00053F36"/>
    <w:rsid w:val="00057767"/>
    <w:rsid w:val="0006479D"/>
    <w:rsid w:val="000654C6"/>
    <w:rsid w:val="00073552"/>
    <w:rsid w:val="00077FC7"/>
    <w:rsid w:val="000828C8"/>
    <w:rsid w:val="000837B2"/>
    <w:rsid w:val="00085AF0"/>
    <w:rsid w:val="00086B53"/>
    <w:rsid w:val="00087D21"/>
    <w:rsid w:val="000929B2"/>
    <w:rsid w:val="00092C82"/>
    <w:rsid w:val="00095FAD"/>
    <w:rsid w:val="000A5C21"/>
    <w:rsid w:val="000B4992"/>
    <w:rsid w:val="000B72C8"/>
    <w:rsid w:val="000B7624"/>
    <w:rsid w:val="000B7F36"/>
    <w:rsid w:val="000C0B34"/>
    <w:rsid w:val="000C0F42"/>
    <w:rsid w:val="000C1AD3"/>
    <w:rsid w:val="000C2372"/>
    <w:rsid w:val="000C2F9C"/>
    <w:rsid w:val="000C7415"/>
    <w:rsid w:val="000C7C55"/>
    <w:rsid w:val="000D06D5"/>
    <w:rsid w:val="000D2D8E"/>
    <w:rsid w:val="000D5FB8"/>
    <w:rsid w:val="000D704C"/>
    <w:rsid w:val="000D7F72"/>
    <w:rsid w:val="000E09C0"/>
    <w:rsid w:val="000E1575"/>
    <w:rsid w:val="000E355A"/>
    <w:rsid w:val="000E6ED6"/>
    <w:rsid w:val="000F77B7"/>
    <w:rsid w:val="00100543"/>
    <w:rsid w:val="00103600"/>
    <w:rsid w:val="00103AFE"/>
    <w:rsid w:val="0010643B"/>
    <w:rsid w:val="00106EF2"/>
    <w:rsid w:val="001104E6"/>
    <w:rsid w:val="00110B6C"/>
    <w:rsid w:val="00112B31"/>
    <w:rsid w:val="00114224"/>
    <w:rsid w:val="00116DC5"/>
    <w:rsid w:val="00117E7D"/>
    <w:rsid w:val="0012002A"/>
    <w:rsid w:val="00120B19"/>
    <w:rsid w:val="001213F5"/>
    <w:rsid w:val="00122FDE"/>
    <w:rsid w:val="0012341C"/>
    <w:rsid w:val="00130826"/>
    <w:rsid w:val="00132CAF"/>
    <w:rsid w:val="00134A24"/>
    <w:rsid w:val="00135695"/>
    <w:rsid w:val="001402C1"/>
    <w:rsid w:val="0014074F"/>
    <w:rsid w:val="00140BC5"/>
    <w:rsid w:val="00141A79"/>
    <w:rsid w:val="00143B60"/>
    <w:rsid w:val="001441AB"/>
    <w:rsid w:val="00146522"/>
    <w:rsid w:val="00147787"/>
    <w:rsid w:val="001478A7"/>
    <w:rsid w:val="00150F64"/>
    <w:rsid w:val="001514C7"/>
    <w:rsid w:val="00154AA7"/>
    <w:rsid w:val="001554EF"/>
    <w:rsid w:val="00157352"/>
    <w:rsid w:val="00157C82"/>
    <w:rsid w:val="00160D4B"/>
    <w:rsid w:val="0016291C"/>
    <w:rsid w:val="00164462"/>
    <w:rsid w:val="00165BBE"/>
    <w:rsid w:val="00166F3F"/>
    <w:rsid w:val="00167522"/>
    <w:rsid w:val="001678ED"/>
    <w:rsid w:val="0017029F"/>
    <w:rsid w:val="001703BE"/>
    <w:rsid w:val="001720F0"/>
    <w:rsid w:val="00172BC8"/>
    <w:rsid w:val="001758B8"/>
    <w:rsid w:val="00176891"/>
    <w:rsid w:val="00177F36"/>
    <w:rsid w:val="001809F9"/>
    <w:rsid w:val="00180E0B"/>
    <w:rsid w:val="0018389A"/>
    <w:rsid w:val="00183CC8"/>
    <w:rsid w:val="00185CCF"/>
    <w:rsid w:val="001903FC"/>
    <w:rsid w:val="00191FA7"/>
    <w:rsid w:val="00197EC7"/>
    <w:rsid w:val="001A0CC3"/>
    <w:rsid w:val="001A1D48"/>
    <w:rsid w:val="001A3151"/>
    <w:rsid w:val="001A41FB"/>
    <w:rsid w:val="001B5BED"/>
    <w:rsid w:val="001B6D3D"/>
    <w:rsid w:val="001B7667"/>
    <w:rsid w:val="001C2EB0"/>
    <w:rsid w:val="001C2F78"/>
    <w:rsid w:val="001C5309"/>
    <w:rsid w:val="001D49D9"/>
    <w:rsid w:val="001D592F"/>
    <w:rsid w:val="001D7F4D"/>
    <w:rsid w:val="001E2891"/>
    <w:rsid w:val="001E335A"/>
    <w:rsid w:val="001E3EC0"/>
    <w:rsid w:val="001E7F9F"/>
    <w:rsid w:val="001F1E0B"/>
    <w:rsid w:val="001F3B51"/>
    <w:rsid w:val="001F4054"/>
    <w:rsid w:val="001F54BD"/>
    <w:rsid w:val="001F7E5A"/>
    <w:rsid w:val="002012C4"/>
    <w:rsid w:val="00203A59"/>
    <w:rsid w:val="00203E4A"/>
    <w:rsid w:val="002040D1"/>
    <w:rsid w:val="002056EC"/>
    <w:rsid w:val="00206D12"/>
    <w:rsid w:val="00207ACA"/>
    <w:rsid w:val="00207D19"/>
    <w:rsid w:val="00212EE8"/>
    <w:rsid w:val="00213D32"/>
    <w:rsid w:val="0021797B"/>
    <w:rsid w:val="002179E6"/>
    <w:rsid w:val="00217D14"/>
    <w:rsid w:val="00225ABC"/>
    <w:rsid w:val="00225DE7"/>
    <w:rsid w:val="00227EBF"/>
    <w:rsid w:val="00232B5C"/>
    <w:rsid w:val="002335EF"/>
    <w:rsid w:val="002336D9"/>
    <w:rsid w:val="00233BC7"/>
    <w:rsid w:val="00240C43"/>
    <w:rsid w:val="0024189C"/>
    <w:rsid w:val="0024532A"/>
    <w:rsid w:val="00247C34"/>
    <w:rsid w:val="00251882"/>
    <w:rsid w:val="00251D7C"/>
    <w:rsid w:val="00254063"/>
    <w:rsid w:val="0025412B"/>
    <w:rsid w:val="00256C22"/>
    <w:rsid w:val="002600BF"/>
    <w:rsid w:val="00260E7F"/>
    <w:rsid w:val="00261F1F"/>
    <w:rsid w:val="0026328A"/>
    <w:rsid w:val="00263B77"/>
    <w:rsid w:val="00263BA2"/>
    <w:rsid w:val="002647A5"/>
    <w:rsid w:val="0026637B"/>
    <w:rsid w:val="00273B05"/>
    <w:rsid w:val="00274D1A"/>
    <w:rsid w:val="002755B7"/>
    <w:rsid w:val="00275957"/>
    <w:rsid w:val="0027691C"/>
    <w:rsid w:val="00280471"/>
    <w:rsid w:val="00282286"/>
    <w:rsid w:val="00285498"/>
    <w:rsid w:val="0028670F"/>
    <w:rsid w:val="0029446A"/>
    <w:rsid w:val="00294C0D"/>
    <w:rsid w:val="00295503"/>
    <w:rsid w:val="0029675C"/>
    <w:rsid w:val="002A1D0C"/>
    <w:rsid w:val="002A1DDB"/>
    <w:rsid w:val="002A3E37"/>
    <w:rsid w:val="002A4E6A"/>
    <w:rsid w:val="002A5E65"/>
    <w:rsid w:val="002B26E6"/>
    <w:rsid w:val="002B480B"/>
    <w:rsid w:val="002B645C"/>
    <w:rsid w:val="002B6565"/>
    <w:rsid w:val="002B6C18"/>
    <w:rsid w:val="002C0B52"/>
    <w:rsid w:val="002C4B49"/>
    <w:rsid w:val="002C7229"/>
    <w:rsid w:val="002D04C9"/>
    <w:rsid w:val="002D6A77"/>
    <w:rsid w:val="002E005F"/>
    <w:rsid w:val="002E0701"/>
    <w:rsid w:val="002E2B51"/>
    <w:rsid w:val="002E4022"/>
    <w:rsid w:val="002E5E52"/>
    <w:rsid w:val="002F10A7"/>
    <w:rsid w:val="002F1C7E"/>
    <w:rsid w:val="002F4459"/>
    <w:rsid w:val="002F533D"/>
    <w:rsid w:val="002F5D4F"/>
    <w:rsid w:val="002F622B"/>
    <w:rsid w:val="002F6BE3"/>
    <w:rsid w:val="0030053C"/>
    <w:rsid w:val="003035DE"/>
    <w:rsid w:val="0030431F"/>
    <w:rsid w:val="003048C1"/>
    <w:rsid w:val="00304C32"/>
    <w:rsid w:val="00305625"/>
    <w:rsid w:val="00306D4A"/>
    <w:rsid w:val="00310137"/>
    <w:rsid w:val="00310324"/>
    <w:rsid w:val="00310743"/>
    <w:rsid w:val="00310C56"/>
    <w:rsid w:val="00317AE8"/>
    <w:rsid w:val="003220CF"/>
    <w:rsid w:val="0032268F"/>
    <w:rsid w:val="00323737"/>
    <w:rsid w:val="00323C06"/>
    <w:rsid w:val="003262FE"/>
    <w:rsid w:val="0033133B"/>
    <w:rsid w:val="003318CD"/>
    <w:rsid w:val="00335C08"/>
    <w:rsid w:val="003405EC"/>
    <w:rsid w:val="00344445"/>
    <w:rsid w:val="003446DC"/>
    <w:rsid w:val="0035278C"/>
    <w:rsid w:val="00360C98"/>
    <w:rsid w:val="00362AE6"/>
    <w:rsid w:val="0036311A"/>
    <w:rsid w:val="0037233C"/>
    <w:rsid w:val="00375B55"/>
    <w:rsid w:val="0037748B"/>
    <w:rsid w:val="00377E4A"/>
    <w:rsid w:val="003811F4"/>
    <w:rsid w:val="00381E4E"/>
    <w:rsid w:val="00382A29"/>
    <w:rsid w:val="00382F74"/>
    <w:rsid w:val="00385792"/>
    <w:rsid w:val="00386585"/>
    <w:rsid w:val="00390A48"/>
    <w:rsid w:val="0039266B"/>
    <w:rsid w:val="0039500C"/>
    <w:rsid w:val="00397628"/>
    <w:rsid w:val="003A20A6"/>
    <w:rsid w:val="003A2C96"/>
    <w:rsid w:val="003A2CA7"/>
    <w:rsid w:val="003A69EC"/>
    <w:rsid w:val="003B03AF"/>
    <w:rsid w:val="003B06C5"/>
    <w:rsid w:val="003B5DF8"/>
    <w:rsid w:val="003C7771"/>
    <w:rsid w:val="003C7B94"/>
    <w:rsid w:val="003D0C17"/>
    <w:rsid w:val="003D66D1"/>
    <w:rsid w:val="003E03A4"/>
    <w:rsid w:val="003E185A"/>
    <w:rsid w:val="003E257D"/>
    <w:rsid w:val="003E2D88"/>
    <w:rsid w:val="003E3466"/>
    <w:rsid w:val="003E3BB1"/>
    <w:rsid w:val="003E7132"/>
    <w:rsid w:val="003E7670"/>
    <w:rsid w:val="003F09FB"/>
    <w:rsid w:val="003F1B0A"/>
    <w:rsid w:val="003F2FCF"/>
    <w:rsid w:val="003F3BAF"/>
    <w:rsid w:val="003F692A"/>
    <w:rsid w:val="0040092A"/>
    <w:rsid w:val="004022B7"/>
    <w:rsid w:val="0042048D"/>
    <w:rsid w:val="0042158E"/>
    <w:rsid w:val="00421C9A"/>
    <w:rsid w:val="00421F2D"/>
    <w:rsid w:val="0042223A"/>
    <w:rsid w:val="004227F3"/>
    <w:rsid w:val="00423703"/>
    <w:rsid w:val="00423710"/>
    <w:rsid w:val="0043245C"/>
    <w:rsid w:val="00432B88"/>
    <w:rsid w:val="00434F6D"/>
    <w:rsid w:val="004425DD"/>
    <w:rsid w:val="00442A12"/>
    <w:rsid w:val="004448A1"/>
    <w:rsid w:val="00444EBE"/>
    <w:rsid w:val="004452F3"/>
    <w:rsid w:val="00445831"/>
    <w:rsid w:val="00446433"/>
    <w:rsid w:val="004469C6"/>
    <w:rsid w:val="00447AA2"/>
    <w:rsid w:val="00452087"/>
    <w:rsid w:val="004604F8"/>
    <w:rsid w:val="00464A38"/>
    <w:rsid w:val="00465A3C"/>
    <w:rsid w:val="00467545"/>
    <w:rsid w:val="00474B4C"/>
    <w:rsid w:val="00474F89"/>
    <w:rsid w:val="004756BE"/>
    <w:rsid w:val="00477ABB"/>
    <w:rsid w:val="00480672"/>
    <w:rsid w:val="0048104A"/>
    <w:rsid w:val="00482BCF"/>
    <w:rsid w:val="00482C92"/>
    <w:rsid w:val="004919EC"/>
    <w:rsid w:val="004A4F89"/>
    <w:rsid w:val="004A6866"/>
    <w:rsid w:val="004A70E0"/>
    <w:rsid w:val="004A7170"/>
    <w:rsid w:val="004A786C"/>
    <w:rsid w:val="004B28CC"/>
    <w:rsid w:val="004B3385"/>
    <w:rsid w:val="004C0A54"/>
    <w:rsid w:val="004C0B5C"/>
    <w:rsid w:val="004C1D3A"/>
    <w:rsid w:val="004C3FC3"/>
    <w:rsid w:val="004C6140"/>
    <w:rsid w:val="004C6F49"/>
    <w:rsid w:val="004C74F3"/>
    <w:rsid w:val="004C7583"/>
    <w:rsid w:val="004D2C0E"/>
    <w:rsid w:val="004D3B7A"/>
    <w:rsid w:val="004D40DE"/>
    <w:rsid w:val="004D54D7"/>
    <w:rsid w:val="004D7DD2"/>
    <w:rsid w:val="004E0E48"/>
    <w:rsid w:val="004E42EB"/>
    <w:rsid w:val="004E6531"/>
    <w:rsid w:val="004E68B4"/>
    <w:rsid w:val="004E6EF9"/>
    <w:rsid w:val="004F2D38"/>
    <w:rsid w:val="004F56B1"/>
    <w:rsid w:val="004F6B26"/>
    <w:rsid w:val="00500307"/>
    <w:rsid w:val="00500F86"/>
    <w:rsid w:val="005020F8"/>
    <w:rsid w:val="00502B4E"/>
    <w:rsid w:val="00504231"/>
    <w:rsid w:val="005046C4"/>
    <w:rsid w:val="0050496C"/>
    <w:rsid w:val="00504F46"/>
    <w:rsid w:val="005063A6"/>
    <w:rsid w:val="00506DC3"/>
    <w:rsid w:val="00506EE6"/>
    <w:rsid w:val="00510B41"/>
    <w:rsid w:val="00513BFF"/>
    <w:rsid w:val="0051439D"/>
    <w:rsid w:val="0051666E"/>
    <w:rsid w:val="005208FF"/>
    <w:rsid w:val="005226FC"/>
    <w:rsid w:val="0052509A"/>
    <w:rsid w:val="00526818"/>
    <w:rsid w:val="00527681"/>
    <w:rsid w:val="00527F1C"/>
    <w:rsid w:val="0053362E"/>
    <w:rsid w:val="00533AEB"/>
    <w:rsid w:val="00533B74"/>
    <w:rsid w:val="00534C0F"/>
    <w:rsid w:val="005352AF"/>
    <w:rsid w:val="005355D3"/>
    <w:rsid w:val="00536C5F"/>
    <w:rsid w:val="00537419"/>
    <w:rsid w:val="00542721"/>
    <w:rsid w:val="005459BE"/>
    <w:rsid w:val="0054760A"/>
    <w:rsid w:val="00560E73"/>
    <w:rsid w:val="00561A4D"/>
    <w:rsid w:val="0056491C"/>
    <w:rsid w:val="00570239"/>
    <w:rsid w:val="00571110"/>
    <w:rsid w:val="00571D0E"/>
    <w:rsid w:val="00572501"/>
    <w:rsid w:val="00573366"/>
    <w:rsid w:val="00573AF9"/>
    <w:rsid w:val="005774FD"/>
    <w:rsid w:val="00583C46"/>
    <w:rsid w:val="00584EBC"/>
    <w:rsid w:val="00584FDB"/>
    <w:rsid w:val="0058691E"/>
    <w:rsid w:val="0059246E"/>
    <w:rsid w:val="00594F58"/>
    <w:rsid w:val="005A0D8B"/>
    <w:rsid w:val="005A1514"/>
    <w:rsid w:val="005A2B44"/>
    <w:rsid w:val="005A7C05"/>
    <w:rsid w:val="005B1565"/>
    <w:rsid w:val="005B2474"/>
    <w:rsid w:val="005B450B"/>
    <w:rsid w:val="005B6BE7"/>
    <w:rsid w:val="005B7FA0"/>
    <w:rsid w:val="005C1FC3"/>
    <w:rsid w:val="005C22B7"/>
    <w:rsid w:val="005C2F09"/>
    <w:rsid w:val="005C2FE5"/>
    <w:rsid w:val="005C5EC7"/>
    <w:rsid w:val="005C6FD4"/>
    <w:rsid w:val="005C7DB2"/>
    <w:rsid w:val="005D588B"/>
    <w:rsid w:val="005D7561"/>
    <w:rsid w:val="005E06C8"/>
    <w:rsid w:val="005E62EB"/>
    <w:rsid w:val="005F35B3"/>
    <w:rsid w:val="005F42C7"/>
    <w:rsid w:val="005F4CF9"/>
    <w:rsid w:val="00600F06"/>
    <w:rsid w:val="006012B9"/>
    <w:rsid w:val="00602368"/>
    <w:rsid w:val="00603A5A"/>
    <w:rsid w:val="0060443D"/>
    <w:rsid w:val="00606DBB"/>
    <w:rsid w:val="0060707F"/>
    <w:rsid w:val="006070AB"/>
    <w:rsid w:val="0061086F"/>
    <w:rsid w:val="006141DA"/>
    <w:rsid w:val="006147A9"/>
    <w:rsid w:val="0061752F"/>
    <w:rsid w:val="00620264"/>
    <w:rsid w:val="00621810"/>
    <w:rsid w:val="00621833"/>
    <w:rsid w:val="0062301E"/>
    <w:rsid w:val="0062577B"/>
    <w:rsid w:val="006261DF"/>
    <w:rsid w:val="00630E47"/>
    <w:rsid w:val="0063103E"/>
    <w:rsid w:val="00634FCB"/>
    <w:rsid w:val="00635B35"/>
    <w:rsid w:val="00636A97"/>
    <w:rsid w:val="00642A12"/>
    <w:rsid w:val="006438D6"/>
    <w:rsid w:val="006459A3"/>
    <w:rsid w:val="00646524"/>
    <w:rsid w:val="006473FD"/>
    <w:rsid w:val="00650572"/>
    <w:rsid w:val="006522B4"/>
    <w:rsid w:val="006527A1"/>
    <w:rsid w:val="006538B7"/>
    <w:rsid w:val="0065565F"/>
    <w:rsid w:val="0065586A"/>
    <w:rsid w:val="00655D48"/>
    <w:rsid w:val="00660ACF"/>
    <w:rsid w:val="006707E6"/>
    <w:rsid w:val="0067124F"/>
    <w:rsid w:val="00674111"/>
    <w:rsid w:val="00682025"/>
    <w:rsid w:val="00686BFA"/>
    <w:rsid w:val="00690E85"/>
    <w:rsid w:val="00692D08"/>
    <w:rsid w:val="0069444A"/>
    <w:rsid w:val="006968A4"/>
    <w:rsid w:val="00696938"/>
    <w:rsid w:val="006969AE"/>
    <w:rsid w:val="006A2D35"/>
    <w:rsid w:val="006A2FE9"/>
    <w:rsid w:val="006A3506"/>
    <w:rsid w:val="006A3F8D"/>
    <w:rsid w:val="006A4496"/>
    <w:rsid w:val="006A690D"/>
    <w:rsid w:val="006A7104"/>
    <w:rsid w:val="006A792C"/>
    <w:rsid w:val="006A7B0E"/>
    <w:rsid w:val="006B3674"/>
    <w:rsid w:val="006B77E1"/>
    <w:rsid w:val="006C0161"/>
    <w:rsid w:val="006C1590"/>
    <w:rsid w:val="006C2EA3"/>
    <w:rsid w:val="006C6773"/>
    <w:rsid w:val="006C743E"/>
    <w:rsid w:val="006D3134"/>
    <w:rsid w:val="006D340A"/>
    <w:rsid w:val="006D6A73"/>
    <w:rsid w:val="006D6B60"/>
    <w:rsid w:val="006E1873"/>
    <w:rsid w:val="006E18DE"/>
    <w:rsid w:val="006E1E64"/>
    <w:rsid w:val="006E34EB"/>
    <w:rsid w:val="006E4C0E"/>
    <w:rsid w:val="006E5956"/>
    <w:rsid w:val="006E654E"/>
    <w:rsid w:val="006E6788"/>
    <w:rsid w:val="006E6C2E"/>
    <w:rsid w:val="006E73B3"/>
    <w:rsid w:val="006E7F8A"/>
    <w:rsid w:val="006F000B"/>
    <w:rsid w:val="00700059"/>
    <w:rsid w:val="007015EC"/>
    <w:rsid w:val="00702146"/>
    <w:rsid w:val="007025F4"/>
    <w:rsid w:val="007059F5"/>
    <w:rsid w:val="007105A1"/>
    <w:rsid w:val="00712076"/>
    <w:rsid w:val="00713B39"/>
    <w:rsid w:val="00714121"/>
    <w:rsid w:val="0071483A"/>
    <w:rsid w:val="0071498D"/>
    <w:rsid w:val="00717948"/>
    <w:rsid w:val="00722876"/>
    <w:rsid w:val="007273BA"/>
    <w:rsid w:val="00727B52"/>
    <w:rsid w:val="007311D9"/>
    <w:rsid w:val="007312DF"/>
    <w:rsid w:val="00731F6D"/>
    <w:rsid w:val="00741AE2"/>
    <w:rsid w:val="0074295A"/>
    <w:rsid w:val="00743075"/>
    <w:rsid w:val="007471EA"/>
    <w:rsid w:val="00750C2C"/>
    <w:rsid w:val="00754635"/>
    <w:rsid w:val="00760B91"/>
    <w:rsid w:val="00761F78"/>
    <w:rsid w:val="00763981"/>
    <w:rsid w:val="0076531E"/>
    <w:rsid w:val="00771166"/>
    <w:rsid w:val="00771EF8"/>
    <w:rsid w:val="007723F4"/>
    <w:rsid w:val="00777B83"/>
    <w:rsid w:val="00777FB1"/>
    <w:rsid w:val="00782F77"/>
    <w:rsid w:val="00784EEB"/>
    <w:rsid w:val="0078543F"/>
    <w:rsid w:val="0079072F"/>
    <w:rsid w:val="00791358"/>
    <w:rsid w:val="00793B63"/>
    <w:rsid w:val="00793F79"/>
    <w:rsid w:val="00794D9C"/>
    <w:rsid w:val="007A26D8"/>
    <w:rsid w:val="007B04AE"/>
    <w:rsid w:val="007B189D"/>
    <w:rsid w:val="007B18D6"/>
    <w:rsid w:val="007B3F50"/>
    <w:rsid w:val="007B79CC"/>
    <w:rsid w:val="007B7C87"/>
    <w:rsid w:val="007C466F"/>
    <w:rsid w:val="007C5E04"/>
    <w:rsid w:val="007C6F59"/>
    <w:rsid w:val="007D5914"/>
    <w:rsid w:val="007D6767"/>
    <w:rsid w:val="007D7FE7"/>
    <w:rsid w:val="007E1EEA"/>
    <w:rsid w:val="007E441D"/>
    <w:rsid w:val="007E5969"/>
    <w:rsid w:val="007E647A"/>
    <w:rsid w:val="007F7A8C"/>
    <w:rsid w:val="00800999"/>
    <w:rsid w:val="00801AD4"/>
    <w:rsid w:val="008037E9"/>
    <w:rsid w:val="00805E24"/>
    <w:rsid w:val="008069BE"/>
    <w:rsid w:val="00806B53"/>
    <w:rsid w:val="00807ED2"/>
    <w:rsid w:val="00810398"/>
    <w:rsid w:val="00810AB8"/>
    <w:rsid w:val="008124C7"/>
    <w:rsid w:val="0081318C"/>
    <w:rsid w:val="00813BEB"/>
    <w:rsid w:val="00815B7D"/>
    <w:rsid w:val="00815DEF"/>
    <w:rsid w:val="008203F0"/>
    <w:rsid w:val="008212D4"/>
    <w:rsid w:val="0082246D"/>
    <w:rsid w:val="00825E79"/>
    <w:rsid w:val="00826280"/>
    <w:rsid w:val="00827CC6"/>
    <w:rsid w:val="0083337F"/>
    <w:rsid w:val="00833E17"/>
    <w:rsid w:val="008450FF"/>
    <w:rsid w:val="00846E5A"/>
    <w:rsid w:val="00853594"/>
    <w:rsid w:val="00853D3A"/>
    <w:rsid w:val="0085545F"/>
    <w:rsid w:val="00860B56"/>
    <w:rsid w:val="00861FD3"/>
    <w:rsid w:val="008657BD"/>
    <w:rsid w:val="008704EE"/>
    <w:rsid w:val="00871CE0"/>
    <w:rsid w:val="00873181"/>
    <w:rsid w:val="00876690"/>
    <w:rsid w:val="00876F6B"/>
    <w:rsid w:val="00883139"/>
    <w:rsid w:val="0088371C"/>
    <w:rsid w:val="00885B92"/>
    <w:rsid w:val="00886077"/>
    <w:rsid w:val="008903AF"/>
    <w:rsid w:val="00890D41"/>
    <w:rsid w:val="0089225E"/>
    <w:rsid w:val="00892726"/>
    <w:rsid w:val="00894078"/>
    <w:rsid w:val="00896321"/>
    <w:rsid w:val="00897BAF"/>
    <w:rsid w:val="008A0C58"/>
    <w:rsid w:val="008A38EF"/>
    <w:rsid w:val="008A74CA"/>
    <w:rsid w:val="008A7AF3"/>
    <w:rsid w:val="008B00A7"/>
    <w:rsid w:val="008B1F1B"/>
    <w:rsid w:val="008B2955"/>
    <w:rsid w:val="008B30B0"/>
    <w:rsid w:val="008C09F6"/>
    <w:rsid w:val="008C0AF0"/>
    <w:rsid w:val="008C0BA3"/>
    <w:rsid w:val="008C0DF7"/>
    <w:rsid w:val="008C1FCA"/>
    <w:rsid w:val="008C27B4"/>
    <w:rsid w:val="008C5FD7"/>
    <w:rsid w:val="008C6238"/>
    <w:rsid w:val="008D2732"/>
    <w:rsid w:val="008D5D0E"/>
    <w:rsid w:val="008D5F5E"/>
    <w:rsid w:val="008E0BE7"/>
    <w:rsid w:val="008E0D73"/>
    <w:rsid w:val="008E5721"/>
    <w:rsid w:val="008E73C4"/>
    <w:rsid w:val="008E7ABF"/>
    <w:rsid w:val="008F1B47"/>
    <w:rsid w:val="008F23B1"/>
    <w:rsid w:val="008F3888"/>
    <w:rsid w:val="008F7361"/>
    <w:rsid w:val="009019B3"/>
    <w:rsid w:val="009029C5"/>
    <w:rsid w:val="009050DD"/>
    <w:rsid w:val="009066A5"/>
    <w:rsid w:val="009070C0"/>
    <w:rsid w:val="00910498"/>
    <w:rsid w:val="00910C7E"/>
    <w:rsid w:val="00911111"/>
    <w:rsid w:val="00912715"/>
    <w:rsid w:val="009175F8"/>
    <w:rsid w:val="00920340"/>
    <w:rsid w:val="009207F8"/>
    <w:rsid w:val="009325B3"/>
    <w:rsid w:val="00940895"/>
    <w:rsid w:val="009419B7"/>
    <w:rsid w:val="00942E15"/>
    <w:rsid w:val="009440B6"/>
    <w:rsid w:val="0094483B"/>
    <w:rsid w:val="009456FB"/>
    <w:rsid w:val="00951E5B"/>
    <w:rsid w:val="00957059"/>
    <w:rsid w:val="00960470"/>
    <w:rsid w:val="009610DB"/>
    <w:rsid w:val="00964164"/>
    <w:rsid w:val="0096477E"/>
    <w:rsid w:val="00967823"/>
    <w:rsid w:val="00970401"/>
    <w:rsid w:val="00970609"/>
    <w:rsid w:val="009731BF"/>
    <w:rsid w:val="00977BD4"/>
    <w:rsid w:val="00977E68"/>
    <w:rsid w:val="00983372"/>
    <w:rsid w:val="009836FC"/>
    <w:rsid w:val="00985C7D"/>
    <w:rsid w:val="00986F32"/>
    <w:rsid w:val="00987608"/>
    <w:rsid w:val="00990DBE"/>
    <w:rsid w:val="00991235"/>
    <w:rsid w:val="00991692"/>
    <w:rsid w:val="0099210E"/>
    <w:rsid w:val="0099539D"/>
    <w:rsid w:val="009A09B7"/>
    <w:rsid w:val="009A12E2"/>
    <w:rsid w:val="009B04F8"/>
    <w:rsid w:val="009B1B10"/>
    <w:rsid w:val="009B2595"/>
    <w:rsid w:val="009B38BC"/>
    <w:rsid w:val="009B6133"/>
    <w:rsid w:val="009C6F33"/>
    <w:rsid w:val="009C74BA"/>
    <w:rsid w:val="009D1145"/>
    <w:rsid w:val="009D354D"/>
    <w:rsid w:val="009D58A4"/>
    <w:rsid w:val="009E0639"/>
    <w:rsid w:val="009E2232"/>
    <w:rsid w:val="009E2433"/>
    <w:rsid w:val="009E27E4"/>
    <w:rsid w:val="009E3167"/>
    <w:rsid w:val="009E3F60"/>
    <w:rsid w:val="009F01E9"/>
    <w:rsid w:val="009F1BCE"/>
    <w:rsid w:val="009F2729"/>
    <w:rsid w:val="009F528A"/>
    <w:rsid w:val="009F5570"/>
    <w:rsid w:val="009F5B28"/>
    <w:rsid w:val="009F6A39"/>
    <w:rsid w:val="009F6ECF"/>
    <w:rsid w:val="009F744A"/>
    <w:rsid w:val="00A02E78"/>
    <w:rsid w:val="00A03560"/>
    <w:rsid w:val="00A05C9A"/>
    <w:rsid w:val="00A06F0E"/>
    <w:rsid w:val="00A06F67"/>
    <w:rsid w:val="00A10D2A"/>
    <w:rsid w:val="00A10D85"/>
    <w:rsid w:val="00A11AC9"/>
    <w:rsid w:val="00A12971"/>
    <w:rsid w:val="00A154EB"/>
    <w:rsid w:val="00A17B75"/>
    <w:rsid w:val="00A209BC"/>
    <w:rsid w:val="00A22F20"/>
    <w:rsid w:val="00A23459"/>
    <w:rsid w:val="00A23A94"/>
    <w:rsid w:val="00A35BC7"/>
    <w:rsid w:val="00A37A36"/>
    <w:rsid w:val="00A4080F"/>
    <w:rsid w:val="00A42A16"/>
    <w:rsid w:val="00A440F3"/>
    <w:rsid w:val="00A449C2"/>
    <w:rsid w:val="00A452FC"/>
    <w:rsid w:val="00A4672C"/>
    <w:rsid w:val="00A46805"/>
    <w:rsid w:val="00A47658"/>
    <w:rsid w:val="00A5045A"/>
    <w:rsid w:val="00A51CC7"/>
    <w:rsid w:val="00A52CCE"/>
    <w:rsid w:val="00A540B6"/>
    <w:rsid w:val="00A5778B"/>
    <w:rsid w:val="00A5795C"/>
    <w:rsid w:val="00A61180"/>
    <w:rsid w:val="00A66F31"/>
    <w:rsid w:val="00A709C6"/>
    <w:rsid w:val="00A74E07"/>
    <w:rsid w:val="00A764A4"/>
    <w:rsid w:val="00A851BF"/>
    <w:rsid w:val="00A90536"/>
    <w:rsid w:val="00A91A1D"/>
    <w:rsid w:val="00A92E60"/>
    <w:rsid w:val="00A931C2"/>
    <w:rsid w:val="00A94DF5"/>
    <w:rsid w:val="00AA3AD9"/>
    <w:rsid w:val="00AC291A"/>
    <w:rsid w:val="00AC61AB"/>
    <w:rsid w:val="00AC7C49"/>
    <w:rsid w:val="00AD2681"/>
    <w:rsid w:val="00AD3292"/>
    <w:rsid w:val="00AE0C4D"/>
    <w:rsid w:val="00AE661E"/>
    <w:rsid w:val="00AF0BEA"/>
    <w:rsid w:val="00AF1743"/>
    <w:rsid w:val="00AF43C9"/>
    <w:rsid w:val="00AF49FC"/>
    <w:rsid w:val="00AF5864"/>
    <w:rsid w:val="00B05119"/>
    <w:rsid w:val="00B078A1"/>
    <w:rsid w:val="00B07F68"/>
    <w:rsid w:val="00B11862"/>
    <w:rsid w:val="00B20EBF"/>
    <w:rsid w:val="00B26E07"/>
    <w:rsid w:val="00B270D3"/>
    <w:rsid w:val="00B271AD"/>
    <w:rsid w:val="00B30817"/>
    <w:rsid w:val="00B31ED4"/>
    <w:rsid w:val="00B36149"/>
    <w:rsid w:val="00B42050"/>
    <w:rsid w:val="00B42FA1"/>
    <w:rsid w:val="00B43769"/>
    <w:rsid w:val="00B45238"/>
    <w:rsid w:val="00B46A4F"/>
    <w:rsid w:val="00B514C5"/>
    <w:rsid w:val="00B56129"/>
    <w:rsid w:val="00B56DBB"/>
    <w:rsid w:val="00B63FDF"/>
    <w:rsid w:val="00B64AE2"/>
    <w:rsid w:val="00B70306"/>
    <w:rsid w:val="00B71757"/>
    <w:rsid w:val="00B724FD"/>
    <w:rsid w:val="00B730EC"/>
    <w:rsid w:val="00B739ED"/>
    <w:rsid w:val="00B82EFC"/>
    <w:rsid w:val="00B85622"/>
    <w:rsid w:val="00B901EE"/>
    <w:rsid w:val="00B91AFC"/>
    <w:rsid w:val="00BA091D"/>
    <w:rsid w:val="00BA479F"/>
    <w:rsid w:val="00BA4ABE"/>
    <w:rsid w:val="00BB33C8"/>
    <w:rsid w:val="00BB3909"/>
    <w:rsid w:val="00BB6CB8"/>
    <w:rsid w:val="00BC0F32"/>
    <w:rsid w:val="00BC2E76"/>
    <w:rsid w:val="00BC40F1"/>
    <w:rsid w:val="00BC51A7"/>
    <w:rsid w:val="00BC6499"/>
    <w:rsid w:val="00BC7501"/>
    <w:rsid w:val="00BC7FB4"/>
    <w:rsid w:val="00BD28AC"/>
    <w:rsid w:val="00BD52F2"/>
    <w:rsid w:val="00BD5912"/>
    <w:rsid w:val="00BD5AD4"/>
    <w:rsid w:val="00BE0102"/>
    <w:rsid w:val="00BE07D2"/>
    <w:rsid w:val="00BE2016"/>
    <w:rsid w:val="00BE2D8E"/>
    <w:rsid w:val="00BE2F19"/>
    <w:rsid w:val="00BE4187"/>
    <w:rsid w:val="00BE461E"/>
    <w:rsid w:val="00BE4EED"/>
    <w:rsid w:val="00BE6F19"/>
    <w:rsid w:val="00BE6F9E"/>
    <w:rsid w:val="00BE75D4"/>
    <w:rsid w:val="00BF0AEE"/>
    <w:rsid w:val="00BF23CD"/>
    <w:rsid w:val="00BF2BB6"/>
    <w:rsid w:val="00BF3CB1"/>
    <w:rsid w:val="00BF4010"/>
    <w:rsid w:val="00BF48DD"/>
    <w:rsid w:val="00C00666"/>
    <w:rsid w:val="00C00BA0"/>
    <w:rsid w:val="00C01A35"/>
    <w:rsid w:val="00C03898"/>
    <w:rsid w:val="00C041D1"/>
    <w:rsid w:val="00C041F6"/>
    <w:rsid w:val="00C11527"/>
    <w:rsid w:val="00C14915"/>
    <w:rsid w:val="00C14C8C"/>
    <w:rsid w:val="00C15AC4"/>
    <w:rsid w:val="00C166D5"/>
    <w:rsid w:val="00C17512"/>
    <w:rsid w:val="00C231BB"/>
    <w:rsid w:val="00C24F08"/>
    <w:rsid w:val="00C2563C"/>
    <w:rsid w:val="00C2624F"/>
    <w:rsid w:val="00C2657F"/>
    <w:rsid w:val="00C30178"/>
    <w:rsid w:val="00C30482"/>
    <w:rsid w:val="00C338E4"/>
    <w:rsid w:val="00C34B15"/>
    <w:rsid w:val="00C35792"/>
    <w:rsid w:val="00C40CA4"/>
    <w:rsid w:val="00C40FF8"/>
    <w:rsid w:val="00C454DB"/>
    <w:rsid w:val="00C457FB"/>
    <w:rsid w:val="00C46EA4"/>
    <w:rsid w:val="00C510AF"/>
    <w:rsid w:val="00C546E3"/>
    <w:rsid w:val="00C563C0"/>
    <w:rsid w:val="00C61D0D"/>
    <w:rsid w:val="00C644E8"/>
    <w:rsid w:val="00C65DD1"/>
    <w:rsid w:val="00C66469"/>
    <w:rsid w:val="00C679B0"/>
    <w:rsid w:val="00C77C76"/>
    <w:rsid w:val="00C80E21"/>
    <w:rsid w:val="00C812BD"/>
    <w:rsid w:val="00C813F8"/>
    <w:rsid w:val="00C85CA9"/>
    <w:rsid w:val="00C85FB0"/>
    <w:rsid w:val="00C91418"/>
    <w:rsid w:val="00C91985"/>
    <w:rsid w:val="00C92101"/>
    <w:rsid w:val="00CA14BD"/>
    <w:rsid w:val="00CA278A"/>
    <w:rsid w:val="00CA3C0D"/>
    <w:rsid w:val="00CA4674"/>
    <w:rsid w:val="00CA5266"/>
    <w:rsid w:val="00CA7B10"/>
    <w:rsid w:val="00CB17DF"/>
    <w:rsid w:val="00CB1818"/>
    <w:rsid w:val="00CB19F3"/>
    <w:rsid w:val="00CC22E5"/>
    <w:rsid w:val="00CC559B"/>
    <w:rsid w:val="00CD032F"/>
    <w:rsid w:val="00CD47DA"/>
    <w:rsid w:val="00CD57F8"/>
    <w:rsid w:val="00CD7BFA"/>
    <w:rsid w:val="00CE1469"/>
    <w:rsid w:val="00CE1D9F"/>
    <w:rsid w:val="00CE4B43"/>
    <w:rsid w:val="00CE79E6"/>
    <w:rsid w:val="00CF0227"/>
    <w:rsid w:val="00CF2FC6"/>
    <w:rsid w:val="00CF3307"/>
    <w:rsid w:val="00D013D3"/>
    <w:rsid w:val="00D025DD"/>
    <w:rsid w:val="00D030CB"/>
    <w:rsid w:val="00D03E5D"/>
    <w:rsid w:val="00D04D4C"/>
    <w:rsid w:val="00D05EDC"/>
    <w:rsid w:val="00D10B1A"/>
    <w:rsid w:val="00D1173D"/>
    <w:rsid w:val="00D12B2D"/>
    <w:rsid w:val="00D13CD5"/>
    <w:rsid w:val="00D15BE3"/>
    <w:rsid w:val="00D16327"/>
    <w:rsid w:val="00D16726"/>
    <w:rsid w:val="00D170E7"/>
    <w:rsid w:val="00D24631"/>
    <w:rsid w:val="00D30239"/>
    <w:rsid w:val="00D302C8"/>
    <w:rsid w:val="00D331DD"/>
    <w:rsid w:val="00D367A5"/>
    <w:rsid w:val="00D449D4"/>
    <w:rsid w:val="00D46253"/>
    <w:rsid w:val="00D51B95"/>
    <w:rsid w:val="00D61E1B"/>
    <w:rsid w:val="00D6520C"/>
    <w:rsid w:val="00D73C1F"/>
    <w:rsid w:val="00D74FA8"/>
    <w:rsid w:val="00D75D83"/>
    <w:rsid w:val="00D8347E"/>
    <w:rsid w:val="00D83BAB"/>
    <w:rsid w:val="00D84191"/>
    <w:rsid w:val="00D84A6D"/>
    <w:rsid w:val="00D85975"/>
    <w:rsid w:val="00D86647"/>
    <w:rsid w:val="00D947FC"/>
    <w:rsid w:val="00D97F6F"/>
    <w:rsid w:val="00DA094B"/>
    <w:rsid w:val="00DA24C6"/>
    <w:rsid w:val="00DA26B3"/>
    <w:rsid w:val="00DB2A39"/>
    <w:rsid w:val="00DB391A"/>
    <w:rsid w:val="00DC1448"/>
    <w:rsid w:val="00DC338F"/>
    <w:rsid w:val="00DC6DD7"/>
    <w:rsid w:val="00DC75CA"/>
    <w:rsid w:val="00DD0AF7"/>
    <w:rsid w:val="00DD2A56"/>
    <w:rsid w:val="00DD71E3"/>
    <w:rsid w:val="00DE1514"/>
    <w:rsid w:val="00DE1825"/>
    <w:rsid w:val="00DE2811"/>
    <w:rsid w:val="00DE3701"/>
    <w:rsid w:val="00DE39A3"/>
    <w:rsid w:val="00DE3D23"/>
    <w:rsid w:val="00DE40E7"/>
    <w:rsid w:val="00DE436C"/>
    <w:rsid w:val="00DF1FC3"/>
    <w:rsid w:val="00DF5432"/>
    <w:rsid w:val="00DF558C"/>
    <w:rsid w:val="00DF5BC9"/>
    <w:rsid w:val="00DF66D2"/>
    <w:rsid w:val="00E017C2"/>
    <w:rsid w:val="00E0478B"/>
    <w:rsid w:val="00E07F74"/>
    <w:rsid w:val="00E12DF5"/>
    <w:rsid w:val="00E176C6"/>
    <w:rsid w:val="00E211A3"/>
    <w:rsid w:val="00E2220D"/>
    <w:rsid w:val="00E2504E"/>
    <w:rsid w:val="00E27F82"/>
    <w:rsid w:val="00E310B3"/>
    <w:rsid w:val="00E32099"/>
    <w:rsid w:val="00E36386"/>
    <w:rsid w:val="00E41287"/>
    <w:rsid w:val="00E41984"/>
    <w:rsid w:val="00E423C7"/>
    <w:rsid w:val="00E456AB"/>
    <w:rsid w:val="00E45977"/>
    <w:rsid w:val="00E50D17"/>
    <w:rsid w:val="00E5242C"/>
    <w:rsid w:val="00E53011"/>
    <w:rsid w:val="00E5306B"/>
    <w:rsid w:val="00E5464E"/>
    <w:rsid w:val="00E550E5"/>
    <w:rsid w:val="00E57F92"/>
    <w:rsid w:val="00E6268F"/>
    <w:rsid w:val="00E62F42"/>
    <w:rsid w:val="00E64EDA"/>
    <w:rsid w:val="00E65C7F"/>
    <w:rsid w:val="00E673D1"/>
    <w:rsid w:val="00E71091"/>
    <w:rsid w:val="00E7674D"/>
    <w:rsid w:val="00E76D96"/>
    <w:rsid w:val="00E80423"/>
    <w:rsid w:val="00E814DA"/>
    <w:rsid w:val="00E8318C"/>
    <w:rsid w:val="00E83315"/>
    <w:rsid w:val="00E946CE"/>
    <w:rsid w:val="00E95821"/>
    <w:rsid w:val="00E9741D"/>
    <w:rsid w:val="00EA3C06"/>
    <w:rsid w:val="00EA7C15"/>
    <w:rsid w:val="00EB0C05"/>
    <w:rsid w:val="00EB29FB"/>
    <w:rsid w:val="00EC0DEB"/>
    <w:rsid w:val="00EC25AA"/>
    <w:rsid w:val="00EC3193"/>
    <w:rsid w:val="00EC3B2D"/>
    <w:rsid w:val="00ED08B9"/>
    <w:rsid w:val="00ED23F2"/>
    <w:rsid w:val="00ED24A4"/>
    <w:rsid w:val="00ED3161"/>
    <w:rsid w:val="00ED3803"/>
    <w:rsid w:val="00ED5666"/>
    <w:rsid w:val="00ED6313"/>
    <w:rsid w:val="00ED6CCE"/>
    <w:rsid w:val="00ED7D52"/>
    <w:rsid w:val="00EE19A5"/>
    <w:rsid w:val="00EE2131"/>
    <w:rsid w:val="00EE401F"/>
    <w:rsid w:val="00EE450D"/>
    <w:rsid w:val="00EE50F0"/>
    <w:rsid w:val="00EE6C9D"/>
    <w:rsid w:val="00EF1B2E"/>
    <w:rsid w:val="00EF3731"/>
    <w:rsid w:val="00EF473B"/>
    <w:rsid w:val="00F07776"/>
    <w:rsid w:val="00F117AC"/>
    <w:rsid w:val="00F16E5E"/>
    <w:rsid w:val="00F175EC"/>
    <w:rsid w:val="00F218CD"/>
    <w:rsid w:val="00F22DB1"/>
    <w:rsid w:val="00F2542A"/>
    <w:rsid w:val="00F25E6E"/>
    <w:rsid w:val="00F307BF"/>
    <w:rsid w:val="00F35EAF"/>
    <w:rsid w:val="00F36349"/>
    <w:rsid w:val="00F36EB4"/>
    <w:rsid w:val="00F43FB5"/>
    <w:rsid w:val="00F458FB"/>
    <w:rsid w:val="00F45FBE"/>
    <w:rsid w:val="00F46A1E"/>
    <w:rsid w:val="00F50698"/>
    <w:rsid w:val="00F530E2"/>
    <w:rsid w:val="00F5323A"/>
    <w:rsid w:val="00F5449E"/>
    <w:rsid w:val="00F57C7D"/>
    <w:rsid w:val="00F607B3"/>
    <w:rsid w:val="00F6415D"/>
    <w:rsid w:val="00F654DE"/>
    <w:rsid w:val="00F65BCD"/>
    <w:rsid w:val="00F70DC7"/>
    <w:rsid w:val="00F7322A"/>
    <w:rsid w:val="00F73936"/>
    <w:rsid w:val="00F7400E"/>
    <w:rsid w:val="00F772C2"/>
    <w:rsid w:val="00F80D7B"/>
    <w:rsid w:val="00F81BBB"/>
    <w:rsid w:val="00F90D86"/>
    <w:rsid w:val="00F9113D"/>
    <w:rsid w:val="00F9121C"/>
    <w:rsid w:val="00F94552"/>
    <w:rsid w:val="00F96025"/>
    <w:rsid w:val="00F96337"/>
    <w:rsid w:val="00F97EE2"/>
    <w:rsid w:val="00F97F3E"/>
    <w:rsid w:val="00FA36D8"/>
    <w:rsid w:val="00FA3A58"/>
    <w:rsid w:val="00FA6901"/>
    <w:rsid w:val="00FA6979"/>
    <w:rsid w:val="00FB0171"/>
    <w:rsid w:val="00FB1A04"/>
    <w:rsid w:val="00FB3433"/>
    <w:rsid w:val="00FB3F18"/>
    <w:rsid w:val="00FB5AC0"/>
    <w:rsid w:val="00FB61AC"/>
    <w:rsid w:val="00FB75B1"/>
    <w:rsid w:val="00FC557A"/>
    <w:rsid w:val="00FD00BC"/>
    <w:rsid w:val="00FD36C0"/>
    <w:rsid w:val="00FD64A7"/>
    <w:rsid w:val="00FD65C3"/>
    <w:rsid w:val="00FD6E1A"/>
    <w:rsid w:val="00FE0CF6"/>
    <w:rsid w:val="00FE19D1"/>
    <w:rsid w:val="00FE3515"/>
    <w:rsid w:val="00FE39D8"/>
    <w:rsid w:val="00FE3C04"/>
    <w:rsid w:val="00FF472C"/>
    <w:rsid w:val="00FF695F"/>
    <w:rsid w:val="00FF77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colormru v:ext="edit" colors="#ccd6e3,#a9b9cf"/>
    </o:shapedefaults>
    <o:shapelayout v:ext="edit">
      <o:idmap v:ext="edit" data="1"/>
    </o:shapelayout>
  </w:shapeDefaults>
  <w:decimalSymbol w:val="."/>
  <w:listSeparator w:val=","/>
  <w15:docId w15:val="{842ABF1C-EF12-45E0-B53E-41B3ABEBE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1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iPriority="99" w:unhideWhenUsed="1"/>
    <w:lsdException w:name="List 2" w:semiHidden="1" w:unhideWhenUsed="1"/>
    <w:lsdException w:name="List 3" w:semiHidden="1" w:uiPriority="99" w:unhideWhenUsed="1"/>
    <w:lsdException w:name="List Bullet 2" w:semiHidden="1" w:uiPriority="99" w:unhideWhenUsed="1" w:qFormat="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46CE"/>
    <w:pPr>
      <w:spacing w:before="120" w:after="120"/>
    </w:pPr>
    <w:rPr>
      <w:rFonts w:ascii="Univers 45 Light" w:hAnsi="Univers 45 Light"/>
      <w:sz w:val="22"/>
      <w:lang w:eastAsia="en-US"/>
    </w:rPr>
  </w:style>
  <w:style w:type="paragraph" w:styleId="Heading1">
    <w:name w:val="heading 1"/>
    <w:basedOn w:val="Header"/>
    <w:next w:val="Normal"/>
    <w:link w:val="Heading1Char"/>
    <w:uiPriority w:val="9"/>
    <w:qFormat/>
    <w:rsid w:val="00233BC7"/>
    <w:pPr>
      <w:spacing w:before="2400" w:after="240"/>
      <w:ind w:left="0"/>
      <w:outlineLvl w:val="0"/>
    </w:pPr>
    <w:rPr>
      <w:i w:val="0"/>
      <w:sz w:val="52"/>
      <w:szCs w:val="32"/>
    </w:rPr>
  </w:style>
  <w:style w:type="paragraph" w:styleId="Heading2">
    <w:name w:val="heading 2"/>
    <w:basedOn w:val="Normal"/>
    <w:next w:val="Normal"/>
    <w:link w:val="Heading2Char"/>
    <w:uiPriority w:val="9"/>
    <w:qFormat/>
    <w:rsid w:val="008C1FCA"/>
    <w:pPr>
      <w:keepNext/>
      <w:pageBreakBefore/>
      <w:numPr>
        <w:numId w:val="5"/>
      </w:numPr>
      <w:pBdr>
        <w:bottom w:val="single" w:sz="4" w:space="1" w:color="17365D" w:themeColor="text2" w:themeShade="BF"/>
      </w:pBdr>
      <w:ind w:left="720"/>
      <w:outlineLvl w:val="1"/>
    </w:pPr>
    <w:rPr>
      <w:b/>
      <w:color w:val="17365D" w:themeColor="text2" w:themeShade="BF"/>
      <w:sz w:val="32"/>
    </w:rPr>
  </w:style>
  <w:style w:type="paragraph" w:styleId="Heading3">
    <w:name w:val="heading 3"/>
    <w:basedOn w:val="Heading2"/>
    <w:next w:val="Normal"/>
    <w:link w:val="Heading3Char"/>
    <w:uiPriority w:val="9"/>
    <w:qFormat/>
    <w:rsid w:val="002E0701"/>
    <w:pPr>
      <w:pageBreakBefore w:val="0"/>
      <w:numPr>
        <w:ilvl w:val="1"/>
      </w:numPr>
      <w:pBdr>
        <w:bottom w:val="none" w:sz="0" w:space="0" w:color="auto"/>
      </w:pBdr>
      <w:spacing w:before="360"/>
      <w:ind w:left="680"/>
      <w:outlineLvl w:val="2"/>
    </w:pPr>
    <w:rPr>
      <w:sz w:val="24"/>
      <w:lang w:val="en-US"/>
    </w:rPr>
  </w:style>
  <w:style w:type="paragraph" w:styleId="Heading4">
    <w:name w:val="heading 4"/>
    <w:basedOn w:val="Heading3"/>
    <w:next w:val="Normal"/>
    <w:link w:val="Heading4Char"/>
    <w:uiPriority w:val="9"/>
    <w:qFormat/>
    <w:rsid w:val="00185CCF"/>
    <w:pPr>
      <w:numPr>
        <w:ilvl w:val="2"/>
      </w:numPr>
      <w:spacing w:line="280" w:lineRule="exact"/>
      <w:ind w:left="964"/>
      <w:outlineLvl w:val="3"/>
    </w:pPr>
    <w:rPr>
      <w:i/>
      <w:color w:val="auto"/>
    </w:rPr>
  </w:style>
  <w:style w:type="paragraph" w:styleId="Heading5">
    <w:name w:val="heading 5"/>
    <w:basedOn w:val="BodyText"/>
    <w:next w:val="BodyText"/>
    <w:link w:val="Heading5Char"/>
    <w:uiPriority w:val="9"/>
    <w:qFormat/>
    <w:rsid w:val="00DC338F"/>
    <w:pPr>
      <w:keepNext/>
      <w:spacing w:before="240" w:line="240" w:lineRule="auto"/>
      <w:outlineLvl w:val="4"/>
    </w:pPr>
    <w:rPr>
      <w:b/>
    </w:rPr>
  </w:style>
  <w:style w:type="paragraph" w:styleId="Heading6">
    <w:name w:val="heading 6"/>
    <w:basedOn w:val="Normal"/>
    <w:next w:val="Normal"/>
    <w:link w:val="Heading6Char"/>
    <w:uiPriority w:val="9"/>
    <w:qFormat/>
    <w:rsid w:val="00815DEF"/>
    <w:pPr>
      <w:numPr>
        <w:ilvl w:val="5"/>
        <w:numId w:val="7"/>
      </w:numPr>
      <w:outlineLvl w:val="5"/>
    </w:pPr>
  </w:style>
  <w:style w:type="paragraph" w:styleId="Heading7">
    <w:name w:val="heading 7"/>
    <w:basedOn w:val="Normal"/>
    <w:next w:val="Normal"/>
    <w:link w:val="Heading7Char"/>
    <w:uiPriority w:val="9"/>
    <w:qFormat/>
    <w:rsid w:val="00815DEF"/>
    <w:pPr>
      <w:numPr>
        <w:ilvl w:val="6"/>
        <w:numId w:val="7"/>
      </w:numPr>
      <w:outlineLvl w:val="6"/>
    </w:pPr>
  </w:style>
  <w:style w:type="paragraph" w:styleId="Heading8">
    <w:name w:val="heading 8"/>
    <w:basedOn w:val="Normal"/>
    <w:next w:val="Normal"/>
    <w:link w:val="Heading8Char"/>
    <w:uiPriority w:val="9"/>
    <w:qFormat/>
    <w:rsid w:val="00815DEF"/>
    <w:pPr>
      <w:numPr>
        <w:ilvl w:val="7"/>
        <w:numId w:val="7"/>
      </w:numPr>
      <w:outlineLvl w:val="7"/>
    </w:pPr>
  </w:style>
  <w:style w:type="paragraph" w:styleId="Heading9">
    <w:name w:val="heading 9"/>
    <w:basedOn w:val="Normal"/>
    <w:next w:val="Normal"/>
    <w:link w:val="Heading9Char"/>
    <w:uiPriority w:val="9"/>
    <w:qFormat/>
    <w:rsid w:val="00815DEF"/>
    <w:pPr>
      <w:numPr>
        <w:ilvl w:val="8"/>
        <w:numId w:val="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871CE0"/>
    <w:pPr>
      <w:spacing w:line="240" w:lineRule="atLeast"/>
    </w:pPr>
  </w:style>
  <w:style w:type="paragraph" w:styleId="TOC4">
    <w:name w:val="toc 4"/>
    <w:basedOn w:val="TOC3"/>
    <w:uiPriority w:val="39"/>
    <w:rsid w:val="00085AF0"/>
  </w:style>
  <w:style w:type="paragraph" w:styleId="TOC3">
    <w:name w:val="toc 3"/>
    <w:basedOn w:val="TOC2"/>
    <w:uiPriority w:val="39"/>
    <w:rsid w:val="00233BC7"/>
    <w:pPr>
      <w:tabs>
        <w:tab w:val="clear" w:pos="1400"/>
        <w:tab w:val="left" w:pos="2127"/>
      </w:tabs>
      <w:ind w:left="2127" w:hanging="709"/>
    </w:pPr>
  </w:style>
  <w:style w:type="paragraph" w:styleId="TOC2">
    <w:name w:val="toc 2"/>
    <w:aliases w:val="Subsection"/>
    <w:basedOn w:val="TOC1"/>
    <w:uiPriority w:val="39"/>
    <w:rsid w:val="005C2F09"/>
    <w:pPr>
      <w:tabs>
        <w:tab w:val="clear" w:pos="663"/>
        <w:tab w:val="left" w:pos="1400"/>
      </w:tabs>
      <w:spacing w:before="0"/>
      <w:ind w:left="1400" w:hanging="737"/>
    </w:pPr>
  </w:style>
  <w:style w:type="paragraph" w:styleId="TOC1">
    <w:name w:val="toc 1"/>
    <w:basedOn w:val="Normal"/>
    <w:uiPriority w:val="39"/>
    <w:rsid w:val="00233BC7"/>
    <w:pPr>
      <w:tabs>
        <w:tab w:val="left" w:pos="663"/>
        <w:tab w:val="right" w:pos="8364"/>
      </w:tabs>
      <w:spacing w:before="60" w:after="60"/>
      <w:ind w:left="663" w:right="567" w:hanging="663"/>
    </w:pPr>
    <w:rPr>
      <w:noProof/>
    </w:rPr>
  </w:style>
  <w:style w:type="paragraph" w:styleId="Footer">
    <w:name w:val="footer"/>
    <w:basedOn w:val="Normal"/>
    <w:link w:val="FooterChar"/>
    <w:uiPriority w:val="99"/>
    <w:rsid w:val="0052509A"/>
    <w:pPr>
      <w:tabs>
        <w:tab w:val="right" w:pos="8222"/>
      </w:tabs>
      <w:jc w:val="right"/>
    </w:pPr>
  </w:style>
  <w:style w:type="paragraph" w:styleId="Header">
    <w:name w:val="header"/>
    <w:basedOn w:val="Normal"/>
    <w:link w:val="HeaderChar"/>
    <w:uiPriority w:val="99"/>
    <w:rsid w:val="002C0B52"/>
    <w:pPr>
      <w:spacing w:line="220" w:lineRule="atLeast"/>
      <w:ind w:left="1134"/>
      <w:jc w:val="right"/>
    </w:pPr>
    <w:rPr>
      <w:i/>
    </w:rPr>
  </w:style>
  <w:style w:type="paragraph" w:styleId="ListBullet">
    <w:name w:val="List Bullet"/>
    <w:basedOn w:val="BodyText"/>
    <w:uiPriority w:val="99"/>
    <w:rsid w:val="00DC338F"/>
    <w:pPr>
      <w:numPr>
        <w:numId w:val="6"/>
      </w:numPr>
      <w:spacing w:line="240" w:lineRule="auto"/>
    </w:pPr>
  </w:style>
  <w:style w:type="paragraph" w:styleId="ListBullet2">
    <w:name w:val="List Bullet 2"/>
    <w:basedOn w:val="ListBullet"/>
    <w:uiPriority w:val="99"/>
    <w:qFormat/>
    <w:rsid w:val="0059246E"/>
    <w:pPr>
      <w:numPr>
        <w:numId w:val="1"/>
      </w:numPr>
    </w:pPr>
  </w:style>
  <w:style w:type="paragraph" w:customStyle="1" w:styleId="zreportname">
    <w:name w:val="zreport name"/>
    <w:basedOn w:val="Normal"/>
    <w:semiHidden/>
    <w:rsid w:val="00085AF0"/>
    <w:pPr>
      <w:keepLines/>
      <w:spacing w:line="440" w:lineRule="exact"/>
      <w:jc w:val="center"/>
    </w:pPr>
    <w:rPr>
      <w:sz w:val="36"/>
    </w:rPr>
  </w:style>
  <w:style w:type="paragraph" w:customStyle="1" w:styleId="zcontents">
    <w:name w:val="zcontents"/>
    <w:basedOn w:val="Normal"/>
    <w:semiHidden/>
    <w:rsid w:val="003220CF"/>
    <w:pPr>
      <w:spacing w:after="260"/>
    </w:pPr>
    <w:rPr>
      <w:b/>
      <w:color w:val="000080"/>
    </w:rPr>
  </w:style>
  <w:style w:type="paragraph" w:customStyle="1" w:styleId="zcompanyname">
    <w:name w:val="zcompany name"/>
    <w:basedOn w:val="Normal"/>
    <w:semiHidden/>
    <w:rsid w:val="00085AF0"/>
    <w:pPr>
      <w:spacing w:after="400" w:line="440" w:lineRule="exact"/>
      <w:jc w:val="center"/>
    </w:pPr>
    <w:rPr>
      <w:b/>
      <w:noProof/>
      <w:sz w:val="26"/>
    </w:rPr>
  </w:style>
  <w:style w:type="paragraph" w:styleId="FootnoteText">
    <w:name w:val="footnote text"/>
    <w:basedOn w:val="Normal"/>
    <w:link w:val="FootnoteTextChar"/>
    <w:uiPriority w:val="99"/>
    <w:rsid w:val="00100543"/>
    <w:rPr>
      <w:sz w:val="18"/>
    </w:rPr>
  </w:style>
  <w:style w:type="paragraph" w:customStyle="1" w:styleId="zreportsubtitle">
    <w:name w:val="zreport subtitle"/>
    <w:basedOn w:val="zreportname"/>
    <w:semiHidden/>
    <w:rsid w:val="00085AF0"/>
    <w:rPr>
      <w:sz w:val="32"/>
    </w:rPr>
  </w:style>
  <w:style w:type="paragraph" w:styleId="BodyTextIndent">
    <w:name w:val="Body Text Indent"/>
    <w:basedOn w:val="BodyText"/>
    <w:link w:val="BodyTextIndentChar"/>
    <w:rsid w:val="00C80E21"/>
    <w:pPr>
      <w:ind w:left="340"/>
    </w:pPr>
  </w:style>
  <w:style w:type="paragraph" w:styleId="Index1">
    <w:name w:val="index 1"/>
    <w:basedOn w:val="Normal"/>
    <w:next w:val="Normal"/>
    <w:semiHidden/>
    <w:rsid w:val="00085AF0"/>
    <w:pPr>
      <w:keepNext/>
      <w:spacing w:before="260" w:line="280" w:lineRule="exact"/>
      <w:ind w:right="851"/>
    </w:pPr>
    <w:rPr>
      <w:b/>
    </w:rPr>
  </w:style>
  <w:style w:type="paragraph" w:customStyle="1" w:styleId="Graphic">
    <w:name w:val="Graphic"/>
    <w:basedOn w:val="Signature"/>
    <w:rsid w:val="00085AF0"/>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rsid w:val="00085AF0"/>
  </w:style>
  <w:style w:type="character" w:styleId="PageNumber">
    <w:name w:val="page number"/>
    <w:basedOn w:val="DefaultParagraphFont"/>
    <w:rsid w:val="0069444A"/>
    <w:rPr>
      <w:rFonts w:ascii="Univers 45 Light" w:hAnsi="Univers 45 Light"/>
      <w:sz w:val="18"/>
    </w:rPr>
  </w:style>
  <w:style w:type="paragraph" w:styleId="Index2">
    <w:name w:val="index 2"/>
    <w:basedOn w:val="Normal"/>
    <w:next w:val="Normal"/>
    <w:semiHidden/>
    <w:rsid w:val="00085AF0"/>
    <w:pPr>
      <w:ind w:left="340" w:right="851"/>
    </w:pPr>
  </w:style>
  <w:style w:type="paragraph" w:customStyle="1" w:styleId="zreportaddinfo">
    <w:name w:val="zreport addinfo"/>
    <w:basedOn w:val="Normal"/>
    <w:semiHidden/>
    <w:rsid w:val="00085AF0"/>
    <w:pPr>
      <w:framePr w:wrap="around" w:hAnchor="margin" w:xAlign="center" w:yAlign="bottom"/>
      <w:spacing w:line="240" w:lineRule="exact"/>
      <w:jc w:val="center"/>
    </w:pPr>
    <w:rPr>
      <w:noProof/>
    </w:rPr>
  </w:style>
  <w:style w:type="table" w:styleId="TableGrid">
    <w:name w:val="Table Grid"/>
    <w:basedOn w:val="TableNormal"/>
    <w:uiPriority w:val="39"/>
    <w:rsid w:val="00E833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Heading">
    <w:name w:val="Appendix Heading"/>
    <w:basedOn w:val="Heading1"/>
    <w:next w:val="BodyText"/>
    <w:rsid w:val="00CE1469"/>
    <w:pPr>
      <w:pageBreakBefore/>
      <w:numPr>
        <w:numId w:val="40"/>
      </w:numPr>
      <w:spacing w:before="240" w:line="240" w:lineRule="auto"/>
      <w:jc w:val="left"/>
      <w:outlineLvl w:val="9"/>
    </w:pPr>
    <w:rPr>
      <w:lang w:val="en-US"/>
    </w:rPr>
  </w:style>
  <w:style w:type="paragraph" w:styleId="ListBullet3">
    <w:name w:val="List Bullet 3"/>
    <w:basedOn w:val="ListBullet"/>
    <w:uiPriority w:val="99"/>
    <w:rsid w:val="00085AF0"/>
    <w:pPr>
      <w:numPr>
        <w:numId w:val="2"/>
      </w:numPr>
    </w:pPr>
    <w:rPr>
      <w:sz w:val="18"/>
    </w:rPr>
  </w:style>
  <w:style w:type="paragraph" w:customStyle="1" w:styleId="AppendixHeading2">
    <w:name w:val="Appendix Heading 2"/>
    <w:basedOn w:val="AppendixHeading"/>
    <w:next w:val="BodyText"/>
    <w:rsid w:val="005208FF"/>
    <w:pPr>
      <w:numPr>
        <w:numId w:val="39"/>
      </w:numPr>
      <w:outlineLvl w:val="1"/>
    </w:pPr>
  </w:style>
  <w:style w:type="paragraph" w:customStyle="1" w:styleId="AppendixHeading3">
    <w:name w:val="Appendix Heading 3"/>
    <w:basedOn w:val="Heading3"/>
    <w:next w:val="BodyText"/>
    <w:rsid w:val="005208FF"/>
    <w:pPr>
      <w:numPr>
        <w:numId w:val="40"/>
      </w:numPr>
    </w:pPr>
  </w:style>
  <w:style w:type="paragraph" w:customStyle="1" w:styleId="AppendixHeading4">
    <w:name w:val="Appendix Heading 4"/>
    <w:basedOn w:val="Heading4"/>
    <w:next w:val="BodyText"/>
    <w:rsid w:val="00CE1469"/>
    <w:pPr>
      <w:numPr>
        <w:ilvl w:val="0"/>
        <w:numId w:val="0"/>
      </w:numPr>
      <w:tabs>
        <w:tab w:val="num" w:pos="964"/>
      </w:tabs>
      <w:spacing w:before="240" w:line="240" w:lineRule="auto"/>
      <w:ind w:left="964" w:hanging="964"/>
      <w:outlineLvl w:val="9"/>
    </w:pPr>
  </w:style>
  <w:style w:type="paragraph" w:customStyle="1" w:styleId="AppendixHeading5">
    <w:name w:val="Appendix Heading 5"/>
    <w:basedOn w:val="Heading5"/>
    <w:next w:val="BodyText"/>
    <w:rsid w:val="00085AF0"/>
    <w:pPr>
      <w:outlineLvl w:val="9"/>
    </w:pPr>
  </w:style>
  <w:style w:type="paragraph" w:styleId="BodyText3">
    <w:name w:val="Body Text 3"/>
    <w:aliases w:val="Panel body text"/>
    <w:basedOn w:val="Normal"/>
    <w:rsid w:val="000C7C55"/>
    <w:rPr>
      <w:b/>
      <w:color w:val="003366"/>
      <w:sz w:val="18"/>
      <w:szCs w:val="18"/>
    </w:rPr>
  </w:style>
  <w:style w:type="paragraph" w:styleId="Caption">
    <w:name w:val="caption"/>
    <w:basedOn w:val="Normal"/>
    <w:next w:val="Normal"/>
    <w:uiPriority w:val="19"/>
    <w:qFormat/>
    <w:rsid w:val="00793B63"/>
    <w:pPr>
      <w:keepNext/>
    </w:pPr>
    <w:rPr>
      <w:bCs/>
      <w:i/>
    </w:rPr>
  </w:style>
  <w:style w:type="paragraph" w:styleId="ListBullet4">
    <w:name w:val="List Bullet 4"/>
    <w:basedOn w:val="ListBullet2"/>
    <w:rsid w:val="00085AF0"/>
    <w:pPr>
      <w:numPr>
        <w:numId w:val="3"/>
      </w:numPr>
    </w:pPr>
    <w:rPr>
      <w:sz w:val="18"/>
    </w:rPr>
  </w:style>
  <w:style w:type="paragraph" w:customStyle="1" w:styleId="zDocRevwH2">
    <w:name w:val="zDocRevwH2"/>
    <w:basedOn w:val="Normal"/>
    <w:semiHidden/>
    <w:rsid w:val="00085AF0"/>
    <w:pPr>
      <w:spacing w:before="130" w:after="130"/>
    </w:pPr>
    <w:rPr>
      <w:b/>
      <w:sz w:val="28"/>
    </w:rPr>
  </w:style>
  <w:style w:type="paragraph" w:customStyle="1" w:styleId="zDocRevwH1">
    <w:name w:val="zDocRevwH1"/>
    <w:basedOn w:val="Normal"/>
    <w:semiHidden/>
    <w:rsid w:val="00085AF0"/>
    <w:pPr>
      <w:spacing w:before="130" w:after="130"/>
    </w:pPr>
    <w:rPr>
      <w:b/>
      <w:sz w:val="32"/>
    </w:rPr>
  </w:style>
  <w:style w:type="paragraph" w:styleId="BalloonText">
    <w:name w:val="Balloon Text"/>
    <w:basedOn w:val="Normal"/>
    <w:link w:val="BalloonTextChar"/>
    <w:uiPriority w:val="99"/>
    <w:semiHidden/>
    <w:rsid w:val="00085AF0"/>
    <w:rPr>
      <w:rFonts w:ascii="Tahoma" w:hAnsi="Tahoma" w:cs="Tahoma"/>
      <w:sz w:val="16"/>
      <w:szCs w:val="16"/>
    </w:rPr>
  </w:style>
  <w:style w:type="paragraph" w:customStyle="1" w:styleId="Tablebodytext">
    <w:name w:val="Table body text"/>
    <w:basedOn w:val="BodyText"/>
    <w:link w:val="TablebodytextChar"/>
    <w:rsid w:val="00423710"/>
    <w:pPr>
      <w:spacing w:before="60" w:after="60" w:line="240" w:lineRule="auto"/>
    </w:pPr>
    <w:rPr>
      <w:sz w:val="18"/>
    </w:rPr>
  </w:style>
  <w:style w:type="paragraph" w:customStyle="1" w:styleId="Tabledotbullet">
    <w:name w:val="Table dot bullet"/>
    <w:basedOn w:val="ListBullet"/>
    <w:rsid w:val="004919EC"/>
    <w:pPr>
      <w:spacing w:before="60"/>
      <w:ind w:left="221" w:hanging="221"/>
    </w:pPr>
    <w:rPr>
      <w:sz w:val="16"/>
    </w:rPr>
  </w:style>
  <w:style w:type="paragraph" w:customStyle="1" w:styleId="TableHeading1">
    <w:name w:val="Table Heading 1"/>
    <w:basedOn w:val="Tablebodytext"/>
    <w:rsid w:val="004919EC"/>
    <w:rPr>
      <w:b/>
      <w:color w:val="FFFFFF"/>
    </w:rPr>
  </w:style>
  <w:style w:type="paragraph" w:customStyle="1" w:styleId="TableHeading2">
    <w:name w:val="Table Heading 2"/>
    <w:basedOn w:val="Tablebodytext"/>
    <w:rsid w:val="004919EC"/>
    <w:rPr>
      <w:b/>
      <w:color w:val="003366"/>
    </w:rPr>
  </w:style>
  <w:style w:type="paragraph" w:customStyle="1" w:styleId="Tabledotbullet2">
    <w:name w:val="Table dot bullet 2"/>
    <w:basedOn w:val="ListBullet4"/>
    <w:rsid w:val="004919EC"/>
    <w:pPr>
      <w:spacing w:before="60"/>
    </w:pPr>
    <w:rPr>
      <w:sz w:val="16"/>
    </w:rPr>
  </w:style>
  <w:style w:type="character" w:styleId="Hyperlink">
    <w:name w:val="Hyperlink"/>
    <w:basedOn w:val="DefaultParagraphFont"/>
    <w:uiPriority w:val="99"/>
    <w:rsid w:val="00526818"/>
    <w:rPr>
      <w:color w:val="0000FF"/>
      <w:u w:val="single"/>
    </w:rPr>
  </w:style>
  <w:style w:type="character" w:styleId="FollowedHyperlink">
    <w:name w:val="FollowedHyperlink"/>
    <w:basedOn w:val="DefaultParagraphFont"/>
    <w:uiPriority w:val="99"/>
    <w:rsid w:val="00853D3A"/>
    <w:rPr>
      <w:color w:val="606420"/>
      <w:u w:val="single"/>
    </w:rPr>
  </w:style>
  <w:style w:type="paragraph" w:customStyle="1" w:styleId="ContentsPage">
    <w:name w:val="Contents Page"/>
    <w:basedOn w:val="HeadingLevel2NoNumber"/>
    <w:next w:val="BodyText"/>
    <w:rsid w:val="00233BC7"/>
  </w:style>
  <w:style w:type="paragraph" w:customStyle="1" w:styleId="BodyText1">
    <w:name w:val="Body Text 1"/>
    <w:basedOn w:val="Normal"/>
    <w:rsid w:val="000D704C"/>
    <w:pPr>
      <w:spacing w:before="240" w:line="240" w:lineRule="atLeast"/>
    </w:pPr>
    <w:rPr>
      <w:szCs w:val="22"/>
    </w:rPr>
  </w:style>
  <w:style w:type="character" w:styleId="FootnoteReference">
    <w:name w:val="footnote reference"/>
    <w:basedOn w:val="DefaultParagraphFont"/>
    <w:uiPriority w:val="99"/>
    <w:rsid w:val="002B6565"/>
    <w:rPr>
      <w:vertAlign w:val="superscript"/>
    </w:rPr>
  </w:style>
  <w:style w:type="character" w:customStyle="1" w:styleId="BodyTextChar">
    <w:name w:val="Body Text Char"/>
    <w:basedOn w:val="DefaultParagraphFont"/>
    <w:link w:val="BodyText"/>
    <w:uiPriority w:val="99"/>
    <w:rsid w:val="00871CE0"/>
    <w:rPr>
      <w:rFonts w:ascii="Univers 45 Light" w:hAnsi="Univers 45 Light"/>
      <w:sz w:val="24"/>
      <w:lang w:eastAsia="en-US"/>
    </w:rPr>
  </w:style>
  <w:style w:type="paragraph" w:customStyle="1" w:styleId="HeadLevel1NoNumber">
    <w:name w:val="HeadLevel1NoNumber"/>
    <w:basedOn w:val="Heading2"/>
    <w:next w:val="BodyText"/>
    <w:rsid w:val="003E2D88"/>
    <w:pPr>
      <w:numPr>
        <w:numId w:val="0"/>
      </w:numPr>
      <w:ind w:left="720" w:hanging="720"/>
    </w:pPr>
  </w:style>
  <w:style w:type="paragraph" w:customStyle="1" w:styleId="StyleBodyText1Before0pt">
    <w:name w:val="Style Body Text 1 + Before:  0 pt"/>
    <w:basedOn w:val="BodyText1"/>
    <w:rsid w:val="00CD47DA"/>
    <w:pPr>
      <w:spacing w:before="130" w:after="0" w:line="240" w:lineRule="auto"/>
      <w:jc w:val="both"/>
    </w:pPr>
    <w:rPr>
      <w:szCs w:val="20"/>
    </w:rPr>
  </w:style>
  <w:style w:type="paragraph" w:customStyle="1" w:styleId="StyleBodyText1Before6pt">
    <w:name w:val="Style Body Text 1 + Before:  6 pt"/>
    <w:basedOn w:val="BodyText1"/>
    <w:rsid w:val="00C91985"/>
    <w:pPr>
      <w:spacing w:before="130" w:after="0" w:line="240" w:lineRule="auto"/>
    </w:pPr>
    <w:rPr>
      <w:szCs w:val="20"/>
    </w:rPr>
  </w:style>
  <w:style w:type="paragraph" w:customStyle="1" w:styleId="TableBullet1">
    <w:name w:val="TableBullet1"/>
    <w:basedOn w:val="ListBullet"/>
    <w:rsid w:val="00DC338F"/>
    <w:rPr>
      <w:szCs w:val="18"/>
    </w:rPr>
  </w:style>
  <w:style w:type="paragraph" w:customStyle="1" w:styleId="TableBullet2">
    <w:name w:val="TableBullet2"/>
    <w:basedOn w:val="Tabledotbullet2"/>
    <w:rsid w:val="005D588B"/>
    <w:pPr>
      <w:keepLines/>
    </w:pPr>
    <w:rPr>
      <w:sz w:val="18"/>
    </w:rPr>
  </w:style>
  <w:style w:type="paragraph" w:customStyle="1" w:styleId="Tablehead">
    <w:name w:val="Tablehead"/>
    <w:basedOn w:val="BodyText"/>
    <w:rsid w:val="005D588B"/>
    <w:pPr>
      <w:spacing w:before="60"/>
    </w:pPr>
    <w:rPr>
      <w:b/>
      <w:color w:val="FFFFFF"/>
      <w:sz w:val="18"/>
      <w:szCs w:val="18"/>
      <w:shd w:val="clear" w:color="auto" w:fill="000080"/>
    </w:rPr>
  </w:style>
  <w:style w:type="paragraph" w:customStyle="1" w:styleId="bodyindentbullet1">
    <w:name w:val="bodyindentbullet1"/>
    <w:basedOn w:val="BodyText"/>
    <w:rsid w:val="00C2624F"/>
    <w:pPr>
      <w:numPr>
        <w:ilvl w:val="1"/>
        <w:numId w:val="4"/>
      </w:numPr>
      <w:tabs>
        <w:tab w:val="clear" w:pos="340"/>
        <w:tab w:val="num" w:pos="770"/>
      </w:tabs>
      <w:ind w:left="770"/>
    </w:pPr>
  </w:style>
  <w:style w:type="paragraph" w:styleId="EndnoteText">
    <w:name w:val="endnote text"/>
    <w:basedOn w:val="Normal"/>
    <w:link w:val="EndnoteTextChar"/>
    <w:uiPriority w:val="99"/>
    <w:rsid w:val="0078543F"/>
  </w:style>
  <w:style w:type="character" w:styleId="EndnoteReference">
    <w:name w:val="endnote reference"/>
    <w:basedOn w:val="DefaultParagraphFont"/>
    <w:uiPriority w:val="99"/>
    <w:rsid w:val="0078543F"/>
    <w:rPr>
      <w:vertAlign w:val="superscript"/>
    </w:rPr>
  </w:style>
  <w:style w:type="character" w:customStyle="1" w:styleId="saptxtstd1">
    <w:name w:val="saptxtstd1"/>
    <w:basedOn w:val="DefaultParagraphFont"/>
    <w:rsid w:val="004A4F89"/>
    <w:rPr>
      <w:rFonts w:ascii="Arial" w:hAnsi="Arial" w:cs="Arial" w:hint="default"/>
      <w:b w:val="0"/>
      <w:bCs w:val="0"/>
      <w:i w:val="0"/>
      <w:iCs w:val="0"/>
      <w:color w:val="000000"/>
      <w:sz w:val="20"/>
      <w:szCs w:val="20"/>
    </w:rPr>
  </w:style>
  <w:style w:type="character" w:customStyle="1" w:styleId="TablebodytextChar">
    <w:name w:val="Table body text Char"/>
    <w:basedOn w:val="BodyTextChar"/>
    <w:link w:val="Tablebodytext"/>
    <w:rsid w:val="00423710"/>
    <w:rPr>
      <w:rFonts w:ascii="Univers 45 Light" w:hAnsi="Univers 45 Light"/>
      <w:sz w:val="18"/>
      <w:lang w:eastAsia="en-US"/>
    </w:rPr>
  </w:style>
  <w:style w:type="character" w:styleId="Emphasis">
    <w:name w:val="Emphasis"/>
    <w:basedOn w:val="DefaultParagraphFont"/>
    <w:uiPriority w:val="20"/>
    <w:qFormat/>
    <w:rsid w:val="00C231BB"/>
    <w:rPr>
      <w:i/>
      <w:iCs/>
    </w:rPr>
  </w:style>
  <w:style w:type="character" w:customStyle="1" w:styleId="HeaderChar">
    <w:name w:val="Header Char"/>
    <w:basedOn w:val="DefaultParagraphFont"/>
    <w:link w:val="Header"/>
    <w:uiPriority w:val="99"/>
    <w:rsid w:val="002C0B52"/>
    <w:rPr>
      <w:rFonts w:ascii="Univers 45 Light" w:hAnsi="Univers 45 Light"/>
      <w:i/>
      <w:sz w:val="22"/>
      <w:lang w:eastAsia="en-US"/>
    </w:rPr>
  </w:style>
  <w:style w:type="character" w:customStyle="1" w:styleId="Heading1Char">
    <w:name w:val="Heading 1 Char"/>
    <w:basedOn w:val="HeaderChar"/>
    <w:link w:val="Heading1"/>
    <w:uiPriority w:val="9"/>
    <w:rsid w:val="00233BC7"/>
    <w:rPr>
      <w:rFonts w:ascii="Univers 45 Light" w:hAnsi="Univers 45 Light"/>
      <w:i w:val="0"/>
      <w:sz w:val="52"/>
      <w:szCs w:val="32"/>
      <w:lang w:eastAsia="en-US"/>
    </w:rPr>
  </w:style>
  <w:style w:type="character" w:customStyle="1" w:styleId="Heading2Char">
    <w:name w:val="Heading 2 Char"/>
    <w:basedOn w:val="Heading1Char"/>
    <w:link w:val="Heading2"/>
    <w:uiPriority w:val="9"/>
    <w:rsid w:val="008C1FCA"/>
    <w:rPr>
      <w:rFonts w:ascii="Univers 45 Light" w:hAnsi="Univers 45 Light"/>
      <w:b/>
      <w:i w:val="0"/>
      <w:color w:val="17365D" w:themeColor="text2" w:themeShade="BF"/>
      <w:sz w:val="32"/>
      <w:szCs w:val="32"/>
      <w:lang w:eastAsia="en-US"/>
    </w:rPr>
  </w:style>
  <w:style w:type="character" w:customStyle="1" w:styleId="Heading3Char">
    <w:name w:val="Heading 3 Char"/>
    <w:basedOn w:val="Heading2Char"/>
    <w:link w:val="Heading3"/>
    <w:uiPriority w:val="9"/>
    <w:rsid w:val="002E0701"/>
    <w:rPr>
      <w:rFonts w:ascii="Univers 45 Light" w:hAnsi="Univers 45 Light"/>
      <w:b/>
      <w:i w:val="0"/>
      <w:color w:val="17365D" w:themeColor="text2" w:themeShade="BF"/>
      <w:sz w:val="24"/>
      <w:szCs w:val="32"/>
      <w:lang w:val="en-US" w:eastAsia="en-US"/>
    </w:rPr>
  </w:style>
  <w:style w:type="character" w:styleId="CommentReference">
    <w:name w:val="annotation reference"/>
    <w:basedOn w:val="DefaultParagraphFont"/>
    <w:uiPriority w:val="99"/>
    <w:rsid w:val="0000262F"/>
    <w:rPr>
      <w:sz w:val="16"/>
      <w:szCs w:val="16"/>
    </w:rPr>
  </w:style>
  <w:style w:type="paragraph" w:styleId="CommentText">
    <w:name w:val="annotation text"/>
    <w:basedOn w:val="Normal"/>
    <w:link w:val="CommentTextChar"/>
    <w:uiPriority w:val="99"/>
    <w:rsid w:val="0000262F"/>
  </w:style>
  <w:style w:type="paragraph" w:styleId="CommentSubject">
    <w:name w:val="annotation subject"/>
    <w:basedOn w:val="CommentText"/>
    <w:next w:val="CommentText"/>
    <w:link w:val="CommentSubjectChar"/>
    <w:uiPriority w:val="99"/>
    <w:semiHidden/>
    <w:rsid w:val="0000262F"/>
    <w:rPr>
      <w:b/>
      <w:bCs/>
    </w:rPr>
  </w:style>
  <w:style w:type="paragraph" w:customStyle="1" w:styleId="TableSubHead">
    <w:name w:val="TableSubHead"/>
    <w:basedOn w:val="BodyText"/>
    <w:rsid w:val="009B38BC"/>
    <w:rPr>
      <w:b/>
      <w:color w:val="003366"/>
      <w:sz w:val="18"/>
    </w:rPr>
  </w:style>
  <w:style w:type="paragraph" w:customStyle="1" w:styleId="tabletext">
    <w:name w:val="table text"/>
    <w:basedOn w:val="BodyText"/>
    <w:rsid w:val="002F10A7"/>
    <w:pPr>
      <w:spacing w:after="130"/>
    </w:pPr>
    <w:rPr>
      <w:rFonts w:eastAsia="MS Mincho"/>
      <w:szCs w:val="24"/>
      <w:lang w:eastAsia="ja-JP"/>
    </w:rPr>
  </w:style>
  <w:style w:type="paragraph" w:customStyle="1" w:styleId="TitleReport">
    <w:name w:val="TitleReport"/>
    <w:basedOn w:val="BodyText"/>
    <w:rsid w:val="009F5B28"/>
    <w:pPr>
      <w:ind w:left="1980" w:right="2097"/>
    </w:pPr>
    <w:rPr>
      <w:color w:val="000080"/>
    </w:rPr>
  </w:style>
  <w:style w:type="paragraph" w:customStyle="1" w:styleId="BoxText">
    <w:name w:val="BoxText"/>
    <w:basedOn w:val="BodyText"/>
    <w:rsid w:val="009F5B28"/>
    <w:pPr>
      <w:pBdr>
        <w:top w:val="single" w:sz="4" w:space="1" w:color="auto"/>
        <w:left w:val="single" w:sz="4" w:space="4" w:color="auto"/>
        <w:bottom w:val="single" w:sz="4" w:space="1" w:color="auto"/>
        <w:right w:val="single" w:sz="4" w:space="4" w:color="auto"/>
      </w:pBdr>
      <w:shd w:val="clear" w:color="auto" w:fill="B8B9D2"/>
    </w:pPr>
  </w:style>
  <w:style w:type="paragraph" w:customStyle="1" w:styleId="BodyText0">
    <w:name w:val="_Body Text"/>
    <w:basedOn w:val="Normal"/>
    <w:qFormat/>
    <w:rsid w:val="000C0F42"/>
    <w:pPr>
      <w:spacing w:after="280" w:line="288" w:lineRule="atLeast"/>
    </w:pPr>
    <w:rPr>
      <w:rFonts w:ascii="Arial" w:eastAsia="Calibri" w:hAnsi="Arial"/>
      <w:color w:val="000000"/>
      <w:szCs w:val="22"/>
      <w:lang w:val="en-GB"/>
    </w:rPr>
  </w:style>
  <w:style w:type="paragraph" w:customStyle="1" w:styleId="BulletText">
    <w:name w:val="_Bullet Text"/>
    <w:basedOn w:val="Normal"/>
    <w:qFormat/>
    <w:rsid w:val="000C0F42"/>
    <w:pPr>
      <w:numPr>
        <w:numId w:val="8"/>
      </w:numPr>
      <w:tabs>
        <w:tab w:val="left" w:pos="227"/>
      </w:tabs>
      <w:spacing w:line="288" w:lineRule="atLeast"/>
      <w:ind w:left="227" w:hanging="227"/>
    </w:pPr>
    <w:rPr>
      <w:rFonts w:ascii="Arial" w:eastAsia="Calibri" w:hAnsi="Arial"/>
      <w:color w:val="000000"/>
      <w:szCs w:val="22"/>
      <w:lang w:val="en-GB"/>
    </w:rPr>
  </w:style>
  <w:style w:type="paragraph" w:customStyle="1" w:styleId="DocumentTitle">
    <w:name w:val="_Document Title"/>
    <w:basedOn w:val="Normal"/>
    <w:qFormat/>
    <w:rsid w:val="000C0F42"/>
    <w:pPr>
      <w:spacing w:after="300" w:line="648" w:lineRule="atLeast"/>
    </w:pPr>
    <w:rPr>
      <w:rFonts w:ascii="Arial" w:eastAsia="Calibri" w:hAnsi="Arial"/>
      <w:b/>
      <w:color w:val="FFFFFF"/>
      <w:sz w:val="60"/>
      <w:szCs w:val="22"/>
      <w:lang w:val="en-GB"/>
    </w:rPr>
  </w:style>
  <w:style w:type="paragraph" w:customStyle="1" w:styleId="ReportDate">
    <w:name w:val="_Report Date"/>
    <w:basedOn w:val="Normal"/>
    <w:qFormat/>
    <w:rsid w:val="000C0F42"/>
    <w:pPr>
      <w:spacing w:line="288" w:lineRule="atLeast"/>
    </w:pPr>
    <w:rPr>
      <w:rFonts w:ascii="Arial" w:eastAsia="Calibri" w:hAnsi="Arial"/>
      <w:color w:val="FFFFFF"/>
      <w:szCs w:val="22"/>
      <w:lang w:val="en-GB"/>
    </w:rPr>
  </w:style>
  <w:style w:type="paragraph" w:customStyle="1" w:styleId="AdditionalInfo">
    <w:name w:val="_Additional Info"/>
    <w:basedOn w:val="BodyText0"/>
    <w:rsid w:val="000C0F42"/>
    <w:rPr>
      <w:color w:val="FFFFFF"/>
    </w:rPr>
  </w:style>
  <w:style w:type="paragraph" w:customStyle="1" w:styleId="Disclaimer">
    <w:name w:val="_Disclaimer"/>
    <w:basedOn w:val="Normal"/>
    <w:qFormat/>
    <w:rsid w:val="002C0B52"/>
    <w:pPr>
      <w:keepLines/>
      <w:pBdr>
        <w:top w:val="single" w:sz="4" w:space="1" w:color="auto"/>
        <w:left w:val="single" w:sz="4" w:space="4" w:color="auto"/>
        <w:bottom w:val="single" w:sz="4" w:space="1" w:color="auto"/>
        <w:right w:val="single" w:sz="4" w:space="4" w:color="auto"/>
      </w:pBdr>
    </w:pPr>
    <w:rPr>
      <w:rFonts w:eastAsia="Calibri"/>
      <w:i/>
      <w:color w:val="000000"/>
      <w:szCs w:val="22"/>
      <w:lang w:val="en-GB"/>
    </w:rPr>
  </w:style>
  <w:style w:type="character" w:customStyle="1" w:styleId="BodyTextIndentChar">
    <w:name w:val="Body Text Indent Char"/>
    <w:basedOn w:val="BodyTextChar"/>
    <w:link w:val="BodyTextIndent"/>
    <w:rsid w:val="00022700"/>
    <w:rPr>
      <w:rFonts w:ascii="Univers 45 Light" w:hAnsi="Univers 45 Light"/>
      <w:sz w:val="24"/>
      <w:lang w:eastAsia="en-US"/>
    </w:rPr>
  </w:style>
  <w:style w:type="character" w:customStyle="1" w:styleId="Heading4Char">
    <w:name w:val="Heading 4 Char"/>
    <w:basedOn w:val="DefaultParagraphFont"/>
    <w:link w:val="Heading4"/>
    <w:uiPriority w:val="9"/>
    <w:rsid w:val="00185CCF"/>
    <w:rPr>
      <w:rFonts w:ascii="Univers 45 Light" w:hAnsi="Univers 45 Light"/>
      <w:b/>
      <w:i/>
      <w:sz w:val="24"/>
      <w:lang w:val="en-US" w:eastAsia="en-US"/>
    </w:rPr>
  </w:style>
  <w:style w:type="character" w:customStyle="1" w:styleId="Heading7Char">
    <w:name w:val="Heading 7 Char"/>
    <w:basedOn w:val="DefaultParagraphFont"/>
    <w:link w:val="Heading7"/>
    <w:uiPriority w:val="9"/>
    <w:rsid w:val="00260E7F"/>
    <w:rPr>
      <w:rFonts w:ascii="Univers 45 Light" w:hAnsi="Univers 45 Light"/>
      <w:sz w:val="24"/>
      <w:lang w:eastAsia="en-US"/>
    </w:rPr>
  </w:style>
  <w:style w:type="character" w:customStyle="1" w:styleId="Heading8Char">
    <w:name w:val="Heading 8 Char"/>
    <w:basedOn w:val="DefaultParagraphFont"/>
    <w:link w:val="Heading8"/>
    <w:uiPriority w:val="9"/>
    <w:rsid w:val="00260E7F"/>
    <w:rPr>
      <w:rFonts w:ascii="Univers 45 Light" w:hAnsi="Univers 45 Light"/>
      <w:sz w:val="24"/>
      <w:lang w:eastAsia="en-US"/>
    </w:rPr>
  </w:style>
  <w:style w:type="paragraph" w:customStyle="1" w:styleId="Body">
    <w:name w:val="Body"/>
    <w:link w:val="BodyChar"/>
    <w:uiPriority w:val="99"/>
    <w:qFormat/>
    <w:rsid w:val="00260E7F"/>
    <w:pPr>
      <w:spacing w:after="100" w:afterAutospacing="1" w:line="240" w:lineRule="exact"/>
    </w:pPr>
    <w:rPr>
      <w:rFonts w:ascii="Arial" w:eastAsiaTheme="minorHAnsi" w:hAnsi="Arial" w:cstheme="minorBidi"/>
      <w:color w:val="000000" w:themeColor="text1"/>
      <w:sz w:val="18"/>
      <w:szCs w:val="22"/>
      <w:lang w:val="en-GB" w:eastAsia="en-US"/>
    </w:rPr>
  </w:style>
  <w:style w:type="paragraph" w:customStyle="1" w:styleId="Normal0">
    <w:name w:val="___Normal"/>
    <w:basedOn w:val="Body"/>
    <w:qFormat/>
    <w:rsid w:val="00260E7F"/>
  </w:style>
  <w:style w:type="character" w:customStyle="1" w:styleId="BodyChar">
    <w:name w:val="Body Char"/>
    <w:basedOn w:val="DefaultParagraphFont"/>
    <w:link w:val="Body"/>
    <w:rsid w:val="00260E7F"/>
    <w:rPr>
      <w:rFonts w:ascii="Arial" w:eastAsiaTheme="minorHAnsi" w:hAnsi="Arial" w:cstheme="minorBidi"/>
      <w:color w:val="000000" w:themeColor="text1"/>
      <w:sz w:val="18"/>
      <w:szCs w:val="22"/>
      <w:lang w:val="en-GB" w:eastAsia="en-US"/>
    </w:rPr>
  </w:style>
  <w:style w:type="paragraph" w:customStyle="1" w:styleId="baseTable">
    <w:name w:val="__base Table"/>
    <w:basedOn w:val="Normal0"/>
    <w:rsid w:val="00260E7F"/>
  </w:style>
  <w:style w:type="paragraph" w:customStyle="1" w:styleId="baseFooter">
    <w:name w:val="__base Footer"/>
    <w:basedOn w:val="Normal0"/>
    <w:qFormat/>
    <w:rsid w:val="00260E7F"/>
    <w:pPr>
      <w:spacing w:line="192" w:lineRule="atLeast"/>
    </w:pPr>
    <w:rPr>
      <w:sz w:val="16"/>
    </w:rPr>
  </w:style>
  <w:style w:type="paragraph" w:customStyle="1" w:styleId="Title">
    <w:name w:val="_Title"/>
    <w:basedOn w:val="Normal0"/>
    <w:qFormat/>
    <w:rsid w:val="00260E7F"/>
    <w:pPr>
      <w:spacing w:after="400" w:line="648" w:lineRule="atLeast"/>
    </w:pPr>
    <w:rPr>
      <w:b/>
      <w:color w:val="00338D"/>
      <w:sz w:val="60"/>
    </w:rPr>
  </w:style>
  <w:style w:type="paragraph" w:customStyle="1" w:styleId="IntroParagraph">
    <w:name w:val="_Intro Paragraph"/>
    <w:basedOn w:val="Normal0"/>
    <w:next w:val="BodyText0"/>
    <w:qFormat/>
    <w:rsid w:val="00260E7F"/>
    <w:pPr>
      <w:spacing w:after="288" w:line="360" w:lineRule="atLeast"/>
    </w:pPr>
    <w:rPr>
      <w:color w:val="00338D"/>
      <w:sz w:val="30"/>
    </w:rPr>
  </w:style>
  <w:style w:type="paragraph" w:customStyle="1" w:styleId="Heading3nonumbers">
    <w:name w:val="Heading 3 no numbers"/>
    <w:basedOn w:val="Normal0"/>
    <w:next w:val="BodyText0"/>
    <w:qFormat/>
    <w:rsid w:val="00871CE0"/>
    <w:pPr>
      <w:spacing w:line="288" w:lineRule="atLeast"/>
      <w:outlineLvl w:val="2"/>
    </w:pPr>
    <w:rPr>
      <w:rFonts w:ascii="Segoe UI" w:hAnsi="Segoe UI" w:cs="Segoe UI"/>
      <w:b/>
      <w:color w:val="00338D"/>
      <w:sz w:val="28"/>
    </w:rPr>
  </w:style>
  <w:style w:type="paragraph" w:customStyle="1" w:styleId="SubTitle">
    <w:name w:val="_Sub Title"/>
    <w:basedOn w:val="Normal0"/>
    <w:next w:val="IntroParagraph"/>
    <w:qFormat/>
    <w:rsid w:val="00260E7F"/>
    <w:pPr>
      <w:spacing w:after="300" w:line="300" w:lineRule="atLeast"/>
    </w:pPr>
    <w:rPr>
      <w:b/>
      <w:color w:val="00338D"/>
      <w:sz w:val="30"/>
    </w:rPr>
  </w:style>
  <w:style w:type="paragraph" w:customStyle="1" w:styleId="Tabletext0">
    <w:name w:val="_Table text"/>
    <w:basedOn w:val="baseTable"/>
    <w:qFormat/>
    <w:rsid w:val="00260E7F"/>
    <w:pPr>
      <w:shd w:val="clear" w:color="auto" w:fill="D4DCD2"/>
      <w:spacing w:line="240" w:lineRule="atLeast"/>
      <w:ind w:left="85" w:right="85"/>
    </w:pPr>
  </w:style>
  <w:style w:type="paragraph" w:customStyle="1" w:styleId="Tabletextleft">
    <w:name w:val="_Table text left"/>
    <w:basedOn w:val="Tabletext0"/>
    <w:qFormat/>
    <w:rsid w:val="00260E7F"/>
  </w:style>
  <w:style w:type="paragraph" w:customStyle="1" w:styleId="Tabletextright">
    <w:name w:val="_Table text right"/>
    <w:basedOn w:val="Tabletext0"/>
    <w:qFormat/>
    <w:rsid w:val="00260E7F"/>
    <w:pPr>
      <w:jc w:val="right"/>
    </w:pPr>
  </w:style>
  <w:style w:type="paragraph" w:customStyle="1" w:styleId="Termsheading">
    <w:name w:val="_Terms heading"/>
    <w:basedOn w:val="Normal0"/>
    <w:qFormat/>
    <w:rsid w:val="00260E7F"/>
    <w:rPr>
      <w:b/>
    </w:rPr>
  </w:style>
  <w:style w:type="paragraph" w:customStyle="1" w:styleId="baseContact">
    <w:name w:val="__base Contact"/>
    <w:basedOn w:val="Normal0"/>
    <w:qFormat/>
    <w:rsid w:val="00260E7F"/>
    <w:pPr>
      <w:spacing w:line="240" w:lineRule="atLeast"/>
    </w:pPr>
  </w:style>
  <w:style w:type="paragraph" w:customStyle="1" w:styleId="Contactheading">
    <w:name w:val="_Contact heading"/>
    <w:basedOn w:val="baseContact"/>
    <w:rsid w:val="00260E7F"/>
    <w:rPr>
      <w:b/>
    </w:rPr>
  </w:style>
  <w:style w:type="paragraph" w:customStyle="1" w:styleId="Contactname">
    <w:name w:val="_Contact name"/>
    <w:basedOn w:val="baseContact"/>
    <w:next w:val="Contactsectorname"/>
    <w:qFormat/>
    <w:rsid w:val="00260E7F"/>
    <w:pPr>
      <w:spacing w:before="240"/>
    </w:pPr>
    <w:rPr>
      <w:b/>
      <w:color w:val="00338D"/>
    </w:rPr>
  </w:style>
  <w:style w:type="paragraph" w:customStyle="1" w:styleId="Contactsectorname">
    <w:name w:val="_Contact sector name"/>
    <w:basedOn w:val="baseContact"/>
    <w:next w:val="Contacttelephone"/>
    <w:qFormat/>
    <w:rsid w:val="00260E7F"/>
    <w:rPr>
      <w:b/>
    </w:rPr>
  </w:style>
  <w:style w:type="paragraph" w:customStyle="1" w:styleId="Contacttelephone">
    <w:name w:val="_Contact telephone"/>
    <w:basedOn w:val="baseContact"/>
    <w:next w:val="Contactemail"/>
    <w:qFormat/>
    <w:rsid w:val="00260E7F"/>
  </w:style>
  <w:style w:type="paragraph" w:customStyle="1" w:styleId="Contactemail">
    <w:name w:val="_Contact email"/>
    <w:basedOn w:val="baseContact"/>
    <w:next w:val="Contactname"/>
    <w:qFormat/>
    <w:rsid w:val="00260E7F"/>
  </w:style>
  <w:style w:type="character" w:customStyle="1" w:styleId="FooterChar">
    <w:name w:val="Footer Char"/>
    <w:basedOn w:val="DefaultParagraphFont"/>
    <w:link w:val="Footer"/>
    <w:uiPriority w:val="99"/>
    <w:rsid w:val="0052509A"/>
    <w:rPr>
      <w:rFonts w:ascii="Univers 45 Light" w:hAnsi="Univers 45 Light"/>
      <w:sz w:val="22"/>
      <w:lang w:eastAsia="en-US"/>
    </w:rPr>
  </w:style>
  <w:style w:type="character" w:customStyle="1" w:styleId="BalloonTextChar">
    <w:name w:val="Balloon Text Char"/>
    <w:basedOn w:val="DefaultParagraphFont"/>
    <w:link w:val="BalloonText"/>
    <w:uiPriority w:val="99"/>
    <w:semiHidden/>
    <w:rsid w:val="00260E7F"/>
    <w:rPr>
      <w:rFonts w:ascii="Tahoma" w:hAnsi="Tahoma" w:cs="Tahoma"/>
      <w:sz w:val="16"/>
      <w:szCs w:val="16"/>
      <w:lang w:eastAsia="en-US"/>
    </w:rPr>
  </w:style>
  <w:style w:type="paragraph" w:customStyle="1" w:styleId="Footer0">
    <w:name w:val="_Footer"/>
    <w:basedOn w:val="baseFooter"/>
    <w:qFormat/>
    <w:rsid w:val="00260E7F"/>
    <w:pPr>
      <w:spacing w:after="200" w:line="276" w:lineRule="auto"/>
      <w:jc w:val="right"/>
    </w:pPr>
    <w:rPr>
      <w:caps/>
      <w:color w:val="00338D"/>
      <w:sz w:val="14"/>
    </w:rPr>
  </w:style>
  <w:style w:type="paragraph" w:customStyle="1" w:styleId="ContentsTitle">
    <w:name w:val="_Contents Title"/>
    <w:basedOn w:val="Title"/>
    <w:rsid w:val="00260E7F"/>
    <w:pPr>
      <w:spacing w:after="1120"/>
    </w:pPr>
  </w:style>
  <w:style w:type="table" w:customStyle="1" w:styleId="ReportTable">
    <w:name w:val="Report Table"/>
    <w:basedOn w:val="TableNormal"/>
    <w:uiPriority w:val="99"/>
    <w:rsid w:val="00B05119"/>
    <w:rPr>
      <w:rFonts w:ascii="Univers 45 Light" w:hAnsi="Univers 45 Light"/>
      <w:sz w:val="24"/>
    </w:rPr>
    <w:tblPr>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Pr>
    <w:tblStylePr w:type="firstRow">
      <w:rPr>
        <w:rFonts w:ascii="Univers 45 Light" w:hAnsi="Univers 45 Light"/>
        <w:b/>
        <w:color w:val="FFFFFF" w:themeColor="background1"/>
        <w:sz w:val="24"/>
      </w:rPr>
      <w:tblPr/>
      <w:tcPr>
        <w:shd w:val="clear" w:color="auto" w:fill="17365D" w:themeFill="text2" w:themeFillShade="BF"/>
      </w:tcPr>
    </w:tblStylePr>
    <w:tblStylePr w:type="lastRow">
      <w:rPr>
        <w:b/>
      </w:rPr>
    </w:tblStylePr>
    <w:tblStylePr w:type="firstCol">
      <w:rPr>
        <w:b/>
      </w:rPr>
    </w:tblStylePr>
    <w:tblStylePr w:type="lastCol">
      <w:rPr>
        <w:b/>
      </w:rPr>
    </w:tblStylePr>
  </w:style>
  <w:style w:type="paragraph" w:customStyle="1" w:styleId="Columnheading">
    <w:name w:val="_Column heading"/>
    <w:rsid w:val="00260E7F"/>
    <w:pPr>
      <w:spacing w:line="200" w:lineRule="atLeast"/>
      <w:ind w:left="85" w:right="85"/>
    </w:pPr>
    <w:rPr>
      <w:rFonts w:ascii="Arial" w:hAnsi="Arial" w:cs="Arial"/>
      <w:b/>
      <w:color w:val="FFFFFF"/>
      <w:szCs w:val="24"/>
      <w:lang w:val="en-GB" w:eastAsia="en-GB"/>
    </w:rPr>
  </w:style>
  <w:style w:type="paragraph" w:customStyle="1" w:styleId="HyphenatedBulletText">
    <w:name w:val="_Hyphenated Bullet Text"/>
    <w:basedOn w:val="BulletText"/>
    <w:rsid w:val="00260E7F"/>
    <w:pPr>
      <w:numPr>
        <w:numId w:val="9"/>
      </w:numPr>
      <w:spacing w:afterAutospacing="1"/>
      <w:ind w:left="1021" w:hanging="227"/>
    </w:pPr>
    <w:rPr>
      <w:rFonts w:eastAsiaTheme="minorHAnsi" w:cstheme="minorBidi"/>
      <w:color w:val="000000" w:themeColor="text1"/>
      <w:sz w:val="18"/>
    </w:rPr>
  </w:style>
  <w:style w:type="paragraph" w:customStyle="1" w:styleId="Numberedlevel1">
    <w:name w:val="_Numbered level 1"/>
    <w:next w:val="Numberedlevel2"/>
    <w:rsid w:val="00260E7F"/>
    <w:pPr>
      <w:numPr>
        <w:numId w:val="10"/>
      </w:numPr>
      <w:spacing w:before="170"/>
    </w:pPr>
    <w:rPr>
      <w:rFonts w:ascii="Arial" w:hAnsi="Arial" w:cs="Arial"/>
      <w:b/>
      <w:sz w:val="17"/>
      <w:szCs w:val="24"/>
      <w:lang w:val="en-GB" w:eastAsia="en-GB"/>
    </w:rPr>
  </w:style>
  <w:style w:type="paragraph" w:customStyle="1" w:styleId="Numberedlevel2">
    <w:name w:val="_Numbered level 2"/>
    <w:basedOn w:val="Numberedlevel1"/>
    <w:next w:val="Numberedlevel3"/>
    <w:rsid w:val="00260E7F"/>
    <w:pPr>
      <w:numPr>
        <w:ilvl w:val="1"/>
      </w:numPr>
      <w:spacing w:before="0"/>
    </w:pPr>
    <w:rPr>
      <w:b w:val="0"/>
      <w:sz w:val="14"/>
    </w:rPr>
  </w:style>
  <w:style w:type="paragraph" w:styleId="List">
    <w:name w:val="List"/>
    <w:basedOn w:val="Normal"/>
    <w:uiPriority w:val="99"/>
    <w:unhideWhenUsed/>
    <w:rsid w:val="00260E7F"/>
    <w:pPr>
      <w:ind w:left="283" w:hanging="283"/>
      <w:contextualSpacing/>
    </w:pPr>
    <w:rPr>
      <w:rFonts w:ascii="Arial" w:eastAsiaTheme="minorHAnsi" w:hAnsi="Arial" w:cstheme="minorBidi"/>
      <w:szCs w:val="22"/>
      <w:lang w:val="en-GB"/>
    </w:rPr>
  </w:style>
  <w:style w:type="paragraph" w:customStyle="1" w:styleId="Numberedlevel3">
    <w:name w:val="_Numbered level 3"/>
    <w:basedOn w:val="List"/>
    <w:rsid w:val="00260E7F"/>
    <w:pPr>
      <w:numPr>
        <w:ilvl w:val="2"/>
        <w:numId w:val="10"/>
      </w:numPr>
      <w:spacing w:line="170" w:lineRule="atLeast"/>
      <w:contextualSpacing w:val="0"/>
    </w:pPr>
    <w:rPr>
      <w:rFonts w:eastAsia="Times New Roman" w:cs="Arial"/>
      <w:sz w:val="14"/>
      <w:szCs w:val="24"/>
      <w:lang w:eastAsia="en-GB"/>
    </w:rPr>
  </w:style>
  <w:style w:type="paragraph" w:customStyle="1" w:styleId="Lastnumberedlevel2">
    <w:name w:val="_Last numbered level 2"/>
    <w:basedOn w:val="Numberedlevel2"/>
    <w:next w:val="Lastnumberedlevel3"/>
    <w:rsid w:val="00260E7F"/>
    <w:pPr>
      <w:numPr>
        <w:ilvl w:val="0"/>
        <w:numId w:val="11"/>
      </w:numPr>
      <w:spacing w:after="160"/>
      <w:ind w:left="357" w:hanging="357"/>
    </w:pPr>
  </w:style>
  <w:style w:type="paragraph" w:customStyle="1" w:styleId="Lastnumberedlevel3">
    <w:name w:val="_Last numbered level 3"/>
    <w:basedOn w:val="Numberedlevel3"/>
    <w:autoRedefine/>
    <w:rsid w:val="00260E7F"/>
  </w:style>
  <w:style w:type="paragraph" w:customStyle="1" w:styleId="BulletTextLast">
    <w:name w:val="_Bullet Text Last"/>
    <w:basedOn w:val="BulletText"/>
    <w:next w:val="BodyText0"/>
    <w:rsid w:val="00260E7F"/>
    <w:pPr>
      <w:numPr>
        <w:numId w:val="0"/>
      </w:numPr>
      <w:tabs>
        <w:tab w:val="num" w:pos="560"/>
      </w:tabs>
      <w:spacing w:afterAutospacing="1"/>
      <w:ind w:left="560" w:hanging="340"/>
    </w:pPr>
    <w:rPr>
      <w:rFonts w:eastAsiaTheme="minorHAnsi" w:cstheme="minorBidi"/>
      <w:color w:val="000000" w:themeColor="text1"/>
      <w:sz w:val="18"/>
    </w:rPr>
  </w:style>
  <w:style w:type="paragraph" w:customStyle="1" w:styleId="Heading10">
    <w:name w:val="_Heading 1"/>
    <w:basedOn w:val="Normal"/>
    <w:next w:val="IntroParagraph"/>
    <w:qFormat/>
    <w:rsid w:val="00260E7F"/>
    <w:pPr>
      <w:spacing w:after="400" w:line="648" w:lineRule="atLeast"/>
    </w:pPr>
    <w:rPr>
      <w:rFonts w:ascii="Arial" w:eastAsiaTheme="minorHAnsi" w:hAnsi="Arial" w:cstheme="minorBidi"/>
      <w:b/>
      <w:color w:val="00338D"/>
      <w:sz w:val="60"/>
      <w:szCs w:val="22"/>
      <w:lang w:val="en-GB"/>
    </w:rPr>
  </w:style>
  <w:style w:type="paragraph" w:customStyle="1" w:styleId="HyphenatedBulletTextLast">
    <w:name w:val="_Hyphenated Bullet Text Last"/>
    <w:basedOn w:val="HyphenatedBulletText"/>
    <w:next w:val="BodyText0"/>
    <w:qFormat/>
    <w:rsid w:val="00260E7F"/>
    <w:pPr>
      <w:ind w:left="1800" w:hanging="360"/>
    </w:pPr>
  </w:style>
  <w:style w:type="character" w:customStyle="1" w:styleId="Contactbold">
    <w:name w:val="_Contact bold"/>
    <w:basedOn w:val="BodyChar"/>
    <w:uiPriority w:val="1"/>
    <w:qFormat/>
    <w:rsid w:val="00260E7F"/>
    <w:rPr>
      <w:rFonts w:ascii="Arial" w:eastAsiaTheme="minorHAnsi" w:hAnsi="Arial" w:cstheme="minorBidi"/>
      <w:b/>
      <w:color w:val="000000" w:themeColor="text1"/>
      <w:sz w:val="20"/>
      <w:szCs w:val="22"/>
      <w:lang w:val="en-GB" w:eastAsia="en-US"/>
    </w:rPr>
  </w:style>
  <w:style w:type="paragraph" w:customStyle="1" w:styleId="Contents">
    <w:name w:val="Contents"/>
    <w:basedOn w:val="Heading1"/>
    <w:next w:val="BodyText"/>
    <w:rsid w:val="00260E7F"/>
    <w:pPr>
      <w:keepNext/>
      <w:framePr w:w="10319" w:wrap="around" w:vAnchor="page" w:hAnchor="page" w:x="823" w:y="840" w:anchorLock="1"/>
      <w:pBdr>
        <w:top w:val="single" w:sz="4" w:space="12" w:color="FFFFFF"/>
        <w:bottom w:val="single" w:sz="4" w:space="1" w:color="0C2D83"/>
      </w:pBdr>
      <w:shd w:val="clear" w:color="auto" w:fill="FFFFFF"/>
      <w:spacing w:before="100" w:after="0" w:line="264" w:lineRule="auto"/>
    </w:pPr>
    <w:rPr>
      <w:rFonts w:cs="Arial"/>
      <w:bCs/>
      <w:color w:val="0C2D83"/>
      <w:kern w:val="32"/>
      <w:lang w:val="en-GB"/>
    </w:rPr>
  </w:style>
  <w:style w:type="paragraph" w:customStyle="1" w:styleId="KeyContactsText">
    <w:name w:val="KeyContacts Text"/>
    <w:basedOn w:val="BodyText"/>
    <w:next w:val="KeyContactsName"/>
    <w:link w:val="KeyContactsTextChar"/>
    <w:rsid w:val="00260E7F"/>
    <w:pPr>
      <w:framePr w:w="2058" w:h="13054" w:hRule="exact" w:wrap="around" w:vAnchor="text" w:hAnchor="page" w:x="965" w:y="1"/>
      <w:pBdr>
        <w:top w:val="single" w:sz="18" w:space="1" w:color="CCD6E3"/>
        <w:left w:val="single" w:sz="18" w:space="4" w:color="CCD6E3"/>
        <w:bottom w:val="single" w:sz="18" w:space="1" w:color="CCD6E3"/>
        <w:right w:val="single" w:sz="18" w:space="4" w:color="CCD6E3"/>
      </w:pBdr>
      <w:shd w:val="clear" w:color="auto" w:fill="CCD6E3"/>
      <w:spacing w:before="0" w:after="160" w:line="264" w:lineRule="auto"/>
    </w:pPr>
    <w:rPr>
      <w:color w:val="0C2D83"/>
      <w:sz w:val="18"/>
      <w:szCs w:val="24"/>
      <w:lang w:val="en-GB"/>
    </w:rPr>
  </w:style>
  <w:style w:type="paragraph" w:customStyle="1" w:styleId="KeyContactsName">
    <w:name w:val="KeyContacts Name"/>
    <w:basedOn w:val="KeyContactsText"/>
    <w:next w:val="KeyContactsJobTitle"/>
    <w:semiHidden/>
    <w:rsid w:val="00260E7F"/>
    <w:pPr>
      <w:framePr w:wrap="around"/>
      <w:spacing w:before="240" w:after="0"/>
    </w:pPr>
    <w:rPr>
      <w:b/>
    </w:rPr>
  </w:style>
  <w:style w:type="paragraph" w:customStyle="1" w:styleId="KeyContactsJobTitle">
    <w:name w:val="KeyContacts JobTitle"/>
    <w:basedOn w:val="KeyContactsText"/>
    <w:next w:val="KeyContactsJurisdiction"/>
    <w:semiHidden/>
    <w:rsid w:val="00260E7F"/>
    <w:pPr>
      <w:framePr w:wrap="around"/>
      <w:spacing w:after="0"/>
    </w:pPr>
  </w:style>
  <w:style w:type="paragraph" w:customStyle="1" w:styleId="KeyContactsTel">
    <w:name w:val="KeyContacts Tel"/>
    <w:basedOn w:val="KeyContactsName"/>
    <w:next w:val="KeyContactsFax"/>
    <w:link w:val="KeyContactsTelChar"/>
    <w:semiHidden/>
    <w:rsid w:val="00260E7F"/>
    <w:pPr>
      <w:framePr w:wrap="around"/>
      <w:tabs>
        <w:tab w:val="left" w:pos="369"/>
      </w:tabs>
      <w:spacing w:before="160"/>
    </w:pPr>
    <w:rPr>
      <w:b w:val="0"/>
    </w:rPr>
  </w:style>
  <w:style w:type="character" w:customStyle="1" w:styleId="KeyContactsTextChar">
    <w:name w:val="KeyContacts Text Char"/>
    <w:basedOn w:val="DefaultParagraphFont"/>
    <w:link w:val="KeyContactsText"/>
    <w:rsid w:val="00260E7F"/>
    <w:rPr>
      <w:rFonts w:ascii="Univers 45 Light" w:hAnsi="Univers 45 Light"/>
      <w:color w:val="0C2D83"/>
      <w:sz w:val="18"/>
      <w:szCs w:val="24"/>
      <w:shd w:val="clear" w:color="auto" w:fill="CCD6E3"/>
      <w:lang w:val="en-GB" w:eastAsia="en-US"/>
    </w:rPr>
  </w:style>
  <w:style w:type="character" w:customStyle="1" w:styleId="KeyContactsTelChar">
    <w:name w:val="KeyContacts Tel Char"/>
    <w:basedOn w:val="KeyContactsTextChar"/>
    <w:link w:val="KeyContactsTel"/>
    <w:semiHidden/>
    <w:rsid w:val="00260E7F"/>
    <w:rPr>
      <w:rFonts w:ascii="Univers 45 Light" w:hAnsi="Univers 45 Light"/>
      <w:color w:val="0C2D83"/>
      <w:sz w:val="18"/>
      <w:szCs w:val="24"/>
      <w:shd w:val="clear" w:color="auto" w:fill="CCD6E3"/>
      <w:lang w:val="en-GB" w:eastAsia="en-US"/>
    </w:rPr>
  </w:style>
  <w:style w:type="paragraph" w:customStyle="1" w:styleId="KeyContactsFax">
    <w:name w:val="KeyContacts Fax"/>
    <w:basedOn w:val="KeyContactsTel"/>
    <w:next w:val="KeyContactsemail"/>
    <w:semiHidden/>
    <w:rsid w:val="00260E7F"/>
    <w:pPr>
      <w:framePr w:wrap="around"/>
      <w:spacing w:before="0"/>
    </w:pPr>
  </w:style>
  <w:style w:type="paragraph" w:customStyle="1" w:styleId="KeyContactsemail">
    <w:name w:val="KeyContacts email"/>
    <w:basedOn w:val="KeyContactsFax"/>
    <w:next w:val="KeyContactsName"/>
    <w:semiHidden/>
    <w:rsid w:val="00260E7F"/>
    <w:pPr>
      <w:framePr w:wrap="around"/>
    </w:pPr>
    <w:rPr>
      <w:sz w:val="16"/>
      <w:szCs w:val="16"/>
    </w:rPr>
  </w:style>
  <w:style w:type="paragraph" w:customStyle="1" w:styleId="KeyContactsJurisdiction">
    <w:name w:val="KeyContacts Jurisdiction"/>
    <w:basedOn w:val="KeyContactsJobTitle"/>
    <w:next w:val="KeyContactsTel"/>
    <w:semiHidden/>
    <w:rsid w:val="00260E7F"/>
    <w:pPr>
      <w:framePr w:wrap="around"/>
    </w:pPr>
  </w:style>
  <w:style w:type="paragraph" w:styleId="TOCHeading">
    <w:name w:val="TOC Heading"/>
    <w:basedOn w:val="Heading1"/>
    <w:next w:val="Normal"/>
    <w:uiPriority w:val="39"/>
    <w:unhideWhenUsed/>
    <w:qFormat/>
    <w:rsid w:val="00260E7F"/>
    <w:pPr>
      <w:keepNext/>
      <w:keepLines/>
      <w:spacing w:before="480" w:after="0" w:line="276" w:lineRule="auto"/>
      <w:outlineLvl w:val="9"/>
    </w:pPr>
    <w:rPr>
      <w:rFonts w:asciiTheme="majorHAnsi" w:eastAsiaTheme="majorEastAsia" w:hAnsiTheme="majorHAnsi" w:cstheme="majorBidi"/>
      <w:bCs/>
      <w:color w:val="365F91" w:themeColor="accent1" w:themeShade="BF"/>
      <w:sz w:val="28"/>
      <w:szCs w:val="28"/>
      <w:lang w:val="en-US"/>
    </w:rPr>
  </w:style>
  <w:style w:type="paragraph" w:customStyle="1" w:styleId="TTableBullet">
    <w:name w:val="TTable Bullet"/>
    <w:basedOn w:val="Normal"/>
    <w:rsid w:val="00260E7F"/>
    <w:pPr>
      <w:keepNext/>
      <w:keepLines/>
      <w:numPr>
        <w:numId w:val="12"/>
      </w:numPr>
      <w:spacing w:after="60" w:line="264" w:lineRule="auto"/>
    </w:pPr>
    <w:rPr>
      <w:sz w:val="18"/>
      <w:lang w:val="en-GB"/>
    </w:rPr>
  </w:style>
  <w:style w:type="paragraph" w:customStyle="1" w:styleId="ExecSumRowheading">
    <w:name w:val="ExecSum Row heading"/>
    <w:basedOn w:val="Normal"/>
    <w:rsid w:val="00260E7F"/>
    <w:pPr>
      <w:keepNext/>
      <w:spacing w:after="60" w:line="264" w:lineRule="auto"/>
    </w:pPr>
    <w:rPr>
      <w:b/>
      <w:color w:val="FFFFFF"/>
      <w:sz w:val="18"/>
      <w:lang w:val="en-GB"/>
    </w:rPr>
  </w:style>
  <w:style w:type="paragraph" w:customStyle="1" w:styleId="ExecSumTitle">
    <w:name w:val="ExecSum Title"/>
    <w:basedOn w:val="ExecSumRowheading"/>
    <w:rsid w:val="00260E7F"/>
    <w:rPr>
      <w:color w:val="0C2D83"/>
    </w:rPr>
  </w:style>
  <w:style w:type="paragraph" w:customStyle="1" w:styleId="ExecSumBullet">
    <w:name w:val="ExecSum Bullet"/>
    <w:basedOn w:val="TTableBullet"/>
    <w:rsid w:val="00260E7F"/>
  </w:style>
  <w:style w:type="paragraph" w:customStyle="1" w:styleId="Keymessagetext">
    <w:name w:val="Key message text"/>
    <w:basedOn w:val="BodyText"/>
    <w:link w:val="KeymessagetextChar"/>
    <w:rsid w:val="00260E7F"/>
    <w:pPr>
      <w:framePr w:w="2058" w:wrap="around" w:vAnchor="text" w:hAnchor="page" w:x="965" w:y="1"/>
      <w:pBdr>
        <w:top w:val="single" w:sz="18" w:space="1" w:color="CCD6E3"/>
        <w:left w:val="single" w:sz="18" w:space="4" w:color="CCD6E3"/>
        <w:bottom w:val="single" w:sz="18" w:space="1" w:color="CCD6E3"/>
        <w:right w:val="single" w:sz="18" w:space="4" w:color="CCD6E3"/>
      </w:pBdr>
      <w:shd w:val="clear" w:color="auto" w:fill="CCD6E3"/>
      <w:spacing w:before="0" w:line="264" w:lineRule="auto"/>
    </w:pPr>
    <w:rPr>
      <w:b/>
      <w:color w:val="042D83"/>
      <w:sz w:val="18"/>
      <w:szCs w:val="24"/>
      <w:lang w:val="en-US"/>
    </w:rPr>
  </w:style>
  <w:style w:type="paragraph" w:customStyle="1" w:styleId="Keymessagebullet">
    <w:name w:val="Key message bullet"/>
    <w:basedOn w:val="Keymessagetext"/>
    <w:rsid w:val="00260E7F"/>
    <w:pPr>
      <w:framePr w:wrap="around"/>
      <w:numPr>
        <w:numId w:val="13"/>
      </w:numPr>
      <w:tabs>
        <w:tab w:val="clear" w:pos="360"/>
        <w:tab w:val="left" w:pos="284"/>
      </w:tabs>
      <w:ind w:left="284" w:hanging="284"/>
    </w:pPr>
  </w:style>
  <w:style w:type="character" w:customStyle="1" w:styleId="KeymessagetextChar">
    <w:name w:val="Key message text Char"/>
    <w:basedOn w:val="BodyTextChar"/>
    <w:link w:val="Keymessagetext"/>
    <w:rsid w:val="00260E7F"/>
    <w:rPr>
      <w:rFonts w:ascii="Univers 45 Light" w:hAnsi="Univers 45 Light"/>
      <w:b/>
      <w:color w:val="042D83"/>
      <w:sz w:val="18"/>
      <w:szCs w:val="24"/>
      <w:shd w:val="clear" w:color="auto" w:fill="CCD6E3"/>
      <w:lang w:val="en-US" w:eastAsia="en-US"/>
    </w:rPr>
  </w:style>
  <w:style w:type="paragraph" w:customStyle="1" w:styleId="MainBullet">
    <w:name w:val="Main Bullet"/>
    <w:basedOn w:val="BodyText"/>
    <w:link w:val="MainBulletCharChar"/>
    <w:rsid w:val="00260E7F"/>
    <w:pPr>
      <w:keepLines/>
      <w:numPr>
        <w:numId w:val="14"/>
      </w:numPr>
      <w:spacing w:before="0" w:line="264" w:lineRule="auto"/>
    </w:pPr>
    <w:rPr>
      <w:sz w:val="18"/>
      <w:szCs w:val="24"/>
      <w:lang w:val="en-GB"/>
    </w:rPr>
  </w:style>
  <w:style w:type="paragraph" w:customStyle="1" w:styleId="Subbullet">
    <w:name w:val="Subbullet"/>
    <w:basedOn w:val="MainBullet"/>
    <w:rsid w:val="00260E7F"/>
    <w:pPr>
      <w:numPr>
        <w:ilvl w:val="1"/>
      </w:numPr>
      <w:tabs>
        <w:tab w:val="clear" w:pos="567"/>
        <w:tab w:val="num" w:pos="72"/>
        <w:tab w:val="num" w:pos="340"/>
      </w:tabs>
      <w:ind w:left="568" w:hanging="284"/>
    </w:pPr>
    <w:rPr>
      <w:rFonts w:ascii="Arial" w:hAnsi="Arial"/>
      <w:sz w:val="20"/>
    </w:rPr>
  </w:style>
  <w:style w:type="character" w:customStyle="1" w:styleId="MainBulletCharChar">
    <w:name w:val="Main Bullet Char Char"/>
    <w:basedOn w:val="BodyTextChar"/>
    <w:link w:val="MainBullet"/>
    <w:rsid w:val="00260E7F"/>
    <w:rPr>
      <w:rFonts w:ascii="Univers 45 Light" w:hAnsi="Univers 45 Light"/>
      <w:sz w:val="18"/>
      <w:szCs w:val="24"/>
      <w:lang w:val="en-GB" w:eastAsia="en-US"/>
    </w:rPr>
  </w:style>
  <w:style w:type="paragraph" w:customStyle="1" w:styleId="SubBullet0">
    <w:name w:val="Sub Bullet"/>
    <w:basedOn w:val="Subbullet"/>
    <w:qFormat/>
    <w:rsid w:val="00260E7F"/>
    <w:pPr>
      <w:numPr>
        <w:ilvl w:val="0"/>
        <w:numId w:val="0"/>
      </w:numPr>
      <w:ind w:left="568" w:hanging="284"/>
    </w:pPr>
  </w:style>
  <w:style w:type="paragraph" w:styleId="List3">
    <w:name w:val="List 3"/>
    <w:basedOn w:val="Normal"/>
    <w:uiPriority w:val="99"/>
    <w:unhideWhenUsed/>
    <w:rsid w:val="00260E7F"/>
    <w:pPr>
      <w:ind w:left="849" w:hanging="283"/>
      <w:contextualSpacing/>
    </w:pPr>
    <w:rPr>
      <w:rFonts w:ascii="Arial" w:eastAsiaTheme="minorHAnsi" w:hAnsi="Arial" w:cstheme="minorBidi"/>
      <w:szCs w:val="22"/>
      <w:lang w:val="en-GB"/>
    </w:rPr>
  </w:style>
  <w:style w:type="paragraph" w:customStyle="1" w:styleId="DecimalAligned">
    <w:name w:val="Decimal Aligned"/>
    <w:basedOn w:val="Normal"/>
    <w:uiPriority w:val="40"/>
    <w:qFormat/>
    <w:rsid w:val="00260E7F"/>
    <w:pPr>
      <w:tabs>
        <w:tab w:val="decimal" w:pos="360"/>
      </w:tabs>
      <w:spacing w:after="200" w:line="276" w:lineRule="auto"/>
    </w:pPr>
    <w:rPr>
      <w:rFonts w:asciiTheme="minorHAnsi" w:eastAsiaTheme="minorEastAsia" w:hAnsiTheme="minorHAnsi" w:cstheme="minorBidi"/>
      <w:szCs w:val="22"/>
      <w:lang w:val="en-US"/>
    </w:rPr>
  </w:style>
  <w:style w:type="character" w:customStyle="1" w:styleId="FootnoteTextChar">
    <w:name w:val="Footnote Text Char"/>
    <w:basedOn w:val="DefaultParagraphFont"/>
    <w:link w:val="FootnoteText"/>
    <w:uiPriority w:val="99"/>
    <w:rsid w:val="00100543"/>
    <w:rPr>
      <w:rFonts w:ascii="Univers 45 Light" w:hAnsi="Univers 45 Light"/>
      <w:sz w:val="18"/>
      <w:lang w:eastAsia="en-US"/>
    </w:rPr>
  </w:style>
  <w:style w:type="character" w:styleId="SubtleEmphasis">
    <w:name w:val="Subtle Emphasis"/>
    <w:basedOn w:val="DefaultParagraphFont"/>
    <w:uiPriority w:val="19"/>
    <w:qFormat/>
    <w:rsid w:val="00260E7F"/>
    <w:rPr>
      <w:rFonts w:eastAsiaTheme="minorEastAsia" w:cstheme="minorBidi"/>
      <w:bCs w:val="0"/>
      <w:i/>
      <w:iCs/>
      <w:color w:val="808080" w:themeColor="text1" w:themeTint="7F"/>
      <w:szCs w:val="22"/>
      <w:lang w:val="en-US"/>
    </w:rPr>
  </w:style>
  <w:style w:type="paragraph" w:customStyle="1" w:styleId="FTableTitle">
    <w:name w:val="FTable Title"/>
    <w:basedOn w:val="BodyText"/>
    <w:rsid w:val="00260E7F"/>
    <w:pPr>
      <w:keepNext/>
      <w:spacing w:after="60" w:line="264" w:lineRule="auto"/>
    </w:pPr>
    <w:rPr>
      <w:b/>
      <w:bCs/>
      <w:color w:val="FFFFFF"/>
      <w:sz w:val="18"/>
      <w:lang w:val="en-GB"/>
    </w:rPr>
  </w:style>
  <w:style w:type="paragraph" w:customStyle="1" w:styleId="FTableColumnheading">
    <w:name w:val="FTable Column heading"/>
    <w:basedOn w:val="BodyText"/>
    <w:rsid w:val="00260E7F"/>
    <w:pPr>
      <w:keepNext/>
      <w:spacing w:before="60" w:after="30" w:line="200" w:lineRule="atLeast"/>
    </w:pPr>
    <w:rPr>
      <w:b/>
      <w:bCs/>
      <w:color w:val="0C2D83"/>
      <w:sz w:val="18"/>
      <w:lang w:val="en-GB"/>
    </w:rPr>
  </w:style>
  <w:style w:type="paragraph" w:customStyle="1" w:styleId="FTableData">
    <w:name w:val="FTable Data"/>
    <w:basedOn w:val="BodyText"/>
    <w:rsid w:val="00260E7F"/>
    <w:pPr>
      <w:spacing w:before="30" w:after="20" w:line="200" w:lineRule="atLeast"/>
      <w:jc w:val="right"/>
    </w:pPr>
    <w:rPr>
      <w:sz w:val="16"/>
      <w:lang w:val="en-GB"/>
    </w:rPr>
  </w:style>
  <w:style w:type="paragraph" w:customStyle="1" w:styleId="FTableRowheading">
    <w:name w:val="FTable Row heading"/>
    <w:basedOn w:val="BodyText"/>
    <w:rsid w:val="00260E7F"/>
    <w:pPr>
      <w:keepNext/>
      <w:spacing w:before="30" w:after="20" w:line="200" w:lineRule="atLeast"/>
    </w:pPr>
    <w:rPr>
      <w:sz w:val="16"/>
      <w:lang w:val="en-GB"/>
    </w:rPr>
  </w:style>
  <w:style w:type="paragraph" w:customStyle="1" w:styleId="FTableSubheading">
    <w:name w:val="FTable Subheading"/>
    <w:basedOn w:val="BodyText"/>
    <w:rsid w:val="00260E7F"/>
    <w:pPr>
      <w:keepNext/>
      <w:spacing w:before="60" w:after="30" w:line="200" w:lineRule="atLeast"/>
    </w:pPr>
    <w:rPr>
      <w:b/>
      <w:bCs/>
      <w:color w:val="F06A00"/>
      <w:sz w:val="16"/>
      <w:lang w:val="en-GB"/>
    </w:rPr>
  </w:style>
  <w:style w:type="paragraph" w:customStyle="1" w:styleId="SourceNote">
    <w:name w:val="Source/Note"/>
    <w:basedOn w:val="Normal"/>
    <w:rsid w:val="00260E7F"/>
    <w:pPr>
      <w:tabs>
        <w:tab w:val="left" w:pos="492"/>
      </w:tabs>
      <w:spacing w:before="60" w:after="240" w:line="264" w:lineRule="auto"/>
      <w:ind w:left="493" w:right="-57" w:hanging="601"/>
    </w:pPr>
    <w:rPr>
      <w:i/>
      <w:color w:val="8AA5CB"/>
      <w:sz w:val="12"/>
      <w:szCs w:val="12"/>
      <w:lang w:val="en-GB"/>
    </w:rPr>
  </w:style>
  <w:style w:type="paragraph" w:customStyle="1" w:styleId="TTableTitle">
    <w:name w:val="TTable Title"/>
    <w:basedOn w:val="FTableTitle"/>
    <w:rsid w:val="00260E7F"/>
  </w:style>
  <w:style w:type="paragraph" w:customStyle="1" w:styleId="TTableColumnheading">
    <w:name w:val="TTable Column heading"/>
    <w:basedOn w:val="FTableColumnheading"/>
    <w:rsid w:val="00260E7F"/>
    <w:pPr>
      <w:spacing w:before="120" w:after="60" w:line="264" w:lineRule="auto"/>
    </w:pPr>
    <w:rPr>
      <w:color w:val="FFFFFF"/>
    </w:rPr>
  </w:style>
  <w:style w:type="paragraph" w:customStyle="1" w:styleId="TTableRowheading">
    <w:name w:val="TTable Row heading"/>
    <w:basedOn w:val="FTableRowheading"/>
    <w:rsid w:val="00260E7F"/>
    <w:pPr>
      <w:spacing w:before="120" w:after="60" w:line="264" w:lineRule="auto"/>
    </w:pPr>
    <w:rPr>
      <w:b/>
      <w:color w:val="042D83"/>
      <w:sz w:val="18"/>
    </w:rPr>
  </w:style>
  <w:style w:type="table" w:styleId="DarkList-Accent2">
    <w:name w:val="Dark List Accent 2"/>
    <w:basedOn w:val="TableNormal"/>
    <w:uiPriority w:val="70"/>
    <w:rsid w:val="00260E7F"/>
    <w:rPr>
      <w:rFonts w:asciiTheme="minorHAnsi" w:eastAsiaTheme="minorHAnsi" w:hAnsiTheme="minorHAnsi" w:cstheme="minorBidi"/>
      <w:color w:val="FFFFFF" w:themeColor="background1"/>
      <w:sz w:val="22"/>
      <w:szCs w:val="22"/>
      <w:lang w:val="en-GB" w:eastAsia="en-US"/>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MediumGrid3-Accent2">
    <w:name w:val="Medium Grid 3 Accent 2"/>
    <w:basedOn w:val="TableNormal"/>
    <w:uiPriority w:val="69"/>
    <w:rsid w:val="00260E7F"/>
    <w:rPr>
      <w:rFonts w:asciiTheme="minorHAnsi" w:eastAsiaTheme="minorHAnsi" w:hAnsiTheme="minorHAnsi" w:cstheme="minorBidi"/>
      <w:sz w:val="22"/>
      <w:szCs w:val="22"/>
      <w:lang w:val="en-GB"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paragraph" w:customStyle="1" w:styleId="SectionIntroduction">
    <w:name w:val="Section Introduction"/>
    <w:basedOn w:val="Normal"/>
    <w:link w:val="SectionIntroductionChar"/>
    <w:qFormat/>
    <w:rsid w:val="002E0701"/>
    <w:rPr>
      <w:i/>
    </w:rPr>
  </w:style>
  <w:style w:type="paragraph" w:styleId="DocumentMap">
    <w:name w:val="Document Map"/>
    <w:basedOn w:val="Normal"/>
    <w:link w:val="DocumentMapChar"/>
    <w:uiPriority w:val="99"/>
    <w:unhideWhenUsed/>
    <w:rsid w:val="00260E7F"/>
    <w:rPr>
      <w:rFonts w:ascii="Tahoma" w:eastAsiaTheme="minorHAnsi" w:hAnsi="Tahoma" w:cs="Tahoma"/>
      <w:sz w:val="16"/>
      <w:szCs w:val="16"/>
      <w:lang w:val="en-GB"/>
    </w:rPr>
  </w:style>
  <w:style w:type="character" w:customStyle="1" w:styleId="DocumentMapChar">
    <w:name w:val="Document Map Char"/>
    <w:basedOn w:val="DefaultParagraphFont"/>
    <w:link w:val="DocumentMap"/>
    <w:uiPriority w:val="99"/>
    <w:rsid w:val="00260E7F"/>
    <w:rPr>
      <w:rFonts w:ascii="Tahoma" w:eastAsiaTheme="minorHAnsi" w:hAnsi="Tahoma" w:cs="Tahoma"/>
      <w:sz w:val="16"/>
      <w:szCs w:val="16"/>
      <w:lang w:val="en-GB" w:eastAsia="en-US"/>
    </w:rPr>
  </w:style>
  <w:style w:type="paragraph" w:styleId="ListParagraph">
    <w:name w:val="List Paragraph"/>
    <w:aliases w:val="B. FSG - font,standard lewis,Bullet (1st level),First level bullet point,Recommendation,dot point 1,Body Numbering,Brief List Paragraph 1,First level bullet,#List Paragraph,L,List Paragraph1,List Paragraph11,Figure_name,Bullet point"/>
    <w:basedOn w:val="Normal"/>
    <w:link w:val="ListParagraphChar"/>
    <w:uiPriority w:val="34"/>
    <w:qFormat/>
    <w:rsid w:val="00CA278A"/>
    <w:pPr>
      <w:numPr>
        <w:numId w:val="15"/>
      </w:numPr>
      <w:ind w:left="360"/>
      <w:contextualSpacing/>
    </w:pPr>
    <w:rPr>
      <w:rFonts w:eastAsiaTheme="minorHAnsi" w:cstheme="minorBidi"/>
      <w:szCs w:val="22"/>
      <w:lang w:val="en-GB"/>
    </w:rPr>
  </w:style>
  <w:style w:type="table" w:styleId="MediumGrid1-Accent4">
    <w:name w:val="Medium Grid 1 Accent 4"/>
    <w:basedOn w:val="TableNormal"/>
    <w:uiPriority w:val="67"/>
    <w:rsid w:val="00260E7F"/>
    <w:rPr>
      <w:rFonts w:asciiTheme="minorHAnsi" w:eastAsiaTheme="minorHAnsi" w:hAnsiTheme="minorHAnsi" w:cstheme="minorBidi"/>
      <w:sz w:val="22"/>
      <w:szCs w:val="22"/>
      <w:lang w:val="en-GB" w:eastAsia="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Shading1-Accent2">
    <w:name w:val="Medium Shading 1 Accent 2"/>
    <w:basedOn w:val="TableNormal"/>
    <w:uiPriority w:val="63"/>
    <w:rsid w:val="00260E7F"/>
    <w:rPr>
      <w:rFonts w:asciiTheme="minorHAnsi" w:eastAsiaTheme="minorHAnsi" w:hAnsiTheme="minorHAnsi" w:cstheme="minorBidi"/>
      <w:sz w:val="22"/>
      <w:szCs w:val="22"/>
      <w:lang w:val="en-GB" w:eastAsia="en-US"/>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customStyle="1" w:styleId="Default">
    <w:name w:val="Default"/>
    <w:rsid w:val="00260E7F"/>
    <w:pPr>
      <w:autoSpaceDE w:val="0"/>
      <w:autoSpaceDN w:val="0"/>
      <w:adjustRightInd w:val="0"/>
    </w:pPr>
    <w:rPr>
      <w:rFonts w:ascii="Arial" w:eastAsiaTheme="minorHAnsi" w:hAnsi="Arial" w:cs="Arial"/>
      <w:color w:val="000000"/>
      <w:sz w:val="24"/>
      <w:szCs w:val="24"/>
      <w:lang w:eastAsia="en-US"/>
    </w:rPr>
  </w:style>
  <w:style w:type="character" w:styleId="Strong">
    <w:name w:val="Strong"/>
    <w:basedOn w:val="DefaultParagraphFont"/>
    <w:uiPriority w:val="22"/>
    <w:qFormat/>
    <w:rsid w:val="00260E7F"/>
    <w:rPr>
      <w:b/>
      <w:bCs/>
    </w:rPr>
  </w:style>
  <w:style w:type="paragraph" w:customStyle="1" w:styleId="Tablebullet20">
    <w:name w:val="Tablebullet2"/>
    <w:basedOn w:val="ListBullet2"/>
    <w:qFormat/>
    <w:rsid w:val="00260E7F"/>
    <w:pPr>
      <w:spacing w:line="280" w:lineRule="atLeast"/>
      <w:contextualSpacing/>
    </w:pPr>
    <w:rPr>
      <w:rFonts w:ascii="Arial" w:eastAsiaTheme="minorHAnsi" w:hAnsi="Arial" w:cstheme="minorBidi"/>
      <w:sz w:val="18"/>
      <w:szCs w:val="22"/>
      <w:lang w:val="en-GB"/>
    </w:rPr>
  </w:style>
  <w:style w:type="paragraph" w:customStyle="1" w:styleId="source">
    <w:name w:val="source"/>
    <w:basedOn w:val="Footer0"/>
    <w:qFormat/>
    <w:rsid w:val="005A2B44"/>
    <w:pPr>
      <w:spacing w:before="60" w:after="60" w:afterAutospacing="0" w:line="240" w:lineRule="auto"/>
      <w:jc w:val="left"/>
    </w:pPr>
    <w:rPr>
      <w:rFonts w:ascii="Univers 45 Light" w:hAnsi="Univers 45 Light"/>
      <w:i/>
      <w:caps w:val="0"/>
      <w:color w:val="auto"/>
      <w:sz w:val="18"/>
      <w:szCs w:val="18"/>
    </w:rPr>
  </w:style>
  <w:style w:type="character" w:customStyle="1" w:styleId="CommentTextChar">
    <w:name w:val="Comment Text Char"/>
    <w:basedOn w:val="DefaultParagraphFont"/>
    <w:link w:val="CommentText"/>
    <w:uiPriority w:val="99"/>
    <w:rsid w:val="00260E7F"/>
    <w:rPr>
      <w:rFonts w:ascii="Univers 45 Light" w:hAnsi="Univers 45 Light"/>
      <w:lang w:eastAsia="en-US"/>
    </w:rPr>
  </w:style>
  <w:style w:type="character" w:customStyle="1" w:styleId="CommentSubjectChar">
    <w:name w:val="Comment Subject Char"/>
    <w:basedOn w:val="CommentTextChar"/>
    <w:link w:val="CommentSubject"/>
    <w:uiPriority w:val="99"/>
    <w:semiHidden/>
    <w:rsid w:val="00260E7F"/>
    <w:rPr>
      <w:rFonts w:ascii="Univers 45 Light" w:hAnsi="Univers 45 Light"/>
      <w:b/>
      <w:bCs/>
      <w:lang w:eastAsia="en-US"/>
    </w:rPr>
  </w:style>
  <w:style w:type="character" w:customStyle="1" w:styleId="print">
    <w:name w:val="print"/>
    <w:basedOn w:val="DefaultParagraphFont"/>
    <w:rsid w:val="005A7C05"/>
  </w:style>
  <w:style w:type="character" w:styleId="SubtleReference">
    <w:name w:val="Subtle Reference"/>
    <w:basedOn w:val="DefaultParagraphFont"/>
    <w:uiPriority w:val="31"/>
    <w:qFormat/>
    <w:rsid w:val="005A7C05"/>
    <w:rPr>
      <w:smallCaps/>
      <w:color w:val="C0504D" w:themeColor="accent2"/>
      <w:u w:val="single"/>
    </w:rPr>
  </w:style>
  <w:style w:type="character" w:customStyle="1" w:styleId="apple-converted-space">
    <w:name w:val="apple-converted-space"/>
    <w:basedOn w:val="DefaultParagraphFont"/>
    <w:rsid w:val="00D04D4C"/>
  </w:style>
  <w:style w:type="paragraph" w:customStyle="1" w:styleId="HeadingLevel2NoNumber">
    <w:name w:val="HeadingLevel2NoNumber"/>
    <w:basedOn w:val="Heading2"/>
    <w:qFormat/>
    <w:rsid w:val="00A4672C"/>
    <w:pPr>
      <w:keepLines/>
      <w:numPr>
        <w:numId w:val="0"/>
      </w:numPr>
      <w:spacing w:before="200" w:after="200"/>
      <w:jc w:val="both"/>
    </w:pPr>
    <w:rPr>
      <w:rFonts w:ascii="Arial" w:eastAsiaTheme="majorEastAsia" w:hAnsi="Arial" w:cstheme="majorBidi"/>
      <w:bCs/>
      <w:color w:val="1F497D" w:themeColor="text2"/>
      <w:szCs w:val="26"/>
      <w:lang w:val="en-GB"/>
    </w:rPr>
  </w:style>
  <w:style w:type="paragraph" w:customStyle="1" w:styleId="tablebodytext0">
    <w:name w:val="tablebodytext"/>
    <w:basedOn w:val="Tablebodytext"/>
    <w:qFormat/>
    <w:rsid w:val="00977BD4"/>
    <w:rPr>
      <w:rFonts w:eastAsiaTheme="minorHAnsi" w:cstheme="minorBidi"/>
      <w:b/>
      <w:bCs/>
      <w:color w:val="000000" w:themeColor="text1" w:themeShade="BF"/>
      <w:szCs w:val="22"/>
      <w:lang w:val="en-GB"/>
    </w:rPr>
  </w:style>
  <w:style w:type="paragraph" w:customStyle="1" w:styleId="Quote1">
    <w:name w:val="Quote1"/>
    <w:basedOn w:val="BodyTextIndent"/>
    <w:qFormat/>
    <w:rsid w:val="000C7415"/>
    <w:rPr>
      <w:i/>
    </w:rPr>
  </w:style>
  <w:style w:type="table" w:customStyle="1" w:styleId="PlainTable41">
    <w:name w:val="Plain Table 41"/>
    <w:basedOn w:val="TableNormal"/>
    <w:uiPriority w:val="44"/>
    <w:rsid w:val="00B05119"/>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SectionIntroductionChar">
    <w:name w:val="Section Introduction Char"/>
    <w:basedOn w:val="DefaultParagraphFont"/>
    <w:link w:val="SectionIntroduction"/>
    <w:rsid w:val="002E0701"/>
    <w:rPr>
      <w:rFonts w:ascii="Univers 45 Light" w:hAnsi="Univers 45 Light"/>
      <w:i/>
      <w:sz w:val="24"/>
      <w:lang w:eastAsia="en-US"/>
    </w:rPr>
  </w:style>
  <w:style w:type="table" w:customStyle="1" w:styleId="TableGridLight1">
    <w:name w:val="Table Grid Light1"/>
    <w:basedOn w:val="TableNormal"/>
    <w:uiPriority w:val="40"/>
    <w:rsid w:val="00B0511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lossary">
    <w:name w:val="Glossary"/>
    <w:basedOn w:val="TableNormal"/>
    <w:uiPriority w:val="99"/>
    <w:rsid w:val="00B05119"/>
    <w:rPr>
      <w:rFonts w:ascii="Univers 45 Light" w:hAnsi="Univers 45 Light"/>
      <w:sz w:val="24"/>
    </w:rPr>
    <w:tblPr/>
    <w:tblStylePr w:type="firstCol">
      <w:rPr>
        <w:b/>
      </w:rPr>
    </w:tblStylePr>
  </w:style>
  <w:style w:type="paragraph" w:styleId="TableofFigures">
    <w:name w:val="table of figures"/>
    <w:basedOn w:val="Normal"/>
    <w:next w:val="Normal"/>
    <w:uiPriority w:val="99"/>
    <w:unhideWhenUsed/>
    <w:rsid w:val="00100543"/>
    <w:pPr>
      <w:spacing w:after="0"/>
    </w:pPr>
  </w:style>
  <w:style w:type="paragraph" w:customStyle="1" w:styleId="Boxed1Bullet2">
    <w:name w:val="Boxed 1 Bullet 2"/>
    <w:basedOn w:val="Normal"/>
    <w:uiPriority w:val="30"/>
    <w:qFormat/>
    <w:rsid w:val="003E2D88"/>
    <w:pPr>
      <w:numPr>
        <w:numId w:val="17"/>
      </w:numPr>
      <w:pBdr>
        <w:top w:val="single" w:sz="4" w:space="14" w:color="4BACC6" w:themeColor="accent5"/>
        <w:left w:val="single" w:sz="4" w:space="14" w:color="4BACC6" w:themeColor="accent5"/>
        <w:bottom w:val="single" w:sz="4" w:space="14" w:color="4BACC6" w:themeColor="accent5"/>
        <w:right w:val="single" w:sz="4" w:space="14" w:color="4BACC6" w:themeColor="accent5"/>
      </w:pBdr>
      <w:shd w:val="clear" w:color="auto" w:fill="92CDDC" w:themeFill="accent5" w:themeFillTint="99"/>
      <w:tabs>
        <w:tab w:val="clear" w:pos="284"/>
        <w:tab w:val="left" w:pos="567"/>
      </w:tabs>
      <w:suppressAutoHyphens/>
      <w:spacing w:after="60" w:line="240" w:lineRule="atLeast"/>
      <w:ind w:left="851" w:right="284" w:hanging="567"/>
    </w:pPr>
    <w:rPr>
      <w:rFonts w:ascii="Segoe UI" w:eastAsiaTheme="minorHAnsi" w:hAnsi="Segoe UI" w:cstheme="minorBidi"/>
      <w:color w:val="262626" w:themeColor="text1" w:themeTint="D9"/>
      <w:sz w:val="20"/>
      <w:lang w:val="en-GB"/>
    </w:rPr>
  </w:style>
  <w:style w:type="paragraph" w:customStyle="1" w:styleId="Bullet1">
    <w:name w:val="Bullet 1"/>
    <w:basedOn w:val="Normal"/>
    <w:uiPriority w:val="99"/>
    <w:qFormat/>
    <w:rsid w:val="003E2D88"/>
    <w:pPr>
      <w:numPr>
        <w:numId w:val="16"/>
      </w:numPr>
      <w:suppressAutoHyphens/>
      <w:spacing w:before="60" w:after="60"/>
    </w:pPr>
    <w:rPr>
      <w:rFonts w:ascii="Segoe UI" w:eastAsiaTheme="minorHAnsi" w:hAnsi="Segoe UI" w:cstheme="minorBidi"/>
      <w:color w:val="262626" w:themeColor="text1" w:themeTint="D9"/>
      <w:sz w:val="20"/>
    </w:rPr>
  </w:style>
  <w:style w:type="paragraph" w:customStyle="1" w:styleId="Bullet2">
    <w:name w:val="Bullet 2"/>
    <w:basedOn w:val="Normal"/>
    <w:uiPriority w:val="2"/>
    <w:qFormat/>
    <w:rsid w:val="003E2D88"/>
    <w:pPr>
      <w:numPr>
        <w:ilvl w:val="1"/>
        <w:numId w:val="16"/>
      </w:numPr>
      <w:suppressAutoHyphens/>
      <w:spacing w:before="60" w:after="60"/>
    </w:pPr>
    <w:rPr>
      <w:rFonts w:ascii="Segoe UI" w:eastAsiaTheme="minorHAnsi" w:hAnsi="Segoe UI" w:cstheme="minorBidi"/>
      <w:color w:val="262626" w:themeColor="text1" w:themeTint="D9"/>
      <w:sz w:val="20"/>
    </w:rPr>
  </w:style>
  <w:style w:type="paragraph" w:customStyle="1" w:styleId="Bullet3">
    <w:name w:val="Bullet 3"/>
    <w:basedOn w:val="Normal"/>
    <w:uiPriority w:val="2"/>
    <w:qFormat/>
    <w:rsid w:val="003E2D88"/>
    <w:pPr>
      <w:numPr>
        <w:ilvl w:val="2"/>
        <w:numId w:val="16"/>
      </w:numPr>
      <w:suppressAutoHyphens/>
      <w:spacing w:before="60" w:after="60"/>
    </w:pPr>
    <w:rPr>
      <w:rFonts w:ascii="Segoe UI" w:eastAsiaTheme="minorHAnsi" w:hAnsi="Segoe UI" w:cstheme="minorBidi"/>
      <w:color w:val="262626" w:themeColor="text1" w:themeTint="D9"/>
      <w:sz w:val="20"/>
    </w:rPr>
  </w:style>
  <w:style w:type="numbering" w:customStyle="1" w:styleId="DefaultBullets">
    <w:name w:val="Default Bullets"/>
    <w:uiPriority w:val="99"/>
    <w:rsid w:val="003E2D88"/>
    <w:pPr>
      <w:numPr>
        <w:numId w:val="44"/>
      </w:numPr>
    </w:pPr>
  </w:style>
  <w:style w:type="table" w:customStyle="1" w:styleId="TableAE">
    <w:name w:val="Table AE"/>
    <w:basedOn w:val="TableNormal"/>
    <w:uiPriority w:val="99"/>
    <w:rsid w:val="003E2D88"/>
    <w:rPr>
      <w:rFonts w:ascii="Arial" w:hAnsi="Arial"/>
    </w:rPr>
    <w:tblPr>
      <w:jc w:val="center"/>
      <w:tblBorders>
        <w:bottom w:val="single" w:sz="12" w:space="0" w:color="002776"/>
      </w:tblBorders>
    </w:tblPr>
    <w:trPr>
      <w:cantSplit/>
      <w:jc w:val="center"/>
    </w:trPr>
    <w:tblStylePr w:type="firstRow">
      <w:tblPr/>
      <w:tcPr>
        <w:tcBorders>
          <w:top w:val="single" w:sz="12" w:space="0" w:color="002776"/>
          <w:left w:val="nil"/>
          <w:bottom w:val="single" w:sz="8" w:space="0" w:color="002776"/>
          <w:right w:val="nil"/>
          <w:insideH w:val="nil"/>
          <w:insideV w:val="nil"/>
          <w:tl2br w:val="nil"/>
          <w:tr2bl w:val="nil"/>
        </w:tcBorders>
      </w:tcPr>
    </w:tblStylePr>
  </w:style>
  <w:style w:type="paragraph" w:customStyle="1" w:styleId="TableHeadingCentre">
    <w:name w:val="Table Heading Centre"/>
    <w:basedOn w:val="Normal"/>
    <w:rsid w:val="003E2D88"/>
    <w:pPr>
      <w:keepNext/>
      <w:keepLines/>
      <w:spacing w:before="20" w:after="20"/>
      <w:jc w:val="center"/>
    </w:pPr>
    <w:rPr>
      <w:rFonts w:ascii="Calibri" w:hAnsi="Calibri"/>
      <w:b/>
      <w:color w:val="002776"/>
      <w:szCs w:val="22"/>
    </w:rPr>
  </w:style>
  <w:style w:type="character" w:customStyle="1" w:styleId="Boldword">
    <w:name w:val="Bold word"/>
    <w:basedOn w:val="DefaultParagraphFont"/>
    <w:uiPriority w:val="1"/>
    <w:qFormat/>
    <w:rsid w:val="003E2D88"/>
    <w:rPr>
      <w:rFonts w:ascii="Calibri" w:hAnsi="Calibri"/>
      <w:b/>
      <w:color w:val="002776"/>
      <w:sz w:val="22"/>
      <w:lang w:eastAsia="en-AU"/>
    </w:rPr>
  </w:style>
  <w:style w:type="paragraph" w:customStyle="1" w:styleId="strapline1">
    <w:name w:val="strapline1"/>
    <w:basedOn w:val="Normal"/>
    <w:rsid w:val="003E2D88"/>
    <w:pPr>
      <w:spacing w:before="0"/>
    </w:pPr>
    <w:rPr>
      <w:rFonts w:ascii="Open Sans" w:hAnsi="Open Sans"/>
      <w:color w:val="000000"/>
      <w:szCs w:val="24"/>
      <w:lang w:eastAsia="en-AU"/>
    </w:rPr>
  </w:style>
  <w:style w:type="table" w:customStyle="1" w:styleId="GridTable5Dark-Accent11">
    <w:name w:val="Grid Table 5 Dark - Accent 11"/>
    <w:basedOn w:val="TableNormal"/>
    <w:uiPriority w:val="50"/>
    <w:rsid w:val="00CE1469"/>
    <w:pPr>
      <w:spacing w:before="120"/>
    </w:pPr>
    <w:rPr>
      <w:rFonts w:asciiTheme="minorHAnsi" w:eastAsiaTheme="minorHAnsi" w:hAnsiTheme="minorHAnsi" w:cstheme="minorBidi"/>
      <w:color w:val="262626" w:themeColor="text1" w:themeTint="D9"/>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DefaultTable1">
    <w:name w:val="Default Table 1"/>
    <w:basedOn w:val="GridTable5Dark-Accent11"/>
    <w:uiPriority w:val="99"/>
    <w:rsid w:val="00CE1469"/>
    <w:pPr>
      <w:spacing w:before="60" w:after="60"/>
    </w:pPr>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20"/>
      </w:rPr>
      <w:tblPr/>
      <w:tcPr>
        <w:tc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l2br w:val="nil"/>
          <w:tr2bl w:val="nil"/>
        </w:tcBorders>
        <w:shd w:val="clear" w:color="auto" w:fill="4F81BD" w:themeFill="accent1"/>
      </w:tcPr>
    </w:tblStylePr>
    <w:tblStylePr w:type="lastRow">
      <w:rPr>
        <w:b/>
        <w:bCs/>
        <w:color w:val="000000" w:themeColor="text1"/>
      </w:rPr>
      <w:tblPr/>
      <w:tcPr>
        <w:tc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cBorders>
        <w:shd w:val="clear" w:color="auto" w:fill="auto"/>
      </w:tcPr>
    </w:tblStylePr>
    <w:tblStylePr w:type="firstCol">
      <w:rPr>
        <w:b/>
        <w:bCs/>
        <w:color w:val="262626" w:themeColor="text1" w:themeTint="D9"/>
      </w:rPr>
      <w:tblPr/>
      <w:tcPr>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cBorders>
        <w:shd w:val="clear" w:color="auto" w:fill="auto"/>
      </w:tcPr>
    </w:tblStylePr>
    <w:tblStylePr w:type="lastCol">
      <w:pPr>
        <w:jc w:val="right"/>
      </w:pPr>
      <w:rPr>
        <w:b/>
        <w:bCs/>
        <w:color w:val="262626" w:themeColor="text1" w:themeTint="D9"/>
      </w:rPr>
      <w:tblPr/>
      <w:tcPr>
        <w:tc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cBorders>
        <w:shd w:val="clear" w:color="auto" w:fill="auto"/>
      </w:tcPr>
    </w:tblStylePr>
    <w:tblStylePr w:type="band1Vert">
      <w:tblPr/>
      <w:tcPr>
        <w:shd w:val="clear" w:color="auto" w:fill="DAEEF3" w:themeFill="accent5" w:themeFillTint="33"/>
      </w:tcPr>
    </w:tblStylePr>
    <w:tblStylePr w:type="band2Vert">
      <w:tblPr/>
      <w:tcPr>
        <w:shd w:val="clear" w:color="auto" w:fill="B6DDE8" w:themeFill="accent5" w:themeFillTint="66"/>
      </w:tcPr>
    </w:tblStylePr>
    <w:tblStylePr w:type="band1Horz">
      <w:tblPr/>
      <w:tcPr>
        <w:shd w:val="clear" w:color="auto" w:fill="DAEEF3" w:themeFill="accent5" w:themeFillTint="33"/>
      </w:tcPr>
    </w:tblStylePr>
    <w:tblStylePr w:type="band2Horz">
      <w:tblPr/>
      <w:tcPr>
        <w:shd w:val="clear" w:color="auto" w:fill="B6DDE8" w:themeFill="accent5" w:themeFillTint="66"/>
      </w:tcPr>
    </w:tblStylePr>
  </w:style>
  <w:style w:type="table" w:customStyle="1" w:styleId="DefaultTable2">
    <w:name w:val="Default Table 2"/>
    <w:basedOn w:val="TableNormal"/>
    <w:uiPriority w:val="99"/>
    <w:rsid w:val="00CE1469"/>
    <w:rPr>
      <w:rFonts w:asciiTheme="minorHAnsi" w:eastAsiaTheme="minorHAnsi" w:hAnsiTheme="minorHAnsi" w:cstheme="minorBidi"/>
      <w:color w:val="262626" w:themeColor="text1" w:themeTint="D9"/>
      <w:lang w:eastAsia="en-US"/>
    </w:rPr>
    <w:tblPr>
      <w:tblStyleRowBandSize w:val="1"/>
      <w:tblStyleColBandSize w:val="1"/>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28" w:type="dxa"/>
        <w:left w:w="57" w:type="dxa"/>
        <w:bottom w:w="28" w:type="dxa"/>
        <w:right w:w="57" w:type="dxa"/>
      </w:tblCellMar>
    </w:tblPr>
    <w:tblStylePr w:type="firstRow">
      <w:rPr>
        <w:b/>
      </w:rPr>
      <w:tblPr/>
      <w:tcPr>
        <w:shd w:val="clear" w:color="auto" w:fill="A6A6A6" w:themeFill="background1" w:themeFillShade="A6"/>
      </w:tcPr>
    </w:tblStylePr>
    <w:tblStylePr w:type="lastRow">
      <w:rPr>
        <w:b/>
      </w:rPr>
      <w:tblPr/>
      <w:tcPr>
        <w:shd w:val="clear" w:color="auto" w:fill="D9D9D9" w:themeFill="background1" w:themeFillShade="D9"/>
      </w:tcPr>
    </w:tblStylePr>
    <w:tblStylePr w:type="firstCol">
      <w:rPr>
        <w:b/>
      </w:rPr>
      <w:tblPr/>
      <w:tcPr>
        <w:shd w:val="clear" w:color="auto" w:fill="F2F2F2" w:themeFill="background1" w:themeFillShade="F2"/>
      </w:tcPr>
    </w:tblStylePr>
    <w:tblStylePr w:type="lastCol">
      <w:rPr>
        <w:b/>
      </w:rPr>
      <w:tblPr/>
      <w:tcPr>
        <w:shd w:val="clear" w:color="auto" w:fill="F2F2F2" w:themeFill="background1" w:themeFillShade="F2"/>
      </w:tcPr>
    </w:tblStylePr>
    <w:tblStylePr w:type="band1Vert">
      <w:tblPr/>
      <w:tcPr>
        <w:shd w:val="clear" w:color="auto" w:fill="F2F2F2" w:themeFill="background1" w:themeFillShade="F2"/>
      </w:tcPr>
    </w:tblStylePr>
    <w:tblStylePr w:type="band2Vert">
      <w:tblPr/>
      <w:tcPr>
        <w:shd w:val="clear" w:color="auto" w:fill="FFFFFF" w:themeFill="background1"/>
      </w:tcPr>
    </w:tblStylePr>
    <w:tblStylePr w:type="band1Horz">
      <w:tblPr/>
      <w:tcPr>
        <w:shd w:val="clear" w:color="auto" w:fill="F2F2F2" w:themeFill="background1" w:themeFillShade="F2"/>
      </w:tcPr>
    </w:tblStylePr>
    <w:tblStylePr w:type="band2Horz">
      <w:tblPr/>
      <w:tcPr>
        <w:shd w:val="clear" w:color="auto" w:fill="FFFFFF" w:themeFill="background1"/>
      </w:tcPr>
    </w:tblStylePr>
  </w:style>
  <w:style w:type="paragraph" w:customStyle="1" w:styleId="AppendixNumbered">
    <w:name w:val="Appendix Numbered"/>
    <w:basedOn w:val="Heading2"/>
    <w:uiPriority w:val="11"/>
    <w:qFormat/>
    <w:rsid w:val="00CE1469"/>
    <w:pPr>
      <w:keepLines/>
      <w:numPr>
        <w:ilvl w:val="1"/>
        <w:numId w:val="28"/>
      </w:numPr>
      <w:pBdr>
        <w:bottom w:val="none" w:sz="0" w:space="0" w:color="auto"/>
      </w:pBdr>
      <w:suppressAutoHyphens/>
      <w:spacing w:before="240"/>
    </w:pPr>
    <w:rPr>
      <w:rFonts w:ascii="Segoe UI" w:eastAsiaTheme="majorEastAsia" w:hAnsi="Segoe UI" w:cstheme="majorBidi"/>
      <w:color w:val="1F497D" w:themeColor="text2"/>
      <w:szCs w:val="26"/>
    </w:rPr>
  </w:style>
  <w:style w:type="numbering" w:customStyle="1" w:styleId="AppendixNumbers">
    <w:name w:val="Appendix Numbers"/>
    <w:uiPriority w:val="99"/>
    <w:rsid w:val="00CE1469"/>
    <w:pPr>
      <w:numPr>
        <w:numId w:val="27"/>
      </w:numPr>
    </w:pPr>
  </w:style>
  <w:style w:type="character" w:customStyle="1" w:styleId="Heading5Char">
    <w:name w:val="Heading 5 Char"/>
    <w:basedOn w:val="DefaultParagraphFont"/>
    <w:link w:val="Heading5"/>
    <w:uiPriority w:val="9"/>
    <w:rsid w:val="00DC338F"/>
    <w:rPr>
      <w:rFonts w:ascii="Univers 45 Light" w:hAnsi="Univers 45 Light"/>
      <w:b/>
      <w:sz w:val="24"/>
      <w:lang w:eastAsia="en-US"/>
    </w:rPr>
  </w:style>
  <w:style w:type="character" w:customStyle="1" w:styleId="Heading6Char">
    <w:name w:val="Heading 6 Char"/>
    <w:basedOn w:val="DefaultParagraphFont"/>
    <w:link w:val="Heading6"/>
    <w:uiPriority w:val="9"/>
    <w:rsid w:val="00CE1469"/>
    <w:rPr>
      <w:rFonts w:ascii="Univers 45 Light" w:hAnsi="Univers 45 Light"/>
      <w:sz w:val="24"/>
      <w:lang w:eastAsia="en-US"/>
    </w:rPr>
  </w:style>
  <w:style w:type="paragraph" w:customStyle="1" w:styleId="CoverDate">
    <w:name w:val="Cover Date"/>
    <w:basedOn w:val="Subtitle0"/>
    <w:uiPriority w:val="24"/>
    <w:qFormat/>
    <w:rsid w:val="00CE1469"/>
  </w:style>
  <w:style w:type="character" w:styleId="IntenseEmphasis">
    <w:name w:val="Intense Emphasis"/>
    <w:basedOn w:val="DefaultParagraphFont"/>
    <w:uiPriority w:val="21"/>
    <w:qFormat/>
    <w:rsid w:val="00CE1469"/>
    <w:rPr>
      <w:b/>
      <w:i/>
      <w:iCs/>
      <w:color w:val="000000" w:themeColor="text1"/>
    </w:rPr>
  </w:style>
  <w:style w:type="paragraph" w:customStyle="1" w:styleId="Boxed1Text">
    <w:name w:val="Boxed 1 Text"/>
    <w:basedOn w:val="Normal"/>
    <w:uiPriority w:val="29"/>
    <w:qFormat/>
    <w:rsid w:val="00CE1469"/>
    <w:pPr>
      <w:pBdr>
        <w:top w:val="single" w:sz="4" w:space="14" w:color="4BACC6" w:themeColor="accent5"/>
        <w:left w:val="single" w:sz="4" w:space="14" w:color="4BACC6" w:themeColor="accent5"/>
        <w:bottom w:val="single" w:sz="4" w:space="14" w:color="4BACC6" w:themeColor="accent5"/>
        <w:right w:val="single" w:sz="4" w:space="14" w:color="4BACC6" w:themeColor="accent5"/>
      </w:pBdr>
      <w:shd w:val="clear" w:color="auto" w:fill="92CDDC" w:themeFill="accent5" w:themeFillTint="99"/>
      <w:suppressAutoHyphens/>
      <w:spacing w:after="60" w:line="240" w:lineRule="atLeast"/>
      <w:ind w:left="284" w:right="284"/>
    </w:pPr>
    <w:rPr>
      <w:rFonts w:ascii="Segoe UI" w:eastAsiaTheme="minorHAnsi" w:hAnsi="Segoe UI" w:cstheme="minorBidi"/>
      <w:color w:val="262626" w:themeColor="text1" w:themeTint="D9"/>
      <w:sz w:val="20"/>
    </w:rPr>
  </w:style>
  <w:style w:type="paragraph" w:styleId="Subtitle0">
    <w:name w:val="Subtitle"/>
    <w:basedOn w:val="Title"/>
    <w:next w:val="Normal"/>
    <w:link w:val="SubtitleChar"/>
    <w:uiPriority w:val="23"/>
    <w:qFormat/>
    <w:rsid w:val="009F01E9"/>
    <w:pPr>
      <w:keepLines/>
      <w:numPr>
        <w:ilvl w:val="1"/>
      </w:numPr>
      <w:suppressAutoHyphens/>
      <w:spacing w:before="600" w:after="360" w:afterAutospacing="0" w:line="240" w:lineRule="auto"/>
    </w:pPr>
    <w:rPr>
      <w:rFonts w:ascii="Segoe UI" w:eastAsiaTheme="minorEastAsia" w:hAnsi="Segoe UI"/>
      <w:color w:val="1F497D" w:themeColor="text2"/>
      <w:sz w:val="40"/>
    </w:rPr>
  </w:style>
  <w:style w:type="character" w:customStyle="1" w:styleId="SubtitleChar">
    <w:name w:val="Subtitle Char"/>
    <w:basedOn w:val="DefaultParagraphFont"/>
    <w:link w:val="Subtitle0"/>
    <w:uiPriority w:val="23"/>
    <w:rsid w:val="009F01E9"/>
    <w:rPr>
      <w:rFonts w:ascii="Segoe UI" w:eastAsiaTheme="minorEastAsia" w:hAnsi="Segoe UI" w:cstheme="minorBidi"/>
      <w:b/>
      <w:color w:val="1F497D" w:themeColor="text2"/>
      <w:sz w:val="40"/>
      <w:szCs w:val="22"/>
      <w:lang w:val="en-GB" w:eastAsia="en-US"/>
    </w:rPr>
  </w:style>
  <w:style w:type="paragraph" w:styleId="Title0">
    <w:name w:val="Title"/>
    <w:basedOn w:val="Title"/>
    <w:next w:val="Normal"/>
    <w:link w:val="TitleChar"/>
    <w:uiPriority w:val="22"/>
    <w:qFormat/>
    <w:rsid w:val="005A0D8B"/>
    <w:pPr>
      <w:spacing w:before="720" w:after="360" w:afterAutospacing="0"/>
    </w:pPr>
    <w:rPr>
      <w:rFonts w:ascii="Segoe UI" w:hAnsi="Segoe UI" w:cs="Segoe UI"/>
      <w:sz w:val="56"/>
    </w:rPr>
  </w:style>
  <w:style w:type="character" w:customStyle="1" w:styleId="TitleChar">
    <w:name w:val="Title Char"/>
    <w:basedOn w:val="DefaultParagraphFont"/>
    <w:link w:val="Title0"/>
    <w:uiPriority w:val="22"/>
    <w:rsid w:val="005A0D8B"/>
    <w:rPr>
      <w:rFonts w:ascii="Segoe UI" w:eastAsiaTheme="minorHAnsi" w:hAnsi="Segoe UI" w:cs="Segoe UI"/>
      <w:b/>
      <w:color w:val="00338D"/>
      <w:sz w:val="56"/>
      <w:szCs w:val="22"/>
      <w:lang w:val="en-GB" w:eastAsia="en-US"/>
    </w:rPr>
  </w:style>
  <w:style w:type="character" w:customStyle="1" w:styleId="Heading9Char">
    <w:name w:val="Heading 9 Char"/>
    <w:basedOn w:val="DefaultParagraphFont"/>
    <w:link w:val="Heading9"/>
    <w:uiPriority w:val="9"/>
    <w:rsid w:val="00CE1469"/>
    <w:rPr>
      <w:rFonts w:ascii="Univers 45 Light" w:hAnsi="Univers 45 Light"/>
      <w:sz w:val="24"/>
      <w:lang w:eastAsia="en-US"/>
    </w:rPr>
  </w:style>
  <w:style w:type="paragraph" w:customStyle="1" w:styleId="Boxed1Bullet">
    <w:name w:val="Boxed 1 Bullet"/>
    <w:basedOn w:val="Boxed1Text"/>
    <w:uiPriority w:val="30"/>
    <w:qFormat/>
    <w:rsid w:val="00CE1469"/>
    <w:pPr>
      <w:numPr>
        <w:numId w:val="21"/>
      </w:numPr>
    </w:pPr>
  </w:style>
  <w:style w:type="paragraph" w:customStyle="1" w:styleId="Boxed1Heading">
    <w:name w:val="Boxed 1 Heading"/>
    <w:basedOn w:val="Boxed1Text"/>
    <w:uiPriority w:val="29"/>
    <w:qFormat/>
    <w:rsid w:val="00CE1469"/>
    <w:pPr>
      <w:keepNext/>
    </w:pPr>
    <w:rPr>
      <w:b/>
      <w:color w:val="1F497D" w:themeColor="text2"/>
      <w:sz w:val="24"/>
    </w:rPr>
  </w:style>
  <w:style w:type="paragraph" w:customStyle="1" w:styleId="Boxed2Text">
    <w:name w:val="Boxed 2 Text"/>
    <w:basedOn w:val="Boxed1Text"/>
    <w:uiPriority w:val="31"/>
    <w:qFormat/>
    <w:rsid w:val="00CE1469"/>
    <w:pPr>
      <w:pBdr>
        <w:top w:val="single" w:sz="4" w:space="14" w:color="C0504D" w:themeColor="accent2"/>
        <w:left w:val="single" w:sz="4" w:space="14" w:color="C0504D" w:themeColor="accent2"/>
        <w:bottom w:val="single" w:sz="4" w:space="14" w:color="C0504D" w:themeColor="accent2"/>
        <w:right w:val="single" w:sz="4" w:space="14" w:color="C0504D" w:themeColor="accent2"/>
      </w:pBdr>
      <w:shd w:val="clear" w:color="auto" w:fill="auto"/>
    </w:pPr>
  </w:style>
  <w:style w:type="numbering" w:customStyle="1" w:styleId="NumberedHeadings">
    <w:name w:val="Numbered Headings"/>
    <w:next w:val="NumberedHeadings1"/>
    <w:uiPriority w:val="99"/>
    <w:rsid w:val="00CE1469"/>
  </w:style>
  <w:style w:type="paragraph" w:customStyle="1" w:styleId="Boxed2Bullet">
    <w:name w:val="Boxed 2 Bullet"/>
    <w:basedOn w:val="Boxed2Text"/>
    <w:uiPriority w:val="32"/>
    <w:qFormat/>
    <w:rsid w:val="00CE1469"/>
    <w:pPr>
      <w:numPr>
        <w:ilvl w:val="1"/>
        <w:numId w:val="21"/>
      </w:numPr>
    </w:pPr>
  </w:style>
  <w:style w:type="paragraph" w:customStyle="1" w:styleId="Boxed2Heading">
    <w:name w:val="Boxed 2 Heading"/>
    <w:basedOn w:val="Boxed2Text"/>
    <w:uiPriority w:val="31"/>
    <w:qFormat/>
    <w:rsid w:val="00CE1469"/>
    <w:pPr>
      <w:keepNext/>
    </w:pPr>
    <w:rPr>
      <w:b/>
      <w:color w:val="8064A2" w:themeColor="accent4"/>
    </w:rPr>
  </w:style>
  <w:style w:type="numbering" w:customStyle="1" w:styleId="BoxedBullets">
    <w:name w:val="Boxed Bullets"/>
    <w:uiPriority w:val="99"/>
    <w:rsid w:val="00CE1469"/>
    <w:pPr>
      <w:numPr>
        <w:numId w:val="21"/>
      </w:numPr>
    </w:pPr>
  </w:style>
  <w:style w:type="paragraph" w:styleId="Revision">
    <w:name w:val="Revision"/>
    <w:hidden/>
    <w:uiPriority w:val="99"/>
    <w:semiHidden/>
    <w:rsid w:val="00CE1469"/>
    <w:pPr>
      <w:spacing w:before="240"/>
      <w:ind w:left="567" w:hanging="567"/>
      <w:jc w:val="both"/>
    </w:pPr>
    <w:rPr>
      <w:rFonts w:ascii="Arial" w:hAnsi="Arial"/>
      <w:lang w:eastAsia="en-US"/>
    </w:rPr>
  </w:style>
  <w:style w:type="paragraph" w:customStyle="1" w:styleId="FigureTitle">
    <w:name w:val="Figure Title"/>
    <w:basedOn w:val="Normal"/>
    <w:uiPriority w:val="12"/>
    <w:qFormat/>
    <w:rsid w:val="00CE1469"/>
    <w:pPr>
      <w:keepNext/>
      <w:numPr>
        <w:ilvl w:val="4"/>
        <w:numId w:val="26"/>
      </w:numPr>
      <w:suppressAutoHyphens/>
      <w:spacing w:before="240" w:after="60"/>
      <w:ind w:left="1134" w:hanging="1134"/>
    </w:pPr>
    <w:rPr>
      <w:rFonts w:asciiTheme="majorHAnsi" w:eastAsiaTheme="minorHAnsi" w:hAnsiTheme="majorHAnsi" w:cstheme="minorBidi"/>
      <w:color w:val="1F497D" w:themeColor="text2"/>
    </w:rPr>
  </w:style>
  <w:style w:type="paragraph" w:customStyle="1" w:styleId="ChartTitle">
    <w:name w:val="Chart Title"/>
    <w:basedOn w:val="FigureTitle"/>
    <w:uiPriority w:val="12"/>
    <w:qFormat/>
    <w:rsid w:val="00CE1469"/>
    <w:pPr>
      <w:numPr>
        <w:ilvl w:val="6"/>
      </w:numPr>
      <w:ind w:left="1134" w:hanging="1134"/>
    </w:pPr>
  </w:style>
  <w:style w:type="numbering" w:customStyle="1" w:styleId="FigureNumbers">
    <w:name w:val="Figure Numbers"/>
    <w:uiPriority w:val="99"/>
    <w:rsid w:val="00CE1469"/>
    <w:pPr>
      <w:numPr>
        <w:numId w:val="22"/>
      </w:numPr>
    </w:pPr>
  </w:style>
  <w:style w:type="paragraph" w:customStyle="1" w:styleId="HeadingLevel1NoNumber">
    <w:name w:val="HeadingLevel1NoNumber"/>
    <w:basedOn w:val="Heading1"/>
    <w:next w:val="BodyText"/>
    <w:qFormat/>
    <w:rsid w:val="00CE1469"/>
    <w:pPr>
      <w:keepNext/>
      <w:keepLines/>
      <w:pageBreakBefore/>
      <w:suppressAutoHyphens/>
      <w:spacing w:before="240" w:line="240" w:lineRule="auto"/>
      <w:jc w:val="left"/>
    </w:pPr>
    <w:rPr>
      <w:rFonts w:asciiTheme="majorHAnsi" w:eastAsiaTheme="majorEastAsia" w:hAnsiTheme="majorHAnsi" w:cstheme="majorBidi"/>
      <w:color w:val="1F497D" w:themeColor="text2"/>
      <w:sz w:val="56"/>
    </w:rPr>
  </w:style>
  <w:style w:type="paragraph" w:customStyle="1" w:styleId="HeadingLevel3NoNumber">
    <w:name w:val="HeadingLevel3NoNumber"/>
    <w:basedOn w:val="Heading3"/>
    <w:next w:val="BodyText"/>
    <w:qFormat/>
    <w:rsid w:val="00CE1469"/>
    <w:pPr>
      <w:keepLines/>
      <w:numPr>
        <w:ilvl w:val="0"/>
        <w:numId w:val="0"/>
      </w:numPr>
      <w:suppressAutoHyphens/>
      <w:spacing w:before="240"/>
    </w:pPr>
    <w:rPr>
      <w:rFonts w:ascii="Segoe UI" w:eastAsiaTheme="majorEastAsia" w:hAnsi="Segoe UI" w:cstheme="majorBidi"/>
      <w:color w:val="4F81BD" w:themeColor="accent1"/>
      <w:szCs w:val="24"/>
      <w:lang w:val="en-AU"/>
    </w:rPr>
  </w:style>
  <w:style w:type="paragraph" w:customStyle="1" w:styleId="Numberbullet1stlevel">
    <w:name w:val="Number bullet 1st level"/>
    <w:basedOn w:val="Normal"/>
    <w:qFormat/>
    <w:rsid w:val="00CE1469"/>
    <w:pPr>
      <w:numPr>
        <w:numId w:val="29"/>
      </w:numPr>
      <w:ind w:left="357" w:hanging="357"/>
    </w:pPr>
    <w:rPr>
      <w:rFonts w:eastAsiaTheme="minorHAnsi" w:cstheme="minorBidi"/>
      <w:sz w:val="20"/>
      <w:szCs w:val="22"/>
    </w:rPr>
  </w:style>
  <w:style w:type="paragraph" w:customStyle="1" w:styleId="IntroPara">
    <w:name w:val="Intro Para"/>
    <w:basedOn w:val="Normal"/>
    <w:uiPriority w:val="1"/>
    <w:qFormat/>
    <w:rsid w:val="00CE1469"/>
    <w:pPr>
      <w:suppressAutoHyphens/>
      <w:spacing w:before="240" w:after="240"/>
      <w:contextualSpacing/>
    </w:pPr>
    <w:rPr>
      <w:rFonts w:asciiTheme="majorHAnsi" w:eastAsiaTheme="minorHAnsi" w:hAnsiTheme="majorHAnsi" w:cstheme="minorBidi"/>
      <w:color w:val="9BBB59" w:themeColor="accent3"/>
      <w:sz w:val="20"/>
    </w:rPr>
  </w:style>
  <w:style w:type="numbering" w:customStyle="1" w:styleId="KCBullets">
    <w:name w:val="KC Bullets"/>
    <w:uiPriority w:val="99"/>
    <w:rsid w:val="00CE1469"/>
    <w:pPr>
      <w:numPr>
        <w:numId w:val="23"/>
      </w:numPr>
    </w:pPr>
  </w:style>
  <w:style w:type="numbering" w:customStyle="1" w:styleId="List1Numbered">
    <w:name w:val="List 1 Numbered"/>
    <w:uiPriority w:val="99"/>
    <w:rsid w:val="00CE1469"/>
    <w:pPr>
      <w:numPr>
        <w:numId w:val="18"/>
      </w:numPr>
    </w:pPr>
  </w:style>
  <w:style w:type="paragraph" w:customStyle="1" w:styleId="List1Numbered1">
    <w:name w:val="List 1 Numbered 1"/>
    <w:basedOn w:val="Normal"/>
    <w:uiPriority w:val="2"/>
    <w:qFormat/>
    <w:rsid w:val="00CE1469"/>
    <w:pPr>
      <w:numPr>
        <w:numId w:val="19"/>
      </w:numPr>
      <w:suppressAutoHyphens/>
      <w:spacing w:after="60"/>
    </w:pPr>
    <w:rPr>
      <w:rFonts w:ascii="Segoe UI" w:eastAsiaTheme="minorHAnsi" w:hAnsi="Segoe UI" w:cstheme="minorBidi"/>
      <w:color w:val="262626" w:themeColor="text1" w:themeTint="D9"/>
      <w:sz w:val="20"/>
    </w:rPr>
  </w:style>
  <w:style w:type="paragraph" w:customStyle="1" w:styleId="List1Numbered2">
    <w:name w:val="List 1 Numbered 2"/>
    <w:basedOn w:val="Normal"/>
    <w:uiPriority w:val="2"/>
    <w:qFormat/>
    <w:rsid w:val="00CE1469"/>
    <w:pPr>
      <w:numPr>
        <w:ilvl w:val="1"/>
        <w:numId w:val="19"/>
      </w:numPr>
      <w:suppressAutoHyphens/>
      <w:spacing w:before="60" w:after="60"/>
    </w:pPr>
    <w:rPr>
      <w:rFonts w:ascii="Segoe UI" w:eastAsiaTheme="minorHAnsi" w:hAnsi="Segoe UI" w:cstheme="minorBidi"/>
      <w:color w:val="262626" w:themeColor="text1" w:themeTint="D9"/>
      <w:sz w:val="20"/>
    </w:rPr>
  </w:style>
  <w:style w:type="paragraph" w:customStyle="1" w:styleId="List1Numbered3">
    <w:name w:val="List 1 Numbered 3"/>
    <w:basedOn w:val="Normal"/>
    <w:uiPriority w:val="2"/>
    <w:qFormat/>
    <w:rsid w:val="00CE1469"/>
    <w:pPr>
      <w:numPr>
        <w:ilvl w:val="2"/>
        <w:numId w:val="19"/>
      </w:numPr>
      <w:suppressAutoHyphens/>
      <w:spacing w:before="60" w:after="60"/>
    </w:pPr>
    <w:rPr>
      <w:rFonts w:ascii="Segoe UI" w:eastAsiaTheme="minorHAnsi" w:hAnsi="Segoe UI" w:cstheme="minorBidi"/>
      <w:color w:val="262626" w:themeColor="text1" w:themeTint="D9"/>
      <w:sz w:val="20"/>
    </w:rPr>
  </w:style>
  <w:style w:type="paragraph" w:styleId="NoSpacing">
    <w:name w:val="No Spacing"/>
    <w:uiPriority w:val="1"/>
    <w:qFormat/>
    <w:rsid w:val="00CE1469"/>
    <w:pPr>
      <w:spacing w:before="120"/>
    </w:pPr>
    <w:rPr>
      <w:rFonts w:asciiTheme="minorHAnsi" w:eastAsiaTheme="minorHAnsi" w:hAnsiTheme="minorHAnsi" w:cstheme="minorBidi"/>
      <w:color w:val="262626" w:themeColor="text1" w:themeTint="D9"/>
      <w:lang w:eastAsia="en-US"/>
    </w:rPr>
  </w:style>
  <w:style w:type="paragraph" w:customStyle="1" w:styleId="NormalIndent5mm">
    <w:name w:val="Normal Indent 5mm"/>
    <w:basedOn w:val="Normal"/>
    <w:qFormat/>
    <w:rsid w:val="00CE1469"/>
    <w:pPr>
      <w:suppressAutoHyphens/>
      <w:spacing w:after="60"/>
      <w:ind w:left="284"/>
    </w:pPr>
    <w:rPr>
      <w:rFonts w:ascii="Segoe UI" w:eastAsiaTheme="minorHAnsi" w:hAnsi="Segoe UI" w:cstheme="minorBidi"/>
      <w:color w:val="262626" w:themeColor="text1" w:themeTint="D9"/>
      <w:sz w:val="20"/>
    </w:rPr>
  </w:style>
  <w:style w:type="paragraph" w:styleId="TOC5">
    <w:name w:val="toc 5"/>
    <w:basedOn w:val="Normal"/>
    <w:next w:val="Normal"/>
    <w:autoRedefine/>
    <w:uiPriority w:val="39"/>
    <w:rsid w:val="00CE1469"/>
    <w:pPr>
      <w:spacing w:before="0" w:after="100"/>
      <w:ind w:left="960"/>
    </w:pPr>
    <w:rPr>
      <w:rFonts w:ascii="Times New Roman" w:hAnsi="Times New Roman"/>
      <w:szCs w:val="24"/>
    </w:rPr>
  </w:style>
  <w:style w:type="table" w:styleId="MediumShading1-Accent1">
    <w:name w:val="Medium Shading 1 Accent 1"/>
    <w:basedOn w:val="TableNormal"/>
    <w:uiPriority w:val="63"/>
    <w:rsid w:val="00CE1469"/>
    <w:rPr>
      <w:rFonts w:asciiTheme="minorHAnsi" w:eastAsiaTheme="minorHAnsi" w:hAnsiTheme="minorHAnsi" w:cstheme="minorBidi"/>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CE1469"/>
    <w:rPr>
      <w:rFonts w:ascii="Times New Roman" w:eastAsiaTheme="minorHAnsi" w:hAnsi="Times New Roman" w:cstheme="minorBidi"/>
      <w:sz w:val="24"/>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numbering" w:customStyle="1" w:styleId="NumberedHeadings1">
    <w:name w:val="Numbered Headings1"/>
    <w:uiPriority w:val="99"/>
    <w:rsid w:val="00CE1469"/>
    <w:pPr>
      <w:numPr>
        <w:numId w:val="24"/>
      </w:numPr>
    </w:pPr>
  </w:style>
  <w:style w:type="paragraph" w:customStyle="1" w:styleId="PullOut">
    <w:name w:val="Pull Out"/>
    <w:basedOn w:val="Normal"/>
    <w:uiPriority w:val="22"/>
    <w:qFormat/>
    <w:rsid w:val="00CE1469"/>
    <w:pPr>
      <w:suppressAutoHyphens/>
      <w:spacing w:after="60" w:line="340" w:lineRule="atLeast"/>
    </w:pPr>
    <w:rPr>
      <w:rFonts w:ascii="Segoe UI" w:eastAsiaTheme="minorHAnsi" w:hAnsi="Segoe UI" w:cstheme="minorBidi"/>
      <w:color w:val="1F497D" w:themeColor="text2"/>
      <w:sz w:val="26"/>
    </w:rPr>
  </w:style>
  <w:style w:type="paragraph" w:customStyle="1" w:styleId="SourceNotes">
    <w:name w:val="Source Notes"/>
    <w:basedOn w:val="Normal"/>
    <w:uiPriority w:val="21"/>
    <w:qFormat/>
    <w:rsid w:val="00CE1469"/>
    <w:pPr>
      <w:suppressAutoHyphens/>
      <w:spacing w:before="60" w:after="60"/>
    </w:pPr>
    <w:rPr>
      <w:rFonts w:ascii="Segoe UI" w:eastAsiaTheme="minorHAnsi" w:hAnsi="Segoe UI" w:cstheme="minorBidi"/>
      <w:color w:val="262626" w:themeColor="text1" w:themeTint="D9"/>
      <w:sz w:val="16"/>
    </w:rPr>
  </w:style>
  <w:style w:type="paragraph" w:customStyle="1" w:styleId="SourceNotesHeading">
    <w:name w:val="Source Notes Heading"/>
    <w:basedOn w:val="SourceNotes"/>
    <w:uiPriority w:val="20"/>
    <w:qFormat/>
    <w:rsid w:val="00CE1469"/>
    <w:rPr>
      <w:rFonts w:asciiTheme="majorHAnsi" w:hAnsiTheme="majorHAnsi"/>
      <w:b/>
    </w:rPr>
  </w:style>
  <w:style w:type="paragraph" w:styleId="TOC6">
    <w:name w:val="toc 6"/>
    <w:basedOn w:val="Normal"/>
    <w:next w:val="Normal"/>
    <w:autoRedefine/>
    <w:uiPriority w:val="39"/>
    <w:unhideWhenUsed/>
    <w:rsid w:val="00CE1469"/>
    <w:pPr>
      <w:spacing w:before="0" w:after="100" w:line="276" w:lineRule="auto"/>
      <w:ind w:left="1100"/>
    </w:pPr>
    <w:rPr>
      <w:rFonts w:ascii="Segoe UI" w:eastAsiaTheme="minorEastAsia" w:hAnsi="Segoe UI" w:cstheme="minorBidi"/>
      <w:sz w:val="20"/>
      <w:lang w:eastAsia="en-AU"/>
    </w:rPr>
  </w:style>
  <w:style w:type="paragraph" w:styleId="TOC7">
    <w:name w:val="toc 7"/>
    <w:basedOn w:val="Normal"/>
    <w:next w:val="Normal"/>
    <w:autoRedefine/>
    <w:uiPriority w:val="39"/>
    <w:unhideWhenUsed/>
    <w:rsid w:val="00CE1469"/>
    <w:pPr>
      <w:spacing w:before="0" w:after="100" w:line="276" w:lineRule="auto"/>
      <w:ind w:left="1320"/>
    </w:pPr>
    <w:rPr>
      <w:rFonts w:ascii="Segoe UI" w:eastAsiaTheme="minorEastAsia" w:hAnsi="Segoe UI" w:cstheme="minorBidi"/>
      <w:sz w:val="20"/>
      <w:lang w:eastAsia="en-AU"/>
    </w:rPr>
  </w:style>
  <w:style w:type="paragraph" w:styleId="TOC8">
    <w:name w:val="toc 8"/>
    <w:basedOn w:val="Normal"/>
    <w:next w:val="Normal"/>
    <w:autoRedefine/>
    <w:uiPriority w:val="39"/>
    <w:unhideWhenUsed/>
    <w:rsid w:val="00CE1469"/>
    <w:pPr>
      <w:spacing w:before="0" w:after="100" w:line="276" w:lineRule="auto"/>
      <w:ind w:left="1540"/>
    </w:pPr>
    <w:rPr>
      <w:rFonts w:ascii="Segoe UI" w:eastAsiaTheme="minorEastAsia" w:hAnsi="Segoe UI" w:cstheme="minorBidi"/>
      <w:sz w:val="20"/>
      <w:lang w:eastAsia="en-AU"/>
    </w:rPr>
  </w:style>
  <w:style w:type="paragraph" w:styleId="TOC9">
    <w:name w:val="toc 9"/>
    <w:basedOn w:val="Normal"/>
    <w:next w:val="Normal"/>
    <w:autoRedefine/>
    <w:uiPriority w:val="39"/>
    <w:unhideWhenUsed/>
    <w:rsid w:val="00CE1469"/>
    <w:pPr>
      <w:spacing w:before="0" w:after="100" w:line="276" w:lineRule="auto"/>
      <w:ind w:left="1760"/>
    </w:pPr>
    <w:rPr>
      <w:rFonts w:ascii="Segoe UI" w:eastAsiaTheme="minorEastAsia" w:hAnsi="Segoe UI" w:cstheme="minorBidi"/>
      <w:sz w:val="20"/>
      <w:lang w:eastAsia="en-AU"/>
    </w:rPr>
  </w:style>
  <w:style w:type="paragraph" w:customStyle="1" w:styleId="SourceNotesNumbered">
    <w:name w:val="Source Notes Numbered"/>
    <w:basedOn w:val="SourceNotes"/>
    <w:uiPriority w:val="21"/>
    <w:qFormat/>
    <w:rsid w:val="00CE1469"/>
    <w:pPr>
      <w:numPr>
        <w:numId w:val="20"/>
      </w:numPr>
    </w:pPr>
  </w:style>
  <w:style w:type="table" w:styleId="LightList">
    <w:name w:val="Light List"/>
    <w:basedOn w:val="TableNormal"/>
    <w:uiPriority w:val="61"/>
    <w:rsid w:val="00CE1469"/>
    <w:rPr>
      <w:rFonts w:asciiTheme="minorHAnsi" w:eastAsiaTheme="minorHAnsi" w:hAnsiTheme="minorHAnsi" w:cstheme="minorBidi"/>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numbering" w:customStyle="1" w:styleId="TableNumbers">
    <w:name w:val="Table Numbers"/>
    <w:uiPriority w:val="99"/>
    <w:rsid w:val="00CE1469"/>
    <w:pPr>
      <w:numPr>
        <w:numId w:val="25"/>
      </w:numPr>
    </w:pPr>
  </w:style>
  <w:style w:type="paragraph" w:customStyle="1" w:styleId="TableTitle">
    <w:name w:val="Table Title"/>
    <w:basedOn w:val="FigureTitle"/>
    <w:uiPriority w:val="12"/>
    <w:qFormat/>
    <w:rsid w:val="00CE1469"/>
    <w:pPr>
      <w:numPr>
        <w:ilvl w:val="5"/>
      </w:numPr>
      <w:ind w:left="1134" w:hanging="1134"/>
    </w:pPr>
  </w:style>
  <w:style w:type="character" w:styleId="IntenseReference">
    <w:name w:val="Intense Reference"/>
    <w:uiPriority w:val="32"/>
    <w:unhideWhenUsed/>
    <w:qFormat/>
    <w:rsid w:val="00CE1469"/>
    <w:rPr>
      <w:smallCaps/>
      <w:spacing w:val="5"/>
      <w:u w:val="single"/>
    </w:rPr>
  </w:style>
  <w:style w:type="character" w:customStyle="1" w:styleId="UnresolvedMention">
    <w:name w:val="Unresolved Mention"/>
    <w:basedOn w:val="DefaultParagraphFont"/>
    <w:uiPriority w:val="99"/>
    <w:semiHidden/>
    <w:unhideWhenUsed/>
    <w:rsid w:val="00CE1469"/>
    <w:rPr>
      <w:color w:val="808080"/>
      <w:shd w:val="clear" w:color="auto" w:fill="E6E6E6"/>
    </w:rPr>
  </w:style>
  <w:style w:type="paragraph" w:customStyle="1" w:styleId="Appendixheading0">
    <w:name w:val="Appendix heading"/>
    <w:next w:val="BodyText"/>
    <w:uiPriority w:val="2"/>
    <w:qFormat/>
    <w:rsid w:val="00CE1469"/>
    <w:pPr>
      <w:keepNext/>
      <w:keepLines/>
      <w:pageBreakBefore/>
      <w:spacing w:before="240" w:after="240"/>
      <w:outlineLvl w:val="0"/>
    </w:pPr>
    <w:rPr>
      <w:rFonts w:ascii="Calibri" w:hAnsi="Calibri"/>
      <w:color w:val="00338D"/>
      <w:sz w:val="56"/>
      <w:szCs w:val="18"/>
      <w:lang w:eastAsia="en-US"/>
    </w:rPr>
  </w:style>
  <w:style w:type="paragraph" w:customStyle="1" w:styleId="Tableheading">
    <w:name w:val="Tableheading"/>
    <w:basedOn w:val="Normal"/>
    <w:qFormat/>
    <w:rsid w:val="00DC338F"/>
    <w:pPr>
      <w:suppressAutoHyphens/>
      <w:spacing w:before="40" w:after="40"/>
    </w:pPr>
    <w:rPr>
      <w:rFonts w:eastAsiaTheme="minorHAnsi" w:cstheme="minorBidi"/>
      <w:b/>
      <w:bCs/>
      <w:color w:val="FFFFFF" w:themeColor="background1"/>
    </w:rPr>
  </w:style>
  <w:style w:type="paragraph" w:customStyle="1" w:styleId="Tabletext1">
    <w:name w:val="Tabletext"/>
    <w:basedOn w:val="Normal"/>
    <w:qFormat/>
    <w:rsid w:val="00DC338F"/>
    <w:pPr>
      <w:suppressAutoHyphens/>
    </w:pPr>
    <w:rPr>
      <w:rFonts w:eastAsiaTheme="minorHAnsi" w:cstheme="minorBidi"/>
      <w:color w:val="262626" w:themeColor="text1" w:themeTint="D9"/>
      <w:lang w:val="en-GB"/>
    </w:rPr>
  </w:style>
  <w:style w:type="paragraph" w:customStyle="1" w:styleId="Tablebullet10">
    <w:name w:val="Tablebullet1"/>
    <w:basedOn w:val="ListBullet"/>
    <w:qFormat/>
    <w:rsid w:val="00CE1469"/>
    <w:pPr>
      <w:suppressAutoHyphens/>
      <w:spacing w:before="40" w:after="40"/>
      <w:contextualSpacing/>
    </w:pPr>
    <w:rPr>
      <w:rFonts w:ascii="Segoe UI" w:eastAsiaTheme="minorHAnsi" w:hAnsi="Segoe UI" w:cstheme="minorBidi"/>
      <w:color w:val="262626" w:themeColor="text1" w:themeTint="D9"/>
      <w:sz w:val="18"/>
    </w:rPr>
  </w:style>
  <w:style w:type="paragraph" w:customStyle="1" w:styleId="TableBoldtext">
    <w:name w:val="TableBoldtext"/>
    <w:basedOn w:val="Tabletext1"/>
    <w:qFormat/>
    <w:rsid w:val="00CE1469"/>
    <w:rPr>
      <w:bCs/>
    </w:rPr>
  </w:style>
  <w:style w:type="table" w:customStyle="1" w:styleId="TableGridLight10">
    <w:name w:val="Table Grid Light1"/>
    <w:basedOn w:val="TableNormal"/>
    <w:uiPriority w:val="40"/>
    <w:rsid w:val="00CE1469"/>
    <w:pPr>
      <w:spacing w:before="120"/>
    </w:pPr>
    <w:rPr>
      <w:rFonts w:asciiTheme="minorHAnsi" w:eastAsiaTheme="minorHAnsi" w:hAnsiTheme="minorHAnsi" w:cstheme="minorBidi"/>
      <w:color w:val="262626" w:themeColor="text1" w:themeTint="D9"/>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TableNormal"/>
    <w:uiPriority w:val="49"/>
    <w:rsid w:val="00CE146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6Colorful-Accent11">
    <w:name w:val="Grid Table 6 Colorful - Accent 11"/>
    <w:basedOn w:val="TableNormal"/>
    <w:uiPriority w:val="51"/>
    <w:rsid w:val="00CE1469"/>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BodyText1indent">
    <w:name w:val="BodyText1indent"/>
    <w:basedOn w:val="BodyText"/>
    <w:qFormat/>
    <w:rsid w:val="00CE1469"/>
    <w:pPr>
      <w:suppressAutoHyphens/>
      <w:spacing w:line="240" w:lineRule="auto"/>
      <w:ind w:left="720"/>
    </w:pPr>
    <w:rPr>
      <w:rFonts w:ascii="Segoe UI" w:eastAsiaTheme="minorHAnsi" w:hAnsi="Segoe UI" w:cstheme="minorBidi"/>
      <w:color w:val="262626" w:themeColor="text1" w:themeTint="D9"/>
      <w:sz w:val="20"/>
    </w:rPr>
  </w:style>
  <w:style w:type="paragraph" w:styleId="NormalWeb">
    <w:name w:val="Normal (Web)"/>
    <w:basedOn w:val="Normal"/>
    <w:uiPriority w:val="99"/>
    <w:unhideWhenUsed/>
    <w:rsid w:val="00CE1469"/>
    <w:pPr>
      <w:spacing w:before="100" w:beforeAutospacing="1" w:after="100" w:afterAutospacing="1"/>
    </w:pPr>
    <w:rPr>
      <w:rFonts w:ascii="Times New Roman" w:hAnsi="Times New Roman"/>
      <w:szCs w:val="24"/>
      <w:lang w:eastAsia="en-AU"/>
    </w:rPr>
  </w:style>
  <w:style w:type="character" w:customStyle="1" w:styleId="EndnoteTextChar">
    <w:name w:val="Endnote Text Char"/>
    <w:basedOn w:val="DefaultParagraphFont"/>
    <w:link w:val="EndnoteText"/>
    <w:uiPriority w:val="99"/>
    <w:rsid w:val="00CE1469"/>
    <w:rPr>
      <w:rFonts w:ascii="Univers 45 Light" w:hAnsi="Univers 45 Light"/>
      <w:sz w:val="24"/>
      <w:lang w:eastAsia="en-US"/>
    </w:rPr>
  </w:style>
  <w:style w:type="table" w:customStyle="1" w:styleId="GridTable5Dark-Accent51">
    <w:name w:val="Grid Table 5 Dark - Accent 51"/>
    <w:basedOn w:val="TableNormal"/>
    <w:uiPriority w:val="50"/>
    <w:rsid w:val="00CE1469"/>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TableGrid1">
    <w:name w:val="Table Grid1"/>
    <w:basedOn w:val="TableNormal"/>
    <w:next w:val="TableGrid"/>
    <w:uiPriority w:val="39"/>
    <w:rsid w:val="00CE1469"/>
    <w:pPr>
      <w:spacing w:before="120"/>
    </w:pPr>
    <w:rPr>
      <w:rFonts w:asciiTheme="minorHAnsi" w:eastAsiaTheme="minorHAnsi" w:hAnsiTheme="minorHAnsi" w:cstheme="minorBidi"/>
      <w:color w:val="262626" w:themeColor="text1" w:themeTint="D9"/>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urce0">
    <w:name w:val="Source"/>
    <w:basedOn w:val="BodyText"/>
    <w:qFormat/>
    <w:rsid w:val="00CE1469"/>
    <w:pPr>
      <w:suppressAutoHyphens/>
      <w:spacing w:line="240" w:lineRule="auto"/>
    </w:pPr>
    <w:rPr>
      <w:rFonts w:ascii="Segoe UI" w:eastAsiaTheme="minorHAnsi" w:hAnsi="Segoe UI" w:cstheme="minorBidi"/>
      <w:i/>
      <w:color w:val="262626" w:themeColor="text1" w:themeTint="D9"/>
      <w:sz w:val="18"/>
    </w:rPr>
  </w:style>
  <w:style w:type="paragraph" w:customStyle="1" w:styleId="Bodytextkeepwithnext">
    <w:name w:val="Bodytextkeepwithnext"/>
    <w:basedOn w:val="BodyText"/>
    <w:qFormat/>
    <w:rsid w:val="00CE1469"/>
    <w:pPr>
      <w:keepNext/>
      <w:suppressAutoHyphens/>
      <w:spacing w:line="240" w:lineRule="auto"/>
    </w:pPr>
    <w:rPr>
      <w:rFonts w:ascii="Segoe UI" w:eastAsiaTheme="minorHAnsi" w:hAnsi="Segoe UI" w:cstheme="minorBidi"/>
      <w:color w:val="262626" w:themeColor="text1" w:themeTint="D9"/>
      <w:sz w:val="20"/>
      <w:lang w:val="en-GB"/>
    </w:rPr>
  </w:style>
  <w:style w:type="paragraph" w:customStyle="1" w:styleId="CoverTitle">
    <w:name w:val="CoverTitle"/>
    <w:basedOn w:val="Normal"/>
    <w:qFormat/>
    <w:rsid w:val="00CE1469"/>
    <w:pPr>
      <w:suppressAutoHyphens/>
      <w:spacing w:after="60"/>
    </w:pPr>
    <w:rPr>
      <w:rFonts w:ascii="Segoe UI" w:eastAsiaTheme="minorHAnsi" w:hAnsi="Segoe UI" w:cstheme="minorBidi"/>
      <w:color w:val="1F497D" w:themeColor="text2"/>
      <w:sz w:val="56"/>
    </w:rPr>
  </w:style>
  <w:style w:type="paragraph" w:customStyle="1" w:styleId="CaptionTable">
    <w:name w:val="Caption_Table"/>
    <w:basedOn w:val="Normal"/>
    <w:qFormat/>
    <w:rsid w:val="00CE1469"/>
    <w:pPr>
      <w:keepNext/>
      <w:ind w:left="992"/>
      <w:jc w:val="center"/>
    </w:pPr>
    <w:rPr>
      <w:rFonts w:ascii="Calibri" w:eastAsiaTheme="minorHAnsi" w:hAnsi="Calibri"/>
      <w:b/>
      <w:bCs/>
      <w:color w:val="002776"/>
      <w:szCs w:val="22"/>
    </w:rPr>
  </w:style>
  <w:style w:type="paragraph" w:customStyle="1" w:styleId="CaptionFigure">
    <w:name w:val="Caption_Figure"/>
    <w:basedOn w:val="Normal"/>
    <w:qFormat/>
    <w:rsid w:val="00CE1469"/>
    <w:pPr>
      <w:keepNext/>
      <w:spacing w:before="0" w:after="240"/>
      <w:ind w:left="3544"/>
      <w:jc w:val="center"/>
    </w:pPr>
    <w:rPr>
      <w:rFonts w:ascii="Calibri" w:eastAsiaTheme="minorHAnsi" w:hAnsi="Calibri"/>
      <w:b/>
      <w:bCs/>
      <w:color w:val="002776"/>
      <w:szCs w:val="22"/>
    </w:rPr>
  </w:style>
  <w:style w:type="paragraph" w:customStyle="1" w:styleId="CaptionChart">
    <w:name w:val="Caption_Chart"/>
    <w:basedOn w:val="Normal"/>
    <w:qFormat/>
    <w:rsid w:val="00CE1469"/>
    <w:pPr>
      <w:keepNext/>
      <w:spacing w:before="0" w:after="240"/>
      <w:ind w:left="142"/>
      <w:jc w:val="center"/>
    </w:pPr>
    <w:rPr>
      <w:rFonts w:ascii="Calibri" w:eastAsiaTheme="minorHAnsi" w:hAnsi="Calibri"/>
      <w:b/>
      <w:bCs/>
      <w:color w:val="002776"/>
      <w:szCs w:val="22"/>
    </w:rPr>
  </w:style>
  <w:style w:type="character" w:customStyle="1" w:styleId="UnresolvedMention1">
    <w:name w:val="Unresolved Mention1"/>
    <w:basedOn w:val="DefaultParagraphFont"/>
    <w:uiPriority w:val="99"/>
    <w:semiHidden/>
    <w:unhideWhenUsed/>
    <w:rsid w:val="00CE1469"/>
    <w:rPr>
      <w:color w:val="808080"/>
      <w:shd w:val="clear" w:color="auto" w:fill="E6E6E6"/>
    </w:rPr>
  </w:style>
  <w:style w:type="table" w:customStyle="1" w:styleId="ListTable3-Accent11">
    <w:name w:val="List Table 3 - Accent 11"/>
    <w:basedOn w:val="TableNormal"/>
    <w:uiPriority w:val="48"/>
    <w:rsid w:val="00CE1469"/>
    <w:pPr>
      <w:spacing w:before="120"/>
    </w:pPr>
    <w:rPr>
      <w:rFonts w:asciiTheme="minorHAnsi" w:eastAsiaTheme="minorHAnsi" w:hAnsiTheme="minorHAnsi" w:cstheme="minorBidi"/>
      <w:color w:val="262626" w:themeColor="text1" w:themeTint="D9"/>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TableGridKPMGBlue">
    <w:name w:val="Table Grid KPMG Blue"/>
    <w:basedOn w:val="TableNormal"/>
    <w:rsid w:val="00CE1469"/>
    <w:rPr>
      <w:rFonts w:ascii="Univers 45 Light" w:hAnsi="Univers 45 Light"/>
    </w:rPr>
    <w:tblPr>
      <w:tblBorders>
        <w:top w:val="single" w:sz="4" w:space="0" w:color="C6C7DE"/>
        <w:left w:val="single" w:sz="4" w:space="0" w:color="C6C7DE"/>
        <w:bottom w:val="single" w:sz="4" w:space="0" w:color="C6C7DE"/>
        <w:right w:val="single" w:sz="4" w:space="0" w:color="C6C7DE"/>
        <w:insideH w:val="single" w:sz="4" w:space="0" w:color="C6C7DE"/>
        <w:insideV w:val="single" w:sz="4" w:space="0" w:color="C6C7DE"/>
      </w:tblBorders>
      <w:tblCellMar>
        <w:top w:w="28" w:type="dxa"/>
        <w:bottom w:w="28" w:type="dxa"/>
      </w:tblCellMar>
    </w:tblPr>
    <w:trPr>
      <w:cantSplit/>
    </w:trPr>
    <w:tblStylePr w:type="firstRow">
      <w:pPr>
        <w:keepNext/>
        <w:wordWrap/>
        <w:jc w:val="left"/>
      </w:pPr>
      <w:rPr>
        <w:rFonts w:ascii="Candara" w:hAnsi="Candara"/>
        <w:color w:val="FFFFFF"/>
      </w:rPr>
      <w:tblPr/>
      <w:trPr>
        <w:tblHeader/>
      </w:trPr>
      <w:tcPr>
        <w:shd w:val="clear" w:color="auto" w:fill="00338D"/>
      </w:tcPr>
    </w:tblStylePr>
    <w:tblStylePr w:type="firstCol">
      <w:rPr>
        <w:color w:val="auto"/>
      </w:rPr>
    </w:tblStylePr>
  </w:style>
  <w:style w:type="character" w:customStyle="1" w:styleId="ListParagraphChar">
    <w:name w:val="List Paragraph Char"/>
    <w:aliases w:val="B. FSG - font Char,standard lewis Char,Bullet (1st level) Char,First level bullet point Char,Recommendation Char,dot point 1 Char,Body Numbering Char,Brief List Paragraph 1 Char,First level bullet Char,#List Paragraph Char,L Char"/>
    <w:basedOn w:val="DefaultParagraphFont"/>
    <w:link w:val="ListParagraph"/>
    <w:uiPriority w:val="34"/>
    <w:locked/>
    <w:rsid w:val="00CE1469"/>
    <w:rPr>
      <w:rFonts w:ascii="Univers 45 Light" w:eastAsiaTheme="minorHAnsi" w:hAnsi="Univers 45 Light" w:cstheme="minorBidi"/>
      <w:sz w:val="24"/>
      <w:szCs w:val="22"/>
      <w:lang w:val="en-GB" w:eastAsia="en-US"/>
    </w:rPr>
  </w:style>
  <w:style w:type="paragraph" w:customStyle="1" w:styleId="SidebarBulletText1">
    <w:name w:val="Sidebar Bullet Text 1"/>
    <w:basedOn w:val="Normal"/>
    <w:qFormat/>
    <w:rsid w:val="00CE1469"/>
    <w:pPr>
      <w:numPr>
        <w:numId w:val="33"/>
      </w:numPr>
      <w:spacing w:before="0" w:after="80" w:line="250" w:lineRule="atLeast"/>
    </w:pPr>
    <w:rPr>
      <w:rFonts w:asciiTheme="minorHAnsi" w:eastAsiaTheme="minorHAnsi" w:hAnsiTheme="minorHAnsi" w:cstheme="minorBidi"/>
      <w:color w:val="FFFFFF" w:themeColor="background1"/>
      <w:sz w:val="18"/>
      <w:szCs w:val="22"/>
      <w:lang w:val="en-GB"/>
    </w:rPr>
  </w:style>
  <w:style w:type="table" w:styleId="TableColumns3">
    <w:name w:val="Table Columns 3"/>
    <w:basedOn w:val="TableNormal"/>
    <w:rsid w:val="00CE1469"/>
    <w:rPr>
      <w:rFonts w:ascii="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styleId="Quote">
    <w:name w:val="Quote"/>
    <w:basedOn w:val="Normal"/>
    <w:next w:val="Normal"/>
    <w:link w:val="QuoteChar"/>
    <w:uiPriority w:val="29"/>
    <w:qFormat/>
    <w:rsid w:val="00DC338F"/>
    <w:pPr>
      <w:ind w:left="340"/>
    </w:pPr>
    <w:rPr>
      <w:rFonts w:cs="Segoe UI"/>
    </w:rPr>
  </w:style>
  <w:style w:type="character" w:customStyle="1" w:styleId="QuoteChar">
    <w:name w:val="Quote Char"/>
    <w:basedOn w:val="DefaultParagraphFont"/>
    <w:link w:val="Quote"/>
    <w:uiPriority w:val="29"/>
    <w:rsid w:val="00DC338F"/>
    <w:rPr>
      <w:rFonts w:ascii="Univers 45 Light" w:hAnsi="Univers 45 Light" w:cs="Segoe UI"/>
      <w:sz w:val="24"/>
      <w:lang w:eastAsia="en-US"/>
    </w:rPr>
  </w:style>
  <w:style w:type="character" w:styleId="PlaceholderText">
    <w:name w:val="Placeholder Text"/>
    <w:basedOn w:val="DefaultParagraphFont"/>
    <w:uiPriority w:val="99"/>
    <w:semiHidden/>
    <w:rsid w:val="00CE1469"/>
    <w:rPr>
      <w:color w:val="808080"/>
    </w:rPr>
  </w:style>
  <w:style w:type="table" w:customStyle="1" w:styleId="TableGrid2">
    <w:name w:val="Table Grid2"/>
    <w:basedOn w:val="TableNormal"/>
    <w:next w:val="TableGrid"/>
    <w:uiPriority w:val="39"/>
    <w:rsid w:val="00CE1469"/>
    <w:pPr>
      <w:spacing w:before="120"/>
    </w:pPr>
    <w:rPr>
      <w:rFonts w:asciiTheme="minorHAnsi" w:eastAsiaTheme="minorHAnsi" w:hAnsiTheme="minorHAnsi" w:cstheme="minorBidi"/>
      <w:color w:val="262626" w:themeColor="text1" w:themeTint="D9"/>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fuvd">
    <w:name w:val="ilfuvd"/>
    <w:basedOn w:val="DefaultParagraphFont"/>
    <w:rsid w:val="00CE1469"/>
  </w:style>
  <w:style w:type="table" w:customStyle="1" w:styleId="TableGridLight2">
    <w:name w:val="Table Grid Light2"/>
    <w:basedOn w:val="TableNormal"/>
    <w:uiPriority w:val="40"/>
    <w:rsid w:val="00CE1469"/>
    <w:pPr>
      <w:spacing w:before="120"/>
    </w:pPr>
    <w:rPr>
      <w:rFonts w:asciiTheme="minorHAnsi" w:eastAsiaTheme="minorHAnsi" w:hAnsiTheme="minorHAnsi" w:cstheme="minorBidi"/>
      <w:color w:val="262626" w:themeColor="text1" w:themeTint="D9"/>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A3">
    <w:name w:val="A3"/>
    <w:uiPriority w:val="99"/>
    <w:rsid w:val="00CE1469"/>
    <w:rPr>
      <w:rFonts w:cs="Frutiger"/>
      <w:b/>
      <w:bCs/>
      <w:color w:val="221E1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19215">
      <w:bodyDiv w:val="1"/>
      <w:marLeft w:val="0"/>
      <w:marRight w:val="0"/>
      <w:marTop w:val="0"/>
      <w:marBottom w:val="0"/>
      <w:divBdr>
        <w:top w:val="none" w:sz="0" w:space="0" w:color="auto"/>
        <w:left w:val="none" w:sz="0" w:space="0" w:color="auto"/>
        <w:bottom w:val="none" w:sz="0" w:space="0" w:color="auto"/>
        <w:right w:val="none" w:sz="0" w:space="0" w:color="auto"/>
      </w:divBdr>
    </w:div>
    <w:div w:id="99642063">
      <w:bodyDiv w:val="1"/>
      <w:marLeft w:val="0"/>
      <w:marRight w:val="0"/>
      <w:marTop w:val="0"/>
      <w:marBottom w:val="0"/>
      <w:divBdr>
        <w:top w:val="none" w:sz="0" w:space="0" w:color="auto"/>
        <w:left w:val="none" w:sz="0" w:space="0" w:color="auto"/>
        <w:bottom w:val="none" w:sz="0" w:space="0" w:color="auto"/>
        <w:right w:val="none" w:sz="0" w:space="0" w:color="auto"/>
      </w:divBdr>
      <w:divsChild>
        <w:div w:id="1708334989">
          <w:marLeft w:val="0"/>
          <w:marRight w:val="0"/>
          <w:marTop w:val="0"/>
          <w:marBottom w:val="0"/>
          <w:divBdr>
            <w:top w:val="none" w:sz="0" w:space="0" w:color="auto"/>
            <w:left w:val="none" w:sz="0" w:space="0" w:color="auto"/>
            <w:bottom w:val="none" w:sz="0" w:space="0" w:color="auto"/>
            <w:right w:val="none" w:sz="0" w:space="0" w:color="auto"/>
          </w:divBdr>
          <w:divsChild>
            <w:div w:id="59837046">
              <w:marLeft w:val="0"/>
              <w:marRight w:val="0"/>
              <w:marTop w:val="0"/>
              <w:marBottom w:val="0"/>
              <w:divBdr>
                <w:top w:val="none" w:sz="0" w:space="0" w:color="auto"/>
                <w:left w:val="none" w:sz="0" w:space="0" w:color="auto"/>
                <w:bottom w:val="none" w:sz="0" w:space="0" w:color="auto"/>
                <w:right w:val="none" w:sz="0" w:space="0" w:color="auto"/>
              </w:divBdr>
            </w:div>
            <w:div w:id="625240523">
              <w:marLeft w:val="0"/>
              <w:marRight w:val="0"/>
              <w:marTop w:val="0"/>
              <w:marBottom w:val="0"/>
              <w:divBdr>
                <w:top w:val="none" w:sz="0" w:space="0" w:color="auto"/>
                <w:left w:val="none" w:sz="0" w:space="0" w:color="auto"/>
                <w:bottom w:val="none" w:sz="0" w:space="0" w:color="auto"/>
                <w:right w:val="none" w:sz="0" w:space="0" w:color="auto"/>
              </w:divBdr>
            </w:div>
            <w:div w:id="654451991">
              <w:marLeft w:val="0"/>
              <w:marRight w:val="0"/>
              <w:marTop w:val="0"/>
              <w:marBottom w:val="0"/>
              <w:divBdr>
                <w:top w:val="none" w:sz="0" w:space="0" w:color="auto"/>
                <w:left w:val="none" w:sz="0" w:space="0" w:color="auto"/>
                <w:bottom w:val="none" w:sz="0" w:space="0" w:color="auto"/>
                <w:right w:val="none" w:sz="0" w:space="0" w:color="auto"/>
              </w:divBdr>
            </w:div>
            <w:div w:id="1578588205">
              <w:marLeft w:val="0"/>
              <w:marRight w:val="0"/>
              <w:marTop w:val="0"/>
              <w:marBottom w:val="0"/>
              <w:divBdr>
                <w:top w:val="none" w:sz="0" w:space="0" w:color="auto"/>
                <w:left w:val="none" w:sz="0" w:space="0" w:color="auto"/>
                <w:bottom w:val="none" w:sz="0" w:space="0" w:color="auto"/>
                <w:right w:val="none" w:sz="0" w:space="0" w:color="auto"/>
              </w:divBdr>
            </w:div>
            <w:div w:id="1756170821">
              <w:marLeft w:val="0"/>
              <w:marRight w:val="0"/>
              <w:marTop w:val="0"/>
              <w:marBottom w:val="0"/>
              <w:divBdr>
                <w:top w:val="none" w:sz="0" w:space="0" w:color="auto"/>
                <w:left w:val="none" w:sz="0" w:space="0" w:color="auto"/>
                <w:bottom w:val="none" w:sz="0" w:space="0" w:color="auto"/>
                <w:right w:val="none" w:sz="0" w:space="0" w:color="auto"/>
              </w:divBdr>
            </w:div>
            <w:div w:id="194159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345302">
      <w:bodyDiv w:val="1"/>
      <w:marLeft w:val="0"/>
      <w:marRight w:val="0"/>
      <w:marTop w:val="0"/>
      <w:marBottom w:val="0"/>
      <w:divBdr>
        <w:top w:val="none" w:sz="0" w:space="0" w:color="auto"/>
        <w:left w:val="none" w:sz="0" w:space="0" w:color="auto"/>
        <w:bottom w:val="none" w:sz="0" w:space="0" w:color="auto"/>
        <w:right w:val="none" w:sz="0" w:space="0" w:color="auto"/>
      </w:divBdr>
      <w:divsChild>
        <w:div w:id="502429391">
          <w:marLeft w:val="0"/>
          <w:marRight w:val="0"/>
          <w:marTop w:val="0"/>
          <w:marBottom w:val="0"/>
          <w:divBdr>
            <w:top w:val="none" w:sz="0" w:space="0" w:color="auto"/>
            <w:left w:val="none" w:sz="0" w:space="0" w:color="auto"/>
            <w:bottom w:val="none" w:sz="0" w:space="0" w:color="auto"/>
            <w:right w:val="none" w:sz="0" w:space="0" w:color="auto"/>
          </w:divBdr>
          <w:divsChild>
            <w:div w:id="1124927057">
              <w:marLeft w:val="0"/>
              <w:marRight w:val="0"/>
              <w:marTop w:val="0"/>
              <w:marBottom w:val="0"/>
              <w:divBdr>
                <w:top w:val="none" w:sz="0" w:space="0" w:color="auto"/>
                <w:left w:val="none" w:sz="0" w:space="0" w:color="auto"/>
                <w:bottom w:val="none" w:sz="0" w:space="0" w:color="auto"/>
                <w:right w:val="none" w:sz="0" w:space="0" w:color="auto"/>
              </w:divBdr>
            </w:div>
            <w:div w:id="1678145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958757">
      <w:bodyDiv w:val="1"/>
      <w:marLeft w:val="0"/>
      <w:marRight w:val="0"/>
      <w:marTop w:val="0"/>
      <w:marBottom w:val="0"/>
      <w:divBdr>
        <w:top w:val="none" w:sz="0" w:space="0" w:color="auto"/>
        <w:left w:val="none" w:sz="0" w:space="0" w:color="auto"/>
        <w:bottom w:val="none" w:sz="0" w:space="0" w:color="auto"/>
        <w:right w:val="none" w:sz="0" w:space="0" w:color="auto"/>
      </w:divBdr>
      <w:divsChild>
        <w:div w:id="788550736">
          <w:marLeft w:val="0"/>
          <w:marRight w:val="0"/>
          <w:marTop w:val="0"/>
          <w:marBottom w:val="0"/>
          <w:divBdr>
            <w:top w:val="none" w:sz="0" w:space="0" w:color="auto"/>
            <w:left w:val="none" w:sz="0" w:space="0" w:color="auto"/>
            <w:bottom w:val="none" w:sz="0" w:space="0" w:color="auto"/>
            <w:right w:val="none" w:sz="0" w:space="0" w:color="auto"/>
          </w:divBdr>
          <w:divsChild>
            <w:div w:id="69207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017690">
      <w:bodyDiv w:val="1"/>
      <w:marLeft w:val="0"/>
      <w:marRight w:val="0"/>
      <w:marTop w:val="0"/>
      <w:marBottom w:val="0"/>
      <w:divBdr>
        <w:top w:val="none" w:sz="0" w:space="0" w:color="auto"/>
        <w:left w:val="none" w:sz="0" w:space="0" w:color="auto"/>
        <w:bottom w:val="none" w:sz="0" w:space="0" w:color="auto"/>
        <w:right w:val="none" w:sz="0" w:space="0" w:color="auto"/>
      </w:divBdr>
      <w:divsChild>
        <w:div w:id="688219240">
          <w:marLeft w:val="0"/>
          <w:marRight w:val="0"/>
          <w:marTop w:val="0"/>
          <w:marBottom w:val="0"/>
          <w:divBdr>
            <w:top w:val="none" w:sz="0" w:space="0" w:color="auto"/>
            <w:left w:val="none" w:sz="0" w:space="0" w:color="auto"/>
            <w:bottom w:val="none" w:sz="0" w:space="0" w:color="auto"/>
            <w:right w:val="none" w:sz="0" w:space="0" w:color="auto"/>
          </w:divBdr>
          <w:divsChild>
            <w:div w:id="36201512">
              <w:marLeft w:val="0"/>
              <w:marRight w:val="0"/>
              <w:marTop w:val="0"/>
              <w:marBottom w:val="0"/>
              <w:divBdr>
                <w:top w:val="none" w:sz="0" w:space="0" w:color="auto"/>
                <w:left w:val="none" w:sz="0" w:space="0" w:color="auto"/>
                <w:bottom w:val="none" w:sz="0" w:space="0" w:color="auto"/>
                <w:right w:val="none" w:sz="0" w:space="0" w:color="auto"/>
              </w:divBdr>
            </w:div>
            <w:div w:id="623510348">
              <w:marLeft w:val="0"/>
              <w:marRight w:val="0"/>
              <w:marTop w:val="0"/>
              <w:marBottom w:val="0"/>
              <w:divBdr>
                <w:top w:val="none" w:sz="0" w:space="0" w:color="auto"/>
                <w:left w:val="none" w:sz="0" w:space="0" w:color="auto"/>
                <w:bottom w:val="none" w:sz="0" w:space="0" w:color="auto"/>
                <w:right w:val="none" w:sz="0" w:space="0" w:color="auto"/>
              </w:divBdr>
            </w:div>
            <w:div w:id="922879838">
              <w:marLeft w:val="0"/>
              <w:marRight w:val="0"/>
              <w:marTop w:val="0"/>
              <w:marBottom w:val="0"/>
              <w:divBdr>
                <w:top w:val="none" w:sz="0" w:space="0" w:color="auto"/>
                <w:left w:val="none" w:sz="0" w:space="0" w:color="auto"/>
                <w:bottom w:val="none" w:sz="0" w:space="0" w:color="auto"/>
                <w:right w:val="none" w:sz="0" w:space="0" w:color="auto"/>
              </w:divBdr>
            </w:div>
            <w:div w:id="961032793">
              <w:marLeft w:val="0"/>
              <w:marRight w:val="0"/>
              <w:marTop w:val="0"/>
              <w:marBottom w:val="0"/>
              <w:divBdr>
                <w:top w:val="none" w:sz="0" w:space="0" w:color="auto"/>
                <w:left w:val="none" w:sz="0" w:space="0" w:color="auto"/>
                <w:bottom w:val="none" w:sz="0" w:space="0" w:color="auto"/>
                <w:right w:val="none" w:sz="0" w:space="0" w:color="auto"/>
              </w:divBdr>
            </w:div>
            <w:div w:id="200692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329184">
      <w:bodyDiv w:val="1"/>
      <w:marLeft w:val="0"/>
      <w:marRight w:val="0"/>
      <w:marTop w:val="0"/>
      <w:marBottom w:val="0"/>
      <w:divBdr>
        <w:top w:val="none" w:sz="0" w:space="0" w:color="auto"/>
        <w:left w:val="none" w:sz="0" w:space="0" w:color="auto"/>
        <w:bottom w:val="none" w:sz="0" w:space="0" w:color="auto"/>
        <w:right w:val="none" w:sz="0" w:space="0" w:color="auto"/>
      </w:divBdr>
    </w:div>
    <w:div w:id="523520285">
      <w:bodyDiv w:val="1"/>
      <w:marLeft w:val="0"/>
      <w:marRight w:val="0"/>
      <w:marTop w:val="0"/>
      <w:marBottom w:val="0"/>
      <w:divBdr>
        <w:top w:val="none" w:sz="0" w:space="0" w:color="auto"/>
        <w:left w:val="none" w:sz="0" w:space="0" w:color="auto"/>
        <w:bottom w:val="none" w:sz="0" w:space="0" w:color="auto"/>
        <w:right w:val="none" w:sz="0" w:space="0" w:color="auto"/>
      </w:divBdr>
    </w:div>
    <w:div w:id="554125642">
      <w:bodyDiv w:val="1"/>
      <w:marLeft w:val="0"/>
      <w:marRight w:val="0"/>
      <w:marTop w:val="0"/>
      <w:marBottom w:val="0"/>
      <w:divBdr>
        <w:top w:val="none" w:sz="0" w:space="0" w:color="auto"/>
        <w:left w:val="none" w:sz="0" w:space="0" w:color="auto"/>
        <w:bottom w:val="none" w:sz="0" w:space="0" w:color="auto"/>
        <w:right w:val="none" w:sz="0" w:space="0" w:color="auto"/>
      </w:divBdr>
      <w:divsChild>
        <w:div w:id="973024540">
          <w:marLeft w:val="0"/>
          <w:marRight w:val="0"/>
          <w:marTop w:val="0"/>
          <w:marBottom w:val="0"/>
          <w:divBdr>
            <w:top w:val="none" w:sz="0" w:space="0" w:color="auto"/>
            <w:left w:val="none" w:sz="0" w:space="0" w:color="auto"/>
            <w:bottom w:val="none" w:sz="0" w:space="0" w:color="auto"/>
            <w:right w:val="none" w:sz="0" w:space="0" w:color="auto"/>
          </w:divBdr>
          <w:divsChild>
            <w:div w:id="473371113">
              <w:marLeft w:val="0"/>
              <w:marRight w:val="0"/>
              <w:marTop w:val="0"/>
              <w:marBottom w:val="0"/>
              <w:divBdr>
                <w:top w:val="none" w:sz="0" w:space="0" w:color="auto"/>
                <w:left w:val="none" w:sz="0" w:space="0" w:color="auto"/>
                <w:bottom w:val="none" w:sz="0" w:space="0" w:color="auto"/>
                <w:right w:val="none" w:sz="0" w:space="0" w:color="auto"/>
              </w:divBdr>
            </w:div>
            <w:div w:id="671762558">
              <w:marLeft w:val="0"/>
              <w:marRight w:val="0"/>
              <w:marTop w:val="0"/>
              <w:marBottom w:val="0"/>
              <w:divBdr>
                <w:top w:val="none" w:sz="0" w:space="0" w:color="auto"/>
                <w:left w:val="none" w:sz="0" w:space="0" w:color="auto"/>
                <w:bottom w:val="none" w:sz="0" w:space="0" w:color="auto"/>
                <w:right w:val="none" w:sz="0" w:space="0" w:color="auto"/>
              </w:divBdr>
            </w:div>
            <w:div w:id="1325084504">
              <w:marLeft w:val="0"/>
              <w:marRight w:val="0"/>
              <w:marTop w:val="0"/>
              <w:marBottom w:val="0"/>
              <w:divBdr>
                <w:top w:val="none" w:sz="0" w:space="0" w:color="auto"/>
                <w:left w:val="none" w:sz="0" w:space="0" w:color="auto"/>
                <w:bottom w:val="none" w:sz="0" w:space="0" w:color="auto"/>
                <w:right w:val="none" w:sz="0" w:space="0" w:color="auto"/>
              </w:divBdr>
            </w:div>
            <w:div w:id="1965306053">
              <w:marLeft w:val="0"/>
              <w:marRight w:val="0"/>
              <w:marTop w:val="0"/>
              <w:marBottom w:val="0"/>
              <w:divBdr>
                <w:top w:val="none" w:sz="0" w:space="0" w:color="auto"/>
                <w:left w:val="none" w:sz="0" w:space="0" w:color="auto"/>
                <w:bottom w:val="none" w:sz="0" w:space="0" w:color="auto"/>
                <w:right w:val="none" w:sz="0" w:space="0" w:color="auto"/>
              </w:divBdr>
            </w:div>
            <w:div w:id="1977756755">
              <w:marLeft w:val="0"/>
              <w:marRight w:val="0"/>
              <w:marTop w:val="0"/>
              <w:marBottom w:val="0"/>
              <w:divBdr>
                <w:top w:val="none" w:sz="0" w:space="0" w:color="auto"/>
                <w:left w:val="none" w:sz="0" w:space="0" w:color="auto"/>
                <w:bottom w:val="none" w:sz="0" w:space="0" w:color="auto"/>
                <w:right w:val="none" w:sz="0" w:space="0" w:color="auto"/>
              </w:divBdr>
            </w:div>
            <w:div w:id="2086300943">
              <w:marLeft w:val="0"/>
              <w:marRight w:val="0"/>
              <w:marTop w:val="0"/>
              <w:marBottom w:val="0"/>
              <w:divBdr>
                <w:top w:val="none" w:sz="0" w:space="0" w:color="auto"/>
                <w:left w:val="none" w:sz="0" w:space="0" w:color="auto"/>
                <w:bottom w:val="none" w:sz="0" w:space="0" w:color="auto"/>
                <w:right w:val="none" w:sz="0" w:space="0" w:color="auto"/>
              </w:divBdr>
            </w:div>
            <w:div w:id="2116710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926178">
      <w:bodyDiv w:val="1"/>
      <w:marLeft w:val="0"/>
      <w:marRight w:val="0"/>
      <w:marTop w:val="0"/>
      <w:marBottom w:val="0"/>
      <w:divBdr>
        <w:top w:val="none" w:sz="0" w:space="0" w:color="auto"/>
        <w:left w:val="none" w:sz="0" w:space="0" w:color="auto"/>
        <w:bottom w:val="none" w:sz="0" w:space="0" w:color="auto"/>
        <w:right w:val="none" w:sz="0" w:space="0" w:color="auto"/>
      </w:divBdr>
      <w:divsChild>
        <w:div w:id="1635788984">
          <w:marLeft w:val="0"/>
          <w:marRight w:val="0"/>
          <w:marTop w:val="0"/>
          <w:marBottom w:val="0"/>
          <w:divBdr>
            <w:top w:val="none" w:sz="0" w:space="0" w:color="auto"/>
            <w:left w:val="none" w:sz="0" w:space="0" w:color="auto"/>
            <w:bottom w:val="none" w:sz="0" w:space="0" w:color="auto"/>
            <w:right w:val="none" w:sz="0" w:space="0" w:color="auto"/>
          </w:divBdr>
          <w:divsChild>
            <w:div w:id="994919318">
              <w:marLeft w:val="0"/>
              <w:marRight w:val="0"/>
              <w:marTop w:val="0"/>
              <w:marBottom w:val="0"/>
              <w:divBdr>
                <w:top w:val="none" w:sz="0" w:space="0" w:color="auto"/>
                <w:left w:val="none" w:sz="0" w:space="0" w:color="auto"/>
                <w:bottom w:val="none" w:sz="0" w:space="0" w:color="auto"/>
                <w:right w:val="none" w:sz="0" w:space="0" w:color="auto"/>
              </w:divBdr>
            </w:div>
            <w:div w:id="1492024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669530">
      <w:bodyDiv w:val="1"/>
      <w:marLeft w:val="0"/>
      <w:marRight w:val="0"/>
      <w:marTop w:val="0"/>
      <w:marBottom w:val="0"/>
      <w:divBdr>
        <w:top w:val="none" w:sz="0" w:space="0" w:color="auto"/>
        <w:left w:val="none" w:sz="0" w:space="0" w:color="auto"/>
        <w:bottom w:val="none" w:sz="0" w:space="0" w:color="auto"/>
        <w:right w:val="none" w:sz="0" w:space="0" w:color="auto"/>
      </w:divBdr>
      <w:divsChild>
        <w:div w:id="1490756001">
          <w:marLeft w:val="0"/>
          <w:marRight w:val="0"/>
          <w:marTop w:val="0"/>
          <w:marBottom w:val="0"/>
          <w:divBdr>
            <w:top w:val="none" w:sz="0" w:space="0" w:color="auto"/>
            <w:left w:val="none" w:sz="0" w:space="0" w:color="auto"/>
            <w:bottom w:val="none" w:sz="0" w:space="0" w:color="auto"/>
            <w:right w:val="none" w:sz="0" w:space="0" w:color="auto"/>
          </w:divBdr>
          <w:divsChild>
            <w:div w:id="319969018">
              <w:marLeft w:val="0"/>
              <w:marRight w:val="0"/>
              <w:marTop w:val="0"/>
              <w:marBottom w:val="0"/>
              <w:divBdr>
                <w:top w:val="none" w:sz="0" w:space="0" w:color="auto"/>
                <w:left w:val="none" w:sz="0" w:space="0" w:color="auto"/>
                <w:bottom w:val="none" w:sz="0" w:space="0" w:color="auto"/>
                <w:right w:val="none" w:sz="0" w:space="0" w:color="auto"/>
              </w:divBdr>
            </w:div>
            <w:div w:id="379786252">
              <w:marLeft w:val="0"/>
              <w:marRight w:val="0"/>
              <w:marTop w:val="0"/>
              <w:marBottom w:val="0"/>
              <w:divBdr>
                <w:top w:val="none" w:sz="0" w:space="0" w:color="auto"/>
                <w:left w:val="none" w:sz="0" w:space="0" w:color="auto"/>
                <w:bottom w:val="none" w:sz="0" w:space="0" w:color="auto"/>
                <w:right w:val="none" w:sz="0" w:space="0" w:color="auto"/>
              </w:divBdr>
            </w:div>
            <w:div w:id="810244036">
              <w:marLeft w:val="0"/>
              <w:marRight w:val="0"/>
              <w:marTop w:val="0"/>
              <w:marBottom w:val="0"/>
              <w:divBdr>
                <w:top w:val="none" w:sz="0" w:space="0" w:color="auto"/>
                <w:left w:val="none" w:sz="0" w:space="0" w:color="auto"/>
                <w:bottom w:val="none" w:sz="0" w:space="0" w:color="auto"/>
                <w:right w:val="none" w:sz="0" w:space="0" w:color="auto"/>
              </w:divBdr>
            </w:div>
            <w:div w:id="1254780602">
              <w:marLeft w:val="0"/>
              <w:marRight w:val="0"/>
              <w:marTop w:val="0"/>
              <w:marBottom w:val="0"/>
              <w:divBdr>
                <w:top w:val="none" w:sz="0" w:space="0" w:color="auto"/>
                <w:left w:val="none" w:sz="0" w:space="0" w:color="auto"/>
                <w:bottom w:val="none" w:sz="0" w:space="0" w:color="auto"/>
                <w:right w:val="none" w:sz="0" w:space="0" w:color="auto"/>
              </w:divBdr>
            </w:div>
            <w:div w:id="1729842711">
              <w:marLeft w:val="0"/>
              <w:marRight w:val="0"/>
              <w:marTop w:val="0"/>
              <w:marBottom w:val="0"/>
              <w:divBdr>
                <w:top w:val="none" w:sz="0" w:space="0" w:color="auto"/>
                <w:left w:val="none" w:sz="0" w:space="0" w:color="auto"/>
                <w:bottom w:val="none" w:sz="0" w:space="0" w:color="auto"/>
                <w:right w:val="none" w:sz="0" w:space="0" w:color="auto"/>
              </w:divBdr>
            </w:div>
            <w:div w:id="189905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600968">
      <w:bodyDiv w:val="1"/>
      <w:marLeft w:val="0"/>
      <w:marRight w:val="0"/>
      <w:marTop w:val="0"/>
      <w:marBottom w:val="0"/>
      <w:divBdr>
        <w:top w:val="none" w:sz="0" w:space="0" w:color="auto"/>
        <w:left w:val="none" w:sz="0" w:space="0" w:color="auto"/>
        <w:bottom w:val="none" w:sz="0" w:space="0" w:color="auto"/>
        <w:right w:val="none" w:sz="0" w:space="0" w:color="auto"/>
      </w:divBdr>
    </w:div>
    <w:div w:id="1021203701">
      <w:bodyDiv w:val="1"/>
      <w:marLeft w:val="0"/>
      <w:marRight w:val="0"/>
      <w:marTop w:val="0"/>
      <w:marBottom w:val="0"/>
      <w:divBdr>
        <w:top w:val="none" w:sz="0" w:space="0" w:color="auto"/>
        <w:left w:val="none" w:sz="0" w:space="0" w:color="auto"/>
        <w:bottom w:val="none" w:sz="0" w:space="0" w:color="auto"/>
        <w:right w:val="none" w:sz="0" w:space="0" w:color="auto"/>
      </w:divBdr>
    </w:div>
    <w:div w:id="1035303682">
      <w:bodyDiv w:val="1"/>
      <w:marLeft w:val="0"/>
      <w:marRight w:val="0"/>
      <w:marTop w:val="0"/>
      <w:marBottom w:val="0"/>
      <w:divBdr>
        <w:top w:val="none" w:sz="0" w:space="0" w:color="auto"/>
        <w:left w:val="none" w:sz="0" w:space="0" w:color="auto"/>
        <w:bottom w:val="none" w:sz="0" w:space="0" w:color="auto"/>
        <w:right w:val="none" w:sz="0" w:space="0" w:color="auto"/>
      </w:divBdr>
      <w:divsChild>
        <w:div w:id="3364408">
          <w:marLeft w:val="0"/>
          <w:marRight w:val="0"/>
          <w:marTop w:val="0"/>
          <w:marBottom w:val="0"/>
          <w:divBdr>
            <w:top w:val="none" w:sz="0" w:space="0" w:color="auto"/>
            <w:left w:val="none" w:sz="0" w:space="0" w:color="auto"/>
            <w:bottom w:val="none" w:sz="0" w:space="0" w:color="auto"/>
            <w:right w:val="none" w:sz="0" w:space="0" w:color="auto"/>
          </w:divBdr>
          <w:divsChild>
            <w:div w:id="179588982">
              <w:marLeft w:val="0"/>
              <w:marRight w:val="0"/>
              <w:marTop w:val="0"/>
              <w:marBottom w:val="0"/>
              <w:divBdr>
                <w:top w:val="none" w:sz="0" w:space="0" w:color="auto"/>
                <w:left w:val="none" w:sz="0" w:space="0" w:color="auto"/>
                <w:bottom w:val="none" w:sz="0" w:space="0" w:color="auto"/>
                <w:right w:val="none" w:sz="0" w:space="0" w:color="auto"/>
              </w:divBdr>
            </w:div>
            <w:div w:id="272637095">
              <w:marLeft w:val="0"/>
              <w:marRight w:val="0"/>
              <w:marTop w:val="0"/>
              <w:marBottom w:val="0"/>
              <w:divBdr>
                <w:top w:val="none" w:sz="0" w:space="0" w:color="auto"/>
                <w:left w:val="none" w:sz="0" w:space="0" w:color="auto"/>
                <w:bottom w:val="none" w:sz="0" w:space="0" w:color="auto"/>
                <w:right w:val="none" w:sz="0" w:space="0" w:color="auto"/>
              </w:divBdr>
            </w:div>
            <w:div w:id="284507726">
              <w:marLeft w:val="0"/>
              <w:marRight w:val="0"/>
              <w:marTop w:val="0"/>
              <w:marBottom w:val="0"/>
              <w:divBdr>
                <w:top w:val="none" w:sz="0" w:space="0" w:color="auto"/>
                <w:left w:val="none" w:sz="0" w:space="0" w:color="auto"/>
                <w:bottom w:val="none" w:sz="0" w:space="0" w:color="auto"/>
                <w:right w:val="none" w:sz="0" w:space="0" w:color="auto"/>
              </w:divBdr>
            </w:div>
            <w:div w:id="380708944">
              <w:marLeft w:val="0"/>
              <w:marRight w:val="0"/>
              <w:marTop w:val="0"/>
              <w:marBottom w:val="0"/>
              <w:divBdr>
                <w:top w:val="none" w:sz="0" w:space="0" w:color="auto"/>
                <w:left w:val="none" w:sz="0" w:space="0" w:color="auto"/>
                <w:bottom w:val="none" w:sz="0" w:space="0" w:color="auto"/>
                <w:right w:val="none" w:sz="0" w:space="0" w:color="auto"/>
              </w:divBdr>
            </w:div>
            <w:div w:id="1300957882">
              <w:marLeft w:val="0"/>
              <w:marRight w:val="0"/>
              <w:marTop w:val="0"/>
              <w:marBottom w:val="0"/>
              <w:divBdr>
                <w:top w:val="none" w:sz="0" w:space="0" w:color="auto"/>
                <w:left w:val="none" w:sz="0" w:space="0" w:color="auto"/>
                <w:bottom w:val="none" w:sz="0" w:space="0" w:color="auto"/>
                <w:right w:val="none" w:sz="0" w:space="0" w:color="auto"/>
              </w:divBdr>
            </w:div>
            <w:div w:id="1496459087">
              <w:marLeft w:val="0"/>
              <w:marRight w:val="0"/>
              <w:marTop w:val="0"/>
              <w:marBottom w:val="0"/>
              <w:divBdr>
                <w:top w:val="none" w:sz="0" w:space="0" w:color="auto"/>
                <w:left w:val="none" w:sz="0" w:space="0" w:color="auto"/>
                <w:bottom w:val="none" w:sz="0" w:space="0" w:color="auto"/>
                <w:right w:val="none" w:sz="0" w:space="0" w:color="auto"/>
              </w:divBdr>
            </w:div>
            <w:div w:id="2116439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448890">
      <w:bodyDiv w:val="1"/>
      <w:marLeft w:val="0"/>
      <w:marRight w:val="0"/>
      <w:marTop w:val="0"/>
      <w:marBottom w:val="0"/>
      <w:divBdr>
        <w:top w:val="none" w:sz="0" w:space="0" w:color="auto"/>
        <w:left w:val="none" w:sz="0" w:space="0" w:color="auto"/>
        <w:bottom w:val="none" w:sz="0" w:space="0" w:color="auto"/>
        <w:right w:val="none" w:sz="0" w:space="0" w:color="auto"/>
      </w:divBdr>
      <w:divsChild>
        <w:div w:id="778262039">
          <w:marLeft w:val="0"/>
          <w:marRight w:val="0"/>
          <w:marTop w:val="0"/>
          <w:marBottom w:val="0"/>
          <w:divBdr>
            <w:top w:val="none" w:sz="0" w:space="0" w:color="auto"/>
            <w:left w:val="none" w:sz="0" w:space="0" w:color="auto"/>
            <w:bottom w:val="none" w:sz="0" w:space="0" w:color="auto"/>
            <w:right w:val="none" w:sz="0" w:space="0" w:color="auto"/>
          </w:divBdr>
          <w:divsChild>
            <w:div w:id="1305042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089949">
      <w:bodyDiv w:val="1"/>
      <w:marLeft w:val="0"/>
      <w:marRight w:val="0"/>
      <w:marTop w:val="0"/>
      <w:marBottom w:val="0"/>
      <w:divBdr>
        <w:top w:val="none" w:sz="0" w:space="0" w:color="auto"/>
        <w:left w:val="none" w:sz="0" w:space="0" w:color="auto"/>
        <w:bottom w:val="none" w:sz="0" w:space="0" w:color="auto"/>
        <w:right w:val="none" w:sz="0" w:space="0" w:color="auto"/>
      </w:divBdr>
      <w:divsChild>
        <w:div w:id="42603667">
          <w:marLeft w:val="0"/>
          <w:marRight w:val="0"/>
          <w:marTop w:val="0"/>
          <w:marBottom w:val="0"/>
          <w:divBdr>
            <w:top w:val="none" w:sz="0" w:space="0" w:color="auto"/>
            <w:left w:val="none" w:sz="0" w:space="0" w:color="auto"/>
            <w:bottom w:val="none" w:sz="0" w:space="0" w:color="auto"/>
            <w:right w:val="none" w:sz="0" w:space="0" w:color="auto"/>
          </w:divBdr>
        </w:div>
        <w:div w:id="159466198">
          <w:marLeft w:val="0"/>
          <w:marRight w:val="0"/>
          <w:marTop w:val="0"/>
          <w:marBottom w:val="0"/>
          <w:divBdr>
            <w:top w:val="none" w:sz="0" w:space="0" w:color="auto"/>
            <w:left w:val="none" w:sz="0" w:space="0" w:color="auto"/>
            <w:bottom w:val="none" w:sz="0" w:space="0" w:color="auto"/>
            <w:right w:val="none" w:sz="0" w:space="0" w:color="auto"/>
          </w:divBdr>
        </w:div>
        <w:div w:id="167257681">
          <w:marLeft w:val="0"/>
          <w:marRight w:val="0"/>
          <w:marTop w:val="0"/>
          <w:marBottom w:val="0"/>
          <w:divBdr>
            <w:top w:val="none" w:sz="0" w:space="0" w:color="auto"/>
            <w:left w:val="none" w:sz="0" w:space="0" w:color="auto"/>
            <w:bottom w:val="none" w:sz="0" w:space="0" w:color="auto"/>
            <w:right w:val="none" w:sz="0" w:space="0" w:color="auto"/>
          </w:divBdr>
        </w:div>
        <w:div w:id="172913008">
          <w:marLeft w:val="0"/>
          <w:marRight w:val="0"/>
          <w:marTop w:val="0"/>
          <w:marBottom w:val="0"/>
          <w:divBdr>
            <w:top w:val="none" w:sz="0" w:space="0" w:color="auto"/>
            <w:left w:val="none" w:sz="0" w:space="0" w:color="auto"/>
            <w:bottom w:val="none" w:sz="0" w:space="0" w:color="auto"/>
            <w:right w:val="none" w:sz="0" w:space="0" w:color="auto"/>
          </w:divBdr>
        </w:div>
        <w:div w:id="272710044">
          <w:marLeft w:val="0"/>
          <w:marRight w:val="0"/>
          <w:marTop w:val="0"/>
          <w:marBottom w:val="0"/>
          <w:divBdr>
            <w:top w:val="none" w:sz="0" w:space="0" w:color="auto"/>
            <w:left w:val="none" w:sz="0" w:space="0" w:color="auto"/>
            <w:bottom w:val="none" w:sz="0" w:space="0" w:color="auto"/>
            <w:right w:val="none" w:sz="0" w:space="0" w:color="auto"/>
          </w:divBdr>
        </w:div>
        <w:div w:id="355082977">
          <w:marLeft w:val="0"/>
          <w:marRight w:val="0"/>
          <w:marTop w:val="0"/>
          <w:marBottom w:val="0"/>
          <w:divBdr>
            <w:top w:val="none" w:sz="0" w:space="0" w:color="auto"/>
            <w:left w:val="none" w:sz="0" w:space="0" w:color="auto"/>
            <w:bottom w:val="none" w:sz="0" w:space="0" w:color="auto"/>
            <w:right w:val="none" w:sz="0" w:space="0" w:color="auto"/>
          </w:divBdr>
        </w:div>
        <w:div w:id="381295849">
          <w:marLeft w:val="0"/>
          <w:marRight w:val="0"/>
          <w:marTop w:val="0"/>
          <w:marBottom w:val="0"/>
          <w:divBdr>
            <w:top w:val="none" w:sz="0" w:space="0" w:color="auto"/>
            <w:left w:val="none" w:sz="0" w:space="0" w:color="auto"/>
            <w:bottom w:val="none" w:sz="0" w:space="0" w:color="auto"/>
            <w:right w:val="none" w:sz="0" w:space="0" w:color="auto"/>
          </w:divBdr>
        </w:div>
        <w:div w:id="516694660">
          <w:marLeft w:val="0"/>
          <w:marRight w:val="0"/>
          <w:marTop w:val="0"/>
          <w:marBottom w:val="0"/>
          <w:divBdr>
            <w:top w:val="none" w:sz="0" w:space="0" w:color="auto"/>
            <w:left w:val="none" w:sz="0" w:space="0" w:color="auto"/>
            <w:bottom w:val="none" w:sz="0" w:space="0" w:color="auto"/>
            <w:right w:val="none" w:sz="0" w:space="0" w:color="auto"/>
          </w:divBdr>
        </w:div>
        <w:div w:id="531040338">
          <w:marLeft w:val="0"/>
          <w:marRight w:val="0"/>
          <w:marTop w:val="0"/>
          <w:marBottom w:val="0"/>
          <w:divBdr>
            <w:top w:val="none" w:sz="0" w:space="0" w:color="auto"/>
            <w:left w:val="none" w:sz="0" w:space="0" w:color="auto"/>
            <w:bottom w:val="none" w:sz="0" w:space="0" w:color="auto"/>
            <w:right w:val="none" w:sz="0" w:space="0" w:color="auto"/>
          </w:divBdr>
        </w:div>
        <w:div w:id="571237609">
          <w:marLeft w:val="0"/>
          <w:marRight w:val="0"/>
          <w:marTop w:val="0"/>
          <w:marBottom w:val="0"/>
          <w:divBdr>
            <w:top w:val="none" w:sz="0" w:space="0" w:color="auto"/>
            <w:left w:val="none" w:sz="0" w:space="0" w:color="auto"/>
            <w:bottom w:val="none" w:sz="0" w:space="0" w:color="auto"/>
            <w:right w:val="none" w:sz="0" w:space="0" w:color="auto"/>
          </w:divBdr>
        </w:div>
        <w:div w:id="581719910">
          <w:marLeft w:val="0"/>
          <w:marRight w:val="0"/>
          <w:marTop w:val="0"/>
          <w:marBottom w:val="0"/>
          <w:divBdr>
            <w:top w:val="none" w:sz="0" w:space="0" w:color="auto"/>
            <w:left w:val="none" w:sz="0" w:space="0" w:color="auto"/>
            <w:bottom w:val="none" w:sz="0" w:space="0" w:color="auto"/>
            <w:right w:val="none" w:sz="0" w:space="0" w:color="auto"/>
          </w:divBdr>
        </w:div>
        <w:div w:id="611204170">
          <w:marLeft w:val="0"/>
          <w:marRight w:val="0"/>
          <w:marTop w:val="0"/>
          <w:marBottom w:val="0"/>
          <w:divBdr>
            <w:top w:val="none" w:sz="0" w:space="0" w:color="auto"/>
            <w:left w:val="none" w:sz="0" w:space="0" w:color="auto"/>
            <w:bottom w:val="none" w:sz="0" w:space="0" w:color="auto"/>
            <w:right w:val="none" w:sz="0" w:space="0" w:color="auto"/>
          </w:divBdr>
        </w:div>
        <w:div w:id="673849520">
          <w:marLeft w:val="0"/>
          <w:marRight w:val="0"/>
          <w:marTop w:val="0"/>
          <w:marBottom w:val="0"/>
          <w:divBdr>
            <w:top w:val="none" w:sz="0" w:space="0" w:color="auto"/>
            <w:left w:val="none" w:sz="0" w:space="0" w:color="auto"/>
            <w:bottom w:val="none" w:sz="0" w:space="0" w:color="auto"/>
            <w:right w:val="none" w:sz="0" w:space="0" w:color="auto"/>
          </w:divBdr>
        </w:div>
        <w:div w:id="733284295">
          <w:marLeft w:val="0"/>
          <w:marRight w:val="0"/>
          <w:marTop w:val="0"/>
          <w:marBottom w:val="0"/>
          <w:divBdr>
            <w:top w:val="none" w:sz="0" w:space="0" w:color="auto"/>
            <w:left w:val="none" w:sz="0" w:space="0" w:color="auto"/>
            <w:bottom w:val="none" w:sz="0" w:space="0" w:color="auto"/>
            <w:right w:val="none" w:sz="0" w:space="0" w:color="auto"/>
          </w:divBdr>
        </w:div>
        <w:div w:id="805202573">
          <w:marLeft w:val="0"/>
          <w:marRight w:val="0"/>
          <w:marTop w:val="0"/>
          <w:marBottom w:val="0"/>
          <w:divBdr>
            <w:top w:val="none" w:sz="0" w:space="0" w:color="auto"/>
            <w:left w:val="none" w:sz="0" w:space="0" w:color="auto"/>
            <w:bottom w:val="none" w:sz="0" w:space="0" w:color="auto"/>
            <w:right w:val="none" w:sz="0" w:space="0" w:color="auto"/>
          </w:divBdr>
        </w:div>
        <w:div w:id="903755772">
          <w:marLeft w:val="0"/>
          <w:marRight w:val="0"/>
          <w:marTop w:val="0"/>
          <w:marBottom w:val="0"/>
          <w:divBdr>
            <w:top w:val="none" w:sz="0" w:space="0" w:color="auto"/>
            <w:left w:val="none" w:sz="0" w:space="0" w:color="auto"/>
            <w:bottom w:val="none" w:sz="0" w:space="0" w:color="auto"/>
            <w:right w:val="none" w:sz="0" w:space="0" w:color="auto"/>
          </w:divBdr>
        </w:div>
        <w:div w:id="917984304">
          <w:marLeft w:val="0"/>
          <w:marRight w:val="0"/>
          <w:marTop w:val="0"/>
          <w:marBottom w:val="0"/>
          <w:divBdr>
            <w:top w:val="none" w:sz="0" w:space="0" w:color="auto"/>
            <w:left w:val="none" w:sz="0" w:space="0" w:color="auto"/>
            <w:bottom w:val="none" w:sz="0" w:space="0" w:color="auto"/>
            <w:right w:val="none" w:sz="0" w:space="0" w:color="auto"/>
          </w:divBdr>
        </w:div>
        <w:div w:id="919946479">
          <w:marLeft w:val="0"/>
          <w:marRight w:val="0"/>
          <w:marTop w:val="0"/>
          <w:marBottom w:val="0"/>
          <w:divBdr>
            <w:top w:val="none" w:sz="0" w:space="0" w:color="auto"/>
            <w:left w:val="none" w:sz="0" w:space="0" w:color="auto"/>
            <w:bottom w:val="none" w:sz="0" w:space="0" w:color="auto"/>
            <w:right w:val="none" w:sz="0" w:space="0" w:color="auto"/>
          </w:divBdr>
        </w:div>
        <w:div w:id="938026277">
          <w:marLeft w:val="0"/>
          <w:marRight w:val="0"/>
          <w:marTop w:val="0"/>
          <w:marBottom w:val="0"/>
          <w:divBdr>
            <w:top w:val="none" w:sz="0" w:space="0" w:color="auto"/>
            <w:left w:val="none" w:sz="0" w:space="0" w:color="auto"/>
            <w:bottom w:val="none" w:sz="0" w:space="0" w:color="auto"/>
            <w:right w:val="none" w:sz="0" w:space="0" w:color="auto"/>
          </w:divBdr>
        </w:div>
        <w:div w:id="993221676">
          <w:marLeft w:val="0"/>
          <w:marRight w:val="0"/>
          <w:marTop w:val="0"/>
          <w:marBottom w:val="0"/>
          <w:divBdr>
            <w:top w:val="none" w:sz="0" w:space="0" w:color="auto"/>
            <w:left w:val="none" w:sz="0" w:space="0" w:color="auto"/>
            <w:bottom w:val="none" w:sz="0" w:space="0" w:color="auto"/>
            <w:right w:val="none" w:sz="0" w:space="0" w:color="auto"/>
          </w:divBdr>
        </w:div>
        <w:div w:id="1009522760">
          <w:marLeft w:val="0"/>
          <w:marRight w:val="0"/>
          <w:marTop w:val="0"/>
          <w:marBottom w:val="0"/>
          <w:divBdr>
            <w:top w:val="none" w:sz="0" w:space="0" w:color="auto"/>
            <w:left w:val="none" w:sz="0" w:space="0" w:color="auto"/>
            <w:bottom w:val="none" w:sz="0" w:space="0" w:color="auto"/>
            <w:right w:val="none" w:sz="0" w:space="0" w:color="auto"/>
          </w:divBdr>
        </w:div>
        <w:div w:id="1020737268">
          <w:marLeft w:val="0"/>
          <w:marRight w:val="0"/>
          <w:marTop w:val="0"/>
          <w:marBottom w:val="0"/>
          <w:divBdr>
            <w:top w:val="none" w:sz="0" w:space="0" w:color="auto"/>
            <w:left w:val="none" w:sz="0" w:space="0" w:color="auto"/>
            <w:bottom w:val="none" w:sz="0" w:space="0" w:color="auto"/>
            <w:right w:val="none" w:sz="0" w:space="0" w:color="auto"/>
          </w:divBdr>
        </w:div>
        <w:div w:id="1045568605">
          <w:marLeft w:val="0"/>
          <w:marRight w:val="0"/>
          <w:marTop w:val="0"/>
          <w:marBottom w:val="0"/>
          <w:divBdr>
            <w:top w:val="none" w:sz="0" w:space="0" w:color="auto"/>
            <w:left w:val="none" w:sz="0" w:space="0" w:color="auto"/>
            <w:bottom w:val="none" w:sz="0" w:space="0" w:color="auto"/>
            <w:right w:val="none" w:sz="0" w:space="0" w:color="auto"/>
          </w:divBdr>
        </w:div>
        <w:div w:id="1291977117">
          <w:marLeft w:val="0"/>
          <w:marRight w:val="0"/>
          <w:marTop w:val="0"/>
          <w:marBottom w:val="0"/>
          <w:divBdr>
            <w:top w:val="none" w:sz="0" w:space="0" w:color="auto"/>
            <w:left w:val="none" w:sz="0" w:space="0" w:color="auto"/>
            <w:bottom w:val="none" w:sz="0" w:space="0" w:color="auto"/>
            <w:right w:val="none" w:sz="0" w:space="0" w:color="auto"/>
          </w:divBdr>
        </w:div>
        <w:div w:id="1356540415">
          <w:marLeft w:val="0"/>
          <w:marRight w:val="0"/>
          <w:marTop w:val="0"/>
          <w:marBottom w:val="0"/>
          <w:divBdr>
            <w:top w:val="none" w:sz="0" w:space="0" w:color="auto"/>
            <w:left w:val="none" w:sz="0" w:space="0" w:color="auto"/>
            <w:bottom w:val="none" w:sz="0" w:space="0" w:color="auto"/>
            <w:right w:val="none" w:sz="0" w:space="0" w:color="auto"/>
          </w:divBdr>
        </w:div>
        <w:div w:id="1379091916">
          <w:marLeft w:val="0"/>
          <w:marRight w:val="0"/>
          <w:marTop w:val="0"/>
          <w:marBottom w:val="0"/>
          <w:divBdr>
            <w:top w:val="none" w:sz="0" w:space="0" w:color="auto"/>
            <w:left w:val="none" w:sz="0" w:space="0" w:color="auto"/>
            <w:bottom w:val="none" w:sz="0" w:space="0" w:color="auto"/>
            <w:right w:val="none" w:sz="0" w:space="0" w:color="auto"/>
          </w:divBdr>
        </w:div>
        <w:div w:id="1417363982">
          <w:marLeft w:val="0"/>
          <w:marRight w:val="0"/>
          <w:marTop w:val="0"/>
          <w:marBottom w:val="0"/>
          <w:divBdr>
            <w:top w:val="none" w:sz="0" w:space="0" w:color="auto"/>
            <w:left w:val="none" w:sz="0" w:space="0" w:color="auto"/>
            <w:bottom w:val="none" w:sz="0" w:space="0" w:color="auto"/>
            <w:right w:val="none" w:sz="0" w:space="0" w:color="auto"/>
          </w:divBdr>
        </w:div>
        <w:div w:id="1584333939">
          <w:marLeft w:val="0"/>
          <w:marRight w:val="0"/>
          <w:marTop w:val="0"/>
          <w:marBottom w:val="0"/>
          <w:divBdr>
            <w:top w:val="none" w:sz="0" w:space="0" w:color="auto"/>
            <w:left w:val="none" w:sz="0" w:space="0" w:color="auto"/>
            <w:bottom w:val="none" w:sz="0" w:space="0" w:color="auto"/>
            <w:right w:val="none" w:sz="0" w:space="0" w:color="auto"/>
          </w:divBdr>
        </w:div>
        <w:div w:id="1727533878">
          <w:marLeft w:val="0"/>
          <w:marRight w:val="0"/>
          <w:marTop w:val="0"/>
          <w:marBottom w:val="0"/>
          <w:divBdr>
            <w:top w:val="none" w:sz="0" w:space="0" w:color="auto"/>
            <w:left w:val="none" w:sz="0" w:space="0" w:color="auto"/>
            <w:bottom w:val="none" w:sz="0" w:space="0" w:color="auto"/>
            <w:right w:val="none" w:sz="0" w:space="0" w:color="auto"/>
          </w:divBdr>
        </w:div>
        <w:div w:id="1766072529">
          <w:marLeft w:val="0"/>
          <w:marRight w:val="0"/>
          <w:marTop w:val="0"/>
          <w:marBottom w:val="0"/>
          <w:divBdr>
            <w:top w:val="none" w:sz="0" w:space="0" w:color="auto"/>
            <w:left w:val="none" w:sz="0" w:space="0" w:color="auto"/>
            <w:bottom w:val="none" w:sz="0" w:space="0" w:color="auto"/>
            <w:right w:val="none" w:sz="0" w:space="0" w:color="auto"/>
          </w:divBdr>
        </w:div>
        <w:div w:id="1803765492">
          <w:marLeft w:val="0"/>
          <w:marRight w:val="0"/>
          <w:marTop w:val="0"/>
          <w:marBottom w:val="0"/>
          <w:divBdr>
            <w:top w:val="none" w:sz="0" w:space="0" w:color="auto"/>
            <w:left w:val="none" w:sz="0" w:space="0" w:color="auto"/>
            <w:bottom w:val="none" w:sz="0" w:space="0" w:color="auto"/>
            <w:right w:val="none" w:sz="0" w:space="0" w:color="auto"/>
          </w:divBdr>
        </w:div>
        <w:div w:id="1825048244">
          <w:marLeft w:val="0"/>
          <w:marRight w:val="0"/>
          <w:marTop w:val="0"/>
          <w:marBottom w:val="0"/>
          <w:divBdr>
            <w:top w:val="none" w:sz="0" w:space="0" w:color="auto"/>
            <w:left w:val="none" w:sz="0" w:space="0" w:color="auto"/>
            <w:bottom w:val="none" w:sz="0" w:space="0" w:color="auto"/>
            <w:right w:val="none" w:sz="0" w:space="0" w:color="auto"/>
          </w:divBdr>
        </w:div>
        <w:div w:id="1861122986">
          <w:marLeft w:val="0"/>
          <w:marRight w:val="0"/>
          <w:marTop w:val="0"/>
          <w:marBottom w:val="0"/>
          <w:divBdr>
            <w:top w:val="none" w:sz="0" w:space="0" w:color="auto"/>
            <w:left w:val="none" w:sz="0" w:space="0" w:color="auto"/>
            <w:bottom w:val="none" w:sz="0" w:space="0" w:color="auto"/>
            <w:right w:val="none" w:sz="0" w:space="0" w:color="auto"/>
          </w:divBdr>
        </w:div>
        <w:div w:id="1941715476">
          <w:marLeft w:val="0"/>
          <w:marRight w:val="0"/>
          <w:marTop w:val="0"/>
          <w:marBottom w:val="0"/>
          <w:divBdr>
            <w:top w:val="none" w:sz="0" w:space="0" w:color="auto"/>
            <w:left w:val="none" w:sz="0" w:space="0" w:color="auto"/>
            <w:bottom w:val="none" w:sz="0" w:space="0" w:color="auto"/>
            <w:right w:val="none" w:sz="0" w:space="0" w:color="auto"/>
          </w:divBdr>
        </w:div>
      </w:divsChild>
    </w:div>
    <w:div w:id="1216041467">
      <w:bodyDiv w:val="1"/>
      <w:marLeft w:val="0"/>
      <w:marRight w:val="0"/>
      <w:marTop w:val="0"/>
      <w:marBottom w:val="0"/>
      <w:divBdr>
        <w:top w:val="none" w:sz="0" w:space="0" w:color="auto"/>
        <w:left w:val="none" w:sz="0" w:space="0" w:color="auto"/>
        <w:bottom w:val="none" w:sz="0" w:space="0" w:color="auto"/>
        <w:right w:val="none" w:sz="0" w:space="0" w:color="auto"/>
      </w:divBdr>
      <w:divsChild>
        <w:div w:id="18436857">
          <w:marLeft w:val="0"/>
          <w:marRight w:val="0"/>
          <w:marTop w:val="0"/>
          <w:marBottom w:val="0"/>
          <w:divBdr>
            <w:top w:val="none" w:sz="0" w:space="0" w:color="auto"/>
            <w:left w:val="none" w:sz="0" w:space="0" w:color="auto"/>
            <w:bottom w:val="none" w:sz="0" w:space="0" w:color="auto"/>
            <w:right w:val="none" w:sz="0" w:space="0" w:color="auto"/>
          </w:divBdr>
          <w:divsChild>
            <w:div w:id="118878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595826">
      <w:bodyDiv w:val="1"/>
      <w:marLeft w:val="0"/>
      <w:marRight w:val="0"/>
      <w:marTop w:val="0"/>
      <w:marBottom w:val="0"/>
      <w:divBdr>
        <w:top w:val="none" w:sz="0" w:space="0" w:color="auto"/>
        <w:left w:val="none" w:sz="0" w:space="0" w:color="auto"/>
        <w:bottom w:val="none" w:sz="0" w:space="0" w:color="auto"/>
        <w:right w:val="none" w:sz="0" w:space="0" w:color="auto"/>
      </w:divBdr>
      <w:divsChild>
        <w:div w:id="987905691">
          <w:marLeft w:val="0"/>
          <w:marRight w:val="0"/>
          <w:marTop w:val="0"/>
          <w:marBottom w:val="0"/>
          <w:divBdr>
            <w:top w:val="none" w:sz="0" w:space="0" w:color="auto"/>
            <w:left w:val="none" w:sz="0" w:space="0" w:color="auto"/>
            <w:bottom w:val="none" w:sz="0" w:space="0" w:color="auto"/>
            <w:right w:val="none" w:sz="0" w:space="0" w:color="auto"/>
          </w:divBdr>
          <w:divsChild>
            <w:div w:id="1513488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565396">
      <w:bodyDiv w:val="1"/>
      <w:marLeft w:val="0"/>
      <w:marRight w:val="0"/>
      <w:marTop w:val="0"/>
      <w:marBottom w:val="0"/>
      <w:divBdr>
        <w:top w:val="none" w:sz="0" w:space="0" w:color="auto"/>
        <w:left w:val="none" w:sz="0" w:space="0" w:color="auto"/>
        <w:bottom w:val="none" w:sz="0" w:space="0" w:color="auto"/>
        <w:right w:val="none" w:sz="0" w:space="0" w:color="auto"/>
      </w:divBdr>
      <w:divsChild>
        <w:div w:id="369065795">
          <w:marLeft w:val="0"/>
          <w:marRight w:val="0"/>
          <w:marTop w:val="0"/>
          <w:marBottom w:val="0"/>
          <w:divBdr>
            <w:top w:val="none" w:sz="0" w:space="0" w:color="auto"/>
            <w:left w:val="none" w:sz="0" w:space="0" w:color="auto"/>
            <w:bottom w:val="none" w:sz="0" w:space="0" w:color="auto"/>
            <w:right w:val="none" w:sz="0" w:space="0" w:color="auto"/>
          </w:divBdr>
          <w:divsChild>
            <w:div w:id="159987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571581">
      <w:bodyDiv w:val="1"/>
      <w:marLeft w:val="0"/>
      <w:marRight w:val="0"/>
      <w:marTop w:val="0"/>
      <w:marBottom w:val="0"/>
      <w:divBdr>
        <w:top w:val="none" w:sz="0" w:space="0" w:color="auto"/>
        <w:left w:val="none" w:sz="0" w:space="0" w:color="auto"/>
        <w:bottom w:val="none" w:sz="0" w:space="0" w:color="auto"/>
        <w:right w:val="none" w:sz="0" w:space="0" w:color="auto"/>
      </w:divBdr>
      <w:divsChild>
        <w:div w:id="279385989">
          <w:marLeft w:val="0"/>
          <w:marRight w:val="0"/>
          <w:marTop w:val="0"/>
          <w:marBottom w:val="0"/>
          <w:divBdr>
            <w:top w:val="none" w:sz="0" w:space="0" w:color="auto"/>
            <w:left w:val="none" w:sz="0" w:space="0" w:color="auto"/>
            <w:bottom w:val="none" w:sz="0" w:space="0" w:color="auto"/>
            <w:right w:val="none" w:sz="0" w:space="0" w:color="auto"/>
          </w:divBdr>
          <w:divsChild>
            <w:div w:id="175775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650809">
      <w:bodyDiv w:val="1"/>
      <w:marLeft w:val="0"/>
      <w:marRight w:val="0"/>
      <w:marTop w:val="0"/>
      <w:marBottom w:val="0"/>
      <w:divBdr>
        <w:top w:val="none" w:sz="0" w:space="0" w:color="auto"/>
        <w:left w:val="none" w:sz="0" w:space="0" w:color="auto"/>
        <w:bottom w:val="none" w:sz="0" w:space="0" w:color="auto"/>
        <w:right w:val="none" w:sz="0" w:space="0" w:color="auto"/>
      </w:divBdr>
    </w:div>
    <w:div w:id="1610619509">
      <w:bodyDiv w:val="1"/>
      <w:marLeft w:val="0"/>
      <w:marRight w:val="0"/>
      <w:marTop w:val="0"/>
      <w:marBottom w:val="0"/>
      <w:divBdr>
        <w:top w:val="none" w:sz="0" w:space="0" w:color="auto"/>
        <w:left w:val="none" w:sz="0" w:space="0" w:color="auto"/>
        <w:bottom w:val="none" w:sz="0" w:space="0" w:color="auto"/>
        <w:right w:val="none" w:sz="0" w:space="0" w:color="auto"/>
      </w:divBdr>
      <w:divsChild>
        <w:div w:id="1805467815">
          <w:marLeft w:val="0"/>
          <w:marRight w:val="0"/>
          <w:marTop w:val="0"/>
          <w:marBottom w:val="0"/>
          <w:divBdr>
            <w:top w:val="none" w:sz="0" w:space="0" w:color="auto"/>
            <w:left w:val="none" w:sz="0" w:space="0" w:color="auto"/>
            <w:bottom w:val="none" w:sz="0" w:space="0" w:color="auto"/>
            <w:right w:val="none" w:sz="0" w:space="0" w:color="auto"/>
          </w:divBdr>
          <w:divsChild>
            <w:div w:id="121912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288263">
      <w:bodyDiv w:val="1"/>
      <w:marLeft w:val="0"/>
      <w:marRight w:val="0"/>
      <w:marTop w:val="0"/>
      <w:marBottom w:val="0"/>
      <w:divBdr>
        <w:top w:val="none" w:sz="0" w:space="0" w:color="auto"/>
        <w:left w:val="none" w:sz="0" w:space="0" w:color="auto"/>
        <w:bottom w:val="none" w:sz="0" w:space="0" w:color="auto"/>
        <w:right w:val="none" w:sz="0" w:space="0" w:color="auto"/>
      </w:divBdr>
      <w:divsChild>
        <w:div w:id="395738977">
          <w:marLeft w:val="0"/>
          <w:marRight w:val="0"/>
          <w:marTop w:val="0"/>
          <w:marBottom w:val="0"/>
          <w:divBdr>
            <w:top w:val="none" w:sz="0" w:space="0" w:color="auto"/>
            <w:left w:val="none" w:sz="0" w:space="0" w:color="auto"/>
            <w:bottom w:val="none" w:sz="0" w:space="0" w:color="auto"/>
            <w:right w:val="none" w:sz="0" w:space="0" w:color="auto"/>
          </w:divBdr>
          <w:divsChild>
            <w:div w:id="41370427">
              <w:marLeft w:val="0"/>
              <w:marRight w:val="0"/>
              <w:marTop w:val="0"/>
              <w:marBottom w:val="0"/>
              <w:divBdr>
                <w:top w:val="none" w:sz="0" w:space="0" w:color="auto"/>
                <w:left w:val="none" w:sz="0" w:space="0" w:color="auto"/>
                <w:bottom w:val="none" w:sz="0" w:space="0" w:color="auto"/>
                <w:right w:val="none" w:sz="0" w:space="0" w:color="auto"/>
              </w:divBdr>
            </w:div>
            <w:div w:id="259142101">
              <w:marLeft w:val="0"/>
              <w:marRight w:val="0"/>
              <w:marTop w:val="0"/>
              <w:marBottom w:val="0"/>
              <w:divBdr>
                <w:top w:val="none" w:sz="0" w:space="0" w:color="auto"/>
                <w:left w:val="none" w:sz="0" w:space="0" w:color="auto"/>
                <w:bottom w:val="none" w:sz="0" w:space="0" w:color="auto"/>
                <w:right w:val="none" w:sz="0" w:space="0" w:color="auto"/>
              </w:divBdr>
            </w:div>
            <w:div w:id="416488542">
              <w:marLeft w:val="0"/>
              <w:marRight w:val="0"/>
              <w:marTop w:val="0"/>
              <w:marBottom w:val="0"/>
              <w:divBdr>
                <w:top w:val="none" w:sz="0" w:space="0" w:color="auto"/>
                <w:left w:val="none" w:sz="0" w:space="0" w:color="auto"/>
                <w:bottom w:val="none" w:sz="0" w:space="0" w:color="auto"/>
                <w:right w:val="none" w:sz="0" w:space="0" w:color="auto"/>
              </w:divBdr>
            </w:div>
            <w:div w:id="497891788">
              <w:marLeft w:val="0"/>
              <w:marRight w:val="0"/>
              <w:marTop w:val="0"/>
              <w:marBottom w:val="0"/>
              <w:divBdr>
                <w:top w:val="none" w:sz="0" w:space="0" w:color="auto"/>
                <w:left w:val="none" w:sz="0" w:space="0" w:color="auto"/>
                <w:bottom w:val="none" w:sz="0" w:space="0" w:color="auto"/>
                <w:right w:val="none" w:sz="0" w:space="0" w:color="auto"/>
              </w:divBdr>
            </w:div>
            <w:div w:id="542135176">
              <w:marLeft w:val="0"/>
              <w:marRight w:val="0"/>
              <w:marTop w:val="0"/>
              <w:marBottom w:val="0"/>
              <w:divBdr>
                <w:top w:val="none" w:sz="0" w:space="0" w:color="auto"/>
                <w:left w:val="none" w:sz="0" w:space="0" w:color="auto"/>
                <w:bottom w:val="none" w:sz="0" w:space="0" w:color="auto"/>
                <w:right w:val="none" w:sz="0" w:space="0" w:color="auto"/>
              </w:divBdr>
            </w:div>
            <w:div w:id="769590717">
              <w:marLeft w:val="0"/>
              <w:marRight w:val="0"/>
              <w:marTop w:val="0"/>
              <w:marBottom w:val="0"/>
              <w:divBdr>
                <w:top w:val="none" w:sz="0" w:space="0" w:color="auto"/>
                <w:left w:val="none" w:sz="0" w:space="0" w:color="auto"/>
                <w:bottom w:val="none" w:sz="0" w:space="0" w:color="auto"/>
                <w:right w:val="none" w:sz="0" w:space="0" w:color="auto"/>
              </w:divBdr>
            </w:div>
            <w:div w:id="849879890">
              <w:marLeft w:val="0"/>
              <w:marRight w:val="0"/>
              <w:marTop w:val="0"/>
              <w:marBottom w:val="0"/>
              <w:divBdr>
                <w:top w:val="none" w:sz="0" w:space="0" w:color="auto"/>
                <w:left w:val="none" w:sz="0" w:space="0" w:color="auto"/>
                <w:bottom w:val="none" w:sz="0" w:space="0" w:color="auto"/>
                <w:right w:val="none" w:sz="0" w:space="0" w:color="auto"/>
              </w:divBdr>
            </w:div>
            <w:div w:id="1191069198">
              <w:marLeft w:val="0"/>
              <w:marRight w:val="0"/>
              <w:marTop w:val="0"/>
              <w:marBottom w:val="0"/>
              <w:divBdr>
                <w:top w:val="none" w:sz="0" w:space="0" w:color="auto"/>
                <w:left w:val="none" w:sz="0" w:space="0" w:color="auto"/>
                <w:bottom w:val="none" w:sz="0" w:space="0" w:color="auto"/>
                <w:right w:val="none" w:sz="0" w:space="0" w:color="auto"/>
              </w:divBdr>
            </w:div>
            <w:div w:id="1394085658">
              <w:marLeft w:val="0"/>
              <w:marRight w:val="0"/>
              <w:marTop w:val="0"/>
              <w:marBottom w:val="0"/>
              <w:divBdr>
                <w:top w:val="none" w:sz="0" w:space="0" w:color="auto"/>
                <w:left w:val="none" w:sz="0" w:space="0" w:color="auto"/>
                <w:bottom w:val="none" w:sz="0" w:space="0" w:color="auto"/>
                <w:right w:val="none" w:sz="0" w:space="0" w:color="auto"/>
              </w:divBdr>
            </w:div>
            <w:div w:id="1395472792">
              <w:marLeft w:val="0"/>
              <w:marRight w:val="0"/>
              <w:marTop w:val="0"/>
              <w:marBottom w:val="0"/>
              <w:divBdr>
                <w:top w:val="none" w:sz="0" w:space="0" w:color="auto"/>
                <w:left w:val="none" w:sz="0" w:space="0" w:color="auto"/>
                <w:bottom w:val="none" w:sz="0" w:space="0" w:color="auto"/>
                <w:right w:val="none" w:sz="0" w:space="0" w:color="auto"/>
              </w:divBdr>
            </w:div>
            <w:div w:id="1431587293">
              <w:marLeft w:val="0"/>
              <w:marRight w:val="0"/>
              <w:marTop w:val="0"/>
              <w:marBottom w:val="0"/>
              <w:divBdr>
                <w:top w:val="none" w:sz="0" w:space="0" w:color="auto"/>
                <w:left w:val="none" w:sz="0" w:space="0" w:color="auto"/>
                <w:bottom w:val="none" w:sz="0" w:space="0" w:color="auto"/>
                <w:right w:val="none" w:sz="0" w:space="0" w:color="auto"/>
              </w:divBdr>
            </w:div>
            <w:div w:id="1499615163">
              <w:marLeft w:val="0"/>
              <w:marRight w:val="0"/>
              <w:marTop w:val="0"/>
              <w:marBottom w:val="0"/>
              <w:divBdr>
                <w:top w:val="none" w:sz="0" w:space="0" w:color="auto"/>
                <w:left w:val="none" w:sz="0" w:space="0" w:color="auto"/>
                <w:bottom w:val="none" w:sz="0" w:space="0" w:color="auto"/>
                <w:right w:val="none" w:sz="0" w:space="0" w:color="auto"/>
              </w:divBdr>
            </w:div>
            <w:div w:id="171685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104131">
      <w:bodyDiv w:val="1"/>
      <w:marLeft w:val="0"/>
      <w:marRight w:val="0"/>
      <w:marTop w:val="0"/>
      <w:marBottom w:val="0"/>
      <w:divBdr>
        <w:top w:val="none" w:sz="0" w:space="0" w:color="auto"/>
        <w:left w:val="none" w:sz="0" w:space="0" w:color="auto"/>
        <w:bottom w:val="none" w:sz="0" w:space="0" w:color="auto"/>
        <w:right w:val="none" w:sz="0" w:space="0" w:color="auto"/>
      </w:divBdr>
      <w:divsChild>
        <w:div w:id="454326263">
          <w:marLeft w:val="0"/>
          <w:marRight w:val="0"/>
          <w:marTop w:val="0"/>
          <w:marBottom w:val="0"/>
          <w:divBdr>
            <w:top w:val="none" w:sz="0" w:space="0" w:color="auto"/>
            <w:left w:val="none" w:sz="0" w:space="0" w:color="auto"/>
            <w:bottom w:val="none" w:sz="0" w:space="0" w:color="auto"/>
            <w:right w:val="none" w:sz="0" w:space="0" w:color="auto"/>
          </w:divBdr>
          <w:divsChild>
            <w:div w:id="99377880">
              <w:marLeft w:val="0"/>
              <w:marRight w:val="0"/>
              <w:marTop w:val="0"/>
              <w:marBottom w:val="0"/>
              <w:divBdr>
                <w:top w:val="none" w:sz="0" w:space="0" w:color="auto"/>
                <w:left w:val="none" w:sz="0" w:space="0" w:color="auto"/>
                <w:bottom w:val="none" w:sz="0" w:space="0" w:color="auto"/>
                <w:right w:val="none" w:sz="0" w:space="0" w:color="auto"/>
              </w:divBdr>
            </w:div>
            <w:div w:id="113866109">
              <w:marLeft w:val="0"/>
              <w:marRight w:val="0"/>
              <w:marTop w:val="0"/>
              <w:marBottom w:val="0"/>
              <w:divBdr>
                <w:top w:val="none" w:sz="0" w:space="0" w:color="auto"/>
                <w:left w:val="none" w:sz="0" w:space="0" w:color="auto"/>
                <w:bottom w:val="none" w:sz="0" w:space="0" w:color="auto"/>
                <w:right w:val="none" w:sz="0" w:space="0" w:color="auto"/>
              </w:divBdr>
            </w:div>
            <w:div w:id="553008821">
              <w:marLeft w:val="0"/>
              <w:marRight w:val="0"/>
              <w:marTop w:val="0"/>
              <w:marBottom w:val="0"/>
              <w:divBdr>
                <w:top w:val="none" w:sz="0" w:space="0" w:color="auto"/>
                <w:left w:val="none" w:sz="0" w:space="0" w:color="auto"/>
                <w:bottom w:val="none" w:sz="0" w:space="0" w:color="auto"/>
                <w:right w:val="none" w:sz="0" w:space="0" w:color="auto"/>
              </w:divBdr>
            </w:div>
            <w:div w:id="594247049">
              <w:marLeft w:val="0"/>
              <w:marRight w:val="0"/>
              <w:marTop w:val="0"/>
              <w:marBottom w:val="0"/>
              <w:divBdr>
                <w:top w:val="none" w:sz="0" w:space="0" w:color="auto"/>
                <w:left w:val="none" w:sz="0" w:space="0" w:color="auto"/>
                <w:bottom w:val="none" w:sz="0" w:space="0" w:color="auto"/>
                <w:right w:val="none" w:sz="0" w:space="0" w:color="auto"/>
              </w:divBdr>
            </w:div>
            <w:div w:id="839662203">
              <w:marLeft w:val="0"/>
              <w:marRight w:val="0"/>
              <w:marTop w:val="0"/>
              <w:marBottom w:val="0"/>
              <w:divBdr>
                <w:top w:val="none" w:sz="0" w:space="0" w:color="auto"/>
                <w:left w:val="none" w:sz="0" w:space="0" w:color="auto"/>
                <w:bottom w:val="none" w:sz="0" w:space="0" w:color="auto"/>
                <w:right w:val="none" w:sz="0" w:space="0" w:color="auto"/>
              </w:divBdr>
            </w:div>
            <w:div w:id="1694186157">
              <w:marLeft w:val="0"/>
              <w:marRight w:val="0"/>
              <w:marTop w:val="0"/>
              <w:marBottom w:val="0"/>
              <w:divBdr>
                <w:top w:val="none" w:sz="0" w:space="0" w:color="auto"/>
                <w:left w:val="none" w:sz="0" w:space="0" w:color="auto"/>
                <w:bottom w:val="none" w:sz="0" w:space="0" w:color="auto"/>
                <w:right w:val="none" w:sz="0" w:space="0" w:color="auto"/>
              </w:divBdr>
            </w:div>
            <w:div w:id="191339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530687">
      <w:bodyDiv w:val="1"/>
      <w:marLeft w:val="0"/>
      <w:marRight w:val="0"/>
      <w:marTop w:val="0"/>
      <w:marBottom w:val="0"/>
      <w:divBdr>
        <w:top w:val="none" w:sz="0" w:space="0" w:color="auto"/>
        <w:left w:val="none" w:sz="0" w:space="0" w:color="auto"/>
        <w:bottom w:val="none" w:sz="0" w:space="0" w:color="auto"/>
        <w:right w:val="none" w:sz="0" w:space="0" w:color="auto"/>
      </w:divBdr>
      <w:divsChild>
        <w:div w:id="38743445">
          <w:marLeft w:val="0"/>
          <w:marRight w:val="0"/>
          <w:marTop w:val="0"/>
          <w:marBottom w:val="0"/>
          <w:divBdr>
            <w:top w:val="none" w:sz="0" w:space="0" w:color="auto"/>
            <w:left w:val="none" w:sz="0" w:space="0" w:color="auto"/>
            <w:bottom w:val="none" w:sz="0" w:space="0" w:color="auto"/>
            <w:right w:val="none" w:sz="0" w:space="0" w:color="auto"/>
          </w:divBdr>
        </w:div>
        <w:div w:id="46346402">
          <w:marLeft w:val="0"/>
          <w:marRight w:val="0"/>
          <w:marTop w:val="0"/>
          <w:marBottom w:val="0"/>
          <w:divBdr>
            <w:top w:val="none" w:sz="0" w:space="0" w:color="auto"/>
            <w:left w:val="none" w:sz="0" w:space="0" w:color="auto"/>
            <w:bottom w:val="none" w:sz="0" w:space="0" w:color="auto"/>
            <w:right w:val="none" w:sz="0" w:space="0" w:color="auto"/>
          </w:divBdr>
        </w:div>
        <w:div w:id="62532623">
          <w:marLeft w:val="0"/>
          <w:marRight w:val="0"/>
          <w:marTop w:val="0"/>
          <w:marBottom w:val="0"/>
          <w:divBdr>
            <w:top w:val="none" w:sz="0" w:space="0" w:color="auto"/>
            <w:left w:val="none" w:sz="0" w:space="0" w:color="auto"/>
            <w:bottom w:val="none" w:sz="0" w:space="0" w:color="auto"/>
            <w:right w:val="none" w:sz="0" w:space="0" w:color="auto"/>
          </w:divBdr>
        </w:div>
        <w:div w:id="294485210">
          <w:marLeft w:val="0"/>
          <w:marRight w:val="0"/>
          <w:marTop w:val="0"/>
          <w:marBottom w:val="0"/>
          <w:divBdr>
            <w:top w:val="none" w:sz="0" w:space="0" w:color="auto"/>
            <w:left w:val="none" w:sz="0" w:space="0" w:color="auto"/>
            <w:bottom w:val="none" w:sz="0" w:space="0" w:color="auto"/>
            <w:right w:val="none" w:sz="0" w:space="0" w:color="auto"/>
          </w:divBdr>
        </w:div>
        <w:div w:id="335034061">
          <w:marLeft w:val="0"/>
          <w:marRight w:val="0"/>
          <w:marTop w:val="0"/>
          <w:marBottom w:val="0"/>
          <w:divBdr>
            <w:top w:val="none" w:sz="0" w:space="0" w:color="auto"/>
            <w:left w:val="none" w:sz="0" w:space="0" w:color="auto"/>
            <w:bottom w:val="none" w:sz="0" w:space="0" w:color="auto"/>
            <w:right w:val="none" w:sz="0" w:space="0" w:color="auto"/>
          </w:divBdr>
        </w:div>
        <w:div w:id="359820348">
          <w:marLeft w:val="0"/>
          <w:marRight w:val="0"/>
          <w:marTop w:val="0"/>
          <w:marBottom w:val="0"/>
          <w:divBdr>
            <w:top w:val="none" w:sz="0" w:space="0" w:color="auto"/>
            <w:left w:val="none" w:sz="0" w:space="0" w:color="auto"/>
            <w:bottom w:val="none" w:sz="0" w:space="0" w:color="auto"/>
            <w:right w:val="none" w:sz="0" w:space="0" w:color="auto"/>
          </w:divBdr>
        </w:div>
        <w:div w:id="371805006">
          <w:marLeft w:val="0"/>
          <w:marRight w:val="0"/>
          <w:marTop w:val="0"/>
          <w:marBottom w:val="0"/>
          <w:divBdr>
            <w:top w:val="none" w:sz="0" w:space="0" w:color="auto"/>
            <w:left w:val="none" w:sz="0" w:space="0" w:color="auto"/>
            <w:bottom w:val="none" w:sz="0" w:space="0" w:color="auto"/>
            <w:right w:val="none" w:sz="0" w:space="0" w:color="auto"/>
          </w:divBdr>
        </w:div>
        <w:div w:id="380636619">
          <w:marLeft w:val="0"/>
          <w:marRight w:val="0"/>
          <w:marTop w:val="0"/>
          <w:marBottom w:val="0"/>
          <w:divBdr>
            <w:top w:val="none" w:sz="0" w:space="0" w:color="auto"/>
            <w:left w:val="none" w:sz="0" w:space="0" w:color="auto"/>
            <w:bottom w:val="none" w:sz="0" w:space="0" w:color="auto"/>
            <w:right w:val="none" w:sz="0" w:space="0" w:color="auto"/>
          </w:divBdr>
        </w:div>
        <w:div w:id="660541883">
          <w:marLeft w:val="0"/>
          <w:marRight w:val="0"/>
          <w:marTop w:val="0"/>
          <w:marBottom w:val="0"/>
          <w:divBdr>
            <w:top w:val="none" w:sz="0" w:space="0" w:color="auto"/>
            <w:left w:val="none" w:sz="0" w:space="0" w:color="auto"/>
            <w:bottom w:val="none" w:sz="0" w:space="0" w:color="auto"/>
            <w:right w:val="none" w:sz="0" w:space="0" w:color="auto"/>
          </w:divBdr>
        </w:div>
        <w:div w:id="771390356">
          <w:marLeft w:val="0"/>
          <w:marRight w:val="0"/>
          <w:marTop w:val="0"/>
          <w:marBottom w:val="0"/>
          <w:divBdr>
            <w:top w:val="none" w:sz="0" w:space="0" w:color="auto"/>
            <w:left w:val="none" w:sz="0" w:space="0" w:color="auto"/>
            <w:bottom w:val="none" w:sz="0" w:space="0" w:color="auto"/>
            <w:right w:val="none" w:sz="0" w:space="0" w:color="auto"/>
          </w:divBdr>
        </w:div>
        <w:div w:id="778183523">
          <w:marLeft w:val="0"/>
          <w:marRight w:val="0"/>
          <w:marTop w:val="0"/>
          <w:marBottom w:val="0"/>
          <w:divBdr>
            <w:top w:val="none" w:sz="0" w:space="0" w:color="auto"/>
            <w:left w:val="none" w:sz="0" w:space="0" w:color="auto"/>
            <w:bottom w:val="none" w:sz="0" w:space="0" w:color="auto"/>
            <w:right w:val="none" w:sz="0" w:space="0" w:color="auto"/>
          </w:divBdr>
        </w:div>
        <w:div w:id="799299465">
          <w:marLeft w:val="0"/>
          <w:marRight w:val="0"/>
          <w:marTop w:val="0"/>
          <w:marBottom w:val="0"/>
          <w:divBdr>
            <w:top w:val="none" w:sz="0" w:space="0" w:color="auto"/>
            <w:left w:val="none" w:sz="0" w:space="0" w:color="auto"/>
            <w:bottom w:val="none" w:sz="0" w:space="0" w:color="auto"/>
            <w:right w:val="none" w:sz="0" w:space="0" w:color="auto"/>
          </w:divBdr>
        </w:div>
        <w:div w:id="860824784">
          <w:marLeft w:val="0"/>
          <w:marRight w:val="0"/>
          <w:marTop w:val="0"/>
          <w:marBottom w:val="0"/>
          <w:divBdr>
            <w:top w:val="none" w:sz="0" w:space="0" w:color="auto"/>
            <w:left w:val="none" w:sz="0" w:space="0" w:color="auto"/>
            <w:bottom w:val="none" w:sz="0" w:space="0" w:color="auto"/>
            <w:right w:val="none" w:sz="0" w:space="0" w:color="auto"/>
          </w:divBdr>
        </w:div>
        <w:div w:id="960841578">
          <w:marLeft w:val="0"/>
          <w:marRight w:val="0"/>
          <w:marTop w:val="0"/>
          <w:marBottom w:val="0"/>
          <w:divBdr>
            <w:top w:val="none" w:sz="0" w:space="0" w:color="auto"/>
            <w:left w:val="none" w:sz="0" w:space="0" w:color="auto"/>
            <w:bottom w:val="none" w:sz="0" w:space="0" w:color="auto"/>
            <w:right w:val="none" w:sz="0" w:space="0" w:color="auto"/>
          </w:divBdr>
        </w:div>
        <w:div w:id="965158133">
          <w:marLeft w:val="0"/>
          <w:marRight w:val="0"/>
          <w:marTop w:val="0"/>
          <w:marBottom w:val="0"/>
          <w:divBdr>
            <w:top w:val="none" w:sz="0" w:space="0" w:color="auto"/>
            <w:left w:val="none" w:sz="0" w:space="0" w:color="auto"/>
            <w:bottom w:val="none" w:sz="0" w:space="0" w:color="auto"/>
            <w:right w:val="none" w:sz="0" w:space="0" w:color="auto"/>
          </w:divBdr>
        </w:div>
        <w:div w:id="999043844">
          <w:marLeft w:val="0"/>
          <w:marRight w:val="0"/>
          <w:marTop w:val="0"/>
          <w:marBottom w:val="0"/>
          <w:divBdr>
            <w:top w:val="none" w:sz="0" w:space="0" w:color="auto"/>
            <w:left w:val="none" w:sz="0" w:space="0" w:color="auto"/>
            <w:bottom w:val="none" w:sz="0" w:space="0" w:color="auto"/>
            <w:right w:val="none" w:sz="0" w:space="0" w:color="auto"/>
          </w:divBdr>
        </w:div>
        <w:div w:id="1126043730">
          <w:marLeft w:val="0"/>
          <w:marRight w:val="0"/>
          <w:marTop w:val="0"/>
          <w:marBottom w:val="0"/>
          <w:divBdr>
            <w:top w:val="none" w:sz="0" w:space="0" w:color="auto"/>
            <w:left w:val="none" w:sz="0" w:space="0" w:color="auto"/>
            <w:bottom w:val="none" w:sz="0" w:space="0" w:color="auto"/>
            <w:right w:val="none" w:sz="0" w:space="0" w:color="auto"/>
          </w:divBdr>
        </w:div>
        <w:div w:id="1134562896">
          <w:marLeft w:val="0"/>
          <w:marRight w:val="0"/>
          <w:marTop w:val="0"/>
          <w:marBottom w:val="0"/>
          <w:divBdr>
            <w:top w:val="none" w:sz="0" w:space="0" w:color="auto"/>
            <w:left w:val="none" w:sz="0" w:space="0" w:color="auto"/>
            <w:bottom w:val="none" w:sz="0" w:space="0" w:color="auto"/>
            <w:right w:val="none" w:sz="0" w:space="0" w:color="auto"/>
          </w:divBdr>
        </w:div>
        <w:div w:id="1286232085">
          <w:marLeft w:val="0"/>
          <w:marRight w:val="0"/>
          <w:marTop w:val="0"/>
          <w:marBottom w:val="0"/>
          <w:divBdr>
            <w:top w:val="none" w:sz="0" w:space="0" w:color="auto"/>
            <w:left w:val="none" w:sz="0" w:space="0" w:color="auto"/>
            <w:bottom w:val="none" w:sz="0" w:space="0" w:color="auto"/>
            <w:right w:val="none" w:sz="0" w:space="0" w:color="auto"/>
          </w:divBdr>
        </w:div>
        <w:div w:id="1294486818">
          <w:marLeft w:val="0"/>
          <w:marRight w:val="0"/>
          <w:marTop w:val="0"/>
          <w:marBottom w:val="0"/>
          <w:divBdr>
            <w:top w:val="none" w:sz="0" w:space="0" w:color="auto"/>
            <w:left w:val="none" w:sz="0" w:space="0" w:color="auto"/>
            <w:bottom w:val="none" w:sz="0" w:space="0" w:color="auto"/>
            <w:right w:val="none" w:sz="0" w:space="0" w:color="auto"/>
          </w:divBdr>
        </w:div>
        <w:div w:id="1331255813">
          <w:marLeft w:val="0"/>
          <w:marRight w:val="0"/>
          <w:marTop w:val="0"/>
          <w:marBottom w:val="0"/>
          <w:divBdr>
            <w:top w:val="none" w:sz="0" w:space="0" w:color="auto"/>
            <w:left w:val="none" w:sz="0" w:space="0" w:color="auto"/>
            <w:bottom w:val="none" w:sz="0" w:space="0" w:color="auto"/>
            <w:right w:val="none" w:sz="0" w:space="0" w:color="auto"/>
          </w:divBdr>
        </w:div>
        <w:div w:id="1333072971">
          <w:marLeft w:val="0"/>
          <w:marRight w:val="0"/>
          <w:marTop w:val="0"/>
          <w:marBottom w:val="0"/>
          <w:divBdr>
            <w:top w:val="none" w:sz="0" w:space="0" w:color="auto"/>
            <w:left w:val="none" w:sz="0" w:space="0" w:color="auto"/>
            <w:bottom w:val="none" w:sz="0" w:space="0" w:color="auto"/>
            <w:right w:val="none" w:sz="0" w:space="0" w:color="auto"/>
          </w:divBdr>
        </w:div>
        <w:div w:id="1378042975">
          <w:marLeft w:val="0"/>
          <w:marRight w:val="0"/>
          <w:marTop w:val="0"/>
          <w:marBottom w:val="0"/>
          <w:divBdr>
            <w:top w:val="none" w:sz="0" w:space="0" w:color="auto"/>
            <w:left w:val="none" w:sz="0" w:space="0" w:color="auto"/>
            <w:bottom w:val="none" w:sz="0" w:space="0" w:color="auto"/>
            <w:right w:val="none" w:sz="0" w:space="0" w:color="auto"/>
          </w:divBdr>
        </w:div>
        <w:div w:id="1396708900">
          <w:marLeft w:val="0"/>
          <w:marRight w:val="0"/>
          <w:marTop w:val="0"/>
          <w:marBottom w:val="0"/>
          <w:divBdr>
            <w:top w:val="none" w:sz="0" w:space="0" w:color="auto"/>
            <w:left w:val="none" w:sz="0" w:space="0" w:color="auto"/>
            <w:bottom w:val="none" w:sz="0" w:space="0" w:color="auto"/>
            <w:right w:val="none" w:sz="0" w:space="0" w:color="auto"/>
          </w:divBdr>
        </w:div>
        <w:div w:id="1430006551">
          <w:marLeft w:val="0"/>
          <w:marRight w:val="0"/>
          <w:marTop w:val="0"/>
          <w:marBottom w:val="0"/>
          <w:divBdr>
            <w:top w:val="none" w:sz="0" w:space="0" w:color="auto"/>
            <w:left w:val="none" w:sz="0" w:space="0" w:color="auto"/>
            <w:bottom w:val="none" w:sz="0" w:space="0" w:color="auto"/>
            <w:right w:val="none" w:sz="0" w:space="0" w:color="auto"/>
          </w:divBdr>
        </w:div>
        <w:div w:id="1790780016">
          <w:marLeft w:val="0"/>
          <w:marRight w:val="0"/>
          <w:marTop w:val="0"/>
          <w:marBottom w:val="0"/>
          <w:divBdr>
            <w:top w:val="none" w:sz="0" w:space="0" w:color="auto"/>
            <w:left w:val="none" w:sz="0" w:space="0" w:color="auto"/>
            <w:bottom w:val="none" w:sz="0" w:space="0" w:color="auto"/>
            <w:right w:val="none" w:sz="0" w:space="0" w:color="auto"/>
          </w:divBdr>
        </w:div>
        <w:div w:id="1835024025">
          <w:marLeft w:val="0"/>
          <w:marRight w:val="0"/>
          <w:marTop w:val="0"/>
          <w:marBottom w:val="0"/>
          <w:divBdr>
            <w:top w:val="none" w:sz="0" w:space="0" w:color="auto"/>
            <w:left w:val="none" w:sz="0" w:space="0" w:color="auto"/>
            <w:bottom w:val="none" w:sz="0" w:space="0" w:color="auto"/>
            <w:right w:val="none" w:sz="0" w:space="0" w:color="auto"/>
          </w:divBdr>
        </w:div>
        <w:div w:id="1836414142">
          <w:marLeft w:val="0"/>
          <w:marRight w:val="0"/>
          <w:marTop w:val="0"/>
          <w:marBottom w:val="0"/>
          <w:divBdr>
            <w:top w:val="none" w:sz="0" w:space="0" w:color="auto"/>
            <w:left w:val="none" w:sz="0" w:space="0" w:color="auto"/>
            <w:bottom w:val="none" w:sz="0" w:space="0" w:color="auto"/>
            <w:right w:val="none" w:sz="0" w:space="0" w:color="auto"/>
          </w:divBdr>
        </w:div>
        <w:div w:id="19843072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21" Type="http://schemas.openxmlformats.org/officeDocument/2006/relationships/image" Target="media/image6.jpeg"/><Relationship Id="rId34" Type="http://schemas.openxmlformats.org/officeDocument/2006/relationships/image" Target="media/image13.png"/><Relationship Id="rId42" Type="http://schemas.openxmlformats.org/officeDocument/2006/relationships/image" Target="media/image17.png"/><Relationship Id="rId47" Type="http://schemas.openxmlformats.org/officeDocument/2006/relationships/image" Target="media/image22.emf"/><Relationship Id="rId50" Type="http://schemas.openxmlformats.org/officeDocument/2006/relationships/image" Target="media/image25.emf"/><Relationship Id="rId55" Type="http://schemas.openxmlformats.org/officeDocument/2006/relationships/image" Target="media/image30.emf"/><Relationship Id="rId63" Type="http://schemas.openxmlformats.org/officeDocument/2006/relationships/image" Target="media/image38.emf"/><Relationship Id="rId68" Type="http://schemas.openxmlformats.org/officeDocument/2006/relationships/image" Target="media/image43.emf"/><Relationship Id="rId76" Type="http://schemas.openxmlformats.org/officeDocument/2006/relationships/image" Target="media/image51.emf"/><Relationship Id="rId84" Type="http://schemas.openxmlformats.org/officeDocument/2006/relationships/image" Target="media/image59.emf"/><Relationship Id="rId89" Type="http://schemas.openxmlformats.org/officeDocument/2006/relationships/image" Target="media/image64.emf"/><Relationship Id="rId97" Type="http://schemas.openxmlformats.org/officeDocument/2006/relationships/image" Target="media/image72.emf"/><Relationship Id="rId7" Type="http://schemas.openxmlformats.org/officeDocument/2006/relationships/settings" Target="settings.xml"/><Relationship Id="rId71" Type="http://schemas.openxmlformats.org/officeDocument/2006/relationships/image" Target="media/image46.emf"/><Relationship Id="rId92" Type="http://schemas.openxmlformats.org/officeDocument/2006/relationships/image" Target="media/image67.emf"/><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hyperlink" Target="http://www.investorwords.com/2258/growth.html" TargetMode="External"/><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hyperlink" Target="http://www.investorwords.com/588/brokerage_house.html" TargetMode="External"/><Relationship Id="rId37" Type="http://schemas.openxmlformats.org/officeDocument/2006/relationships/image" Target="media/image15.png"/><Relationship Id="rId40" Type="http://schemas.openxmlformats.org/officeDocument/2006/relationships/footer" Target="footer3.xml"/><Relationship Id="rId45" Type="http://schemas.openxmlformats.org/officeDocument/2006/relationships/image" Target="media/image20.emf"/><Relationship Id="rId53" Type="http://schemas.openxmlformats.org/officeDocument/2006/relationships/image" Target="media/image28.emf"/><Relationship Id="rId58" Type="http://schemas.openxmlformats.org/officeDocument/2006/relationships/image" Target="media/image33.emf"/><Relationship Id="rId66" Type="http://schemas.openxmlformats.org/officeDocument/2006/relationships/image" Target="media/image41.emf"/><Relationship Id="rId74" Type="http://schemas.openxmlformats.org/officeDocument/2006/relationships/image" Target="media/image49.emf"/><Relationship Id="rId79" Type="http://schemas.openxmlformats.org/officeDocument/2006/relationships/image" Target="media/image54.emf"/><Relationship Id="rId87" Type="http://schemas.openxmlformats.org/officeDocument/2006/relationships/image" Target="media/image62.emf"/><Relationship Id="rId102"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image" Target="media/image36.emf"/><Relationship Id="rId82" Type="http://schemas.openxmlformats.org/officeDocument/2006/relationships/image" Target="media/image57.emf"/><Relationship Id="rId90" Type="http://schemas.openxmlformats.org/officeDocument/2006/relationships/image" Target="media/image65.emf"/><Relationship Id="rId95" Type="http://schemas.openxmlformats.org/officeDocument/2006/relationships/image" Target="media/image70.emf"/><Relationship Id="rId19" Type="http://schemas.openxmlformats.org/officeDocument/2006/relationships/hyperlink" Target="https://budget.gov.au/2018-19/content/factsheets/3-financially-prepared.html" TargetMode="External"/><Relationship Id="rId14" Type="http://schemas.openxmlformats.org/officeDocument/2006/relationships/footer" Target="footer2.xml"/><Relationship Id="rId22" Type="http://schemas.openxmlformats.org/officeDocument/2006/relationships/image" Target="media/image7.png"/><Relationship Id="rId27" Type="http://schemas.openxmlformats.org/officeDocument/2006/relationships/hyperlink" Target="http://www.investorwords.com/2599/investment.html" TargetMode="External"/><Relationship Id="rId30" Type="http://schemas.openxmlformats.org/officeDocument/2006/relationships/hyperlink" Target="http://www.investorwords.com/401/bank.html" TargetMode="External"/><Relationship Id="rId35" Type="http://schemas.openxmlformats.org/officeDocument/2006/relationships/image" Target="media/image14.png"/><Relationship Id="rId43" Type="http://schemas.openxmlformats.org/officeDocument/2006/relationships/image" Target="media/image18.emf"/><Relationship Id="rId48" Type="http://schemas.openxmlformats.org/officeDocument/2006/relationships/image" Target="media/image23.emf"/><Relationship Id="rId56" Type="http://schemas.openxmlformats.org/officeDocument/2006/relationships/image" Target="media/image31.emf"/><Relationship Id="rId64" Type="http://schemas.openxmlformats.org/officeDocument/2006/relationships/image" Target="media/image39.emf"/><Relationship Id="rId69" Type="http://schemas.openxmlformats.org/officeDocument/2006/relationships/image" Target="media/image44.emf"/><Relationship Id="rId77" Type="http://schemas.openxmlformats.org/officeDocument/2006/relationships/image" Target="media/image52.emf"/><Relationship Id="rId100" Type="http://schemas.openxmlformats.org/officeDocument/2006/relationships/image" Target="media/image75.emf"/><Relationship Id="rId8" Type="http://schemas.openxmlformats.org/officeDocument/2006/relationships/webSettings" Target="webSettings.xml"/><Relationship Id="rId51" Type="http://schemas.openxmlformats.org/officeDocument/2006/relationships/image" Target="media/image26.emf"/><Relationship Id="rId72" Type="http://schemas.openxmlformats.org/officeDocument/2006/relationships/image" Target="media/image47.emf"/><Relationship Id="rId80" Type="http://schemas.openxmlformats.org/officeDocument/2006/relationships/image" Target="media/image55.emf"/><Relationship Id="rId85" Type="http://schemas.openxmlformats.org/officeDocument/2006/relationships/image" Target="media/image60.emf"/><Relationship Id="rId93" Type="http://schemas.openxmlformats.org/officeDocument/2006/relationships/image" Target="media/image68.emf"/><Relationship Id="rId98" Type="http://schemas.openxmlformats.org/officeDocument/2006/relationships/image" Target="media/image73.emf"/><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3.png"/><Relationship Id="rId25" Type="http://schemas.openxmlformats.org/officeDocument/2006/relationships/image" Target="media/image10.png"/><Relationship Id="rId33" Type="http://schemas.openxmlformats.org/officeDocument/2006/relationships/image" Target="media/image12.png"/><Relationship Id="rId38" Type="http://schemas.openxmlformats.org/officeDocument/2006/relationships/image" Target="media/image16.png"/><Relationship Id="rId46" Type="http://schemas.openxmlformats.org/officeDocument/2006/relationships/image" Target="media/image21.emf"/><Relationship Id="rId59" Type="http://schemas.openxmlformats.org/officeDocument/2006/relationships/image" Target="media/image34.emf"/><Relationship Id="rId67" Type="http://schemas.openxmlformats.org/officeDocument/2006/relationships/image" Target="media/image42.emf"/><Relationship Id="rId20" Type="http://schemas.openxmlformats.org/officeDocument/2006/relationships/image" Target="media/image5.png"/><Relationship Id="rId41" Type="http://schemas.openxmlformats.org/officeDocument/2006/relationships/footer" Target="footer4.xml"/><Relationship Id="rId54" Type="http://schemas.openxmlformats.org/officeDocument/2006/relationships/image" Target="media/image29.emf"/><Relationship Id="rId62" Type="http://schemas.openxmlformats.org/officeDocument/2006/relationships/image" Target="media/image37.emf"/><Relationship Id="rId70" Type="http://schemas.openxmlformats.org/officeDocument/2006/relationships/image" Target="media/image45.emf"/><Relationship Id="rId75" Type="http://schemas.openxmlformats.org/officeDocument/2006/relationships/image" Target="media/image50.emf"/><Relationship Id="rId83" Type="http://schemas.openxmlformats.org/officeDocument/2006/relationships/image" Target="media/image58.emf"/><Relationship Id="rId88" Type="http://schemas.openxmlformats.org/officeDocument/2006/relationships/image" Target="media/image63.emf"/><Relationship Id="rId91" Type="http://schemas.openxmlformats.org/officeDocument/2006/relationships/image" Target="media/image66.emf"/><Relationship Id="rId96" Type="http://schemas.openxmlformats.org/officeDocument/2006/relationships/image" Target="media/image71.emf"/><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1.png"/><Relationship Id="rId23" Type="http://schemas.openxmlformats.org/officeDocument/2006/relationships/image" Target="media/image8.png"/><Relationship Id="rId28" Type="http://schemas.openxmlformats.org/officeDocument/2006/relationships/hyperlink" Target="http://www.investorwords.com/694/capital.html" TargetMode="External"/><Relationship Id="rId36" Type="http://schemas.openxmlformats.org/officeDocument/2006/relationships/hyperlink" Target="http://www.myagedcare.gov.au/service-finders" TargetMode="External"/><Relationship Id="rId49" Type="http://schemas.openxmlformats.org/officeDocument/2006/relationships/image" Target="media/image24.emf"/><Relationship Id="rId57" Type="http://schemas.openxmlformats.org/officeDocument/2006/relationships/image" Target="media/image32.emf"/><Relationship Id="rId10" Type="http://schemas.openxmlformats.org/officeDocument/2006/relationships/endnotes" Target="endnotes.xml"/><Relationship Id="rId31" Type="http://schemas.openxmlformats.org/officeDocument/2006/relationships/hyperlink" Target="http://www.investorwords.com/6843/insurance_company.html" TargetMode="External"/><Relationship Id="rId44" Type="http://schemas.openxmlformats.org/officeDocument/2006/relationships/image" Target="media/image19.emf"/><Relationship Id="rId52" Type="http://schemas.openxmlformats.org/officeDocument/2006/relationships/image" Target="media/image27.emf"/><Relationship Id="rId60" Type="http://schemas.openxmlformats.org/officeDocument/2006/relationships/image" Target="media/image35.emf"/><Relationship Id="rId65" Type="http://schemas.openxmlformats.org/officeDocument/2006/relationships/image" Target="media/image40.emf"/><Relationship Id="rId73" Type="http://schemas.openxmlformats.org/officeDocument/2006/relationships/image" Target="media/image48.emf"/><Relationship Id="rId78" Type="http://schemas.openxmlformats.org/officeDocument/2006/relationships/image" Target="media/image53.emf"/><Relationship Id="rId81" Type="http://schemas.openxmlformats.org/officeDocument/2006/relationships/image" Target="media/image56.emf"/><Relationship Id="rId86" Type="http://schemas.openxmlformats.org/officeDocument/2006/relationships/image" Target="media/image61.emf"/><Relationship Id="rId94" Type="http://schemas.openxmlformats.org/officeDocument/2006/relationships/image" Target="media/image69.emf"/><Relationship Id="rId99" Type="http://schemas.openxmlformats.org/officeDocument/2006/relationships/image" Target="media/image74.emf"/><Relationship Id="rId10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image" Target="media/image4.png"/><Relationship Id="rId39" Type="http://schemas.openxmlformats.org/officeDocument/2006/relationships/header" Target="header3.xml"/></Relationships>
</file>

<file path=word/_rels/endnotes.xml.rels><?xml version="1.0" encoding="UTF-8" standalone="yes"?>
<Relationships xmlns="http://schemas.openxmlformats.org/package/2006/relationships"><Relationship Id="rId8" Type="http://schemas.openxmlformats.org/officeDocument/2006/relationships/hyperlink" Target="https://www.superannuation.asn.au/ArticleDocuments/359/1710_Superannuation_account_balances_by_age_and_gender.pdf.aspx?Embed=Y" TargetMode="External"/><Relationship Id="rId13" Type="http://schemas.openxmlformats.org/officeDocument/2006/relationships/hyperlink" Target="https://www.dss.gov.au/about-the-department/publications-articles/research-publications/social-policy-research-paper-series/number-41-asset-rich-but-income-poor-australian-housing-wealth-and-retirement?HTML" TargetMode="External"/><Relationship Id="rId18" Type="http://schemas.openxmlformats.org/officeDocument/2006/relationships/hyperlink" Target="http://www.tamborinemountainshow.com/pdf/housing-decisions-older-australians.pdf" TargetMode="External"/><Relationship Id="rId26" Type="http://schemas.openxmlformats.org/officeDocument/2006/relationships/hyperlink" Target="https://www.advancecareplanning.org.au/" TargetMode="External"/><Relationship Id="rId3" Type="http://schemas.openxmlformats.org/officeDocument/2006/relationships/hyperlink" Target="https://agedcare.health.gov.au/reform/aged-care-financing-authority/2018-acfa-annual-report-on-funding-and-financing-of-the-aged-care-sector" TargetMode="External"/><Relationship Id="rId21" Type="http://schemas.openxmlformats.org/officeDocument/2006/relationships/hyperlink" Target="https://www.moneysmart.gov.au/life-events-and-you/over-55s/supporting-older-australians" TargetMode="External"/><Relationship Id="rId34" Type="http://schemas.openxmlformats.org/officeDocument/2006/relationships/hyperlink" Target="https://agedcare.health.gov.au/sites/g/files/net1426/f/documents/05_2014/info_booklet_roadshow.pdf" TargetMode="External"/><Relationship Id="rId7" Type="http://schemas.openxmlformats.org/officeDocument/2006/relationships/hyperlink" Target="file:///C:\Users\cobrien9\AppData\Local\Microsoft\Windows\INetCache\Content.Outlook\VHCKTFX5\Older%20Australians%20not%20prepared%20for%20their%20future%20aged%20care,%20https:\mccrindle.com.au\insights\blog\older-australians-not-prepared-for-their-future-age-care\" TargetMode="External"/><Relationship Id="rId12" Type="http://schemas.openxmlformats.org/officeDocument/2006/relationships/hyperlink" Target="https://www.alrc.gov.au/sites/default/files/pdfs/publications/elder_abuse_131_final_report_31_may_2017.pdf" TargetMode="External"/><Relationship Id="rId17" Type="http://schemas.openxmlformats.org/officeDocument/2006/relationships/hyperlink" Target="http://www.tamborinemountainshow.com/pdf/housing-decisions-older-australians.pdf" TargetMode="External"/><Relationship Id="rId25" Type="http://schemas.openxmlformats.org/officeDocument/2006/relationships/hyperlink" Target="https://www.moneysmart.gov.au/life-events-and-you/over-55s/elder-care-and-seniors-support%20https:/www.moneysmart.gov.au/life-events-and-you/over-55s/elder-care-and-seniors-support" TargetMode="External"/><Relationship Id="rId33" Type="http://schemas.openxmlformats.org/officeDocument/2006/relationships/hyperlink" Target="https://agedcare.health.gov.au/programs-services/residential-care/residential-respite-care" TargetMode="External"/><Relationship Id="rId2" Type="http://schemas.openxmlformats.org/officeDocument/2006/relationships/hyperlink" Target="https://treasury.gov.au/publication/2015-intergenerational-report/" TargetMode="External"/><Relationship Id="rId16" Type="http://schemas.openxmlformats.org/officeDocument/2006/relationships/hyperlink" Target="http://www.aph.gov.au/About_Parliament/Parliamentary_Departments/Parliamentary_Library/FlagPost/2015/February/The_Pension_Loans_Scheme" TargetMode="External"/><Relationship Id="rId20" Type="http://schemas.openxmlformats.org/officeDocument/2006/relationships/hyperlink" Target="https://www.humanservices.gov.au/consumerconsumers/services/financial-information-service/you-need-know/financial-information-service-officers" TargetMode="External"/><Relationship Id="rId29" Type="http://schemas.openxmlformats.org/officeDocument/2006/relationships/hyperlink" Target="https://agedcare.health.gov.au/programs-services/commonwealth-home-support-programme/about-the-commonwealth-home-support-programme" TargetMode="External"/><Relationship Id="rId1" Type="http://schemas.openxmlformats.org/officeDocument/2006/relationships/hyperlink" Target="https://agedcare.health.gov.au/reform/aged-care-financing-authority/2018-acfa-annual-report-on-funding-and-financing-of-the-aged-care-sector" TargetMode="External"/><Relationship Id="rId6" Type="http://schemas.openxmlformats.org/officeDocument/2006/relationships/hyperlink" Target="http://download.asic.gov.au/media/4416939/rep-537-published-17-august-2017.pdf" TargetMode="External"/><Relationship Id="rId11" Type="http://schemas.openxmlformats.org/officeDocument/2006/relationships/hyperlink" Target="http://www.financialhealthinstitute.com/financial-health-financial-stress-in-human-services/" TargetMode="External"/><Relationship Id="rId24" Type="http://schemas.openxmlformats.org/officeDocument/2006/relationships/hyperlink" Target="http://www.cotaact.org.au/services/community-education-programs" TargetMode="External"/><Relationship Id="rId32" Type="http://schemas.openxmlformats.org/officeDocument/2006/relationships/hyperlink" Target="https://agedcare.health.gov.au/funding/aged-care-subsidies-and-supplements/residential-respite-subsidy-and-supplements" TargetMode="External"/><Relationship Id="rId5" Type="http://schemas.openxmlformats.org/officeDocument/2006/relationships/hyperlink" Target="https://minerva-access.unimelb.edu.au/bitstream/handle/11343/116116/DownsizingDecisions%20Report.pdf?sequence=1" TargetMode="External"/><Relationship Id="rId15" Type="http://schemas.openxmlformats.org/officeDocument/2006/relationships/hyperlink" Target="http://www.investorwords.com/11655/investment_account.html" TargetMode="External"/><Relationship Id="rId23" Type="http://schemas.openxmlformats.org/officeDocument/2006/relationships/hyperlink" Target="https://www.cota.org.au/about/governance/" TargetMode="External"/><Relationship Id="rId28" Type="http://schemas.openxmlformats.org/officeDocument/2006/relationships/hyperlink" Target="https://agedcare.health.gov.au/sites/g/files/net1426/f/documents/06_2017/11742_your_guide_to_commonwealth_home_support_program_services_screen.pdf" TargetMode="External"/><Relationship Id="rId10" Type="http://schemas.openxmlformats.org/officeDocument/2006/relationships/hyperlink" Target="http://www.abs.gov.au/ausstats/abs@.nsf/Lookup/4430.0main+features402015" TargetMode="External"/><Relationship Id="rId19" Type="http://schemas.openxmlformats.org/officeDocument/2006/relationships/hyperlink" Target="https://download.asic.gov.au/media/4851420/rep-586-published-28-august-2018.pdf" TargetMode="External"/><Relationship Id="rId31" Type="http://schemas.openxmlformats.org/officeDocument/2006/relationships/hyperlink" Target="https://www.aph.gov.au/About_Parliament/Parliamentary_Departments/Parliamentary_Library/pubs/rp/rp1617/Quick_Guides/Aged_Care_a_quick_guide" TargetMode="External"/><Relationship Id="rId4" Type="http://schemas.openxmlformats.org/officeDocument/2006/relationships/hyperlink" Target="https://nationalseniors.com.au/uploads/01182863PAR_HopeForTheBest_Report_FN.pdf" TargetMode="External"/><Relationship Id="rId9" Type="http://schemas.openxmlformats.org/officeDocument/2006/relationships/hyperlink" Target="http://www.abs.gov.au/ausstats/abs@.nsf/Lookup/2071.0main+features22016" TargetMode="External"/><Relationship Id="rId14" Type="http://schemas.openxmlformats.org/officeDocument/2006/relationships/hyperlink" Target="https://www.dss.gov.au/our-responsibilities/seniors/benefits-payments/pension-loans-scheme" TargetMode="External"/><Relationship Id="rId22" Type="http://schemas.openxmlformats.org/officeDocument/2006/relationships/hyperlink" Target="https://nationalseniors.com.au/about" TargetMode="External"/><Relationship Id="rId27" Type="http://schemas.openxmlformats.org/officeDocument/2006/relationships/hyperlink" Target="https://www.moneysmart.gov.au/investing/financial-advice/financial-advice-toolkit" TargetMode="External"/><Relationship Id="rId30" Type="http://schemas.openxmlformats.org/officeDocument/2006/relationships/hyperlink" Target="https://agedcare.health.gov.au/sites/g/files/net1426/f/documents/05_2014/info_booklet_roadshow.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category xmlns="afb5d960-bb3a-4a93-9657-1be85aa79ac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890A3A1768FFC4D9ECBFF24A78AB024" ma:contentTypeVersion="1" ma:contentTypeDescription="Create a new document." ma:contentTypeScope="" ma:versionID="c50667885ba32acfd5ec7712beaf9091">
  <xsd:schema xmlns:xsd="http://www.w3.org/2001/XMLSchema" xmlns:xs="http://www.w3.org/2001/XMLSchema" xmlns:p="http://schemas.microsoft.com/office/2006/metadata/properties" xmlns:ns2="afb5d960-bb3a-4a93-9657-1be85aa79ace" targetNamespace="http://schemas.microsoft.com/office/2006/metadata/properties" ma:root="true" ma:fieldsID="71d936c8d8c0e50dba0745fe467996f9" ns2:_="">
    <xsd:import namespace="afb5d960-bb3a-4a93-9657-1be85aa79ace"/>
    <xsd:element name="properties">
      <xsd:complexType>
        <xsd:sequence>
          <xsd:element name="documentManagement">
            <xsd:complexType>
              <xsd:all>
                <xsd:element ref="ns2:Document_x0020_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b5d960-bb3a-4a93-9657-1be85aa79ace" elementFormDefault="qualified">
    <xsd:import namespace="http://schemas.microsoft.com/office/2006/documentManagement/types"/>
    <xsd:import namespace="http://schemas.microsoft.com/office/infopath/2007/PartnerControls"/>
    <xsd:element name="Document_x0020_category" ma:index="8" nillable="true" ma:displayName="Document category" ma:format="Dropdown" ma:indexed="true" ma:internalName="Document_x0020_category">
      <xsd:simpleType>
        <xsd:restriction base="dms:Choice">
          <xsd:enumeration value="Five Year Review"/>
          <xsd:enumeration value="Branch Planning"/>
          <xsd:enumeration value="Additional Service Fees - Legislation"/>
          <xsd:enumeration value="Additional Service Fees - Litigation"/>
          <xsd:enumeration value="Additional Service Fees - Policy &amp; Briefing"/>
          <xsd:enumeration value="ACFA Report - Five Year Review"/>
          <xsd:enumeration value="Consumer Financing Project - Submissions &amp; Briefings"/>
          <xsd:enumeration value="Consumer Financing Project - ACFA Meetings"/>
          <xsd:enumeration value="Consumer Financing Project - Procurement"/>
          <xsd:enumeration value="Consumer Financing Project - Project Planning"/>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25899B-19DB-460C-9FB0-D0FE453C92F4}">
  <ds:schemaRefs>
    <ds:schemaRef ds:uri="http://schemas.microsoft.com/sharepoint/v3/contenttype/forms"/>
  </ds:schemaRefs>
</ds:datastoreItem>
</file>

<file path=customXml/itemProps2.xml><?xml version="1.0" encoding="utf-8"?>
<ds:datastoreItem xmlns:ds="http://schemas.openxmlformats.org/officeDocument/2006/customXml" ds:itemID="{B05D20E7-125A-4211-B4D1-6D03BA8007FE}">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afb5d960-bb3a-4a93-9657-1be85aa79ace"/>
    <ds:schemaRef ds:uri="http://www.w3.org/XML/1998/namespace"/>
  </ds:schemaRefs>
</ds:datastoreItem>
</file>

<file path=customXml/itemProps3.xml><?xml version="1.0" encoding="utf-8"?>
<ds:datastoreItem xmlns:ds="http://schemas.openxmlformats.org/officeDocument/2006/customXml" ds:itemID="{64415FCB-D2EF-4CEB-AACF-29CBF51E6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b5d960-bb3a-4a93-9657-1be85aa79a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4325BA-6217-40E4-86A8-7EB129AA3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122</Pages>
  <Words>32278</Words>
  <Characters>183988</Characters>
  <Application>Microsoft Office Word</Application>
  <DocSecurity>0</DocSecurity>
  <Lines>1533</Lines>
  <Paragraphs>431</Paragraphs>
  <ScaleCrop>false</ScaleCrop>
  <HeadingPairs>
    <vt:vector size="2" baseType="variant">
      <vt:variant>
        <vt:lpstr>Title</vt:lpstr>
      </vt:variant>
      <vt:variant>
        <vt:i4>1</vt:i4>
      </vt:variant>
    </vt:vector>
  </HeadingPairs>
  <TitlesOfParts>
    <vt:vector size="1" baseType="lpstr">
      <vt:lpstr/>
    </vt:vector>
  </TitlesOfParts>
  <Company>KPMG</Company>
  <LinksUpToDate>false</LinksUpToDate>
  <CharactersWithSpaces>215835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Aged Care Financing Authority — Understanding how consumers plan and finance aged care</dc:title>
  <dc:subject>Aged Care</dc:subject>
  <dc:creator>Department of Health</dc:creator>
  <cp:keywords>Aged Care Financing Authority ; Finance; Aged Care; Health Practitioner Service Review</cp:keywords>
  <cp:lastModifiedBy>Maschke, Elvia</cp:lastModifiedBy>
  <cp:revision>12</cp:revision>
  <cp:lastPrinted>2018-12-18T22:48:00Z</cp:lastPrinted>
  <dcterms:created xsi:type="dcterms:W3CDTF">2018-12-17T06:21:00Z</dcterms:created>
  <dcterms:modified xsi:type="dcterms:W3CDTF">2019-11-27T05:32:00Z</dcterms:modified>
</cp:coreProperties>
</file>