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7E" w:rsidRDefault="0080347E" w:rsidP="0080347E">
      <w:pPr>
        <w:jc w:val="center"/>
        <w:rPr>
          <w:b/>
          <w:sz w:val="28"/>
          <w:szCs w:val="28"/>
        </w:rPr>
      </w:pPr>
      <w:bookmarkStart w:id="0" w:name="imageHolder"/>
      <w:bookmarkEnd w:id="0"/>
      <w:r w:rsidRPr="00D912DB">
        <w:rPr>
          <w:noProof/>
          <w:sz w:val="28"/>
          <w:szCs w:val="28"/>
          <w:lang w:eastAsia="en-AU"/>
        </w:rPr>
        <w:drawing>
          <wp:inline distT="0" distB="0" distL="0" distR="0">
            <wp:extent cx="1605280" cy="1064895"/>
            <wp:effectExtent l="0" t="0" r="0" b="1905"/>
            <wp:docPr id="1" name="Picture 1"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5280" cy="1064895"/>
                    </a:xfrm>
                    <a:prstGeom prst="rect">
                      <a:avLst/>
                    </a:prstGeom>
                  </pic:spPr>
                </pic:pic>
              </a:graphicData>
            </a:graphic>
          </wp:inline>
        </w:drawing>
      </w:r>
    </w:p>
    <w:p w:rsidR="00AB170E" w:rsidRPr="00AB170E" w:rsidRDefault="00AB170E" w:rsidP="00E648F6">
      <w:pPr>
        <w:pStyle w:val="Heading1"/>
        <w:jc w:val="center"/>
        <w:rPr>
          <w:rFonts w:ascii="Times New Roman" w:hAnsi="Times New Roman" w:cs="Times New Roman"/>
          <w:color w:val="FF0000"/>
          <w:sz w:val="24"/>
          <w:szCs w:val="24"/>
        </w:rPr>
      </w:pPr>
      <w:r w:rsidRPr="00AB170E">
        <w:rPr>
          <w:rFonts w:ascii="Times New Roman" w:hAnsi="Times New Roman" w:cs="Times New Roman"/>
          <w:color w:val="FF0000"/>
          <w:sz w:val="24"/>
          <w:szCs w:val="24"/>
        </w:rPr>
        <w:t>Disclaimer: This document is currently under review</w:t>
      </w:r>
    </w:p>
    <w:p w:rsidR="00636CCA" w:rsidRPr="00FC4B7B" w:rsidRDefault="0080347E" w:rsidP="00E648F6">
      <w:pPr>
        <w:pStyle w:val="Heading1"/>
        <w:jc w:val="center"/>
        <w:rPr>
          <w:rFonts w:ascii="Times New Roman" w:hAnsi="Times New Roman" w:cs="Times New Roman"/>
          <w:sz w:val="27"/>
          <w:szCs w:val="27"/>
        </w:rPr>
      </w:pPr>
      <w:r w:rsidRPr="00FC4B7B">
        <w:rPr>
          <w:rFonts w:ascii="Times New Roman" w:hAnsi="Times New Roman" w:cs="Times New Roman"/>
          <w:sz w:val="27"/>
          <w:szCs w:val="27"/>
        </w:rPr>
        <w:t>Notification requirement for the National Cervical Screening Program (NCSP)</w:t>
      </w:r>
    </w:p>
    <w:p w:rsidR="0080347E" w:rsidRPr="00FC4B7B" w:rsidRDefault="00636CCA" w:rsidP="00FC4B7B">
      <w:pPr>
        <w:pStyle w:val="Heading1"/>
        <w:spacing w:before="120"/>
        <w:jc w:val="center"/>
        <w:rPr>
          <w:rFonts w:ascii="Times New Roman" w:hAnsi="Times New Roman" w:cs="Times New Roman"/>
          <w:sz w:val="27"/>
          <w:szCs w:val="27"/>
        </w:rPr>
      </w:pPr>
      <w:r w:rsidRPr="00FC4B7B">
        <w:rPr>
          <w:rFonts w:ascii="Times New Roman" w:hAnsi="Times New Roman" w:cs="Times New Roman"/>
          <w:sz w:val="27"/>
          <w:szCs w:val="27"/>
        </w:rPr>
        <w:t>Frequently Asked Questions (FAQs)</w:t>
      </w:r>
      <w:r w:rsidR="0080347E" w:rsidRPr="00FC4B7B">
        <w:rPr>
          <w:rFonts w:ascii="Times New Roman" w:hAnsi="Times New Roman" w:cs="Times New Roman"/>
          <w:sz w:val="27"/>
          <w:szCs w:val="27"/>
        </w:rPr>
        <w:t xml:space="preserve"> for Pathology </w:t>
      </w:r>
      <w:r w:rsidR="005C3712" w:rsidRPr="00FC4B7B">
        <w:rPr>
          <w:rFonts w:ascii="Times New Roman" w:hAnsi="Times New Roman" w:cs="Times New Roman"/>
          <w:sz w:val="27"/>
          <w:szCs w:val="27"/>
        </w:rPr>
        <w:t>Practitioners</w:t>
      </w:r>
    </w:p>
    <w:p w:rsidR="0080347E" w:rsidRDefault="0080347E" w:rsidP="0080347E"/>
    <w:p w:rsidR="0080347E" w:rsidRDefault="0080347E" w:rsidP="0080347E">
      <w:r w:rsidRPr="00137BA1">
        <w:t xml:space="preserve">1 December 2017 marks the commencement of the renewed NCSP </w:t>
      </w:r>
      <w:r>
        <w:t>which will be supported by the</w:t>
      </w:r>
      <w:r w:rsidRPr="00137BA1">
        <w:t xml:space="preserve"> National Cancer Screening Register (</w:t>
      </w:r>
      <w:r w:rsidR="00803CF7">
        <w:t>the Register</w:t>
      </w:r>
      <w:r w:rsidRPr="00137BA1">
        <w:t>)</w:t>
      </w:r>
      <w:r>
        <w:t>.</w:t>
      </w:r>
    </w:p>
    <w:p w:rsidR="0080347E" w:rsidRDefault="0080347E" w:rsidP="0080347E"/>
    <w:p w:rsidR="0080347E" w:rsidRPr="00027264" w:rsidRDefault="0080347E" w:rsidP="0080347E">
      <w:r w:rsidRPr="00027264">
        <w:t xml:space="preserve">From 1 December 2017, </w:t>
      </w:r>
      <w:r>
        <w:t xml:space="preserve">pathology </w:t>
      </w:r>
      <w:r w:rsidR="003A7E18">
        <w:t>practi</w:t>
      </w:r>
      <w:r w:rsidR="008A5243">
        <w:t>ti</w:t>
      </w:r>
      <w:r w:rsidR="003A7E18">
        <w:t>oners</w:t>
      </w:r>
      <w:r>
        <w:t xml:space="preserve"> </w:t>
      </w:r>
      <w:r w:rsidRPr="00027264">
        <w:t xml:space="preserve">will be required to notify prescribed cervical screening information to the Commonwealth Chief Medical Officer (CMO) through the </w:t>
      </w:r>
      <w:r w:rsidR="00803CF7">
        <w:t>Register</w:t>
      </w:r>
      <w:r w:rsidR="00E648F6">
        <w:t>.</w:t>
      </w:r>
    </w:p>
    <w:p w:rsidR="0080347E" w:rsidRDefault="0080347E" w:rsidP="0080347E"/>
    <w:p w:rsidR="00636CCA" w:rsidRPr="00FC4B7B" w:rsidRDefault="00184AF6" w:rsidP="00FC4B7B">
      <w:pPr>
        <w:pStyle w:val="Heading2"/>
        <w:rPr>
          <w:rFonts w:ascii="Times New Roman" w:hAnsi="Times New Roman" w:cs="Times New Roman"/>
          <w:i w:val="0"/>
          <w:u w:val="single"/>
        </w:rPr>
      </w:pPr>
      <w:r w:rsidRPr="00FC4B7B">
        <w:rPr>
          <w:rFonts w:ascii="Times New Roman" w:hAnsi="Times New Roman" w:cs="Times New Roman"/>
          <w:i w:val="0"/>
          <w:u w:val="single"/>
        </w:rPr>
        <w:t>T</w:t>
      </w:r>
      <w:r w:rsidR="00636CCA" w:rsidRPr="00FC4B7B">
        <w:rPr>
          <w:rFonts w:ascii="Times New Roman" w:hAnsi="Times New Roman" w:cs="Times New Roman"/>
          <w:i w:val="0"/>
          <w:u w:val="single"/>
        </w:rPr>
        <w:t>he Rules</w:t>
      </w:r>
    </w:p>
    <w:p w:rsidR="0080347E" w:rsidRPr="00395068" w:rsidRDefault="0080347E" w:rsidP="00FC4B7B">
      <w:pPr>
        <w:pStyle w:val="Heading3"/>
        <w:rPr>
          <w:rFonts w:ascii="Times New Roman" w:hAnsi="Times New Roman" w:cs="Times New Roman"/>
          <w:b/>
          <w:i/>
          <w:color w:val="0F243E" w:themeColor="text2" w:themeShade="80"/>
        </w:rPr>
      </w:pPr>
      <w:r w:rsidRPr="00395068">
        <w:rPr>
          <w:rFonts w:ascii="Times New Roman" w:hAnsi="Times New Roman" w:cs="Times New Roman"/>
          <w:b/>
          <w:i/>
          <w:color w:val="0F243E" w:themeColor="text2" w:themeShade="80"/>
        </w:rPr>
        <w:t>What is the legal basis for mandatory notification of cervical screening information?</w:t>
      </w:r>
    </w:p>
    <w:p w:rsidR="0080347E" w:rsidRDefault="0080347E" w:rsidP="0080347E">
      <w:r>
        <w:t xml:space="preserve">The </w:t>
      </w:r>
      <w:r w:rsidRPr="0046178C">
        <w:rPr>
          <w:i/>
        </w:rPr>
        <w:t>National Cancer Screening Register Act 2016</w:t>
      </w:r>
      <w:r>
        <w:t xml:space="preserve"> (the</w:t>
      </w:r>
      <w:r w:rsidR="00B03461">
        <w:t xml:space="preserve"> NCSR</w:t>
      </w:r>
      <w:r>
        <w:t xml:space="preserve"> Act) </w:t>
      </w:r>
      <w:r w:rsidRPr="00ED35EF">
        <w:t xml:space="preserve">includes a requirement for </w:t>
      </w:r>
      <w:r w:rsidR="00FD71B9">
        <w:t>certain</w:t>
      </w:r>
      <w:r w:rsidRPr="00ED35EF">
        <w:t xml:space="preserve"> individual healthcare providers to notify </w:t>
      </w:r>
      <w:r>
        <w:t xml:space="preserve">cervical </w:t>
      </w:r>
      <w:r w:rsidRPr="00ED35EF">
        <w:t xml:space="preserve">screening </w:t>
      </w:r>
      <w:r>
        <w:t>information</w:t>
      </w:r>
      <w:r w:rsidRPr="00ED35EF">
        <w:t xml:space="preserve"> </w:t>
      </w:r>
      <w:r>
        <w:t xml:space="preserve">to </w:t>
      </w:r>
      <w:r w:rsidRPr="00ED35EF">
        <w:t xml:space="preserve">the </w:t>
      </w:r>
      <w:r>
        <w:t>CMO</w:t>
      </w:r>
      <w:r w:rsidRPr="00355B87">
        <w:t xml:space="preserve"> </w:t>
      </w:r>
      <w:r w:rsidR="00B567AE">
        <w:t>within</w:t>
      </w:r>
      <w:r w:rsidR="00FD71B9">
        <w:t xml:space="preserve"> a specified </w:t>
      </w:r>
      <w:r w:rsidRPr="00ED35EF">
        <w:t>timeframe.</w:t>
      </w:r>
      <w:r>
        <w:t xml:space="preserve">  </w:t>
      </w:r>
      <w:r w:rsidR="00DE1B28" w:rsidRPr="00DE1B28">
        <w:t xml:space="preserve">The </w:t>
      </w:r>
      <w:r w:rsidR="00803CF7">
        <w:t>Register</w:t>
      </w:r>
      <w:r w:rsidR="00DE1B28" w:rsidRPr="00DE1B28">
        <w:t xml:space="preserve"> provides the capability for pathology practitioners to notify prescribed information to the CMO in an approved form</w:t>
      </w:r>
      <w:r w:rsidR="00DE1B28">
        <w:t>.</w:t>
      </w:r>
      <w:r w:rsidR="00DE1B28" w:rsidRPr="00DE1B28">
        <w:t xml:space="preserve"> </w:t>
      </w:r>
      <w:r>
        <w:t xml:space="preserve">The details of the information to be notified to the </w:t>
      </w:r>
      <w:r w:rsidR="00803CF7">
        <w:t xml:space="preserve">Register </w:t>
      </w:r>
      <w:r>
        <w:t xml:space="preserve">are </w:t>
      </w:r>
      <w:r w:rsidR="00AC1A6C">
        <w:t xml:space="preserve">intended to be </w:t>
      </w:r>
      <w:r w:rsidR="00580F2D">
        <w:t>contained</w:t>
      </w:r>
      <w:r>
        <w:t xml:space="preserve"> in the</w:t>
      </w:r>
      <w:r w:rsidR="00580F2D">
        <w:t xml:space="preserve"> </w:t>
      </w:r>
      <w:r w:rsidR="00580F2D" w:rsidRPr="00580F2D">
        <w:t>legislative instrument</w:t>
      </w:r>
      <w:r w:rsidR="00580F2D">
        <w:t>, the</w:t>
      </w:r>
      <w:r>
        <w:t xml:space="preserve"> National Cancer Screening Register Rules 2017 (the Rules).</w:t>
      </w:r>
      <w:r w:rsidRPr="00ED35EF">
        <w:t xml:space="preserve"> </w:t>
      </w:r>
    </w:p>
    <w:p w:rsidR="0080347E" w:rsidRPr="00395068" w:rsidRDefault="0080347E" w:rsidP="00FC4B7B">
      <w:pPr>
        <w:pStyle w:val="Heading3"/>
        <w:rPr>
          <w:rFonts w:ascii="Times New Roman" w:hAnsi="Times New Roman" w:cs="Times New Roman"/>
          <w:b/>
          <w:i/>
          <w:color w:val="0F243E" w:themeColor="text2" w:themeShade="80"/>
        </w:rPr>
      </w:pPr>
      <w:r w:rsidRPr="00395068">
        <w:rPr>
          <w:rFonts w:ascii="Times New Roman" w:hAnsi="Times New Roman" w:cs="Times New Roman"/>
          <w:b/>
          <w:i/>
          <w:color w:val="0F243E" w:themeColor="text2" w:themeShade="80"/>
        </w:rPr>
        <w:t>What is the purpose of the Rules?</w:t>
      </w:r>
    </w:p>
    <w:p w:rsidR="0080347E" w:rsidRDefault="0080347E" w:rsidP="0080347E">
      <w:pPr>
        <w:pStyle w:val="ListParagraph"/>
        <w:ind w:left="0"/>
      </w:pPr>
      <w:r>
        <w:t xml:space="preserve">The Rules provide a legislative basis for the collection of </w:t>
      </w:r>
      <w:r w:rsidRPr="00ED35EF">
        <w:t>individuals’</w:t>
      </w:r>
      <w:r w:rsidR="00345F9B">
        <w:t xml:space="preserve"> cervical</w:t>
      </w:r>
      <w:r>
        <w:t xml:space="preserve"> screening test results, </w:t>
      </w:r>
      <w:r w:rsidRPr="00ED35EF">
        <w:t>results of relevant follow-up procedures up to and including the diag</w:t>
      </w:r>
      <w:r>
        <w:t xml:space="preserve">nosis (or clearance) of cancer, and treatment in relation to pre-cancerous abnormalities </w:t>
      </w:r>
      <w:r w:rsidRPr="00ED35EF">
        <w:t xml:space="preserve">to be </w:t>
      </w:r>
      <w:r>
        <w:t>notified</w:t>
      </w:r>
      <w:r w:rsidRPr="00ED35EF">
        <w:t xml:space="preserve"> to the </w:t>
      </w:r>
      <w:r w:rsidR="00803CF7">
        <w:t>Register</w:t>
      </w:r>
      <w:r w:rsidRPr="00ED35EF">
        <w:t>.</w:t>
      </w:r>
    </w:p>
    <w:p w:rsidR="00E648F6" w:rsidRDefault="00E648F6" w:rsidP="0080347E">
      <w:pPr>
        <w:pStyle w:val="ListParagraph"/>
        <w:ind w:left="0"/>
      </w:pPr>
    </w:p>
    <w:p w:rsidR="00B567AE" w:rsidRPr="00580F2D" w:rsidRDefault="00B567AE" w:rsidP="00B567AE">
      <w:pPr>
        <w:spacing w:after="120"/>
      </w:pPr>
      <w:r w:rsidRPr="00580F2D">
        <w:t xml:space="preserve">The Rules have been developed </w:t>
      </w:r>
      <w:r>
        <w:t>to implement the</w:t>
      </w:r>
      <w:r w:rsidRPr="00580F2D">
        <w:t xml:space="preserve"> mandatory notification to the CMO under section 13 of the NCSR Act</w:t>
      </w:r>
      <w:r>
        <w:t xml:space="preserve"> and </w:t>
      </w:r>
      <w:r w:rsidRPr="00580F2D">
        <w:t>prescribe the types of cervical ‘screening tests’ and, for each type of screening test:</w:t>
      </w:r>
    </w:p>
    <w:p w:rsidR="00B567AE" w:rsidRPr="00580F2D" w:rsidRDefault="00B567AE" w:rsidP="00B567AE">
      <w:pPr>
        <w:numPr>
          <w:ilvl w:val="0"/>
          <w:numId w:val="19"/>
        </w:numPr>
      </w:pPr>
      <w:r w:rsidRPr="00580F2D">
        <w:t>the individual healthcare provider who must notify the information; and</w:t>
      </w:r>
    </w:p>
    <w:p w:rsidR="00B567AE" w:rsidRPr="00580F2D" w:rsidRDefault="00B567AE" w:rsidP="00B567AE">
      <w:pPr>
        <w:numPr>
          <w:ilvl w:val="0"/>
          <w:numId w:val="19"/>
        </w:numPr>
      </w:pPr>
      <w:r w:rsidRPr="00580F2D">
        <w:t>the information that must be notified to the CMO through the</w:t>
      </w:r>
      <w:r>
        <w:t xml:space="preserve"> Register</w:t>
      </w:r>
      <w:r w:rsidRPr="00580F2D">
        <w:t>; and</w:t>
      </w:r>
    </w:p>
    <w:p w:rsidR="00B567AE" w:rsidRDefault="00B567AE" w:rsidP="000E7FA5">
      <w:pPr>
        <w:pStyle w:val="ListParagraph"/>
        <w:numPr>
          <w:ilvl w:val="0"/>
          <w:numId w:val="19"/>
        </w:numPr>
      </w:pPr>
      <w:proofErr w:type="gramStart"/>
      <w:r w:rsidRPr="00580F2D">
        <w:t>the</w:t>
      </w:r>
      <w:proofErr w:type="gramEnd"/>
      <w:r w:rsidRPr="00580F2D">
        <w:t xml:space="preserve"> timeframe </w:t>
      </w:r>
      <w:r>
        <w:t xml:space="preserve">for notifying </w:t>
      </w:r>
      <w:r w:rsidRPr="00580F2D">
        <w:t>the information</w:t>
      </w:r>
      <w:r>
        <w:t>.</w:t>
      </w:r>
    </w:p>
    <w:p w:rsidR="0080347E" w:rsidRDefault="0080347E" w:rsidP="0080347E">
      <w:pPr>
        <w:pStyle w:val="ListParagraph"/>
        <w:ind w:left="0"/>
      </w:pPr>
      <w:r>
        <w:t xml:space="preserve">The notification requirement supports the screening </w:t>
      </w:r>
      <w:r w:rsidR="00C8414C">
        <w:t>processes and clinical pathways and</w:t>
      </w:r>
      <w:r>
        <w:t xml:space="preserve"> the monitoring of program quality, safety and effectiveness</w:t>
      </w:r>
      <w:r w:rsidR="00C8414C">
        <w:t>,</w:t>
      </w:r>
      <w:r>
        <w:t xml:space="preserve"> and</w:t>
      </w:r>
      <w:r w:rsidR="00C8414C">
        <w:t xml:space="preserve"> provides a</w:t>
      </w:r>
      <w:r>
        <w:t xml:space="preserve"> safety net function</w:t>
      </w:r>
      <w:r w:rsidR="00C8414C">
        <w:t xml:space="preserve"> for the renewed NCSP</w:t>
      </w:r>
      <w:r>
        <w:t>.</w:t>
      </w:r>
    </w:p>
    <w:p w:rsidR="00C05786" w:rsidRPr="00FC4B7B" w:rsidRDefault="00C05786" w:rsidP="00FC4B7B">
      <w:pPr>
        <w:pStyle w:val="Heading2"/>
        <w:rPr>
          <w:rFonts w:ascii="Times New Roman" w:hAnsi="Times New Roman" w:cs="Times New Roman"/>
          <w:i w:val="0"/>
          <w:u w:val="single"/>
        </w:rPr>
      </w:pPr>
      <w:r w:rsidRPr="00FC4B7B">
        <w:rPr>
          <w:rFonts w:ascii="Times New Roman" w:hAnsi="Times New Roman" w:cs="Times New Roman"/>
          <w:i w:val="0"/>
          <w:u w:val="single"/>
        </w:rPr>
        <w:t>Prescribed healthcare provider</w:t>
      </w:r>
    </w:p>
    <w:p w:rsidR="00336368" w:rsidRPr="00395068" w:rsidRDefault="00336368" w:rsidP="00FC4B7B">
      <w:pPr>
        <w:pStyle w:val="Heading3"/>
        <w:rPr>
          <w:rFonts w:ascii="Times New Roman" w:hAnsi="Times New Roman" w:cs="Times New Roman"/>
          <w:b/>
          <w:i/>
          <w:color w:val="0F243E" w:themeColor="text2" w:themeShade="80"/>
        </w:rPr>
      </w:pPr>
      <w:r w:rsidRPr="00395068">
        <w:rPr>
          <w:rFonts w:ascii="Times New Roman" w:hAnsi="Times New Roman" w:cs="Times New Roman"/>
          <w:b/>
          <w:i/>
          <w:color w:val="0F243E" w:themeColor="text2" w:themeShade="80"/>
        </w:rPr>
        <w:t>How do I know if I need to notify information to the CMO?</w:t>
      </w:r>
    </w:p>
    <w:p w:rsidR="00840987" w:rsidRPr="00840987" w:rsidRDefault="00840987" w:rsidP="00840987">
      <w:r w:rsidRPr="00840987">
        <w:t xml:space="preserve">Mandatory notification applies where an individual healthcare provider, or approved pathology practitioner who is an individual healthcare provider, undertakes a type of screening test associated with cervical cancer. </w:t>
      </w:r>
      <w:r>
        <w:t xml:space="preserve"> </w:t>
      </w:r>
      <w:r w:rsidRPr="00840987">
        <w:t>For path</w:t>
      </w:r>
      <w:r>
        <w:t>ology</w:t>
      </w:r>
      <w:r w:rsidRPr="00840987">
        <w:t xml:space="preserve"> lab</w:t>
      </w:r>
      <w:r>
        <w:t>oratory</w:t>
      </w:r>
      <w:r w:rsidRPr="00840987">
        <w:t xml:space="preserve"> notification, a screening test includes a HPV test, a </w:t>
      </w:r>
      <w:r w:rsidRPr="00840987">
        <w:lastRenderedPageBreak/>
        <w:t>cytology test or a histopathology test carried out in an accredited pathology laboratory, and that screening test is a pathology service of a kind for which the laboratory is accredited.</w:t>
      </w:r>
    </w:p>
    <w:p w:rsidR="00495845" w:rsidRDefault="00495845" w:rsidP="0080347E"/>
    <w:p w:rsidR="005C2F4C" w:rsidRPr="005C2F4C" w:rsidRDefault="005C2F4C" w:rsidP="005C2F4C">
      <w:r w:rsidRPr="005C2F4C">
        <w:t>The NCSR Act defines an individual healthcare provider as an individual who:</w:t>
      </w:r>
    </w:p>
    <w:p w:rsidR="005C2F4C" w:rsidRPr="005C2F4C" w:rsidRDefault="005C2F4C" w:rsidP="005C2F4C">
      <w:r w:rsidRPr="005C2F4C">
        <w:t xml:space="preserve">(a) </w:t>
      </w:r>
      <w:proofErr w:type="gramStart"/>
      <w:r w:rsidRPr="005C2F4C">
        <w:t>has</w:t>
      </w:r>
      <w:proofErr w:type="gramEnd"/>
      <w:r w:rsidRPr="005C2F4C">
        <w:t xml:space="preserve"> provided, provides , or is to provide, healthcare; or </w:t>
      </w:r>
    </w:p>
    <w:p w:rsidR="005C2F4C" w:rsidRPr="005C2F4C" w:rsidRDefault="005C2F4C" w:rsidP="005C2F4C">
      <w:r w:rsidRPr="005C2F4C">
        <w:t xml:space="preserve">(b) </w:t>
      </w:r>
      <w:proofErr w:type="gramStart"/>
      <w:r w:rsidRPr="005C2F4C">
        <w:t>is</w:t>
      </w:r>
      <w:proofErr w:type="gramEnd"/>
      <w:r w:rsidRPr="005C2F4C">
        <w:t xml:space="preserve"> registered by a registration authority as a member of a particular health profession.</w:t>
      </w:r>
    </w:p>
    <w:p w:rsidR="005C2F4C" w:rsidRPr="005C2F4C" w:rsidRDefault="005C2F4C" w:rsidP="005C2F4C"/>
    <w:p w:rsidR="00336368" w:rsidRDefault="00840987" w:rsidP="0080347E">
      <w:r w:rsidRPr="00840987">
        <w:rPr>
          <w:i/>
        </w:rPr>
        <w:t>Approved pathology practitioner</w:t>
      </w:r>
      <w:r>
        <w:t xml:space="preserve">, </w:t>
      </w:r>
      <w:r w:rsidRPr="00840987">
        <w:rPr>
          <w:i/>
        </w:rPr>
        <w:t>accredited pathology laboratory</w:t>
      </w:r>
      <w:r>
        <w:t xml:space="preserve"> and </w:t>
      </w:r>
      <w:r w:rsidRPr="00840987">
        <w:rPr>
          <w:i/>
        </w:rPr>
        <w:t>pathology service</w:t>
      </w:r>
      <w:r>
        <w:t xml:space="preserve"> have the same meaning as in the </w:t>
      </w:r>
      <w:r w:rsidRPr="00840987">
        <w:rPr>
          <w:i/>
        </w:rPr>
        <w:t>Health Insurance Act 1973</w:t>
      </w:r>
      <w:r w:rsidR="00F51A91">
        <w:rPr>
          <w:i/>
        </w:rPr>
        <w:t xml:space="preserve"> </w:t>
      </w:r>
      <w:r w:rsidR="00F51A91" w:rsidRPr="00F51A91">
        <w:t>(the HI Act</w:t>
      </w:r>
      <w:r w:rsidR="00F51A91">
        <w:rPr>
          <w:i/>
        </w:rPr>
        <w:t>)</w:t>
      </w:r>
      <w:r>
        <w:t>.</w:t>
      </w:r>
    </w:p>
    <w:p w:rsidR="00EE4E1A" w:rsidRPr="00395068" w:rsidRDefault="00EE4E1A" w:rsidP="00FC4B7B">
      <w:pPr>
        <w:pStyle w:val="Heading3"/>
        <w:rPr>
          <w:rFonts w:ascii="Times New Roman" w:hAnsi="Times New Roman" w:cs="Times New Roman"/>
          <w:b/>
          <w:i/>
          <w:color w:val="0F243E" w:themeColor="text2" w:themeShade="80"/>
        </w:rPr>
      </w:pPr>
      <w:r w:rsidRPr="00395068">
        <w:rPr>
          <w:rFonts w:ascii="Times New Roman" w:hAnsi="Times New Roman" w:cs="Times New Roman"/>
          <w:b/>
          <w:i/>
          <w:color w:val="0F243E" w:themeColor="text2" w:themeShade="80"/>
        </w:rPr>
        <w:t>What if the screening test is conducted as part of a clinical trial?</w:t>
      </w:r>
    </w:p>
    <w:p w:rsidR="0018397C" w:rsidRDefault="0018397C" w:rsidP="00EE4E1A">
      <w:r>
        <w:t xml:space="preserve">Screening tests carried out as part of a clinical trial </w:t>
      </w:r>
      <w:r w:rsidR="00BA5916">
        <w:t xml:space="preserve">approved by an ethics committee (within the meaning </w:t>
      </w:r>
      <w:proofErr w:type="gramStart"/>
      <w:r w:rsidR="00BA5916">
        <w:t>of  the</w:t>
      </w:r>
      <w:proofErr w:type="gramEnd"/>
      <w:r w:rsidR="00BA5916">
        <w:t xml:space="preserve"> </w:t>
      </w:r>
      <w:r w:rsidR="00BA5916" w:rsidRPr="00BA5916">
        <w:rPr>
          <w:i/>
        </w:rPr>
        <w:t>Therapeutic Goods Act 1989</w:t>
      </w:r>
      <w:r w:rsidR="00BA5916">
        <w:rPr>
          <w:i/>
        </w:rPr>
        <w:t>)</w:t>
      </w:r>
      <w:r w:rsidR="00BA5916">
        <w:t xml:space="preserve"> </w:t>
      </w:r>
      <w:r>
        <w:t>are exempted from the man</w:t>
      </w:r>
      <w:r w:rsidR="00BA5916">
        <w:t>datory notification requirement</w:t>
      </w:r>
      <w:r w:rsidR="003C0732">
        <w:t>.</w:t>
      </w:r>
    </w:p>
    <w:p w:rsidR="00D51656" w:rsidRPr="00D51656" w:rsidRDefault="00D51656" w:rsidP="00D51656">
      <w:pPr>
        <w:pStyle w:val="Heading3"/>
        <w:rPr>
          <w:rFonts w:ascii="Times New Roman" w:hAnsi="Times New Roman" w:cs="Times New Roman"/>
          <w:bCs w:val="0"/>
          <w:szCs w:val="24"/>
        </w:rPr>
      </w:pPr>
      <w:r>
        <w:rPr>
          <w:rFonts w:ascii="Times New Roman" w:hAnsi="Times New Roman" w:cs="Times New Roman"/>
          <w:bCs w:val="0"/>
          <w:szCs w:val="24"/>
        </w:rPr>
        <w:t xml:space="preserve">As per the </w:t>
      </w:r>
      <w:r w:rsidRPr="009A6845">
        <w:rPr>
          <w:rFonts w:ascii="Times New Roman" w:hAnsi="Times New Roman" w:cs="Times New Roman"/>
          <w:bCs w:val="0"/>
          <w:i/>
          <w:szCs w:val="24"/>
        </w:rPr>
        <w:t>Therapeutic Goods Act 1989</w:t>
      </w:r>
      <w:r>
        <w:rPr>
          <w:rFonts w:ascii="Times New Roman" w:hAnsi="Times New Roman" w:cs="Times New Roman"/>
          <w:bCs w:val="0"/>
          <w:szCs w:val="24"/>
        </w:rPr>
        <w:t xml:space="preserve">, an </w:t>
      </w:r>
      <w:r w:rsidRPr="00D51656">
        <w:rPr>
          <w:rFonts w:ascii="Times New Roman" w:hAnsi="Times New Roman" w:cs="Times New Roman"/>
          <w:bCs w:val="0"/>
          <w:szCs w:val="24"/>
        </w:rPr>
        <w:t>ethics committee means a committee:</w:t>
      </w:r>
    </w:p>
    <w:p w:rsidR="00D51656" w:rsidRPr="00181148" w:rsidRDefault="00D51656" w:rsidP="00181148">
      <w:pPr>
        <w:pStyle w:val="ListParagraph"/>
        <w:numPr>
          <w:ilvl w:val="0"/>
          <w:numId w:val="22"/>
        </w:numPr>
      </w:pPr>
      <w:r w:rsidRPr="00D51656">
        <w:t>constituted and operating as an ethics committee in accordance with guidelines issued by the CEO of the National Health and Medical Research Council as in force from time to time; and</w:t>
      </w:r>
    </w:p>
    <w:p w:rsidR="00144AF5" w:rsidRDefault="00D51656" w:rsidP="00D51656">
      <w:pPr>
        <w:pStyle w:val="ListParagraph"/>
        <w:numPr>
          <w:ilvl w:val="0"/>
          <w:numId w:val="22"/>
        </w:numPr>
      </w:pPr>
      <w:proofErr w:type="gramStart"/>
      <w:r>
        <w:t>which</w:t>
      </w:r>
      <w:proofErr w:type="gramEnd"/>
      <w:r>
        <w:t xml:space="preserve"> </w:t>
      </w:r>
      <w:r w:rsidRPr="00D51656">
        <w:t xml:space="preserve">has notified its existence to the Australian Health Ethics Committee established under the </w:t>
      </w:r>
      <w:r w:rsidRPr="009A6845">
        <w:rPr>
          <w:i/>
        </w:rPr>
        <w:t>National Health and Medical Research Council Act 1992</w:t>
      </w:r>
      <w:r>
        <w:t>.</w:t>
      </w:r>
    </w:p>
    <w:p w:rsidR="00D51656" w:rsidRDefault="00D51656" w:rsidP="00144AF5">
      <w:pPr>
        <w:pStyle w:val="ListParagraph"/>
      </w:pPr>
      <w:r>
        <w:t xml:space="preserve"> </w:t>
      </w:r>
    </w:p>
    <w:p w:rsidR="00144AF5" w:rsidRPr="00D51656" w:rsidRDefault="00144AF5" w:rsidP="00144AF5">
      <w:pPr>
        <w:pStyle w:val="ListParagraph"/>
        <w:ind w:left="0"/>
      </w:pPr>
      <w:r>
        <w:t>An example of a clinical trial exempted from the notification requirement is the Compass trial.</w:t>
      </w:r>
    </w:p>
    <w:p w:rsidR="0080347E" w:rsidRPr="00395068" w:rsidRDefault="0080347E" w:rsidP="00FC4B7B">
      <w:pPr>
        <w:pStyle w:val="Heading3"/>
        <w:rPr>
          <w:rFonts w:ascii="Times New Roman" w:hAnsi="Times New Roman" w:cs="Times New Roman"/>
          <w:b/>
          <w:i/>
          <w:color w:val="0F243E" w:themeColor="text2" w:themeShade="80"/>
        </w:rPr>
      </w:pPr>
      <w:r w:rsidRPr="00395068">
        <w:rPr>
          <w:rFonts w:ascii="Times New Roman" w:hAnsi="Times New Roman" w:cs="Times New Roman"/>
          <w:b/>
          <w:i/>
          <w:color w:val="0F243E" w:themeColor="text2" w:themeShade="80"/>
        </w:rPr>
        <w:t xml:space="preserve">Who is responsible for notifying the required </w:t>
      </w:r>
      <w:r w:rsidR="0080625B" w:rsidRPr="00395068">
        <w:rPr>
          <w:rFonts w:ascii="Times New Roman" w:hAnsi="Times New Roman" w:cs="Times New Roman"/>
          <w:b/>
          <w:i/>
          <w:color w:val="0F243E" w:themeColor="text2" w:themeShade="80"/>
        </w:rPr>
        <w:t xml:space="preserve">pathology </w:t>
      </w:r>
      <w:r w:rsidRPr="00395068">
        <w:rPr>
          <w:rFonts w:ascii="Times New Roman" w:hAnsi="Times New Roman" w:cs="Times New Roman"/>
          <w:b/>
          <w:i/>
          <w:color w:val="0F243E" w:themeColor="text2" w:themeShade="80"/>
        </w:rPr>
        <w:t>information?</w:t>
      </w:r>
    </w:p>
    <w:p w:rsidR="00F02C81" w:rsidRDefault="0080625B" w:rsidP="0080347E">
      <w:pPr>
        <w:widowControl w:val="0"/>
        <w:rPr>
          <w:szCs w:val="28"/>
        </w:rPr>
      </w:pPr>
      <w:r>
        <w:rPr>
          <w:szCs w:val="28"/>
        </w:rPr>
        <w:t xml:space="preserve">The approved pathology practitioner </w:t>
      </w:r>
      <w:r w:rsidR="00F02C81">
        <w:rPr>
          <w:szCs w:val="28"/>
        </w:rPr>
        <w:t xml:space="preserve">who performs </w:t>
      </w:r>
      <w:r w:rsidRPr="0080625B">
        <w:rPr>
          <w:szCs w:val="28"/>
        </w:rPr>
        <w:t xml:space="preserve">the </w:t>
      </w:r>
      <w:r w:rsidR="00BC4F5B">
        <w:rPr>
          <w:szCs w:val="28"/>
        </w:rPr>
        <w:t>screening test (which is a pathology service)</w:t>
      </w:r>
      <w:r w:rsidRPr="0080625B">
        <w:rPr>
          <w:szCs w:val="28"/>
        </w:rPr>
        <w:t xml:space="preserve"> </w:t>
      </w:r>
      <w:r w:rsidR="00F02C81">
        <w:rPr>
          <w:szCs w:val="28"/>
        </w:rPr>
        <w:t>is responsible for notifying prescribed information to the CMO.</w:t>
      </w:r>
    </w:p>
    <w:p w:rsidR="0080347E" w:rsidRPr="00DE7AA9" w:rsidRDefault="0080347E" w:rsidP="0080347E">
      <w:pPr>
        <w:widowControl w:val="0"/>
        <w:rPr>
          <w:szCs w:val="28"/>
        </w:rPr>
      </w:pPr>
    </w:p>
    <w:p w:rsidR="008879DF" w:rsidRDefault="00DE7AA9">
      <w:r>
        <w:t>Under the Rules, a pathology service is taken to be carried out on behalf of an approved pathology practitioner if the service is rendered on behalf of the approved pathology practitioner for the purposes of the HI Act.</w:t>
      </w:r>
    </w:p>
    <w:p w:rsidR="00D7585A" w:rsidRDefault="00D7585A"/>
    <w:p w:rsidR="00DE7AA9" w:rsidRDefault="00DE7AA9" w:rsidP="00D7585A">
      <w:r>
        <w:t>This means that</w:t>
      </w:r>
      <w:r w:rsidR="00EE609B">
        <w:t xml:space="preserve"> the approved pathology practitioner is responsible for notifying</w:t>
      </w:r>
      <w:r>
        <w:t xml:space="preserve"> </w:t>
      </w:r>
      <w:r w:rsidR="00EE609B">
        <w:t>the results of the screening test</w:t>
      </w:r>
      <w:r w:rsidR="00BC4F5B">
        <w:t>, notwithstanding this</w:t>
      </w:r>
      <w:r w:rsidR="00EE609B">
        <w:t xml:space="preserve"> was undertaken by </w:t>
      </w:r>
      <w:r>
        <w:t xml:space="preserve">an individual healthcare provider </w:t>
      </w:r>
      <w:r w:rsidR="00EE609B">
        <w:t>on their behalf.</w:t>
      </w:r>
    </w:p>
    <w:p w:rsidR="004732C4" w:rsidRPr="00FC4B7B" w:rsidRDefault="004732C4" w:rsidP="00FC4B7B">
      <w:pPr>
        <w:pStyle w:val="Heading2"/>
        <w:rPr>
          <w:rFonts w:ascii="Times New Roman" w:hAnsi="Times New Roman" w:cs="Times New Roman"/>
          <w:i w:val="0"/>
          <w:u w:val="single"/>
        </w:rPr>
      </w:pPr>
      <w:r w:rsidRPr="00FC4B7B">
        <w:rPr>
          <w:rFonts w:ascii="Times New Roman" w:hAnsi="Times New Roman" w:cs="Times New Roman"/>
          <w:i w:val="0"/>
          <w:u w:val="single"/>
        </w:rPr>
        <w:t>Prescribed information</w:t>
      </w:r>
    </w:p>
    <w:p w:rsidR="0080347E" w:rsidRPr="00395068" w:rsidRDefault="0080347E" w:rsidP="00FC4B7B">
      <w:pPr>
        <w:pStyle w:val="Heading3"/>
        <w:rPr>
          <w:rFonts w:ascii="Times New Roman" w:hAnsi="Times New Roman" w:cs="Times New Roman"/>
          <w:b/>
          <w:i/>
          <w:color w:val="0F243E" w:themeColor="text2" w:themeShade="80"/>
        </w:rPr>
      </w:pPr>
      <w:r w:rsidRPr="00395068">
        <w:rPr>
          <w:rFonts w:ascii="Times New Roman" w:hAnsi="Times New Roman" w:cs="Times New Roman"/>
          <w:b/>
          <w:i/>
          <w:color w:val="0F243E" w:themeColor="text2" w:themeShade="80"/>
        </w:rPr>
        <w:t xml:space="preserve">What </w:t>
      </w:r>
      <w:r w:rsidR="002002A0" w:rsidRPr="00395068">
        <w:rPr>
          <w:rFonts w:ascii="Times New Roman" w:hAnsi="Times New Roman" w:cs="Times New Roman"/>
          <w:b/>
          <w:i/>
          <w:color w:val="0F243E" w:themeColor="text2" w:themeShade="80"/>
        </w:rPr>
        <w:t xml:space="preserve">prescribed </w:t>
      </w:r>
      <w:r w:rsidRPr="00395068">
        <w:rPr>
          <w:rFonts w:ascii="Times New Roman" w:hAnsi="Times New Roman" w:cs="Times New Roman"/>
          <w:b/>
          <w:i/>
          <w:color w:val="0F243E" w:themeColor="text2" w:themeShade="80"/>
        </w:rPr>
        <w:t xml:space="preserve">information </w:t>
      </w:r>
      <w:proofErr w:type="gramStart"/>
      <w:r w:rsidR="002002A0" w:rsidRPr="00395068">
        <w:rPr>
          <w:rFonts w:ascii="Times New Roman" w:hAnsi="Times New Roman" w:cs="Times New Roman"/>
          <w:b/>
          <w:i/>
          <w:color w:val="0F243E" w:themeColor="text2" w:themeShade="80"/>
        </w:rPr>
        <w:t>will</w:t>
      </w:r>
      <w:proofErr w:type="gramEnd"/>
      <w:r w:rsidRPr="00395068">
        <w:rPr>
          <w:rFonts w:ascii="Times New Roman" w:hAnsi="Times New Roman" w:cs="Times New Roman"/>
          <w:b/>
          <w:i/>
          <w:color w:val="0F243E" w:themeColor="text2" w:themeShade="80"/>
        </w:rPr>
        <w:t xml:space="preserve"> </w:t>
      </w:r>
      <w:r w:rsidR="00784EC2" w:rsidRPr="00395068">
        <w:rPr>
          <w:rFonts w:ascii="Times New Roman" w:hAnsi="Times New Roman" w:cs="Times New Roman"/>
          <w:b/>
          <w:i/>
          <w:color w:val="0F243E" w:themeColor="text2" w:themeShade="80"/>
        </w:rPr>
        <w:t xml:space="preserve">pathology practitioners </w:t>
      </w:r>
      <w:r w:rsidRPr="00395068">
        <w:rPr>
          <w:rFonts w:ascii="Times New Roman" w:hAnsi="Times New Roman" w:cs="Times New Roman"/>
          <w:b/>
          <w:i/>
          <w:color w:val="0F243E" w:themeColor="text2" w:themeShade="80"/>
        </w:rPr>
        <w:t>need to notify?</w:t>
      </w:r>
    </w:p>
    <w:p w:rsidR="0080347E" w:rsidRDefault="0080347E" w:rsidP="0080347E">
      <w:pPr>
        <w:spacing w:after="120"/>
      </w:pPr>
      <w:r>
        <w:t xml:space="preserve">The Rules give effect to the notification requirement in the </w:t>
      </w:r>
      <w:r w:rsidR="00784EC2">
        <w:t xml:space="preserve">NCSR </w:t>
      </w:r>
      <w:r>
        <w:t>Act</w:t>
      </w:r>
      <w:r w:rsidR="005F72A6">
        <w:t xml:space="preserve"> thereby requiring</w:t>
      </w:r>
      <w:r w:rsidR="00843838">
        <w:t xml:space="preserve"> </w:t>
      </w:r>
      <w:r w:rsidR="009421A7">
        <w:t xml:space="preserve">information on </w:t>
      </w:r>
      <w:r w:rsidR="00843838">
        <w:t>screening test</w:t>
      </w:r>
      <w:r w:rsidR="009421A7">
        <w:t>s</w:t>
      </w:r>
      <w:r w:rsidR="00CD4ADC">
        <w:t xml:space="preserve"> carried out </w:t>
      </w:r>
      <w:r w:rsidR="00843838">
        <w:t xml:space="preserve">by or on behalf of an </w:t>
      </w:r>
      <w:r w:rsidR="003D6A01">
        <w:t>approved pathology practitioner</w:t>
      </w:r>
      <w:r>
        <w:t xml:space="preserve"> to </w:t>
      </w:r>
      <w:r w:rsidR="00843838">
        <w:t>be notified to the CMO</w:t>
      </w:r>
      <w:r w:rsidR="0091184E">
        <w:t xml:space="preserve"> in an approved form</w:t>
      </w:r>
      <w:r w:rsidR="00843838">
        <w:t>.</w:t>
      </w:r>
      <w:r w:rsidR="00752210">
        <w:t xml:space="preserve"> </w:t>
      </w:r>
      <w:r w:rsidR="00784EC2">
        <w:t xml:space="preserve"> </w:t>
      </w:r>
      <w:bookmarkStart w:id="1" w:name="_GoBack"/>
      <w:r w:rsidR="0003503D" w:rsidRPr="00A56262">
        <w:rPr>
          <w:u w:val="single"/>
        </w:rPr>
        <w:t>Attachment A</w:t>
      </w:r>
      <w:r w:rsidR="0003503D">
        <w:t xml:space="preserve"> </w:t>
      </w:r>
      <w:bookmarkEnd w:id="1"/>
      <w:r w:rsidR="0003503D">
        <w:t>d</w:t>
      </w:r>
      <w:r w:rsidR="0091184E">
        <w:t xml:space="preserve">etails the </w:t>
      </w:r>
      <w:r w:rsidR="0003503D">
        <w:t xml:space="preserve">required </w:t>
      </w:r>
      <w:r w:rsidR="0091184E">
        <w:t>screening test information</w:t>
      </w:r>
      <w:r w:rsidR="0003503D">
        <w:t xml:space="preserve">. This </w:t>
      </w:r>
      <w:r w:rsidR="00752210">
        <w:t>includes</w:t>
      </w:r>
      <w:r>
        <w:t>:</w:t>
      </w:r>
    </w:p>
    <w:p w:rsidR="004F1E1B" w:rsidRDefault="00784EC2" w:rsidP="00752210">
      <w:pPr>
        <w:widowControl w:val="0"/>
        <w:numPr>
          <w:ilvl w:val="0"/>
          <w:numId w:val="5"/>
        </w:numPr>
      </w:pPr>
      <w:r>
        <w:t>t</w:t>
      </w:r>
      <w:r w:rsidR="004F1E1B">
        <w:t>he individual’s demographic information</w:t>
      </w:r>
    </w:p>
    <w:p w:rsidR="004F1E1B" w:rsidRDefault="00784EC2" w:rsidP="00752210">
      <w:pPr>
        <w:widowControl w:val="0"/>
        <w:numPr>
          <w:ilvl w:val="0"/>
          <w:numId w:val="5"/>
        </w:numPr>
      </w:pPr>
      <w:r>
        <w:t>in</w:t>
      </w:r>
      <w:r w:rsidR="004F1E1B">
        <w:t xml:space="preserve">formation about the pathology </w:t>
      </w:r>
      <w:r w:rsidR="00BC1B1E">
        <w:t>practitioner and accredited pathology laboratory</w:t>
      </w:r>
    </w:p>
    <w:p w:rsidR="00D7585A" w:rsidRDefault="00784EC2" w:rsidP="00BC1B1E">
      <w:pPr>
        <w:widowControl w:val="0"/>
        <w:numPr>
          <w:ilvl w:val="0"/>
          <w:numId w:val="5"/>
        </w:numPr>
      </w:pPr>
      <w:r>
        <w:t>i</w:t>
      </w:r>
      <w:r w:rsidR="00752210">
        <w:t xml:space="preserve">nformation </w:t>
      </w:r>
      <w:r w:rsidR="00BC1B1E">
        <w:t>about the screening test, including type of screening test</w:t>
      </w:r>
      <w:r w:rsidR="00D7585A">
        <w:t xml:space="preserve"> and</w:t>
      </w:r>
      <w:r w:rsidR="00BC1B1E">
        <w:t xml:space="preserve"> date of screening test</w:t>
      </w:r>
    </w:p>
    <w:p w:rsidR="00752210" w:rsidRDefault="00D7585A" w:rsidP="00BC1B1E">
      <w:pPr>
        <w:widowControl w:val="0"/>
        <w:numPr>
          <w:ilvl w:val="0"/>
          <w:numId w:val="5"/>
        </w:numPr>
      </w:pPr>
      <w:r>
        <w:t>test result, including</w:t>
      </w:r>
      <w:r w:rsidR="00BC1B1E">
        <w:t xml:space="preserve"> cancer risk and re</w:t>
      </w:r>
      <w:r w:rsidR="00752210">
        <w:t>commendation</w:t>
      </w:r>
    </w:p>
    <w:p w:rsidR="00BC1B1E" w:rsidRDefault="00784EC2" w:rsidP="0080347E">
      <w:pPr>
        <w:widowControl w:val="0"/>
        <w:numPr>
          <w:ilvl w:val="0"/>
          <w:numId w:val="5"/>
        </w:numPr>
      </w:pPr>
      <w:proofErr w:type="gramStart"/>
      <w:r>
        <w:t>s</w:t>
      </w:r>
      <w:r w:rsidR="00BC1B1E">
        <w:t>pecific</w:t>
      </w:r>
      <w:proofErr w:type="gramEnd"/>
      <w:r w:rsidR="00BC1B1E">
        <w:t xml:space="preserve"> information about the </w:t>
      </w:r>
      <w:r w:rsidR="00BC1B1E" w:rsidRPr="00752210">
        <w:t>HPV test, cytology</w:t>
      </w:r>
      <w:r w:rsidR="00BC1B1E">
        <w:t xml:space="preserve"> </w:t>
      </w:r>
      <w:r w:rsidR="00BC1B1E" w:rsidRPr="00752210">
        <w:t>(including conventional Pap smears and LBC) and histopathology</w:t>
      </w:r>
      <w:r w:rsidR="00BC1B1E">
        <w:t>.</w:t>
      </w:r>
    </w:p>
    <w:p w:rsidR="007E43F4" w:rsidRDefault="007E43F4" w:rsidP="007E43F4">
      <w:pPr>
        <w:widowControl w:val="0"/>
      </w:pPr>
    </w:p>
    <w:p w:rsidR="0080347E" w:rsidRDefault="007E43F4" w:rsidP="007E43F4">
      <w:pPr>
        <w:widowControl w:val="0"/>
      </w:pPr>
      <w:r>
        <w:lastRenderedPageBreak/>
        <w:t>‘Screening test’ for the purpose of the Rules means a test or procedure as part of screening, such as a HPV test, cytology test, or histopathology test</w:t>
      </w:r>
      <w:r w:rsidR="00636CCA">
        <w:t xml:space="preserve">, including </w:t>
      </w:r>
      <w:r w:rsidR="006B2B65">
        <w:t xml:space="preserve">unsatisfactory and </w:t>
      </w:r>
      <w:r w:rsidR="00636CCA">
        <w:t>negative results</w:t>
      </w:r>
      <w:r>
        <w:t xml:space="preserve">. </w:t>
      </w:r>
      <w:r w:rsidR="00784EC2">
        <w:t xml:space="preserve"> </w:t>
      </w:r>
      <w:r>
        <w:t>Screening test in this context also includes HPV and cytology tests performed as part of the test of cure and cervical histology.</w:t>
      </w:r>
      <w:r w:rsidR="00676EB8">
        <w:t xml:space="preserve"> It also includes Pap tests undertaken after 1 December 2017.</w:t>
      </w:r>
    </w:p>
    <w:p w:rsidR="00676EB8" w:rsidRDefault="00676EB8" w:rsidP="007E43F4">
      <w:pPr>
        <w:widowControl w:val="0"/>
      </w:pPr>
    </w:p>
    <w:p w:rsidR="00676EB8" w:rsidRPr="00676EB8" w:rsidRDefault="00784EC2" w:rsidP="00676EB8">
      <w:pPr>
        <w:widowControl w:val="0"/>
        <w:rPr>
          <w:lang w:val="en-US"/>
        </w:rPr>
      </w:pPr>
      <w:r>
        <w:t xml:space="preserve">Results of </w:t>
      </w:r>
      <w:r w:rsidR="00676EB8" w:rsidRPr="00676EB8">
        <w:t xml:space="preserve">penile or anal HPV </w:t>
      </w:r>
      <w:r w:rsidR="00E361C8">
        <w:t xml:space="preserve">and clinical trial screening test </w:t>
      </w:r>
      <w:r w:rsidR="00676EB8" w:rsidRPr="00676EB8">
        <w:t xml:space="preserve">results </w:t>
      </w:r>
      <w:r w:rsidR="00676EB8">
        <w:t xml:space="preserve">are not </w:t>
      </w:r>
      <w:r>
        <w:t>required to be reported</w:t>
      </w:r>
      <w:r w:rsidR="00676EB8">
        <w:t xml:space="preserve"> to the </w:t>
      </w:r>
      <w:r w:rsidR="00803CF7">
        <w:t>Register</w:t>
      </w:r>
      <w:r w:rsidR="00CE7DEF">
        <w:t>.</w:t>
      </w:r>
      <w:r w:rsidR="00E361C8">
        <w:t xml:space="preserve"> </w:t>
      </w:r>
    </w:p>
    <w:p w:rsidR="00686A03" w:rsidRPr="00395068" w:rsidRDefault="00686A03" w:rsidP="00FC4B7B">
      <w:pPr>
        <w:pStyle w:val="Heading3"/>
        <w:rPr>
          <w:rFonts w:ascii="Times New Roman" w:hAnsi="Times New Roman" w:cs="Times New Roman"/>
          <w:b/>
          <w:i/>
          <w:color w:val="0F243E" w:themeColor="text2" w:themeShade="80"/>
        </w:rPr>
      </w:pPr>
      <w:r w:rsidRPr="00395068">
        <w:rPr>
          <w:rFonts w:ascii="Times New Roman" w:hAnsi="Times New Roman" w:cs="Times New Roman"/>
          <w:b/>
          <w:i/>
          <w:color w:val="0F243E" w:themeColor="text2" w:themeShade="80"/>
        </w:rPr>
        <w:t>How was the prescribed information determined?</w:t>
      </w:r>
    </w:p>
    <w:p w:rsidR="00686A03" w:rsidRDefault="00686A03" w:rsidP="00686A03">
      <w:r w:rsidRPr="009B09D2">
        <w:t>The reporting requirements have been</w:t>
      </w:r>
      <w:r w:rsidRPr="009B09D2">
        <w:rPr>
          <w:b/>
          <w:bCs/>
        </w:rPr>
        <w:t xml:space="preserve"> </w:t>
      </w:r>
      <w:r w:rsidRPr="009B09D2">
        <w:t>based on the National Pathology Accreditation Adv</w:t>
      </w:r>
      <w:r>
        <w:t>isory Council</w:t>
      </w:r>
      <w:r w:rsidRPr="009B09D2">
        <w:t xml:space="preserve"> </w:t>
      </w:r>
      <w:hyperlink r:id="rId9" w:history="1">
        <w:r w:rsidRPr="009B09D2">
          <w:rPr>
            <w:rStyle w:val="Hyperlink"/>
            <w:i/>
            <w:iCs/>
          </w:rPr>
          <w:t>Requirements for Laboratories reporting Tests for the National Cervical Screening Program (First Edition 2017)</w:t>
        </w:r>
      </w:hyperlink>
      <w:r w:rsidRPr="009B09D2">
        <w:rPr>
          <w:i/>
          <w:iCs/>
        </w:rPr>
        <w:t xml:space="preserve"> </w:t>
      </w:r>
      <w:r w:rsidRPr="009B09D2">
        <w:t>(</w:t>
      </w:r>
      <w:r w:rsidR="00757E60">
        <w:t xml:space="preserve">the </w:t>
      </w:r>
      <w:r w:rsidRPr="009B09D2">
        <w:t xml:space="preserve">NPAAC </w:t>
      </w:r>
      <w:r w:rsidR="006B2B65">
        <w:t>Requirements</w:t>
      </w:r>
      <w:r w:rsidRPr="009B09D2">
        <w:t>).</w:t>
      </w:r>
    </w:p>
    <w:p w:rsidR="00686A03" w:rsidRDefault="00686A03" w:rsidP="00686A03"/>
    <w:p w:rsidR="00686A03" w:rsidRDefault="00686A03" w:rsidP="00686A03">
      <w:r>
        <w:t xml:space="preserve">The data items have been determined to enable reporting against agreed quality standards.  </w:t>
      </w:r>
    </w:p>
    <w:p w:rsidR="00590DAD" w:rsidRPr="00FC4B7B" w:rsidRDefault="00590DAD" w:rsidP="00FC4B7B">
      <w:pPr>
        <w:pStyle w:val="Heading2"/>
        <w:rPr>
          <w:rFonts w:ascii="Times New Roman" w:hAnsi="Times New Roman" w:cs="Times New Roman"/>
          <w:i w:val="0"/>
          <w:u w:val="single"/>
        </w:rPr>
      </w:pPr>
      <w:r w:rsidRPr="00FC4B7B">
        <w:rPr>
          <w:rFonts w:ascii="Times New Roman" w:hAnsi="Times New Roman" w:cs="Times New Roman"/>
          <w:i w:val="0"/>
          <w:u w:val="single"/>
        </w:rPr>
        <w:t>Prescribed timeframe</w:t>
      </w:r>
    </w:p>
    <w:p w:rsidR="004A1A93" w:rsidRPr="00395068" w:rsidRDefault="004A1A93" w:rsidP="00FC4B7B">
      <w:pPr>
        <w:pStyle w:val="Heading3"/>
        <w:rPr>
          <w:rFonts w:ascii="Times New Roman" w:hAnsi="Times New Roman" w:cs="Times New Roman"/>
          <w:b/>
          <w:i/>
          <w:color w:val="0F243E" w:themeColor="text2" w:themeShade="80"/>
        </w:rPr>
      </w:pPr>
      <w:r w:rsidRPr="00395068">
        <w:rPr>
          <w:rFonts w:ascii="Times New Roman" w:hAnsi="Times New Roman" w:cs="Times New Roman"/>
          <w:b/>
          <w:i/>
          <w:color w:val="0F243E" w:themeColor="text2" w:themeShade="80"/>
        </w:rPr>
        <w:t>How long do I have to notify the screening test result to the CMO?</w:t>
      </w:r>
    </w:p>
    <w:p w:rsidR="004A1A93" w:rsidRDefault="004A1A93" w:rsidP="004A1A93">
      <w:pPr>
        <w:widowControl w:val="0"/>
        <w:tabs>
          <w:tab w:val="num" w:pos="426"/>
        </w:tabs>
        <w:ind w:left="68"/>
      </w:pPr>
      <w:r>
        <w:t xml:space="preserve">Pathology practitioners are required to notify prescribed information to the CMO through the NCSR within 14 days. The 14 days commences after the </w:t>
      </w:r>
      <w:r w:rsidR="0046189C">
        <w:t>screening</w:t>
      </w:r>
      <w:r>
        <w:t xml:space="preserve"> test is completed.</w:t>
      </w:r>
      <w:r w:rsidR="003D38FC">
        <w:t xml:space="preserve"> That is;</w:t>
      </w:r>
    </w:p>
    <w:p w:rsidR="003D38FC" w:rsidRDefault="003D38FC" w:rsidP="00EB19C8">
      <w:pPr>
        <w:pStyle w:val="ListParagraph"/>
        <w:widowControl w:val="0"/>
        <w:numPr>
          <w:ilvl w:val="0"/>
          <w:numId w:val="20"/>
        </w:numPr>
      </w:pPr>
      <w:r>
        <w:t xml:space="preserve">HPV test and LBC test </w:t>
      </w:r>
      <w:proofErr w:type="gramStart"/>
      <w:r>
        <w:t>( if</w:t>
      </w:r>
      <w:proofErr w:type="gramEnd"/>
      <w:r>
        <w:t xml:space="preserve"> required) – the 14 day</w:t>
      </w:r>
      <w:r w:rsidR="00D5191D">
        <w:t xml:space="preserve"> period commences immediately</w:t>
      </w:r>
      <w:r>
        <w:t xml:space="preserve"> after the lab has received, tested and issued a combined report.  </w:t>
      </w:r>
    </w:p>
    <w:p w:rsidR="003D38FC" w:rsidRDefault="003D38FC" w:rsidP="00EB19C8">
      <w:pPr>
        <w:pStyle w:val="ListParagraph"/>
        <w:widowControl w:val="0"/>
        <w:numPr>
          <w:ilvl w:val="0"/>
          <w:numId w:val="20"/>
        </w:numPr>
      </w:pPr>
      <w:r>
        <w:t>Histology – the 14 day</w:t>
      </w:r>
      <w:r w:rsidR="00D5191D">
        <w:t xml:space="preserve"> period commences immediately</w:t>
      </w:r>
      <w:r>
        <w:t xml:space="preserve"> after the lab has completed their testing (</w:t>
      </w:r>
      <w:proofErr w:type="spellStart"/>
      <w:r>
        <w:t>ie</w:t>
      </w:r>
      <w:proofErr w:type="spellEnd"/>
      <w:r>
        <w:t xml:space="preserve"> multiple examinations on the tissue) and issued a report.</w:t>
      </w:r>
    </w:p>
    <w:p w:rsidR="004A1A93" w:rsidRDefault="004A1A93" w:rsidP="004A1A93">
      <w:pPr>
        <w:widowControl w:val="0"/>
        <w:tabs>
          <w:tab w:val="num" w:pos="426"/>
        </w:tabs>
        <w:ind w:left="68"/>
      </w:pPr>
    </w:p>
    <w:p w:rsidR="004A1A93" w:rsidRDefault="003D38FC" w:rsidP="004A1A93">
      <w:pPr>
        <w:widowControl w:val="0"/>
        <w:tabs>
          <w:tab w:val="num" w:pos="426"/>
        </w:tabs>
        <w:ind w:left="68"/>
      </w:pPr>
      <w:r w:rsidRPr="003D38FC">
        <w:t xml:space="preserve">The 14 days aligns with the NPAAC Requirements which require laboratories to issue a report (following receipt and testing of specimens) on 90% of all cervical screening specimens within 10 days of receipt (S6.5).  </w:t>
      </w:r>
    </w:p>
    <w:p w:rsidR="00686A03" w:rsidRPr="00FC4B7B" w:rsidRDefault="00686A03" w:rsidP="00FC4B7B">
      <w:pPr>
        <w:pStyle w:val="Heading2"/>
        <w:rPr>
          <w:rFonts w:ascii="Times New Roman" w:hAnsi="Times New Roman" w:cs="Times New Roman"/>
          <w:i w:val="0"/>
          <w:u w:val="single"/>
        </w:rPr>
      </w:pPr>
      <w:r w:rsidRPr="00FC4B7B">
        <w:rPr>
          <w:rFonts w:ascii="Times New Roman" w:hAnsi="Times New Roman" w:cs="Times New Roman"/>
          <w:i w:val="0"/>
          <w:u w:val="single"/>
        </w:rPr>
        <w:t>Commencement of notification requirement</w:t>
      </w:r>
    </w:p>
    <w:p w:rsidR="002B6F6E" w:rsidRPr="00395068" w:rsidRDefault="002B6F6E" w:rsidP="00FC4B7B">
      <w:pPr>
        <w:pStyle w:val="Heading3"/>
        <w:rPr>
          <w:rFonts w:ascii="Times New Roman" w:hAnsi="Times New Roman" w:cs="Times New Roman"/>
          <w:b/>
          <w:i/>
          <w:color w:val="0F243E" w:themeColor="text2" w:themeShade="80"/>
        </w:rPr>
      </w:pPr>
      <w:r w:rsidRPr="00395068">
        <w:rPr>
          <w:rFonts w:ascii="Times New Roman" w:hAnsi="Times New Roman" w:cs="Times New Roman"/>
          <w:b/>
          <w:i/>
          <w:color w:val="0F243E" w:themeColor="text2" w:themeShade="80"/>
        </w:rPr>
        <w:t>When do I need to start notifying prescribed information to the NCSR?</w:t>
      </w:r>
    </w:p>
    <w:p w:rsidR="002B6F6E" w:rsidRDefault="002B6F6E" w:rsidP="002B6F6E">
      <w:r>
        <w:t xml:space="preserve">The Rules will commence on 1 December 2017.  </w:t>
      </w:r>
      <w:r w:rsidRPr="00EE5563">
        <w:t>The requirement to notify prescribed info</w:t>
      </w:r>
      <w:r>
        <w:t xml:space="preserve">rmation to the CMO commences on </w:t>
      </w:r>
      <w:r w:rsidRPr="00EE5563">
        <w:t xml:space="preserve">1 </w:t>
      </w:r>
      <w:r>
        <w:t xml:space="preserve">December 2017 to coincide with the commencement of </w:t>
      </w:r>
      <w:r w:rsidRPr="00EE5563">
        <w:t>the renewed NCSP.</w:t>
      </w:r>
    </w:p>
    <w:p w:rsidR="00636CCA" w:rsidRPr="00FC4B7B" w:rsidRDefault="00184AF6" w:rsidP="00FC4B7B">
      <w:pPr>
        <w:pStyle w:val="Heading2"/>
        <w:rPr>
          <w:rFonts w:ascii="Times New Roman" w:hAnsi="Times New Roman" w:cs="Times New Roman"/>
          <w:i w:val="0"/>
          <w:u w:val="single"/>
        </w:rPr>
      </w:pPr>
      <w:r w:rsidRPr="00FC4B7B">
        <w:rPr>
          <w:rFonts w:ascii="Times New Roman" w:hAnsi="Times New Roman" w:cs="Times New Roman"/>
          <w:i w:val="0"/>
          <w:u w:val="single"/>
        </w:rPr>
        <w:t>H</w:t>
      </w:r>
      <w:r w:rsidR="00636CCA" w:rsidRPr="00FC4B7B">
        <w:rPr>
          <w:rFonts w:ascii="Times New Roman" w:hAnsi="Times New Roman" w:cs="Times New Roman"/>
          <w:i w:val="0"/>
          <w:u w:val="single"/>
        </w:rPr>
        <w:t>ow to notify</w:t>
      </w:r>
    </w:p>
    <w:p w:rsidR="0080347E" w:rsidRPr="00395068" w:rsidRDefault="0080347E" w:rsidP="00FC4B7B">
      <w:pPr>
        <w:pStyle w:val="Heading3"/>
        <w:rPr>
          <w:rFonts w:ascii="Times New Roman" w:hAnsi="Times New Roman" w:cs="Times New Roman"/>
          <w:b/>
          <w:i/>
          <w:color w:val="0F243E" w:themeColor="text2" w:themeShade="80"/>
        </w:rPr>
      </w:pPr>
      <w:r w:rsidRPr="00395068">
        <w:rPr>
          <w:rFonts w:ascii="Times New Roman" w:hAnsi="Times New Roman" w:cs="Times New Roman"/>
          <w:b/>
          <w:i/>
          <w:color w:val="0F243E" w:themeColor="text2" w:themeShade="80"/>
        </w:rPr>
        <w:t>How do pathologists notify the CMO?</w:t>
      </w:r>
    </w:p>
    <w:p w:rsidR="00B93C8B" w:rsidRDefault="00B93C8B" w:rsidP="00B93C8B">
      <w:pPr>
        <w:pStyle w:val="ListParagraph"/>
        <w:ind w:left="0"/>
      </w:pPr>
      <w:r>
        <w:t xml:space="preserve">The Register provides the capability for pathology </w:t>
      </w:r>
      <w:r w:rsidR="00627A08">
        <w:t>practitioners</w:t>
      </w:r>
      <w:r>
        <w:t xml:space="preserve"> to notify prescribed information to the CMO</w:t>
      </w:r>
      <w:r w:rsidR="00131A0B">
        <w:t xml:space="preserve"> in an approved form</w:t>
      </w:r>
      <w:r>
        <w:t xml:space="preserve">. </w:t>
      </w:r>
    </w:p>
    <w:p w:rsidR="00B93C8B" w:rsidRPr="00DE1E91" w:rsidRDefault="00B93C8B" w:rsidP="00DE1E91">
      <w:pPr>
        <w:pStyle w:val="Heading4"/>
        <w:rPr>
          <w:rFonts w:ascii="Times New Roman" w:hAnsi="Times New Roman"/>
          <w:i/>
          <w:sz w:val="24"/>
          <w:szCs w:val="24"/>
        </w:rPr>
      </w:pPr>
      <w:r w:rsidRPr="00DE1E91">
        <w:rPr>
          <w:rFonts w:ascii="Times New Roman" w:hAnsi="Times New Roman"/>
          <w:i/>
          <w:sz w:val="24"/>
          <w:szCs w:val="24"/>
        </w:rPr>
        <w:t xml:space="preserve">Reporting electronically </w:t>
      </w:r>
    </w:p>
    <w:p w:rsidR="00CD4ADC" w:rsidRPr="00CD4ADC" w:rsidRDefault="00CD4ADC" w:rsidP="00CD4ADC">
      <w:r w:rsidRPr="00CD4ADC">
        <w:t xml:space="preserve">Reporting by or on behalf of approved pathology practitioners can be via direct laboratory </w:t>
      </w:r>
      <w:r w:rsidR="00131A0B">
        <w:t>integration</w:t>
      </w:r>
      <w:r w:rsidRPr="00CD4ADC">
        <w:t xml:space="preserve"> to the </w:t>
      </w:r>
      <w:r w:rsidR="00803CF7">
        <w:t>Register</w:t>
      </w:r>
      <w:r w:rsidR="00803CF7" w:rsidRPr="00CD4ADC">
        <w:t xml:space="preserve"> </w:t>
      </w:r>
      <w:r w:rsidRPr="00CD4ADC">
        <w:t>using the HL7</w:t>
      </w:r>
      <w:r w:rsidR="00D5191D">
        <w:t xml:space="preserve"> messaging</w:t>
      </w:r>
      <w:r w:rsidRPr="00CD4ADC">
        <w:t xml:space="preserve"> format</w:t>
      </w:r>
      <w:r w:rsidR="00131A0B">
        <w:t>, in accordance with the NCSR Provider Integration Guide (see below</w:t>
      </w:r>
      <w:r w:rsidR="009C4091">
        <w:t xml:space="preserve"> ‘Connecting to the </w:t>
      </w:r>
      <w:r w:rsidR="00803CF7">
        <w:t xml:space="preserve">Register’ </w:t>
      </w:r>
      <w:r w:rsidR="009C4091">
        <w:t>and</w:t>
      </w:r>
      <w:r w:rsidR="00131A0B">
        <w:t xml:space="preserve"> ‘what is the Provider Integration Guide’)</w:t>
      </w:r>
      <w:r w:rsidR="00261CF3">
        <w:t xml:space="preserve"> or via a Commonwealth approved alternate electronic solution</w:t>
      </w:r>
      <w:r w:rsidR="00EB19C8">
        <w:t>.</w:t>
      </w:r>
    </w:p>
    <w:p w:rsidR="0080347E" w:rsidRPr="00DE1E91" w:rsidRDefault="00B93C8B" w:rsidP="00DE1E91">
      <w:pPr>
        <w:pStyle w:val="Heading4"/>
        <w:rPr>
          <w:rFonts w:ascii="Times New Roman" w:hAnsi="Times New Roman"/>
          <w:i/>
          <w:sz w:val="24"/>
          <w:szCs w:val="24"/>
        </w:rPr>
      </w:pPr>
      <w:r w:rsidRPr="00DE1E91">
        <w:rPr>
          <w:rFonts w:ascii="Times New Roman" w:hAnsi="Times New Roman"/>
          <w:i/>
          <w:sz w:val="24"/>
          <w:szCs w:val="24"/>
        </w:rPr>
        <w:t>Paper based reporting</w:t>
      </w:r>
    </w:p>
    <w:p w:rsidR="00270336" w:rsidRPr="00E3752B" w:rsidRDefault="00ED74D2" w:rsidP="00270336">
      <w:r>
        <w:t>N</w:t>
      </w:r>
      <w:r w:rsidR="00270336">
        <w:t xml:space="preserve">on-electronic means of transmitting </w:t>
      </w:r>
      <w:r w:rsidR="00270336" w:rsidRPr="00E3752B">
        <w:t xml:space="preserve">results </w:t>
      </w:r>
      <w:r w:rsidR="00270336">
        <w:t xml:space="preserve">to the </w:t>
      </w:r>
      <w:r w:rsidR="00803CF7">
        <w:t>Register</w:t>
      </w:r>
      <w:r w:rsidR="00270336" w:rsidRPr="00E3752B">
        <w:t xml:space="preserve">, </w:t>
      </w:r>
      <w:r w:rsidR="00270336">
        <w:t>including</w:t>
      </w:r>
      <w:r w:rsidR="00270336" w:rsidRPr="00E3752B">
        <w:t xml:space="preserve"> </w:t>
      </w:r>
      <w:r w:rsidR="00270336">
        <w:t xml:space="preserve">by </w:t>
      </w:r>
      <w:r w:rsidR="00270336" w:rsidRPr="00E3752B">
        <w:t>paper or fax</w:t>
      </w:r>
      <w:r>
        <w:t xml:space="preserve">, </w:t>
      </w:r>
      <w:r w:rsidR="00516106">
        <w:t>is als</w:t>
      </w:r>
      <w:r w:rsidR="00626414">
        <w:t xml:space="preserve">o an approved form for </w:t>
      </w:r>
      <w:r w:rsidR="00757E60">
        <w:t>the purpose of these Rules (in accordance with the</w:t>
      </w:r>
      <w:r w:rsidR="00626414">
        <w:t xml:space="preserve"> ‘Prescribed Information’ </w:t>
      </w:r>
      <w:r w:rsidR="00757E60">
        <w:t xml:space="preserve">above and </w:t>
      </w:r>
      <w:r w:rsidR="00757E60" w:rsidRPr="00481BF7">
        <w:rPr>
          <w:u w:val="single"/>
        </w:rPr>
        <w:t>Attachment A</w:t>
      </w:r>
      <w:r w:rsidR="00626414">
        <w:t>).</w:t>
      </w:r>
    </w:p>
    <w:p w:rsidR="0080347E" w:rsidRPr="00395068" w:rsidRDefault="0080347E" w:rsidP="00FC4B7B">
      <w:pPr>
        <w:pStyle w:val="Heading3"/>
        <w:rPr>
          <w:rFonts w:ascii="Times New Roman" w:hAnsi="Times New Roman" w:cs="Times New Roman"/>
          <w:b/>
          <w:i/>
          <w:color w:val="0F243E" w:themeColor="text2" w:themeShade="80"/>
        </w:rPr>
      </w:pPr>
      <w:r w:rsidRPr="00395068">
        <w:rPr>
          <w:rFonts w:ascii="Times New Roman" w:hAnsi="Times New Roman" w:cs="Times New Roman"/>
          <w:b/>
          <w:i/>
          <w:color w:val="0F243E" w:themeColor="text2" w:themeShade="80"/>
        </w:rPr>
        <w:t>What can I do to prepare for the commencement of the mandatory notification requirement?</w:t>
      </w:r>
    </w:p>
    <w:p w:rsidR="00D8621A" w:rsidRDefault="00D8621A" w:rsidP="00D8621A">
      <w:r>
        <w:t>It is important that pathology pr</w:t>
      </w:r>
      <w:r w:rsidR="002E211A">
        <w:t xml:space="preserve">actitioners </w:t>
      </w:r>
      <w:r>
        <w:t xml:space="preserve">familiarise themselves with the NPAAC </w:t>
      </w:r>
      <w:r w:rsidRPr="00B93C8B">
        <w:rPr>
          <w:i/>
        </w:rPr>
        <w:t>Requirements for Laboratories Reporting Tests for National Cervical Screening Program (First Edition 2017)</w:t>
      </w:r>
      <w:r w:rsidR="008216ED">
        <w:rPr>
          <w:i/>
        </w:rPr>
        <w:t xml:space="preserve"> </w:t>
      </w:r>
      <w:r w:rsidR="008216ED">
        <w:t>(the NPAAC Requirements)</w:t>
      </w:r>
      <w:r>
        <w:t xml:space="preserve">. </w:t>
      </w:r>
      <w:r w:rsidR="008216ED">
        <w:t xml:space="preserve"> </w:t>
      </w:r>
      <w:r w:rsidRPr="00D568B2">
        <w:t xml:space="preserve">The </w:t>
      </w:r>
      <w:r w:rsidR="008216ED">
        <w:t xml:space="preserve">NPAAC </w:t>
      </w:r>
      <w:r w:rsidRPr="00D568B2">
        <w:t>Requirements set out the minimum requirements for best practice in relation to HPV NAT and gynaecological LBC services by laboratories participating in cervical screening program.</w:t>
      </w:r>
    </w:p>
    <w:p w:rsidR="00D8621A" w:rsidRDefault="00D8621A" w:rsidP="0080347E"/>
    <w:p w:rsidR="0080347E" w:rsidRDefault="00CC0727" w:rsidP="0080347E">
      <w:r>
        <w:t xml:space="preserve">To prepare for the commencement of the mandatory notification requirement, pathology practitioners should check that </w:t>
      </w:r>
      <w:r w:rsidR="00A549B7">
        <w:t>the process for connecting t</w:t>
      </w:r>
      <w:r>
        <w:t>heir</w:t>
      </w:r>
      <w:r w:rsidR="0080347E">
        <w:t xml:space="preserve"> </w:t>
      </w:r>
      <w:r w:rsidR="00A549B7">
        <w:t xml:space="preserve">pathology laboratory to the </w:t>
      </w:r>
      <w:r w:rsidR="00803CF7">
        <w:t xml:space="preserve">Register </w:t>
      </w:r>
      <w:r w:rsidR="00A549B7">
        <w:t>has been completed</w:t>
      </w:r>
      <w:r w:rsidR="00020FB5">
        <w:t xml:space="preserve">. </w:t>
      </w:r>
      <w:r w:rsidR="007E659F">
        <w:t xml:space="preserve"> Refer to ‘Connecting to the </w:t>
      </w:r>
      <w:r w:rsidR="00803CF7">
        <w:t xml:space="preserve">Register’ </w:t>
      </w:r>
      <w:r w:rsidR="007E659F">
        <w:t>below.</w:t>
      </w:r>
    </w:p>
    <w:p w:rsidR="00336368" w:rsidRDefault="00336368" w:rsidP="0080347E"/>
    <w:p w:rsidR="00336368" w:rsidRPr="00FC4B7B" w:rsidRDefault="00184AF6" w:rsidP="00FC4B7B">
      <w:pPr>
        <w:pStyle w:val="Heading2"/>
        <w:rPr>
          <w:rFonts w:ascii="Times New Roman" w:hAnsi="Times New Roman" w:cs="Times New Roman"/>
          <w:i w:val="0"/>
          <w:u w:val="single"/>
        </w:rPr>
      </w:pPr>
      <w:r w:rsidRPr="00FC4B7B">
        <w:rPr>
          <w:rFonts w:ascii="Times New Roman" w:hAnsi="Times New Roman" w:cs="Times New Roman"/>
          <w:i w:val="0"/>
          <w:u w:val="single"/>
        </w:rPr>
        <w:t>C</w:t>
      </w:r>
      <w:r w:rsidR="00A81D2F" w:rsidRPr="00FC4B7B">
        <w:rPr>
          <w:rFonts w:ascii="Times New Roman" w:hAnsi="Times New Roman" w:cs="Times New Roman"/>
          <w:i w:val="0"/>
          <w:u w:val="single"/>
        </w:rPr>
        <w:t xml:space="preserve">onnecting to the </w:t>
      </w:r>
      <w:r w:rsidR="00803CF7" w:rsidRPr="00FC4B7B">
        <w:rPr>
          <w:rFonts w:ascii="Times New Roman" w:hAnsi="Times New Roman" w:cs="Times New Roman"/>
          <w:i w:val="0"/>
          <w:u w:val="single"/>
        </w:rPr>
        <w:t>Register</w:t>
      </w:r>
    </w:p>
    <w:p w:rsidR="00B0573A" w:rsidRPr="00395068" w:rsidRDefault="002252B3" w:rsidP="00FC4B7B">
      <w:pPr>
        <w:pStyle w:val="Heading3"/>
        <w:rPr>
          <w:rFonts w:ascii="Times New Roman" w:hAnsi="Times New Roman" w:cs="Times New Roman"/>
          <w:b/>
          <w:i/>
          <w:color w:val="0F243E" w:themeColor="text2" w:themeShade="80"/>
        </w:rPr>
      </w:pPr>
      <w:r w:rsidRPr="00395068">
        <w:rPr>
          <w:rFonts w:ascii="Times New Roman" w:hAnsi="Times New Roman" w:cs="Times New Roman"/>
          <w:b/>
          <w:i/>
          <w:color w:val="0F243E" w:themeColor="text2" w:themeShade="80"/>
        </w:rPr>
        <w:t xml:space="preserve">How does a pathology laboratory </w:t>
      </w:r>
      <w:r w:rsidR="00757E60" w:rsidRPr="00395068">
        <w:rPr>
          <w:rFonts w:ascii="Times New Roman" w:hAnsi="Times New Roman" w:cs="Times New Roman"/>
          <w:b/>
          <w:i/>
          <w:color w:val="0F243E" w:themeColor="text2" w:themeShade="80"/>
        </w:rPr>
        <w:t xml:space="preserve">directly </w:t>
      </w:r>
      <w:r w:rsidR="00B0573A" w:rsidRPr="00395068">
        <w:rPr>
          <w:rFonts w:ascii="Times New Roman" w:hAnsi="Times New Roman" w:cs="Times New Roman"/>
          <w:b/>
          <w:i/>
          <w:color w:val="0F243E" w:themeColor="text2" w:themeShade="80"/>
        </w:rPr>
        <w:t xml:space="preserve">connect to the </w:t>
      </w:r>
      <w:r w:rsidR="00803CF7" w:rsidRPr="00395068">
        <w:rPr>
          <w:rFonts w:ascii="Times New Roman" w:hAnsi="Times New Roman" w:cs="Times New Roman"/>
          <w:b/>
          <w:i/>
          <w:color w:val="0F243E" w:themeColor="text2" w:themeShade="80"/>
        </w:rPr>
        <w:t>Register</w:t>
      </w:r>
      <w:r w:rsidR="00B0573A" w:rsidRPr="00395068">
        <w:rPr>
          <w:rFonts w:ascii="Times New Roman" w:hAnsi="Times New Roman" w:cs="Times New Roman"/>
          <w:b/>
          <w:i/>
          <w:color w:val="0F243E" w:themeColor="text2" w:themeShade="80"/>
        </w:rPr>
        <w:t>?</w:t>
      </w:r>
    </w:p>
    <w:p w:rsidR="00D64159" w:rsidRDefault="002201EC" w:rsidP="00D64159">
      <w:r>
        <w:t>Pathology laboratories</w:t>
      </w:r>
      <w:r w:rsidRPr="005A7BE1">
        <w:t xml:space="preserve"> </w:t>
      </w:r>
      <w:r w:rsidR="00AF4F71">
        <w:t>connect</w:t>
      </w:r>
      <w:r w:rsidR="00676B51">
        <w:t>ion</w:t>
      </w:r>
      <w:r w:rsidRPr="005A7BE1">
        <w:t xml:space="preserve"> to the </w:t>
      </w:r>
      <w:r w:rsidR="00803CF7">
        <w:t>Register</w:t>
      </w:r>
      <w:r w:rsidR="00803CF7" w:rsidRPr="005A7BE1">
        <w:t xml:space="preserve"> </w:t>
      </w:r>
      <w:r w:rsidRPr="005A7BE1">
        <w:t>i</w:t>
      </w:r>
      <w:r w:rsidR="00676B51">
        <w:t xml:space="preserve">s </w:t>
      </w:r>
      <w:r w:rsidR="00DE2449">
        <w:t>being coordinated by</w:t>
      </w:r>
      <w:r>
        <w:t xml:space="preserve"> Telstra Health, the contracted service provider for the </w:t>
      </w:r>
      <w:r w:rsidR="00803CF7">
        <w:t>Register</w:t>
      </w:r>
      <w:r>
        <w:t xml:space="preserve">, </w:t>
      </w:r>
      <w:r w:rsidR="00DE2449">
        <w:t>to implement</w:t>
      </w:r>
      <w:r w:rsidR="00220EE5">
        <w:t xml:space="preserve"> the connection process with pathology laboratories</w:t>
      </w:r>
      <w:r>
        <w:t>.</w:t>
      </w:r>
      <w:r w:rsidR="00D64159">
        <w:t xml:space="preserve">  </w:t>
      </w:r>
      <w:r w:rsidR="00F23445">
        <w:t>Pathology laboratories that</w:t>
      </w:r>
      <w:r w:rsidR="00F23445" w:rsidRPr="005A7BE1">
        <w:t xml:space="preserve"> </w:t>
      </w:r>
      <w:r w:rsidR="00F23445">
        <w:t>are yet to</w:t>
      </w:r>
      <w:r w:rsidR="00F23445" w:rsidRPr="005A7BE1">
        <w:t xml:space="preserve"> commence the connection process </w:t>
      </w:r>
      <w:r w:rsidR="00F23445">
        <w:t>are requested to</w:t>
      </w:r>
      <w:r w:rsidR="00F23445" w:rsidRPr="005A7BE1">
        <w:t xml:space="preserve"> </w:t>
      </w:r>
      <w:r w:rsidR="00F23445">
        <w:t xml:space="preserve">contact Telstra Health for the necessary forms and guides at </w:t>
      </w:r>
      <w:hyperlink r:id="rId10" w:history="1">
        <w:r w:rsidR="00F23445" w:rsidRPr="005A7BE1">
          <w:rPr>
            <w:rStyle w:val="Hyperlink"/>
          </w:rPr>
          <w:t>ncsrpathology@team.telstra.com</w:t>
        </w:r>
      </w:hyperlink>
      <w:r w:rsidR="00F23445" w:rsidRPr="005A7BE1">
        <w:t xml:space="preserve">. </w:t>
      </w:r>
    </w:p>
    <w:p w:rsidR="00F23445" w:rsidRDefault="00F23445" w:rsidP="00D64159"/>
    <w:p w:rsidR="008B1B9F" w:rsidRDefault="00D64159" w:rsidP="00DF3D06">
      <w:r>
        <w:t xml:space="preserve">Connection to the </w:t>
      </w:r>
      <w:r w:rsidR="00803CF7">
        <w:t>Register</w:t>
      </w:r>
      <w:r w:rsidR="00803CF7" w:rsidRPr="005A7BE1">
        <w:t xml:space="preserve"> </w:t>
      </w:r>
      <w:r>
        <w:t xml:space="preserve">requires agreement to the </w:t>
      </w:r>
      <w:r w:rsidR="002201EC" w:rsidRPr="005A7BE1">
        <w:t>Pathology Provider Interface – Integration Terms and Co</w:t>
      </w:r>
      <w:r>
        <w:t>nditions (Terms and Conditions).</w:t>
      </w:r>
      <w:r w:rsidRPr="00D64159">
        <w:t xml:space="preserve"> </w:t>
      </w:r>
      <w:r>
        <w:t xml:space="preserve"> </w:t>
      </w:r>
      <w:r w:rsidRPr="005A7BE1">
        <w:t xml:space="preserve">The Terms and Conditions provide access to the </w:t>
      </w:r>
      <w:r w:rsidR="00803CF7">
        <w:t>Register</w:t>
      </w:r>
      <w:r w:rsidR="00803CF7" w:rsidRPr="005A7BE1">
        <w:t xml:space="preserve"> </w:t>
      </w:r>
      <w:r w:rsidRPr="005A7BE1">
        <w:t xml:space="preserve">Test System and the </w:t>
      </w:r>
      <w:r w:rsidR="00803CF7">
        <w:t>Register</w:t>
      </w:r>
      <w:r w:rsidR="00803CF7" w:rsidRPr="005A7BE1">
        <w:t xml:space="preserve"> </w:t>
      </w:r>
      <w:r w:rsidRPr="005A7BE1">
        <w:t>Pathology Provider Interface and have been draft</w:t>
      </w:r>
      <w:r>
        <w:t>ed as an agreement between the p</w:t>
      </w:r>
      <w:r w:rsidRPr="005A7BE1">
        <w:t xml:space="preserve">athology </w:t>
      </w:r>
      <w:r>
        <w:t>laboratory</w:t>
      </w:r>
      <w:r w:rsidRPr="005A7BE1">
        <w:t xml:space="preserve"> and the Commonwealth as represented by the Department of Health</w:t>
      </w:r>
      <w:r>
        <w:t xml:space="preserve"> (Health)</w:t>
      </w:r>
      <w:r w:rsidRPr="005A7BE1">
        <w:t xml:space="preserve">. </w:t>
      </w:r>
      <w:r>
        <w:t xml:space="preserve"> </w:t>
      </w:r>
      <w:r w:rsidR="008B1B9F">
        <w:t xml:space="preserve">Pathology laboratories that </w:t>
      </w:r>
      <w:r w:rsidR="008B1B9F" w:rsidRPr="005A7BE1">
        <w:t>have feedb</w:t>
      </w:r>
      <w:r w:rsidR="008B1B9F">
        <w:t>ack or questions regarding the Terms and C</w:t>
      </w:r>
      <w:r w:rsidR="008B1B9F" w:rsidRPr="005A7BE1">
        <w:t>onditions</w:t>
      </w:r>
      <w:r w:rsidR="008B1B9F">
        <w:t xml:space="preserve"> may contact Health </w:t>
      </w:r>
      <w:r w:rsidR="008B1B9F" w:rsidRPr="005A7BE1">
        <w:t>directly at</w:t>
      </w:r>
      <w:r w:rsidR="008B1B9F">
        <w:t xml:space="preserve"> </w:t>
      </w:r>
      <w:hyperlink r:id="rId11" w:history="1">
        <w:r w:rsidR="008B1B9F" w:rsidRPr="005A7BE1">
          <w:rPr>
            <w:rStyle w:val="Hyperlink"/>
          </w:rPr>
          <w:t>NCSRProject@health.gov.au</w:t>
        </w:r>
      </w:hyperlink>
      <w:r w:rsidR="008B1B9F" w:rsidRPr="005A7BE1">
        <w:t>.</w:t>
      </w:r>
    </w:p>
    <w:p w:rsidR="008B1B9F" w:rsidRDefault="008B1B9F" w:rsidP="00DF3D06"/>
    <w:p w:rsidR="00F23445" w:rsidRDefault="00F23445" w:rsidP="00DF3D06">
      <w:r w:rsidRPr="005A7BE1">
        <w:t xml:space="preserve">Once </w:t>
      </w:r>
      <w:r>
        <w:t>the pathology laboratory</w:t>
      </w:r>
      <w:r w:rsidRPr="005A7BE1">
        <w:t xml:space="preserve"> ha</w:t>
      </w:r>
      <w:r>
        <w:t>s</w:t>
      </w:r>
      <w:r w:rsidRPr="005A7BE1">
        <w:t xml:space="preserve"> signed the Terms and Conditions, </w:t>
      </w:r>
      <w:r>
        <w:t>Telstra Health will be able to progress the</w:t>
      </w:r>
      <w:r w:rsidR="00E94EAD">
        <w:t xml:space="preserve"> prescribed laboratory solution to report to the Register</w:t>
      </w:r>
      <w:r w:rsidRPr="005A7BE1">
        <w:t>.</w:t>
      </w:r>
    </w:p>
    <w:p w:rsidR="00E22F57" w:rsidRPr="00395068" w:rsidRDefault="00E22F57" w:rsidP="00FC4B7B">
      <w:pPr>
        <w:pStyle w:val="Heading3"/>
        <w:rPr>
          <w:rFonts w:ascii="Times New Roman" w:hAnsi="Times New Roman" w:cs="Times New Roman"/>
          <w:b/>
          <w:i/>
          <w:color w:val="0F243E" w:themeColor="text2" w:themeShade="80"/>
        </w:rPr>
      </w:pPr>
      <w:r w:rsidRPr="00395068">
        <w:rPr>
          <w:rFonts w:ascii="Times New Roman" w:hAnsi="Times New Roman" w:cs="Times New Roman"/>
          <w:b/>
          <w:i/>
          <w:color w:val="0F243E" w:themeColor="text2" w:themeShade="80"/>
        </w:rPr>
        <w:t>What is the Provider Integration Guide?</w:t>
      </w:r>
    </w:p>
    <w:p w:rsidR="00D6277C" w:rsidRDefault="00D6277C" w:rsidP="002201EC">
      <w:r>
        <w:t xml:space="preserve">Telstra Health’s Provider Integration Guide provides information for </w:t>
      </w:r>
      <w:r w:rsidRPr="00D6277C">
        <w:t xml:space="preserve">healthcare provider information systems intending to </w:t>
      </w:r>
      <w:r w:rsidR="00D5191D">
        <w:t xml:space="preserve">electronically </w:t>
      </w:r>
      <w:r w:rsidR="00213788">
        <w:t>connect</w:t>
      </w:r>
      <w:r w:rsidR="00E05F19">
        <w:t xml:space="preserve"> directly with the </w:t>
      </w:r>
      <w:r w:rsidR="00803CF7">
        <w:t xml:space="preserve">Register </w:t>
      </w:r>
      <w:r w:rsidR="00E05F19">
        <w:t xml:space="preserve">and </w:t>
      </w:r>
      <w:r w:rsidR="00E22F57" w:rsidRPr="00E22F57">
        <w:t xml:space="preserve">has been developed in consultation with the pathology sector to support </w:t>
      </w:r>
      <w:r w:rsidR="00E05F19">
        <w:t>the modification of the pathology laboratory</w:t>
      </w:r>
      <w:r w:rsidR="00E22F57" w:rsidRPr="00E22F57">
        <w:t xml:space="preserve"> HL7 interface.</w:t>
      </w:r>
    </w:p>
    <w:p w:rsidR="00F87E54" w:rsidRDefault="00F87E54" w:rsidP="002201EC"/>
    <w:p w:rsidR="00D3775F" w:rsidRDefault="00D3775F" w:rsidP="00D3775F">
      <w:r>
        <w:t>T</w:t>
      </w:r>
      <w:r w:rsidRPr="00E22F57">
        <w:t xml:space="preserve">he data fields that are relevant to pathology </w:t>
      </w:r>
      <w:r>
        <w:t>practitioners</w:t>
      </w:r>
      <w:r w:rsidRPr="00E22F57">
        <w:t xml:space="preserve"> </w:t>
      </w:r>
      <w:r>
        <w:t>are</w:t>
      </w:r>
      <w:r w:rsidRPr="00E22F57">
        <w:t xml:space="preserve"> articulated in the Provider Integration Guide</w:t>
      </w:r>
      <w:r>
        <w:t xml:space="preserve"> including recommended use of LOINC and SNOMED coding to support streamlined reporting</w:t>
      </w:r>
      <w:r w:rsidRPr="00E22F57">
        <w:t>.</w:t>
      </w:r>
    </w:p>
    <w:p w:rsidR="00D3775F" w:rsidRDefault="00D3775F" w:rsidP="002201EC"/>
    <w:p w:rsidR="00F87E54" w:rsidRDefault="00F87E54" w:rsidP="002201EC">
      <w:r>
        <w:t>T</w:t>
      </w:r>
      <w:r w:rsidRPr="00F87E54">
        <w:t>he Provider Integration Guide serves as a guide to point out the sections of the Australian HL7 standard that are relevant</w:t>
      </w:r>
      <w:r>
        <w:t xml:space="preserve"> for laboratories participating</w:t>
      </w:r>
      <w:r w:rsidRPr="00F87E54">
        <w:t xml:space="preserve"> in the </w:t>
      </w:r>
      <w:r w:rsidR="00CA0283">
        <w:t>NCSP</w:t>
      </w:r>
      <w:r>
        <w:t xml:space="preserve">. </w:t>
      </w:r>
      <w:r w:rsidR="00C47720">
        <w:t xml:space="preserve">It </w:t>
      </w:r>
      <w:r>
        <w:rPr>
          <w:lang w:eastAsia="en-AU"/>
        </w:rPr>
        <w:t>highlight</w:t>
      </w:r>
      <w:r w:rsidR="00C47720">
        <w:rPr>
          <w:lang w:eastAsia="en-AU"/>
        </w:rPr>
        <w:t>s and clarifies</w:t>
      </w:r>
      <w:r>
        <w:rPr>
          <w:lang w:eastAsia="en-AU"/>
        </w:rPr>
        <w:t xml:space="preserve"> only those specific aspects of standard HL7 communication messages that are required to communicate with the Register</w:t>
      </w:r>
      <w:r w:rsidR="00C47720">
        <w:rPr>
          <w:lang w:eastAsia="en-AU"/>
        </w:rPr>
        <w:t xml:space="preserve">. All the fields in the Provider Integration Guide are relevant for the </w:t>
      </w:r>
      <w:r w:rsidR="00CA0283">
        <w:rPr>
          <w:lang w:eastAsia="en-AU"/>
        </w:rPr>
        <w:t>NCSP</w:t>
      </w:r>
      <w:r w:rsidR="00C47720">
        <w:rPr>
          <w:lang w:eastAsia="en-AU"/>
        </w:rPr>
        <w:t xml:space="preserve"> as per the NPAAC Requirements and the </w:t>
      </w:r>
      <w:hyperlink r:id="rId12" w:history="1">
        <w:r w:rsidR="00CA446E" w:rsidRPr="0095219B">
          <w:rPr>
            <w:rStyle w:val="Hyperlink"/>
            <w:i/>
            <w:lang w:eastAsia="en-AU"/>
          </w:rPr>
          <w:t>NCSP: Guidelines for the management of screen-detected abnormalities, screening in specific populations and investigation of abnormal vaginal bleeding (the NCSP 2016 Guidelines)</w:t>
        </w:r>
      </w:hyperlink>
      <w:r w:rsidR="00CA446E">
        <w:rPr>
          <w:i/>
          <w:lang w:eastAsia="en-AU"/>
        </w:rPr>
        <w:t>.</w:t>
      </w:r>
    </w:p>
    <w:p w:rsidR="00D6277C" w:rsidRDefault="00D6277C" w:rsidP="002201EC"/>
    <w:p w:rsidR="008719F8" w:rsidRPr="00FC4B7B" w:rsidRDefault="00184AF6" w:rsidP="00FC4B7B">
      <w:pPr>
        <w:pStyle w:val="Heading2"/>
        <w:rPr>
          <w:rFonts w:ascii="Times New Roman" w:hAnsi="Times New Roman" w:cs="Times New Roman"/>
          <w:i w:val="0"/>
          <w:u w:val="single"/>
        </w:rPr>
      </w:pPr>
      <w:r w:rsidRPr="00FC4B7B">
        <w:rPr>
          <w:rFonts w:ascii="Times New Roman" w:hAnsi="Times New Roman" w:cs="Times New Roman"/>
          <w:i w:val="0"/>
          <w:u w:val="single"/>
        </w:rPr>
        <w:t>P</w:t>
      </w:r>
      <w:r w:rsidR="008719F8" w:rsidRPr="00FC4B7B">
        <w:rPr>
          <w:rFonts w:ascii="Times New Roman" w:hAnsi="Times New Roman" w:cs="Times New Roman"/>
          <w:i w:val="0"/>
          <w:u w:val="single"/>
        </w:rPr>
        <w:t>rivacy and security</w:t>
      </w:r>
    </w:p>
    <w:p w:rsidR="00D75B4B" w:rsidRPr="00395068" w:rsidRDefault="00B03461" w:rsidP="00FC4B7B">
      <w:pPr>
        <w:pStyle w:val="Heading3"/>
        <w:rPr>
          <w:rFonts w:ascii="Times New Roman" w:hAnsi="Times New Roman" w:cs="Times New Roman"/>
          <w:b/>
          <w:i/>
          <w:color w:val="0F243E" w:themeColor="text2" w:themeShade="80"/>
        </w:rPr>
      </w:pPr>
      <w:r w:rsidRPr="00395068">
        <w:rPr>
          <w:rFonts w:ascii="Times New Roman" w:hAnsi="Times New Roman" w:cs="Times New Roman"/>
          <w:b/>
          <w:i/>
          <w:color w:val="0F243E" w:themeColor="text2" w:themeShade="80"/>
        </w:rPr>
        <w:t xml:space="preserve">How is personal information held in the </w:t>
      </w:r>
      <w:r w:rsidR="00803CF7" w:rsidRPr="00395068">
        <w:rPr>
          <w:rFonts w:ascii="Times New Roman" w:hAnsi="Times New Roman" w:cs="Times New Roman"/>
          <w:b/>
          <w:i/>
          <w:color w:val="0F243E" w:themeColor="text2" w:themeShade="80"/>
        </w:rPr>
        <w:t xml:space="preserve">Register </w:t>
      </w:r>
      <w:r w:rsidRPr="00395068">
        <w:rPr>
          <w:rFonts w:ascii="Times New Roman" w:hAnsi="Times New Roman" w:cs="Times New Roman"/>
          <w:b/>
          <w:i/>
          <w:color w:val="0F243E" w:themeColor="text2" w:themeShade="80"/>
        </w:rPr>
        <w:t>protected?</w:t>
      </w:r>
    </w:p>
    <w:p w:rsidR="003A651F" w:rsidRDefault="008719F8" w:rsidP="00EF5D77">
      <w:r>
        <w:t>A</w:t>
      </w:r>
      <w:r w:rsidRPr="008719F8">
        <w:t xml:space="preserve">ny data uploaded to the </w:t>
      </w:r>
      <w:r w:rsidR="00803CF7">
        <w:t>Register</w:t>
      </w:r>
      <w:r w:rsidR="00803CF7" w:rsidRPr="008719F8">
        <w:t xml:space="preserve"> </w:t>
      </w:r>
      <w:r w:rsidRPr="008719F8">
        <w:t xml:space="preserve">is subject to the range of information protections set out in the </w:t>
      </w:r>
      <w:r w:rsidR="00B03461">
        <w:t>NCSR Act</w:t>
      </w:r>
      <w:r w:rsidRPr="008719F8">
        <w:t xml:space="preserve"> </w:t>
      </w:r>
      <w:r>
        <w:t xml:space="preserve">and the </w:t>
      </w:r>
      <w:r w:rsidRPr="008719F8">
        <w:rPr>
          <w:i/>
        </w:rPr>
        <w:t>Privacy Act 1988</w:t>
      </w:r>
      <w:r w:rsidR="00EF5D77">
        <w:rPr>
          <w:i/>
        </w:rPr>
        <w:t xml:space="preserve"> </w:t>
      </w:r>
      <w:r w:rsidR="00EF5D77">
        <w:t>(the Privacy Act)</w:t>
      </w:r>
      <w:r w:rsidRPr="008719F8">
        <w:t>.</w:t>
      </w:r>
    </w:p>
    <w:p w:rsidR="003A651F" w:rsidRDefault="003A651F" w:rsidP="00EF5D77"/>
    <w:p w:rsidR="00477FB8" w:rsidRDefault="003A651F" w:rsidP="003A651F">
      <w:r>
        <w:t>The NCSR Act pr</w:t>
      </w:r>
      <w:r w:rsidRPr="003A651F">
        <w:t>ovides the legislative framework to safeguard protected information</w:t>
      </w:r>
      <w:r w:rsidR="00477FB8">
        <w:t>,</w:t>
      </w:r>
      <w:r w:rsidRPr="003A651F">
        <w:t xml:space="preserve"> </w:t>
      </w:r>
      <w:r w:rsidR="00477FB8">
        <w:t>that is, personal information</w:t>
      </w:r>
      <w:r w:rsidR="00477FB8" w:rsidRPr="003A651F">
        <w:t xml:space="preserve"> and commercial-in-confidence</w:t>
      </w:r>
      <w:r w:rsidR="00477FB8">
        <w:t xml:space="preserve"> information,</w:t>
      </w:r>
      <w:r w:rsidR="00477FB8" w:rsidRPr="003A651F">
        <w:t xml:space="preserve"> </w:t>
      </w:r>
      <w:r w:rsidRPr="003A651F">
        <w:t xml:space="preserve">in the </w:t>
      </w:r>
      <w:r w:rsidR="00803CF7">
        <w:t>Register</w:t>
      </w:r>
      <w:r>
        <w:t xml:space="preserve">. </w:t>
      </w:r>
      <w:r w:rsidR="009A3432">
        <w:t xml:space="preserve"> </w:t>
      </w:r>
      <w:r>
        <w:t xml:space="preserve">The NCSR Act </w:t>
      </w:r>
      <w:r w:rsidR="009A3432">
        <w:t>limits</w:t>
      </w:r>
      <w:r>
        <w:t xml:space="preserve"> the</w:t>
      </w:r>
      <w:r w:rsidRPr="003A651F">
        <w:t xml:space="preserve"> use and disclosure</w:t>
      </w:r>
      <w:r>
        <w:t xml:space="preserve"> of </w:t>
      </w:r>
      <w:r w:rsidR="00A670C0">
        <w:t xml:space="preserve">protected information </w:t>
      </w:r>
      <w:r w:rsidR="009A3432">
        <w:t xml:space="preserve">to </w:t>
      </w:r>
      <w:r w:rsidR="00A670C0">
        <w:t>those</w:t>
      </w:r>
      <w:r w:rsidR="00477FB8">
        <w:t xml:space="preserve"> that are</w:t>
      </w:r>
      <w:r w:rsidR="00A670C0">
        <w:t xml:space="preserve"> related to the </w:t>
      </w:r>
      <w:r w:rsidR="009A3432">
        <w:t xml:space="preserve">purposes of the </w:t>
      </w:r>
      <w:r w:rsidR="00803CF7">
        <w:t>Register</w:t>
      </w:r>
      <w:r w:rsidR="009A3432">
        <w:t xml:space="preserve">, or </w:t>
      </w:r>
      <w:r w:rsidR="00A670C0">
        <w:t xml:space="preserve">as </w:t>
      </w:r>
      <w:r w:rsidR="009A3432">
        <w:t>authorised by the NCSR Act</w:t>
      </w:r>
      <w:r w:rsidR="00A670C0">
        <w:t xml:space="preserve">.  </w:t>
      </w:r>
      <w:r w:rsidR="00A670C0" w:rsidRPr="003A651F">
        <w:t xml:space="preserve">The limited authorisations ensure that </w:t>
      </w:r>
      <w:r w:rsidR="00A670C0">
        <w:t>protected information</w:t>
      </w:r>
      <w:r w:rsidR="00A670C0" w:rsidRPr="003A651F">
        <w:t xml:space="preserve"> is only recorded, used or disclosed to or from the </w:t>
      </w:r>
      <w:r w:rsidR="00803CF7">
        <w:t>Register</w:t>
      </w:r>
      <w:r w:rsidR="00803CF7" w:rsidRPr="003A651F">
        <w:t xml:space="preserve"> </w:t>
      </w:r>
      <w:r w:rsidR="00A670C0" w:rsidRPr="003A651F">
        <w:t>for specific purposes.</w:t>
      </w:r>
    </w:p>
    <w:p w:rsidR="00477FB8" w:rsidRDefault="00477FB8" w:rsidP="003A651F"/>
    <w:p w:rsidR="003A651F" w:rsidRPr="003A651F" w:rsidRDefault="00477FB8" w:rsidP="003A651F">
      <w:r>
        <w:t xml:space="preserve">The NCSR Act </w:t>
      </w:r>
      <w:r w:rsidR="00E71D42">
        <w:t>includes</w:t>
      </w:r>
      <w:r w:rsidRPr="003A651F">
        <w:t xml:space="preserve"> an offence </w:t>
      </w:r>
      <w:r>
        <w:t>for</w:t>
      </w:r>
      <w:r w:rsidRPr="003A651F">
        <w:t xml:space="preserve"> the unauthorised recording, use or disclosure of </w:t>
      </w:r>
      <w:r>
        <w:t>protected</w:t>
      </w:r>
      <w:r w:rsidRPr="003A651F">
        <w:t xml:space="preserve"> information in the </w:t>
      </w:r>
      <w:r w:rsidR="00803CF7">
        <w:t>Register</w:t>
      </w:r>
      <w:r w:rsidRPr="003A651F">
        <w:t xml:space="preserve">. </w:t>
      </w:r>
      <w:r>
        <w:t xml:space="preserve"> </w:t>
      </w:r>
      <w:r w:rsidR="003A651F" w:rsidRPr="003A651F">
        <w:t xml:space="preserve">The </w:t>
      </w:r>
      <w:r w:rsidR="003A651F">
        <w:t>NCSR Act</w:t>
      </w:r>
      <w:r w:rsidR="003A651F" w:rsidRPr="003A651F">
        <w:t xml:space="preserve"> also requires notification to the Information Commissioner if there is a data breach.</w:t>
      </w:r>
    </w:p>
    <w:p w:rsidR="00760B87" w:rsidRPr="00395068" w:rsidRDefault="00760B87" w:rsidP="00FC4B7B">
      <w:pPr>
        <w:pStyle w:val="Heading3"/>
        <w:rPr>
          <w:rFonts w:ascii="Times New Roman" w:hAnsi="Times New Roman" w:cs="Times New Roman"/>
          <w:b/>
          <w:i/>
          <w:color w:val="0F243E" w:themeColor="text2" w:themeShade="80"/>
        </w:rPr>
      </w:pPr>
      <w:r w:rsidRPr="00395068">
        <w:rPr>
          <w:rFonts w:ascii="Times New Roman" w:hAnsi="Times New Roman" w:cs="Times New Roman"/>
          <w:b/>
          <w:i/>
          <w:color w:val="0F243E" w:themeColor="text2" w:themeShade="80"/>
        </w:rPr>
        <w:t>How is information held in the NCSR kept secure?</w:t>
      </w:r>
    </w:p>
    <w:p w:rsidR="008719F8" w:rsidRPr="008719F8" w:rsidRDefault="00037433" w:rsidP="008719F8">
      <w:r>
        <w:t xml:space="preserve">Telstra Health as the contracted service provider for the </w:t>
      </w:r>
      <w:r w:rsidR="00803CF7">
        <w:t xml:space="preserve">Register </w:t>
      </w:r>
      <w:r>
        <w:t xml:space="preserve">has </w:t>
      </w:r>
      <w:r w:rsidR="008719F8" w:rsidRPr="008719F8">
        <w:t xml:space="preserve">obligations to: </w:t>
      </w:r>
    </w:p>
    <w:p w:rsidR="008719F8" w:rsidRPr="008719F8" w:rsidRDefault="008719F8" w:rsidP="00251D89">
      <w:pPr>
        <w:pStyle w:val="ListParagraph"/>
        <w:numPr>
          <w:ilvl w:val="0"/>
          <w:numId w:val="9"/>
        </w:numPr>
        <w:spacing w:after="120"/>
        <w:ind w:left="714" w:hanging="357"/>
        <w:contextualSpacing w:val="0"/>
      </w:pPr>
      <w:r w:rsidRPr="008719F8">
        <w:t xml:space="preserve">build and operate the </w:t>
      </w:r>
      <w:r w:rsidR="00803CF7">
        <w:t>Register</w:t>
      </w:r>
      <w:r w:rsidR="00803CF7" w:rsidRPr="008719F8">
        <w:t xml:space="preserve"> </w:t>
      </w:r>
      <w:r w:rsidRPr="008719F8">
        <w:t xml:space="preserve">in accordance with Commonwealth cybersecurity guidelines for new ICT infrastructure, taking into consideration sensitivity and classification of the information it stores; </w:t>
      </w:r>
    </w:p>
    <w:p w:rsidR="008719F8" w:rsidRPr="008719F8" w:rsidRDefault="008719F8" w:rsidP="00251D89">
      <w:pPr>
        <w:pStyle w:val="ListParagraph"/>
        <w:numPr>
          <w:ilvl w:val="0"/>
          <w:numId w:val="9"/>
        </w:numPr>
        <w:spacing w:after="120"/>
        <w:ind w:left="714" w:hanging="357"/>
        <w:contextualSpacing w:val="0"/>
      </w:pPr>
      <w:r w:rsidRPr="008719F8">
        <w:t xml:space="preserve">at all times comply with and adhere to the stringent controls of the Commonwealth Protective Security Policy Framework which sets out mandatory requirements to: </w:t>
      </w:r>
    </w:p>
    <w:p w:rsidR="008719F8" w:rsidRPr="008719F8" w:rsidRDefault="008719F8" w:rsidP="00251D89">
      <w:pPr>
        <w:pStyle w:val="ListParagraph"/>
        <w:numPr>
          <w:ilvl w:val="0"/>
          <w:numId w:val="10"/>
        </w:numPr>
        <w:ind w:left="993" w:hanging="284"/>
      </w:pPr>
      <w:r w:rsidRPr="008719F8">
        <w:t xml:space="preserve">manage security risks to their people, information and assets; </w:t>
      </w:r>
    </w:p>
    <w:p w:rsidR="008719F8" w:rsidRPr="008719F8" w:rsidRDefault="008719F8" w:rsidP="00251D89">
      <w:pPr>
        <w:pStyle w:val="ListParagraph"/>
        <w:numPr>
          <w:ilvl w:val="0"/>
          <w:numId w:val="10"/>
        </w:numPr>
        <w:ind w:left="993" w:hanging="284"/>
      </w:pPr>
      <w:r w:rsidRPr="008719F8">
        <w:t xml:space="preserve">provide assurance to the government and the public that official resources and information provided to the </w:t>
      </w:r>
      <w:r w:rsidR="00803CF7">
        <w:t>Register</w:t>
      </w:r>
      <w:r w:rsidR="00803CF7" w:rsidRPr="008719F8">
        <w:t xml:space="preserve"> </w:t>
      </w:r>
      <w:r w:rsidRPr="008719F8">
        <w:t xml:space="preserve">are safeguarded; and </w:t>
      </w:r>
    </w:p>
    <w:p w:rsidR="008719F8" w:rsidRPr="008719F8" w:rsidRDefault="008719F8" w:rsidP="00251D89">
      <w:pPr>
        <w:pStyle w:val="ListParagraph"/>
        <w:numPr>
          <w:ilvl w:val="0"/>
          <w:numId w:val="10"/>
        </w:numPr>
        <w:spacing w:after="120"/>
        <w:ind w:left="993" w:hanging="284"/>
        <w:contextualSpacing w:val="0"/>
      </w:pPr>
      <w:r w:rsidRPr="008719F8">
        <w:t xml:space="preserve">incorporate protective security into the culture of the </w:t>
      </w:r>
      <w:r w:rsidR="00803CF7">
        <w:t>Register</w:t>
      </w:r>
      <w:r w:rsidRPr="008719F8">
        <w:t xml:space="preserve">; </w:t>
      </w:r>
      <w:r w:rsidR="00037433">
        <w:t>and</w:t>
      </w:r>
    </w:p>
    <w:p w:rsidR="008719F8" w:rsidRPr="008719F8" w:rsidRDefault="008719F8" w:rsidP="00184AF6">
      <w:pPr>
        <w:pStyle w:val="ListParagraph"/>
        <w:numPr>
          <w:ilvl w:val="0"/>
          <w:numId w:val="11"/>
        </w:numPr>
        <w:ind w:left="714" w:hanging="357"/>
        <w:contextualSpacing w:val="0"/>
      </w:pPr>
      <w:proofErr w:type="gramStart"/>
      <w:r w:rsidRPr="008719F8">
        <w:t>at</w:t>
      </w:r>
      <w:proofErr w:type="gramEnd"/>
      <w:r w:rsidRPr="008719F8">
        <w:t xml:space="preserve"> all times, comply with the Information Security Manual and the National Identity Security Strategy. </w:t>
      </w:r>
    </w:p>
    <w:p w:rsidR="008719F8" w:rsidRDefault="008719F8" w:rsidP="007C58FE">
      <w:pPr>
        <w:rPr>
          <w:b/>
        </w:rPr>
      </w:pPr>
    </w:p>
    <w:p w:rsidR="00037433" w:rsidRPr="00037433" w:rsidRDefault="00037433" w:rsidP="00037433">
      <w:bookmarkStart w:id="2" w:name="_Toc474834395"/>
      <w:r>
        <w:t>I</w:t>
      </w:r>
      <w:r w:rsidRPr="00037433">
        <w:t xml:space="preserve">nformation in the </w:t>
      </w:r>
      <w:r w:rsidR="00803CF7">
        <w:t>Register</w:t>
      </w:r>
      <w:r w:rsidR="00803CF7" w:rsidRPr="00037433">
        <w:t xml:space="preserve"> </w:t>
      </w:r>
      <w:r w:rsidRPr="00037433">
        <w:t>is stored within Australia in secure data storage facilities.</w:t>
      </w:r>
      <w:bookmarkEnd w:id="2"/>
      <w:r w:rsidRPr="00037433">
        <w:t xml:space="preserve"> </w:t>
      </w:r>
    </w:p>
    <w:p w:rsidR="00A81D2F" w:rsidRPr="00FC4B7B" w:rsidRDefault="00184AF6" w:rsidP="00FC4B7B">
      <w:pPr>
        <w:pStyle w:val="Heading2"/>
        <w:rPr>
          <w:rFonts w:ascii="Times New Roman" w:hAnsi="Times New Roman" w:cs="Times New Roman"/>
          <w:i w:val="0"/>
          <w:u w:val="single"/>
        </w:rPr>
      </w:pPr>
      <w:r w:rsidRPr="00FC4B7B">
        <w:rPr>
          <w:rFonts w:ascii="Times New Roman" w:hAnsi="Times New Roman" w:cs="Times New Roman"/>
          <w:i w:val="0"/>
          <w:u w:val="single"/>
        </w:rPr>
        <w:t>P</w:t>
      </w:r>
      <w:r w:rsidR="00A81D2F" w:rsidRPr="00FC4B7B">
        <w:rPr>
          <w:rFonts w:ascii="Times New Roman" w:hAnsi="Times New Roman" w:cs="Times New Roman"/>
          <w:i w:val="0"/>
          <w:u w:val="single"/>
        </w:rPr>
        <w:t xml:space="preserve">enalties </w:t>
      </w:r>
    </w:p>
    <w:p w:rsidR="0080347E" w:rsidRPr="00395068" w:rsidRDefault="0080347E" w:rsidP="00FC4B7B">
      <w:pPr>
        <w:pStyle w:val="Heading3"/>
        <w:rPr>
          <w:rFonts w:ascii="Times New Roman" w:hAnsi="Times New Roman" w:cs="Times New Roman"/>
          <w:b/>
          <w:i/>
          <w:color w:val="0F243E" w:themeColor="text2" w:themeShade="80"/>
        </w:rPr>
      </w:pPr>
      <w:r w:rsidRPr="00395068">
        <w:rPr>
          <w:rFonts w:ascii="Times New Roman" w:hAnsi="Times New Roman" w:cs="Times New Roman"/>
          <w:b/>
          <w:i/>
          <w:color w:val="0F243E" w:themeColor="text2" w:themeShade="80"/>
        </w:rPr>
        <w:t>Is there a penalty for not complying with the notification requirement?</w:t>
      </w:r>
    </w:p>
    <w:p w:rsidR="0080347E" w:rsidRDefault="0080347E" w:rsidP="0080347E">
      <w:r>
        <w:t xml:space="preserve">The </w:t>
      </w:r>
      <w:r w:rsidR="007E1C4F">
        <w:t xml:space="preserve">NCSR </w:t>
      </w:r>
      <w:r>
        <w:t xml:space="preserve">Act </w:t>
      </w:r>
      <w:r w:rsidR="00E71D42">
        <w:t>includes</w:t>
      </w:r>
      <w:r>
        <w:t xml:space="preserve"> an offense for non-compliance with the notification requirement.  The maximum fine per offence is 30 penalty units.  A penalty unit is </w:t>
      </w:r>
      <w:r w:rsidR="007E1C4F">
        <w:t xml:space="preserve">currently </w:t>
      </w:r>
      <w:r>
        <w:t>$210</w:t>
      </w:r>
      <w:r w:rsidR="007E1C4F">
        <w:t xml:space="preserve"> (effective from 1 July 2017)</w:t>
      </w:r>
      <w:r>
        <w:t xml:space="preserve">. </w:t>
      </w:r>
    </w:p>
    <w:p w:rsidR="0080347E" w:rsidRDefault="0080347E" w:rsidP="0080347E"/>
    <w:p w:rsidR="0080347E" w:rsidRPr="00581D86" w:rsidRDefault="0080347E" w:rsidP="0080347E">
      <w:r>
        <w:t xml:space="preserve">The penalty commences from 1 May 2018.  The period between December 2017 and May 2018 provides a grace period </w:t>
      </w:r>
      <w:r w:rsidR="00E71D42">
        <w:t xml:space="preserve">for prescribed healthcare providers to </w:t>
      </w:r>
      <w:r>
        <w:t>transition</w:t>
      </w:r>
      <w:r w:rsidR="007E1C4F">
        <w:t xml:space="preserve"> to</w:t>
      </w:r>
      <w:r>
        <w:t xml:space="preserve"> the </w:t>
      </w:r>
      <w:r w:rsidR="007E1C4F">
        <w:t>national</w:t>
      </w:r>
      <w:r>
        <w:t xml:space="preserve"> mandatory notification regime.</w:t>
      </w:r>
    </w:p>
    <w:p w:rsidR="0080347E" w:rsidRDefault="0080347E" w:rsidP="0080347E">
      <w:pPr>
        <w:rPr>
          <w:b/>
          <w:i/>
          <w:sz w:val="28"/>
          <w:szCs w:val="28"/>
        </w:rPr>
      </w:pPr>
    </w:p>
    <w:p w:rsidR="0080347E" w:rsidRPr="00395068" w:rsidRDefault="0080347E" w:rsidP="00FC4B7B">
      <w:pPr>
        <w:pStyle w:val="Heading3"/>
        <w:rPr>
          <w:rFonts w:ascii="Times New Roman" w:hAnsi="Times New Roman" w:cs="Times New Roman"/>
          <w:b/>
          <w:i/>
          <w:color w:val="0F243E" w:themeColor="text2" w:themeShade="80"/>
        </w:rPr>
      </w:pPr>
      <w:r w:rsidRPr="00395068">
        <w:rPr>
          <w:rFonts w:ascii="Times New Roman" w:hAnsi="Times New Roman" w:cs="Times New Roman"/>
          <w:b/>
          <w:i/>
          <w:color w:val="0F243E" w:themeColor="text2" w:themeShade="80"/>
        </w:rPr>
        <w:t>What happens if I fail to notify?</w:t>
      </w:r>
    </w:p>
    <w:p w:rsidR="0080347E" w:rsidRDefault="0080347E" w:rsidP="0080347E">
      <w:r w:rsidRPr="00581D86">
        <w:t xml:space="preserve">The Department recognises that encouraging compliance and raising awareness regarding the requirement to notify will help minimise the need to enforce regulatory action. </w:t>
      </w:r>
    </w:p>
    <w:p w:rsidR="0080347E" w:rsidRDefault="0080347E" w:rsidP="0080347E"/>
    <w:p w:rsidR="0080347E" w:rsidRPr="00581D86" w:rsidRDefault="0080347E" w:rsidP="0080347E">
      <w:r w:rsidRPr="00581D86">
        <w:t xml:space="preserve">Where considered appropriate, </w:t>
      </w:r>
      <w:r>
        <w:t>the Department of Health</w:t>
      </w:r>
      <w:r w:rsidRPr="00581D86">
        <w:t xml:space="preserve"> will provide sufficient notice through warning letters prior to enforcing regulatory action.</w:t>
      </w:r>
    </w:p>
    <w:p w:rsidR="0080347E" w:rsidRPr="00FC4B7B" w:rsidRDefault="00DB4945" w:rsidP="00FC4B7B">
      <w:pPr>
        <w:pStyle w:val="Heading2"/>
        <w:rPr>
          <w:rFonts w:ascii="Times New Roman" w:hAnsi="Times New Roman" w:cs="Times New Roman"/>
          <w:i w:val="0"/>
          <w:u w:val="single"/>
        </w:rPr>
      </w:pPr>
      <w:r w:rsidRPr="00FC4B7B">
        <w:rPr>
          <w:rFonts w:ascii="Times New Roman" w:hAnsi="Times New Roman" w:cs="Times New Roman"/>
          <w:i w:val="0"/>
          <w:u w:val="single"/>
        </w:rPr>
        <w:t>For more information</w:t>
      </w:r>
    </w:p>
    <w:p w:rsidR="0080347E" w:rsidRPr="002F3AE3" w:rsidRDefault="0080347E" w:rsidP="0080347E">
      <w:r>
        <w:t>More information</w:t>
      </w:r>
      <w:r w:rsidR="006D29D1">
        <w:t xml:space="preserve"> regarding the Rules and mandatory notification</w:t>
      </w:r>
      <w:r>
        <w:t xml:space="preserve"> is available on </w:t>
      </w:r>
      <w:r w:rsidR="00803CF7" w:rsidRPr="004A5A4F">
        <w:t xml:space="preserve">Health’s </w:t>
      </w:r>
      <w:hyperlink r:id="rId13" w:history="1">
        <w:r w:rsidR="00803CF7" w:rsidRPr="004A5A4F">
          <w:rPr>
            <w:rStyle w:val="Hyperlink"/>
          </w:rPr>
          <w:t>website</w:t>
        </w:r>
      </w:hyperlink>
      <w:r w:rsidR="00C41E8F">
        <w:t>.</w:t>
      </w:r>
      <w:r>
        <w:t xml:space="preserve"> </w:t>
      </w:r>
    </w:p>
    <w:p w:rsidR="00A35D74" w:rsidRDefault="00A35D74" w:rsidP="002F3AE3"/>
    <w:p w:rsidR="00A35D74" w:rsidRPr="00A35D74" w:rsidRDefault="00A35D74" w:rsidP="00A35D74">
      <w:pPr>
        <w:rPr>
          <w:b/>
          <w:bCs/>
          <w:color w:val="FF0000"/>
        </w:rPr>
      </w:pPr>
      <w:r w:rsidRPr="00A35D74">
        <w:rPr>
          <w:b/>
          <w:bCs/>
          <w:color w:val="FF0000"/>
        </w:rPr>
        <w:t>Disclaimer: This document is currently under review</w:t>
      </w:r>
    </w:p>
    <w:p w:rsidR="0003503D" w:rsidRDefault="0003503D" w:rsidP="002F3AE3">
      <w:r>
        <w:br w:type="page"/>
      </w:r>
    </w:p>
    <w:p w:rsidR="00003743" w:rsidRPr="009C0DC9" w:rsidRDefault="0003503D" w:rsidP="009C0DC9">
      <w:pPr>
        <w:pStyle w:val="Heading3"/>
        <w:rPr>
          <w:rFonts w:ascii="Times New Roman" w:hAnsi="Times New Roman" w:cs="Times New Roman"/>
        </w:rPr>
      </w:pPr>
      <w:r w:rsidRPr="009C0DC9">
        <w:rPr>
          <w:rFonts w:ascii="Times New Roman" w:hAnsi="Times New Roman" w:cs="Times New Roman"/>
        </w:rPr>
        <w:t>ATTACHMENT A</w:t>
      </w:r>
    </w:p>
    <w:p w:rsidR="0003503D" w:rsidRDefault="0003503D" w:rsidP="0003503D">
      <w:pPr>
        <w:spacing w:after="60"/>
        <w:rPr>
          <w:b/>
        </w:rPr>
      </w:pPr>
      <w:r w:rsidRPr="00050883">
        <w:rPr>
          <w:b/>
        </w:rPr>
        <w:t xml:space="preserve">Information for </w:t>
      </w:r>
      <w:r>
        <w:rPr>
          <w:b/>
        </w:rPr>
        <w:t>pathology laboratory screening tests</w:t>
      </w:r>
    </w:p>
    <w:p w:rsidR="00395068" w:rsidRPr="006405FC" w:rsidRDefault="00395068" w:rsidP="0003503D">
      <w:pPr>
        <w:spacing w:after="60"/>
      </w:pPr>
    </w:p>
    <w:p w:rsidR="00395068" w:rsidRPr="006405FC" w:rsidRDefault="00395068" w:rsidP="006405FC">
      <w:pPr>
        <w:pStyle w:val="ListParagraph"/>
        <w:numPr>
          <w:ilvl w:val="0"/>
          <w:numId w:val="46"/>
        </w:numPr>
        <w:spacing w:after="60"/>
      </w:pPr>
      <w:r w:rsidRPr="006405FC">
        <w:t>Individual’s details</w:t>
      </w:r>
      <w:r w:rsidRPr="006405FC">
        <w:tab/>
      </w:r>
    </w:p>
    <w:p w:rsidR="00395068" w:rsidRPr="006405FC" w:rsidRDefault="00395068" w:rsidP="006405FC">
      <w:pPr>
        <w:pStyle w:val="ListParagraph"/>
        <w:numPr>
          <w:ilvl w:val="0"/>
          <w:numId w:val="27"/>
        </w:numPr>
        <w:spacing w:after="60"/>
      </w:pPr>
      <w:r w:rsidRPr="006405FC">
        <w:t>Medicare number (If known)</w:t>
      </w:r>
    </w:p>
    <w:p w:rsidR="00395068" w:rsidRPr="006405FC" w:rsidRDefault="00395068" w:rsidP="006405FC">
      <w:pPr>
        <w:pStyle w:val="ListParagraph"/>
        <w:numPr>
          <w:ilvl w:val="0"/>
          <w:numId w:val="27"/>
        </w:numPr>
        <w:spacing w:after="60"/>
      </w:pPr>
      <w:r w:rsidRPr="006405FC">
        <w:t>Name</w:t>
      </w:r>
      <w:r w:rsidRPr="006405FC">
        <w:tab/>
      </w:r>
    </w:p>
    <w:p w:rsidR="00395068" w:rsidRPr="006405FC" w:rsidRDefault="00395068" w:rsidP="006405FC">
      <w:pPr>
        <w:pStyle w:val="ListParagraph"/>
        <w:numPr>
          <w:ilvl w:val="0"/>
          <w:numId w:val="27"/>
        </w:numPr>
        <w:spacing w:after="60"/>
      </w:pPr>
      <w:r w:rsidRPr="006405FC">
        <w:t>Date of birth</w:t>
      </w:r>
      <w:r w:rsidRPr="006405FC">
        <w:tab/>
      </w:r>
    </w:p>
    <w:p w:rsidR="00395068" w:rsidRPr="006405FC" w:rsidRDefault="00395068" w:rsidP="006405FC">
      <w:pPr>
        <w:pStyle w:val="ListParagraph"/>
        <w:numPr>
          <w:ilvl w:val="0"/>
          <w:numId w:val="27"/>
        </w:numPr>
        <w:spacing w:after="60"/>
      </w:pPr>
      <w:r w:rsidRPr="006405FC">
        <w:t>Sex and gender</w:t>
      </w:r>
      <w:r w:rsidRPr="006405FC">
        <w:tab/>
      </w:r>
    </w:p>
    <w:p w:rsidR="00395068" w:rsidRPr="006405FC" w:rsidRDefault="00395068" w:rsidP="006405FC">
      <w:pPr>
        <w:pStyle w:val="ListParagraph"/>
        <w:numPr>
          <w:ilvl w:val="0"/>
          <w:numId w:val="27"/>
        </w:numPr>
        <w:spacing w:after="60"/>
      </w:pPr>
      <w:r w:rsidRPr="006405FC">
        <w:t>Indigenous status (If known)</w:t>
      </w:r>
    </w:p>
    <w:p w:rsidR="00395068" w:rsidRPr="006405FC" w:rsidRDefault="00395068" w:rsidP="006405FC">
      <w:pPr>
        <w:pStyle w:val="ListParagraph"/>
        <w:numPr>
          <w:ilvl w:val="0"/>
          <w:numId w:val="27"/>
        </w:numPr>
        <w:spacing w:after="60"/>
      </w:pPr>
      <w:r w:rsidRPr="006405FC">
        <w:t>Country of origin (If known)</w:t>
      </w:r>
    </w:p>
    <w:p w:rsidR="00395068" w:rsidRPr="006405FC" w:rsidRDefault="00395068" w:rsidP="006405FC">
      <w:pPr>
        <w:pStyle w:val="ListParagraph"/>
        <w:numPr>
          <w:ilvl w:val="0"/>
          <w:numId w:val="27"/>
        </w:numPr>
        <w:spacing w:after="60"/>
      </w:pPr>
      <w:r w:rsidRPr="006405FC">
        <w:t>Preferred language</w:t>
      </w:r>
      <w:r w:rsidR="006405FC" w:rsidRPr="006405FC">
        <w:t xml:space="preserve"> </w:t>
      </w:r>
      <w:r w:rsidRPr="006405FC">
        <w:t>(If known)</w:t>
      </w:r>
    </w:p>
    <w:p w:rsidR="00395068" w:rsidRDefault="00395068" w:rsidP="006405FC">
      <w:pPr>
        <w:pStyle w:val="ListParagraph"/>
        <w:numPr>
          <w:ilvl w:val="0"/>
          <w:numId w:val="27"/>
        </w:numPr>
        <w:spacing w:after="60"/>
      </w:pPr>
      <w:r w:rsidRPr="006405FC">
        <w:t>Address</w:t>
      </w:r>
    </w:p>
    <w:p w:rsidR="006405FC" w:rsidRPr="006405FC" w:rsidRDefault="006405FC" w:rsidP="006405FC">
      <w:pPr>
        <w:pStyle w:val="ListParagraph"/>
        <w:spacing w:after="60"/>
      </w:pPr>
    </w:p>
    <w:p w:rsidR="00395068" w:rsidRPr="006405FC" w:rsidRDefault="00395068" w:rsidP="006405FC">
      <w:pPr>
        <w:pStyle w:val="ListParagraph"/>
        <w:numPr>
          <w:ilvl w:val="0"/>
          <w:numId w:val="46"/>
        </w:numPr>
        <w:spacing w:after="60"/>
      </w:pPr>
      <w:r w:rsidRPr="006405FC">
        <w:t>Pathology practitioner details</w:t>
      </w:r>
      <w:r w:rsidRPr="006405FC">
        <w:tab/>
      </w:r>
    </w:p>
    <w:p w:rsidR="00395068" w:rsidRPr="006405FC" w:rsidRDefault="00395068" w:rsidP="006405FC">
      <w:pPr>
        <w:pStyle w:val="ListParagraph"/>
        <w:numPr>
          <w:ilvl w:val="0"/>
          <w:numId w:val="25"/>
        </w:numPr>
        <w:spacing w:after="60"/>
      </w:pPr>
      <w:r w:rsidRPr="006405FC">
        <w:t>Provider number Name</w:t>
      </w:r>
      <w:r w:rsidRPr="006405FC">
        <w:tab/>
        <w:t xml:space="preserve"> </w:t>
      </w:r>
    </w:p>
    <w:p w:rsidR="00395068" w:rsidRDefault="00395068" w:rsidP="006405FC">
      <w:pPr>
        <w:pStyle w:val="ListParagraph"/>
        <w:numPr>
          <w:ilvl w:val="0"/>
          <w:numId w:val="25"/>
        </w:numPr>
        <w:spacing w:after="60"/>
      </w:pPr>
      <w:r w:rsidRPr="006405FC">
        <w:t>Name</w:t>
      </w:r>
      <w:r w:rsidRPr="006405FC">
        <w:tab/>
      </w:r>
    </w:p>
    <w:p w:rsidR="006405FC" w:rsidRPr="006405FC" w:rsidRDefault="006405FC" w:rsidP="006405FC">
      <w:pPr>
        <w:pStyle w:val="ListParagraph"/>
        <w:numPr>
          <w:ilvl w:val="0"/>
          <w:numId w:val="25"/>
        </w:numPr>
        <w:spacing w:after="60"/>
      </w:pPr>
    </w:p>
    <w:p w:rsidR="00395068" w:rsidRPr="006405FC" w:rsidRDefault="00395068" w:rsidP="006405FC">
      <w:pPr>
        <w:pStyle w:val="ListParagraph"/>
        <w:numPr>
          <w:ilvl w:val="0"/>
          <w:numId w:val="46"/>
        </w:numPr>
        <w:spacing w:after="60"/>
      </w:pPr>
      <w:r w:rsidRPr="006405FC">
        <w:t>Accredited pathology laboratory details</w:t>
      </w:r>
      <w:r w:rsidRPr="006405FC">
        <w:tab/>
      </w:r>
    </w:p>
    <w:p w:rsidR="00395068" w:rsidRPr="006405FC" w:rsidRDefault="00395068" w:rsidP="006405FC">
      <w:pPr>
        <w:pStyle w:val="ListParagraph"/>
        <w:numPr>
          <w:ilvl w:val="0"/>
          <w:numId w:val="29"/>
        </w:numPr>
        <w:spacing w:after="60"/>
      </w:pPr>
      <w:r w:rsidRPr="006405FC">
        <w:t>Name</w:t>
      </w:r>
      <w:r w:rsidRPr="006405FC">
        <w:tab/>
      </w:r>
      <w:r w:rsidRPr="006405FC">
        <w:tab/>
      </w:r>
    </w:p>
    <w:p w:rsidR="00395068" w:rsidRDefault="00395068" w:rsidP="006405FC">
      <w:pPr>
        <w:pStyle w:val="ListParagraph"/>
        <w:numPr>
          <w:ilvl w:val="0"/>
          <w:numId w:val="29"/>
        </w:numPr>
        <w:spacing w:after="60"/>
      </w:pPr>
      <w:r w:rsidRPr="006405FC">
        <w:t>Address</w:t>
      </w:r>
      <w:r w:rsidRPr="006405FC">
        <w:tab/>
      </w:r>
    </w:p>
    <w:p w:rsidR="006405FC" w:rsidRPr="006405FC" w:rsidRDefault="006405FC" w:rsidP="006405FC">
      <w:pPr>
        <w:pStyle w:val="ListParagraph"/>
        <w:numPr>
          <w:ilvl w:val="0"/>
          <w:numId w:val="29"/>
        </w:numPr>
        <w:spacing w:after="60"/>
      </w:pPr>
    </w:p>
    <w:p w:rsidR="00395068" w:rsidRPr="006405FC" w:rsidRDefault="00395068" w:rsidP="006405FC">
      <w:pPr>
        <w:pStyle w:val="ListParagraph"/>
        <w:numPr>
          <w:ilvl w:val="0"/>
          <w:numId w:val="46"/>
        </w:numPr>
        <w:spacing w:after="60"/>
      </w:pPr>
      <w:r w:rsidRPr="006405FC">
        <w:t>Information about the screening test</w:t>
      </w:r>
      <w:r w:rsidRPr="006405FC">
        <w:tab/>
      </w:r>
    </w:p>
    <w:p w:rsidR="00395068" w:rsidRPr="006405FC" w:rsidRDefault="00395068" w:rsidP="006405FC">
      <w:pPr>
        <w:pStyle w:val="ListParagraph"/>
        <w:numPr>
          <w:ilvl w:val="0"/>
          <w:numId w:val="31"/>
        </w:numPr>
        <w:spacing w:after="60"/>
      </w:pPr>
      <w:r w:rsidRPr="006405FC">
        <w:t>Type of screening test</w:t>
      </w:r>
      <w:r w:rsidRPr="006405FC">
        <w:tab/>
      </w:r>
    </w:p>
    <w:p w:rsidR="00395068" w:rsidRPr="006405FC" w:rsidRDefault="006405FC" w:rsidP="006405FC">
      <w:pPr>
        <w:pStyle w:val="ListParagraph"/>
        <w:numPr>
          <w:ilvl w:val="0"/>
          <w:numId w:val="31"/>
        </w:numPr>
        <w:spacing w:after="60"/>
      </w:pPr>
      <w:r w:rsidRPr="006405FC">
        <w:t xml:space="preserve">Date of </w:t>
      </w:r>
      <w:r w:rsidR="00395068" w:rsidRPr="006405FC">
        <w:t>screening test</w:t>
      </w:r>
      <w:r w:rsidR="00395068" w:rsidRPr="006405FC">
        <w:tab/>
      </w:r>
    </w:p>
    <w:p w:rsidR="00395068" w:rsidRPr="006405FC" w:rsidRDefault="00395068" w:rsidP="006405FC">
      <w:pPr>
        <w:pStyle w:val="ListParagraph"/>
        <w:numPr>
          <w:ilvl w:val="0"/>
          <w:numId w:val="31"/>
        </w:numPr>
        <w:spacing w:after="60"/>
      </w:pPr>
      <w:r w:rsidRPr="006405FC">
        <w:t>Cancer risk</w:t>
      </w:r>
      <w:r w:rsidRPr="006405FC">
        <w:tab/>
      </w:r>
    </w:p>
    <w:p w:rsidR="00395068" w:rsidRDefault="00395068" w:rsidP="006405FC">
      <w:pPr>
        <w:pStyle w:val="ListParagraph"/>
        <w:numPr>
          <w:ilvl w:val="0"/>
          <w:numId w:val="31"/>
        </w:numPr>
        <w:spacing w:after="60"/>
      </w:pPr>
      <w:r w:rsidRPr="006405FC">
        <w:t>Recommendation</w:t>
      </w:r>
      <w:r w:rsidRPr="006405FC">
        <w:tab/>
      </w:r>
    </w:p>
    <w:p w:rsidR="006405FC" w:rsidRPr="006405FC" w:rsidRDefault="006405FC" w:rsidP="006405FC">
      <w:pPr>
        <w:pStyle w:val="ListParagraph"/>
        <w:spacing w:after="60"/>
      </w:pPr>
    </w:p>
    <w:p w:rsidR="00395068" w:rsidRPr="006405FC" w:rsidRDefault="00395068" w:rsidP="006405FC">
      <w:pPr>
        <w:pStyle w:val="ListParagraph"/>
        <w:numPr>
          <w:ilvl w:val="0"/>
          <w:numId w:val="46"/>
        </w:numPr>
        <w:spacing w:after="60"/>
      </w:pPr>
      <w:r w:rsidRPr="006405FC">
        <w:t>HPV test</w:t>
      </w:r>
      <w:r w:rsidRPr="006405FC">
        <w:tab/>
      </w:r>
    </w:p>
    <w:p w:rsidR="00395068" w:rsidRPr="006405FC" w:rsidRDefault="00395068" w:rsidP="006405FC">
      <w:pPr>
        <w:pStyle w:val="ListParagraph"/>
        <w:numPr>
          <w:ilvl w:val="0"/>
          <w:numId w:val="35"/>
        </w:numPr>
        <w:spacing w:after="60"/>
      </w:pPr>
      <w:r w:rsidRPr="006405FC">
        <w:t>Collection method</w:t>
      </w:r>
      <w:r w:rsidRPr="006405FC">
        <w:tab/>
      </w:r>
    </w:p>
    <w:p w:rsidR="00395068" w:rsidRPr="006405FC" w:rsidRDefault="00395068" w:rsidP="006405FC">
      <w:pPr>
        <w:pStyle w:val="ListParagraph"/>
        <w:numPr>
          <w:ilvl w:val="0"/>
          <w:numId w:val="35"/>
        </w:numPr>
        <w:spacing w:after="60"/>
      </w:pPr>
      <w:r w:rsidRPr="006405FC">
        <w:t>Specimen site</w:t>
      </w:r>
      <w:r w:rsidRPr="006405FC">
        <w:tab/>
      </w:r>
    </w:p>
    <w:p w:rsidR="006405FC" w:rsidRDefault="00395068" w:rsidP="006405FC">
      <w:pPr>
        <w:pStyle w:val="ListParagraph"/>
        <w:numPr>
          <w:ilvl w:val="0"/>
          <w:numId w:val="35"/>
        </w:numPr>
        <w:spacing w:after="60"/>
      </w:pPr>
      <w:r w:rsidRPr="006405FC">
        <w:t>Reason for test</w:t>
      </w:r>
      <w:r w:rsidRPr="006405FC">
        <w:tab/>
      </w:r>
    </w:p>
    <w:p w:rsidR="006405FC" w:rsidRDefault="00395068" w:rsidP="006405FC">
      <w:pPr>
        <w:pStyle w:val="ListParagraph"/>
        <w:numPr>
          <w:ilvl w:val="0"/>
          <w:numId w:val="35"/>
        </w:numPr>
        <w:spacing w:after="60"/>
      </w:pPr>
      <w:r w:rsidRPr="006405FC">
        <w:t>Result</w:t>
      </w:r>
      <w:r w:rsidRPr="006405FC">
        <w:tab/>
      </w:r>
    </w:p>
    <w:p w:rsidR="00395068" w:rsidRPr="006405FC" w:rsidRDefault="00395068" w:rsidP="006405FC">
      <w:pPr>
        <w:pStyle w:val="ListParagraph"/>
        <w:numPr>
          <w:ilvl w:val="0"/>
          <w:numId w:val="35"/>
        </w:numPr>
        <w:spacing w:after="60"/>
      </w:pPr>
      <w:r w:rsidRPr="006405FC">
        <w:t>Name of test</w:t>
      </w:r>
      <w:r w:rsidRPr="006405FC">
        <w:tab/>
      </w:r>
    </w:p>
    <w:p w:rsidR="00395068" w:rsidRPr="006405FC" w:rsidRDefault="00395068" w:rsidP="006405FC">
      <w:pPr>
        <w:pStyle w:val="ListParagraph"/>
        <w:numPr>
          <w:ilvl w:val="0"/>
          <w:numId w:val="35"/>
        </w:numPr>
        <w:spacing w:after="60"/>
      </w:pPr>
      <w:r w:rsidRPr="006405FC">
        <w:t>Collection media</w:t>
      </w:r>
      <w:r w:rsidRPr="006405FC">
        <w:tab/>
      </w:r>
    </w:p>
    <w:p w:rsidR="006405FC" w:rsidRDefault="00395068" w:rsidP="006405FC">
      <w:pPr>
        <w:pStyle w:val="ListParagraph"/>
        <w:numPr>
          <w:ilvl w:val="0"/>
          <w:numId w:val="35"/>
        </w:numPr>
        <w:spacing w:after="60"/>
      </w:pPr>
      <w:r w:rsidRPr="006405FC">
        <w:t>Batch information</w:t>
      </w:r>
    </w:p>
    <w:p w:rsidR="00395068" w:rsidRPr="006405FC" w:rsidRDefault="00395068" w:rsidP="006405FC">
      <w:pPr>
        <w:pStyle w:val="ListParagraph"/>
        <w:spacing w:after="60"/>
      </w:pPr>
      <w:r w:rsidRPr="006405FC">
        <w:tab/>
      </w:r>
    </w:p>
    <w:p w:rsidR="00395068" w:rsidRPr="006405FC" w:rsidRDefault="00395068" w:rsidP="006405FC">
      <w:pPr>
        <w:pStyle w:val="ListParagraph"/>
        <w:numPr>
          <w:ilvl w:val="0"/>
          <w:numId w:val="46"/>
        </w:numPr>
        <w:spacing w:after="60"/>
      </w:pPr>
      <w:r w:rsidRPr="006405FC">
        <w:t>Cytology test</w:t>
      </w:r>
      <w:r w:rsidRPr="006405FC">
        <w:tab/>
      </w:r>
    </w:p>
    <w:p w:rsidR="00395068" w:rsidRPr="006405FC" w:rsidRDefault="00395068" w:rsidP="006405FC">
      <w:pPr>
        <w:pStyle w:val="ListParagraph"/>
        <w:numPr>
          <w:ilvl w:val="0"/>
          <w:numId w:val="36"/>
        </w:numPr>
        <w:spacing w:after="60"/>
      </w:pPr>
      <w:r w:rsidRPr="006405FC">
        <w:t>Specimen type</w:t>
      </w:r>
      <w:r w:rsidRPr="006405FC">
        <w:tab/>
      </w:r>
    </w:p>
    <w:p w:rsidR="00395068" w:rsidRPr="006405FC" w:rsidRDefault="00395068" w:rsidP="006405FC">
      <w:pPr>
        <w:pStyle w:val="ListParagraph"/>
        <w:numPr>
          <w:ilvl w:val="0"/>
          <w:numId w:val="36"/>
        </w:numPr>
        <w:spacing w:after="60"/>
      </w:pPr>
      <w:r w:rsidRPr="006405FC">
        <w:t>Specimen site</w:t>
      </w:r>
      <w:r w:rsidRPr="006405FC">
        <w:tab/>
      </w:r>
    </w:p>
    <w:p w:rsidR="00395068" w:rsidRPr="006405FC" w:rsidRDefault="00395068" w:rsidP="006405FC">
      <w:pPr>
        <w:pStyle w:val="ListParagraph"/>
        <w:numPr>
          <w:ilvl w:val="0"/>
          <w:numId w:val="36"/>
        </w:numPr>
        <w:spacing w:after="60"/>
      </w:pPr>
      <w:r w:rsidRPr="006405FC">
        <w:t>Reason for test</w:t>
      </w:r>
      <w:r w:rsidRPr="006405FC">
        <w:tab/>
      </w:r>
    </w:p>
    <w:p w:rsidR="00395068" w:rsidRDefault="00395068" w:rsidP="006405FC">
      <w:pPr>
        <w:pStyle w:val="ListParagraph"/>
        <w:numPr>
          <w:ilvl w:val="0"/>
          <w:numId w:val="36"/>
        </w:numPr>
        <w:spacing w:after="60"/>
      </w:pPr>
      <w:r w:rsidRPr="006405FC">
        <w:t>Result</w:t>
      </w:r>
      <w:r w:rsidRPr="006405FC">
        <w:tab/>
      </w:r>
    </w:p>
    <w:p w:rsidR="006405FC" w:rsidRPr="006405FC" w:rsidRDefault="006405FC" w:rsidP="006405FC">
      <w:pPr>
        <w:pStyle w:val="ListParagraph"/>
        <w:spacing w:after="60"/>
      </w:pPr>
    </w:p>
    <w:p w:rsidR="00395068" w:rsidRPr="006405FC" w:rsidRDefault="00395068" w:rsidP="006405FC">
      <w:pPr>
        <w:pStyle w:val="ListParagraph"/>
        <w:numPr>
          <w:ilvl w:val="0"/>
          <w:numId w:val="46"/>
        </w:numPr>
        <w:spacing w:after="60"/>
      </w:pPr>
      <w:r w:rsidRPr="006405FC">
        <w:t>Histopathology test</w:t>
      </w:r>
      <w:r w:rsidRPr="006405FC">
        <w:tab/>
      </w:r>
    </w:p>
    <w:p w:rsidR="00395068" w:rsidRPr="006405FC" w:rsidRDefault="00395068" w:rsidP="006405FC">
      <w:pPr>
        <w:pStyle w:val="ListParagraph"/>
        <w:numPr>
          <w:ilvl w:val="0"/>
          <w:numId w:val="38"/>
        </w:numPr>
        <w:spacing w:after="60"/>
      </w:pPr>
      <w:r w:rsidRPr="006405FC">
        <w:t>Specimen site</w:t>
      </w:r>
      <w:r w:rsidRPr="006405FC">
        <w:tab/>
      </w:r>
    </w:p>
    <w:p w:rsidR="00395068" w:rsidRPr="006405FC" w:rsidRDefault="00395068" w:rsidP="006405FC">
      <w:pPr>
        <w:pStyle w:val="ListParagraph"/>
        <w:numPr>
          <w:ilvl w:val="0"/>
          <w:numId w:val="38"/>
        </w:numPr>
        <w:spacing w:after="60"/>
      </w:pPr>
      <w:r w:rsidRPr="006405FC">
        <w:t>Procedure used for obtaining specimen</w:t>
      </w:r>
      <w:r w:rsidRPr="006405FC">
        <w:tab/>
      </w:r>
    </w:p>
    <w:p w:rsidR="00395068" w:rsidRPr="006405FC" w:rsidRDefault="00395068" w:rsidP="006405FC">
      <w:pPr>
        <w:pStyle w:val="ListParagraph"/>
        <w:numPr>
          <w:ilvl w:val="0"/>
          <w:numId w:val="38"/>
        </w:numPr>
        <w:spacing w:after="60"/>
      </w:pPr>
      <w:r w:rsidRPr="006405FC">
        <w:t>Result</w:t>
      </w:r>
      <w:r w:rsidRPr="006405FC">
        <w:tab/>
      </w:r>
    </w:p>
    <w:p w:rsidR="0003503D" w:rsidRDefault="0003503D" w:rsidP="0003503D"/>
    <w:p w:rsidR="0003503D" w:rsidRDefault="0003503D" w:rsidP="0003503D">
      <w:pPr>
        <w:rPr>
          <w:b/>
        </w:rPr>
      </w:pPr>
      <w:r>
        <w:rPr>
          <w:b/>
        </w:rPr>
        <w:t>Proposed additional i</w:t>
      </w:r>
      <w:r w:rsidRPr="00616C2C">
        <w:rPr>
          <w:b/>
        </w:rPr>
        <w:t>nformation for pathology laboratory screening tests</w:t>
      </w:r>
      <w:r w:rsidR="006405FC">
        <w:rPr>
          <w:b/>
        </w:rPr>
        <w:t xml:space="preserve"> (if known)</w:t>
      </w:r>
    </w:p>
    <w:p w:rsidR="006405FC" w:rsidRDefault="006405FC" w:rsidP="0003503D">
      <w:pPr>
        <w:rPr>
          <w:b/>
        </w:rPr>
      </w:pPr>
    </w:p>
    <w:p w:rsidR="006405FC" w:rsidRDefault="006405FC" w:rsidP="006405FC">
      <w:pPr>
        <w:pStyle w:val="ListParagraph"/>
        <w:numPr>
          <w:ilvl w:val="0"/>
          <w:numId w:val="45"/>
        </w:numPr>
      </w:pPr>
      <w:r>
        <w:t>Individual’s details</w:t>
      </w:r>
      <w:r>
        <w:tab/>
      </w:r>
    </w:p>
    <w:p w:rsidR="006405FC" w:rsidRDefault="006405FC" w:rsidP="006405FC">
      <w:pPr>
        <w:pStyle w:val="ListParagraph"/>
        <w:numPr>
          <w:ilvl w:val="0"/>
          <w:numId w:val="40"/>
        </w:numPr>
      </w:pPr>
      <w:r>
        <w:t>IHI</w:t>
      </w:r>
    </w:p>
    <w:p w:rsidR="006405FC" w:rsidRDefault="006405FC" w:rsidP="006405FC">
      <w:pPr>
        <w:pStyle w:val="ListParagraph"/>
      </w:pPr>
      <w:r>
        <w:tab/>
      </w:r>
    </w:p>
    <w:p w:rsidR="006405FC" w:rsidRDefault="006405FC" w:rsidP="006405FC">
      <w:pPr>
        <w:pStyle w:val="ListParagraph"/>
        <w:numPr>
          <w:ilvl w:val="0"/>
          <w:numId w:val="45"/>
        </w:numPr>
      </w:pPr>
      <w:r>
        <w:t>Information about the requesting provider</w:t>
      </w:r>
      <w:r>
        <w:tab/>
      </w:r>
    </w:p>
    <w:p w:rsidR="006405FC" w:rsidRDefault="006405FC" w:rsidP="006405FC">
      <w:pPr>
        <w:pStyle w:val="ListParagraph"/>
        <w:numPr>
          <w:ilvl w:val="0"/>
          <w:numId w:val="42"/>
        </w:numPr>
      </w:pPr>
      <w:r>
        <w:t>Address</w:t>
      </w:r>
      <w:r>
        <w:tab/>
        <w:t xml:space="preserve"> </w:t>
      </w:r>
    </w:p>
    <w:p w:rsidR="006405FC" w:rsidRDefault="006405FC" w:rsidP="006405FC">
      <w:pPr>
        <w:pStyle w:val="ListParagraph"/>
        <w:numPr>
          <w:ilvl w:val="0"/>
          <w:numId w:val="42"/>
        </w:numPr>
      </w:pPr>
      <w:r>
        <w:t>Provider number</w:t>
      </w:r>
      <w:r>
        <w:tab/>
      </w:r>
    </w:p>
    <w:p w:rsidR="006405FC" w:rsidRDefault="006405FC" w:rsidP="006405FC">
      <w:pPr>
        <w:pStyle w:val="ListParagraph"/>
        <w:numPr>
          <w:ilvl w:val="0"/>
          <w:numId w:val="42"/>
        </w:numPr>
      </w:pPr>
      <w:r>
        <w:t>HPI-I</w:t>
      </w:r>
      <w:r>
        <w:tab/>
      </w:r>
    </w:p>
    <w:p w:rsidR="006405FC" w:rsidRDefault="006405FC" w:rsidP="006405FC">
      <w:pPr>
        <w:pStyle w:val="ListParagraph"/>
        <w:numPr>
          <w:ilvl w:val="0"/>
          <w:numId w:val="42"/>
        </w:numPr>
      </w:pPr>
      <w:r>
        <w:t>HPI-O</w:t>
      </w:r>
      <w:r>
        <w:tab/>
      </w:r>
    </w:p>
    <w:p w:rsidR="006405FC" w:rsidRDefault="006405FC" w:rsidP="006405FC">
      <w:pPr>
        <w:pStyle w:val="ListParagraph"/>
      </w:pPr>
    </w:p>
    <w:p w:rsidR="006405FC" w:rsidRDefault="006405FC" w:rsidP="006405FC">
      <w:pPr>
        <w:pStyle w:val="ListParagraph"/>
        <w:numPr>
          <w:ilvl w:val="0"/>
          <w:numId w:val="45"/>
        </w:numPr>
      </w:pPr>
      <w:r>
        <w:t>Information about the cervical sample collector</w:t>
      </w:r>
      <w:r>
        <w:tab/>
      </w:r>
    </w:p>
    <w:p w:rsidR="00C40028" w:rsidRDefault="006405FC" w:rsidP="006405FC">
      <w:pPr>
        <w:pStyle w:val="ListParagraph"/>
        <w:numPr>
          <w:ilvl w:val="0"/>
          <w:numId w:val="44"/>
        </w:numPr>
      </w:pPr>
      <w:r>
        <w:t xml:space="preserve">Address </w:t>
      </w:r>
    </w:p>
    <w:p w:rsidR="006405FC" w:rsidRDefault="006405FC" w:rsidP="006405FC">
      <w:pPr>
        <w:pStyle w:val="ListParagraph"/>
        <w:numPr>
          <w:ilvl w:val="0"/>
          <w:numId w:val="44"/>
        </w:numPr>
      </w:pPr>
      <w:r>
        <w:t>Provider number</w:t>
      </w:r>
      <w:r>
        <w:tab/>
      </w:r>
    </w:p>
    <w:p w:rsidR="006405FC" w:rsidRDefault="006405FC" w:rsidP="006405FC">
      <w:pPr>
        <w:pStyle w:val="ListParagraph"/>
        <w:numPr>
          <w:ilvl w:val="0"/>
          <w:numId w:val="44"/>
        </w:numPr>
      </w:pPr>
      <w:r>
        <w:t>HPI-I</w:t>
      </w:r>
      <w:r>
        <w:tab/>
      </w:r>
    </w:p>
    <w:p w:rsidR="006405FC" w:rsidRDefault="006405FC" w:rsidP="006405FC">
      <w:pPr>
        <w:pStyle w:val="ListParagraph"/>
        <w:numPr>
          <w:ilvl w:val="0"/>
          <w:numId w:val="44"/>
        </w:numPr>
      </w:pPr>
      <w:r>
        <w:t>HPI-O</w:t>
      </w:r>
      <w:r>
        <w:tab/>
      </w:r>
    </w:p>
    <w:p w:rsidR="0003503D" w:rsidRPr="002F3AE3" w:rsidRDefault="0003503D" w:rsidP="002F3AE3"/>
    <w:sectPr w:rsidR="0003503D" w:rsidRPr="002F3AE3" w:rsidSect="0003503D">
      <w:footerReference w:type="default" r:id="rId14"/>
      <w:pgSz w:w="11906" w:h="16838"/>
      <w:pgMar w:top="136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AB0" w:rsidRDefault="00627A08">
      <w:r>
        <w:separator/>
      </w:r>
    </w:p>
  </w:endnote>
  <w:endnote w:type="continuationSeparator" w:id="0">
    <w:p w:rsidR="00CB3AB0" w:rsidRDefault="0062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aettenschweiler">
    <w:panose1 w:val="020B070604090206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508439"/>
      <w:docPartObj>
        <w:docPartGallery w:val="Page Numbers (Bottom of Page)"/>
        <w:docPartUnique/>
      </w:docPartObj>
    </w:sdtPr>
    <w:sdtEndPr>
      <w:rPr>
        <w:noProof/>
      </w:rPr>
    </w:sdtEndPr>
    <w:sdtContent>
      <w:p w:rsidR="008C17F2" w:rsidRDefault="00E04217">
        <w:pPr>
          <w:pStyle w:val="Footer"/>
          <w:jc w:val="right"/>
        </w:pPr>
        <w:r>
          <w:fldChar w:fldCharType="begin"/>
        </w:r>
        <w:r>
          <w:instrText xml:space="preserve"> PAGE   \* MERGEFORMAT </w:instrText>
        </w:r>
        <w:r>
          <w:fldChar w:fldCharType="separate"/>
        </w:r>
        <w:r w:rsidR="00A5626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AB0" w:rsidRDefault="00627A08">
      <w:r>
        <w:separator/>
      </w:r>
    </w:p>
  </w:footnote>
  <w:footnote w:type="continuationSeparator" w:id="0">
    <w:p w:rsidR="00CB3AB0" w:rsidRDefault="00627A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3056D"/>
    <w:multiLevelType w:val="hybridMultilevel"/>
    <w:tmpl w:val="2EC4A452"/>
    <w:lvl w:ilvl="0" w:tplc="7AAED5D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3327E8"/>
    <w:multiLevelType w:val="hybridMultilevel"/>
    <w:tmpl w:val="2EB40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1DA0C4C"/>
    <w:multiLevelType w:val="hybridMultilevel"/>
    <w:tmpl w:val="6262DD00"/>
    <w:lvl w:ilvl="0" w:tplc="4BB61BA8">
      <w:start w:val="1"/>
      <w:numFmt w:val="lowerLetter"/>
      <w:lvlText w:val="(%1)"/>
      <w:lvlJc w:val="left"/>
      <w:pPr>
        <w:ind w:left="1110" w:hanging="75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34F6DAB"/>
    <w:multiLevelType w:val="hybridMultilevel"/>
    <w:tmpl w:val="27FA27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75E35A2"/>
    <w:multiLevelType w:val="hybridMultilevel"/>
    <w:tmpl w:val="89363F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BA7ED5"/>
    <w:multiLevelType w:val="hybridMultilevel"/>
    <w:tmpl w:val="3710C446"/>
    <w:lvl w:ilvl="0" w:tplc="60C28F7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F970D7E"/>
    <w:multiLevelType w:val="hybridMultilevel"/>
    <w:tmpl w:val="79DED640"/>
    <w:lvl w:ilvl="0" w:tplc="A1CA67AA">
      <w:start w:val="1"/>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218475CA"/>
    <w:multiLevelType w:val="hybridMultilevel"/>
    <w:tmpl w:val="52F013C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36166E5"/>
    <w:multiLevelType w:val="hybridMultilevel"/>
    <w:tmpl w:val="70A4D0F6"/>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4853247"/>
    <w:multiLevelType w:val="hybridMultilevel"/>
    <w:tmpl w:val="3A5058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77B4405"/>
    <w:multiLevelType w:val="hybridMultilevel"/>
    <w:tmpl w:val="8C229882"/>
    <w:lvl w:ilvl="0" w:tplc="0C090001">
      <w:start w:val="1"/>
      <w:numFmt w:val="bullet"/>
      <w:lvlText w:val=""/>
      <w:lvlJc w:val="left"/>
      <w:pPr>
        <w:ind w:left="780" w:hanging="4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C2E107B"/>
    <w:multiLevelType w:val="hybridMultilevel"/>
    <w:tmpl w:val="D2D243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1C92E97"/>
    <w:multiLevelType w:val="hybridMultilevel"/>
    <w:tmpl w:val="0C52F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64527A1"/>
    <w:multiLevelType w:val="hybridMultilevel"/>
    <w:tmpl w:val="2DD6B93A"/>
    <w:lvl w:ilvl="0" w:tplc="5A666C0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045B25"/>
    <w:multiLevelType w:val="hybridMultilevel"/>
    <w:tmpl w:val="BABC410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9C28BC"/>
    <w:multiLevelType w:val="hybridMultilevel"/>
    <w:tmpl w:val="D61EE21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92C18CA"/>
    <w:multiLevelType w:val="hybridMultilevel"/>
    <w:tmpl w:val="570E2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725489"/>
    <w:multiLevelType w:val="hybridMultilevel"/>
    <w:tmpl w:val="1158DA04"/>
    <w:lvl w:ilvl="0" w:tplc="1E5C0F7A">
      <w:start w:val="1"/>
      <w:numFmt w:val="lowerLetter"/>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F7A6025"/>
    <w:multiLevelType w:val="hybridMultilevel"/>
    <w:tmpl w:val="7BF49C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69175F0"/>
    <w:multiLevelType w:val="hybridMultilevel"/>
    <w:tmpl w:val="E2742D52"/>
    <w:lvl w:ilvl="0" w:tplc="C17AFE4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2500FD3"/>
    <w:multiLevelType w:val="hybridMultilevel"/>
    <w:tmpl w:val="C546A882"/>
    <w:lvl w:ilvl="0" w:tplc="DD84B0EC">
      <w:numFmt w:val="bullet"/>
      <w:lvlText w:val="•"/>
      <w:lvlJc w:val="left"/>
      <w:pPr>
        <w:ind w:left="428" w:hanging="360"/>
      </w:pPr>
      <w:rPr>
        <w:rFonts w:ascii="Times New Roman" w:eastAsia="Times New Roman" w:hAnsi="Times New Roman" w:cs="Times New Roman"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21">
    <w:nsid w:val="561819CC"/>
    <w:multiLevelType w:val="hybridMultilevel"/>
    <w:tmpl w:val="A8F0832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A6342F0"/>
    <w:multiLevelType w:val="hybridMultilevel"/>
    <w:tmpl w:val="65FCD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EC05B8"/>
    <w:multiLevelType w:val="hybridMultilevel"/>
    <w:tmpl w:val="7A54752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E63413E"/>
    <w:multiLevelType w:val="hybridMultilevel"/>
    <w:tmpl w:val="6E2043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E97072E"/>
    <w:multiLevelType w:val="hybridMultilevel"/>
    <w:tmpl w:val="186E992A"/>
    <w:lvl w:ilvl="0" w:tplc="786C639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EA95540"/>
    <w:multiLevelType w:val="hybridMultilevel"/>
    <w:tmpl w:val="7B2CCB38"/>
    <w:lvl w:ilvl="0" w:tplc="B804022C">
      <w:start w:val="1"/>
      <w:numFmt w:val="lowerLetter"/>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F3F411C"/>
    <w:multiLevelType w:val="hybridMultilevel"/>
    <w:tmpl w:val="88D493E4"/>
    <w:lvl w:ilvl="0" w:tplc="4380FB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3521021"/>
    <w:multiLevelType w:val="hybridMultilevel"/>
    <w:tmpl w:val="7A5C9B3A"/>
    <w:lvl w:ilvl="0" w:tplc="C8AE79D6">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40734B3"/>
    <w:multiLevelType w:val="hybridMultilevel"/>
    <w:tmpl w:val="FBD25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4AC6876"/>
    <w:multiLevelType w:val="hybridMultilevel"/>
    <w:tmpl w:val="7FEC0C66"/>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6116F14"/>
    <w:multiLevelType w:val="hybridMultilevel"/>
    <w:tmpl w:val="25847E96"/>
    <w:lvl w:ilvl="0" w:tplc="29306CE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681D0099"/>
    <w:multiLevelType w:val="hybridMultilevel"/>
    <w:tmpl w:val="242C09A0"/>
    <w:lvl w:ilvl="0" w:tplc="B1A463E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9D4494C"/>
    <w:multiLevelType w:val="hybridMultilevel"/>
    <w:tmpl w:val="4CF6F930"/>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start w:val="1"/>
      <w:numFmt w:val="bullet"/>
      <w:lvlText w:val="o"/>
      <w:lvlJc w:val="left"/>
      <w:pPr>
        <w:ind w:left="3524" w:hanging="360"/>
      </w:pPr>
      <w:rPr>
        <w:rFonts w:ascii="Courier New" w:hAnsi="Courier New" w:cs="Courier New" w:hint="default"/>
      </w:rPr>
    </w:lvl>
    <w:lvl w:ilvl="5" w:tplc="0C090005">
      <w:start w:val="1"/>
      <w:numFmt w:val="bullet"/>
      <w:lvlText w:val=""/>
      <w:lvlJc w:val="left"/>
      <w:pPr>
        <w:ind w:left="4244" w:hanging="360"/>
      </w:pPr>
      <w:rPr>
        <w:rFonts w:ascii="Wingdings" w:hAnsi="Wingdings" w:hint="default"/>
      </w:rPr>
    </w:lvl>
    <w:lvl w:ilvl="6" w:tplc="0C090001">
      <w:start w:val="1"/>
      <w:numFmt w:val="bullet"/>
      <w:lvlText w:val=""/>
      <w:lvlJc w:val="left"/>
      <w:pPr>
        <w:ind w:left="4964" w:hanging="360"/>
      </w:pPr>
      <w:rPr>
        <w:rFonts w:ascii="Symbol" w:hAnsi="Symbol" w:hint="default"/>
      </w:rPr>
    </w:lvl>
    <w:lvl w:ilvl="7" w:tplc="0C090003">
      <w:start w:val="1"/>
      <w:numFmt w:val="bullet"/>
      <w:lvlText w:val="o"/>
      <w:lvlJc w:val="left"/>
      <w:pPr>
        <w:ind w:left="5684" w:hanging="360"/>
      </w:pPr>
      <w:rPr>
        <w:rFonts w:ascii="Courier New" w:hAnsi="Courier New" w:cs="Courier New" w:hint="default"/>
      </w:rPr>
    </w:lvl>
    <w:lvl w:ilvl="8" w:tplc="0C090005">
      <w:start w:val="1"/>
      <w:numFmt w:val="bullet"/>
      <w:lvlText w:val=""/>
      <w:lvlJc w:val="left"/>
      <w:pPr>
        <w:ind w:left="6404" w:hanging="360"/>
      </w:pPr>
      <w:rPr>
        <w:rFonts w:ascii="Wingdings" w:hAnsi="Wingdings" w:hint="default"/>
      </w:rPr>
    </w:lvl>
  </w:abstractNum>
  <w:abstractNum w:abstractNumId="34">
    <w:nsid w:val="6A771E06"/>
    <w:multiLevelType w:val="hybridMultilevel"/>
    <w:tmpl w:val="FBF803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A866E77"/>
    <w:multiLevelType w:val="hybridMultilevel"/>
    <w:tmpl w:val="42C85CC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6">
    <w:nsid w:val="6F5441C3"/>
    <w:multiLevelType w:val="hybridMultilevel"/>
    <w:tmpl w:val="184C609A"/>
    <w:lvl w:ilvl="0" w:tplc="0409000F">
      <w:numFmt w:val="bullet"/>
      <w:lvlText w:val="-"/>
      <w:lvlJc w:val="left"/>
      <w:pPr>
        <w:ind w:left="720" w:hanging="360"/>
      </w:pPr>
      <w:rPr>
        <w:rFonts w:ascii="Haettenschweiler" w:eastAsia="Haettenschweiler" w:hAnsi="Haettenschweiler" w:cs="Haettenschweiler"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F7A79C3"/>
    <w:multiLevelType w:val="hybridMultilevel"/>
    <w:tmpl w:val="DCD09E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892E70"/>
    <w:multiLevelType w:val="hybridMultilevel"/>
    <w:tmpl w:val="78F0E9AE"/>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1AC35A6"/>
    <w:multiLevelType w:val="hybridMultilevel"/>
    <w:tmpl w:val="9C8E5E5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7B07BAB"/>
    <w:multiLevelType w:val="hybridMultilevel"/>
    <w:tmpl w:val="27FA27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97E3C7F"/>
    <w:multiLevelType w:val="hybridMultilevel"/>
    <w:tmpl w:val="1C8EE9AA"/>
    <w:lvl w:ilvl="0" w:tplc="DD5EE3D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nsid w:val="79B44A1D"/>
    <w:multiLevelType w:val="hybridMultilevel"/>
    <w:tmpl w:val="0BECA4B4"/>
    <w:lvl w:ilvl="0" w:tplc="A4166CD4">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3">
    <w:nsid w:val="7D934E09"/>
    <w:multiLevelType w:val="hybridMultilevel"/>
    <w:tmpl w:val="27FA27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F7B6821"/>
    <w:multiLevelType w:val="hybridMultilevel"/>
    <w:tmpl w:val="F12228A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F89072A"/>
    <w:multiLevelType w:val="hybridMultilevel"/>
    <w:tmpl w:val="E992412E"/>
    <w:lvl w:ilvl="0" w:tplc="3FE482B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2"/>
  </w:num>
  <w:num w:numId="2">
    <w:abstractNumId w:val="33"/>
  </w:num>
  <w:num w:numId="3">
    <w:abstractNumId w:val="27"/>
  </w:num>
  <w:num w:numId="4">
    <w:abstractNumId w:val="6"/>
  </w:num>
  <w:num w:numId="5">
    <w:abstractNumId w:val="9"/>
  </w:num>
  <w:num w:numId="6">
    <w:abstractNumId w:val="10"/>
  </w:num>
  <w:num w:numId="7">
    <w:abstractNumId w:val="29"/>
  </w:num>
  <w:num w:numId="8">
    <w:abstractNumId w:val="42"/>
  </w:num>
  <w:num w:numId="9">
    <w:abstractNumId w:val="1"/>
  </w:num>
  <w:num w:numId="10">
    <w:abstractNumId w:val="36"/>
  </w:num>
  <w:num w:numId="11">
    <w:abstractNumId w:val="22"/>
  </w:num>
  <w:num w:numId="12">
    <w:abstractNumId w:val="3"/>
  </w:num>
  <w:num w:numId="13">
    <w:abstractNumId w:val="16"/>
  </w:num>
  <w:num w:numId="14">
    <w:abstractNumId w:val="14"/>
  </w:num>
  <w:num w:numId="15">
    <w:abstractNumId w:val="4"/>
  </w:num>
  <w:num w:numId="16">
    <w:abstractNumId w:val="38"/>
  </w:num>
  <w:num w:numId="17">
    <w:abstractNumId w:val="30"/>
  </w:num>
  <w:num w:numId="18">
    <w:abstractNumId w:val="40"/>
  </w:num>
  <w:num w:numId="19">
    <w:abstractNumId w:val="43"/>
  </w:num>
  <w:num w:numId="20">
    <w:abstractNumId w:val="35"/>
  </w:num>
  <w:num w:numId="21">
    <w:abstractNumId w:val="20"/>
  </w:num>
  <w:num w:numId="22">
    <w:abstractNumId w:val="26"/>
  </w:num>
  <w:num w:numId="23">
    <w:abstractNumId w:val="2"/>
  </w:num>
  <w:num w:numId="24">
    <w:abstractNumId w:val="17"/>
  </w:num>
  <w:num w:numId="25">
    <w:abstractNumId w:val="34"/>
  </w:num>
  <w:num w:numId="26">
    <w:abstractNumId w:val="23"/>
  </w:num>
  <w:num w:numId="27">
    <w:abstractNumId w:val="15"/>
  </w:num>
  <w:num w:numId="28">
    <w:abstractNumId w:val="41"/>
  </w:num>
  <w:num w:numId="29">
    <w:abstractNumId w:val="44"/>
  </w:num>
  <w:num w:numId="30">
    <w:abstractNumId w:val="32"/>
  </w:num>
  <w:num w:numId="31">
    <w:abstractNumId w:val="11"/>
  </w:num>
  <w:num w:numId="32">
    <w:abstractNumId w:val="19"/>
  </w:num>
  <w:num w:numId="33">
    <w:abstractNumId w:val="39"/>
  </w:num>
  <w:num w:numId="34">
    <w:abstractNumId w:val="13"/>
  </w:num>
  <w:num w:numId="35">
    <w:abstractNumId w:val="8"/>
  </w:num>
  <w:num w:numId="36">
    <w:abstractNumId w:val="21"/>
  </w:num>
  <w:num w:numId="37">
    <w:abstractNumId w:val="25"/>
  </w:num>
  <w:num w:numId="38">
    <w:abstractNumId w:val="7"/>
  </w:num>
  <w:num w:numId="39">
    <w:abstractNumId w:val="45"/>
  </w:num>
  <w:num w:numId="40">
    <w:abstractNumId w:val="37"/>
  </w:num>
  <w:num w:numId="41">
    <w:abstractNumId w:val="0"/>
  </w:num>
  <w:num w:numId="42">
    <w:abstractNumId w:val="24"/>
  </w:num>
  <w:num w:numId="43">
    <w:abstractNumId w:val="31"/>
  </w:num>
  <w:num w:numId="44">
    <w:abstractNumId w:val="18"/>
  </w:num>
  <w:num w:numId="45">
    <w:abstractNumId w:val="28"/>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7E"/>
    <w:rsid w:val="00003743"/>
    <w:rsid w:val="0001414A"/>
    <w:rsid w:val="00020FB5"/>
    <w:rsid w:val="0003503D"/>
    <w:rsid w:val="00037433"/>
    <w:rsid w:val="00067456"/>
    <w:rsid w:val="00073C29"/>
    <w:rsid w:val="00083737"/>
    <w:rsid w:val="000B37AD"/>
    <w:rsid w:val="000E7FA5"/>
    <w:rsid w:val="00131A0B"/>
    <w:rsid w:val="00144AF5"/>
    <w:rsid w:val="00154257"/>
    <w:rsid w:val="00160192"/>
    <w:rsid w:val="00176B11"/>
    <w:rsid w:val="00181148"/>
    <w:rsid w:val="0018397C"/>
    <w:rsid w:val="00184AF6"/>
    <w:rsid w:val="001B3443"/>
    <w:rsid w:val="002002A0"/>
    <w:rsid w:val="00205A92"/>
    <w:rsid w:val="00213788"/>
    <w:rsid w:val="002201EC"/>
    <w:rsid w:val="00220EE5"/>
    <w:rsid w:val="002252B3"/>
    <w:rsid w:val="00251D89"/>
    <w:rsid w:val="002548DE"/>
    <w:rsid w:val="00261CF3"/>
    <w:rsid w:val="00270336"/>
    <w:rsid w:val="0028331B"/>
    <w:rsid w:val="00287367"/>
    <w:rsid w:val="002B6F6E"/>
    <w:rsid w:val="002D4FEE"/>
    <w:rsid w:val="002E211A"/>
    <w:rsid w:val="002F3AE3"/>
    <w:rsid w:val="0030786C"/>
    <w:rsid w:val="00336368"/>
    <w:rsid w:val="00345F9B"/>
    <w:rsid w:val="003816CF"/>
    <w:rsid w:val="00395068"/>
    <w:rsid w:val="00395973"/>
    <w:rsid w:val="00397E2E"/>
    <w:rsid w:val="003A651F"/>
    <w:rsid w:val="003A7E18"/>
    <w:rsid w:val="003C0732"/>
    <w:rsid w:val="003D17F9"/>
    <w:rsid w:val="003D38FC"/>
    <w:rsid w:val="003D6A01"/>
    <w:rsid w:val="003F4871"/>
    <w:rsid w:val="003F4ADF"/>
    <w:rsid w:val="003F61B2"/>
    <w:rsid w:val="004102CE"/>
    <w:rsid w:val="0046189C"/>
    <w:rsid w:val="004732C4"/>
    <w:rsid w:val="00477FB8"/>
    <w:rsid w:val="00481BF7"/>
    <w:rsid w:val="004867E2"/>
    <w:rsid w:val="00495845"/>
    <w:rsid w:val="004A1A93"/>
    <w:rsid w:val="004A5A4F"/>
    <w:rsid w:val="004C316C"/>
    <w:rsid w:val="004F1E1B"/>
    <w:rsid w:val="0051180F"/>
    <w:rsid w:val="00516106"/>
    <w:rsid w:val="00524E0F"/>
    <w:rsid w:val="005400A6"/>
    <w:rsid w:val="00544F98"/>
    <w:rsid w:val="005544EA"/>
    <w:rsid w:val="00580F2D"/>
    <w:rsid w:val="00584914"/>
    <w:rsid w:val="00590DAD"/>
    <w:rsid w:val="00591AD8"/>
    <w:rsid w:val="00597D68"/>
    <w:rsid w:val="005A136C"/>
    <w:rsid w:val="005A7BE1"/>
    <w:rsid w:val="005B3C25"/>
    <w:rsid w:val="005C2F4C"/>
    <w:rsid w:val="005C3712"/>
    <w:rsid w:val="005F45E8"/>
    <w:rsid w:val="005F72A6"/>
    <w:rsid w:val="0060465D"/>
    <w:rsid w:val="00623DCA"/>
    <w:rsid w:val="00626414"/>
    <w:rsid w:val="00627A08"/>
    <w:rsid w:val="00636CCA"/>
    <w:rsid w:val="006405FC"/>
    <w:rsid w:val="006440ED"/>
    <w:rsid w:val="00652B5D"/>
    <w:rsid w:val="00676B51"/>
    <w:rsid w:val="00676EB8"/>
    <w:rsid w:val="006849C9"/>
    <w:rsid w:val="00686A03"/>
    <w:rsid w:val="006B2B65"/>
    <w:rsid w:val="006C5BB3"/>
    <w:rsid w:val="006C69AE"/>
    <w:rsid w:val="006C6FA5"/>
    <w:rsid w:val="006D0D82"/>
    <w:rsid w:val="006D125A"/>
    <w:rsid w:val="006D29D1"/>
    <w:rsid w:val="006E6650"/>
    <w:rsid w:val="006F349B"/>
    <w:rsid w:val="00731D8C"/>
    <w:rsid w:val="00752210"/>
    <w:rsid w:val="00757E60"/>
    <w:rsid w:val="00760B87"/>
    <w:rsid w:val="00784EC2"/>
    <w:rsid w:val="00793407"/>
    <w:rsid w:val="007C58FE"/>
    <w:rsid w:val="007E1C4F"/>
    <w:rsid w:val="007E2007"/>
    <w:rsid w:val="007E43F4"/>
    <w:rsid w:val="007E659F"/>
    <w:rsid w:val="007F0E49"/>
    <w:rsid w:val="0080347E"/>
    <w:rsid w:val="00803CF7"/>
    <w:rsid w:val="0080625B"/>
    <w:rsid w:val="008216ED"/>
    <w:rsid w:val="008264EB"/>
    <w:rsid w:val="00840987"/>
    <w:rsid w:val="00841E08"/>
    <w:rsid w:val="00843838"/>
    <w:rsid w:val="008604D8"/>
    <w:rsid w:val="008657DA"/>
    <w:rsid w:val="008719F8"/>
    <w:rsid w:val="008879DF"/>
    <w:rsid w:val="008A5243"/>
    <w:rsid w:val="008B1B9F"/>
    <w:rsid w:val="0091184E"/>
    <w:rsid w:val="009121E7"/>
    <w:rsid w:val="009238D7"/>
    <w:rsid w:val="009421A7"/>
    <w:rsid w:val="0095219B"/>
    <w:rsid w:val="009775C1"/>
    <w:rsid w:val="009A1CD5"/>
    <w:rsid w:val="009A3432"/>
    <w:rsid w:val="009A6845"/>
    <w:rsid w:val="009B09D2"/>
    <w:rsid w:val="009C0DC9"/>
    <w:rsid w:val="009C4091"/>
    <w:rsid w:val="009E0C4F"/>
    <w:rsid w:val="009E3477"/>
    <w:rsid w:val="00A33D21"/>
    <w:rsid w:val="00A35D74"/>
    <w:rsid w:val="00A4512D"/>
    <w:rsid w:val="00A549B7"/>
    <w:rsid w:val="00A56262"/>
    <w:rsid w:val="00A670C0"/>
    <w:rsid w:val="00A705AF"/>
    <w:rsid w:val="00A81D2F"/>
    <w:rsid w:val="00A8477F"/>
    <w:rsid w:val="00AB170E"/>
    <w:rsid w:val="00AB44A1"/>
    <w:rsid w:val="00AB519F"/>
    <w:rsid w:val="00AB7946"/>
    <w:rsid w:val="00AC1A6C"/>
    <w:rsid w:val="00AF4F71"/>
    <w:rsid w:val="00B03461"/>
    <w:rsid w:val="00B0573A"/>
    <w:rsid w:val="00B12F16"/>
    <w:rsid w:val="00B42851"/>
    <w:rsid w:val="00B567AE"/>
    <w:rsid w:val="00B93C8B"/>
    <w:rsid w:val="00BA5916"/>
    <w:rsid w:val="00BC1B1E"/>
    <w:rsid w:val="00BC4F5B"/>
    <w:rsid w:val="00BE3C84"/>
    <w:rsid w:val="00C05786"/>
    <w:rsid w:val="00C40028"/>
    <w:rsid w:val="00C41E8F"/>
    <w:rsid w:val="00C47720"/>
    <w:rsid w:val="00C634A7"/>
    <w:rsid w:val="00C8414C"/>
    <w:rsid w:val="00CA0283"/>
    <w:rsid w:val="00CA446E"/>
    <w:rsid w:val="00CB2B3B"/>
    <w:rsid w:val="00CB3AB0"/>
    <w:rsid w:val="00CB5B1A"/>
    <w:rsid w:val="00CC0727"/>
    <w:rsid w:val="00CD4720"/>
    <w:rsid w:val="00CD4ADC"/>
    <w:rsid w:val="00CE7DEF"/>
    <w:rsid w:val="00D3775F"/>
    <w:rsid w:val="00D4558E"/>
    <w:rsid w:val="00D51656"/>
    <w:rsid w:val="00D5191D"/>
    <w:rsid w:val="00D52BEF"/>
    <w:rsid w:val="00D568B2"/>
    <w:rsid w:val="00D6277C"/>
    <w:rsid w:val="00D64159"/>
    <w:rsid w:val="00D7585A"/>
    <w:rsid w:val="00D75B4B"/>
    <w:rsid w:val="00D8621A"/>
    <w:rsid w:val="00D95423"/>
    <w:rsid w:val="00DB4945"/>
    <w:rsid w:val="00DE1B28"/>
    <w:rsid w:val="00DE1E91"/>
    <w:rsid w:val="00DE2449"/>
    <w:rsid w:val="00DE7AA9"/>
    <w:rsid w:val="00E0392E"/>
    <w:rsid w:val="00E04217"/>
    <w:rsid w:val="00E05F19"/>
    <w:rsid w:val="00E22F57"/>
    <w:rsid w:val="00E25383"/>
    <w:rsid w:val="00E25DDB"/>
    <w:rsid w:val="00E361C8"/>
    <w:rsid w:val="00E3752B"/>
    <w:rsid w:val="00E648F6"/>
    <w:rsid w:val="00E71D42"/>
    <w:rsid w:val="00E94EAD"/>
    <w:rsid w:val="00EB19C8"/>
    <w:rsid w:val="00ED4426"/>
    <w:rsid w:val="00ED49C7"/>
    <w:rsid w:val="00ED74D2"/>
    <w:rsid w:val="00EE4E1A"/>
    <w:rsid w:val="00EE609B"/>
    <w:rsid w:val="00EF5D77"/>
    <w:rsid w:val="00F02C81"/>
    <w:rsid w:val="00F23445"/>
    <w:rsid w:val="00F51A91"/>
    <w:rsid w:val="00F711C0"/>
    <w:rsid w:val="00F8078C"/>
    <w:rsid w:val="00F8378F"/>
    <w:rsid w:val="00F87E54"/>
    <w:rsid w:val="00FA02FE"/>
    <w:rsid w:val="00FA7ADA"/>
    <w:rsid w:val="00FB386F"/>
    <w:rsid w:val="00FC4953"/>
    <w:rsid w:val="00FC4B7B"/>
    <w:rsid w:val="00FD71B9"/>
    <w:rsid w:val="00FF6A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347E"/>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Hyperlink">
    <w:name w:val="Hyperlink"/>
    <w:basedOn w:val="DefaultParagraphFont"/>
    <w:rsid w:val="0080347E"/>
    <w:rPr>
      <w:color w:val="0000FF" w:themeColor="hyperlink"/>
      <w:u w:val="single"/>
    </w:rPr>
  </w:style>
  <w:style w:type="paragraph" w:styleId="Footer">
    <w:name w:val="footer"/>
    <w:basedOn w:val="Normal"/>
    <w:link w:val="FooterChar"/>
    <w:uiPriority w:val="99"/>
    <w:rsid w:val="0080347E"/>
    <w:pPr>
      <w:tabs>
        <w:tab w:val="center" w:pos="4513"/>
        <w:tab w:val="right" w:pos="9026"/>
      </w:tabs>
    </w:pPr>
  </w:style>
  <w:style w:type="character" w:customStyle="1" w:styleId="FooterChar">
    <w:name w:val="Footer Char"/>
    <w:basedOn w:val="DefaultParagraphFont"/>
    <w:link w:val="Footer"/>
    <w:uiPriority w:val="99"/>
    <w:rsid w:val="0080347E"/>
    <w:rPr>
      <w:sz w:val="24"/>
      <w:szCs w:val="24"/>
      <w:lang w:eastAsia="en-US"/>
    </w:rPr>
  </w:style>
  <w:style w:type="paragraph" w:styleId="BalloonText">
    <w:name w:val="Balloon Text"/>
    <w:basedOn w:val="Normal"/>
    <w:link w:val="BalloonTextChar"/>
    <w:rsid w:val="0080347E"/>
    <w:rPr>
      <w:rFonts w:ascii="Tahoma" w:hAnsi="Tahoma" w:cs="Tahoma"/>
      <w:sz w:val="16"/>
      <w:szCs w:val="16"/>
    </w:rPr>
  </w:style>
  <w:style w:type="character" w:customStyle="1" w:styleId="BalloonTextChar">
    <w:name w:val="Balloon Text Char"/>
    <w:basedOn w:val="DefaultParagraphFont"/>
    <w:link w:val="BalloonText"/>
    <w:rsid w:val="0080347E"/>
    <w:rPr>
      <w:rFonts w:ascii="Tahoma" w:hAnsi="Tahoma" w:cs="Tahoma"/>
      <w:sz w:val="16"/>
      <w:szCs w:val="16"/>
      <w:lang w:eastAsia="en-US"/>
    </w:rPr>
  </w:style>
  <w:style w:type="character" w:styleId="CommentReference">
    <w:name w:val="annotation reference"/>
    <w:basedOn w:val="DefaultParagraphFont"/>
    <w:rsid w:val="008879DF"/>
    <w:rPr>
      <w:sz w:val="16"/>
      <w:szCs w:val="16"/>
    </w:rPr>
  </w:style>
  <w:style w:type="paragraph" w:styleId="CommentText">
    <w:name w:val="annotation text"/>
    <w:basedOn w:val="Normal"/>
    <w:link w:val="CommentTextChar"/>
    <w:rsid w:val="008879DF"/>
    <w:rPr>
      <w:sz w:val="20"/>
      <w:szCs w:val="20"/>
    </w:rPr>
  </w:style>
  <w:style w:type="character" w:customStyle="1" w:styleId="CommentTextChar">
    <w:name w:val="Comment Text Char"/>
    <w:basedOn w:val="DefaultParagraphFont"/>
    <w:link w:val="CommentText"/>
    <w:rsid w:val="008879DF"/>
    <w:rPr>
      <w:lang w:eastAsia="en-US"/>
    </w:rPr>
  </w:style>
  <w:style w:type="paragraph" w:styleId="CommentSubject">
    <w:name w:val="annotation subject"/>
    <w:basedOn w:val="CommentText"/>
    <w:next w:val="CommentText"/>
    <w:link w:val="CommentSubjectChar"/>
    <w:rsid w:val="008879DF"/>
    <w:rPr>
      <w:b/>
      <w:bCs/>
    </w:rPr>
  </w:style>
  <w:style w:type="character" w:customStyle="1" w:styleId="CommentSubjectChar">
    <w:name w:val="Comment Subject Char"/>
    <w:basedOn w:val="CommentTextChar"/>
    <w:link w:val="CommentSubject"/>
    <w:rsid w:val="008879DF"/>
    <w:rPr>
      <w:b/>
      <w:bCs/>
      <w:lang w:eastAsia="en-US"/>
    </w:rPr>
  </w:style>
  <w:style w:type="table" w:styleId="TableGrid">
    <w:name w:val="Table Grid"/>
    <w:basedOn w:val="TableNormal"/>
    <w:rsid w:val="00035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03CF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347E"/>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Hyperlink">
    <w:name w:val="Hyperlink"/>
    <w:basedOn w:val="DefaultParagraphFont"/>
    <w:rsid w:val="0080347E"/>
    <w:rPr>
      <w:color w:val="0000FF" w:themeColor="hyperlink"/>
      <w:u w:val="single"/>
    </w:rPr>
  </w:style>
  <w:style w:type="paragraph" w:styleId="Footer">
    <w:name w:val="footer"/>
    <w:basedOn w:val="Normal"/>
    <w:link w:val="FooterChar"/>
    <w:uiPriority w:val="99"/>
    <w:rsid w:val="0080347E"/>
    <w:pPr>
      <w:tabs>
        <w:tab w:val="center" w:pos="4513"/>
        <w:tab w:val="right" w:pos="9026"/>
      </w:tabs>
    </w:pPr>
  </w:style>
  <w:style w:type="character" w:customStyle="1" w:styleId="FooterChar">
    <w:name w:val="Footer Char"/>
    <w:basedOn w:val="DefaultParagraphFont"/>
    <w:link w:val="Footer"/>
    <w:uiPriority w:val="99"/>
    <w:rsid w:val="0080347E"/>
    <w:rPr>
      <w:sz w:val="24"/>
      <w:szCs w:val="24"/>
      <w:lang w:eastAsia="en-US"/>
    </w:rPr>
  </w:style>
  <w:style w:type="paragraph" w:styleId="BalloonText">
    <w:name w:val="Balloon Text"/>
    <w:basedOn w:val="Normal"/>
    <w:link w:val="BalloonTextChar"/>
    <w:rsid w:val="0080347E"/>
    <w:rPr>
      <w:rFonts w:ascii="Tahoma" w:hAnsi="Tahoma" w:cs="Tahoma"/>
      <w:sz w:val="16"/>
      <w:szCs w:val="16"/>
    </w:rPr>
  </w:style>
  <w:style w:type="character" w:customStyle="1" w:styleId="BalloonTextChar">
    <w:name w:val="Balloon Text Char"/>
    <w:basedOn w:val="DefaultParagraphFont"/>
    <w:link w:val="BalloonText"/>
    <w:rsid w:val="0080347E"/>
    <w:rPr>
      <w:rFonts w:ascii="Tahoma" w:hAnsi="Tahoma" w:cs="Tahoma"/>
      <w:sz w:val="16"/>
      <w:szCs w:val="16"/>
      <w:lang w:eastAsia="en-US"/>
    </w:rPr>
  </w:style>
  <w:style w:type="character" w:styleId="CommentReference">
    <w:name w:val="annotation reference"/>
    <w:basedOn w:val="DefaultParagraphFont"/>
    <w:rsid w:val="008879DF"/>
    <w:rPr>
      <w:sz w:val="16"/>
      <w:szCs w:val="16"/>
    </w:rPr>
  </w:style>
  <w:style w:type="paragraph" w:styleId="CommentText">
    <w:name w:val="annotation text"/>
    <w:basedOn w:val="Normal"/>
    <w:link w:val="CommentTextChar"/>
    <w:rsid w:val="008879DF"/>
    <w:rPr>
      <w:sz w:val="20"/>
      <w:szCs w:val="20"/>
    </w:rPr>
  </w:style>
  <w:style w:type="character" w:customStyle="1" w:styleId="CommentTextChar">
    <w:name w:val="Comment Text Char"/>
    <w:basedOn w:val="DefaultParagraphFont"/>
    <w:link w:val="CommentText"/>
    <w:rsid w:val="008879DF"/>
    <w:rPr>
      <w:lang w:eastAsia="en-US"/>
    </w:rPr>
  </w:style>
  <w:style w:type="paragraph" w:styleId="CommentSubject">
    <w:name w:val="annotation subject"/>
    <w:basedOn w:val="CommentText"/>
    <w:next w:val="CommentText"/>
    <w:link w:val="CommentSubjectChar"/>
    <w:rsid w:val="008879DF"/>
    <w:rPr>
      <w:b/>
      <w:bCs/>
    </w:rPr>
  </w:style>
  <w:style w:type="character" w:customStyle="1" w:styleId="CommentSubjectChar">
    <w:name w:val="Comment Subject Char"/>
    <w:basedOn w:val="CommentTextChar"/>
    <w:link w:val="CommentSubject"/>
    <w:rsid w:val="008879DF"/>
    <w:rPr>
      <w:b/>
      <w:bCs/>
      <w:lang w:eastAsia="en-US"/>
    </w:rPr>
  </w:style>
  <w:style w:type="table" w:styleId="TableGrid">
    <w:name w:val="Table Grid"/>
    <w:basedOn w:val="TableNormal"/>
    <w:rsid w:val="000350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03C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1391">
      <w:bodyDiv w:val="1"/>
      <w:marLeft w:val="0"/>
      <w:marRight w:val="0"/>
      <w:marTop w:val="0"/>
      <w:marBottom w:val="0"/>
      <w:divBdr>
        <w:top w:val="none" w:sz="0" w:space="0" w:color="auto"/>
        <w:left w:val="none" w:sz="0" w:space="0" w:color="auto"/>
        <w:bottom w:val="none" w:sz="0" w:space="0" w:color="auto"/>
        <w:right w:val="none" w:sz="0" w:space="0" w:color="auto"/>
      </w:divBdr>
    </w:div>
    <w:div w:id="126361048">
      <w:bodyDiv w:val="1"/>
      <w:marLeft w:val="0"/>
      <w:marRight w:val="0"/>
      <w:marTop w:val="0"/>
      <w:marBottom w:val="0"/>
      <w:divBdr>
        <w:top w:val="none" w:sz="0" w:space="0" w:color="auto"/>
        <w:left w:val="none" w:sz="0" w:space="0" w:color="auto"/>
        <w:bottom w:val="none" w:sz="0" w:space="0" w:color="auto"/>
        <w:right w:val="none" w:sz="0" w:space="0" w:color="auto"/>
      </w:divBdr>
    </w:div>
    <w:div w:id="572740602">
      <w:bodyDiv w:val="1"/>
      <w:marLeft w:val="0"/>
      <w:marRight w:val="0"/>
      <w:marTop w:val="0"/>
      <w:marBottom w:val="0"/>
      <w:divBdr>
        <w:top w:val="none" w:sz="0" w:space="0" w:color="auto"/>
        <w:left w:val="none" w:sz="0" w:space="0" w:color="auto"/>
        <w:bottom w:val="none" w:sz="0" w:space="0" w:color="auto"/>
        <w:right w:val="none" w:sz="0" w:space="0" w:color="auto"/>
      </w:divBdr>
    </w:div>
    <w:div w:id="825902422">
      <w:bodyDiv w:val="1"/>
      <w:marLeft w:val="0"/>
      <w:marRight w:val="0"/>
      <w:marTop w:val="0"/>
      <w:marBottom w:val="0"/>
      <w:divBdr>
        <w:top w:val="none" w:sz="0" w:space="0" w:color="auto"/>
        <w:left w:val="none" w:sz="0" w:space="0" w:color="auto"/>
        <w:bottom w:val="none" w:sz="0" w:space="0" w:color="auto"/>
        <w:right w:val="none" w:sz="0" w:space="0" w:color="auto"/>
      </w:divBdr>
    </w:div>
    <w:div w:id="915015032">
      <w:bodyDiv w:val="1"/>
      <w:marLeft w:val="0"/>
      <w:marRight w:val="0"/>
      <w:marTop w:val="0"/>
      <w:marBottom w:val="0"/>
      <w:divBdr>
        <w:top w:val="none" w:sz="0" w:space="0" w:color="auto"/>
        <w:left w:val="none" w:sz="0" w:space="0" w:color="auto"/>
        <w:bottom w:val="none" w:sz="0" w:space="0" w:color="auto"/>
        <w:right w:val="none" w:sz="0" w:space="0" w:color="auto"/>
      </w:divBdr>
    </w:div>
    <w:div w:id="1500388925">
      <w:bodyDiv w:val="1"/>
      <w:marLeft w:val="0"/>
      <w:marRight w:val="0"/>
      <w:marTop w:val="0"/>
      <w:marBottom w:val="0"/>
      <w:divBdr>
        <w:top w:val="none" w:sz="0" w:space="0" w:color="auto"/>
        <w:left w:val="none" w:sz="0" w:space="0" w:color="auto"/>
        <w:bottom w:val="none" w:sz="0" w:space="0" w:color="auto"/>
        <w:right w:val="none" w:sz="0" w:space="0" w:color="auto"/>
      </w:divBdr>
    </w:div>
    <w:div w:id="2043624931">
      <w:bodyDiv w:val="1"/>
      <w:marLeft w:val="0"/>
      <w:marRight w:val="0"/>
      <w:marTop w:val="0"/>
      <w:marBottom w:val="0"/>
      <w:divBdr>
        <w:top w:val="none" w:sz="0" w:space="0" w:color="auto"/>
        <w:left w:val="none" w:sz="0" w:space="0" w:color="auto"/>
        <w:bottom w:val="none" w:sz="0" w:space="0" w:color="auto"/>
        <w:right w:val="none" w:sz="0" w:space="0" w:color="auto"/>
      </w:divBdr>
    </w:div>
    <w:div w:id="205888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ealth.gov.au/internet/main/publishing.nsf/Content/National-Cancer-Screening-Regist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iki.cancer.org.au/australia/Guidelines:Cervical_cancer/Screen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CSRProject@health.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csrpathology@team.telstra.com" TargetMode="External"/><Relationship Id="rId4" Type="http://schemas.openxmlformats.org/officeDocument/2006/relationships/settings" Target="settings.xml"/><Relationship Id="rId9" Type="http://schemas.openxmlformats.org/officeDocument/2006/relationships/hyperlink" Target="http://www.health.gov.au/internet/main/publishing.nsf/Content/health-npaac-publicationsdraft.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2273</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Kabangu Jennifer</dc:creator>
  <cp:lastModifiedBy>Kabangu Jennifer</cp:lastModifiedBy>
  <cp:revision>9</cp:revision>
  <cp:lastPrinted>2017-09-28T00:46:00Z</cp:lastPrinted>
  <dcterms:created xsi:type="dcterms:W3CDTF">2017-10-26T01:31:00Z</dcterms:created>
  <dcterms:modified xsi:type="dcterms:W3CDTF">2017-10-27T01:39:00Z</dcterms:modified>
</cp:coreProperties>
</file>